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C90F1" w14:textId="057A078A" w:rsidR="00EB3E6F" w:rsidRDefault="00FD66F1" w:rsidP="00A13882">
      <w:pPr>
        <w:tabs>
          <w:tab w:val="left" w:pos="1800"/>
        </w:tabs>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r w:rsidR="00032244">
        <w:rPr>
          <w:rFonts w:ascii="Times New Roman" w:hAnsi="Times New Roman" w:cs="Times New Roman"/>
          <w:sz w:val="24"/>
          <w:szCs w:val="24"/>
        </w:rPr>
        <w:t xml:space="preserve"> for </w:t>
      </w:r>
    </w:p>
    <w:p w14:paraId="6FBC90F2" w14:textId="2B1910B6" w:rsidR="00FD66F1" w:rsidRDefault="003B3B61" w:rsidP="00FD66F1">
      <w:pPr>
        <w:spacing w:after="0"/>
        <w:jc w:val="center"/>
        <w:rPr>
          <w:rFonts w:ascii="Times New Roman" w:hAnsi="Times New Roman" w:cs="Times New Roman"/>
          <w:b/>
          <w:sz w:val="24"/>
          <w:szCs w:val="24"/>
        </w:rPr>
      </w:pPr>
      <w:r>
        <w:rPr>
          <w:rFonts w:ascii="Times New Roman" w:hAnsi="Times New Roman" w:cs="Times New Roman"/>
          <w:b/>
          <w:sz w:val="24"/>
          <w:szCs w:val="24"/>
        </w:rPr>
        <w:t>FERC-516, Electric Rate Schedules and Tariff Filings</w:t>
      </w:r>
      <w:r w:rsidR="00FD66F1" w:rsidRPr="00035845">
        <w:rPr>
          <w:rFonts w:ascii="Times New Roman" w:hAnsi="Times New Roman" w:cs="Times New Roman"/>
          <w:b/>
          <w:sz w:val="24"/>
          <w:szCs w:val="24"/>
        </w:rPr>
        <w:t xml:space="preserve"> </w:t>
      </w:r>
      <w:r w:rsidR="000036F6">
        <w:rPr>
          <w:rFonts w:ascii="Times New Roman" w:hAnsi="Times New Roman" w:cs="Times New Roman"/>
          <w:b/>
          <w:sz w:val="24"/>
          <w:szCs w:val="24"/>
        </w:rPr>
        <w:t>and</w:t>
      </w:r>
    </w:p>
    <w:p w14:paraId="4A6A1091" w14:textId="77777777" w:rsidR="00032244" w:rsidRDefault="000036F6" w:rsidP="00FD66F1">
      <w:pPr>
        <w:spacing w:after="0"/>
        <w:jc w:val="center"/>
        <w:rPr>
          <w:rFonts w:ascii="Times New Roman" w:hAnsi="Times New Roman" w:cs="Times New Roman"/>
          <w:b/>
          <w:sz w:val="24"/>
          <w:szCs w:val="24"/>
        </w:rPr>
      </w:pPr>
      <w:r>
        <w:rPr>
          <w:rFonts w:ascii="Times New Roman" w:hAnsi="Times New Roman" w:cs="Times New Roman"/>
          <w:b/>
          <w:sz w:val="24"/>
          <w:szCs w:val="24"/>
        </w:rPr>
        <w:t>FERC-920, Electric Quarterly Report</w:t>
      </w:r>
      <w:r w:rsidR="00D05A67">
        <w:rPr>
          <w:rFonts w:ascii="Times New Roman" w:hAnsi="Times New Roman" w:cs="Times New Roman"/>
          <w:b/>
          <w:sz w:val="24"/>
          <w:szCs w:val="24"/>
        </w:rPr>
        <w:t xml:space="preserve"> (EQR)</w:t>
      </w:r>
      <w:r w:rsidR="00032244">
        <w:rPr>
          <w:rFonts w:ascii="Times New Roman" w:hAnsi="Times New Roman" w:cs="Times New Roman"/>
          <w:b/>
          <w:sz w:val="24"/>
          <w:szCs w:val="24"/>
        </w:rPr>
        <w:t xml:space="preserve">, </w:t>
      </w:r>
    </w:p>
    <w:p w14:paraId="7E3B1A56" w14:textId="4A383132" w:rsidR="003B3B61" w:rsidRDefault="00032244" w:rsidP="003B3B61">
      <w:pPr>
        <w:spacing w:after="0"/>
        <w:jc w:val="center"/>
        <w:rPr>
          <w:rFonts w:ascii="Times New Roman" w:hAnsi="Times New Roman" w:cs="Times New Roman"/>
          <w:sz w:val="24"/>
          <w:szCs w:val="24"/>
        </w:rPr>
      </w:pPr>
      <w:r w:rsidRPr="00032244">
        <w:rPr>
          <w:rFonts w:ascii="Times New Roman" w:hAnsi="Times New Roman" w:cs="Times New Roman"/>
          <w:sz w:val="24"/>
          <w:szCs w:val="24"/>
        </w:rPr>
        <w:t>as modified by</w:t>
      </w:r>
      <w:r>
        <w:rPr>
          <w:rFonts w:ascii="Times New Roman" w:hAnsi="Times New Roman" w:cs="Times New Roman"/>
          <w:sz w:val="24"/>
          <w:szCs w:val="24"/>
        </w:rPr>
        <w:t xml:space="preserve"> </w:t>
      </w:r>
      <w:r w:rsidR="003B3B61">
        <w:rPr>
          <w:rFonts w:ascii="Times New Roman" w:hAnsi="Times New Roman" w:cs="Times New Roman"/>
          <w:sz w:val="24"/>
          <w:szCs w:val="24"/>
        </w:rPr>
        <w:t xml:space="preserve">the </w:t>
      </w:r>
      <w:r w:rsidR="000036F6">
        <w:rPr>
          <w:rFonts w:ascii="Times New Roman" w:hAnsi="Times New Roman" w:cs="Times New Roman"/>
          <w:sz w:val="24"/>
          <w:szCs w:val="24"/>
        </w:rPr>
        <w:t>Proposed</w:t>
      </w:r>
      <w:r w:rsidR="003B3B61">
        <w:rPr>
          <w:rFonts w:ascii="Times New Roman" w:hAnsi="Times New Roman" w:cs="Times New Roman"/>
          <w:sz w:val="24"/>
          <w:szCs w:val="24"/>
        </w:rPr>
        <w:t xml:space="preserve"> Rule in Docket </w:t>
      </w:r>
      <w:r>
        <w:rPr>
          <w:rFonts w:ascii="Times New Roman" w:hAnsi="Times New Roman" w:cs="Times New Roman"/>
          <w:sz w:val="24"/>
          <w:szCs w:val="24"/>
        </w:rPr>
        <w:t xml:space="preserve">No. </w:t>
      </w:r>
      <w:r w:rsidR="000036F6">
        <w:rPr>
          <w:rFonts w:ascii="Times New Roman" w:hAnsi="Times New Roman" w:cs="Times New Roman"/>
          <w:sz w:val="24"/>
          <w:szCs w:val="24"/>
        </w:rPr>
        <w:t>RM15-2</w:t>
      </w:r>
      <w:r w:rsidR="003B3B61">
        <w:rPr>
          <w:rFonts w:ascii="Times New Roman" w:hAnsi="Times New Roman" w:cs="Times New Roman"/>
          <w:sz w:val="24"/>
          <w:szCs w:val="24"/>
        </w:rPr>
        <w:t xml:space="preserve"> (</w:t>
      </w:r>
      <w:r w:rsidR="003B3B61" w:rsidRPr="00DD1976">
        <w:rPr>
          <w:rFonts w:ascii="Times New Roman" w:hAnsi="Times New Roman" w:cs="Times New Roman"/>
          <w:sz w:val="24"/>
          <w:szCs w:val="24"/>
        </w:rPr>
        <w:t xml:space="preserve">issued on </w:t>
      </w:r>
      <w:r w:rsidR="00DD1976" w:rsidRPr="00843A92">
        <w:rPr>
          <w:rFonts w:ascii="Times New Roman" w:hAnsi="Times New Roman" w:cs="Times New Roman"/>
          <w:sz w:val="24"/>
          <w:szCs w:val="24"/>
        </w:rPr>
        <w:t>2/19/</w:t>
      </w:r>
      <w:r w:rsidR="002E48FD" w:rsidRPr="00843A92">
        <w:rPr>
          <w:rFonts w:ascii="Times New Roman" w:hAnsi="Times New Roman" w:cs="Times New Roman"/>
          <w:sz w:val="24"/>
          <w:szCs w:val="24"/>
        </w:rPr>
        <w:t>2015</w:t>
      </w:r>
      <w:r w:rsidR="003B3B61" w:rsidRPr="00843A92">
        <w:rPr>
          <w:rFonts w:ascii="Times New Roman" w:hAnsi="Times New Roman" w:cs="Times New Roman"/>
          <w:sz w:val="24"/>
          <w:szCs w:val="24"/>
        </w:rPr>
        <w:t>)</w:t>
      </w:r>
    </w:p>
    <w:p w14:paraId="6FBC90F4" w14:textId="77777777" w:rsidR="00FD66F1" w:rsidRDefault="00FD66F1" w:rsidP="00F8440A">
      <w:pPr>
        <w:spacing w:after="0"/>
        <w:rPr>
          <w:rFonts w:ascii="Times New Roman" w:hAnsi="Times New Roman" w:cs="Times New Roman"/>
          <w:sz w:val="24"/>
          <w:szCs w:val="24"/>
        </w:rPr>
      </w:pPr>
    </w:p>
    <w:p w14:paraId="6232B100" w14:textId="24667F3E" w:rsidR="00F8440A" w:rsidRPr="00F8440A" w:rsidRDefault="00F8440A" w:rsidP="00F8440A">
      <w:pPr>
        <w:spacing w:after="0"/>
        <w:rPr>
          <w:rFonts w:ascii="Times New Roman" w:hAnsi="Times New Roman" w:cs="Times New Roman"/>
          <w:sz w:val="24"/>
          <w:szCs w:val="24"/>
        </w:rPr>
      </w:pPr>
      <w:r w:rsidRPr="00F8440A">
        <w:rPr>
          <w:rFonts w:ascii="Times New Roman" w:hAnsi="Times New Roman" w:cs="Times New Roman"/>
          <w:sz w:val="24"/>
          <w:szCs w:val="24"/>
        </w:rPr>
        <w:t>The Federal Energy Regulatory Commission (Commission or FERC) requests that the Office of Management a</w:t>
      </w:r>
      <w:r w:rsidR="00B27783">
        <w:rPr>
          <w:rFonts w:ascii="Times New Roman" w:hAnsi="Times New Roman" w:cs="Times New Roman"/>
          <w:sz w:val="24"/>
          <w:szCs w:val="24"/>
        </w:rPr>
        <w:t xml:space="preserve">nd Budget (OMB) review </w:t>
      </w:r>
      <w:r w:rsidR="00B27783" w:rsidRPr="00F8440A">
        <w:rPr>
          <w:rFonts w:ascii="Times New Roman" w:hAnsi="Times New Roman" w:cs="Times New Roman"/>
          <w:sz w:val="24"/>
          <w:szCs w:val="24"/>
        </w:rPr>
        <w:t>FERC-516 (Electric Rate</w:t>
      </w:r>
      <w:r w:rsidR="00B27783">
        <w:rPr>
          <w:rFonts w:ascii="Times New Roman" w:hAnsi="Times New Roman" w:cs="Times New Roman"/>
          <w:sz w:val="24"/>
          <w:szCs w:val="24"/>
        </w:rPr>
        <w:t xml:space="preserve"> Schedule and Tariff Filings) and </w:t>
      </w:r>
      <w:r w:rsidR="008725DB" w:rsidRPr="008725DB">
        <w:rPr>
          <w:rFonts w:ascii="Times New Roman" w:hAnsi="Times New Roman" w:cs="Times New Roman"/>
          <w:sz w:val="24"/>
          <w:szCs w:val="24"/>
        </w:rPr>
        <w:t>FERC-920</w:t>
      </w:r>
      <w:r w:rsidR="00D05A67" w:rsidRPr="00032244">
        <w:rPr>
          <w:rStyle w:val="FootnoteReference"/>
          <w:rFonts w:ascii="Times New Roman" w:hAnsi="Times New Roman" w:cs="Times New Roman"/>
          <w:sz w:val="24"/>
          <w:szCs w:val="24"/>
          <w:vertAlign w:val="superscript"/>
        </w:rPr>
        <w:footnoteReference w:id="1"/>
      </w:r>
      <w:r w:rsidR="008725DB" w:rsidRPr="008725DB">
        <w:rPr>
          <w:rFonts w:ascii="Times New Roman" w:hAnsi="Times New Roman" w:cs="Times New Roman"/>
          <w:sz w:val="24"/>
          <w:szCs w:val="24"/>
        </w:rPr>
        <w:t xml:space="preserve"> </w:t>
      </w:r>
      <w:r w:rsidR="008725DB">
        <w:rPr>
          <w:rFonts w:ascii="Times New Roman" w:hAnsi="Times New Roman" w:cs="Times New Roman"/>
          <w:sz w:val="24"/>
          <w:szCs w:val="24"/>
        </w:rPr>
        <w:t>(</w:t>
      </w:r>
      <w:r w:rsidR="008725DB" w:rsidRPr="008725DB">
        <w:rPr>
          <w:rFonts w:ascii="Times New Roman" w:hAnsi="Times New Roman" w:cs="Times New Roman"/>
          <w:sz w:val="24"/>
          <w:szCs w:val="24"/>
        </w:rPr>
        <w:t>Electric Quarterly Report</w:t>
      </w:r>
      <w:r w:rsidR="008725DB">
        <w:rPr>
          <w:rFonts w:ascii="Times New Roman" w:hAnsi="Times New Roman" w:cs="Times New Roman"/>
          <w:sz w:val="24"/>
          <w:szCs w:val="24"/>
        </w:rPr>
        <w:t>)</w:t>
      </w:r>
      <w:r w:rsidR="001D5696">
        <w:rPr>
          <w:rFonts w:ascii="Times New Roman" w:hAnsi="Times New Roman" w:cs="Times New Roman"/>
          <w:sz w:val="24"/>
          <w:szCs w:val="24"/>
        </w:rPr>
        <w:t xml:space="preserve">.  </w:t>
      </w:r>
      <w:r w:rsidRPr="00F8440A">
        <w:rPr>
          <w:rFonts w:ascii="Times New Roman" w:hAnsi="Times New Roman" w:cs="Times New Roman"/>
          <w:sz w:val="24"/>
          <w:szCs w:val="24"/>
        </w:rPr>
        <w:t xml:space="preserve">This is a consolidated supporting statement </w:t>
      </w:r>
      <w:r w:rsidR="002E48FD">
        <w:rPr>
          <w:rFonts w:ascii="Times New Roman" w:hAnsi="Times New Roman" w:cs="Times New Roman"/>
          <w:sz w:val="24"/>
          <w:szCs w:val="24"/>
        </w:rPr>
        <w:t>(related to the Notice of Proposed Rulemaking (NOPR) in Docket No. RM15-2</w:t>
      </w:r>
      <w:r w:rsidR="00A03E2E" w:rsidRPr="00843A92">
        <w:rPr>
          <w:rStyle w:val="FootnoteReference"/>
          <w:rFonts w:ascii="Times New Roman" w:hAnsi="Times New Roman" w:cs="Times New Roman"/>
          <w:sz w:val="24"/>
          <w:szCs w:val="24"/>
          <w:vertAlign w:val="superscript"/>
        </w:rPr>
        <w:footnoteReference w:id="2"/>
      </w:r>
      <w:r w:rsidR="002E48FD">
        <w:rPr>
          <w:rFonts w:ascii="Times New Roman" w:hAnsi="Times New Roman" w:cs="Times New Roman"/>
          <w:sz w:val="24"/>
          <w:szCs w:val="24"/>
        </w:rPr>
        <w:t>)</w:t>
      </w:r>
      <w:r w:rsidR="001D5696">
        <w:rPr>
          <w:rFonts w:ascii="Times New Roman" w:hAnsi="Times New Roman" w:cs="Times New Roman"/>
          <w:sz w:val="24"/>
          <w:szCs w:val="24"/>
        </w:rPr>
        <w:t>; it</w:t>
      </w:r>
      <w:r w:rsidRPr="00F8440A">
        <w:rPr>
          <w:rFonts w:ascii="Times New Roman" w:hAnsi="Times New Roman" w:cs="Times New Roman"/>
          <w:sz w:val="24"/>
          <w:szCs w:val="24"/>
        </w:rPr>
        <w:t xml:space="preserve"> will be submitted to OMB under </w:t>
      </w:r>
      <w:r w:rsidR="002E48FD">
        <w:rPr>
          <w:rFonts w:ascii="Times New Roman" w:hAnsi="Times New Roman" w:cs="Times New Roman"/>
          <w:sz w:val="24"/>
          <w:szCs w:val="24"/>
        </w:rPr>
        <w:t xml:space="preserve">the </w:t>
      </w:r>
      <w:r w:rsidRPr="00F8440A">
        <w:rPr>
          <w:rFonts w:ascii="Times New Roman" w:hAnsi="Times New Roman" w:cs="Times New Roman"/>
          <w:sz w:val="24"/>
          <w:szCs w:val="24"/>
        </w:rPr>
        <w:t>two different Information Collection Requests</w:t>
      </w:r>
      <w:r w:rsidR="002E48FD">
        <w:rPr>
          <w:rFonts w:ascii="Times New Roman" w:hAnsi="Times New Roman" w:cs="Times New Roman"/>
          <w:sz w:val="24"/>
          <w:szCs w:val="24"/>
        </w:rPr>
        <w:t xml:space="preserve"> (one each for FERC-516 and FERC-920)</w:t>
      </w:r>
      <w:r>
        <w:rPr>
          <w:rFonts w:ascii="Times New Roman" w:hAnsi="Times New Roman" w:cs="Times New Roman"/>
          <w:sz w:val="24"/>
          <w:szCs w:val="24"/>
        </w:rPr>
        <w:t>.</w:t>
      </w:r>
      <w:r w:rsidR="003E7B94">
        <w:rPr>
          <w:rFonts w:ascii="Times New Roman" w:hAnsi="Times New Roman" w:cs="Times New Roman"/>
          <w:sz w:val="24"/>
          <w:szCs w:val="24"/>
        </w:rPr>
        <w:t xml:space="preserve"> </w:t>
      </w:r>
    </w:p>
    <w:p w14:paraId="4DBD4350" w14:textId="77777777" w:rsidR="00F8440A" w:rsidRDefault="00F8440A" w:rsidP="00F8440A">
      <w:pPr>
        <w:spacing w:after="0"/>
        <w:rPr>
          <w:rFonts w:ascii="Times New Roman" w:hAnsi="Times New Roman" w:cs="Times New Roman"/>
          <w:sz w:val="24"/>
          <w:szCs w:val="24"/>
        </w:rPr>
      </w:pPr>
      <w:r w:rsidRPr="00F8440A">
        <w:rPr>
          <w:rFonts w:ascii="Times New Roman" w:hAnsi="Times New Roman" w:cs="Times New Roman"/>
          <w:sz w:val="24"/>
          <w:szCs w:val="24"/>
        </w:rPr>
        <w:tab/>
      </w:r>
    </w:p>
    <w:p w14:paraId="12E3DEBA" w14:textId="5409959A" w:rsidR="001D5696" w:rsidRPr="00F8440A" w:rsidRDefault="001D5696" w:rsidP="00F8440A">
      <w:pPr>
        <w:spacing w:after="0"/>
        <w:rPr>
          <w:rFonts w:ascii="Times New Roman" w:hAnsi="Times New Roman" w:cs="Times New Roman"/>
          <w:sz w:val="24"/>
          <w:szCs w:val="24"/>
        </w:rPr>
      </w:pPr>
      <w:r>
        <w:rPr>
          <w:rFonts w:ascii="Times New Roman" w:hAnsi="Times New Roman" w:cs="Times New Roman"/>
          <w:sz w:val="24"/>
          <w:szCs w:val="24"/>
        </w:rPr>
        <w:t>In this NOPR</w:t>
      </w:r>
      <w:r w:rsidR="00032244">
        <w:rPr>
          <w:rFonts w:ascii="Times New Roman" w:hAnsi="Times New Roman" w:cs="Times New Roman"/>
          <w:sz w:val="24"/>
          <w:szCs w:val="24"/>
        </w:rPr>
        <w:t xml:space="preserve"> in RM15-2</w:t>
      </w:r>
      <w:r>
        <w:rPr>
          <w:rFonts w:ascii="Times New Roman" w:hAnsi="Times New Roman" w:cs="Times New Roman"/>
          <w:sz w:val="24"/>
          <w:szCs w:val="24"/>
        </w:rPr>
        <w:t xml:space="preserve">, FERC is </w:t>
      </w:r>
      <w:r w:rsidRPr="001D5696">
        <w:rPr>
          <w:rFonts w:ascii="Times New Roman" w:hAnsi="Times New Roman" w:cs="Times New Roman"/>
          <w:sz w:val="24"/>
          <w:szCs w:val="24"/>
        </w:rPr>
        <w:t>propos</w:t>
      </w:r>
      <w:r>
        <w:rPr>
          <w:rFonts w:ascii="Times New Roman" w:hAnsi="Times New Roman" w:cs="Times New Roman"/>
          <w:sz w:val="24"/>
          <w:szCs w:val="24"/>
        </w:rPr>
        <w:t xml:space="preserve">ing </w:t>
      </w:r>
      <w:r w:rsidRPr="001D5696">
        <w:rPr>
          <w:rFonts w:ascii="Times New Roman" w:hAnsi="Times New Roman" w:cs="Times New Roman"/>
          <w:sz w:val="24"/>
          <w:szCs w:val="24"/>
        </w:rPr>
        <w:t xml:space="preserve">to revise its regulations to foster competition in the sale of primary frequency response service.  Specifically, the Commission proposes to amend its regulations to revise Subpart H to Part 35 of Title 18 of the Code of Federal Regulations governing market-based rates for public utilities pursuant to the Federal Power Act (FPA) to permit the sale of primary frequency response service at market-based rates by sellers with market-based rate authority for energy and capacity.  </w:t>
      </w:r>
    </w:p>
    <w:p w14:paraId="6FBC90F8" w14:textId="77777777" w:rsidR="0002242D" w:rsidRPr="00A03E2E" w:rsidRDefault="0002242D" w:rsidP="00FD66F1">
      <w:pPr>
        <w:spacing w:after="0"/>
        <w:rPr>
          <w:rFonts w:ascii="Times New Roman" w:hAnsi="Times New Roman" w:cs="Times New Roman"/>
          <w:sz w:val="24"/>
          <w:szCs w:val="24"/>
        </w:rPr>
      </w:pPr>
    </w:p>
    <w:p w14:paraId="6FBC90F9" w14:textId="77777777" w:rsidR="00A72E7B" w:rsidRPr="003804AA" w:rsidRDefault="00A72E7B" w:rsidP="00A72E7B">
      <w:pPr>
        <w:pStyle w:val="ListParagraph"/>
        <w:numPr>
          <w:ilvl w:val="0"/>
          <w:numId w:val="1"/>
        </w:numPr>
        <w:spacing w:after="0"/>
        <w:ind w:left="360"/>
        <w:rPr>
          <w:rFonts w:ascii="Times New Roman" w:hAnsi="Times New Roman" w:cs="Times New Roman"/>
          <w:b/>
          <w:sz w:val="24"/>
          <w:szCs w:val="24"/>
        </w:rPr>
      </w:pPr>
      <w:r w:rsidRPr="003804AA">
        <w:rPr>
          <w:rFonts w:ascii="Times New Roman" w:hAnsi="Times New Roman" w:cs="Times New Roman"/>
          <w:b/>
          <w:sz w:val="24"/>
          <w:szCs w:val="24"/>
        </w:rPr>
        <w:t>CIRCUMSTANCES THAT MAKE THE COLLECTION OF INFORMATION NECESSARY</w:t>
      </w:r>
    </w:p>
    <w:p w14:paraId="6FBC90FA" w14:textId="77777777" w:rsidR="00A72E7B" w:rsidRPr="00AD14B6" w:rsidRDefault="00A72E7B" w:rsidP="00EB3E6F">
      <w:pPr>
        <w:spacing w:after="0"/>
        <w:rPr>
          <w:rFonts w:ascii="Times New Roman" w:hAnsi="Times New Roman" w:cs="Times New Roman"/>
          <w:sz w:val="24"/>
          <w:szCs w:val="24"/>
        </w:rPr>
      </w:pPr>
    </w:p>
    <w:p w14:paraId="670C897F" w14:textId="1844B809" w:rsidR="00F14038" w:rsidRPr="00AD14B6" w:rsidRDefault="00307830" w:rsidP="00F14038">
      <w:pPr>
        <w:spacing w:after="0"/>
        <w:rPr>
          <w:rFonts w:ascii="Times New Roman" w:hAnsi="Times New Roman" w:cs="Times New Roman"/>
          <w:sz w:val="24"/>
          <w:szCs w:val="24"/>
        </w:rPr>
      </w:pPr>
      <w:r w:rsidRPr="00214798">
        <w:rPr>
          <w:rFonts w:ascii="Times New Roman" w:hAnsi="Times New Roman" w:cs="Times New Roman"/>
          <w:b/>
          <w:sz w:val="24"/>
          <w:szCs w:val="24"/>
        </w:rPr>
        <w:t xml:space="preserve">FERC-516.  </w:t>
      </w:r>
      <w:r w:rsidR="00F81142" w:rsidRPr="00214798">
        <w:rPr>
          <w:rFonts w:ascii="Times New Roman" w:hAnsi="Times New Roman" w:cs="Times New Roman"/>
          <w:sz w:val="24"/>
          <w:szCs w:val="24"/>
        </w:rPr>
        <w:t xml:space="preserve">The </w:t>
      </w:r>
      <w:r w:rsidR="00F81142" w:rsidRPr="00A03E2E">
        <w:rPr>
          <w:rFonts w:ascii="Times New Roman" w:hAnsi="Times New Roman" w:cs="Times New Roman"/>
          <w:sz w:val="24"/>
          <w:szCs w:val="24"/>
        </w:rPr>
        <w:t>Federal Power Act Section 205</w:t>
      </w:r>
      <w:r w:rsidR="00F81142" w:rsidRPr="00A03E2E">
        <w:rPr>
          <w:rStyle w:val="FootnoteReference"/>
          <w:rFonts w:ascii="Times New Roman" w:hAnsi="Times New Roman" w:cs="Times New Roman"/>
          <w:sz w:val="24"/>
          <w:szCs w:val="24"/>
          <w:vertAlign w:val="superscript"/>
        </w:rPr>
        <w:footnoteReference w:id="3"/>
      </w:r>
      <w:r w:rsidR="00F14038" w:rsidRPr="00A03E2E">
        <w:rPr>
          <w:rFonts w:ascii="Times New Roman" w:hAnsi="Times New Roman" w:cs="Times New Roman"/>
          <w:sz w:val="24"/>
          <w:szCs w:val="24"/>
        </w:rPr>
        <w:t xml:space="preserve"> requires the Federal Energy Regulatory Commission to ensure that the rates and charges for the wholesale</w:t>
      </w:r>
      <w:r w:rsidR="00B047E2" w:rsidRPr="003804AA">
        <w:rPr>
          <w:rFonts w:ascii="Times New Roman" w:hAnsi="Times New Roman" w:cs="Times New Roman"/>
          <w:sz w:val="24"/>
          <w:szCs w:val="24"/>
        </w:rPr>
        <w:t xml:space="preserve"> sale of electric energy are</w:t>
      </w:r>
      <w:r w:rsidR="00F14038" w:rsidRPr="003804AA">
        <w:rPr>
          <w:rFonts w:ascii="Times New Roman" w:hAnsi="Times New Roman" w:cs="Times New Roman"/>
          <w:sz w:val="24"/>
          <w:szCs w:val="24"/>
        </w:rPr>
        <w:t xml:space="preserve"> just and reasonable.  Section 205 also requires that the rules and regulations affecting or </w:t>
      </w:r>
      <w:r w:rsidR="00F14038" w:rsidRPr="00AD14B6">
        <w:rPr>
          <w:rFonts w:ascii="Times New Roman" w:hAnsi="Times New Roman" w:cs="Times New Roman"/>
          <w:sz w:val="24"/>
          <w:szCs w:val="24"/>
        </w:rPr>
        <w:t xml:space="preserve">pertaining to the rates and charges for the wholesale sale of electric energy be just and reasonable.  </w:t>
      </w:r>
    </w:p>
    <w:p w14:paraId="78A2940A" w14:textId="77777777" w:rsidR="00307830" w:rsidRPr="00214798" w:rsidRDefault="00307830" w:rsidP="00F14038">
      <w:pPr>
        <w:spacing w:after="0"/>
        <w:rPr>
          <w:rFonts w:ascii="Times New Roman" w:hAnsi="Times New Roman" w:cs="Times New Roman"/>
          <w:sz w:val="24"/>
          <w:szCs w:val="24"/>
        </w:rPr>
      </w:pPr>
    </w:p>
    <w:p w14:paraId="71C349BE" w14:textId="1403ABB0" w:rsidR="00F80112" w:rsidRPr="00843A92" w:rsidRDefault="00F80112" w:rsidP="00286C9B">
      <w:pPr>
        <w:spacing w:after="0"/>
        <w:rPr>
          <w:rFonts w:ascii="Times New Roman" w:eastAsia="Times New Roman" w:hAnsi="Times New Roman" w:cs="Times New Roman"/>
          <w:sz w:val="24"/>
          <w:szCs w:val="24"/>
        </w:rPr>
      </w:pPr>
      <w:r w:rsidRPr="00214798">
        <w:rPr>
          <w:rFonts w:ascii="Times New Roman" w:hAnsi="Times New Roman" w:cs="Times New Roman"/>
          <w:b/>
          <w:sz w:val="24"/>
          <w:szCs w:val="24"/>
        </w:rPr>
        <w:t xml:space="preserve">FERC-920.  </w:t>
      </w:r>
      <w:r w:rsidR="00137CA8" w:rsidRPr="00843A92">
        <w:rPr>
          <w:rFonts w:ascii="Times New Roman" w:eastAsia="Times New Roman" w:hAnsi="Times New Roman" w:cs="Times New Roman"/>
          <w:sz w:val="24"/>
          <w:szCs w:val="24"/>
        </w:rPr>
        <w:t>FERC</w:t>
      </w:r>
      <w:r w:rsidRPr="00843A92">
        <w:rPr>
          <w:rFonts w:ascii="Times New Roman" w:eastAsia="Times New Roman" w:hAnsi="Times New Roman" w:cs="Times New Roman"/>
          <w:sz w:val="24"/>
          <w:szCs w:val="24"/>
        </w:rPr>
        <w:t xml:space="preserve"> set forth the EQR filing requirements in Order No. 2001</w:t>
      </w:r>
      <w:r w:rsidRPr="00843A92">
        <w:rPr>
          <w:rFonts w:ascii="Times New Roman" w:eastAsia="Times New Roman" w:hAnsi="Times New Roman" w:cs="Times New Roman"/>
          <w:sz w:val="24"/>
          <w:szCs w:val="24"/>
          <w:vertAlign w:val="superscript"/>
        </w:rPr>
        <w:footnoteReference w:id="4"/>
      </w:r>
      <w:r w:rsidRPr="00843A92">
        <w:rPr>
          <w:rFonts w:ascii="Times New Roman" w:eastAsia="Times New Roman" w:hAnsi="Times New Roman" w:cs="Times New Roman"/>
          <w:sz w:val="24"/>
          <w:szCs w:val="24"/>
        </w:rPr>
        <w:t xml:space="preserve"> </w:t>
      </w:r>
      <w:r w:rsidR="00137CA8" w:rsidRPr="00843A92">
        <w:rPr>
          <w:rFonts w:ascii="Times New Roman" w:eastAsia="Times New Roman" w:hAnsi="Times New Roman" w:cs="Times New Roman"/>
          <w:sz w:val="24"/>
          <w:szCs w:val="24"/>
        </w:rPr>
        <w:t>which</w:t>
      </w:r>
      <w:r w:rsidRPr="00843A92">
        <w:rPr>
          <w:rFonts w:ascii="Times New Roman" w:eastAsia="Times New Roman" w:hAnsi="Times New Roman" w:cs="Times New Roman"/>
          <w:sz w:val="24"/>
          <w:szCs w:val="24"/>
        </w:rPr>
        <w:t xml:space="preserve"> requires public utilities to electronically file EQRs summarizing transaction information for short-term and long-term cost-based sales and market-based rate sales and the contractual terms and conditions in their agreements for all jurisdictional services.  </w:t>
      </w:r>
      <w:r w:rsidR="00137CA8" w:rsidRPr="00843A92">
        <w:rPr>
          <w:rFonts w:ascii="Times New Roman" w:eastAsia="Times New Roman" w:hAnsi="Times New Roman" w:cs="Times New Roman"/>
          <w:sz w:val="24"/>
          <w:szCs w:val="24"/>
        </w:rPr>
        <w:t>FERC</w:t>
      </w:r>
      <w:r w:rsidRPr="00843A92">
        <w:rPr>
          <w:rFonts w:ascii="Times New Roman" w:eastAsia="Times New Roman" w:hAnsi="Times New Roman" w:cs="Times New Roman"/>
          <w:sz w:val="24"/>
          <w:szCs w:val="24"/>
        </w:rPr>
        <w:t xml:space="preserve"> established the EQR </w:t>
      </w:r>
      <w:r w:rsidRPr="00843A92">
        <w:rPr>
          <w:rFonts w:ascii="Times New Roman" w:eastAsia="Times New Roman" w:hAnsi="Times New Roman" w:cs="Times New Roman"/>
          <w:sz w:val="24"/>
          <w:szCs w:val="24"/>
        </w:rPr>
        <w:lastRenderedPageBreak/>
        <w:t xml:space="preserve">reporting requirements to </w:t>
      </w:r>
      <w:r w:rsidR="00137CA8" w:rsidRPr="00843A92">
        <w:rPr>
          <w:rFonts w:ascii="Times New Roman" w:eastAsia="Times New Roman" w:hAnsi="Times New Roman" w:cs="Times New Roman"/>
          <w:sz w:val="24"/>
          <w:szCs w:val="24"/>
        </w:rPr>
        <w:t>obtain data</w:t>
      </w:r>
      <w:r w:rsidRPr="00843A92">
        <w:rPr>
          <w:rFonts w:ascii="Times New Roman" w:eastAsia="Times New Roman" w:hAnsi="Times New Roman" w:cs="Times New Roman"/>
          <w:sz w:val="24"/>
          <w:szCs w:val="24"/>
        </w:rPr>
        <w:t xml:space="preserve"> needed to perform its regulatory functions over transmission and sales while making data more useful to the public and allowing public utilities to better fulfill their responsibility under FPA Section 205(c) to have rates on file in a convenient form and place.   As noted in Order No. 2001, the EQR data is designed to “provide greater price transparency, promote competition, enhance confidence in the fairness of the markets, and provide a better means to detect and discourage discriminatory practices.” </w:t>
      </w:r>
    </w:p>
    <w:p w14:paraId="6FBC90FB" w14:textId="77777777" w:rsidR="00EB3E6F" w:rsidRPr="00EB3E6F" w:rsidRDefault="00EB3E6F" w:rsidP="00EB3E6F">
      <w:pPr>
        <w:spacing w:after="0"/>
        <w:rPr>
          <w:rFonts w:ascii="Times New Roman" w:hAnsi="Times New Roman" w:cs="Times New Roman"/>
          <w:sz w:val="24"/>
          <w:szCs w:val="24"/>
        </w:rPr>
      </w:pPr>
    </w:p>
    <w:p w14:paraId="6FBC90FC" w14:textId="77777777"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14:paraId="6FBC90FD" w14:textId="77777777" w:rsidR="00EB3E6F" w:rsidRDefault="00EB3E6F" w:rsidP="00EB3E6F">
      <w:pPr>
        <w:spacing w:after="0"/>
        <w:rPr>
          <w:rFonts w:ascii="Times New Roman" w:hAnsi="Times New Roman" w:cs="Times New Roman"/>
          <w:sz w:val="24"/>
          <w:szCs w:val="24"/>
        </w:rPr>
      </w:pPr>
    </w:p>
    <w:p w14:paraId="43223228" w14:textId="149BAE0B" w:rsidR="004276A5" w:rsidRDefault="004276A5" w:rsidP="004276A5">
      <w:pPr>
        <w:spacing w:after="0"/>
        <w:rPr>
          <w:rFonts w:ascii="Times New Roman" w:hAnsi="Times New Roman" w:cs="Times New Roman"/>
          <w:sz w:val="24"/>
          <w:szCs w:val="24"/>
        </w:rPr>
      </w:pPr>
      <w:r w:rsidRPr="004276A5">
        <w:rPr>
          <w:rFonts w:ascii="Times New Roman" w:hAnsi="Times New Roman" w:cs="Times New Roman"/>
          <w:b/>
          <w:sz w:val="24"/>
          <w:szCs w:val="24"/>
        </w:rPr>
        <w:t>FERC-516</w:t>
      </w:r>
      <w:r w:rsidRPr="004276A5">
        <w:rPr>
          <w:rFonts w:ascii="Times New Roman" w:hAnsi="Times New Roman" w:cs="Times New Roman"/>
          <w:sz w:val="24"/>
          <w:szCs w:val="24"/>
        </w:rPr>
        <w:t xml:space="preserve">.  The </w:t>
      </w:r>
      <w:r w:rsidR="007F2F2F">
        <w:rPr>
          <w:rFonts w:ascii="Times New Roman" w:hAnsi="Times New Roman" w:cs="Times New Roman"/>
          <w:sz w:val="24"/>
          <w:szCs w:val="24"/>
        </w:rPr>
        <w:t>NOPR</w:t>
      </w:r>
      <w:r w:rsidR="00155FCD">
        <w:rPr>
          <w:rFonts w:ascii="Times New Roman" w:hAnsi="Times New Roman" w:cs="Times New Roman"/>
          <w:sz w:val="24"/>
          <w:szCs w:val="24"/>
        </w:rPr>
        <w:t xml:space="preserve"> proposes to</w:t>
      </w:r>
      <w:r w:rsidRPr="004276A5">
        <w:rPr>
          <w:rFonts w:ascii="Times New Roman" w:hAnsi="Times New Roman" w:cs="Times New Roman"/>
          <w:sz w:val="24"/>
          <w:szCs w:val="24"/>
        </w:rPr>
        <w:t xml:space="preserve"> </w:t>
      </w:r>
      <w:r w:rsidR="00155FCD" w:rsidRPr="00155FCD">
        <w:rPr>
          <w:rFonts w:ascii="Times New Roman" w:hAnsi="Times New Roman" w:cs="Times New Roman"/>
          <w:sz w:val="24"/>
          <w:szCs w:val="24"/>
        </w:rPr>
        <w:t>permit the sale of primary frequency response service at market-based rates by sellers with market-based rate authority for energy and capacity.</w:t>
      </w:r>
      <w:r w:rsidR="00155FCD">
        <w:rPr>
          <w:rFonts w:ascii="Times New Roman" w:hAnsi="Times New Roman" w:cs="Times New Roman"/>
          <w:sz w:val="24"/>
          <w:szCs w:val="24"/>
        </w:rPr>
        <w:t xml:space="preserve">  As one condition applicable to such sales, and consistent with FPA section 205, sellers must amend their market-based rate tariffs to include primary frequency response service as a product they are authorized to sell, and this minor tariff filing constitutes the one-time FERC-516 burden resulting from this </w:t>
      </w:r>
      <w:r w:rsidR="007F2F2F">
        <w:rPr>
          <w:rFonts w:ascii="Times New Roman" w:hAnsi="Times New Roman" w:cs="Times New Roman"/>
          <w:sz w:val="24"/>
          <w:szCs w:val="24"/>
        </w:rPr>
        <w:t>NOPR</w:t>
      </w:r>
      <w:r w:rsidR="00155FCD">
        <w:rPr>
          <w:rFonts w:ascii="Times New Roman" w:hAnsi="Times New Roman" w:cs="Times New Roman"/>
          <w:sz w:val="24"/>
          <w:szCs w:val="24"/>
        </w:rPr>
        <w:t>.</w:t>
      </w:r>
      <w:r w:rsidRPr="004276A5">
        <w:rPr>
          <w:rFonts w:ascii="Times New Roman" w:hAnsi="Times New Roman" w:cs="Times New Roman"/>
          <w:sz w:val="24"/>
          <w:szCs w:val="24"/>
        </w:rPr>
        <w:t xml:space="preserve">    </w:t>
      </w:r>
    </w:p>
    <w:p w14:paraId="2C2DA9AB" w14:textId="77777777" w:rsidR="0025203F" w:rsidRDefault="0025203F" w:rsidP="004276A5">
      <w:pPr>
        <w:spacing w:after="0"/>
        <w:rPr>
          <w:rFonts w:ascii="Times New Roman" w:hAnsi="Times New Roman" w:cs="Times New Roman"/>
          <w:sz w:val="24"/>
          <w:szCs w:val="24"/>
        </w:rPr>
      </w:pPr>
    </w:p>
    <w:p w14:paraId="6ED2BCA4" w14:textId="3370A6A0" w:rsidR="0025203F" w:rsidRPr="0025203F" w:rsidRDefault="0025203F" w:rsidP="004276A5">
      <w:pPr>
        <w:spacing w:after="0"/>
        <w:rPr>
          <w:rFonts w:ascii="Times New Roman" w:hAnsi="Times New Roman" w:cs="Times New Roman"/>
          <w:sz w:val="24"/>
          <w:szCs w:val="24"/>
        </w:rPr>
      </w:pPr>
      <w:r>
        <w:rPr>
          <w:rFonts w:ascii="Times New Roman" w:hAnsi="Times New Roman" w:cs="Times New Roman"/>
          <w:b/>
          <w:sz w:val="24"/>
          <w:szCs w:val="24"/>
        </w:rPr>
        <w:t xml:space="preserve">FERC-920.  </w:t>
      </w:r>
      <w:r w:rsidRPr="0025203F">
        <w:rPr>
          <w:rFonts w:ascii="Times New Roman" w:hAnsi="Times New Roman" w:cs="Times New Roman"/>
          <w:sz w:val="24"/>
          <w:szCs w:val="24"/>
        </w:rPr>
        <w:t>The data filed in the EQR strengthens the Commission’s ability to exercise its wholesale electric rate and electric power transmission oversight and enforcement responsibilities in accordance with the Federal Power Act. The Ninth Circuit Court of Appeals has held that the ability to perform an ex post analysis of whether a seller with market-based rate authority has obtained excessive market share since it was granted authorization to transact at market-based rates is a necessary element in determining whether the Commission’s market-based regulatory regime fulfills the requirement for the Federal Power Act.  The Court upheld the Commission’s market-based rate regulatory scheme because it relies on a “system [that] consists of a finding that the applicant lacks market power (or has taken sufficient steps to mitigate market power), coupled with strict reporting requirements to ensure that the rate is ‘just and reasonable’ and that markets are not subject to manipulation.”   The EQR constitutes the strict reporting requirements that helps differentiate the Commission’s market based rate program from impermissible market deregulation.</w:t>
      </w:r>
      <w:r w:rsidR="007F2F2F">
        <w:rPr>
          <w:rFonts w:ascii="Times New Roman" w:hAnsi="Times New Roman" w:cs="Times New Roman"/>
          <w:sz w:val="24"/>
          <w:szCs w:val="24"/>
        </w:rPr>
        <w:t xml:space="preserve">  As relevant to this NOPR, any sales of primary frequency response service at wholesale must be reported in the EQR for the same reasons discussed above.</w:t>
      </w:r>
    </w:p>
    <w:p w14:paraId="25B3E15D" w14:textId="77777777" w:rsidR="004276A5" w:rsidRPr="00EB3E6F" w:rsidRDefault="004276A5" w:rsidP="004276A5">
      <w:pPr>
        <w:spacing w:after="0"/>
        <w:rPr>
          <w:rFonts w:ascii="Times New Roman" w:hAnsi="Times New Roman" w:cs="Times New Roman"/>
          <w:sz w:val="24"/>
          <w:szCs w:val="24"/>
        </w:rPr>
      </w:pPr>
    </w:p>
    <w:p w14:paraId="6FBC90FF"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14:paraId="6FBC9100" w14:textId="77777777" w:rsidR="00EB3E6F" w:rsidRDefault="00EB3E6F" w:rsidP="00EB3E6F">
      <w:pPr>
        <w:spacing w:after="0"/>
        <w:rPr>
          <w:rFonts w:ascii="Times New Roman" w:hAnsi="Times New Roman" w:cs="Times New Roman"/>
          <w:sz w:val="24"/>
          <w:szCs w:val="24"/>
        </w:rPr>
      </w:pPr>
    </w:p>
    <w:p w14:paraId="6FBC9101" w14:textId="28EFAE10" w:rsidR="00EB3E6F" w:rsidRDefault="0025203F" w:rsidP="00EB3E6F">
      <w:pPr>
        <w:spacing w:after="0"/>
        <w:rPr>
          <w:rFonts w:ascii="Times New Roman" w:hAnsi="Times New Roman" w:cs="Times New Roman"/>
          <w:sz w:val="24"/>
          <w:szCs w:val="24"/>
        </w:rPr>
      </w:pPr>
      <w:r w:rsidRPr="004D7DA8">
        <w:rPr>
          <w:rFonts w:ascii="Times New Roman" w:hAnsi="Times New Roman" w:cs="Times New Roman"/>
          <w:b/>
          <w:sz w:val="24"/>
          <w:szCs w:val="24"/>
        </w:rPr>
        <w:t xml:space="preserve">FERC-516.  </w:t>
      </w:r>
      <w:r>
        <w:rPr>
          <w:rFonts w:ascii="Times New Roman" w:hAnsi="Times New Roman" w:cs="Times New Roman"/>
          <w:sz w:val="24"/>
          <w:szCs w:val="24"/>
        </w:rPr>
        <w:t>FERC</w:t>
      </w:r>
      <w:r w:rsidR="004D7DA8">
        <w:rPr>
          <w:rFonts w:ascii="Times New Roman" w:hAnsi="Times New Roman" w:cs="Times New Roman"/>
          <w:sz w:val="24"/>
          <w:szCs w:val="24"/>
        </w:rPr>
        <w:t xml:space="preserve"> </w:t>
      </w:r>
      <w:r w:rsidR="00466C57" w:rsidRPr="00466C57">
        <w:rPr>
          <w:rFonts w:ascii="Times New Roman" w:hAnsi="Times New Roman" w:cs="Times New Roman"/>
          <w:sz w:val="24"/>
          <w:szCs w:val="24"/>
        </w:rPr>
        <w:t>implement</w:t>
      </w:r>
      <w:r>
        <w:rPr>
          <w:rFonts w:ascii="Times New Roman" w:hAnsi="Times New Roman" w:cs="Times New Roman"/>
          <w:sz w:val="24"/>
          <w:szCs w:val="24"/>
        </w:rPr>
        <w:t>ed</w:t>
      </w:r>
      <w:r w:rsidR="004D7DA8">
        <w:rPr>
          <w:rFonts w:ascii="Times New Roman" w:hAnsi="Times New Roman" w:cs="Times New Roman"/>
          <w:sz w:val="24"/>
          <w:szCs w:val="24"/>
        </w:rPr>
        <w:t xml:space="preserve"> </w:t>
      </w:r>
      <w:r>
        <w:rPr>
          <w:rFonts w:ascii="Times New Roman" w:hAnsi="Times New Roman" w:cs="Times New Roman"/>
          <w:sz w:val="24"/>
          <w:szCs w:val="24"/>
        </w:rPr>
        <w:t>its</w:t>
      </w:r>
      <w:r w:rsidR="00466C57" w:rsidRPr="00466C57">
        <w:rPr>
          <w:rFonts w:ascii="Times New Roman" w:hAnsi="Times New Roman" w:cs="Times New Roman"/>
          <w:sz w:val="24"/>
          <w:szCs w:val="24"/>
        </w:rPr>
        <w:t xml:space="preserve"> eTariff system (fully implemented in 2010) for the electronic filing of tariffs.  </w:t>
      </w:r>
    </w:p>
    <w:p w14:paraId="18289738" w14:textId="77777777" w:rsidR="0025203F" w:rsidRDefault="0025203F" w:rsidP="00EB3E6F">
      <w:pPr>
        <w:spacing w:after="0"/>
        <w:rPr>
          <w:rFonts w:ascii="Times New Roman" w:hAnsi="Times New Roman" w:cs="Times New Roman"/>
          <w:sz w:val="24"/>
          <w:szCs w:val="24"/>
        </w:rPr>
      </w:pPr>
    </w:p>
    <w:p w14:paraId="683DFB6F" w14:textId="4DF35463" w:rsidR="0025203F" w:rsidRPr="004D7DA8" w:rsidRDefault="004D7DA8" w:rsidP="00EB3E6F">
      <w:pPr>
        <w:spacing w:after="0"/>
        <w:rPr>
          <w:rFonts w:ascii="Times New Roman" w:hAnsi="Times New Roman" w:cs="Times New Roman"/>
          <w:sz w:val="24"/>
          <w:szCs w:val="24"/>
        </w:rPr>
      </w:pPr>
      <w:r>
        <w:rPr>
          <w:rFonts w:ascii="Times New Roman" w:hAnsi="Times New Roman" w:cs="Times New Roman"/>
          <w:b/>
          <w:sz w:val="24"/>
          <w:szCs w:val="24"/>
        </w:rPr>
        <w:t xml:space="preserve">FERC-920.  </w:t>
      </w:r>
      <w:r>
        <w:rPr>
          <w:rFonts w:ascii="Times New Roman" w:hAnsi="Times New Roman" w:cs="Times New Roman"/>
          <w:sz w:val="24"/>
          <w:szCs w:val="24"/>
        </w:rPr>
        <w:t>EQR is also filed electronically.</w:t>
      </w:r>
    </w:p>
    <w:p w14:paraId="0813BD21" w14:textId="77777777" w:rsidR="00466C57" w:rsidRPr="00EB3E6F" w:rsidRDefault="00466C57" w:rsidP="00EB3E6F">
      <w:pPr>
        <w:spacing w:after="0"/>
        <w:rPr>
          <w:rFonts w:ascii="Times New Roman" w:hAnsi="Times New Roman" w:cs="Times New Roman"/>
          <w:sz w:val="24"/>
          <w:szCs w:val="24"/>
        </w:rPr>
      </w:pPr>
    </w:p>
    <w:p w14:paraId="6FBC9102"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6FBC9103" w14:textId="77777777" w:rsidR="00EB3E6F" w:rsidRDefault="00EB3E6F" w:rsidP="00EB3E6F">
      <w:pPr>
        <w:spacing w:after="0"/>
        <w:rPr>
          <w:rFonts w:ascii="Times New Roman" w:hAnsi="Times New Roman" w:cs="Times New Roman"/>
          <w:sz w:val="24"/>
          <w:szCs w:val="24"/>
        </w:rPr>
      </w:pPr>
    </w:p>
    <w:p w14:paraId="6FBC9104" w14:textId="6B7AF0BE" w:rsidR="00EB3E6F" w:rsidRDefault="00466C57" w:rsidP="00EB3E6F">
      <w:pPr>
        <w:spacing w:after="0"/>
        <w:rPr>
          <w:rFonts w:ascii="Times New Roman" w:hAnsi="Times New Roman" w:cs="Times New Roman"/>
          <w:sz w:val="24"/>
          <w:szCs w:val="24"/>
        </w:rPr>
      </w:pPr>
      <w:r w:rsidRPr="00466C57">
        <w:rPr>
          <w:rFonts w:ascii="Times New Roman" w:hAnsi="Times New Roman" w:cs="Times New Roman"/>
          <w:sz w:val="24"/>
          <w:szCs w:val="24"/>
        </w:rPr>
        <w:t xml:space="preserve">FERC rules and data requirements are periodically reviewed in conjunction with OMB clearance expiration dates.  This includes a review of FERC's regulations and data requirements to identify duplication.  The information to be submitted, generated, kept, </w:t>
      </w:r>
      <w:r w:rsidR="001348AC">
        <w:rPr>
          <w:rFonts w:ascii="Times New Roman" w:hAnsi="Times New Roman" w:cs="Times New Roman"/>
          <w:sz w:val="24"/>
          <w:szCs w:val="24"/>
        </w:rPr>
        <w:t xml:space="preserve">or posted, pursuant to this </w:t>
      </w:r>
      <w:r w:rsidR="000F6D3C">
        <w:rPr>
          <w:rFonts w:ascii="Times New Roman" w:hAnsi="Times New Roman" w:cs="Times New Roman"/>
          <w:sz w:val="24"/>
          <w:szCs w:val="24"/>
        </w:rPr>
        <w:t>NOPR</w:t>
      </w:r>
      <w:r w:rsidRPr="00466C57">
        <w:rPr>
          <w:rFonts w:ascii="Times New Roman" w:hAnsi="Times New Roman" w:cs="Times New Roman"/>
          <w:sz w:val="24"/>
          <w:szCs w:val="24"/>
        </w:rPr>
        <w:t xml:space="preserve"> is not readi</w:t>
      </w:r>
      <w:r w:rsidR="001348AC">
        <w:rPr>
          <w:rFonts w:ascii="Times New Roman" w:hAnsi="Times New Roman" w:cs="Times New Roman"/>
          <w:sz w:val="24"/>
          <w:szCs w:val="24"/>
        </w:rPr>
        <w:t>ly available from other</w:t>
      </w:r>
      <w:r w:rsidRPr="00466C57">
        <w:rPr>
          <w:rFonts w:ascii="Times New Roman" w:hAnsi="Times New Roman" w:cs="Times New Roman"/>
          <w:sz w:val="24"/>
          <w:szCs w:val="24"/>
        </w:rPr>
        <w:t>.</w:t>
      </w:r>
    </w:p>
    <w:p w14:paraId="5A806795" w14:textId="77777777" w:rsidR="00466C57" w:rsidRPr="00EB3E6F" w:rsidRDefault="00466C57" w:rsidP="00EB3E6F">
      <w:pPr>
        <w:spacing w:after="0"/>
        <w:rPr>
          <w:rFonts w:ascii="Times New Roman" w:hAnsi="Times New Roman" w:cs="Times New Roman"/>
          <w:sz w:val="24"/>
          <w:szCs w:val="24"/>
        </w:rPr>
      </w:pPr>
    </w:p>
    <w:p w14:paraId="6FBC9105"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14:paraId="6FBC9106" w14:textId="77777777" w:rsidR="00EB3E6F" w:rsidRDefault="00EB3E6F" w:rsidP="00EB3E6F">
      <w:pPr>
        <w:spacing w:after="0"/>
        <w:rPr>
          <w:rFonts w:ascii="Times New Roman" w:hAnsi="Times New Roman" w:cs="Times New Roman"/>
          <w:sz w:val="24"/>
          <w:szCs w:val="24"/>
        </w:rPr>
      </w:pPr>
    </w:p>
    <w:p w14:paraId="35F52013" w14:textId="2A461286" w:rsidR="00C50C77" w:rsidRPr="00C50C77" w:rsidRDefault="00C50C77" w:rsidP="00C50C77">
      <w:pPr>
        <w:spacing w:after="0"/>
        <w:rPr>
          <w:rFonts w:ascii="Times New Roman" w:hAnsi="Times New Roman" w:cs="Times New Roman"/>
          <w:sz w:val="24"/>
          <w:szCs w:val="24"/>
        </w:rPr>
      </w:pPr>
      <w:r w:rsidRPr="00C50C77">
        <w:rPr>
          <w:rFonts w:ascii="Times New Roman" w:hAnsi="Times New Roman" w:cs="Times New Roman"/>
          <w:sz w:val="24"/>
          <w:szCs w:val="24"/>
        </w:rPr>
        <w:t>The Small Business Administration’s (SBA) Office of Size Standards develops the numerical definition of a small business.</w:t>
      </w:r>
      <w:r w:rsidR="00286C9B" w:rsidRPr="00286C9B">
        <w:rPr>
          <w:rStyle w:val="FootnoteReference"/>
          <w:rFonts w:ascii="Times New Roman" w:hAnsi="Times New Roman" w:cs="Times New Roman"/>
          <w:sz w:val="24"/>
          <w:szCs w:val="24"/>
          <w:vertAlign w:val="superscript"/>
        </w:rPr>
        <w:footnoteReference w:id="5"/>
      </w:r>
      <w:r w:rsidRPr="00C50C77">
        <w:rPr>
          <w:rFonts w:ascii="Times New Roman" w:hAnsi="Times New Roman" w:cs="Times New Roman"/>
          <w:sz w:val="24"/>
          <w:szCs w:val="24"/>
        </w:rPr>
        <w:t xml:space="preserve">   The SBA recently revised its size standard for electric utilities (effective January 22, 2014) from a standard based on megawatt hours to a standard based on the number of employees, including affiliates.</w:t>
      </w:r>
      <w:r w:rsidR="00286C9B" w:rsidRPr="00286C9B">
        <w:rPr>
          <w:rStyle w:val="FootnoteReference"/>
          <w:rFonts w:ascii="Times New Roman" w:hAnsi="Times New Roman" w:cs="Times New Roman"/>
          <w:sz w:val="24"/>
          <w:szCs w:val="24"/>
          <w:vertAlign w:val="superscript"/>
        </w:rPr>
        <w:footnoteReference w:id="6"/>
      </w:r>
      <w:r w:rsidRPr="00286C9B">
        <w:rPr>
          <w:rFonts w:ascii="Times New Roman" w:hAnsi="Times New Roman" w:cs="Times New Roman"/>
          <w:sz w:val="24"/>
          <w:szCs w:val="24"/>
          <w:vertAlign w:val="superscript"/>
        </w:rPr>
        <w:t xml:space="preserve"> </w:t>
      </w:r>
      <w:r w:rsidRPr="00C50C77">
        <w:rPr>
          <w:rFonts w:ascii="Times New Roman" w:hAnsi="Times New Roman" w:cs="Times New Roman"/>
          <w:sz w:val="24"/>
          <w:szCs w:val="24"/>
        </w:rPr>
        <w:t xml:space="preserve">  Under SBA’s current size standards, the entities with market-based rates which are affected by this NOPR likely come under the following </w:t>
      </w:r>
      <w:r w:rsidR="00286C9B">
        <w:rPr>
          <w:rFonts w:ascii="Times New Roman" w:hAnsi="Times New Roman" w:cs="Times New Roman"/>
          <w:sz w:val="24"/>
          <w:szCs w:val="24"/>
        </w:rPr>
        <w:t xml:space="preserve">SBA </w:t>
      </w:r>
      <w:r w:rsidRPr="00C50C77">
        <w:rPr>
          <w:rFonts w:ascii="Times New Roman" w:hAnsi="Times New Roman" w:cs="Times New Roman"/>
          <w:sz w:val="24"/>
          <w:szCs w:val="24"/>
        </w:rPr>
        <w:t xml:space="preserve">categories  with the indicated thresholds (in terms of number of employees ):   </w:t>
      </w:r>
    </w:p>
    <w:p w14:paraId="17DC53F1" w14:textId="77777777" w:rsidR="00C50C77" w:rsidRPr="00C50C77" w:rsidRDefault="00C50C77" w:rsidP="00C50C77">
      <w:pPr>
        <w:spacing w:after="0"/>
        <w:rPr>
          <w:rFonts w:ascii="Times New Roman" w:hAnsi="Times New Roman" w:cs="Times New Roman"/>
          <w:sz w:val="24"/>
          <w:szCs w:val="24"/>
        </w:rPr>
      </w:pPr>
      <w:r w:rsidRPr="00C50C77">
        <w:rPr>
          <w:rFonts w:ascii="Times New Roman" w:hAnsi="Times New Roman" w:cs="Times New Roman"/>
          <w:sz w:val="24"/>
          <w:szCs w:val="24"/>
        </w:rPr>
        <w:t>•</w:t>
      </w:r>
      <w:r w:rsidRPr="00C50C77">
        <w:rPr>
          <w:rFonts w:ascii="Times New Roman" w:hAnsi="Times New Roman" w:cs="Times New Roman"/>
          <w:sz w:val="24"/>
          <w:szCs w:val="24"/>
        </w:rPr>
        <w:tab/>
        <w:t>Hydroelectric Power Generation, 500 employees</w:t>
      </w:r>
    </w:p>
    <w:p w14:paraId="7A8D129F" w14:textId="77777777" w:rsidR="00C50C77" w:rsidRPr="00C50C77" w:rsidRDefault="00C50C77" w:rsidP="00C50C77">
      <w:pPr>
        <w:spacing w:after="0"/>
        <w:rPr>
          <w:rFonts w:ascii="Times New Roman" w:hAnsi="Times New Roman" w:cs="Times New Roman"/>
          <w:sz w:val="24"/>
          <w:szCs w:val="24"/>
        </w:rPr>
      </w:pPr>
      <w:r w:rsidRPr="00C50C77">
        <w:rPr>
          <w:rFonts w:ascii="Times New Roman" w:hAnsi="Times New Roman" w:cs="Times New Roman"/>
          <w:sz w:val="24"/>
          <w:szCs w:val="24"/>
        </w:rPr>
        <w:t>•</w:t>
      </w:r>
      <w:r w:rsidRPr="00C50C77">
        <w:rPr>
          <w:rFonts w:ascii="Times New Roman" w:hAnsi="Times New Roman" w:cs="Times New Roman"/>
          <w:sz w:val="24"/>
          <w:szCs w:val="24"/>
        </w:rPr>
        <w:tab/>
        <w:t>Fossil Fuel Electric Power Generation, 750 employees</w:t>
      </w:r>
    </w:p>
    <w:p w14:paraId="1110684F" w14:textId="77777777" w:rsidR="00C50C77" w:rsidRPr="00C50C77" w:rsidRDefault="00C50C77" w:rsidP="00C50C77">
      <w:pPr>
        <w:spacing w:after="0"/>
        <w:rPr>
          <w:rFonts w:ascii="Times New Roman" w:hAnsi="Times New Roman" w:cs="Times New Roman"/>
          <w:sz w:val="24"/>
          <w:szCs w:val="24"/>
        </w:rPr>
      </w:pPr>
      <w:r w:rsidRPr="00C50C77">
        <w:rPr>
          <w:rFonts w:ascii="Times New Roman" w:hAnsi="Times New Roman" w:cs="Times New Roman"/>
          <w:sz w:val="24"/>
          <w:szCs w:val="24"/>
        </w:rPr>
        <w:t>•</w:t>
      </w:r>
      <w:r w:rsidRPr="00C50C77">
        <w:rPr>
          <w:rFonts w:ascii="Times New Roman" w:hAnsi="Times New Roman" w:cs="Times New Roman"/>
          <w:sz w:val="24"/>
          <w:szCs w:val="24"/>
        </w:rPr>
        <w:tab/>
        <w:t>Nuclear Electric Power Generation, 750 employees</w:t>
      </w:r>
    </w:p>
    <w:p w14:paraId="3D7E4CA1" w14:textId="77777777" w:rsidR="00C50C77" w:rsidRPr="00C50C77" w:rsidRDefault="00C50C77" w:rsidP="00C50C77">
      <w:pPr>
        <w:spacing w:after="0"/>
        <w:rPr>
          <w:rFonts w:ascii="Times New Roman" w:hAnsi="Times New Roman" w:cs="Times New Roman"/>
          <w:sz w:val="24"/>
          <w:szCs w:val="24"/>
        </w:rPr>
      </w:pPr>
      <w:r w:rsidRPr="00C50C77">
        <w:rPr>
          <w:rFonts w:ascii="Times New Roman" w:hAnsi="Times New Roman" w:cs="Times New Roman"/>
          <w:sz w:val="24"/>
          <w:szCs w:val="24"/>
        </w:rPr>
        <w:t>•</w:t>
      </w:r>
      <w:r w:rsidRPr="00C50C77">
        <w:rPr>
          <w:rFonts w:ascii="Times New Roman" w:hAnsi="Times New Roman" w:cs="Times New Roman"/>
          <w:sz w:val="24"/>
          <w:szCs w:val="24"/>
        </w:rPr>
        <w:tab/>
        <w:t>Solar Electric Power Generation, 250 employees</w:t>
      </w:r>
    </w:p>
    <w:p w14:paraId="314EA397" w14:textId="77777777" w:rsidR="00C50C77" w:rsidRPr="00C50C77" w:rsidRDefault="00C50C77" w:rsidP="00C50C77">
      <w:pPr>
        <w:spacing w:after="0"/>
        <w:rPr>
          <w:rFonts w:ascii="Times New Roman" w:hAnsi="Times New Roman" w:cs="Times New Roman"/>
          <w:sz w:val="24"/>
          <w:szCs w:val="24"/>
        </w:rPr>
      </w:pPr>
      <w:r w:rsidRPr="00C50C77">
        <w:rPr>
          <w:rFonts w:ascii="Times New Roman" w:hAnsi="Times New Roman" w:cs="Times New Roman"/>
          <w:sz w:val="24"/>
          <w:szCs w:val="24"/>
        </w:rPr>
        <w:t>•</w:t>
      </w:r>
      <w:r w:rsidRPr="00C50C77">
        <w:rPr>
          <w:rFonts w:ascii="Times New Roman" w:hAnsi="Times New Roman" w:cs="Times New Roman"/>
          <w:sz w:val="24"/>
          <w:szCs w:val="24"/>
        </w:rPr>
        <w:tab/>
        <w:t>Wind Electric Power Generation, 250 employees</w:t>
      </w:r>
    </w:p>
    <w:p w14:paraId="30E6AF4C" w14:textId="77777777" w:rsidR="00C50C77" w:rsidRPr="00C50C77" w:rsidRDefault="00C50C77" w:rsidP="00C50C77">
      <w:pPr>
        <w:spacing w:after="0"/>
        <w:rPr>
          <w:rFonts w:ascii="Times New Roman" w:hAnsi="Times New Roman" w:cs="Times New Roman"/>
          <w:sz w:val="24"/>
          <w:szCs w:val="24"/>
        </w:rPr>
      </w:pPr>
      <w:r w:rsidRPr="00C50C77">
        <w:rPr>
          <w:rFonts w:ascii="Times New Roman" w:hAnsi="Times New Roman" w:cs="Times New Roman"/>
          <w:sz w:val="24"/>
          <w:szCs w:val="24"/>
        </w:rPr>
        <w:t>•</w:t>
      </w:r>
      <w:r w:rsidRPr="00C50C77">
        <w:rPr>
          <w:rFonts w:ascii="Times New Roman" w:hAnsi="Times New Roman" w:cs="Times New Roman"/>
          <w:sz w:val="24"/>
          <w:szCs w:val="24"/>
        </w:rPr>
        <w:tab/>
        <w:t>Geothermal Electric Power Generation, 250 employees</w:t>
      </w:r>
    </w:p>
    <w:p w14:paraId="1CDFCF7A" w14:textId="77777777" w:rsidR="00C50C77" w:rsidRPr="00C50C77" w:rsidRDefault="00C50C77" w:rsidP="00C50C77">
      <w:pPr>
        <w:spacing w:after="0"/>
        <w:rPr>
          <w:rFonts w:ascii="Times New Roman" w:hAnsi="Times New Roman" w:cs="Times New Roman"/>
          <w:sz w:val="24"/>
          <w:szCs w:val="24"/>
        </w:rPr>
      </w:pPr>
      <w:r w:rsidRPr="00C50C77">
        <w:rPr>
          <w:rFonts w:ascii="Times New Roman" w:hAnsi="Times New Roman" w:cs="Times New Roman"/>
          <w:sz w:val="24"/>
          <w:szCs w:val="24"/>
        </w:rPr>
        <w:t>•</w:t>
      </w:r>
      <w:r w:rsidRPr="00C50C77">
        <w:rPr>
          <w:rFonts w:ascii="Times New Roman" w:hAnsi="Times New Roman" w:cs="Times New Roman"/>
          <w:sz w:val="24"/>
          <w:szCs w:val="24"/>
        </w:rPr>
        <w:tab/>
        <w:t>Biomass Electric Power Generation, 250 employees</w:t>
      </w:r>
    </w:p>
    <w:p w14:paraId="51273F21" w14:textId="77777777" w:rsidR="00C50C77" w:rsidRPr="00C50C77" w:rsidRDefault="00C50C77" w:rsidP="00C50C77">
      <w:pPr>
        <w:spacing w:after="0"/>
        <w:rPr>
          <w:rFonts w:ascii="Times New Roman" w:hAnsi="Times New Roman" w:cs="Times New Roman"/>
          <w:sz w:val="24"/>
          <w:szCs w:val="24"/>
        </w:rPr>
      </w:pPr>
      <w:r w:rsidRPr="00C50C77">
        <w:rPr>
          <w:rFonts w:ascii="Times New Roman" w:hAnsi="Times New Roman" w:cs="Times New Roman"/>
          <w:sz w:val="24"/>
          <w:szCs w:val="24"/>
        </w:rPr>
        <w:t>•</w:t>
      </w:r>
      <w:r w:rsidRPr="00C50C77">
        <w:rPr>
          <w:rFonts w:ascii="Times New Roman" w:hAnsi="Times New Roman" w:cs="Times New Roman"/>
          <w:sz w:val="24"/>
          <w:szCs w:val="24"/>
        </w:rPr>
        <w:tab/>
        <w:t>Other Electric Power Generation, 250 employees.</w:t>
      </w:r>
    </w:p>
    <w:p w14:paraId="7CBD3F3C" w14:textId="77777777" w:rsidR="00C50C77" w:rsidRDefault="00C50C77" w:rsidP="00C50C77">
      <w:pPr>
        <w:spacing w:after="0"/>
        <w:rPr>
          <w:rFonts w:ascii="Times New Roman" w:hAnsi="Times New Roman" w:cs="Times New Roman"/>
          <w:sz w:val="24"/>
          <w:szCs w:val="24"/>
        </w:rPr>
      </w:pPr>
    </w:p>
    <w:p w14:paraId="69ADBD96" w14:textId="3986A037" w:rsidR="00C50C77" w:rsidRPr="00C50C77" w:rsidRDefault="00C50C77" w:rsidP="00C50C77">
      <w:pPr>
        <w:spacing w:after="0"/>
        <w:rPr>
          <w:rFonts w:ascii="Times New Roman" w:hAnsi="Times New Roman" w:cs="Times New Roman"/>
          <w:sz w:val="24"/>
          <w:szCs w:val="24"/>
        </w:rPr>
      </w:pPr>
      <w:r w:rsidRPr="00C50C77">
        <w:rPr>
          <w:rFonts w:ascii="Times New Roman" w:hAnsi="Times New Roman" w:cs="Times New Roman"/>
          <w:sz w:val="24"/>
          <w:szCs w:val="24"/>
        </w:rPr>
        <w:t xml:space="preserve">The categories for the applicable entities have a size threshold ranging from 250 employees to 750 employees.  For the analysis in this proposed rule, we are using the threshold of 750 employees for all categories.  We anticipate that a maximum of 82 percent of the entities potentially affected by this NOPR are small.   In addition, we expect that not all of those entities will be able to or will choose to offer primary frequency response service. </w:t>
      </w:r>
    </w:p>
    <w:p w14:paraId="179A146B" w14:textId="77777777" w:rsidR="00C50C77" w:rsidRDefault="00C50C77" w:rsidP="00C50C77">
      <w:pPr>
        <w:spacing w:after="0"/>
        <w:rPr>
          <w:rFonts w:ascii="Times New Roman" w:hAnsi="Times New Roman" w:cs="Times New Roman"/>
          <w:sz w:val="24"/>
          <w:szCs w:val="24"/>
        </w:rPr>
      </w:pPr>
    </w:p>
    <w:p w14:paraId="5D845E01" w14:textId="6DCF014A" w:rsidR="00C50C77" w:rsidRDefault="00C50C77" w:rsidP="00C50C7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We </w:t>
      </w:r>
      <w:r w:rsidRPr="00C50C77">
        <w:rPr>
          <w:rFonts w:ascii="Times New Roman" w:hAnsi="Times New Roman" w:cs="Times New Roman"/>
          <w:sz w:val="24"/>
          <w:szCs w:val="24"/>
        </w:rPr>
        <w:t xml:space="preserve">expect a one-time </w:t>
      </w:r>
      <w:r>
        <w:rPr>
          <w:rFonts w:ascii="Times New Roman" w:hAnsi="Times New Roman" w:cs="Times New Roman"/>
          <w:sz w:val="24"/>
          <w:szCs w:val="24"/>
        </w:rPr>
        <w:t xml:space="preserve">burden </w:t>
      </w:r>
      <w:r w:rsidRPr="00C50C77">
        <w:rPr>
          <w:rFonts w:ascii="Times New Roman" w:hAnsi="Times New Roman" w:cs="Times New Roman"/>
          <w:sz w:val="24"/>
          <w:szCs w:val="24"/>
        </w:rPr>
        <w:t xml:space="preserve">cost of $576 (including the burden cost related to filing both the </w:t>
      </w:r>
      <w:r w:rsidR="00286C9B">
        <w:rPr>
          <w:rFonts w:ascii="Times New Roman" w:hAnsi="Times New Roman" w:cs="Times New Roman"/>
          <w:sz w:val="24"/>
          <w:szCs w:val="24"/>
        </w:rPr>
        <w:t>FERC-516 and FERC-920</w:t>
      </w:r>
      <w:r w:rsidRPr="00C50C77">
        <w:rPr>
          <w:rFonts w:ascii="Times New Roman" w:hAnsi="Times New Roman" w:cs="Times New Roman"/>
          <w:sz w:val="24"/>
          <w:szCs w:val="24"/>
        </w:rPr>
        <w:t xml:space="preserve">) for each entity that decides to offer primary frequency response service.  </w:t>
      </w:r>
    </w:p>
    <w:p w14:paraId="29FE2992" w14:textId="77777777" w:rsidR="00C50C77" w:rsidRDefault="00C50C77" w:rsidP="00C50C77">
      <w:pPr>
        <w:spacing w:after="0"/>
        <w:rPr>
          <w:rFonts w:ascii="Times New Roman" w:hAnsi="Times New Roman" w:cs="Times New Roman"/>
          <w:sz w:val="24"/>
          <w:szCs w:val="24"/>
        </w:rPr>
      </w:pPr>
    </w:p>
    <w:p w14:paraId="6FBC9107" w14:textId="3A1746A6" w:rsidR="00EB3E6F" w:rsidRDefault="001348AC" w:rsidP="00C50C77">
      <w:pPr>
        <w:spacing w:after="0"/>
        <w:rPr>
          <w:rFonts w:ascii="Times New Roman" w:hAnsi="Times New Roman" w:cs="Times New Roman"/>
          <w:sz w:val="24"/>
          <w:szCs w:val="24"/>
        </w:rPr>
      </w:pPr>
      <w:r w:rsidRPr="001348AC">
        <w:rPr>
          <w:rFonts w:ascii="Times New Roman" w:hAnsi="Times New Roman" w:cs="Times New Roman"/>
          <w:sz w:val="24"/>
          <w:szCs w:val="24"/>
        </w:rPr>
        <w:t>The Commission does consider waivers for small entities, which serves as an option for small entities to reduce their burden.  The Commission grants these waivers on a case-by-case basis.</w:t>
      </w:r>
    </w:p>
    <w:p w14:paraId="3FD57A77" w14:textId="77777777" w:rsidR="001348AC" w:rsidRPr="00EB3E6F" w:rsidRDefault="001348AC" w:rsidP="00EB3E6F">
      <w:pPr>
        <w:spacing w:after="0"/>
        <w:rPr>
          <w:rFonts w:ascii="Times New Roman" w:hAnsi="Times New Roman" w:cs="Times New Roman"/>
          <w:sz w:val="24"/>
          <w:szCs w:val="24"/>
        </w:rPr>
      </w:pPr>
    </w:p>
    <w:p w14:paraId="6FBC9108"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51BFF2F1" w14:textId="77777777" w:rsidR="008352B4" w:rsidRDefault="008352B4" w:rsidP="00EB3E6F">
      <w:pPr>
        <w:spacing w:after="0"/>
        <w:rPr>
          <w:rFonts w:ascii="Times New Roman" w:hAnsi="Times New Roman" w:cs="Times New Roman"/>
          <w:b/>
          <w:sz w:val="24"/>
          <w:szCs w:val="24"/>
        </w:rPr>
      </w:pPr>
    </w:p>
    <w:p w14:paraId="7387359C" w14:textId="03B51EAC" w:rsidR="00F95A9B" w:rsidRPr="00286C9B" w:rsidRDefault="00F95A9B" w:rsidP="00F95A9B">
      <w:pPr>
        <w:spacing w:after="0"/>
        <w:rPr>
          <w:rFonts w:ascii="Times New Roman" w:hAnsi="Times New Roman" w:cs="Times New Roman"/>
          <w:sz w:val="24"/>
          <w:szCs w:val="24"/>
        </w:rPr>
      </w:pPr>
      <w:r>
        <w:rPr>
          <w:rFonts w:ascii="Times New Roman" w:hAnsi="Times New Roman" w:cs="Times New Roman"/>
          <w:b/>
          <w:sz w:val="24"/>
          <w:szCs w:val="24"/>
        </w:rPr>
        <w:t xml:space="preserve">FERC-516.  </w:t>
      </w:r>
      <w:r w:rsidRPr="00286C9B">
        <w:rPr>
          <w:rFonts w:ascii="Times New Roman" w:hAnsi="Times New Roman" w:cs="Times New Roman"/>
          <w:sz w:val="24"/>
          <w:szCs w:val="24"/>
        </w:rPr>
        <w:t xml:space="preserve">FERC requires this information (much of which is unaffected by this NOPR) in order to perform its mandated oversight and review responsibilities with respect to electric market-based rates being just and reasonable.  Without this information, the Commission would be unable to meet its statutory responsibility under Section 205 of the FPA to ensure electric utility rates and tariffs are just and reasonable.  Failing to meet this responsibility </w:t>
      </w:r>
      <w:r w:rsidR="007F2F2F">
        <w:rPr>
          <w:rFonts w:ascii="Times New Roman" w:hAnsi="Times New Roman" w:cs="Times New Roman"/>
          <w:sz w:val="24"/>
          <w:szCs w:val="24"/>
        </w:rPr>
        <w:t>c</w:t>
      </w:r>
      <w:r w:rsidRPr="00286C9B">
        <w:rPr>
          <w:rFonts w:ascii="Times New Roman" w:hAnsi="Times New Roman" w:cs="Times New Roman"/>
          <w:sz w:val="24"/>
          <w:szCs w:val="24"/>
        </w:rPr>
        <w:t>ould result in public utilities charging rates that are not just and reasonable.</w:t>
      </w:r>
    </w:p>
    <w:p w14:paraId="252090F1" w14:textId="77777777" w:rsidR="00F95A9B" w:rsidRPr="008352B4" w:rsidRDefault="00F95A9B" w:rsidP="00EB3E6F">
      <w:pPr>
        <w:spacing w:after="0"/>
        <w:rPr>
          <w:rFonts w:ascii="Times New Roman" w:hAnsi="Times New Roman" w:cs="Times New Roman"/>
          <w:b/>
          <w:sz w:val="24"/>
          <w:szCs w:val="24"/>
        </w:rPr>
      </w:pPr>
    </w:p>
    <w:p w14:paraId="4BD7F193" w14:textId="4962D4B5" w:rsidR="008352B4" w:rsidRDefault="008352B4" w:rsidP="00EB3E6F">
      <w:pPr>
        <w:spacing w:after="0"/>
        <w:rPr>
          <w:rFonts w:ascii="Times New Roman" w:hAnsi="Times New Roman" w:cs="Times New Roman"/>
          <w:sz w:val="24"/>
          <w:szCs w:val="24"/>
        </w:rPr>
      </w:pPr>
      <w:r w:rsidRPr="008352B4">
        <w:rPr>
          <w:rFonts w:ascii="Times New Roman" w:hAnsi="Times New Roman" w:cs="Times New Roman"/>
          <w:b/>
          <w:sz w:val="24"/>
          <w:szCs w:val="24"/>
        </w:rPr>
        <w:t>FERC-920.</w:t>
      </w:r>
      <w:r>
        <w:rPr>
          <w:rFonts w:ascii="Times New Roman" w:hAnsi="Times New Roman" w:cs="Times New Roman"/>
          <w:sz w:val="24"/>
          <w:szCs w:val="24"/>
        </w:rPr>
        <w:t xml:space="preserve">  </w:t>
      </w:r>
      <w:r w:rsidRPr="008352B4">
        <w:rPr>
          <w:rFonts w:ascii="Times New Roman" w:hAnsi="Times New Roman" w:cs="Times New Roman"/>
          <w:sz w:val="24"/>
          <w:szCs w:val="24"/>
        </w:rPr>
        <w:t>The Commission created the quarterly filing requirement to balance concerns about the potential business sensitivity of the data with the FPA Section 205(c) requirement to have rates on file in a convenient form and place.  Instead of requiring daily or weekly filings of EQR transaction data, the Commission determined (in Order No. 2001) that a lag of 30 to 120 days would be sufficient to reduce “any potential harm to competitors that could result from the disclosure of price data .”  A less frequent collection would extend the time under which charged electric rates would not be on file at the Commission, affecting the Commission and the public’s ability to perform oversight and review as anticipated in FPA section 205(c).</w:t>
      </w:r>
    </w:p>
    <w:p w14:paraId="45A63B39" w14:textId="77777777" w:rsidR="00CF759C" w:rsidRPr="00EB3E6F" w:rsidRDefault="00CF759C" w:rsidP="00EB3E6F">
      <w:pPr>
        <w:spacing w:after="0"/>
        <w:rPr>
          <w:rFonts w:ascii="Times New Roman" w:hAnsi="Times New Roman" w:cs="Times New Roman"/>
          <w:sz w:val="24"/>
          <w:szCs w:val="24"/>
        </w:rPr>
      </w:pPr>
    </w:p>
    <w:p w14:paraId="6FBC910B" w14:textId="77777777" w:rsidR="00EB3E6F"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19256D0C" w14:textId="77777777" w:rsidR="008352B4" w:rsidRPr="00D80FBD" w:rsidRDefault="008352B4" w:rsidP="008352B4">
      <w:pPr>
        <w:pStyle w:val="ListParagraph"/>
        <w:spacing w:after="0"/>
        <w:ind w:left="360"/>
        <w:rPr>
          <w:rFonts w:ascii="Times New Roman" w:hAnsi="Times New Roman" w:cs="Times New Roman"/>
          <w:b/>
          <w:sz w:val="24"/>
          <w:szCs w:val="24"/>
        </w:rPr>
      </w:pPr>
    </w:p>
    <w:p w14:paraId="6FBC910D" w14:textId="6B861B61" w:rsidR="00EB3E6F" w:rsidRDefault="008D310F" w:rsidP="00EB3E6F">
      <w:pPr>
        <w:spacing w:after="0"/>
        <w:rPr>
          <w:rFonts w:ascii="Times New Roman" w:hAnsi="Times New Roman" w:cs="Times New Roman"/>
          <w:sz w:val="24"/>
          <w:szCs w:val="24"/>
        </w:rPr>
      </w:pPr>
      <w:r w:rsidRPr="008D310F">
        <w:rPr>
          <w:rFonts w:ascii="Times New Roman" w:hAnsi="Times New Roman" w:cs="Times New Roman"/>
          <w:sz w:val="24"/>
          <w:szCs w:val="24"/>
        </w:rPr>
        <w:t xml:space="preserve">FERC-516 </w:t>
      </w:r>
      <w:r w:rsidR="008352B4">
        <w:rPr>
          <w:rFonts w:ascii="Times New Roman" w:hAnsi="Times New Roman" w:cs="Times New Roman"/>
          <w:sz w:val="24"/>
          <w:szCs w:val="24"/>
        </w:rPr>
        <w:t xml:space="preserve">and FERC-920 </w:t>
      </w:r>
      <w:r w:rsidRPr="008D310F">
        <w:rPr>
          <w:rFonts w:ascii="Times New Roman" w:hAnsi="Times New Roman" w:cs="Times New Roman"/>
          <w:sz w:val="24"/>
          <w:szCs w:val="24"/>
        </w:rPr>
        <w:t>are consistent with the guidelines in 5 CFR 1320.5(d)</w:t>
      </w:r>
      <w:r>
        <w:rPr>
          <w:rFonts w:ascii="Times New Roman" w:hAnsi="Times New Roman" w:cs="Times New Roman"/>
          <w:sz w:val="24"/>
          <w:szCs w:val="24"/>
        </w:rPr>
        <w:t>.</w:t>
      </w:r>
    </w:p>
    <w:p w14:paraId="6F138EF7" w14:textId="77777777" w:rsidR="008D310F" w:rsidRPr="00EB3E6F" w:rsidRDefault="008D310F" w:rsidP="00EB3E6F">
      <w:pPr>
        <w:spacing w:after="0"/>
        <w:rPr>
          <w:rFonts w:ascii="Times New Roman" w:hAnsi="Times New Roman" w:cs="Times New Roman"/>
          <w:sz w:val="24"/>
          <w:szCs w:val="24"/>
        </w:rPr>
      </w:pPr>
    </w:p>
    <w:p w14:paraId="6FBC910E"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14:paraId="64188F9C" w14:textId="77777777" w:rsidR="00F132A1" w:rsidRDefault="00F132A1" w:rsidP="00EB3E6F">
      <w:pPr>
        <w:spacing w:after="0"/>
        <w:rPr>
          <w:rFonts w:ascii="Times New Roman" w:hAnsi="Times New Roman" w:cs="Times New Roman"/>
          <w:sz w:val="24"/>
          <w:szCs w:val="24"/>
        </w:rPr>
      </w:pPr>
    </w:p>
    <w:p w14:paraId="6FBC9110" w14:textId="49E73324" w:rsidR="00EB3E6F" w:rsidRDefault="00F95A9B" w:rsidP="00EB3E6F">
      <w:pPr>
        <w:spacing w:after="0"/>
        <w:rPr>
          <w:rFonts w:ascii="Times New Roman" w:hAnsi="Times New Roman" w:cs="Times New Roman"/>
          <w:sz w:val="24"/>
          <w:szCs w:val="24"/>
        </w:rPr>
      </w:pPr>
      <w:r w:rsidRPr="00F95A9B">
        <w:rPr>
          <w:rFonts w:ascii="Times New Roman" w:hAnsi="Times New Roman" w:cs="Times New Roman"/>
          <w:sz w:val="24"/>
          <w:szCs w:val="24"/>
        </w:rPr>
        <w:t>The NOPR in RM1</w:t>
      </w:r>
      <w:r>
        <w:rPr>
          <w:rFonts w:ascii="Times New Roman" w:hAnsi="Times New Roman" w:cs="Times New Roman"/>
          <w:sz w:val="24"/>
          <w:szCs w:val="24"/>
        </w:rPr>
        <w:t xml:space="preserve">5-2 </w:t>
      </w:r>
      <w:r w:rsidRPr="00F95A9B">
        <w:rPr>
          <w:rFonts w:ascii="Times New Roman" w:hAnsi="Times New Roman" w:cs="Times New Roman"/>
          <w:sz w:val="24"/>
          <w:szCs w:val="24"/>
        </w:rPr>
        <w:t>is requesting public comment and being published in the Federal Register.</w:t>
      </w:r>
    </w:p>
    <w:p w14:paraId="45A1B7C1" w14:textId="77777777" w:rsidR="00286C9B" w:rsidRPr="00EB3E6F" w:rsidRDefault="00286C9B" w:rsidP="00EB3E6F">
      <w:pPr>
        <w:spacing w:after="0"/>
        <w:rPr>
          <w:rFonts w:ascii="Times New Roman" w:hAnsi="Times New Roman" w:cs="Times New Roman"/>
          <w:sz w:val="24"/>
          <w:szCs w:val="24"/>
        </w:rPr>
      </w:pPr>
    </w:p>
    <w:p w14:paraId="6FBC9111"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6FBC9112" w14:textId="77777777" w:rsidR="00D80FBD" w:rsidRDefault="00D80FBD" w:rsidP="00D80FBD">
      <w:pPr>
        <w:spacing w:after="0"/>
        <w:rPr>
          <w:rFonts w:ascii="Times New Roman" w:hAnsi="Times New Roman" w:cs="Times New Roman"/>
          <w:sz w:val="24"/>
          <w:szCs w:val="24"/>
        </w:rPr>
      </w:pPr>
    </w:p>
    <w:p w14:paraId="6FBC9113" w14:textId="44640C4D" w:rsidR="00D80FBD" w:rsidRDefault="008D310F" w:rsidP="00D80FBD">
      <w:pPr>
        <w:spacing w:after="0"/>
        <w:rPr>
          <w:rFonts w:ascii="Times New Roman" w:hAnsi="Times New Roman" w:cs="Times New Roman"/>
          <w:sz w:val="24"/>
          <w:szCs w:val="24"/>
        </w:rPr>
      </w:pPr>
      <w:r w:rsidRPr="008D310F">
        <w:rPr>
          <w:rFonts w:ascii="Times New Roman" w:hAnsi="Times New Roman" w:cs="Times New Roman"/>
          <w:sz w:val="24"/>
          <w:szCs w:val="24"/>
        </w:rPr>
        <w:lastRenderedPageBreak/>
        <w:t>There are no payments or gifts to respondents associated with these collections.</w:t>
      </w:r>
    </w:p>
    <w:p w14:paraId="4D38CAAD" w14:textId="77777777" w:rsidR="008D310F" w:rsidRPr="00D80FBD" w:rsidRDefault="008D310F" w:rsidP="00D80FBD">
      <w:pPr>
        <w:spacing w:after="0"/>
        <w:rPr>
          <w:rFonts w:ascii="Times New Roman" w:hAnsi="Times New Roman" w:cs="Times New Roman"/>
          <w:sz w:val="24"/>
          <w:szCs w:val="24"/>
        </w:rPr>
      </w:pPr>
    </w:p>
    <w:p w14:paraId="6FBC9114"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14:paraId="6FBC9115" w14:textId="77777777" w:rsidR="00D80FBD" w:rsidRDefault="00D80FBD" w:rsidP="00D80FBD">
      <w:pPr>
        <w:spacing w:after="0"/>
        <w:rPr>
          <w:rFonts w:ascii="Times New Roman" w:hAnsi="Times New Roman" w:cs="Times New Roman"/>
          <w:sz w:val="24"/>
          <w:szCs w:val="24"/>
        </w:rPr>
      </w:pPr>
    </w:p>
    <w:p w14:paraId="6FBC9116" w14:textId="66296FD0" w:rsidR="00D80FBD" w:rsidRDefault="00286C9B" w:rsidP="00D80FBD">
      <w:pPr>
        <w:spacing w:after="0"/>
        <w:rPr>
          <w:rFonts w:ascii="Times New Roman" w:hAnsi="Times New Roman" w:cs="Times New Roman"/>
          <w:sz w:val="24"/>
          <w:szCs w:val="24"/>
        </w:rPr>
      </w:pPr>
      <w:r>
        <w:rPr>
          <w:rFonts w:ascii="Times New Roman" w:hAnsi="Times New Roman" w:cs="Times New Roman"/>
          <w:sz w:val="24"/>
          <w:szCs w:val="24"/>
        </w:rPr>
        <w:t>Data</w:t>
      </w:r>
      <w:r w:rsidR="008D310F" w:rsidRPr="008D310F">
        <w:rPr>
          <w:rFonts w:ascii="Times New Roman" w:hAnsi="Times New Roman" w:cs="Times New Roman"/>
          <w:sz w:val="24"/>
          <w:szCs w:val="24"/>
        </w:rPr>
        <w:t xml:space="preserve"> filed are public information and, therefore, not confidential.  However, a company may request confidential treatment of some or all parts of the information requirement under the FERC regulations at 18 CFR 388.112.  The Commission will review each request for confidential treatment on a case-by-case basis</w:t>
      </w:r>
      <w:r w:rsidR="008D310F">
        <w:rPr>
          <w:rFonts w:ascii="Times New Roman" w:hAnsi="Times New Roman" w:cs="Times New Roman"/>
          <w:sz w:val="24"/>
          <w:szCs w:val="24"/>
        </w:rPr>
        <w:t>.</w:t>
      </w:r>
    </w:p>
    <w:p w14:paraId="3EDF89F6" w14:textId="77777777" w:rsidR="008D310F" w:rsidRPr="00D80FBD" w:rsidRDefault="008D310F" w:rsidP="00D80FBD">
      <w:pPr>
        <w:spacing w:after="0"/>
        <w:rPr>
          <w:rFonts w:ascii="Times New Roman" w:hAnsi="Times New Roman" w:cs="Times New Roman"/>
          <w:sz w:val="24"/>
          <w:szCs w:val="24"/>
        </w:rPr>
      </w:pPr>
    </w:p>
    <w:p w14:paraId="6FBC9117" w14:textId="76EBBD4B"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 xml:space="preserve">PROVIDE </w:t>
      </w:r>
      <w:r w:rsidR="004C5E0E" w:rsidRPr="004C5E0E">
        <w:rPr>
          <w:rFonts w:ascii="Times New Roman" w:hAnsi="Times New Roman" w:cs="Times New Roman"/>
          <w:b/>
          <w:sz w:val="24"/>
          <w:szCs w:val="24"/>
        </w:rPr>
        <w:t>ADDITIONAL JUSTIFICATION FOR ANY QUESTIONS OF A SENSITIVE NATURE, SUCH AS SEXUAL BEHAVIOR AND ATTITUDES, RELIGIOUS BELIEFS, AND OTHER MATTERS THAT ARE COMMONLY CONSIDERED PRIVATE.</w:t>
      </w:r>
    </w:p>
    <w:p w14:paraId="6FBC9118" w14:textId="77777777" w:rsidR="00D80FBD" w:rsidRDefault="00D80FBD" w:rsidP="00D80FBD">
      <w:pPr>
        <w:spacing w:after="0"/>
        <w:rPr>
          <w:rFonts w:ascii="Times New Roman" w:hAnsi="Times New Roman" w:cs="Times New Roman"/>
          <w:sz w:val="24"/>
          <w:szCs w:val="24"/>
        </w:rPr>
      </w:pPr>
    </w:p>
    <w:p w14:paraId="6FBC9119" w14:textId="21631E43" w:rsidR="00D80FBD" w:rsidRPr="002D6F4E" w:rsidRDefault="0074195A" w:rsidP="00D80FBD">
      <w:pPr>
        <w:spacing w:after="0"/>
        <w:rPr>
          <w:rFonts w:ascii="Times New Roman" w:hAnsi="Times New Roman" w:cs="Times New Roman"/>
          <w:sz w:val="24"/>
          <w:szCs w:val="24"/>
        </w:rPr>
      </w:pPr>
      <w:r w:rsidRPr="002D6F4E">
        <w:rPr>
          <w:rFonts w:ascii="Times New Roman" w:hAnsi="Times New Roman" w:cs="Times New Roman"/>
          <w:sz w:val="24"/>
          <w:szCs w:val="24"/>
        </w:rPr>
        <w:t>There are no questions of a sensitive nature in the reporting requirements.</w:t>
      </w:r>
    </w:p>
    <w:p w14:paraId="7BE52902" w14:textId="77777777" w:rsidR="0074195A" w:rsidRPr="002D6F4E" w:rsidRDefault="0074195A" w:rsidP="00D80FBD">
      <w:pPr>
        <w:spacing w:after="0"/>
        <w:rPr>
          <w:rFonts w:ascii="Times New Roman" w:hAnsi="Times New Roman" w:cs="Times New Roman"/>
          <w:sz w:val="24"/>
          <w:szCs w:val="24"/>
        </w:rPr>
      </w:pPr>
    </w:p>
    <w:p w14:paraId="6FBC911A" w14:textId="77777777" w:rsidR="00D80FBD" w:rsidRPr="002D6F4E" w:rsidRDefault="00D80FBD" w:rsidP="00A72E7B">
      <w:pPr>
        <w:pStyle w:val="ListParagraph"/>
        <w:numPr>
          <w:ilvl w:val="0"/>
          <w:numId w:val="1"/>
        </w:numPr>
        <w:spacing w:after="0"/>
        <w:ind w:left="360"/>
        <w:rPr>
          <w:rFonts w:ascii="Times New Roman" w:hAnsi="Times New Roman" w:cs="Times New Roman"/>
          <w:b/>
          <w:sz w:val="24"/>
          <w:szCs w:val="24"/>
        </w:rPr>
      </w:pPr>
      <w:r w:rsidRPr="002D6F4E">
        <w:rPr>
          <w:rFonts w:ascii="Times New Roman" w:hAnsi="Times New Roman" w:cs="Times New Roman"/>
          <w:b/>
          <w:sz w:val="24"/>
          <w:szCs w:val="24"/>
        </w:rPr>
        <w:t>ESTIMATED BURDEN OF COLLECTION OF INFORMATION</w:t>
      </w:r>
    </w:p>
    <w:p w14:paraId="6FBC911B" w14:textId="77777777" w:rsidR="00D80FBD" w:rsidRPr="002D6F4E" w:rsidRDefault="00D80FBD" w:rsidP="00D80FBD">
      <w:pPr>
        <w:spacing w:after="0"/>
        <w:rPr>
          <w:rFonts w:ascii="Times New Roman" w:hAnsi="Times New Roman" w:cs="Times New Roman"/>
          <w:sz w:val="24"/>
          <w:szCs w:val="24"/>
        </w:rPr>
      </w:pPr>
    </w:p>
    <w:p w14:paraId="7BBC69B1" w14:textId="46C136B8" w:rsidR="008D310F" w:rsidRPr="002D6F4E" w:rsidRDefault="00CD78AF" w:rsidP="008D310F">
      <w:pPr>
        <w:spacing w:after="0"/>
        <w:rPr>
          <w:rFonts w:ascii="Times New Roman" w:hAnsi="Times New Roman" w:cs="Times New Roman"/>
          <w:sz w:val="24"/>
          <w:szCs w:val="24"/>
        </w:rPr>
      </w:pPr>
      <w:r w:rsidRPr="002D6F4E">
        <w:rPr>
          <w:rFonts w:ascii="Times New Roman" w:hAnsi="Times New Roman" w:cs="Times New Roman"/>
          <w:b/>
          <w:sz w:val="24"/>
          <w:szCs w:val="24"/>
        </w:rPr>
        <w:t xml:space="preserve">FERC-516.  </w:t>
      </w:r>
      <w:r w:rsidR="008D310F" w:rsidRPr="002D6F4E">
        <w:rPr>
          <w:rFonts w:ascii="Times New Roman" w:hAnsi="Times New Roman" w:cs="Times New Roman"/>
          <w:sz w:val="24"/>
          <w:szCs w:val="24"/>
        </w:rPr>
        <w:t xml:space="preserve">The current </w:t>
      </w:r>
      <w:r w:rsidRPr="002D6F4E">
        <w:rPr>
          <w:rFonts w:ascii="Times New Roman" w:hAnsi="Times New Roman" w:cs="Times New Roman"/>
          <w:sz w:val="24"/>
          <w:szCs w:val="24"/>
        </w:rPr>
        <w:t xml:space="preserve">total </w:t>
      </w:r>
      <w:r w:rsidR="005D235C" w:rsidRPr="002D6F4E">
        <w:rPr>
          <w:rFonts w:ascii="Times New Roman" w:hAnsi="Times New Roman" w:cs="Times New Roman"/>
          <w:sz w:val="24"/>
          <w:szCs w:val="24"/>
        </w:rPr>
        <w:t xml:space="preserve">estimated </w:t>
      </w:r>
      <w:r w:rsidRPr="002D6F4E">
        <w:rPr>
          <w:rFonts w:ascii="Times New Roman" w:hAnsi="Times New Roman" w:cs="Times New Roman"/>
          <w:sz w:val="24"/>
          <w:szCs w:val="24"/>
        </w:rPr>
        <w:t xml:space="preserve">OMB-approved </w:t>
      </w:r>
      <w:r w:rsidR="008D310F" w:rsidRPr="002D6F4E">
        <w:rPr>
          <w:rFonts w:ascii="Times New Roman" w:hAnsi="Times New Roman" w:cs="Times New Roman"/>
          <w:sz w:val="24"/>
          <w:szCs w:val="24"/>
        </w:rPr>
        <w:t xml:space="preserve">burden is </w:t>
      </w:r>
      <w:r w:rsidRPr="002D6F4E">
        <w:rPr>
          <w:rFonts w:ascii="Times New Roman" w:hAnsi="Times New Roman" w:cs="Times New Roman"/>
          <w:sz w:val="24"/>
          <w:szCs w:val="24"/>
        </w:rPr>
        <w:t>498,250</w:t>
      </w:r>
      <w:r w:rsidR="008D310F" w:rsidRPr="002D6F4E">
        <w:rPr>
          <w:rFonts w:ascii="Times New Roman" w:hAnsi="Times New Roman" w:cs="Times New Roman"/>
          <w:sz w:val="24"/>
          <w:szCs w:val="24"/>
        </w:rPr>
        <w:t xml:space="preserve"> hours.  The </w:t>
      </w:r>
      <w:r w:rsidRPr="002D6F4E">
        <w:rPr>
          <w:rFonts w:ascii="Times New Roman" w:hAnsi="Times New Roman" w:cs="Times New Roman"/>
          <w:sz w:val="24"/>
          <w:szCs w:val="24"/>
        </w:rPr>
        <w:t xml:space="preserve">vast </w:t>
      </w:r>
      <w:r w:rsidR="008D310F" w:rsidRPr="002D6F4E">
        <w:rPr>
          <w:rFonts w:ascii="Times New Roman" w:hAnsi="Times New Roman" w:cs="Times New Roman"/>
          <w:sz w:val="24"/>
          <w:szCs w:val="24"/>
        </w:rPr>
        <w:t>majority of these hours (approximately 400,000) are due to general tariff filings related to the electric utility industry</w:t>
      </w:r>
      <w:r w:rsidRPr="002D6F4E">
        <w:rPr>
          <w:rFonts w:ascii="Times New Roman" w:hAnsi="Times New Roman" w:cs="Times New Roman"/>
          <w:sz w:val="24"/>
          <w:szCs w:val="24"/>
        </w:rPr>
        <w:t xml:space="preserve"> and are not affected by this NOPR in RM15-2</w:t>
      </w:r>
      <w:r w:rsidR="008D310F" w:rsidRPr="002D6F4E">
        <w:rPr>
          <w:rFonts w:ascii="Times New Roman" w:hAnsi="Times New Roman" w:cs="Times New Roman"/>
          <w:sz w:val="24"/>
          <w:szCs w:val="24"/>
        </w:rPr>
        <w:t xml:space="preserve">.  </w:t>
      </w:r>
    </w:p>
    <w:p w14:paraId="062F9853" w14:textId="77777777" w:rsidR="008D310F" w:rsidRPr="002D6F4E" w:rsidRDefault="008D310F" w:rsidP="008D310F">
      <w:pPr>
        <w:spacing w:after="0"/>
        <w:rPr>
          <w:rFonts w:ascii="Times New Roman" w:hAnsi="Times New Roman" w:cs="Times New Roman"/>
          <w:sz w:val="24"/>
          <w:szCs w:val="24"/>
        </w:rPr>
      </w:pPr>
    </w:p>
    <w:p w14:paraId="10FE89B9" w14:textId="37C3C38D" w:rsidR="00CD78AF" w:rsidRPr="002D6F4E" w:rsidRDefault="00CD78AF" w:rsidP="008D310F">
      <w:pPr>
        <w:spacing w:after="0"/>
        <w:rPr>
          <w:rFonts w:ascii="Times New Roman" w:hAnsi="Times New Roman" w:cs="Times New Roman"/>
          <w:b/>
          <w:sz w:val="24"/>
          <w:szCs w:val="24"/>
        </w:rPr>
      </w:pPr>
      <w:r w:rsidRPr="002D6F4E">
        <w:rPr>
          <w:rFonts w:ascii="Times New Roman" w:hAnsi="Times New Roman" w:cs="Times New Roman"/>
          <w:b/>
          <w:sz w:val="24"/>
          <w:szCs w:val="24"/>
        </w:rPr>
        <w:t xml:space="preserve">FERC-920.  </w:t>
      </w:r>
      <w:r w:rsidRPr="002D6F4E">
        <w:rPr>
          <w:rFonts w:ascii="Times New Roman" w:hAnsi="Times New Roman" w:cs="Times New Roman"/>
          <w:sz w:val="24"/>
          <w:szCs w:val="24"/>
        </w:rPr>
        <w:t>The current total estimated OMB-approved burden is 246,312 hrs.</w:t>
      </w:r>
    </w:p>
    <w:p w14:paraId="16B86E06" w14:textId="77777777" w:rsidR="008D310F" w:rsidRPr="002D6F4E" w:rsidRDefault="008D310F" w:rsidP="008D310F">
      <w:pPr>
        <w:spacing w:after="0"/>
        <w:rPr>
          <w:rFonts w:ascii="Times New Roman" w:hAnsi="Times New Roman" w:cs="Times New Roman"/>
          <w:sz w:val="24"/>
          <w:szCs w:val="24"/>
        </w:rPr>
      </w:pPr>
    </w:p>
    <w:p w14:paraId="6FBC911D" w14:textId="77777777" w:rsidR="00D80FBD" w:rsidRPr="002D6F4E" w:rsidRDefault="00E636D7" w:rsidP="00A72E7B">
      <w:pPr>
        <w:pStyle w:val="ListParagraph"/>
        <w:numPr>
          <w:ilvl w:val="0"/>
          <w:numId w:val="1"/>
        </w:numPr>
        <w:spacing w:after="0"/>
        <w:ind w:left="360"/>
        <w:rPr>
          <w:rFonts w:ascii="Times New Roman" w:hAnsi="Times New Roman" w:cs="Times New Roman"/>
          <w:b/>
          <w:sz w:val="24"/>
          <w:szCs w:val="24"/>
        </w:rPr>
      </w:pPr>
      <w:r w:rsidRPr="002D6F4E">
        <w:rPr>
          <w:rFonts w:ascii="Times New Roman" w:hAnsi="Times New Roman" w:cs="Times New Roman"/>
          <w:b/>
          <w:sz w:val="24"/>
          <w:szCs w:val="24"/>
        </w:rPr>
        <w:t>ESTIMATE OF THE TOTAL ANNUAL COST BURDEN TO RESPONDENTS</w:t>
      </w:r>
    </w:p>
    <w:p w14:paraId="6FBC911E" w14:textId="77777777" w:rsidR="00E636D7" w:rsidRPr="002D6F4E" w:rsidRDefault="00E636D7" w:rsidP="00E636D7">
      <w:pPr>
        <w:spacing w:after="0"/>
        <w:rPr>
          <w:rFonts w:ascii="Times New Roman" w:hAnsi="Times New Roman" w:cs="Times New Roman"/>
          <w:sz w:val="24"/>
          <w:szCs w:val="24"/>
        </w:rPr>
      </w:pPr>
    </w:p>
    <w:p w14:paraId="5F00C385" w14:textId="612895D8" w:rsidR="0074195A" w:rsidRPr="002D6F4E" w:rsidRDefault="0074195A" w:rsidP="0074195A">
      <w:pPr>
        <w:spacing w:after="0"/>
        <w:rPr>
          <w:rFonts w:ascii="Times New Roman" w:hAnsi="Times New Roman" w:cs="Times New Roman"/>
          <w:sz w:val="24"/>
          <w:szCs w:val="24"/>
        </w:rPr>
      </w:pPr>
      <w:r w:rsidRPr="002D6F4E">
        <w:rPr>
          <w:rFonts w:ascii="Times New Roman" w:hAnsi="Times New Roman" w:cs="Times New Roman"/>
          <w:sz w:val="24"/>
          <w:szCs w:val="24"/>
        </w:rPr>
        <w:t xml:space="preserve">There are no non-labor costs associated with the </w:t>
      </w:r>
      <w:r w:rsidR="00CD78AF" w:rsidRPr="002D6F4E">
        <w:rPr>
          <w:rFonts w:ascii="Times New Roman" w:hAnsi="Times New Roman" w:cs="Times New Roman"/>
          <w:sz w:val="24"/>
          <w:szCs w:val="24"/>
        </w:rPr>
        <w:t>NOPR in RM15-2.</w:t>
      </w:r>
    </w:p>
    <w:p w14:paraId="3B59C119" w14:textId="77777777" w:rsidR="0074195A" w:rsidRPr="002D6F4E" w:rsidRDefault="0074195A" w:rsidP="0074195A">
      <w:pPr>
        <w:spacing w:after="0"/>
        <w:rPr>
          <w:rFonts w:ascii="Times New Roman" w:hAnsi="Times New Roman" w:cs="Times New Roman"/>
          <w:sz w:val="24"/>
          <w:szCs w:val="24"/>
        </w:rPr>
      </w:pPr>
    </w:p>
    <w:p w14:paraId="6FBC911F" w14:textId="6D096465" w:rsidR="00E636D7" w:rsidRDefault="0074195A" w:rsidP="0074195A">
      <w:pPr>
        <w:spacing w:after="0"/>
        <w:rPr>
          <w:rFonts w:ascii="Times New Roman" w:hAnsi="Times New Roman" w:cs="Times New Roman"/>
          <w:sz w:val="24"/>
          <w:szCs w:val="24"/>
        </w:rPr>
      </w:pPr>
      <w:r w:rsidRPr="002D6F4E">
        <w:rPr>
          <w:rFonts w:ascii="Times New Roman" w:hAnsi="Times New Roman" w:cs="Times New Roman"/>
          <w:sz w:val="24"/>
          <w:szCs w:val="24"/>
        </w:rPr>
        <w:t xml:space="preserve">All of the costs in the </w:t>
      </w:r>
      <w:r w:rsidR="00CD78AF" w:rsidRPr="002D6F4E">
        <w:rPr>
          <w:rFonts w:ascii="Times New Roman" w:hAnsi="Times New Roman" w:cs="Times New Roman"/>
          <w:sz w:val="24"/>
          <w:szCs w:val="24"/>
        </w:rPr>
        <w:t xml:space="preserve">proposed </w:t>
      </w:r>
      <w:r w:rsidRPr="002D6F4E">
        <w:rPr>
          <w:rFonts w:ascii="Times New Roman" w:hAnsi="Times New Roman" w:cs="Times New Roman"/>
          <w:sz w:val="24"/>
          <w:szCs w:val="24"/>
        </w:rPr>
        <w:t xml:space="preserve">rule are associated with labor </w:t>
      </w:r>
      <w:r w:rsidR="008A5C6B" w:rsidRPr="002D6F4E">
        <w:rPr>
          <w:rFonts w:ascii="Times New Roman" w:hAnsi="Times New Roman" w:cs="Times New Roman"/>
          <w:sz w:val="24"/>
          <w:szCs w:val="24"/>
        </w:rPr>
        <w:t>(</w:t>
      </w:r>
      <w:r w:rsidR="008A5C6B">
        <w:rPr>
          <w:rFonts w:ascii="Times New Roman" w:hAnsi="Times New Roman" w:cs="Times New Roman"/>
          <w:sz w:val="24"/>
          <w:szCs w:val="24"/>
        </w:rPr>
        <w:t xml:space="preserve">burden hours), are addressed in Questions 12 and 15, </w:t>
      </w:r>
      <w:r w:rsidRPr="0074195A">
        <w:rPr>
          <w:rFonts w:ascii="Times New Roman" w:hAnsi="Times New Roman" w:cs="Times New Roman"/>
          <w:sz w:val="24"/>
          <w:szCs w:val="24"/>
        </w:rPr>
        <w:t>and ar</w:t>
      </w:r>
      <w:r>
        <w:rPr>
          <w:rFonts w:ascii="Times New Roman" w:hAnsi="Times New Roman" w:cs="Times New Roman"/>
          <w:sz w:val="24"/>
          <w:szCs w:val="24"/>
        </w:rPr>
        <w:t>e not shown in ROCIS metadata.</w:t>
      </w:r>
    </w:p>
    <w:p w14:paraId="67468362" w14:textId="77777777" w:rsidR="0074195A" w:rsidRPr="00E636D7" w:rsidRDefault="0074195A" w:rsidP="0074195A">
      <w:pPr>
        <w:spacing w:after="0"/>
        <w:rPr>
          <w:rFonts w:ascii="Times New Roman" w:hAnsi="Times New Roman" w:cs="Times New Roman"/>
          <w:sz w:val="24"/>
          <w:szCs w:val="24"/>
        </w:rPr>
      </w:pPr>
    </w:p>
    <w:p w14:paraId="6FBC9120" w14:textId="77777777"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14:paraId="6FBC9122" w14:textId="77777777" w:rsidR="00A276F5" w:rsidRDefault="00A276F5" w:rsidP="00A276F5">
      <w:pPr>
        <w:spacing w:after="0"/>
        <w:rPr>
          <w:rFonts w:ascii="Times New Roman" w:hAnsi="Times New Roman" w:cs="Times New Roman"/>
          <w:sz w:val="24"/>
          <w:szCs w:val="24"/>
        </w:rPr>
      </w:pPr>
    </w:p>
    <w:p w14:paraId="6FBC9123" w14:textId="60AAA84D" w:rsidR="00A276F5" w:rsidRDefault="00630A34" w:rsidP="00A276F5">
      <w:pPr>
        <w:spacing w:after="0"/>
        <w:rPr>
          <w:rFonts w:ascii="Times New Roman" w:hAnsi="Times New Roman" w:cs="Times New Roman"/>
          <w:sz w:val="24"/>
          <w:szCs w:val="24"/>
        </w:rPr>
      </w:pPr>
      <w:r w:rsidRPr="00630A34">
        <w:rPr>
          <w:rFonts w:ascii="Times New Roman" w:hAnsi="Times New Roman" w:cs="Times New Roman"/>
          <w:sz w:val="24"/>
          <w:szCs w:val="24"/>
        </w:rPr>
        <w:t>The estimated annualized cost to the Federal Govern</w:t>
      </w:r>
      <w:r>
        <w:rPr>
          <w:rFonts w:ascii="Times New Roman" w:hAnsi="Times New Roman" w:cs="Times New Roman"/>
          <w:sz w:val="24"/>
          <w:szCs w:val="24"/>
        </w:rPr>
        <w:t xml:space="preserve">ment for </w:t>
      </w:r>
      <w:r w:rsidR="001B3E94">
        <w:rPr>
          <w:rFonts w:ascii="Times New Roman" w:hAnsi="Times New Roman" w:cs="Times New Roman"/>
          <w:sz w:val="24"/>
          <w:szCs w:val="24"/>
        </w:rPr>
        <w:t>the NOPR in RM15-2</w:t>
      </w:r>
      <w:r w:rsidRPr="00630A34">
        <w:rPr>
          <w:rFonts w:ascii="Times New Roman" w:hAnsi="Times New Roman" w:cs="Times New Roman"/>
          <w:sz w:val="24"/>
          <w:szCs w:val="24"/>
        </w:rPr>
        <w:t xml:space="preserve"> follows:</w:t>
      </w:r>
    </w:p>
    <w:p w14:paraId="0898B1A7" w14:textId="77777777" w:rsidR="00630A34" w:rsidRDefault="00630A34"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30A34" w:rsidRPr="00630A34" w14:paraId="33F1528F" w14:textId="77777777" w:rsidTr="00A80014">
        <w:tc>
          <w:tcPr>
            <w:tcW w:w="3182" w:type="dxa"/>
            <w:tcBorders>
              <w:top w:val="single" w:sz="4" w:space="0" w:color="auto"/>
              <w:left w:val="single" w:sz="4" w:space="0" w:color="auto"/>
              <w:bottom w:val="single" w:sz="4" w:space="0" w:color="auto"/>
              <w:right w:val="single" w:sz="4" w:space="0" w:color="auto"/>
            </w:tcBorders>
            <w:shd w:val="clear" w:color="auto" w:fill="CCCCCC"/>
          </w:tcPr>
          <w:p w14:paraId="3ECE7C38" w14:textId="77777777" w:rsidR="00630A34" w:rsidRPr="00630A34" w:rsidRDefault="00630A34" w:rsidP="00630A34">
            <w:pPr>
              <w:spacing w:after="0"/>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12804A56" w14:textId="469A661D" w:rsidR="00630A34" w:rsidRPr="00630A34" w:rsidRDefault="00EA5ADE" w:rsidP="00F95CFB">
            <w:pPr>
              <w:spacing w:after="0"/>
              <w:rPr>
                <w:rFonts w:ascii="Times New Roman" w:hAnsi="Times New Roman" w:cs="Times New Roman"/>
                <w:b/>
                <w:sz w:val="24"/>
                <w:szCs w:val="24"/>
              </w:rPr>
            </w:pPr>
            <w:r>
              <w:rPr>
                <w:rFonts w:ascii="Times New Roman" w:hAnsi="Times New Roman" w:cs="Times New Roman"/>
                <w:b/>
                <w:sz w:val="24"/>
                <w:szCs w:val="24"/>
              </w:rPr>
              <w:t xml:space="preserve">Federal </w:t>
            </w:r>
            <w:r w:rsidR="00630A34" w:rsidRPr="00630A34">
              <w:rPr>
                <w:rFonts w:ascii="Times New Roman" w:hAnsi="Times New Roman" w:cs="Times New Roman"/>
                <w:b/>
                <w:sz w:val="24"/>
                <w:szCs w:val="24"/>
              </w:rPr>
              <w:t xml:space="preserve">Employee </w:t>
            </w:r>
            <w:r w:rsidR="00F95CFB">
              <w:rPr>
                <w:rFonts w:ascii="Times New Roman" w:hAnsi="Times New Roman" w:cs="Times New Roman"/>
                <w:b/>
                <w:sz w:val="24"/>
                <w:szCs w:val="24"/>
              </w:rPr>
              <w:t xml:space="preserve"> </w:t>
            </w:r>
            <w:r>
              <w:rPr>
                <w:rFonts w:ascii="Times New Roman" w:hAnsi="Times New Roman" w:cs="Times New Roman"/>
                <w:b/>
                <w:sz w:val="24"/>
                <w:szCs w:val="24"/>
              </w:rPr>
              <w:t>Hours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5EB07E7C" w14:textId="77777777" w:rsidR="00630A34" w:rsidRPr="00630A34" w:rsidRDefault="00630A34" w:rsidP="00630A34">
            <w:pPr>
              <w:spacing w:after="0"/>
              <w:rPr>
                <w:rFonts w:ascii="Times New Roman" w:hAnsi="Times New Roman" w:cs="Times New Roman"/>
                <w:b/>
                <w:sz w:val="24"/>
                <w:szCs w:val="24"/>
              </w:rPr>
            </w:pPr>
            <w:r w:rsidRPr="00630A34">
              <w:rPr>
                <w:rFonts w:ascii="Times New Roman" w:hAnsi="Times New Roman" w:cs="Times New Roman"/>
                <w:b/>
                <w:sz w:val="24"/>
                <w:szCs w:val="24"/>
              </w:rPr>
              <w:t>Estimated Annual Federal Cost</w:t>
            </w:r>
          </w:p>
        </w:tc>
      </w:tr>
      <w:tr w:rsidR="001B3E94" w:rsidRPr="00630A34" w14:paraId="3C89F946" w14:textId="77777777" w:rsidTr="00363749">
        <w:tc>
          <w:tcPr>
            <w:tcW w:w="9378" w:type="dxa"/>
            <w:gridSpan w:val="3"/>
            <w:tcBorders>
              <w:top w:val="single" w:sz="4" w:space="0" w:color="auto"/>
              <w:left w:val="single" w:sz="4" w:space="0" w:color="auto"/>
              <w:bottom w:val="single" w:sz="4" w:space="0" w:color="auto"/>
              <w:right w:val="single" w:sz="4" w:space="0" w:color="auto"/>
            </w:tcBorders>
          </w:tcPr>
          <w:p w14:paraId="343A52DF" w14:textId="4B3487C5" w:rsidR="001B3E94" w:rsidRPr="00983086" w:rsidRDefault="001B3E94" w:rsidP="00983086">
            <w:pPr>
              <w:spacing w:after="0"/>
              <w:jc w:val="center"/>
              <w:rPr>
                <w:rFonts w:ascii="Times New Roman" w:hAnsi="Times New Roman" w:cs="Times New Roman"/>
                <w:b/>
                <w:sz w:val="24"/>
                <w:szCs w:val="24"/>
              </w:rPr>
            </w:pPr>
            <w:r>
              <w:rPr>
                <w:rFonts w:ascii="Times New Roman" w:hAnsi="Times New Roman" w:cs="Times New Roman"/>
                <w:b/>
                <w:sz w:val="24"/>
                <w:szCs w:val="24"/>
              </w:rPr>
              <w:t>FERC-516</w:t>
            </w:r>
          </w:p>
        </w:tc>
      </w:tr>
      <w:tr w:rsidR="00630A34" w:rsidRPr="0028361F" w14:paraId="2B34F725" w14:textId="77777777" w:rsidTr="00983086">
        <w:tc>
          <w:tcPr>
            <w:tcW w:w="3182" w:type="dxa"/>
            <w:tcBorders>
              <w:top w:val="single" w:sz="4" w:space="0" w:color="auto"/>
              <w:left w:val="single" w:sz="4" w:space="0" w:color="auto"/>
              <w:bottom w:val="single" w:sz="4" w:space="0" w:color="auto"/>
              <w:right w:val="single" w:sz="4" w:space="0" w:color="auto"/>
            </w:tcBorders>
            <w:hideMark/>
          </w:tcPr>
          <w:p w14:paraId="4BF906EC" w14:textId="26AF66F4" w:rsidR="00630A34" w:rsidRPr="00630A34" w:rsidRDefault="00630A34" w:rsidP="00630A3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FERC-516 </w:t>
            </w:r>
            <w:r w:rsidRPr="00630A34">
              <w:rPr>
                <w:rFonts w:ascii="Times New Roman" w:hAnsi="Times New Roman" w:cs="Times New Roman"/>
                <w:sz w:val="24"/>
                <w:szCs w:val="24"/>
              </w:rPr>
              <w:t>Analysis and Processing of filings</w:t>
            </w:r>
            <w:r w:rsidRPr="00630A34">
              <w:rPr>
                <w:rFonts w:ascii="Times New Roman" w:hAnsi="Times New Roman" w:cs="Times New Roman"/>
                <w:sz w:val="24"/>
                <w:szCs w:val="24"/>
                <w:vertAlign w:val="superscript"/>
              </w:rPr>
              <w:footnoteReference w:id="7"/>
            </w:r>
          </w:p>
        </w:tc>
        <w:tc>
          <w:tcPr>
            <w:tcW w:w="3201" w:type="dxa"/>
            <w:tcBorders>
              <w:top w:val="single" w:sz="4" w:space="0" w:color="auto"/>
              <w:left w:val="single" w:sz="4" w:space="0" w:color="auto"/>
              <w:bottom w:val="single" w:sz="4" w:space="0" w:color="auto"/>
              <w:right w:val="single" w:sz="4" w:space="0" w:color="auto"/>
            </w:tcBorders>
            <w:vAlign w:val="bottom"/>
            <w:hideMark/>
          </w:tcPr>
          <w:p w14:paraId="2B8B76CF" w14:textId="05E0E272" w:rsidR="00630A34" w:rsidRPr="0028361F" w:rsidRDefault="0028361F" w:rsidP="007F2F2F">
            <w:pPr>
              <w:spacing w:after="0"/>
              <w:jc w:val="right"/>
              <w:rPr>
                <w:rFonts w:ascii="Times New Roman" w:hAnsi="Times New Roman" w:cs="Times New Roman"/>
                <w:sz w:val="24"/>
                <w:szCs w:val="24"/>
              </w:rPr>
            </w:pPr>
            <w:r w:rsidRPr="00843A92">
              <w:rPr>
                <w:rFonts w:ascii="Times New Roman" w:hAnsi="Times New Roman" w:cs="Times New Roman"/>
                <w:sz w:val="24"/>
                <w:szCs w:val="24"/>
              </w:rPr>
              <w:t>402</w:t>
            </w:r>
            <w:r w:rsidR="007F2F2F" w:rsidRPr="00843A92">
              <w:rPr>
                <w:rStyle w:val="FootnoteReference"/>
                <w:rFonts w:ascii="Times New Roman" w:hAnsi="Times New Roman" w:cs="Times New Roman"/>
                <w:sz w:val="24"/>
                <w:szCs w:val="24"/>
                <w:vertAlign w:val="superscript"/>
              </w:rPr>
              <w:footnoteReference w:id="8"/>
            </w:r>
          </w:p>
        </w:tc>
        <w:tc>
          <w:tcPr>
            <w:tcW w:w="2995" w:type="dxa"/>
            <w:tcBorders>
              <w:top w:val="single" w:sz="4" w:space="0" w:color="auto"/>
              <w:left w:val="single" w:sz="4" w:space="0" w:color="auto"/>
              <w:bottom w:val="single" w:sz="4" w:space="0" w:color="auto"/>
              <w:right w:val="single" w:sz="4" w:space="0" w:color="auto"/>
            </w:tcBorders>
            <w:vAlign w:val="bottom"/>
            <w:hideMark/>
          </w:tcPr>
          <w:p w14:paraId="2059AC55" w14:textId="22D159DD" w:rsidR="00630A34" w:rsidRPr="003804AA" w:rsidRDefault="00630A34" w:rsidP="0028361F">
            <w:pPr>
              <w:spacing w:after="0"/>
              <w:jc w:val="right"/>
              <w:rPr>
                <w:rFonts w:ascii="Times New Roman" w:hAnsi="Times New Roman" w:cs="Times New Roman"/>
                <w:sz w:val="24"/>
                <w:szCs w:val="24"/>
              </w:rPr>
            </w:pPr>
            <w:r w:rsidRPr="003804AA">
              <w:rPr>
                <w:rFonts w:ascii="Times New Roman" w:hAnsi="Times New Roman" w:cs="Times New Roman"/>
                <w:sz w:val="24"/>
                <w:szCs w:val="24"/>
              </w:rPr>
              <w:t>$</w:t>
            </w:r>
            <w:r w:rsidR="0028361F" w:rsidRPr="00843A92">
              <w:rPr>
                <w:rFonts w:ascii="Times New Roman" w:hAnsi="Times New Roman" w:cs="Times New Roman"/>
                <w:sz w:val="24"/>
                <w:szCs w:val="24"/>
              </w:rPr>
              <w:t>28,944</w:t>
            </w:r>
          </w:p>
        </w:tc>
      </w:tr>
      <w:tr w:rsidR="001B3E94" w:rsidRPr="00630A34" w14:paraId="40E49323" w14:textId="77777777" w:rsidTr="00983086">
        <w:tc>
          <w:tcPr>
            <w:tcW w:w="3182" w:type="dxa"/>
            <w:tcBorders>
              <w:top w:val="single" w:sz="4" w:space="0" w:color="auto"/>
              <w:left w:val="single" w:sz="4" w:space="0" w:color="auto"/>
              <w:bottom w:val="single" w:sz="4" w:space="0" w:color="auto"/>
              <w:right w:val="single" w:sz="4" w:space="0" w:color="auto"/>
            </w:tcBorders>
          </w:tcPr>
          <w:p w14:paraId="78EBDF3A" w14:textId="0BDFB71E" w:rsidR="001B3E94" w:rsidRDefault="001B3E94" w:rsidP="00630A34">
            <w:pPr>
              <w:spacing w:after="0"/>
              <w:rPr>
                <w:rFonts w:ascii="Times New Roman" w:hAnsi="Times New Roman" w:cs="Times New Roman"/>
                <w:sz w:val="24"/>
                <w:szCs w:val="24"/>
              </w:rPr>
            </w:pPr>
            <w:r w:rsidRPr="00857577">
              <w:rPr>
                <w:rFonts w:ascii="Times New Roman" w:hAnsi="Times New Roman" w:cs="Times New Roman"/>
                <w:sz w:val="24"/>
                <w:szCs w:val="24"/>
              </w:rPr>
              <w:t>PRA</w:t>
            </w:r>
            <w:r w:rsidRPr="00857577">
              <w:rPr>
                <w:rFonts w:ascii="Times New Roman" w:hAnsi="Times New Roman" w:cs="Times New Roman"/>
                <w:sz w:val="24"/>
                <w:szCs w:val="24"/>
                <w:vertAlign w:val="superscript"/>
              </w:rPr>
              <w:footnoteReference w:id="9"/>
            </w:r>
            <w:r w:rsidRPr="00857577">
              <w:rPr>
                <w:rFonts w:ascii="Times New Roman" w:hAnsi="Times New Roman" w:cs="Times New Roman"/>
                <w:sz w:val="24"/>
                <w:szCs w:val="24"/>
              </w:rPr>
              <w:t xml:space="preserve"> Administrative Cost</w:t>
            </w:r>
            <w:r>
              <w:rPr>
                <w:rFonts w:ascii="Times New Roman" w:hAnsi="Times New Roman" w:cs="Times New Roman"/>
                <w:sz w:val="24"/>
                <w:szCs w:val="24"/>
              </w:rPr>
              <w:t xml:space="preserve"> (for FERC-516)</w:t>
            </w:r>
          </w:p>
        </w:tc>
        <w:tc>
          <w:tcPr>
            <w:tcW w:w="3201" w:type="dxa"/>
            <w:tcBorders>
              <w:top w:val="single" w:sz="4" w:space="0" w:color="auto"/>
              <w:left w:val="single" w:sz="4" w:space="0" w:color="auto"/>
              <w:bottom w:val="single" w:sz="4" w:space="0" w:color="auto"/>
              <w:right w:val="single" w:sz="4" w:space="0" w:color="auto"/>
            </w:tcBorders>
            <w:vAlign w:val="bottom"/>
          </w:tcPr>
          <w:p w14:paraId="0BDFA597" w14:textId="77777777" w:rsidR="001B3E94" w:rsidRDefault="001B3E94" w:rsidP="00983086">
            <w:pPr>
              <w:spacing w:after="0"/>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bottom"/>
          </w:tcPr>
          <w:p w14:paraId="1DE04C87" w14:textId="7476D287" w:rsidR="001B3E94" w:rsidRPr="00630A34" w:rsidRDefault="00C138F2" w:rsidP="00983086">
            <w:pPr>
              <w:spacing w:after="0"/>
              <w:jc w:val="right"/>
              <w:rPr>
                <w:rFonts w:ascii="Times New Roman" w:hAnsi="Times New Roman" w:cs="Times New Roman"/>
                <w:sz w:val="24"/>
                <w:szCs w:val="24"/>
              </w:rPr>
            </w:pPr>
            <w:r w:rsidRPr="00C138F2">
              <w:rPr>
                <w:rFonts w:ascii="Times New Roman" w:hAnsi="Times New Roman" w:cs="Times New Roman"/>
                <w:sz w:val="24"/>
                <w:szCs w:val="24"/>
              </w:rPr>
              <w:t>$5,193</w:t>
            </w:r>
          </w:p>
        </w:tc>
      </w:tr>
      <w:tr w:rsidR="00D306DD" w:rsidRPr="00630A34" w14:paraId="70B3BF9D" w14:textId="77777777" w:rsidTr="00983086">
        <w:tc>
          <w:tcPr>
            <w:tcW w:w="3182" w:type="dxa"/>
            <w:tcBorders>
              <w:top w:val="single" w:sz="4" w:space="0" w:color="auto"/>
              <w:left w:val="single" w:sz="4" w:space="0" w:color="auto"/>
              <w:bottom w:val="single" w:sz="4" w:space="0" w:color="auto"/>
              <w:right w:val="single" w:sz="4" w:space="0" w:color="auto"/>
            </w:tcBorders>
          </w:tcPr>
          <w:p w14:paraId="5DABFCEA" w14:textId="3ACAD5DC" w:rsidR="00D306DD" w:rsidRPr="00857577" w:rsidRDefault="00D306DD" w:rsidP="00630A34">
            <w:pPr>
              <w:spacing w:after="0"/>
              <w:rPr>
                <w:rFonts w:ascii="Times New Roman" w:hAnsi="Times New Roman" w:cs="Times New Roman"/>
                <w:sz w:val="24"/>
                <w:szCs w:val="24"/>
              </w:rPr>
            </w:pPr>
            <w:r>
              <w:rPr>
                <w:rFonts w:ascii="Times New Roman" w:hAnsi="Times New Roman" w:cs="Times New Roman"/>
                <w:sz w:val="24"/>
                <w:szCs w:val="24"/>
              </w:rPr>
              <w:t>Sub-Total for FERC-516</w:t>
            </w:r>
          </w:p>
        </w:tc>
        <w:tc>
          <w:tcPr>
            <w:tcW w:w="3201" w:type="dxa"/>
            <w:tcBorders>
              <w:top w:val="single" w:sz="4" w:space="0" w:color="auto"/>
              <w:left w:val="single" w:sz="4" w:space="0" w:color="auto"/>
              <w:bottom w:val="single" w:sz="4" w:space="0" w:color="auto"/>
              <w:right w:val="single" w:sz="4" w:space="0" w:color="auto"/>
            </w:tcBorders>
            <w:vAlign w:val="bottom"/>
          </w:tcPr>
          <w:p w14:paraId="2A127CC5" w14:textId="77777777" w:rsidR="00D306DD" w:rsidRDefault="00D306DD" w:rsidP="00983086">
            <w:pPr>
              <w:spacing w:after="0"/>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bottom"/>
          </w:tcPr>
          <w:p w14:paraId="22494A4A" w14:textId="62076257" w:rsidR="00D306DD" w:rsidRPr="00C138F2" w:rsidRDefault="00D306DD" w:rsidP="0028361F">
            <w:pPr>
              <w:spacing w:after="0"/>
              <w:jc w:val="right"/>
              <w:rPr>
                <w:rFonts w:ascii="Times New Roman" w:hAnsi="Times New Roman" w:cs="Times New Roman"/>
                <w:sz w:val="24"/>
                <w:szCs w:val="24"/>
              </w:rPr>
            </w:pPr>
            <w:r>
              <w:rPr>
                <w:rFonts w:ascii="Times New Roman" w:hAnsi="Times New Roman" w:cs="Times New Roman"/>
                <w:sz w:val="24"/>
                <w:szCs w:val="24"/>
              </w:rPr>
              <w:t>$</w:t>
            </w:r>
            <w:r w:rsidR="0028361F">
              <w:rPr>
                <w:rFonts w:ascii="Times New Roman" w:hAnsi="Times New Roman" w:cs="Times New Roman"/>
                <w:sz w:val="24"/>
                <w:szCs w:val="24"/>
              </w:rPr>
              <w:t>34,137</w:t>
            </w:r>
          </w:p>
        </w:tc>
      </w:tr>
      <w:tr w:rsidR="001B3E94" w:rsidRPr="00630A34" w14:paraId="618175FA" w14:textId="77777777" w:rsidTr="00363749">
        <w:tc>
          <w:tcPr>
            <w:tcW w:w="9378" w:type="dxa"/>
            <w:gridSpan w:val="3"/>
            <w:tcBorders>
              <w:top w:val="single" w:sz="4" w:space="0" w:color="auto"/>
              <w:left w:val="single" w:sz="4" w:space="0" w:color="auto"/>
              <w:bottom w:val="single" w:sz="4" w:space="0" w:color="auto"/>
              <w:right w:val="single" w:sz="4" w:space="0" w:color="auto"/>
            </w:tcBorders>
          </w:tcPr>
          <w:p w14:paraId="13EC0B7D" w14:textId="0D4F9E22" w:rsidR="001B3E94" w:rsidRPr="00983086" w:rsidRDefault="001B3E94" w:rsidP="00983086">
            <w:pPr>
              <w:spacing w:after="0"/>
              <w:jc w:val="center"/>
              <w:rPr>
                <w:rFonts w:ascii="Times New Roman" w:hAnsi="Times New Roman" w:cs="Times New Roman"/>
                <w:b/>
                <w:sz w:val="24"/>
                <w:szCs w:val="24"/>
              </w:rPr>
            </w:pPr>
            <w:r>
              <w:rPr>
                <w:rFonts w:ascii="Times New Roman" w:hAnsi="Times New Roman" w:cs="Times New Roman"/>
                <w:b/>
                <w:sz w:val="24"/>
                <w:szCs w:val="24"/>
              </w:rPr>
              <w:t>FERC-920</w:t>
            </w:r>
          </w:p>
        </w:tc>
      </w:tr>
      <w:tr w:rsidR="001B3E94" w:rsidRPr="00630A34" w14:paraId="262023DB" w14:textId="77777777" w:rsidTr="00983086">
        <w:tc>
          <w:tcPr>
            <w:tcW w:w="3182" w:type="dxa"/>
            <w:tcBorders>
              <w:top w:val="single" w:sz="4" w:space="0" w:color="auto"/>
              <w:left w:val="single" w:sz="4" w:space="0" w:color="auto"/>
              <w:bottom w:val="single" w:sz="4" w:space="0" w:color="auto"/>
              <w:right w:val="single" w:sz="4" w:space="0" w:color="auto"/>
            </w:tcBorders>
          </w:tcPr>
          <w:p w14:paraId="5ED82DF7" w14:textId="34CC673F" w:rsidR="001B3E94" w:rsidRDefault="000D16AE" w:rsidP="00482F51">
            <w:pPr>
              <w:spacing w:after="0"/>
              <w:rPr>
                <w:rFonts w:ascii="Times New Roman" w:hAnsi="Times New Roman" w:cs="Times New Roman"/>
                <w:sz w:val="24"/>
                <w:szCs w:val="24"/>
              </w:rPr>
            </w:pPr>
            <w:r>
              <w:rPr>
                <w:rFonts w:ascii="Times New Roman" w:hAnsi="Times New Roman" w:cs="Times New Roman"/>
                <w:sz w:val="24"/>
                <w:szCs w:val="24"/>
              </w:rPr>
              <w:t xml:space="preserve"> </w:t>
            </w:r>
            <w:r w:rsidR="00862AA0">
              <w:rPr>
                <w:rFonts w:ascii="Times New Roman" w:hAnsi="Times New Roman" w:cs="Times New Roman"/>
                <w:sz w:val="24"/>
                <w:szCs w:val="24"/>
              </w:rPr>
              <w:t xml:space="preserve">Addition </w:t>
            </w:r>
            <w:r>
              <w:rPr>
                <w:rFonts w:ascii="Times New Roman" w:hAnsi="Times New Roman" w:cs="Times New Roman"/>
                <w:sz w:val="24"/>
                <w:szCs w:val="24"/>
              </w:rPr>
              <w:t>of new EQR category</w:t>
            </w:r>
            <w:r w:rsidR="00482F51">
              <w:rPr>
                <w:rFonts w:ascii="Times New Roman" w:hAnsi="Times New Roman" w:cs="Times New Roman"/>
                <w:sz w:val="24"/>
                <w:szCs w:val="24"/>
              </w:rPr>
              <w:t xml:space="preserve"> </w:t>
            </w:r>
            <w:r w:rsidR="00862AA0">
              <w:rPr>
                <w:rFonts w:ascii="Times New Roman" w:hAnsi="Times New Roman" w:cs="Times New Roman"/>
                <w:sz w:val="24"/>
                <w:szCs w:val="24"/>
              </w:rPr>
              <w:t xml:space="preserve">label </w:t>
            </w:r>
            <w:r w:rsidR="00482F51">
              <w:rPr>
                <w:rFonts w:ascii="Times New Roman" w:hAnsi="Times New Roman" w:cs="Times New Roman"/>
                <w:sz w:val="24"/>
                <w:szCs w:val="24"/>
              </w:rPr>
              <w:t>in product picklist</w:t>
            </w:r>
          </w:p>
        </w:tc>
        <w:tc>
          <w:tcPr>
            <w:tcW w:w="3201" w:type="dxa"/>
            <w:tcBorders>
              <w:top w:val="single" w:sz="4" w:space="0" w:color="auto"/>
              <w:left w:val="single" w:sz="4" w:space="0" w:color="auto"/>
              <w:bottom w:val="single" w:sz="4" w:space="0" w:color="auto"/>
              <w:right w:val="single" w:sz="4" w:space="0" w:color="auto"/>
            </w:tcBorders>
            <w:vAlign w:val="bottom"/>
          </w:tcPr>
          <w:p w14:paraId="26683BD1" w14:textId="20A1A684" w:rsidR="001B3E94" w:rsidRPr="00630A34" w:rsidRDefault="001B3E94" w:rsidP="00983086">
            <w:pPr>
              <w:spacing w:after="0"/>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bottom"/>
          </w:tcPr>
          <w:p w14:paraId="07CB87A9" w14:textId="25B49A9A" w:rsidR="001B3E94" w:rsidRPr="00630A34" w:rsidRDefault="00862AA0" w:rsidP="00983086">
            <w:pPr>
              <w:spacing w:after="0"/>
              <w:jc w:val="right"/>
              <w:rPr>
                <w:rFonts w:ascii="Times New Roman" w:hAnsi="Times New Roman" w:cs="Times New Roman"/>
                <w:sz w:val="24"/>
                <w:szCs w:val="24"/>
              </w:rPr>
            </w:pPr>
            <w:r>
              <w:rPr>
                <w:rFonts w:ascii="Times New Roman" w:hAnsi="Times New Roman" w:cs="Times New Roman"/>
                <w:sz w:val="24"/>
                <w:szCs w:val="24"/>
              </w:rPr>
              <w:t>$1,000</w:t>
            </w:r>
          </w:p>
        </w:tc>
      </w:tr>
      <w:tr w:rsidR="001B3E94" w:rsidRPr="00857577" w14:paraId="7CFA3F7B" w14:textId="77777777" w:rsidTr="00983086">
        <w:tc>
          <w:tcPr>
            <w:tcW w:w="3182" w:type="dxa"/>
            <w:tcBorders>
              <w:top w:val="single" w:sz="4" w:space="0" w:color="auto"/>
              <w:left w:val="single" w:sz="4" w:space="0" w:color="auto"/>
              <w:bottom w:val="single" w:sz="4" w:space="0" w:color="auto"/>
              <w:right w:val="single" w:sz="4" w:space="0" w:color="auto"/>
            </w:tcBorders>
          </w:tcPr>
          <w:p w14:paraId="6E97BC7A" w14:textId="654BA00B" w:rsidR="001B3E94" w:rsidRPr="00857577" w:rsidRDefault="001B3E94" w:rsidP="001B3E94">
            <w:pPr>
              <w:spacing w:after="0"/>
              <w:rPr>
                <w:rFonts w:ascii="Times New Roman" w:hAnsi="Times New Roman" w:cs="Times New Roman"/>
                <w:sz w:val="24"/>
                <w:szCs w:val="24"/>
              </w:rPr>
            </w:pPr>
            <w:r>
              <w:rPr>
                <w:rFonts w:ascii="Times New Roman" w:hAnsi="Times New Roman" w:cs="Times New Roman"/>
                <w:sz w:val="24"/>
                <w:szCs w:val="24"/>
              </w:rPr>
              <w:t>PRA Administrative Cost (for FERC-</w:t>
            </w:r>
            <w:r w:rsidR="00583B41">
              <w:rPr>
                <w:rFonts w:ascii="Times New Roman" w:hAnsi="Times New Roman" w:cs="Times New Roman"/>
                <w:sz w:val="24"/>
                <w:szCs w:val="24"/>
              </w:rPr>
              <w:t>920)</w:t>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bottom"/>
          </w:tcPr>
          <w:p w14:paraId="4E2677F9" w14:textId="77777777" w:rsidR="001B3E94" w:rsidRPr="00D306DD" w:rsidRDefault="001B3E94" w:rsidP="00983086">
            <w:pPr>
              <w:spacing w:after="0"/>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bottom"/>
          </w:tcPr>
          <w:p w14:paraId="34D57BC7" w14:textId="0D778ADE" w:rsidR="001B3E94" w:rsidRPr="00857577" w:rsidRDefault="00C138F2" w:rsidP="00983086">
            <w:pPr>
              <w:spacing w:after="0"/>
              <w:jc w:val="right"/>
              <w:rPr>
                <w:rFonts w:ascii="Times New Roman" w:hAnsi="Times New Roman" w:cs="Times New Roman"/>
                <w:sz w:val="24"/>
                <w:szCs w:val="24"/>
              </w:rPr>
            </w:pPr>
            <w:r w:rsidRPr="00C138F2">
              <w:rPr>
                <w:rFonts w:ascii="Times New Roman" w:hAnsi="Times New Roman" w:cs="Times New Roman"/>
                <w:sz w:val="24"/>
                <w:szCs w:val="24"/>
              </w:rPr>
              <w:t>$5,193</w:t>
            </w:r>
          </w:p>
        </w:tc>
      </w:tr>
      <w:tr w:rsidR="00D306DD" w:rsidRPr="00857577" w14:paraId="42BA7FA9" w14:textId="77777777" w:rsidTr="00983086">
        <w:tc>
          <w:tcPr>
            <w:tcW w:w="3182" w:type="dxa"/>
            <w:tcBorders>
              <w:top w:val="single" w:sz="4" w:space="0" w:color="auto"/>
              <w:left w:val="single" w:sz="4" w:space="0" w:color="auto"/>
              <w:bottom w:val="single" w:sz="4" w:space="0" w:color="auto"/>
              <w:right w:val="single" w:sz="4" w:space="0" w:color="auto"/>
            </w:tcBorders>
          </w:tcPr>
          <w:p w14:paraId="68CB3C7A" w14:textId="07C057E1" w:rsidR="00D306DD" w:rsidRDefault="00D306DD" w:rsidP="001B3E94">
            <w:pPr>
              <w:spacing w:after="0"/>
              <w:rPr>
                <w:rFonts w:ascii="Times New Roman" w:hAnsi="Times New Roman" w:cs="Times New Roman"/>
                <w:sz w:val="24"/>
                <w:szCs w:val="24"/>
              </w:rPr>
            </w:pPr>
            <w:r>
              <w:rPr>
                <w:rFonts w:ascii="Times New Roman" w:hAnsi="Times New Roman" w:cs="Times New Roman"/>
                <w:sz w:val="24"/>
                <w:szCs w:val="24"/>
              </w:rPr>
              <w:t>Sub-Total for FERC-920</w:t>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bottom"/>
          </w:tcPr>
          <w:p w14:paraId="57DC10B3" w14:textId="77777777" w:rsidR="00D306DD" w:rsidRPr="00D306DD" w:rsidRDefault="00D306DD" w:rsidP="00983086">
            <w:pPr>
              <w:spacing w:after="0"/>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bottom"/>
          </w:tcPr>
          <w:p w14:paraId="307990F3" w14:textId="10C1F9E0" w:rsidR="00D306DD" w:rsidRPr="00C138F2" w:rsidRDefault="00C33EDB" w:rsidP="00983086">
            <w:pPr>
              <w:spacing w:after="0"/>
              <w:jc w:val="right"/>
              <w:rPr>
                <w:rFonts w:ascii="Times New Roman" w:hAnsi="Times New Roman" w:cs="Times New Roman"/>
                <w:sz w:val="24"/>
                <w:szCs w:val="24"/>
              </w:rPr>
            </w:pPr>
            <w:r>
              <w:rPr>
                <w:rFonts w:ascii="Times New Roman" w:hAnsi="Times New Roman" w:cs="Times New Roman"/>
                <w:sz w:val="24"/>
                <w:szCs w:val="24"/>
              </w:rPr>
              <w:t>$6,193</w:t>
            </w:r>
          </w:p>
        </w:tc>
      </w:tr>
      <w:tr w:rsidR="001B3E94" w:rsidRPr="0028361F" w14:paraId="29F0C4D2" w14:textId="77777777" w:rsidTr="00D306DD">
        <w:tc>
          <w:tcPr>
            <w:tcW w:w="3182" w:type="dxa"/>
            <w:tcBorders>
              <w:top w:val="single" w:sz="4" w:space="0" w:color="auto"/>
              <w:left w:val="single" w:sz="4" w:space="0" w:color="auto"/>
              <w:bottom w:val="single" w:sz="4" w:space="0" w:color="auto"/>
              <w:right w:val="single" w:sz="4" w:space="0" w:color="auto"/>
            </w:tcBorders>
            <w:hideMark/>
          </w:tcPr>
          <w:p w14:paraId="354D3BDB" w14:textId="0B0C2141" w:rsidR="001B3E94" w:rsidRPr="00857577" w:rsidRDefault="001B3E94" w:rsidP="00630A34">
            <w:pPr>
              <w:spacing w:after="0"/>
              <w:rPr>
                <w:rFonts w:ascii="Times New Roman" w:hAnsi="Times New Roman" w:cs="Times New Roman"/>
                <w:b/>
                <w:sz w:val="24"/>
                <w:szCs w:val="24"/>
              </w:rPr>
            </w:pPr>
            <w:r w:rsidRPr="00857577">
              <w:rPr>
                <w:rFonts w:ascii="Times New Roman" w:hAnsi="Times New Roman" w:cs="Times New Roman"/>
                <w:b/>
                <w:sz w:val="24"/>
                <w:szCs w:val="24"/>
              </w:rPr>
              <w:t>FERC Total</w:t>
            </w:r>
            <w:r w:rsidR="00D306DD">
              <w:rPr>
                <w:rFonts w:ascii="Times New Roman" w:hAnsi="Times New Roman" w:cs="Times New Roman"/>
                <w:b/>
                <w:sz w:val="24"/>
                <w:szCs w:val="24"/>
              </w:rPr>
              <w:t xml:space="preserve"> for FERC-516 and FERC-920</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bottom"/>
            <w:hideMark/>
          </w:tcPr>
          <w:p w14:paraId="6EFE033E" w14:textId="77777777" w:rsidR="001B3E94" w:rsidRPr="00857577" w:rsidRDefault="001B3E94" w:rsidP="00983086">
            <w:pPr>
              <w:spacing w:after="0"/>
              <w:jc w:val="right"/>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bottom"/>
            <w:hideMark/>
          </w:tcPr>
          <w:p w14:paraId="21CF54B1" w14:textId="747DEC7E" w:rsidR="001B3E94" w:rsidRPr="00843A92" w:rsidRDefault="00D306DD" w:rsidP="0028361F">
            <w:pPr>
              <w:spacing w:after="0"/>
              <w:jc w:val="right"/>
              <w:rPr>
                <w:rFonts w:ascii="Times New Roman" w:hAnsi="Times New Roman" w:cs="Times New Roman"/>
                <w:sz w:val="24"/>
                <w:szCs w:val="24"/>
              </w:rPr>
            </w:pPr>
            <w:r w:rsidRPr="00843A92">
              <w:rPr>
                <w:rFonts w:ascii="Times New Roman" w:hAnsi="Times New Roman" w:cs="Times New Roman"/>
                <w:sz w:val="24"/>
                <w:szCs w:val="24"/>
              </w:rPr>
              <w:t>$</w:t>
            </w:r>
            <w:r w:rsidR="0028361F" w:rsidRPr="00843A92">
              <w:rPr>
                <w:rFonts w:ascii="Times New Roman" w:hAnsi="Times New Roman" w:cs="Times New Roman"/>
                <w:sz w:val="24"/>
                <w:szCs w:val="24"/>
              </w:rPr>
              <w:t>40,330</w:t>
            </w:r>
          </w:p>
        </w:tc>
      </w:tr>
    </w:tbl>
    <w:p w14:paraId="64E41800" w14:textId="77777777" w:rsidR="00630A34" w:rsidRPr="00857577" w:rsidRDefault="00630A34" w:rsidP="00A276F5">
      <w:pPr>
        <w:spacing w:after="0"/>
        <w:rPr>
          <w:rFonts w:ascii="Times New Roman" w:hAnsi="Times New Roman" w:cs="Times New Roman"/>
          <w:sz w:val="24"/>
          <w:szCs w:val="24"/>
        </w:rPr>
      </w:pPr>
    </w:p>
    <w:p w14:paraId="70DCF6CA" w14:textId="4772880E" w:rsidR="00983086" w:rsidRPr="00983086" w:rsidRDefault="00983086" w:rsidP="00983086">
      <w:pPr>
        <w:spacing w:after="0"/>
        <w:rPr>
          <w:rFonts w:ascii="Times New Roman" w:hAnsi="Times New Roman" w:cs="Times New Roman"/>
          <w:sz w:val="24"/>
          <w:szCs w:val="24"/>
        </w:rPr>
      </w:pPr>
    </w:p>
    <w:p w14:paraId="67F48A55" w14:textId="77777777" w:rsidR="00983086" w:rsidRDefault="00983086" w:rsidP="006B437C">
      <w:pPr>
        <w:spacing w:after="0"/>
        <w:rPr>
          <w:rFonts w:ascii="Times New Roman" w:hAnsi="Times New Roman" w:cs="Times New Roman"/>
          <w:sz w:val="24"/>
          <w:szCs w:val="24"/>
        </w:rPr>
      </w:pPr>
    </w:p>
    <w:p w14:paraId="05FE7712" w14:textId="7CCB139B" w:rsidR="00154181" w:rsidRPr="00C12232" w:rsidRDefault="006B437C" w:rsidP="006B437C">
      <w:pPr>
        <w:spacing w:after="0"/>
        <w:rPr>
          <w:rFonts w:ascii="Times New Roman" w:hAnsi="Times New Roman" w:cs="Times New Roman"/>
          <w:sz w:val="24"/>
          <w:szCs w:val="24"/>
        </w:rPr>
      </w:pPr>
      <w:r w:rsidRPr="00857577">
        <w:rPr>
          <w:rFonts w:ascii="Times New Roman" w:hAnsi="Times New Roman" w:cs="Times New Roman"/>
          <w:sz w:val="24"/>
          <w:szCs w:val="24"/>
        </w:rPr>
        <w:t xml:space="preserve">These additional costs </w:t>
      </w:r>
      <w:r w:rsidR="00C12232">
        <w:rPr>
          <w:rFonts w:ascii="Times New Roman" w:hAnsi="Times New Roman" w:cs="Times New Roman"/>
          <w:sz w:val="24"/>
          <w:szCs w:val="24"/>
        </w:rPr>
        <w:t xml:space="preserve">for the NOPR in RM15-2 </w:t>
      </w:r>
      <w:r w:rsidRPr="00857577">
        <w:rPr>
          <w:rFonts w:ascii="Times New Roman" w:hAnsi="Times New Roman" w:cs="Times New Roman"/>
          <w:sz w:val="24"/>
          <w:szCs w:val="24"/>
        </w:rPr>
        <w:t>will be added to th</w:t>
      </w:r>
      <w:r w:rsidRPr="00C12232">
        <w:rPr>
          <w:rFonts w:ascii="Times New Roman" w:hAnsi="Times New Roman" w:cs="Times New Roman"/>
          <w:sz w:val="24"/>
          <w:szCs w:val="24"/>
        </w:rPr>
        <w:t>e existing Federal</w:t>
      </w:r>
      <w:r w:rsidR="001C1550" w:rsidRPr="00C12232">
        <w:rPr>
          <w:rFonts w:ascii="Times New Roman" w:hAnsi="Times New Roman" w:cs="Times New Roman"/>
          <w:sz w:val="24"/>
          <w:szCs w:val="24"/>
        </w:rPr>
        <w:t xml:space="preserve"> costs for</w:t>
      </w:r>
    </w:p>
    <w:p w14:paraId="3C6BFF56" w14:textId="4712C571" w:rsidR="00154181" w:rsidRPr="00C12232" w:rsidRDefault="00154181" w:rsidP="00C12232">
      <w:pPr>
        <w:pStyle w:val="ListParagraph"/>
        <w:numPr>
          <w:ilvl w:val="0"/>
          <w:numId w:val="5"/>
        </w:numPr>
        <w:spacing w:after="0"/>
        <w:rPr>
          <w:rFonts w:ascii="Times New Roman" w:hAnsi="Times New Roman" w:cs="Times New Roman"/>
          <w:sz w:val="24"/>
          <w:szCs w:val="24"/>
        </w:rPr>
      </w:pPr>
      <w:r w:rsidRPr="00C12232">
        <w:rPr>
          <w:rFonts w:ascii="Times New Roman" w:hAnsi="Times New Roman" w:cs="Times New Roman"/>
          <w:sz w:val="24"/>
          <w:szCs w:val="24"/>
        </w:rPr>
        <w:t xml:space="preserve">FERC-516, of </w:t>
      </w:r>
      <w:r w:rsidR="001C1550" w:rsidRPr="00C12232">
        <w:rPr>
          <w:rFonts w:ascii="Times New Roman" w:hAnsi="Times New Roman" w:cs="Times New Roman"/>
          <w:sz w:val="24"/>
          <w:szCs w:val="24"/>
        </w:rPr>
        <w:t>$2,</w:t>
      </w:r>
      <w:r w:rsidR="005474BF" w:rsidRPr="00C12232">
        <w:rPr>
          <w:rFonts w:ascii="Times New Roman" w:hAnsi="Times New Roman" w:cs="Times New Roman"/>
          <w:sz w:val="24"/>
          <w:szCs w:val="24"/>
        </w:rPr>
        <w:t>808,964</w:t>
      </w:r>
      <w:r w:rsidR="00AD14B6" w:rsidRPr="00843A92">
        <w:rPr>
          <w:rStyle w:val="FootnoteReference"/>
          <w:rFonts w:ascii="Times New Roman" w:hAnsi="Times New Roman" w:cs="Times New Roman"/>
          <w:sz w:val="24"/>
          <w:szCs w:val="24"/>
          <w:vertAlign w:val="superscript"/>
        </w:rPr>
        <w:footnoteReference w:id="10"/>
      </w:r>
      <w:r w:rsidRPr="00C12232">
        <w:rPr>
          <w:rFonts w:ascii="Times New Roman" w:hAnsi="Times New Roman" w:cs="Times New Roman"/>
          <w:sz w:val="24"/>
          <w:szCs w:val="24"/>
        </w:rPr>
        <w:t xml:space="preserve">, giving a new total of </w:t>
      </w:r>
      <w:r w:rsidR="00C12232" w:rsidRPr="00C12232">
        <w:rPr>
          <w:rFonts w:ascii="Times New Roman" w:hAnsi="Times New Roman" w:cs="Times New Roman"/>
          <w:sz w:val="24"/>
          <w:szCs w:val="24"/>
        </w:rPr>
        <w:t>$2,843,101</w:t>
      </w:r>
    </w:p>
    <w:p w14:paraId="6594901D" w14:textId="052ECDE2" w:rsidR="00983086" w:rsidRDefault="00154181" w:rsidP="0070799F">
      <w:pPr>
        <w:pStyle w:val="ListParagraph"/>
        <w:numPr>
          <w:ilvl w:val="0"/>
          <w:numId w:val="5"/>
        </w:numPr>
        <w:spacing w:after="0"/>
        <w:rPr>
          <w:rFonts w:ascii="Times New Roman" w:hAnsi="Times New Roman" w:cs="Times New Roman"/>
          <w:sz w:val="24"/>
          <w:szCs w:val="24"/>
        </w:rPr>
      </w:pPr>
      <w:r w:rsidRPr="00CD78AF">
        <w:rPr>
          <w:rFonts w:ascii="Times New Roman" w:hAnsi="Times New Roman" w:cs="Times New Roman"/>
          <w:sz w:val="24"/>
          <w:szCs w:val="24"/>
        </w:rPr>
        <w:lastRenderedPageBreak/>
        <w:t xml:space="preserve">FERC-920, of </w:t>
      </w:r>
      <w:r w:rsidR="0070799F" w:rsidRPr="00B95800">
        <w:rPr>
          <w:rFonts w:ascii="Times New Roman" w:hAnsi="Times New Roman" w:cs="Times New Roman"/>
          <w:sz w:val="24"/>
          <w:szCs w:val="24"/>
        </w:rPr>
        <w:t>$</w:t>
      </w:r>
      <w:r w:rsidR="0070799F">
        <w:rPr>
          <w:rFonts w:ascii="Times New Roman" w:hAnsi="Times New Roman" w:cs="Times New Roman"/>
          <w:sz w:val="24"/>
          <w:szCs w:val="24"/>
        </w:rPr>
        <w:t xml:space="preserve">518,940, giving a new </w:t>
      </w:r>
      <w:r w:rsidR="0070799F" w:rsidRPr="00C12232">
        <w:rPr>
          <w:rFonts w:ascii="Times New Roman" w:hAnsi="Times New Roman" w:cs="Times New Roman"/>
          <w:sz w:val="24"/>
          <w:szCs w:val="24"/>
        </w:rPr>
        <w:t xml:space="preserve">total of </w:t>
      </w:r>
      <w:r w:rsidR="00C12232" w:rsidRPr="00C12232">
        <w:rPr>
          <w:rFonts w:ascii="Times New Roman" w:hAnsi="Times New Roman" w:cs="Times New Roman"/>
          <w:sz w:val="24"/>
          <w:szCs w:val="24"/>
        </w:rPr>
        <w:t>$525,133</w:t>
      </w:r>
    </w:p>
    <w:p w14:paraId="48BC8A05" w14:textId="77777777" w:rsidR="006B437C" w:rsidRPr="006B437C" w:rsidRDefault="006B437C" w:rsidP="006B437C">
      <w:pPr>
        <w:spacing w:after="0"/>
        <w:rPr>
          <w:rFonts w:ascii="Times New Roman" w:hAnsi="Times New Roman" w:cs="Times New Roman"/>
          <w:sz w:val="24"/>
          <w:szCs w:val="24"/>
        </w:rPr>
      </w:pPr>
    </w:p>
    <w:p w14:paraId="42D17F53" w14:textId="7DAEF96B" w:rsidR="00630A34" w:rsidRDefault="006B437C" w:rsidP="006B437C">
      <w:pPr>
        <w:spacing w:after="0"/>
        <w:rPr>
          <w:rFonts w:ascii="Times New Roman" w:hAnsi="Times New Roman" w:cs="Times New Roman"/>
          <w:sz w:val="24"/>
          <w:szCs w:val="24"/>
        </w:rPr>
      </w:pPr>
      <w:r w:rsidRPr="006B437C">
        <w:rPr>
          <w:rFonts w:ascii="Times New Roman" w:hAnsi="Times New Roman" w:cs="Times New Roman"/>
          <w:sz w:val="24"/>
          <w:szCs w:val="24"/>
        </w:rPr>
        <w:t>The Commission bases its estimate of the ‘Analysis and Processing of filings’ cost to the Federal Government on salaries and benefits for professional and clerical support.  This estimated cost represents staff analysis, decision making, and review of any actual filings made in response to the information collection</w:t>
      </w:r>
      <w:r w:rsidR="00AB4B12">
        <w:rPr>
          <w:rFonts w:ascii="Times New Roman" w:hAnsi="Times New Roman" w:cs="Times New Roman"/>
          <w:sz w:val="24"/>
          <w:szCs w:val="24"/>
        </w:rPr>
        <w:t>s</w:t>
      </w:r>
      <w:r w:rsidRPr="006B437C">
        <w:rPr>
          <w:rFonts w:ascii="Times New Roman" w:hAnsi="Times New Roman" w:cs="Times New Roman"/>
          <w:sz w:val="24"/>
          <w:szCs w:val="24"/>
        </w:rPr>
        <w:t xml:space="preserve">.  </w:t>
      </w:r>
    </w:p>
    <w:p w14:paraId="35ABC53E" w14:textId="77777777" w:rsidR="006B437C" w:rsidRPr="00A276F5" w:rsidRDefault="006B437C" w:rsidP="006B437C">
      <w:pPr>
        <w:spacing w:after="0"/>
        <w:rPr>
          <w:rFonts w:ascii="Times New Roman" w:hAnsi="Times New Roman" w:cs="Times New Roman"/>
          <w:sz w:val="24"/>
          <w:szCs w:val="24"/>
        </w:rPr>
      </w:pPr>
    </w:p>
    <w:p w14:paraId="6FBC9124" w14:textId="77777777"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bookmarkStart w:id="0" w:name="_GoBack"/>
      <w:bookmarkEnd w:id="0"/>
    </w:p>
    <w:p w14:paraId="611B0F04" w14:textId="77777777" w:rsidR="003316E0" w:rsidRPr="003316E0" w:rsidRDefault="003316E0" w:rsidP="003316E0">
      <w:pPr>
        <w:spacing w:after="0"/>
        <w:rPr>
          <w:rFonts w:ascii="Times New Roman" w:hAnsi="Times New Roman" w:cs="Times New Roman"/>
          <w:sz w:val="24"/>
          <w:szCs w:val="24"/>
        </w:rPr>
      </w:pPr>
    </w:p>
    <w:p w14:paraId="2682FF20" w14:textId="49566A2E" w:rsidR="003515F8" w:rsidRDefault="003515F8" w:rsidP="003316E0">
      <w:pPr>
        <w:spacing w:after="0"/>
        <w:rPr>
          <w:rFonts w:ascii="Times New Roman" w:hAnsi="Times New Roman" w:cs="Times New Roman"/>
          <w:sz w:val="24"/>
          <w:szCs w:val="24"/>
        </w:rPr>
      </w:pPr>
      <w:r>
        <w:rPr>
          <w:rFonts w:ascii="Times New Roman" w:hAnsi="Times New Roman" w:cs="Times New Roman"/>
          <w:sz w:val="24"/>
          <w:szCs w:val="24"/>
        </w:rPr>
        <w:t xml:space="preserve">With respect to both FERC-516 and FERC-920, </w:t>
      </w:r>
      <w:r w:rsidRPr="003515F8">
        <w:rPr>
          <w:rFonts w:ascii="Times New Roman" w:hAnsi="Times New Roman" w:cs="Times New Roman"/>
          <w:sz w:val="24"/>
          <w:szCs w:val="24"/>
        </w:rPr>
        <w:t xml:space="preserve">FERC requires this information (much of which is unaffected by this NOPR) in order to perform its mandated oversight and review responsibilities with respect to electric market-based rates being just and reasonable.  Without this information, the Commission would be unable to meet its statutory responsibility under Section 205 of the FPA to ensure </w:t>
      </w:r>
      <w:r w:rsidR="008A1B1F" w:rsidRPr="00940395">
        <w:rPr>
          <w:rFonts w:ascii="Times New Roman" w:hAnsi="Times New Roman" w:cs="Times New Roman"/>
          <w:sz w:val="24"/>
          <w:szCs w:val="24"/>
        </w:rPr>
        <w:t>public</w:t>
      </w:r>
      <w:r w:rsidRPr="003515F8">
        <w:rPr>
          <w:rFonts w:ascii="Times New Roman" w:hAnsi="Times New Roman" w:cs="Times New Roman"/>
          <w:sz w:val="24"/>
          <w:szCs w:val="24"/>
        </w:rPr>
        <w:t xml:space="preserve"> utility rates and tariffs are just and reasonable.  Failing to meet this responsibility could result in public utilities charging rates that are not just and reasonable.</w:t>
      </w:r>
    </w:p>
    <w:p w14:paraId="6FBC9127" w14:textId="0A823583" w:rsidR="00970FE4" w:rsidRDefault="003316E0" w:rsidP="003316E0">
      <w:pPr>
        <w:spacing w:after="0"/>
        <w:rPr>
          <w:rFonts w:ascii="Times New Roman" w:hAnsi="Times New Roman" w:cs="Times New Roman"/>
          <w:sz w:val="24"/>
          <w:szCs w:val="24"/>
        </w:rPr>
      </w:pPr>
      <w:r w:rsidRPr="00A3140F">
        <w:rPr>
          <w:rFonts w:ascii="Times New Roman" w:hAnsi="Times New Roman" w:cs="Times New Roman"/>
          <w:sz w:val="24"/>
          <w:szCs w:val="24"/>
        </w:rPr>
        <w:t>The</w:t>
      </w:r>
      <w:r w:rsidR="00A3140F">
        <w:rPr>
          <w:rFonts w:ascii="Times New Roman" w:hAnsi="Times New Roman" w:cs="Times New Roman"/>
          <w:sz w:val="24"/>
          <w:szCs w:val="24"/>
        </w:rPr>
        <w:t>re is a one-time increase in the</w:t>
      </w:r>
      <w:r w:rsidRPr="00A3140F">
        <w:rPr>
          <w:rFonts w:ascii="Times New Roman" w:hAnsi="Times New Roman" w:cs="Times New Roman"/>
          <w:sz w:val="24"/>
          <w:szCs w:val="24"/>
        </w:rPr>
        <w:t xml:space="preserve"> burden for both the FERC-516 and FERC-</w:t>
      </w:r>
      <w:r w:rsidR="006A4AD1" w:rsidRPr="00A3140F">
        <w:rPr>
          <w:rFonts w:ascii="Times New Roman" w:hAnsi="Times New Roman" w:cs="Times New Roman"/>
          <w:sz w:val="24"/>
          <w:szCs w:val="24"/>
        </w:rPr>
        <w:t xml:space="preserve">920 </w:t>
      </w:r>
      <w:r w:rsidRPr="00A3140F">
        <w:rPr>
          <w:rFonts w:ascii="Times New Roman" w:hAnsi="Times New Roman" w:cs="Times New Roman"/>
          <w:sz w:val="24"/>
          <w:szCs w:val="24"/>
        </w:rPr>
        <w:t>information collections</w:t>
      </w:r>
      <w:r w:rsidR="00A3140F">
        <w:rPr>
          <w:rFonts w:ascii="Times New Roman" w:hAnsi="Times New Roman" w:cs="Times New Roman"/>
          <w:sz w:val="24"/>
          <w:szCs w:val="24"/>
        </w:rPr>
        <w:t>.</w:t>
      </w:r>
      <w:r w:rsidR="001D5974">
        <w:rPr>
          <w:rFonts w:ascii="Times New Roman" w:hAnsi="Times New Roman" w:cs="Times New Roman"/>
          <w:sz w:val="24"/>
          <w:szCs w:val="24"/>
        </w:rPr>
        <w:t xml:space="preserve">  </w:t>
      </w:r>
      <w:r w:rsidRPr="00A3140F">
        <w:rPr>
          <w:rFonts w:ascii="Times New Roman" w:hAnsi="Times New Roman" w:cs="Times New Roman"/>
          <w:sz w:val="24"/>
          <w:szCs w:val="24"/>
        </w:rPr>
        <w:t>The following burden estimate</w:t>
      </w:r>
      <w:r w:rsidR="001606B6">
        <w:rPr>
          <w:rFonts w:ascii="Times New Roman" w:hAnsi="Times New Roman" w:cs="Times New Roman"/>
          <w:sz w:val="24"/>
          <w:szCs w:val="24"/>
        </w:rPr>
        <w:t>s</w:t>
      </w:r>
      <w:r w:rsidRPr="00A3140F">
        <w:rPr>
          <w:rFonts w:ascii="Times New Roman" w:hAnsi="Times New Roman" w:cs="Times New Roman"/>
          <w:sz w:val="24"/>
          <w:szCs w:val="24"/>
        </w:rPr>
        <w:t xml:space="preserve"> </w:t>
      </w:r>
      <w:r w:rsidR="001606B6">
        <w:rPr>
          <w:rFonts w:ascii="Times New Roman" w:hAnsi="Times New Roman" w:cs="Times New Roman"/>
          <w:sz w:val="24"/>
          <w:szCs w:val="24"/>
        </w:rPr>
        <w:t>are</w:t>
      </w:r>
      <w:r w:rsidRPr="00A3140F">
        <w:rPr>
          <w:rFonts w:ascii="Times New Roman" w:hAnsi="Times New Roman" w:cs="Times New Roman"/>
          <w:sz w:val="24"/>
          <w:szCs w:val="24"/>
        </w:rPr>
        <w:t xml:space="preserve"> based on the projected burden for the industry to </w:t>
      </w:r>
      <w:r w:rsidRPr="00B95800">
        <w:rPr>
          <w:rFonts w:ascii="Times New Roman" w:hAnsi="Times New Roman" w:cs="Times New Roman"/>
          <w:sz w:val="24"/>
          <w:szCs w:val="24"/>
        </w:rPr>
        <w:t>implement the new</w:t>
      </w:r>
      <w:r w:rsidR="006A4AD1" w:rsidRPr="00B95800">
        <w:rPr>
          <w:rFonts w:ascii="Times New Roman" w:hAnsi="Times New Roman" w:cs="Times New Roman"/>
          <w:sz w:val="24"/>
          <w:szCs w:val="24"/>
        </w:rPr>
        <w:t xml:space="preserve"> requirements</w:t>
      </w:r>
      <w:r w:rsidRPr="00B95800">
        <w:rPr>
          <w:rFonts w:ascii="Times New Roman" w:hAnsi="Times New Roman" w:cs="Times New Roman"/>
          <w:sz w:val="24"/>
          <w:szCs w:val="24"/>
        </w:rPr>
        <w:t xml:space="preserve"> </w:t>
      </w:r>
      <w:r w:rsidRPr="00A3140F">
        <w:rPr>
          <w:rFonts w:ascii="Times New Roman" w:hAnsi="Times New Roman" w:cs="Times New Roman"/>
          <w:sz w:val="24"/>
          <w:szCs w:val="24"/>
        </w:rPr>
        <w:t>in this NOPR</w:t>
      </w:r>
      <w:r w:rsidR="001606B6">
        <w:rPr>
          <w:rFonts w:ascii="Times New Roman" w:hAnsi="Times New Roman" w:cs="Times New Roman"/>
          <w:sz w:val="24"/>
          <w:szCs w:val="24"/>
        </w:rPr>
        <w:t xml:space="preserve">, </w:t>
      </w:r>
      <w:r w:rsidR="001D5974">
        <w:rPr>
          <w:rFonts w:ascii="Times New Roman" w:hAnsi="Times New Roman" w:cs="Times New Roman"/>
          <w:sz w:val="24"/>
          <w:szCs w:val="24"/>
        </w:rPr>
        <w:t xml:space="preserve">and </w:t>
      </w:r>
      <w:r w:rsidR="001606B6">
        <w:rPr>
          <w:rFonts w:ascii="Times New Roman" w:hAnsi="Times New Roman" w:cs="Times New Roman"/>
          <w:sz w:val="24"/>
          <w:szCs w:val="24"/>
        </w:rPr>
        <w:t xml:space="preserve">the gradual phase-in that we expect of </w:t>
      </w:r>
      <w:r w:rsidR="001D5974" w:rsidRPr="001D5974">
        <w:rPr>
          <w:rFonts w:ascii="Times New Roman" w:hAnsi="Times New Roman" w:cs="Times New Roman"/>
          <w:sz w:val="24"/>
          <w:szCs w:val="24"/>
        </w:rPr>
        <w:t xml:space="preserve">filers </w:t>
      </w:r>
      <w:r w:rsidR="001D5974">
        <w:rPr>
          <w:rFonts w:ascii="Times New Roman" w:hAnsi="Times New Roman" w:cs="Times New Roman"/>
          <w:sz w:val="24"/>
          <w:szCs w:val="24"/>
        </w:rPr>
        <w:t>choosing to provide</w:t>
      </w:r>
      <w:r w:rsidR="001D5974" w:rsidRPr="001D5974">
        <w:rPr>
          <w:rFonts w:ascii="Times New Roman" w:hAnsi="Times New Roman" w:cs="Times New Roman"/>
          <w:sz w:val="24"/>
          <w:szCs w:val="24"/>
        </w:rPr>
        <w:t xml:space="preserve"> new primary frequency response service</w:t>
      </w:r>
      <w:r w:rsidRPr="00A3140F">
        <w:rPr>
          <w:rFonts w:ascii="Times New Roman" w:hAnsi="Times New Roman" w:cs="Times New Roman"/>
          <w:sz w:val="24"/>
          <w:szCs w:val="24"/>
        </w:rPr>
        <w:t>.</w:t>
      </w:r>
    </w:p>
    <w:p w14:paraId="2B04257F" w14:textId="77777777" w:rsidR="00D76508" w:rsidRDefault="00D76508" w:rsidP="003316E0">
      <w:pPr>
        <w:spacing w:after="0"/>
        <w:rPr>
          <w:rFonts w:ascii="Times New Roman" w:hAnsi="Times New Roman" w:cs="Times New Roman"/>
          <w:sz w:val="24"/>
          <w:szCs w:val="24"/>
        </w:rPr>
      </w:pPr>
    </w:p>
    <w:p w14:paraId="4EA6E205" w14:textId="77777777" w:rsidR="00230C1A" w:rsidRDefault="00230C1A" w:rsidP="003316E0">
      <w:pPr>
        <w:spacing w:after="0"/>
        <w:rPr>
          <w:rFonts w:ascii="Times New Roman" w:hAnsi="Times New Roman" w:cs="Times New Roman"/>
          <w:sz w:val="24"/>
          <w:szCs w:val="24"/>
        </w:rPr>
      </w:pPr>
    </w:p>
    <w:p w14:paraId="4A1FB19A" w14:textId="77777777" w:rsidR="00D76508" w:rsidRPr="00D76508" w:rsidRDefault="00D76508" w:rsidP="00D76508">
      <w:pPr>
        <w:spacing w:after="0"/>
        <w:rPr>
          <w:rFonts w:ascii="Times New Roman" w:hAnsi="Times New Roman" w:cs="Times New Roman"/>
          <w:sz w:val="24"/>
          <w:szCs w:val="24"/>
        </w:rPr>
      </w:pPr>
    </w:p>
    <w:tbl>
      <w:tblPr>
        <w:tblW w:w="105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77"/>
        <w:gridCol w:w="1890"/>
        <w:gridCol w:w="1710"/>
        <w:gridCol w:w="1620"/>
        <w:gridCol w:w="1748"/>
        <w:gridCol w:w="1545"/>
      </w:tblGrid>
      <w:tr w:rsidR="00220CB1" w:rsidRPr="00220CB1" w14:paraId="1116966C" w14:textId="77777777" w:rsidTr="00220CB1">
        <w:trPr>
          <w:cantSplit/>
        </w:trPr>
        <w:tc>
          <w:tcPr>
            <w:tcW w:w="10590"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01255ABC" w14:textId="77777777" w:rsidR="00220CB1" w:rsidRPr="00220CB1" w:rsidRDefault="00220CB1" w:rsidP="00220CB1">
            <w:pPr>
              <w:keepNext/>
              <w:widowControl w:val="0"/>
              <w:autoSpaceDE w:val="0"/>
              <w:autoSpaceDN w:val="0"/>
              <w:adjustRightInd w:val="0"/>
              <w:spacing w:after="0" w:line="240" w:lineRule="auto"/>
              <w:jc w:val="center"/>
              <w:rPr>
                <w:rFonts w:ascii="Times New Roman" w:eastAsia="Times New Roman" w:hAnsi="Times New Roman" w:cs="Times New Roman"/>
                <w:b/>
                <w:sz w:val="26"/>
                <w:szCs w:val="24"/>
              </w:rPr>
            </w:pPr>
            <w:r w:rsidRPr="00220CB1">
              <w:rPr>
                <w:rFonts w:ascii="Times New Roman" w:eastAsia="Times New Roman" w:hAnsi="Times New Roman" w:cs="Times New Roman"/>
                <w:b/>
                <w:sz w:val="26"/>
                <w:szCs w:val="24"/>
              </w:rPr>
              <w:lastRenderedPageBreak/>
              <w:t>Changes Proposed in NOPR in RM15-2</w:t>
            </w:r>
            <w:r w:rsidRPr="00220CB1">
              <w:rPr>
                <w:rFonts w:ascii="Times New Roman" w:eastAsia="Times New Roman" w:hAnsi="Times New Roman" w:cs="Times New Roman"/>
                <w:b/>
                <w:sz w:val="26"/>
                <w:szCs w:val="26"/>
                <w:vertAlign w:val="superscript"/>
              </w:rPr>
              <w:footnoteReference w:id="11"/>
            </w:r>
          </w:p>
        </w:tc>
      </w:tr>
      <w:tr w:rsidR="00220CB1" w:rsidRPr="00220CB1" w14:paraId="48DB71EE" w14:textId="77777777" w:rsidTr="00220CB1">
        <w:trPr>
          <w:cantSplit/>
        </w:trPr>
        <w:tc>
          <w:tcPr>
            <w:tcW w:w="2077"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A956296" w14:textId="77777777" w:rsidR="00220CB1" w:rsidRPr="00220CB1" w:rsidRDefault="00220CB1" w:rsidP="00220CB1">
            <w:pPr>
              <w:widowControl w:val="0"/>
              <w:autoSpaceDE w:val="0"/>
              <w:autoSpaceDN w:val="0"/>
              <w:adjustRightInd w:val="0"/>
              <w:spacing w:after="0" w:line="240" w:lineRule="auto"/>
              <w:jc w:val="center"/>
              <w:rPr>
                <w:rFonts w:ascii="Times New Roman" w:eastAsia="Times New Roman" w:hAnsi="Times New Roman" w:cs="Times New Roman"/>
                <w:b/>
                <w:sz w:val="26"/>
                <w:szCs w:val="24"/>
              </w:rPr>
            </w:pPr>
            <w:r w:rsidRPr="00220CB1">
              <w:rPr>
                <w:rFonts w:ascii="Times New Roman" w:eastAsia="Times New Roman" w:hAnsi="Times New Roman" w:cs="Times New Roman"/>
                <w:b/>
                <w:sz w:val="26"/>
                <w:szCs w:val="24"/>
              </w:rPr>
              <w:t>Number of Respondents</w:t>
            </w:r>
          </w:p>
          <w:p w14:paraId="3FF3E00F" w14:textId="77777777" w:rsidR="00220CB1" w:rsidRPr="00220CB1" w:rsidRDefault="00220CB1" w:rsidP="00220CB1">
            <w:pPr>
              <w:widowControl w:val="0"/>
              <w:autoSpaceDE w:val="0"/>
              <w:autoSpaceDN w:val="0"/>
              <w:adjustRightInd w:val="0"/>
              <w:spacing w:after="0" w:line="240" w:lineRule="auto"/>
              <w:jc w:val="center"/>
              <w:rPr>
                <w:rFonts w:ascii="Times New Roman" w:eastAsia="Times New Roman" w:hAnsi="Times New Roman" w:cs="Times New Roman"/>
                <w:b/>
                <w:sz w:val="26"/>
                <w:szCs w:val="24"/>
              </w:rPr>
            </w:pPr>
            <w:r w:rsidRPr="00220CB1">
              <w:rPr>
                <w:rFonts w:ascii="Times New Roman" w:eastAsia="Times New Roman" w:hAnsi="Times New Roman" w:cs="Times New Roman"/>
                <w:b/>
                <w:sz w:val="26"/>
                <w:szCs w:val="24"/>
              </w:rPr>
              <w:t>(a)</w:t>
            </w:r>
          </w:p>
        </w:tc>
        <w:tc>
          <w:tcPr>
            <w:tcW w:w="189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9E76D31" w14:textId="77777777" w:rsidR="00220CB1" w:rsidRPr="00220CB1" w:rsidRDefault="00220CB1" w:rsidP="00220CB1">
            <w:pPr>
              <w:widowControl w:val="0"/>
              <w:autoSpaceDE w:val="0"/>
              <w:autoSpaceDN w:val="0"/>
              <w:adjustRightInd w:val="0"/>
              <w:spacing w:after="0" w:line="240" w:lineRule="auto"/>
              <w:jc w:val="center"/>
              <w:rPr>
                <w:rFonts w:ascii="Times New Roman" w:eastAsia="Times New Roman" w:hAnsi="Times New Roman" w:cs="Times New Roman"/>
                <w:b/>
                <w:sz w:val="26"/>
                <w:szCs w:val="24"/>
              </w:rPr>
            </w:pPr>
            <w:r w:rsidRPr="00220CB1">
              <w:rPr>
                <w:rFonts w:ascii="Times New Roman" w:eastAsia="Times New Roman" w:hAnsi="Times New Roman" w:cs="Times New Roman"/>
                <w:b/>
                <w:sz w:val="26"/>
                <w:szCs w:val="24"/>
              </w:rPr>
              <w:t>Annual Number of Responses per Respondent (b)</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E54A27B" w14:textId="77777777" w:rsidR="00220CB1" w:rsidRPr="00220CB1" w:rsidRDefault="00220CB1" w:rsidP="00220CB1">
            <w:pPr>
              <w:widowControl w:val="0"/>
              <w:autoSpaceDE w:val="0"/>
              <w:autoSpaceDN w:val="0"/>
              <w:adjustRightInd w:val="0"/>
              <w:spacing w:after="0" w:line="240" w:lineRule="auto"/>
              <w:jc w:val="center"/>
              <w:rPr>
                <w:rFonts w:ascii="Times New Roman" w:eastAsia="Times New Roman" w:hAnsi="Times New Roman" w:cs="Times New Roman"/>
                <w:b/>
                <w:sz w:val="26"/>
                <w:szCs w:val="24"/>
              </w:rPr>
            </w:pPr>
            <w:r w:rsidRPr="00220CB1">
              <w:rPr>
                <w:rFonts w:ascii="Times New Roman" w:eastAsia="Times New Roman" w:hAnsi="Times New Roman" w:cs="Times New Roman"/>
                <w:b/>
                <w:sz w:val="26"/>
                <w:szCs w:val="24"/>
              </w:rPr>
              <w:t>Total Number of Responses</w:t>
            </w:r>
          </w:p>
          <w:p w14:paraId="5FEA0C91" w14:textId="77777777" w:rsidR="00220CB1" w:rsidRPr="00220CB1" w:rsidRDefault="00220CB1" w:rsidP="00220CB1">
            <w:pPr>
              <w:widowControl w:val="0"/>
              <w:autoSpaceDE w:val="0"/>
              <w:autoSpaceDN w:val="0"/>
              <w:adjustRightInd w:val="0"/>
              <w:spacing w:after="0" w:line="240" w:lineRule="auto"/>
              <w:jc w:val="center"/>
              <w:rPr>
                <w:rFonts w:ascii="Times New Roman" w:eastAsia="Times New Roman" w:hAnsi="Times New Roman" w:cs="Times New Roman"/>
                <w:b/>
                <w:sz w:val="26"/>
                <w:szCs w:val="24"/>
              </w:rPr>
            </w:pPr>
            <w:r w:rsidRPr="00220CB1">
              <w:rPr>
                <w:rFonts w:ascii="Times New Roman" w:eastAsia="Times New Roman" w:hAnsi="Times New Roman" w:cs="Times New Roman"/>
                <w:b/>
                <w:sz w:val="26"/>
                <w:szCs w:val="24"/>
              </w:rPr>
              <w:t>(a)X(b)=(c)</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0F1063F" w14:textId="77777777" w:rsidR="00220CB1" w:rsidRPr="00220CB1" w:rsidRDefault="00220CB1" w:rsidP="00220CB1">
            <w:pPr>
              <w:widowControl w:val="0"/>
              <w:autoSpaceDE w:val="0"/>
              <w:autoSpaceDN w:val="0"/>
              <w:adjustRightInd w:val="0"/>
              <w:spacing w:after="0" w:line="240" w:lineRule="auto"/>
              <w:jc w:val="center"/>
              <w:rPr>
                <w:rFonts w:ascii="Times New Roman" w:eastAsia="Times New Roman" w:hAnsi="Times New Roman" w:cs="Times New Roman"/>
                <w:b/>
                <w:sz w:val="26"/>
                <w:szCs w:val="24"/>
              </w:rPr>
            </w:pPr>
            <w:r w:rsidRPr="00220CB1">
              <w:rPr>
                <w:rFonts w:ascii="Times New Roman" w:eastAsia="Times New Roman" w:hAnsi="Times New Roman" w:cs="Times New Roman"/>
                <w:b/>
                <w:sz w:val="26"/>
                <w:szCs w:val="24"/>
              </w:rPr>
              <w:t xml:space="preserve">Average Burden &amp; Cost Per Response </w:t>
            </w:r>
          </w:p>
          <w:p w14:paraId="2989641F" w14:textId="77777777" w:rsidR="00220CB1" w:rsidRPr="00220CB1" w:rsidRDefault="00220CB1" w:rsidP="00220CB1">
            <w:pPr>
              <w:widowControl w:val="0"/>
              <w:autoSpaceDE w:val="0"/>
              <w:autoSpaceDN w:val="0"/>
              <w:adjustRightInd w:val="0"/>
              <w:spacing w:after="0" w:line="240" w:lineRule="auto"/>
              <w:jc w:val="center"/>
              <w:rPr>
                <w:rFonts w:ascii="Times New Roman" w:eastAsia="Times New Roman" w:hAnsi="Times New Roman" w:cs="Times New Roman"/>
                <w:b/>
                <w:sz w:val="26"/>
                <w:szCs w:val="24"/>
              </w:rPr>
            </w:pPr>
            <w:r w:rsidRPr="00220CB1">
              <w:rPr>
                <w:rFonts w:ascii="Times New Roman" w:eastAsia="Times New Roman" w:hAnsi="Times New Roman" w:cs="Times New Roman"/>
                <w:b/>
                <w:sz w:val="26"/>
                <w:szCs w:val="24"/>
              </w:rPr>
              <w:t>(d)</w:t>
            </w:r>
          </w:p>
        </w:tc>
        <w:tc>
          <w:tcPr>
            <w:tcW w:w="1748"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6D2CCCF" w14:textId="77777777" w:rsidR="00220CB1" w:rsidRPr="00220CB1" w:rsidRDefault="00220CB1" w:rsidP="00220CB1">
            <w:pPr>
              <w:widowControl w:val="0"/>
              <w:autoSpaceDE w:val="0"/>
              <w:autoSpaceDN w:val="0"/>
              <w:adjustRightInd w:val="0"/>
              <w:spacing w:after="0" w:line="240" w:lineRule="auto"/>
              <w:jc w:val="center"/>
              <w:rPr>
                <w:rFonts w:ascii="Times New Roman" w:eastAsia="Times New Roman" w:hAnsi="Times New Roman" w:cs="Times New Roman"/>
                <w:b/>
                <w:sz w:val="26"/>
                <w:szCs w:val="24"/>
              </w:rPr>
            </w:pPr>
            <w:r w:rsidRPr="00220CB1">
              <w:rPr>
                <w:rFonts w:ascii="Times New Roman" w:eastAsia="Times New Roman" w:hAnsi="Times New Roman" w:cs="Times New Roman"/>
                <w:b/>
                <w:sz w:val="26"/>
                <w:szCs w:val="24"/>
              </w:rPr>
              <w:t>Total Annual Burden Hours &amp; Total Annual Cost</w:t>
            </w:r>
          </w:p>
          <w:p w14:paraId="3007E8FB" w14:textId="77777777" w:rsidR="00220CB1" w:rsidRPr="00220CB1" w:rsidRDefault="00220CB1" w:rsidP="00220CB1">
            <w:pPr>
              <w:widowControl w:val="0"/>
              <w:autoSpaceDE w:val="0"/>
              <w:autoSpaceDN w:val="0"/>
              <w:adjustRightInd w:val="0"/>
              <w:spacing w:after="0" w:line="240" w:lineRule="auto"/>
              <w:jc w:val="center"/>
              <w:rPr>
                <w:rFonts w:ascii="Times New Roman" w:eastAsia="Times New Roman" w:hAnsi="Times New Roman" w:cs="Times New Roman"/>
                <w:b/>
                <w:sz w:val="26"/>
                <w:szCs w:val="24"/>
              </w:rPr>
            </w:pPr>
            <w:r w:rsidRPr="00220CB1">
              <w:rPr>
                <w:rFonts w:ascii="Times New Roman" w:eastAsia="Times New Roman" w:hAnsi="Times New Roman" w:cs="Times New Roman"/>
                <w:b/>
                <w:sz w:val="26"/>
                <w:szCs w:val="24"/>
              </w:rPr>
              <w:t>(c)X(d)=(e)</w:t>
            </w:r>
          </w:p>
        </w:tc>
        <w:tc>
          <w:tcPr>
            <w:tcW w:w="154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A81BF79" w14:textId="77777777" w:rsidR="00220CB1" w:rsidRPr="00220CB1" w:rsidRDefault="00220CB1" w:rsidP="00220CB1">
            <w:pPr>
              <w:widowControl w:val="0"/>
              <w:autoSpaceDE w:val="0"/>
              <w:autoSpaceDN w:val="0"/>
              <w:adjustRightInd w:val="0"/>
              <w:spacing w:after="0" w:line="240" w:lineRule="auto"/>
              <w:jc w:val="center"/>
              <w:rPr>
                <w:rFonts w:ascii="Times New Roman" w:eastAsia="Times New Roman" w:hAnsi="Times New Roman" w:cs="Times New Roman"/>
                <w:b/>
                <w:sz w:val="26"/>
                <w:szCs w:val="24"/>
              </w:rPr>
            </w:pPr>
            <w:r w:rsidRPr="00220CB1">
              <w:rPr>
                <w:rFonts w:ascii="Times New Roman" w:eastAsia="Times New Roman" w:hAnsi="Times New Roman" w:cs="Times New Roman"/>
                <w:b/>
                <w:sz w:val="26"/>
                <w:szCs w:val="24"/>
              </w:rPr>
              <w:t>Cost per Response</w:t>
            </w:r>
          </w:p>
          <w:p w14:paraId="1E9B5A14" w14:textId="77777777" w:rsidR="00220CB1" w:rsidRPr="00220CB1" w:rsidRDefault="00220CB1" w:rsidP="00220CB1">
            <w:pPr>
              <w:widowControl w:val="0"/>
              <w:autoSpaceDE w:val="0"/>
              <w:autoSpaceDN w:val="0"/>
              <w:adjustRightInd w:val="0"/>
              <w:spacing w:after="0" w:line="240" w:lineRule="auto"/>
              <w:jc w:val="center"/>
              <w:rPr>
                <w:rFonts w:ascii="Times New Roman" w:eastAsia="Times New Roman" w:hAnsi="Times New Roman" w:cs="Times New Roman"/>
                <w:b/>
                <w:sz w:val="26"/>
                <w:szCs w:val="24"/>
              </w:rPr>
            </w:pPr>
            <w:r w:rsidRPr="00220CB1">
              <w:rPr>
                <w:rFonts w:ascii="Times New Roman" w:eastAsia="Times New Roman" w:hAnsi="Times New Roman" w:cs="Times New Roman"/>
                <w:b/>
                <w:sz w:val="26"/>
                <w:szCs w:val="24"/>
              </w:rPr>
              <w:t>(e)/(c)</w:t>
            </w:r>
          </w:p>
        </w:tc>
      </w:tr>
      <w:tr w:rsidR="00220CB1" w:rsidRPr="00220CB1" w14:paraId="33A1B8D0" w14:textId="77777777" w:rsidTr="00220CB1">
        <w:trPr>
          <w:cantSplit/>
          <w:trHeight w:val="485"/>
        </w:trPr>
        <w:tc>
          <w:tcPr>
            <w:tcW w:w="10590" w:type="dxa"/>
            <w:gridSpan w:val="6"/>
            <w:tcBorders>
              <w:top w:val="single" w:sz="4" w:space="0" w:color="auto"/>
              <w:left w:val="single" w:sz="4" w:space="0" w:color="auto"/>
              <w:bottom w:val="single" w:sz="4" w:space="0" w:color="auto"/>
              <w:right w:val="single" w:sz="4" w:space="0" w:color="auto"/>
            </w:tcBorders>
            <w:vAlign w:val="bottom"/>
            <w:hideMark/>
          </w:tcPr>
          <w:p w14:paraId="25AE87F0" w14:textId="77777777" w:rsidR="00220CB1" w:rsidRPr="00220CB1" w:rsidRDefault="00220CB1" w:rsidP="00220CB1">
            <w:pPr>
              <w:widowControl w:val="0"/>
              <w:autoSpaceDE w:val="0"/>
              <w:autoSpaceDN w:val="0"/>
              <w:adjustRightInd w:val="0"/>
              <w:spacing w:after="120" w:line="240" w:lineRule="auto"/>
              <w:jc w:val="center"/>
              <w:rPr>
                <w:rFonts w:ascii="Times New Roman" w:eastAsia="Times New Roman" w:hAnsi="Times New Roman" w:cs="Times New Roman"/>
                <w:sz w:val="26"/>
                <w:szCs w:val="24"/>
              </w:rPr>
            </w:pPr>
            <w:r w:rsidRPr="00220CB1">
              <w:rPr>
                <w:rFonts w:ascii="Times New Roman" w:eastAsia="Times New Roman" w:hAnsi="Times New Roman" w:cs="Times New Roman"/>
                <w:sz w:val="26"/>
                <w:szCs w:val="24"/>
              </w:rPr>
              <w:t>FERC-516 (Electric Rate Schedules and Tariff Filings) (one time, phased in)</w:t>
            </w:r>
          </w:p>
        </w:tc>
      </w:tr>
      <w:tr w:rsidR="00220CB1" w:rsidRPr="00220CB1" w14:paraId="386F5C05" w14:textId="77777777" w:rsidTr="00220CB1">
        <w:trPr>
          <w:cantSplit/>
          <w:trHeight w:val="1043"/>
        </w:trPr>
        <w:tc>
          <w:tcPr>
            <w:tcW w:w="2077" w:type="dxa"/>
            <w:tcBorders>
              <w:top w:val="single" w:sz="4" w:space="0" w:color="auto"/>
              <w:left w:val="single" w:sz="4" w:space="0" w:color="auto"/>
              <w:bottom w:val="single" w:sz="4" w:space="0" w:color="auto"/>
              <w:right w:val="single" w:sz="4" w:space="0" w:color="auto"/>
            </w:tcBorders>
            <w:vAlign w:val="bottom"/>
            <w:hideMark/>
          </w:tcPr>
          <w:p w14:paraId="5E3BC6FF" w14:textId="77777777" w:rsidR="00220CB1" w:rsidRPr="00220CB1" w:rsidRDefault="00220CB1" w:rsidP="00220CB1">
            <w:pPr>
              <w:widowControl w:val="0"/>
              <w:autoSpaceDE w:val="0"/>
              <w:autoSpaceDN w:val="0"/>
              <w:adjustRightInd w:val="0"/>
              <w:spacing w:after="120" w:line="240" w:lineRule="auto"/>
              <w:jc w:val="right"/>
              <w:rPr>
                <w:rFonts w:ascii="Times New Roman" w:eastAsia="Times New Roman" w:hAnsi="Times New Roman" w:cs="Times New Roman"/>
                <w:sz w:val="26"/>
                <w:szCs w:val="24"/>
              </w:rPr>
            </w:pPr>
            <w:r w:rsidRPr="00220CB1">
              <w:rPr>
                <w:rFonts w:ascii="Times New Roman" w:eastAsia="Times New Roman" w:hAnsi="Times New Roman" w:cs="Times New Roman"/>
                <w:sz w:val="26"/>
                <w:szCs w:val="24"/>
              </w:rPr>
              <w:t>1,551</w:t>
            </w:r>
            <w:r w:rsidRPr="00220CB1">
              <w:rPr>
                <w:rFonts w:ascii="Times New Roman" w:eastAsia="Times New Roman" w:hAnsi="Times New Roman" w:cs="Times New Roman"/>
                <w:b/>
                <w:sz w:val="26"/>
                <w:szCs w:val="26"/>
                <w:vertAlign w:val="superscript"/>
              </w:rPr>
              <w:footnoteReference w:id="12"/>
            </w:r>
          </w:p>
        </w:tc>
        <w:tc>
          <w:tcPr>
            <w:tcW w:w="1890" w:type="dxa"/>
            <w:tcBorders>
              <w:top w:val="single" w:sz="4" w:space="0" w:color="auto"/>
              <w:left w:val="single" w:sz="4" w:space="0" w:color="auto"/>
              <w:bottom w:val="single" w:sz="4" w:space="0" w:color="auto"/>
              <w:right w:val="single" w:sz="4" w:space="0" w:color="auto"/>
            </w:tcBorders>
            <w:vAlign w:val="bottom"/>
            <w:hideMark/>
          </w:tcPr>
          <w:p w14:paraId="364E10C2" w14:textId="77777777" w:rsidR="00220CB1" w:rsidRPr="00220CB1" w:rsidRDefault="00220CB1" w:rsidP="00220CB1">
            <w:pPr>
              <w:widowControl w:val="0"/>
              <w:autoSpaceDE w:val="0"/>
              <w:autoSpaceDN w:val="0"/>
              <w:adjustRightInd w:val="0"/>
              <w:spacing w:after="120" w:line="240" w:lineRule="auto"/>
              <w:jc w:val="right"/>
              <w:rPr>
                <w:rFonts w:ascii="Times New Roman" w:eastAsia="Times New Roman" w:hAnsi="Times New Roman" w:cs="Times New Roman"/>
                <w:sz w:val="26"/>
                <w:szCs w:val="24"/>
              </w:rPr>
            </w:pPr>
            <w:r w:rsidRPr="00220CB1">
              <w:rPr>
                <w:rFonts w:ascii="Times New Roman" w:eastAsia="Times New Roman" w:hAnsi="Times New Roman" w:cs="Times New Roman"/>
                <w:sz w:val="26"/>
                <w:szCs w:val="24"/>
              </w:rPr>
              <w:t>0.166</w:t>
            </w:r>
            <w:r w:rsidRPr="00220CB1">
              <w:rPr>
                <w:rFonts w:ascii="Times New Roman" w:eastAsia="Times New Roman" w:hAnsi="Times New Roman" w:cs="Times New Roman"/>
                <w:b/>
                <w:sz w:val="26"/>
                <w:szCs w:val="26"/>
                <w:vertAlign w:val="superscript"/>
              </w:rPr>
              <w:footnoteReference w:id="13"/>
            </w:r>
          </w:p>
        </w:tc>
        <w:tc>
          <w:tcPr>
            <w:tcW w:w="1710" w:type="dxa"/>
            <w:tcBorders>
              <w:top w:val="single" w:sz="4" w:space="0" w:color="auto"/>
              <w:left w:val="single" w:sz="4" w:space="0" w:color="auto"/>
              <w:bottom w:val="single" w:sz="4" w:space="0" w:color="auto"/>
              <w:right w:val="single" w:sz="4" w:space="0" w:color="auto"/>
            </w:tcBorders>
            <w:vAlign w:val="bottom"/>
            <w:hideMark/>
          </w:tcPr>
          <w:p w14:paraId="6BE5C06F" w14:textId="77777777" w:rsidR="00220CB1" w:rsidRPr="00220CB1" w:rsidRDefault="00220CB1" w:rsidP="00220CB1">
            <w:pPr>
              <w:widowControl w:val="0"/>
              <w:autoSpaceDE w:val="0"/>
              <w:autoSpaceDN w:val="0"/>
              <w:adjustRightInd w:val="0"/>
              <w:spacing w:after="120" w:line="240" w:lineRule="auto"/>
              <w:jc w:val="right"/>
              <w:rPr>
                <w:rFonts w:ascii="Times New Roman" w:eastAsia="Times New Roman" w:hAnsi="Times New Roman" w:cs="Times New Roman"/>
                <w:sz w:val="26"/>
                <w:szCs w:val="24"/>
              </w:rPr>
            </w:pPr>
            <w:r w:rsidRPr="00220CB1">
              <w:rPr>
                <w:rFonts w:ascii="Times New Roman" w:eastAsia="Times New Roman" w:hAnsi="Times New Roman" w:cs="Times New Roman"/>
                <w:sz w:val="26"/>
                <w:szCs w:val="24"/>
              </w:rPr>
              <w:t>258</w:t>
            </w:r>
          </w:p>
        </w:tc>
        <w:tc>
          <w:tcPr>
            <w:tcW w:w="1620" w:type="dxa"/>
            <w:tcBorders>
              <w:top w:val="single" w:sz="4" w:space="0" w:color="auto"/>
              <w:left w:val="single" w:sz="4" w:space="0" w:color="auto"/>
              <w:bottom w:val="single" w:sz="4" w:space="0" w:color="auto"/>
              <w:right w:val="single" w:sz="4" w:space="0" w:color="auto"/>
            </w:tcBorders>
            <w:vAlign w:val="bottom"/>
            <w:hideMark/>
          </w:tcPr>
          <w:p w14:paraId="681459FC" w14:textId="77777777" w:rsidR="00220CB1" w:rsidRPr="00220CB1" w:rsidRDefault="00220CB1" w:rsidP="00220CB1">
            <w:pPr>
              <w:widowControl w:val="0"/>
              <w:autoSpaceDE w:val="0"/>
              <w:autoSpaceDN w:val="0"/>
              <w:adjustRightInd w:val="0"/>
              <w:spacing w:after="120" w:line="240" w:lineRule="auto"/>
              <w:jc w:val="right"/>
              <w:rPr>
                <w:rFonts w:ascii="Times New Roman" w:eastAsia="Times New Roman" w:hAnsi="Times New Roman" w:cs="Times New Roman"/>
                <w:sz w:val="26"/>
                <w:szCs w:val="24"/>
              </w:rPr>
            </w:pPr>
            <w:r w:rsidRPr="00220CB1">
              <w:rPr>
                <w:rFonts w:ascii="Times New Roman" w:eastAsia="Times New Roman" w:hAnsi="Times New Roman" w:cs="Times New Roman"/>
                <w:sz w:val="26"/>
                <w:szCs w:val="24"/>
              </w:rPr>
              <w:t>6</w:t>
            </w:r>
          </w:p>
          <w:p w14:paraId="6FCCF588" w14:textId="77777777" w:rsidR="00220CB1" w:rsidRPr="00220CB1" w:rsidRDefault="00220CB1" w:rsidP="00220CB1">
            <w:pPr>
              <w:widowControl w:val="0"/>
              <w:autoSpaceDE w:val="0"/>
              <w:autoSpaceDN w:val="0"/>
              <w:adjustRightInd w:val="0"/>
              <w:spacing w:after="120" w:line="240" w:lineRule="auto"/>
              <w:jc w:val="right"/>
              <w:rPr>
                <w:rFonts w:ascii="Times New Roman" w:eastAsia="Times New Roman" w:hAnsi="Times New Roman" w:cs="Times New Roman"/>
                <w:sz w:val="26"/>
                <w:szCs w:val="24"/>
              </w:rPr>
            </w:pPr>
            <w:r w:rsidRPr="00220CB1">
              <w:rPr>
                <w:rFonts w:ascii="Times New Roman" w:eastAsia="Times New Roman" w:hAnsi="Times New Roman" w:cs="Times New Roman"/>
                <w:sz w:val="26"/>
                <w:szCs w:val="24"/>
              </w:rPr>
              <w:t>$432</w:t>
            </w:r>
          </w:p>
        </w:tc>
        <w:tc>
          <w:tcPr>
            <w:tcW w:w="1748" w:type="dxa"/>
            <w:tcBorders>
              <w:top w:val="single" w:sz="4" w:space="0" w:color="auto"/>
              <w:left w:val="single" w:sz="4" w:space="0" w:color="auto"/>
              <w:bottom w:val="single" w:sz="4" w:space="0" w:color="auto"/>
              <w:right w:val="single" w:sz="4" w:space="0" w:color="auto"/>
            </w:tcBorders>
            <w:vAlign w:val="bottom"/>
            <w:hideMark/>
          </w:tcPr>
          <w:p w14:paraId="24F44C35" w14:textId="77777777" w:rsidR="00220CB1" w:rsidRPr="00220CB1" w:rsidRDefault="00220CB1" w:rsidP="00220CB1">
            <w:pPr>
              <w:widowControl w:val="0"/>
              <w:autoSpaceDE w:val="0"/>
              <w:autoSpaceDN w:val="0"/>
              <w:adjustRightInd w:val="0"/>
              <w:spacing w:after="120" w:line="240" w:lineRule="auto"/>
              <w:jc w:val="right"/>
              <w:rPr>
                <w:rFonts w:ascii="Times New Roman" w:eastAsia="Times New Roman" w:hAnsi="Times New Roman" w:cs="Times New Roman"/>
                <w:sz w:val="26"/>
                <w:szCs w:val="24"/>
              </w:rPr>
            </w:pPr>
            <w:r w:rsidRPr="00220CB1">
              <w:rPr>
                <w:rFonts w:ascii="Times New Roman" w:eastAsia="Times New Roman" w:hAnsi="Times New Roman" w:cs="Times New Roman"/>
                <w:sz w:val="26"/>
                <w:szCs w:val="24"/>
              </w:rPr>
              <w:t>1,548</w:t>
            </w:r>
          </w:p>
          <w:p w14:paraId="4B1C5303" w14:textId="77777777" w:rsidR="00220CB1" w:rsidRPr="00220CB1" w:rsidRDefault="00220CB1" w:rsidP="00220CB1">
            <w:pPr>
              <w:widowControl w:val="0"/>
              <w:autoSpaceDE w:val="0"/>
              <w:autoSpaceDN w:val="0"/>
              <w:adjustRightInd w:val="0"/>
              <w:spacing w:after="120" w:line="240" w:lineRule="auto"/>
              <w:jc w:val="right"/>
              <w:rPr>
                <w:rFonts w:ascii="Times New Roman" w:eastAsia="Times New Roman" w:hAnsi="Times New Roman" w:cs="Times New Roman"/>
                <w:sz w:val="26"/>
                <w:szCs w:val="24"/>
              </w:rPr>
            </w:pPr>
            <w:r w:rsidRPr="00220CB1">
              <w:rPr>
                <w:rFonts w:ascii="Times New Roman" w:eastAsia="Times New Roman" w:hAnsi="Times New Roman" w:cs="Times New Roman"/>
                <w:sz w:val="26"/>
                <w:szCs w:val="24"/>
              </w:rPr>
              <w:t>$111,456</w:t>
            </w:r>
          </w:p>
        </w:tc>
        <w:tc>
          <w:tcPr>
            <w:tcW w:w="1545" w:type="dxa"/>
            <w:tcBorders>
              <w:top w:val="single" w:sz="4" w:space="0" w:color="auto"/>
              <w:left w:val="single" w:sz="4" w:space="0" w:color="auto"/>
              <w:bottom w:val="single" w:sz="4" w:space="0" w:color="auto"/>
              <w:right w:val="single" w:sz="4" w:space="0" w:color="auto"/>
            </w:tcBorders>
            <w:vAlign w:val="bottom"/>
            <w:hideMark/>
          </w:tcPr>
          <w:p w14:paraId="18A9780D" w14:textId="77777777" w:rsidR="00220CB1" w:rsidRPr="00220CB1" w:rsidRDefault="00220CB1" w:rsidP="00220CB1">
            <w:pPr>
              <w:widowControl w:val="0"/>
              <w:autoSpaceDE w:val="0"/>
              <w:autoSpaceDN w:val="0"/>
              <w:adjustRightInd w:val="0"/>
              <w:spacing w:after="120" w:line="240" w:lineRule="auto"/>
              <w:jc w:val="right"/>
              <w:rPr>
                <w:rFonts w:ascii="Times New Roman" w:eastAsia="Times New Roman" w:hAnsi="Times New Roman" w:cs="Times New Roman"/>
                <w:sz w:val="26"/>
                <w:szCs w:val="24"/>
              </w:rPr>
            </w:pPr>
            <w:r w:rsidRPr="00220CB1">
              <w:rPr>
                <w:rFonts w:ascii="Times New Roman" w:eastAsia="Times New Roman" w:hAnsi="Times New Roman" w:cs="Times New Roman"/>
                <w:sz w:val="26"/>
                <w:szCs w:val="24"/>
              </w:rPr>
              <w:t>$432</w:t>
            </w:r>
          </w:p>
        </w:tc>
      </w:tr>
      <w:tr w:rsidR="00220CB1" w:rsidRPr="00220CB1" w14:paraId="1E9DAA67" w14:textId="77777777" w:rsidTr="00220CB1">
        <w:trPr>
          <w:cantSplit/>
          <w:trHeight w:val="458"/>
        </w:trPr>
        <w:tc>
          <w:tcPr>
            <w:tcW w:w="10590" w:type="dxa"/>
            <w:gridSpan w:val="6"/>
            <w:tcBorders>
              <w:top w:val="single" w:sz="4" w:space="0" w:color="auto"/>
              <w:left w:val="single" w:sz="4" w:space="0" w:color="auto"/>
              <w:bottom w:val="single" w:sz="4" w:space="0" w:color="auto"/>
              <w:right w:val="single" w:sz="4" w:space="0" w:color="auto"/>
            </w:tcBorders>
            <w:vAlign w:val="bottom"/>
            <w:hideMark/>
          </w:tcPr>
          <w:p w14:paraId="232A08BB" w14:textId="77777777" w:rsidR="00220CB1" w:rsidRPr="00220CB1" w:rsidRDefault="00220CB1" w:rsidP="00220CB1">
            <w:pPr>
              <w:widowControl w:val="0"/>
              <w:autoSpaceDE w:val="0"/>
              <w:autoSpaceDN w:val="0"/>
              <w:adjustRightInd w:val="0"/>
              <w:spacing w:after="120" w:line="240" w:lineRule="auto"/>
              <w:jc w:val="center"/>
              <w:rPr>
                <w:rFonts w:ascii="Times New Roman" w:eastAsia="Times New Roman" w:hAnsi="Times New Roman" w:cs="Times New Roman"/>
                <w:sz w:val="26"/>
                <w:szCs w:val="24"/>
              </w:rPr>
            </w:pPr>
            <w:r w:rsidRPr="00220CB1">
              <w:rPr>
                <w:rFonts w:ascii="Times New Roman" w:eastAsia="Times New Roman" w:hAnsi="Times New Roman" w:cs="Times New Roman"/>
                <w:sz w:val="26"/>
                <w:szCs w:val="24"/>
              </w:rPr>
              <w:t>FERC-920 (Electric Quarterly Report) (one-time, phased in)</w:t>
            </w:r>
          </w:p>
        </w:tc>
      </w:tr>
      <w:tr w:rsidR="00220CB1" w:rsidRPr="00220CB1" w14:paraId="673755FE" w14:textId="77777777" w:rsidTr="00220CB1">
        <w:trPr>
          <w:cantSplit/>
          <w:trHeight w:val="890"/>
        </w:trPr>
        <w:tc>
          <w:tcPr>
            <w:tcW w:w="2077" w:type="dxa"/>
            <w:tcBorders>
              <w:top w:val="single" w:sz="4" w:space="0" w:color="auto"/>
              <w:left w:val="single" w:sz="4" w:space="0" w:color="auto"/>
              <w:bottom w:val="single" w:sz="4" w:space="0" w:color="auto"/>
              <w:right w:val="single" w:sz="4" w:space="0" w:color="auto"/>
            </w:tcBorders>
            <w:vAlign w:val="bottom"/>
            <w:hideMark/>
          </w:tcPr>
          <w:p w14:paraId="219EFB4D" w14:textId="77777777" w:rsidR="00220CB1" w:rsidRPr="00220CB1" w:rsidRDefault="00220CB1" w:rsidP="00220CB1">
            <w:pPr>
              <w:widowControl w:val="0"/>
              <w:autoSpaceDE w:val="0"/>
              <w:autoSpaceDN w:val="0"/>
              <w:adjustRightInd w:val="0"/>
              <w:spacing w:after="120" w:line="240" w:lineRule="auto"/>
              <w:jc w:val="right"/>
              <w:rPr>
                <w:rFonts w:ascii="Times New Roman" w:eastAsia="Times New Roman" w:hAnsi="Times New Roman" w:cs="Times New Roman"/>
                <w:sz w:val="26"/>
                <w:szCs w:val="24"/>
              </w:rPr>
            </w:pPr>
            <w:r w:rsidRPr="00220CB1">
              <w:rPr>
                <w:rFonts w:ascii="Times New Roman" w:eastAsia="Times New Roman" w:hAnsi="Times New Roman" w:cs="Times New Roman"/>
                <w:sz w:val="26"/>
                <w:szCs w:val="24"/>
              </w:rPr>
              <w:lastRenderedPageBreak/>
              <w:t>1,551</w:t>
            </w:r>
          </w:p>
        </w:tc>
        <w:tc>
          <w:tcPr>
            <w:tcW w:w="1890" w:type="dxa"/>
            <w:tcBorders>
              <w:top w:val="single" w:sz="4" w:space="0" w:color="auto"/>
              <w:left w:val="single" w:sz="4" w:space="0" w:color="auto"/>
              <w:bottom w:val="single" w:sz="4" w:space="0" w:color="auto"/>
              <w:right w:val="single" w:sz="4" w:space="0" w:color="auto"/>
            </w:tcBorders>
            <w:vAlign w:val="bottom"/>
            <w:hideMark/>
          </w:tcPr>
          <w:p w14:paraId="6B1B7031" w14:textId="77777777" w:rsidR="00220CB1" w:rsidRPr="00220CB1" w:rsidRDefault="00220CB1" w:rsidP="00220CB1">
            <w:pPr>
              <w:widowControl w:val="0"/>
              <w:autoSpaceDE w:val="0"/>
              <w:autoSpaceDN w:val="0"/>
              <w:adjustRightInd w:val="0"/>
              <w:spacing w:after="120" w:line="240" w:lineRule="auto"/>
              <w:jc w:val="right"/>
              <w:rPr>
                <w:rFonts w:ascii="Times New Roman" w:eastAsia="Times New Roman" w:hAnsi="Times New Roman" w:cs="Times New Roman"/>
                <w:sz w:val="26"/>
                <w:szCs w:val="24"/>
              </w:rPr>
            </w:pPr>
            <w:r w:rsidRPr="00220CB1">
              <w:rPr>
                <w:rFonts w:ascii="Times New Roman" w:eastAsia="Times New Roman" w:hAnsi="Times New Roman" w:cs="Times New Roman"/>
                <w:sz w:val="26"/>
                <w:szCs w:val="24"/>
              </w:rPr>
              <w:t xml:space="preserve">0.166 </w:t>
            </w:r>
            <w:r w:rsidRPr="00220CB1">
              <w:rPr>
                <w:rFonts w:ascii="Times New Roman" w:eastAsia="Times New Roman" w:hAnsi="Times New Roman" w:cs="Times New Roman"/>
                <w:b/>
                <w:sz w:val="26"/>
                <w:szCs w:val="26"/>
                <w:vertAlign w:val="superscript"/>
              </w:rPr>
              <w:footnoteReference w:id="14"/>
            </w:r>
          </w:p>
        </w:tc>
        <w:tc>
          <w:tcPr>
            <w:tcW w:w="1710" w:type="dxa"/>
            <w:tcBorders>
              <w:top w:val="single" w:sz="4" w:space="0" w:color="auto"/>
              <w:left w:val="single" w:sz="4" w:space="0" w:color="auto"/>
              <w:bottom w:val="single" w:sz="4" w:space="0" w:color="auto"/>
              <w:right w:val="single" w:sz="4" w:space="0" w:color="auto"/>
            </w:tcBorders>
            <w:vAlign w:val="bottom"/>
            <w:hideMark/>
          </w:tcPr>
          <w:p w14:paraId="16AC02FC" w14:textId="77777777" w:rsidR="00220CB1" w:rsidRPr="00220CB1" w:rsidRDefault="00220CB1" w:rsidP="00220CB1">
            <w:pPr>
              <w:widowControl w:val="0"/>
              <w:autoSpaceDE w:val="0"/>
              <w:autoSpaceDN w:val="0"/>
              <w:adjustRightInd w:val="0"/>
              <w:spacing w:after="120" w:line="240" w:lineRule="auto"/>
              <w:jc w:val="right"/>
              <w:rPr>
                <w:rFonts w:ascii="Times New Roman" w:eastAsia="Times New Roman" w:hAnsi="Times New Roman" w:cs="Times New Roman"/>
                <w:sz w:val="26"/>
                <w:szCs w:val="24"/>
              </w:rPr>
            </w:pPr>
            <w:r w:rsidRPr="00220CB1">
              <w:rPr>
                <w:rFonts w:ascii="Times New Roman" w:eastAsia="Times New Roman" w:hAnsi="Times New Roman" w:cs="Times New Roman"/>
                <w:sz w:val="26"/>
                <w:szCs w:val="24"/>
              </w:rPr>
              <w:t>258</w:t>
            </w:r>
          </w:p>
        </w:tc>
        <w:tc>
          <w:tcPr>
            <w:tcW w:w="1620" w:type="dxa"/>
            <w:tcBorders>
              <w:top w:val="single" w:sz="4" w:space="0" w:color="auto"/>
              <w:left w:val="single" w:sz="4" w:space="0" w:color="auto"/>
              <w:bottom w:val="single" w:sz="4" w:space="0" w:color="auto"/>
              <w:right w:val="single" w:sz="4" w:space="0" w:color="auto"/>
            </w:tcBorders>
            <w:vAlign w:val="bottom"/>
            <w:hideMark/>
          </w:tcPr>
          <w:p w14:paraId="5FFB48B3" w14:textId="77777777" w:rsidR="00220CB1" w:rsidRPr="00220CB1" w:rsidRDefault="00220CB1" w:rsidP="00220CB1">
            <w:pPr>
              <w:widowControl w:val="0"/>
              <w:autoSpaceDE w:val="0"/>
              <w:autoSpaceDN w:val="0"/>
              <w:adjustRightInd w:val="0"/>
              <w:spacing w:after="120" w:line="240" w:lineRule="auto"/>
              <w:jc w:val="right"/>
              <w:rPr>
                <w:rFonts w:ascii="Times New Roman" w:eastAsia="Times New Roman" w:hAnsi="Times New Roman" w:cs="Times New Roman"/>
                <w:sz w:val="26"/>
                <w:szCs w:val="24"/>
              </w:rPr>
            </w:pPr>
            <w:r w:rsidRPr="00220CB1">
              <w:rPr>
                <w:rFonts w:ascii="Times New Roman" w:eastAsia="Times New Roman" w:hAnsi="Times New Roman" w:cs="Times New Roman"/>
                <w:sz w:val="26"/>
                <w:szCs w:val="24"/>
              </w:rPr>
              <w:t>2</w:t>
            </w:r>
          </w:p>
          <w:p w14:paraId="4620DBFC" w14:textId="77777777" w:rsidR="00220CB1" w:rsidRPr="00220CB1" w:rsidRDefault="00220CB1" w:rsidP="00220CB1">
            <w:pPr>
              <w:widowControl w:val="0"/>
              <w:autoSpaceDE w:val="0"/>
              <w:autoSpaceDN w:val="0"/>
              <w:adjustRightInd w:val="0"/>
              <w:spacing w:after="120" w:line="240" w:lineRule="auto"/>
              <w:jc w:val="right"/>
              <w:rPr>
                <w:rFonts w:ascii="Times New Roman" w:eastAsia="Times New Roman" w:hAnsi="Times New Roman" w:cs="Times New Roman"/>
                <w:sz w:val="26"/>
                <w:szCs w:val="24"/>
              </w:rPr>
            </w:pPr>
            <w:r w:rsidRPr="00220CB1">
              <w:rPr>
                <w:rFonts w:ascii="Times New Roman" w:eastAsia="Times New Roman" w:hAnsi="Times New Roman" w:cs="Times New Roman"/>
                <w:sz w:val="26"/>
                <w:szCs w:val="24"/>
              </w:rPr>
              <w:t>$144</w:t>
            </w:r>
          </w:p>
        </w:tc>
        <w:tc>
          <w:tcPr>
            <w:tcW w:w="1748" w:type="dxa"/>
            <w:tcBorders>
              <w:top w:val="single" w:sz="4" w:space="0" w:color="auto"/>
              <w:left w:val="single" w:sz="4" w:space="0" w:color="auto"/>
              <w:bottom w:val="single" w:sz="4" w:space="0" w:color="auto"/>
              <w:right w:val="single" w:sz="4" w:space="0" w:color="auto"/>
            </w:tcBorders>
            <w:vAlign w:val="bottom"/>
            <w:hideMark/>
          </w:tcPr>
          <w:p w14:paraId="75A42E08" w14:textId="77777777" w:rsidR="00220CB1" w:rsidRPr="00220CB1" w:rsidRDefault="00220CB1" w:rsidP="00220CB1">
            <w:pPr>
              <w:widowControl w:val="0"/>
              <w:autoSpaceDE w:val="0"/>
              <w:autoSpaceDN w:val="0"/>
              <w:adjustRightInd w:val="0"/>
              <w:spacing w:after="120" w:line="240" w:lineRule="auto"/>
              <w:jc w:val="right"/>
              <w:rPr>
                <w:rFonts w:ascii="Times New Roman" w:eastAsia="Times New Roman" w:hAnsi="Times New Roman" w:cs="Times New Roman"/>
                <w:sz w:val="26"/>
                <w:szCs w:val="24"/>
              </w:rPr>
            </w:pPr>
            <w:r w:rsidRPr="00220CB1">
              <w:rPr>
                <w:rFonts w:ascii="Times New Roman" w:eastAsia="Times New Roman" w:hAnsi="Times New Roman" w:cs="Times New Roman"/>
                <w:sz w:val="26"/>
                <w:szCs w:val="24"/>
              </w:rPr>
              <w:t>516</w:t>
            </w:r>
          </w:p>
          <w:p w14:paraId="3686E0CB" w14:textId="77777777" w:rsidR="00220CB1" w:rsidRPr="00220CB1" w:rsidRDefault="00220CB1" w:rsidP="00220CB1">
            <w:pPr>
              <w:widowControl w:val="0"/>
              <w:autoSpaceDE w:val="0"/>
              <w:autoSpaceDN w:val="0"/>
              <w:adjustRightInd w:val="0"/>
              <w:spacing w:after="120" w:line="240" w:lineRule="auto"/>
              <w:jc w:val="right"/>
              <w:rPr>
                <w:rFonts w:ascii="Times New Roman" w:eastAsia="Times New Roman" w:hAnsi="Times New Roman" w:cs="Times New Roman"/>
                <w:sz w:val="26"/>
                <w:szCs w:val="24"/>
              </w:rPr>
            </w:pPr>
            <w:r w:rsidRPr="00220CB1">
              <w:rPr>
                <w:rFonts w:ascii="Times New Roman" w:eastAsia="Times New Roman" w:hAnsi="Times New Roman" w:cs="Times New Roman"/>
                <w:sz w:val="26"/>
                <w:szCs w:val="24"/>
              </w:rPr>
              <w:t>$37,152</w:t>
            </w:r>
          </w:p>
        </w:tc>
        <w:tc>
          <w:tcPr>
            <w:tcW w:w="1545" w:type="dxa"/>
            <w:tcBorders>
              <w:top w:val="single" w:sz="4" w:space="0" w:color="auto"/>
              <w:left w:val="single" w:sz="4" w:space="0" w:color="auto"/>
              <w:bottom w:val="single" w:sz="4" w:space="0" w:color="auto"/>
              <w:right w:val="single" w:sz="4" w:space="0" w:color="auto"/>
            </w:tcBorders>
            <w:vAlign w:val="bottom"/>
            <w:hideMark/>
          </w:tcPr>
          <w:p w14:paraId="6F6A9732" w14:textId="77777777" w:rsidR="00220CB1" w:rsidRPr="00220CB1" w:rsidRDefault="00220CB1" w:rsidP="00220CB1">
            <w:pPr>
              <w:widowControl w:val="0"/>
              <w:autoSpaceDE w:val="0"/>
              <w:autoSpaceDN w:val="0"/>
              <w:adjustRightInd w:val="0"/>
              <w:spacing w:after="120" w:line="240" w:lineRule="auto"/>
              <w:jc w:val="right"/>
              <w:rPr>
                <w:rFonts w:ascii="Times New Roman" w:eastAsia="Times New Roman" w:hAnsi="Times New Roman" w:cs="Times New Roman"/>
                <w:sz w:val="26"/>
                <w:szCs w:val="24"/>
              </w:rPr>
            </w:pPr>
            <w:r w:rsidRPr="00220CB1">
              <w:rPr>
                <w:rFonts w:ascii="Times New Roman" w:eastAsia="Times New Roman" w:hAnsi="Times New Roman" w:cs="Times New Roman"/>
                <w:sz w:val="26"/>
                <w:szCs w:val="24"/>
              </w:rPr>
              <w:t>$144</w:t>
            </w:r>
          </w:p>
        </w:tc>
      </w:tr>
    </w:tbl>
    <w:p w14:paraId="0ABDFC65" w14:textId="77777777" w:rsidR="00220CB1" w:rsidRDefault="00220CB1" w:rsidP="00D76508">
      <w:pPr>
        <w:spacing w:after="0"/>
        <w:rPr>
          <w:rFonts w:ascii="Times New Roman" w:hAnsi="Times New Roman" w:cs="Times New Roman"/>
          <w:sz w:val="24"/>
          <w:szCs w:val="24"/>
        </w:rPr>
      </w:pPr>
    </w:p>
    <w:p w14:paraId="6F12AE0E" w14:textId="2B184D17" w:rsidR="003316E0" w:rsidRDefault="00D76508" w:rsidP="00D76508">
      <w:pPr>
        <w:spacing w:after="0"/>
        <w:rPr>
          <w:rFonts w:ascii="Times New Roman" w:hAnsi="Times New Roman" w:cs="Times New Roman"/>
          <w:sz w:val="24"/>
          <w:szCs w:val="24"/>
        </w:rPr>
      </w:pPr>
      <w:r w:rsidRPr="00D76508">
        <w:rPr>
          <w:rFonts w:ascii="Times New Roman" w:hAnsi="Times New Roman" w:cs="Times New Roman"/>
          <w:sz w:val="24"/>
          <w:szCs w:val="24"/>
        </w:rPr>
        <w:t>The following two tables show</w:t>
      </w:r>
      <w:r w:rsidR="00B95800">
        <w:rPr>
          <w:rFonts w:ascii="Times New Roman" w:hAnsi="Times New Roman" w:cs="Times New Roman"/>
          <w:sz w:val="24"/>
          <w:szCs w:val="24"/>
        </w:rPr>
        <w:t xml:space="preserve"> </w:t>
      </w:r>
      <w:r w:rsidR="00AB2354">
        <w:rPr>
          <w:rFonts w:ascii="Times New Roman" w:hAnsi="Times New Roman" w:cs="Times New Roman"/>
          <w:sz w:val="24"/>
          <w:szCs w:val="24"/>
        </w:rPr>
        <w:t xml:space="preserve">the current OMB-approved inventory, as well as </w:t>
      </w:r>
      <w:r w:rsidRPr="00D76508">
        <w:rPr>
          <w:rFonts w:ascii="Times New Roman" w:hAnsi="Times New Roman" w:cs="Times New Roman"/>
          <w:sz w:val="24"/>
          <w:szCs w:val="24"/>
        </w:rPr>
        <w:t xml:space="preserve">the </w:t>
      </w:r>
      <w:r w:rsidR="0007704B">
        <w:rPr>
          <w:rFonts w:ascii="Times New Roman" w:hAnsi="Times New Roman" w:cs="Times New Roman"/>
          <w:sz w:val="24"/>
          <w:szCs w:val="24"/>
        </w:rPr>
        <w:t xml:space="preserve">estimated annual </w:t>
      </w:r>
      <w:r w:rsidRPr="00D76508">
        <w:rPr>
          <w:rFonts w:ascii="Times New Roman" w:hAnsi="Times New Roman" w:cs="Times New Roman"/>
          <w:sz w:val="24"/>
          <w:szCs w:val="24"/>
        </w:rPr>
        <w:t xml:space="preserve">impact of the changes discussed </w:t>
      </w:r>
      <w:r w:rsidR="00B432B9">
        <w:rPr>
          <w:rFonts w:ascii="Times New Roman" w:hAnsi="Times New Roman" w:cs="Times New Roman"/>
          <w:sz w:val="24"/>
          <w:szCs w:val="24"/>
        </w:rPr>
        <w:t xml:space="preserve">in this </w:t>
      </w:r>
      <w:r w:rsidR="00521FFF">
        <w:rPr>
          <w:rFonts w:ascii="Times New Roman" w:hAnsi="Times New Roman" w:cs="Times New Roman"/>
          <w:sz w:val="24"/>
          <w:szCs w:val="24"/>
        </w:rPr>
        <w:t xml:space="preserve">NOPR and </w:t>
      </w:r>
      <w:r w:rsidR="00B432B9">
        <w:rPr>
          <w:rFonts w:ascii="Times New Roman" w:hAnsi="Times New Roman" w:cs="Times New Roman"/>
          <w:sz w:val="24"/>
          <w:szCs w:val="24"/>
        </w:rPr>
        <w:t>supporting statement</w:t>
      </w:r>
      <w:r w:rsidRPr="00D76508">
        <w:rPr>
          <w:rFonts w:ascii="Times New Roman" w:hAnsi="Times New Roman" w:cs="Times New Roman"/>
          <w:sz w:val="24"/>
          <w:szCs w:val="24"/>
        </w:rPr>
        <w:t>.</w:t>
      </w:r>
    </w:p>
    <w:p w14:paraId="3D5BF4D9" w14:textId="77777777" w:rsidR="00D76508" w:rsidRDefault="00D76508" w:rsidP="003316E0">
      <w:pPr>
        <w:spacing w:after="0"/>
        <w:rPr>
          <w:rFonts w:ascii="Times New Roman" w:hAnsi="Times New Roman" w:cs="Times New Roman"/>
          <w:sz w:val="24"/>
          <w:szCs w:val="24"/>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683"/>
        <w:gridCol w:w="1357"/>
      </w:tblGrid>
      <w:tr w:rsidR="003316E0" w:rsidRPr="003316E0" w14:paraId="2DDAFEBA" w14:textId="77777777" w:rsidTr="00A80014">
        <w:trPr>
          <w:trHeight w:val="870"/>
        </w:trPr>
        <w:tc>
          <w:tcPr>
            <w:tcW w:w="2589" w:type="dxa"/>
            <w:shd w:val="clear" w:color="auto" w:fill="D9D9D9"/>
            <w:vAlign w:val="bottom"/>
          </w:tcPr>
          <w:p w14:paraId="7714C46B" w14:textId="5A29B76D" w:rsidR="003316E0" w:rsidRPr="003316E0" w:rsidRDefault="00D76508" w:rsidP="003316E0">
            <w:pPr>
              <w:spacing w:after="0"/>
              <w:rPr>
                <w:rFonts w:ascii="Times New Roman" w:hAnsi="Times New Roman" w:cs="Times New Roman"/>
                <w:b/>
                <w:sz w:val="24"/>
                <w:szCs w:val="24"/>
              </w:rPr>
            </w:pPr>
            <w:r>
              <w:rPr>
                <w:rFonts w:ascii="Times New Roman" w:hAnsi="Times New Roman" w:cs="Times New Roman"/>
                <w:b/>
                <w:sz w:val="24"/>
                <w:szCs w:val="24"/>
              </w:rPr>
              <w:t>FERC-516</w:t>
            </w:r>
          </w:p>
        </w:tc>
        <w:tc>
          <w:tcPr>
            <w:tcW w:w="1779" w:type="dxa"/>
            <w:shd w:val="clear" w:color="auto" w:fill="D9D9D9"/>
            <w:vAlign w:val="bottom"/>
          </w:tcPr>
          <w:p w14:paraId="72C021F2"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Total Request</w:t>
            </w:r>
          </w:p>
        </w:tc>
        <w:tc>
          <w:tcPr>
            <w:tcW w:w="1959" w:type="dxa"/>
            <w:shd w:val="clear" w:color="auto" w:fill="D9D9D9"/>
            <w:vAlign w:val="bottom"/>
          </w:tcPr>
          <w:p w14:paraId="4FE34277"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Previously Approved</w:t>
            </w:r>
          </w:p>
        </w:tc>
        <w:tc>
          <w:tcPr>
            <w:tcW w:w="1683" w:type="dxa"/>
            <w:shd w:val="clear" w:color="auto" w:fill="D9D9D9"/>
            <w:vAlign w:val="bottom"/>
          </w:tcPr>
          <w:p w14:paraId="5C79AB51"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Change due to Adjustment in Estimate</w:t>
            </w:r>
          </w:p>
        </w:tc>
        <w:tc>
          <w:tcPr>
            <w:tcW w:w="1357" w:type="dxa"/>
            <w:shd w:val="clear" w:color="auto" w:fill="D9D9D9"/>
            <w:vAlign w:val="bottom"/>
          </w:tcPr>
          <w:p w14:paraId="42AE2555"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Change Due to Agency Discretion</w:t>
            </w:r>
          </w:p>
        </w:tc>
      </w:tr>
      <w:tr w:rsidR="003316E0" w:rsidRPr="003316E0" w14:paraId="0D5A36AF" w14:textId="77777777" w:rsidTr="00A80014">
        <w:trPr>
          <w:trHeight w:val="591"/>
        </w:trPr>
        <w:tc>
          <w:tcPr>
            <w:tcW w:w="2589" w:type="dxa"/>
          </w:tcPr>
          <w:p w14:paraId="456AFF09"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Number of Responses</w:t>
            </w:r>
          </w:p>
        </w:tc>
        <w:tc>
          <w:tcPr>
            <w:tcW w:w="1779" w:type="dxa"/>
            <w:vAlign w:val="center"/>
          </w:tcPr>
          <w:p w14:paraId="34C6D177" w14:textId="4A4F4BDE" w:rsidR="003316E0" w:rsidRPr="003316E0" w:rsidRDefault="00C63B6A" w:rsidP="00255CCF">
            <w:pPr>
              <w:spacing w:after="0"/>
              <w:jc w:val="right"/>
              <w:rPr>
                <w:rFonts w:ascii="Times New Roman" w:hAnsi="Times New Roman" w:cs="Times New Roman"/>
                <w:sz w:val="24"/>
                <w:szCs w:val="24"/>
              </w:rPr>
            </w:pPr>
            <w:r>
              <w:rPr>
                <w:rFonts w:ascii="Times New Roman" w:hAnsi="Times New Roman" w:cs="Times New Roman"/>
                <w:sz w:val="24"/>
                <w:szCs w:val="24"/>
              </w:rPr>
              <w:t>5,805</w:t>
            </w:r>
          </w:p>
        </w:tc>
        <w:tc>
          <w:tcPr>
            <w:tcW w:w="1959" w:type="dxa"/>
            <w:vAlign w:val="center"/>
          </w:tcPr>
          <w:p w14:paraId="4A5E89DD" w14:textId="7BEA3FE4" w:rsidR="003316E0" w:rsidRPr="003316E0" w:rsidRDefault="007F74B4" w:rsidP="00255CCF">
            <w:pPr>
              <w:spacing w:after="0"/>
              <w:jc w:val="right"/>
              <w:rPr>
                <w:rFonts w:ascii="Times New Roman" w:hAnsi="Times New Roman" w:cs="Times New Roman"/>
                <w:sz w:val="24"/>
                <w:szCs w:val="24"/>
              </w:rPr>
            </w:pPr>
            <w:r w:rsidRPr="007F74B4">
              <w:rPr>
                <w:rFonts w:ascii="Times New Roman" w:hAnsi="Times New Roman" w:cs="Times New Roman"/>
                <w:sz w:val="24"/>
                <w:szCs w:val="24"/>
              </w:rPr>
              <w:t>5,547</w:t>
            </w:r>
          </w:p>
        </w:tc>
        <w:tc>
          <w:tcPr>
            <w:tcW w:w="1683" w:type="dxa"/>
            <w:vAlign w:val="center"/>
          </w:tcPr>
          <w:p w14:paraId="27DBAFA4" w14:textId="77777777" w:rsidR="003316E0" w:rsidRPr="003316E0" w:rsidRDefault="003316E0" w:rsidP="00255CCF">
            <w:pPr>
              <w:spacing w:after="0"/>
              <w:jc w:val="right"/>
              <w:rPr>
                <w:rFonts w:ascii="Times New Roman" w:hAnsi="Times New Roman" w:cs="Times New Roman"/>
                <w:sz w:val="24"/>
                <w:szCs w:val="24"/>
              </w:rPr>
            </w:pPr>
            <w:r w:rsidRPr="003316E0">
              <w:rPr>
                <w:rFonts w:ascii="Times New Roman" w:hAnsi="Times New Roman" w:cs="Times New Roman"/>
                <w:sz w:val="24"/>
                <w:szCs w:val="24"/>
              </w:rPr>
              <w:t>0</w:t>
            </w:r>
          </w:p>
        </w:tc>
        <w:tc>
          <w:tcPr>
            <w:tcW w:w="1357" w:type="dxa"/>
            <w:vAlign w:val="center"/>
          </w:tcPr>
          <w:p w14:paraId="31EDDD94" w14:textId="4B9B07DB" w:rsidR="003316E0" w:rsidRPr="003316E0" w:rsidRDefault="00C63B6A" w:rsidP="00255CCF">
            <w:pPr>
              <w:spacing w:after="0"/>
              <w:jc w:val="right"/>
              <w:rPr>
                <w:rFonts w:ascii="Times New Roman" w:hAnsi="Times New Roman" w:cs="Times New Roman"/>
                <w:sz w:val="24"/>
                <w:szCs w:val="24"/>
              </w:rPr>
            </w:pPr>
            <w:r>
              <w:rPr>
                <w:rFonts w:ascii="Times New Roman" w:hAnsi="Times New Roman" w:cs="Times New Roman"/>
                <w:sz w:val="24"/>
                <w:szCs w:val="24"/>
              </w:rPr>
              <w:t>+</w:t>
            </w:r>
            <w:r w:rsidRPr="00C63B6A">
              <w:rPr>
                <w:rFonts w:ascii="Times New Roman" w:hAnsi="Times New Roman" w:cs="Times New Roman"/>
                <w:sz w:val="24"/>
                <w:szCs w:val="24"/>
              </w:rPr>
              <w:t>258</w:t>
            </w:r>
          </w:p>
        </w:tc>
      </w:tr>
      <w:tr w:rsidR="003316E0" w:rsidRPr="003316E0" w14:paraId="659E21F0" w14:textId="77777777" w:rsidTr="00A80014">
        <w:trPr>
          <w:trHeight w:val="575"/>
        </w:trPr>
        <w:tc>
          <w:tcPr>
            <w:tcW w:w="2589" w:type="dxa"/>
          </w:tcPr>
          <w:p w14:paraId="58F088BA"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Time Burden (Hr)</w:t>
            </w:r>
          </w:p>
        </w:tc>
        <w:tc>
          <w:tcPr>
            <w:tcW w:w="1779" w:type="dxa"/>
            <w:vAlign w:val="center"/>
          </w:tcPr>
          <w:p w14:paraId="1EBA2768" w14:textId="5F1E5924" w:rsidR="003316E0" w:rsidRPr="003316E0" w:rsidRDefault="00C63B6A" w:rsidP="00255CCF">
            <w:pPr>
              <w:spacing w:after="0"/>
              <w:jc w:val="right"/>
              <w:rPr>
                <w:rFonts w:ascii="Times New Roman" w:hAnsi="Times New Roman" w:cs="Times New Roman"/>
                <w:sz w:val="24"/>
                <w:szCs w:val="24"/>
              </w:rPr>
            </w:pPr>
            <w:r>
              <w:rPr>
                <w:rFonts w:ascii="Times New Roman" w:hAnsi="Times New Roman" w:cs="Times New Roman"/>
                <w:sz w:val="24"/>
                <w:szCs w:val="24"/>
              </w:rPr>
              <w:t>499,798</w:t>
            </w:r>
          </w:p>
        </w:tc>
        <w:tc>
          <w:tcPr>
            <w:tcW w:w="1959" w:type="dxa"/>
            <w:vAlign w:val="center"/>
          </w:tcPr>
          <w:p w14:paraId="66868078" w14:textId="6BEA41B7" w:rsidR="003316E0" w:rsidRPr="003316E0" w:rsidRDefault="007F74B4" w:rsidP="00255CCF">
            <w:pPr>
              <w:spacing w:after="0"/>
              <w:jc w:val="right"/>
              <w:rPr>
                <w:rFonts w:ascii="Times New Roman" w:hAnsi="Times New Roman" w:cs="Times New Roman"/>
                <w:sz w:val="24"/>
                <w:szCs w:val="24"/>
              </w:rPr>
            </w:pPr>
            <w:r w:rsidRPr="007F74B4">
              <w:rPr>
                <w:rFonts w:ascii="Times New Roman" w:hAnsi="Times New Roman" w:cs="Times New Roman"/>
                <w:sz w:val="24"/>
                <w:szCs w:val="24"/>
              </w:rPr>
              <w:t>498,250</w:t>
            </w:r>
          </w:p>
        </w:tc>
        <w:tc>
          <w:tcPr>
            <w:tcW w:w="1683" w:type="dxa"/>
            <w:vAlign w:val="center"/>
          </w:tcPr>
          <w:p w14:paraId="50FB6491" w14:textId="77777777" w:rsidR="003316E0" w:rsidRPr="003316E0" w:rsidRDefault="003316E0" w:rsidP="00255CCF">
            <w:pPr>
              <w:spacing w:after="0"/>
              <w:jc w:val="right"/>
              <w:rPr>
                <w:rFonts w:ascii="Times New Roman" w:hAnsi="Times New Roman" w:cs="Times New Roman"/>
                <w:sz w:val="24"/>
                <w:szCs w:val="24"/>
              </w:rPr>
            </w:pPr>
            <w:r w:rsidRPr="003316E0">
              <w:rPr>
                <w:rFonts w:ascii="Times New Roman" w:hAnsi="Times New Roman" w:cs="Times New Roman"/>
                <w:sz w:val="24"/>
                <w:szCs w:val="24"/>
              </w:rPr>
              <w:t>0</w:t>
            </w:r>
          </w:p>
        </w:tc>
        <w:tc>
          <w:tcPr>
            <w:tcW w:w="1357" w:type="dxa"/>
            <w:vAlign w:val="center"/>
          </w:tcPr>
          <w:p w14:paraId="574DFADF" w14:textId="6740F237" w:rsidR="003316E0" w:rsidRPr="003316E0" w:rsidRDefault="00C63B6A" w:rsidP="00255CCF">
            <w:pPr>
              <w:spacing w:after="0"/>
              <w:jc w:val="right"/>
              <w:rPr>
                <w:rFonts w:ascii="Times New Roman" w:hAnsi="Times New Roman" w:cs="Times New Roman"/>
                <w:sz w:val="24"/>
                <w:szCs w:val="24"/>
              </w:rPr>
            </w:pPr>
            <w:r>
              <w:rPr>
                <w:rFonts w:ascii="Times New Roman" w:hAnsi="Times New Roman" w:cs="Times New Roman"/>
                <w:sz w:val="24"/>
                <w:szCs w:val="24"/>
              </w:rPr>
              <w:t>+</w:t>
            </w:r>
            <w:r w:rsidRPr="00C63B6A">
              <w:rPr>
                <w:rFonts w:ascii="Times New Roman" w:hAnsi="Times New Roman" w:cs="Times New Roman"/>
                <w:sz w:val="24"/>
                <w:szCs w:val="24"/>
              </w:rPr>
              <w:t>1,548</w:t>
            </w:r>
          </w:p>
        </w:tc>
      </w:tr>
      <w:tr w:rsidR="003316E0" w:rsidRPr="003316E0" w14:paraId="4D61CA99" w14:textId="77777777" w:rsidTr="00A80014">
        <w:trPr>
          <w:trHeight w:val="295"/>
        </w:trPr>
        <w:tc>
          <w:tcPr>
            <w:tcW w:w="2589" w:type="dxa"/>
          </w:tcPr>
          <w:p w14:paraId="7E88E7B9"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Cost Burden ($)</w:t>
            </w:r>
          </w:p>
        </w:tc>
        <w:tc>
          <w:tcPr>
            <w:tcW w:w="1779" w:type="dxa"/>
            <w:vAlign w:val="center"/>
          </w:tcPr>
          <w:p w14:paraId="652EA7DB" w14:textId="77777777" w:rsidR="003316E0" w:rsidRPr="003316E0" w:rsidRDefault="003316E0" w:rsidP="00255CCF">
            <w:pPr>
              <w:spacing w:after="0"/>
              <w:jc w:val="right"/>
              <w:rPr>
                <w:rFonts w:ascii="Times New Roman" w:hAnsi="Times New Roman" w:cs="Times New Roman"/>
                <w:sz w:val="24"/>
                <w:szCs w:val="24"/>
              </w:rPr>
            </w:pPr>
            <w:r w:rsidRPr="003316E0">
              <w:rPr>
                <w:rFonts w:ascii="Times New Roman" w:hAnsi="Times New Roman" w:cs="Times New Roman"/>
                <w:sz w:val="24"/>
                <w:szCs w:val="24"/>
              </w:rPr>
              <w:t>0</w:t>
            </w:r>
          </w:p>
        </w:tc>
        <w:tc>
          <w:tcPr>
            <w:tcW w:w="1959" w:type="dxa"/>
            <w:vAlign w:val="center"/>
          </w:tcPr>
          <w:p w14:paraId="49EA5BF1" w14:textId="77777777" w:rsidR="003316E0" w:rsidRPr="003316E0" w:rsidRDefault="003316E0" w:rsidP="00255CCF">
            <w:pPr>
              <w:spacing w:after="0"/>
              <w:jc w:val="right"/>
              <w:rPr>
                <w:rFonts w:ascii="Times New Roman" w:hAnsi="Times New Roman" w:cs="Times New Roman"/>
                <w:sz w:val="24"/>
                <w:szCs w:val="24"/>
              </w:rPr>
            </w:pPr>
            <w:r w:rsidRPr="003316E0">
              <w:rPr>
                <w:rFonts w:ascii="Times New Roman" w:hAnsi="Times New Roman" w:cs="Times New Roman"/>
                <w:sz w:val="24"/>
                <w:szCs w:val="24"/>
              </w:rPr>
              <w:t>0</w:t>
            </w:r>
          </w:p>
        </w:tc>
        <w:tc>
          <w:tcPr>
            <w:tcW w:w="1683" w:type="dxa"/>
            <w:vAlign w:val="center"/>
          </w:tcPr>
          <w:p w14:paraId="3ED60F28" w14:textId="77777777" w:rsidR="003316E0" w:rsidRPr="003316E0" w:rsidRDefault="003316E0" w:rsidP="00255CCF">
            <w:pPr>
              <w:spacing w:after="0"/>
              <w:jc w:val="right"/>
              <w:rPr>
                <w:rFonts w:ascii="Times New Roman" w:hAnsi="Times New Roman" w:cs="Times New Roman"/>
                <w:sz w:val="24"/>
                <w:szCs w:val="24"/>
              </w:rPr>
            </w:pPr>
            <w:r w:rsidRPr="003316E0">
              <w:rPr>
                <w:rFonts w:ascii="Times New Roman" w:hAnsi="Times New Roman" w:cs="Times New Roman"/>
                <w:sz w:val="24"/>
                <w:szCs w:val="24"/>
              </w:rPr>
              <w:t>0</w:t>
            </w:r>
          </w:p>
        </w:tc>
        <w:tc>
          <w:tcPr>
            <w:tcW w:w="1357" w:type="dxa"/>
            <w:vAlign w:val="center"/>
          </w:tcPr>
          <w:p w14:paraId="35104CDF" w14:textId="15892B50" w:rsidR="003316E0" w:rsidRPr="003316E0" w:rsidRDefault="00C63B6A" w:rsidP="00255CCF">
            <w:pPr>
              <w:spacing w:after="0"/>
              <w:jc w:val="right"/>
              <w:rPr>
                <w:rFonts w:ascii="Times New Roman" w:hAnsi="Times New Roman" w:cs="Times New Roman"/>
                <w:sz w:val="24"/>
                <w:szCs w:val="24"/>
              </w:rPr>
            </w:pPr>
            <w:r>
              <w:rPr>
                <w:rFonts w:ascii="Times New Roman" w:hAnsi="Times New Roman" w:cs="Times New Roman"/>
                <w:sz w:val="24"/>
                <w:szCs w:val="24"/>
              </w:rPr>
              <w:t>0</w:t>
            </w:r>
          </w:p>
        </w:tc>
      </w:tr>
    </w:tbl>
    <w:p w14:paraId="3AAC4ED7" w14:textId="77777777" w:rsidR="003316E0" w:rsidRDefault="003316E0" w:rsidP="003316E0">
      <w:pPr>
        <w:spacing w:after="0"/>
        <w:rPr>
          <w:rFonts w:ascii="Times New Roman" w:hAnsi="Times New Roman" w:cs="Times New Roman"/>
          <w:sz w:val="24"/>
          <w:szCs w:val="24"/>
        </w:rPr>
      </w:pPr>
    </w:p>
    <w:p w14:paraId="34248DBA" w14:textId="77777777" w:rsidR="00D76508" w:rsidRDefault="00D76508" w:rsidP="003316E0">
      <w:pPr>
        <w:spacing w:after="0"/>
        <w:rPr>
          <w:rFonts w:ascii="Times New Roman" w:hAnsi="Times New Roman" w:cs="Times New Roman"/>
          <w:sz w:val="24"/>
          <w:szCs w:val="24"/>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683"/>
        <w:gridCol w:w="1357"/>
      </w:tblGrid>
      <w:tr w:rsidR="00D76508" w:rsidRPr="003316E0" w14:paraId="02505F7A" w14:textId="77777777" w:rsidTr="00A80014">
        <w:trPr>
          <w:trHeight w:val="870"/>
        </w:trPr>
        <w:tc>
          <w:tcPr>
            <w:tcW w:w="2589" w:type="dxa"/>
            <w:shd w:val="clear" w:color="auto" w:fill="D9D9D9"/>
            <w:vAlign w:val="bottom"/>
          </w:tcPr>
          <w:p w14:paraId="221B6F7C" w14:textId="39B1208E" w:rsidR="00D76508" w:rsidRPr="003316E0" w:rsidRDefault="00D76508" w:rsidP="00AB2354">
            <w:pPr>
              <w:spacing w:after="0"/>
              <w:rPr>
                <w:rFonts w:ascii="Times New Roman" w:hAnsi="Times New Roman" w:cs="Times New Roman"/>
                <w:b/>
                <w:sz w:val="24"/>
                <w:szCs w:val="24"/>
              </w:rPr>
            </w:pPr>
            <w:r>
              <w:rPr>
                <w:rFonts w:ascii="Times New Roman" w:hAnsi="Times New Roman" w:cs="Times New Roman"/>
                <w:b/>
                <w:sz w:val="24"/>
                <w:szCs w:val="24"/>
              </w:rPr>
              <w:t>FERC-</w:t>
            </w:r>
            <w:r w:rsidR="00AB2354">
              <w:rPr>
                <w:rFonts w:ascii="Times New Roman" w:hAnsi="Times New Roman" w:cs="Times New Roman"/>
                <w:b/>
                <w:sz w:val="24"/>
                <w:szCs w:val="24"/>
              </w:rPr>
              <w:t>920</w:t>
            </w:r>
          </w:p>
        </w:tc>
        <w:tc>
          <w:tcPr>
            <w:tcW w:w="1779" w:type="dxa"/>
            <w:shd w:val="clear" w:color="auto" w:fill="D9D9D9"/>
            <w:vAlign w:val="bottom"/>
          </w:tcPr>
          <w:p w14:paraId="1190B467" w14:textId="77777777" w:rsidR="00D76508" w:rsidRPr="003316E0" w:rsidRDefault="00D76508" w:rsidP="00A80014">
            <w:pPr>
              <w:spacing w:after="0"/>
              <w:rPr>
                <w:rFonts w:ascii="Times New Roman" w:hAnsi="Times New Roman" w:cs="Times New Roman"/>
                <w:b/>
                <w:sz w:val="24"/>
                <w:szCs w:val="24"/>
              </w:rPr>
            </w:pPr>
            <w:r w:rsidRPr="003316E0">
              <w:rPr>
                <w:rFonts w:ascii="Times New Roman" w:hAnsi="Times New Roman" w:cs="Times New Roman"/>
                <w:b/>
                <w:sz w:val="24"/>
                <w:szCs w:val="24"/>
              </w:rPr>
              <w:t>Total Request</w:t>
            </w:r>
          </w:p>
        </w:tc>
        <w:tc>
          <w:tcPr>
            <w:tcW w:w="1959" w:type="dxa"/>
            <w:shd w:val="clear" w:color="auto" w:fill="D9D9D9"/>
            <w:vAlign w:val="bottom"/>
          </w:tcPr>
          <w:p w14:paraId="77658A6A" w14:textId="77777777" w:rsidR="00D76508" w:rsidRPr="003316E0" w:rsidRDefault="00D76508" w:rsidP="00A80014">
            <w:pPr>
              <w:spacing w:after="0"/>
              <w:rPr>
                <w:rFonts w:ascii="Times New Roman" w:hAnsi="Times New Roman" w:cs="Times New Roman"/>
                <w:b/>
                <w:sz w:val="24"/>
                <w:szCs w:val="24"/>
              </w:rPr>
            </w:pPr>
            <w:r w:rsidRPr="003316E0">
              <w:rPr>
                <w:rFonts w:ascii="Times New Roman" w:hAnsi="Times New Roman" w:cs="Times New Roman"/>
                <w:b/>
                <w:sz w:val="24"/>
                <w:szCs w:val="24"/>
              </w:rPr>
              <w:t>Previously Approved</w:t>
            </w:r>
          </w:p>
        </w:tc>
        <w:tc>
          <w:tcPr>
            <w:tcW w:w="1683" w:type="dxa"/>
            <w:shd w:val="clear" w:color="auto" w:fill="D9D9D9"/>
            <w:vAlign w:val="bottom"/>
          </w:tcPr>
          <w:p w14:paraId="0D7BEACA" w14:textId="77777777" w:rsidR="00D76508" w:rsidRPr="003316E0" w:rsidRDefault="00D76508" w:rsidP="00A80014">
            <w:pPr>
              <w:spacing w:after="0"/>
              <w:rPr>
                <w:rFonts w:ascii="Times New Roman" w:hAnsi="Times New Roman" w:cs="Times New Roman"/>
                <w:b/>
                <w:sz w:val="24"/>
                <w:szCs w:val="24"/>
              </w:rPr>
            </w:pPr>
            <w:r w:rsidRPr="003316E0">
              <w:rPr>
                <w:rFonts w:ascii="Times New Roman" w:hAnsi="Times New Roman" w:cs="Times New Roman"/>
                <w:b/>
                <w:sz w:val="24"/>
                <w:szCs w:val="24"/>
              </w:rPr>
              <w:t>Change due to Adjustment in Estimate</w:t>
            </w:r>
          </w:p>
        </w:tc>
        <w:tc>
          <w:tcPr>
            <w:tcW w:w="1357" w:type="dxa"/>
            <w:shd w:val="clear" w:color="auto" w:fill="D9D9D9"/>
            <w:vAlign w:val="bottom"/>
          </w:tcPr>
          <w:p w14:paraId="65EAF89C" w14:textId="77777777" w:rsidR="00D76508" w:rsidRPr="003316E0" w:rsidRDefault="00D76508" w:rsidP="00A80014">
            <w:pPr>
              <w:spacing w:after="0"/>
              <w:rPr>
                <w:rFonts w:ascii="Times New Roman" w:hAnsi="Times New Roman" w:cs="Times New Roman"/>
                <w:b/>
                <w:sz w:val="24"/>
                <w:szCs w:val="24"/>
              </w:rPr>
            </w:pPr>
            <w:r w:rsidRPr="003316E0">
              <w:rPr>
                <w:rFonts w:ascii="Times New Roman" w:hAnsi="Times New Roman" w:cs="Times New Roman"/>
                <w:b/>
                <w:sz w:val="24"/>
                <w:szCs w:val="24"/>
              </w:rPr>
              <w:t>Change Due to Agency Discretion</w:t>
            </w:r>
          </w:p>
        </w:tc>
      </w:tr>
      <w:tr w:rsidR="00D76508" w:rsidRPr="003316E0" w14:paraId="0C4EA704" w14:textId="77777777" w:rsidTr="00A80014">
        <w:trPr>
          <w:trHeight w:val="591"/>
        </w:trPr>
        <w:tc>
          <w:tcPr>
            <w:tcW w:w="2589" w:type="dxa"/>
          </w:tcPr>
          <w:p w14:paraId="606B86E3" w14:textId="77777777" w:rsidR="00D76508" w:rsidRPr="003316E0" w:rsidRDefault="00D76508" w:rsidP="00A80014">
            <w:pPr>
              <w:spacing w:after="0"/>
              <w:rPr>
                <w:rFonts w:ascii="Times New Roman" w:hAnsi="Times New Roman" w:cs="Times New Roman"/>
                <w:sz w:val="24"/>
                <w:szCs w:val="24"/>
              </w:rPr>
            </w:pPr>
            <w:r w:rsidRPr="003316E0">
              <w:rPr>
                <w:rFonts w:ascii="Times New Roman" w:hAnsi="Times New Roman" w:cs="Times New Roman"/>
                <w:sz w:val="24"/>
                <w:szCs w:val="24"/>
              </w:rPr>
              <w:t>Annual Number of Responses</w:t>
            </w:r>
          </w:p>
        </w:tc>
        <w:tc>
          <w:tcPr>
            <w:tcW w:w="1779" w:type="dxa"/>
            <w:vAlign w:val="center"/>
          </w:tcPr>
          <w:p w14:paraId="18229BD2" w14:textId="5E0095A4" w:rsidR="00D76508" w:rsidRPr="003316E0" w:rsidRDefault="00C63B6A" w:rsidP="00255CCF">
            <w:pPr>
              <w:spacing w:after="0"/>
              <w:jc w:val="right"/>
              <w:rPr>
                <w:rFonts w:ascii="Times New Roman" w:hAnsi="Times New Roman" w:cs="Times New Roman"/>
                <w:sz w:val="24"/>
                <w:szCs w:val="24"/>
              </w:rPr>
            </w:pPr>
            <w:r>
              <w:rPr>
                <w:rFonts w:ascii="Times New Roman" w:hAnsi="Times New Roman" w:cs="Times New Roman"/>
                <w:sz w:val="24"/>
                <w:szCs w:val="24"/>
              </w:rPr>
              <w:t>11,274</w:t>
            </w:r>
          </w:p>
        </w:tc>
        <w:tc>
          <w:tcPr>
            <w:tcW w:w="1959" w:type="dxa"/>
            <w:vAlign w:val="center"/>
          </w:tcPr>
          <w:p w14:paraId="02C07A3F" w14:textId="74836DA7" w:rsidR="00D76508" w:rsidRPr="003316E0" w:rsidRDefault="00AB2354" w:rsidP="00255CCF">
            <w:pPr>
              <w:spacing w:after="0"/>
              <w:jc w:val="right"/>
              <w:rPr>
                <w:rFonts w:ascii="Times New Roman" w:hAnsi="Times New Roman" w:cs="Times New Roman"/>
                <w:sz w:val="24"/>
                <w:szCs w:val="24"/>
              </w:rPr>
            </w:pPr>
            <w:r w:rsidRPr="00AB2354">
              <w:rPr>
                <w:rFonts w:ascii="Times New Roman" w:hAnsi="Times New Roman" w:cs="Times New Roman"/>
                <w:sz w:val="24"/>
                <w:szCs w:val="24"/>
              </w:rPr>
              <w:t xml:space="preserve">11,016 </w:t>
            </w:r>
          </w:p>
        </w:tc>
        <w:tc>
          <w:tcPr>
            <w:tcW w:w="1683" w:type="dxa"/>
            <w:vAlign w:val="center"/>
          </w:tcPr>
          <w:p w14:paraId="2D1E63C8" w14:textId="2AAF9BA6" w:rsidR="00D76508" w:rsidRPr="003316E0" w:rsidRDefault="00C63B6A" w:rsidP="00255CCF">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357" w:type="dxa"/>
            <w:vAlign w:val="center"/>
          </w:tcPr>
          <w:p w14:paraId="01E6BF89" w14:textId="58D2B96E" w:rsidR="00D76508" w:rsidRPr="003316E0" w:rsidRDefault="00C63B6A" w:rsidP="00255CCF">
            <w:pPr>
              <w:spacing w:after="0"/>
              <w:jc w:val="right"/>
              <w:rPr>
                <w:rFonts w:ascii="Times New Roman" w:hAnsi="Times New Roman" w:cs="Times New Roman"/>
                <w:sz w:val="24"/>
                <w:szCs w:val="24"/>
              </w:rPr>
            </w:pPr>
            <w:r w:rsidRPr="00C63B6A">
              <w:rPr>
                <w:rFonts w:ascii="Times New Roman" w:hAnsi="Times New Roman" w:cs="Times New Roman"/>
                <w:sz w:val="24"/>
                <w:szCs w:val="24"/>
              </w:rPr>
              <w:t>+258</w:t>
            </w:r>
          </w:p>
        </w:tc>
      </w:tr>
      <w:tr w:rsidR="00D76508" w:rsidRPr="003316E0" w14:paraId="0C1C0BC2" w14:textId="77777777" w:rsidTr="00A80014">
        <w:trPr>
          <w:trHeight w:val="575"/>
        </w:trPr>
        <w:tc>
          <w:tcPr>
            <w:tcW w:w="2589" w:type="dxa"/>
          </w:tcPr>
          <w:p w14:paraId="4069F96E" w14:textId="77777777" w:rsidR="00D76508" w:rsidRPr="003316E0" w:rsidRDefault="00D76508" w:rsidP="00A80014">
            <w:pPr>
              <w:spacing w:after="0"/>
              <w:rPr>
                <w:rFonts w:ascii="Times New Roman" w:hAnsi="Times New Roman" w:cs="Times New Roman"/>
                <w:sz w:val="24"/>
                <w:szCs w:val="24"/>
              </w:rPr>
            </w:pPr>
            <w:r w:rsidRPr="003316E0">
              <w:rPr>
                <w:rFonts w:ascii="Times New Roman" w:hAnsi="Times New Roman" w:cs="Times New Roman"/>
                <w:sz w:val="24"/>
                <w:szCs w:val="24"/>
              </w:rPr>
              <w:t>Annual Time Burden (Hr)</w:t>
            </w:r>
          </w:p>
        </w:tc>
        <w:tc>
          <w:tcPr>
            <w:tcW w:w="1779" w:type="dxa"/>
            <w:vAlign w:val="center"/>
          </w:tcPr>
          <w:p w14:paraId="3C92CB8A" w14:textId="5779966F" w:rsidR="00D76508" w:rsidRPr="003316E0" w:rsidRDefault="00C63B6A" w:rsidP="00255CCF">
            <w:pPr>
              <w:spacing w:after="0"/>
              <w:jc w:val="right"/>
              <w:rPr>
                <w:rFonts w:ascii="Times New Roman" w:hAnsi="Times New Roman" w:cs="Times New Roman"/>
                <w:sz w:val="24"/>
                <w:szCs w:val="24"/>
              </w:rPr>
            </w:pPr>
            <w:r>
              <w:rPr>
                <w:rFonts w:ascii="Times New Roman" w:hAnsi="Times New Roman" w:cs="Times New Roman"/>
                <w:sz w:val="24"/>
                <w:szCs w:val="24"/>
              </w:rPr>
              <w:t>246,828</w:t>
            </w:r>
          </w:p>
        </w:tc>
        <w:tc>
          <w:tcPr>
            <w:tcW w:w="1959" w:type="dxa"/>
            <w:vAlign w:val="center"/>
          </w:tcPr>
          <w:p w14:paraId="66974ED6" w14:textId="0C58BAB2" w:rsidR="00D76508" w:rsidRPr="003316E0" w:rsidRDefault="00AB2354" w:rsidP="00255CCF">
            <w:pPr>
              <w:spacing w:after="0"/>
              <w:jc w:val="right"/>
              <w:rPr>
                <w:rFonts w:ascii="Times New Roman" w:hAnsi="Times New Roman" w:cs="Times New Roman"/>
                <w:sz w:val="24"/>
                <w:szCs w:val="24"/>
              </w:rPr>
            </w:pPr>
            <w:r w:rsidRPr="00AB2354">
              <w:rPr>
                <w:rFonts w:ascii="Times New Roman" w:hAnsi="Times New Roman" w:cs="Times New Roman"/>
                <w:sz w:val="24"/>
                <w:szCs w:val="24"/>
              </w:rPr>
              <w:t xml:space="preserve">246,312 </w:t>
            </w:r>
          </w:p>
        </w:tc>
        <w:tc>
          <w:tcPr>
            <w:tcW w:w="1683" w:type="dxa"/>
            <w:vAlign w:val="center"/>
          </w:tcPr>
          <w:p w14:paraId="55B8628C" w14:textId="2DF2FDD5" w:rsidR="00D76508" w:rsidRPr="003316E0" w:rsidRDefault="00C63B6A" w:rsidP="00255CCF">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357" w:type="dxa"/>
            <w:vAlign w:val="center"/>
          </w:tcPr>
          <w:p w14:paraId="1DA989E6" w14:textId="2720A6E6" w:rsidR="00D76508" w:rsidRPr="003316E0" w:rsidRDefault="00C63B6A" w:rsidP="00255CCF">
            <w:pPr>
              <w:spacing w:after="0"/>
              <w:jc w:val="right"/>
              <w:rPr>
                <w:rFonts w:ascii="Times New Roman" w:hAnsi="Times New Roman" w:cs="Times New Roman"/>
                <w:sz w:val="24"/>
                <w:szCs w:val="24"/>
              </w:rPr>
            </w:pPr>
            <w:r>
              <w:rPr>
                <w:rFonts w:ascii="Times New Roman" w:hAnsi="Times New Roman" w:cs="Times New Roman"/>
                <w:sz w:val="24"/>
                <w:szCs w:val="24"/>
              </w:rPr>
              <w:t>+516</w:t>
            </w:r>
          </w:p>
        </w:tc>
      </w:tr>
      <w:tr w:rsidR="00D76508" w:rsidRPr="003316E0" w14:paraId="05B9B22E" w14:textId="77777777" w:rsidTr="00A80014">
        <w:trPr>
          <w:trHeight w:val="295"/>
        </w:trPr>
        <w:tc>
          <w:tcPr>
            <w:tcW w:w="2589" w:type="dxa"/>
          </w:tcPr>
          <w:p w14:paraId="2AFBC4BB" w14:textId="77777777" w:rsidR="00D76508" w:rsidRPr="003316E0" w:rsidRDefault="00D76508" w:rsidP="00A80014">
            <w:pPr>
              <w:spacing w:after="0"/>
              <w:rPr>
                <w:rFonts w:ascii="Times New Roman" w:hAnsi="Times New Roman" w:cs="Times New Roman"/>
                <w:sz w:val="24"/>
                <w:szCs w:val="24"/>
              </w:rPr>
            </w:pPr>
            <w:r w:rsidRPr="003316E0">
              <w:rPr>
                <w:rFonts w:ascii="Times New Roman" w:hAnsi="Times New Roman" w:cs="Times New Roman"/>
                <w:sz w:val="24"/>
                <w:szCs w:val="24"/>
              </w:rPr>
              <w:t>Annual Cost Burden ($)</w:t>
            </w:r>
          </w:p>
        </w:tc>
        <w:tc>
          <w:tcPr>
            <w:tcW w:w="1779" w:type="dxa"/>
            <w:vAlign w:val="center"/>
          </w:tcPr>
          <w:p w14:paraId="17B6F6B4" w14:textId="5ECCE218" w:rsidR="00D76508" w:rsidRPr="003316E0" w:rsidRDefault="00255CCF" w:rsidP="00255CCF">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959" w:type="dxa"/>
            <w:vAlign w:val="center"/>
          </w:tcPr>
          <w:p w14:paraId="612316C7" w14:textId="4E1E1CF8" w:rsidR="00D76508" w:rsidRPr="003316E0" w:rsidRDefault="00255CCF" w:rsidP="00255CCF">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683" w:type="dxa"/>
            <w:vAlign w:val="center"/>
          </w:tcPr>
          <w:p w14:paraId="1A2DC3C3" w14:textId="29CCCB52" w:rsidR="00D76508" w:rsidRPr="003316E0" w:rsidRDefault="00255CCF" w:rsidP="00255CCF">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357" w:type="dxa"/>
            <w:vAlign w:val="center"/>
          </w:tcPr>
          <w:p w14:paraId="68BBBFCB" w14:textId="0918CFE3" w:rsidR="00D76508" w:rsidRPr="003316E0" w:rsidRDefault="00255CCF" w:rsidP="00255CCF">
            <w:pPr>
              <w:spacing w:after="0"/>
              <w:jc w:val="right"/>
              <w:rPr>
                <w:rFonts w:ascii="Times New Roman" w:hAnsi="Times New Roman" w:cs="Times New Roman"/>
                <w:sz w:val="24"/>
                <w:szCs w:val="24"/>
              </w:rPr>
            </w:pPr>
            <w:r>
              <w:rPr>
                <w:rFonts w:ascii="Times New Roman" w:hAnsi="Times New Roman" w:cs="Times New Roman"/>
                <w:sz w:val="24"/>
                <w:szCs w:val="24"/>
              </w:rPr>
              <w:t>0</w:t>
            </w:r>
          </w:p>
        </w:tc>
      </w:tr>
    </w:tbl>
    <w:p w14:paraId="6F9121B8" w14:textId="77777777" w:rsidR="003316E0" w:rsidRPr="00A276F5" w:rsidRDefault="003316E0" w:rsidP="003316E0">
      <w:pPr>
        <w:spacing w:after="0"/>
        <w:rPr>
          <w:rFonts w:ascii="Times New Roman" w:hAnsi="Times New Roman" w:cs="Times New Roman"/>
          <w:sz w:val="24"/>
          <w:szCs w:val="24"/>
        </w:rPr>
      </w:pPr>
    </w:p>
    <w:p w14:paraId="6FBC9128" w14:textId="77777777"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6FBC9129" w14:textId="77777777" w:rsidR="00414F32" w:rsidRDefault="00414F32" w:rsidP="00414F32">
      <w:pPr>
        <w:spacing w:after="0"/>
        <w:rPr>
          <w:rFonts w:ascii="Times New Roman" w:hAnsi="Times New Roman" w:cs="Times New Roman"/>
          <w:sz w:val="24"/>
          <w:szCs w:val="24"/>
        </w:rPr>
      </w:pPr>
    </w:p>
    <w:p w14:paraId="38C99BDC" w14:textId="74A06BD9" w:rsidR="003515F8" w:rsidRPr="00843A92" w:rsidRDefault="003515F8" w:rsidP="003515F8">
      <w:pPr>
        <w:spacing w:after="0"/>
        <w:rPr>
          <w:rFonts w:ascii="Times New Roman" w:hAnsi="Times New Roman" w:cs="Times New Roman"/>
          <w:color w:val="92D050"/>
          <w:sz w:val="24"/>
          <w:szCs w:val="24"/>
        </w:rPr>
      </w:pPr>
      <w:r>
        <w:rPr>
          <w:rFonts w:ascii="Times New Roman" w:hAnsi="Times New Roman" w:cs="Times New Roman"/>
          <w:sz w:val="24"/>
          <w:szCs w:val="24"/>
        </w:rPr>
        <w:t xml:space="preserve">Unless confidential treatment is sought, the FERC-516 NOPR-related tariff filing is publicly posted in our eTariff and eLibrary web-based systems when filed.  </w:t>
      </w:r>
      <w:r w:rsidR="00940395">
        <w:rPr>
          <w:rFonts w:ascii="Times New Roman" w:hAnsi="Times New Roman" w:cs="Times New Roman"/>
          <w:sz w:val="24"/>
          <w:szCs w:val="24"/>
        </w:rPr>
        <w:t xml:space="preserve">Similarly, the FERC-920 data, including any </w:t>
      </w:r>
      <w:r w:rsidR="00940395" w:rsidRPr="00940395">
        <w:rPr>
          <w:rFonts w:ascii="Times New Roman" w:hAnsi="Times New Roman" w:cs="Times New Roman"/>
          <w:sz w:val="24"/>
          <w:szCs w:val="24"/>
        </w:rPr>
        <w:t xml:space="preserve">NOPR-related </w:t>
      </w:r>
      <w:r w:rsidR="00940395">
        <w:rPr>
          <w:rFonts w:ascii="Times New Roman" w:hAnsi="Times New Roman" w:cs="Times New Roman"/>
          <w:sz w:val="24"/>
          <w:szCs w:val="24"/>
        </w:rPr>
        <w:t>primary frequency response EQR</w:t>
      </w:r>
      <w:r w:rsidR="00940395" w:rsidRPr="00940395">
        <w:rPr>
          <w:rFonts w:ascii="Times New Roman" w:hAnsi="Times New Roman" w:cs="Times New Roman"/>
          <w:sz w:val="24"/>
          <w:szCs w:val="24"/>
        </w:rPr>
        <w:t xml:space="preserve"> data</w:t>
      </w:r>
      <w:r w:rsidR="00940395">
        <w:rPr>
          <w:rFonts w:ascii="Times New Roman" w:hAnsi="Times New Roman" w:cs="Times New Roman"/>
          <w:sz w:val="24"/>
          <w:szCs w:val="24"/>
        </w:rPr>
        <w:t>,</w:t>
      </w:r>
      <w:r w:rsidR="00940395" w:rsidRPr="00940395">
        <w:rPr>
          <w:rFonts w:ascii="Times New Roman" w:hAnsi="Times New Roman" w:cs="Times New Roman"/>
          <w:sz w:val="24"/>
          <w:szCs w:val="24"/>
        </w:rPr>
        <w:t xml:space="preserve"> is filed on a quarterly basis and made publicly available on the Commission’s website</w:t>
      </w:r>
      <w:r w:rsidR="00940395">
        <w:rPr>
          <w:rFonts w:ascii="Times New Roman" w:hAnsi="Times New Roman" w:cs="Times New Roman"/>
          <w:sz w:val="24"/>
          <w:szCs w:val="24"/>
        </w:rPr>
        <w:t xml:space="preserve">. </w:t>
      </w:r>
      <w:r w:rsidR="00940395" w:rsidRPr="00940395">
        <w:rPr>
          <w:rFonts w:ascii="Times New Roman" w:hAnsi="Times New Roman" w:cs="Times New Roman"/>
          <w:sz w:val="24"/>
          <w:szCs w:val="24"/>
        </w:rPr>
        <w:t xml:space="preserve"> </w:t>
      </w:r>
      <w:r>
        <w:rPr>
          <w:rFonts w:ascii="Times New Roman" w:hAnsi="Times New Roman" w:cs="Times New Roman"/>
          <w:sz w:val="24"/>
          <w:szCs w:val="24"/>
        </w:rPr>
        <w:t xml:space="preserve">However, </w:t>
      </w:r>
      <w:r w:rsidR="00197A36">
        <w:rPr>
          <w:rFonts w:ascii="Times New Roman" w:hAnsi="Times New Roman" w:cs="Times New Roman"/>
          <w:sz w:val="24"/>
          <w:szCs w:val="24"/>
        </w:rPr>
        <w:t xml:space="preserve">FERC does not publish any </w:t>
      </w:r>
      <w:r>
        <w:rPr>
          <w:rFonts w:ascii="Times New Roman" w:hAnsi="Times New Roman" w:cs="Times New Roman"/>
          <w:sz w:val="24"/>
          <w:szCs w:val="24"/>
        </w:rPr>
        <w:t xml:space="preserve">other </w:t>
      </w:r>
      <w:r w:rsidR="00197A36">
        <w:rPr>
          <w:rFonts w:ascii="Times New Roman" w:hAnsi="Times New Roman" w:cs="Times New Roman"/>
          <w:sz w:val="24"/>
          <w:szCs w:val="24"/>
        </w:rPr>
        <w:t xml:space="preserve">data associated with </w:t>
      </w:r>
      <w:r>
        <w:rPr>
          <w:rFonts w:ascii="Times New Roman" w:hAnsi="Times New Roman" w:cs="Times New Roman"/>
          <w:sz w:val="24"/>
          <w:szCs w:val="24"/>
        </w:rPr>
        <w:t xml:space="preserve">either of </w:t>
      </w:r>
      <w:r w:rsidR="00197A36">
        <w:rPr>
          <w:rFonts w:ascii="Times New Roman" w:hAnsi="Times New Roman" w:cs="Times New Roman"/>
          <w:sz w:val="24"/>
          <w:szCs w:val="24"/>
        </w:rPr>
        <w:t>these collections.</w:t>
      </w:r>
      <w:r>
        <w:rPr>
          <w:rFonts w:ascii="Times New Roman" w:hAnsi="Times New Roman" w:cs="Times New Roman"/>
          <w:sz w:val="24"/>
          <w:szCs w:val="24"/>
        </w:rPr>
        <w:t xml:space="preserve"> </w:t>
      </w:r>
    </w:p>
    <w:p w14:paraId="6FBC912A" w14:textId="5A48E016" w:rsidR="00414F32" w:rsidRDefault="00414F32" w:rsidP="00414F32">
      <w:pPr>
        <w:spacing w:after="0"/>
        <w:rPr>
          <w:rFonts w:ascii="Times New Roman" w:hAnsi="Times New Roman" w:cs="Times New Roman"/>
          <w:sz w:val="24"/>
          <w:szCs w:val="24"/>
        </w:rPr>
      </w:pPr>
    </w:p>
    <w:p w14:paraId="6FBC912B"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136EBB9A" w14:textId="77777777" w:rsidR="00F50384" w:rsidRDefault="00F50384" w:rsidP="00414F32">
      <w:pPr>
        <w:spacing w:after="0"/>
        <w:rPr>
          <w:rFonts w:ascii="Times New Roman" w:hAnsi="Times New Roman" w:cs="Times New Roman"/>
          <w:sz w:val="24"/>
          <w:szCs w:val="24"/>
        </w:rPr>
      </w:pPr>
    </w:p>
    <w:p w14:paraId="623C5206" w14:textId="78B1252B" w:rsidR="00F50384" w:rsidRPr="00F50384" w:rsidRDefault="00F50384" w:rsidP="00F50384">
      <w:pPr>
        <w:spacing w:after="0"/>
        <w:rPr>
          <w:rFonts w:ascii="Times New Roman" w:hAnsi="Times New Roman" w:cs="Times New Roman"/>
          <w:sz w:val="24"/>
          <w:szCs w:val="24"/>
        </w:rPr>
      </w:pPr>
      <w:r w:rsidRPr="00F50384">
        <w:rPr>
          <w:rFonts w:ascii="Times New Roman" w:hAnsi="Times New Roman" w:cs="Times New Roman"/>
          <w:sz w:val="24"/>
          <w:szCs w:val="24"/>
        </w:rPr>
        <w:t>The clearance information an</w:t>
      </w:r>
      <w:r>
        <w:rPr>
          <w:rFonts w:ascii="Times New Roman" w:hAnsi="Times New Roman" w:cs="Times New Roman"/>
          <w:sz w:val="24"/>
          <w:szCs w:val="24"/>
        </w:rPr>
        <w:t>d expiration date</w:t>
      </w:r>
      <w:r w:rsidR="001D5974">
        <w:rPr>
          <w:rFonts w:ascii="Times New Roman" w:hAnsi="Times New Roman" w:cs="Times New Roman"/>
          <w:sz w:val="24"/>
          <w:szCs w:val="24"/>
        </w:rPr>
        <w:t>s</w:t>
      </w:r>
      <w:r>
        <w:rPr>
          <w:rFonts w:ascii="Times New Roman" w:hAnsi="Times New Roman" w:cs="Times New Roman"/>
          <w:sz w:val="24"/>
          <w:szCs w:val="24"/>
        </w:rPr>
        <w:t xml:space="preserve"> are available</w:t>
      </w:r>
      <w:r w:rsidRPr="00F50384">
        <w:rPr>
          <w:rFonts w:ascii="Times New Roman" w:hAnsi="Times New Roman" w:cs="Times New Roman"/>
          <w:sz w:val="24"/>
          <w:szCs w:val="24"/>
        </w:rPr>
        <w:t xml:space="preserve"> at </w:t>
      </w:r>
      <w:hyperlink r:id="rId13" w:history="1">
        <w:r w:rsidRPr="00F50384">
          <w:rPr>
            <w:rStyle w:val="Hyperlink"/>
            <w:rFonts w:ascii="Times New Roman" w:hAnsi="Times New Roman" w:cs="Times New Roman"/>
            <w:sz w:val="24"/>
            <w:szCs w:val="24"/>
          </w:rPr>
          <w:t>http://www.ferc.gov/docs-filing/info-collections.asp</w:t>
        </w:r>
      </w:hyperlink>
      <w:r w:rsidRPr="00F50384">
        <w:rPr>
          <w:rFonts w:ascii="Times New Roman" w:hAnsi="Times New Roman" w:cs="Times New Roman"/>
          <w:sz w:val="24"/>
          <w:szCs w:val="24"/>
        </w:rPr>
        <w:t xml:space="preserve">. </w:t>
      </w:r>
    </w:p>
    <w:p w14:paraId="1340FB24" w14:textId="77777777" w:rsidR="00197A36" w:rsidRPr="00414F32" w:rsidRDefault="00197A36" w:rsidP="00414F32">
      <w:pPr>
        <w:spacing w:after="0"/>
        <w:rPr>
          <w:rFonts w:ascii="Times New Roman" w:hAnsi="Times New Roman" w:cs="Times New Roman"/>
          <w:sz w:val="24"/>
          <w:szCs w:val="24"/>
        </w:rPr>
      </w:pPr>
    </w:p>
    <w:p w14:paraId="6FBC912E"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3EBB5059" w14:textId="77777777" w:rsidR="000E34F4" w:rsidRDefault="000E34F4" w:rsidP="007A2F92">
      <w:pPr>
        <w:spacing w:after="0"/>
        <w:rPr>
          <w:rFonts w:ascii="Times New Roman" w:hAnsi="Times New Roman" w:cs="Times New Roman"/>
          <w:b/>
          <w:sz w:val="24"/>
          <w:szCs w:val="24"/>
        </w:rPr>
      </w:pPr>
    </w:p>
    <w:p w14:paraId="24634F2E" w14:textId="3CE614E1" w:rsidR="00F1100F" w:rsidRDefault="00197A36" w:rsidP="007A2F92">
      <w:pPr>
        <w:spacing w:after="0"/>
        <w:rPr>
          <w:rFonts w:ascii="Times New Roman" w:hAnsi="Times New Roman" w:cs="Times New Roman"/>
          <w:sz w:val="24"/>
          <w:szCs w:val="24"/>
        </w:rPr>
      </w:pPr>
      <w:r w:rsidRPr="00197A36">
        <w:rPr>
          <w:rFonts w:ascii="Times New Roman" w:hAnsi="Times New Roman" w:cs="Times New Roman"/>
          <w:sz w:val="24"/>
          <w:szCs w:val="24"/>
        </w:rPr>
        <w:t xml:space="preserve">The </w:t>
      </w:r>
      <w:r w:rsidR="00F1100F">
        <w:rPr>
          <w:rFonts w:ascii="Times New Roman" w:hAnsi="Times New Roman" w:cs="Times New Roman"/>
          <w:sz w:val="24"/>
          <w:szCs w:val="24"/>
        </w:rPr>
        <w:t xml:space="preserve">FERC-920 </w:t>
      </w:r>
      <w:r w:rsidRPr="00197A36">
        <w:rPr>
          <w:rFonts w:ascii="Times New Roman" w:hAnsi="Times New Roman" w:cs="Times New Roman"/>
          <w:sz w:val="24"/>
          <w:szCs w:val="24"/>
        </w:rPr>
        <w:t xml:space="preserve">data collected for this reporting requirement are  used for </w:t>
      </w:r>
      <w:r w:rsidR="00F1100F">
        <w:rPr>
          <w:rFonts w:ascii="Times New Roman" w:hAnsi="Times New Roman" w:cs="Times New Roman"/>
          <w:sz w:val="24"/>
          <w:szCs w:val="24"/>
        </w:rPr>
        <w:t>regulatory purposes</w:t>
      </w:r>
      <w:r w:rsidR="003804AA">
        <w:rPr>
          <w:rFonts w:ascii="Times New Roman" w:hAnsi="Times New Roman" w:cs="Times New Roman"/>
          <w:sz w:val="24"/>
          <w:szCs w:val="24"/>
        </w:rPr>
        <w:t>,</w:t>
      </w:r>
      <w:r w:rsidR="00F1100F">
        <w:rPr>
          <w:rFonts w:ascii="Times New Roman" w:hAnsi="Times New Roman" w:cs="Times New Roman"/>
          <w:sz w:val="24"/>
          <w:szCs w:val="24"/>
        </w:rPr>
        <w:t xml:space="preserve"> rather than </w:t>
      </w:r>
      <w:r w:rsidRPr="00197A36">
        <w:rPr>
          <w:rFonts w:ascii="Times New Roman" w:hAnsi="Times New Roman" w:cs="Times New Roman"/>
          <w:sz w:val="24"/>
          <w:szCs w:val="24"/>
        </w:rPr>
        <w:t>stat</w:t>
      </w:r>
      <w:r>
        <w:rPr>
          <w:rFonts w:ascii="Times New Roman" w:hAnsi="Times New Roman" w:cs="Times New Roman"/>
          <w:sz w:val="24"/>
          <w:szCs w:val="24"/>
        </w:rPr>
        <w:t>istical purposes.</w:t>
      </w:r>
      <w:r w:rsidR="00F1100F">
        <w:rPr>
          <w:rFonts w:ascii="Times New Roman" w:hAnsi="Times New Roman" w:cs="Times New Roman"/>
          <w:sz w:val="24"/>
          <w:szCs w:val="24"/>
        </w:rPr>
        <w:t xml:space="preserve">  However the staff may perform various statistical analyses of the data as part of their enforcement efforts.</w:t>
      </w:r>
    </w:p>
    <w:p w14:paraId="6FBC9131" w14:textId="6FCCF5B5" w:rsidR="00414F32" w:rsidRPr="007A2F92" w:rsidRDefault="00414F32" w:rsidP="007A2F92">
      <w:pPr>
        <w:spacing w:after="0"/>
        <w:rPr>
          <w:rFonts w:ascii="Times New Roman" w:hAnsi="Times New Roman" w:cs="Times New Roman"/>
          <w:sz w:val="24"/>
          <w:szCs w:val="24"/>
        </w:rPr>
      </w:pPr>
    </w:p>
    <w:sectPr w:rsidR="00414F32" w:rsidRPr="007A2F9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0A668" w14:textId="77777777" w:rsidR="00363749" w:rsidRDefault="00363749" w:rsidP="00FD66F1">
      <w:pPr>
        <w:spacing w:after="0" w:line="240" w:lineRule="auto"/>
      </w:pPr>
      <w:r>
        <w:separator/>
      </w:r>
    </w:p>
  </w:endnote>
  <w:endnote w:type="continuationSeparator" w:id="0">
    <w:p w14:paraId="14ABF873" w14:textId="77777777" w:rsidR="00363749" w:rsidRDefault="00363749"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noProof/>
      </w:rPr>
    </w:sdtEndPr>
    <w:sdtContent>
      <w:p w14:paraId="6FBC913A" w14:textId="77777777" w:rsidR="00255CCF" w:rsidRDefault="00255CCF">
        <w:pPr>
          <w:pStyle w:val="Footer"/>
          <w:jc w:val="right"/>
        </w:pPr>
        <w:r>
          <w:fldChar w:fldCharType="begin"/>
        </w:r>
        <w:r>
          <w:instrText xml:space="preserve"> PAGE   \* MERGEFORMAT </w:instrText>
        </w:r>
        <w:r>
          <w:fldChar w:fldCharType="separate"/>
        </w:r>
        <w:r w:rsidR="00843A92">
          <w:rPr>
            <w:noProof/>
          </w:rPr>
          <w:t>10</w:t>
        </w:r>
        <w:r>
          <w:rPr>
            <w:noProof/>
          </w:rPr>
          <w:fldChar w:fldCharType="end"/>
        </w:r>
      </w:p>
    </w:sdtContent>
  </w:sdt>
  <w:p w14:paraId="6FBC913B" w14:textId="77777777" w:rsidR="00255CCF" w:rsidRDefault="00255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FDB70" w14:textId="77777777" w:rsidR="00363749" w:rsidRDefault="00363749" w:rsidP="00FD66F1">
      <w:pPr>
        <w:spacing w:after="0" w:line="240" w:lineRule="auto"/>
      </w:pPr>
      <w:r>
        <w:separator/>
      </w:r>
    </w:p>
  </w:footnote>
  <w:footnote w:type="continuationSeparator" w:id="0">
    <w:p w14:paraId="51540862" w14:textId="77777777" w:rsidR="00363749" w:rsidRDefault="00363749" w:rsidP="00FD66F1">
      <w:pPr>
        <w:spacing w:after="0" w:line="240" w:lineRule="auto"/>
      </w:pPr>
      <w:r>
        <w:continuationSeparator/>
      </w:r>
    </w:p>
  </w:footnote>
  <w:footnote w:id="1">
    <w:p w14:paraId="494E6732" w14:textId="5CC93354" w:rsidR="00D05A67" w:rsidRPr="00137CA8" w:rsidRDefault="00D05A67">
      <w:pPr>
        <w:pStyle w:val="FootnoteText"/>
        <w:rPr>
          <w:sz w:val="24"/>
          <w:szCs w:val="24"/>
        </w:rPr>
      </w:pPr>
      <w:r w:rsidRPr="00137CA8">
        <w:rPr>
          <w:rStyle w:val="FootnoteReference"/>
          <w:sz w:val="24"/>
          <w:szCs w:val="24"/>
        </w:rPr>
        <w:footnoteRef/>
      </w:r>
      <w:r w:rsidRPr="00137CA8">
        <w:rPr>
          <w:sz w:val="24"/>
          <w:szCs w:val="24"/>
        </w:rPr>
        <w:t xml:space="preserve"> Prior to FERC’s Final Rule</w:t>
      </w:r>
      <w:r w:rsidR="00032244" w:rsidRPr="00137CA8">
        <w:rPr>
          <w:sz w:val="24"/>
          <w:szCs w:val="24"/>
        </w:rPr>
        <w:t>s</w:t>
      </w:r>
      <w:r w:rsidRPr="00137CA8">
        <w:rPr>
          <w:sz w:val="24"/>
          <w:szCs w:val="24"/>
        </w:rPr>
        <w:t xml:space="preserve"> in Docket No</w:t>
      </w:r>
      <w:r w:rsidR="00032244" w:rsidRPr="00137CA8">
        <w:rPr>
          <w:sz w:val="24"/>
          <w:szCs w:val="24"/>
        </w:rPr>
        <w:t>s</w:t>
      </w:r>
      <w:r w:rsidRPr="00137CA8">
        <w:rPr>
          <w:sz w:val="24"/>
          <w:szCs w:val="24"/>
        </w:rPr>
        <w:t>. RM10-12</w:t>
      </w:r>
      <w:r w:rsidR="00032244" w:rsidRPr="00137CA8">
        <w:rPr>
          <w:sz w:val="24"/>
          <w:szCs w:val="24"/>
        </w:rPr>
        <w:t xml:space="preserve"> and RM12-3</w:t>
      </w:r>
      <w:r w:rsidRPr="00137CA8">
        <w:rPr>
          <w:sz w:val="24"/>
          <w:szCs w:val="24"/>
        </w:rPr>
        <w:t xml:space="preserve"> and the related OMB Notice</w:t>
      </w:r>
      <w:r w:rsidR="00032244" w:rsidRPr="00137CA8">
        <w:rPr>
          <w:sz w:val="24"/>
          <w:szCs w:val="24"/>
        </w:rPr>
        <w:t>s</w:t>
      </w:r>
      <w:r w:rsidRPr="00137CA8">
        <w:rPr>
          <w:sz w:val="24"/>
          <w:szCs w:val="24"/>
        </w:rPr>
        <w:t xml:space="preserve"> of Action, the EQR (now FERC-920) had been included in FERC-516</w:t>
      </w:r>
      <w:r w:rsidR="00032244" w:rsidRPr="00137CA8">
        <w:rPr>
          <w:sz w:val="24"/>
          <w:szCs w:val="24"/>
        </w:rPr>
        <w:t xml:space="preserve"> (for years)</w:t>
      </w:r>
      <w:r w:rsidRPr="00137CA8">
        <w:rPr>
          <w:sz w:val="24"/>
          <w:szCs w:val="24"/>
        </w:rPr>
        <w:t xml:space="preserve">.  </w:t>
      </w:r>
    </w:p>
  </w:footnote>
  <w:footnote w:id="2">
    <w:p w14:paraId="0B2C4618" w14:textId="7ABB9E35" w:rsidR="00A03E2E" w:rsidRPr="00843A92" w:rsidRDefault="00A03E2E">
      <w:pPr>
        <w:pStyle w:val="FootnoteText"/>
        <w:rPr>
          <w:sz w:val="24"/>
          <w:szCs w:val="24"/>
        </w:rPr>
      </w:pPr>
      <w:r w:rsidRPr="00843A92">
        <w:rPr>
          <w:rStyle w:val="FootnoteReference"/>
          <w:sz w:val="24"/>
          <w:szCs w:val="24"/>
        </w:rPr>
        <w:footnoteRef/>
      </w:r>
      <w:r w:rsidRPr="00843A92">
        <w:rPr>
          <w:sz w:val="24"/>
          <w:szCs w:val="24"/>
        </w:rPr>
        <w:t xml:space="preserve"> The </w:t>
      </w:r>
      <w:r>
        <w:rPr>
          <w:sz w:val="24"/>
          <w:szCs w:val="24"/>
        </w:rPr>
        <w:t xml:space="preserve">NOPR is posted at </w:t>
      </w:r>
      <w:hyperlink r:id="rId1" w:history="1">
        <w:r w:rsidRPr="0012390A">
          <w:rPr>
            <w:rStyle w:val="Hyperlink"/>
            <w:sz w:val="24"/>
            <w:szCs w:val="24"/>
          </w:rPr>
          <w:t>http://elibrary.ferc.gov/idmws/common/opennat.asp?fileID=13775964</w:t>
        </w:r>
      </w:hyperlink>
      <w:r>
        <w:rPr>
          <w:sz w:val="24"/>
          <w:szCs w:val="24"/>
        </w:rPr>
        <w:t xml:space="preserve">; the news release is posted at </w:t>
      </w:r>
      <w:r w:rsidRPr="00A03E2E">
        <w:rPr>
          <w:sz w:val="24"/>
          <w:szCs w:val="24"/>
        </w:rPr>
        <w:t>http://elibrary.ferc.gov/idmws/common/opennat.asp?fileID=13776953</w:t>
      </w:r>
      <w:r>
        <w:rPr>
          <w:sz w:val="24"/>
          <w:szCs w:val="24"/>
        </w:rPr>
        <w:t>.</w:t>
      </w:r>
    </w:p>
  </w:footnote>
  <w:footnote w:id="3">
    <w:p w14:paraId="5E79B7EA" w14:textId="6CB51B0B" w:rsidR="00255CCF" w:rsidRPr="00137CA8" w:rsidRDefault="00255CCF">
      <w:pPr>
        <w:pStyle w:val="FootnoteText"/>
        <w:rPr>
          <w:sz w:val="24"/>
          <w:szCs w:val="24"/>
        </w:rPr>
      </w:pPr>
      <w:r w:rsidRPr="00137CA8">
        <w:rPr>
          <w:rStyle w:val="FootnoteReference"/>
          <w:sz w:val="24"/>
          <w:szCs w:val="24"/>
        </w:rPr>
        <w:footnoteRef/>
      </w:r>
      <w:r w:rsidRPr="00137CA8">
        <w:rPr>
          <w:sz w:val="24"/>
          <w:szCs w:val="24"/>
        </w:rPr>
        <w:t xml:space="preserve"> 16 U.S.C. 824d(a)</w:t>
      </w:r>
    </w:p>
  </w:footnote>
  <w:footnote w:id="4">
    <w:p w14:paraId="6BF0FE26" w14:textId="10177DD0" w:rsidR="00F80112" w:rsidRPr="0092535C" w:rsidRDefault="00F80112" w:rsidP="00F80112">
      <w:pPr>
        <w:pStyle w:val="FootnoteText"/>
      </w:pPr>
      <w:r w:rsidRPr="00137CA8">
        <w:rPr>
          <w:rStyle w:val="FootnoteReference"/>
          <w:sz w:val="24"/>
          <w:szCs w:val="24"/>
        </w:rPr>
        <w:footnoteRef/>
      </w:r>
      <w:r w:rsidR="00137CA8" w:rsidRPr="00137CA8">
        <w:rPr>
          <w:sz w:val="24"/>
          <w:szCs w:val="24"/>
        </w:rPr>
        <w:t xml:space="preserve"> Order No. 2001 (in Docket RM01-8-000)</w:t>
      </w:r>
      <w:r w:rsidRPr="00137CA8">
        <w:rPr>
          <w:sz w:val="24"/>
          <w:szCs w:val="24"/>
        </w:rPr>
        <w:t xml:space="preserve"> issued 4/25/2002</w:t>
      </w:r>
      <w:r w:rsidR="00137CA8" w:rsidRPr="00137CA8">
        <w:rPr>
          <w:sz w:val="24"/>
          <w:szCs w:val="24"/>
        </w:rPr>
        <w:t xml:space="preserve"> and posted</w:t>
      </w:r>
      <w:r w:rsidRPr="00137CA8">
        <w:rPr>
          <w:sz w:val="24"/>
          <w:szCs w:val="24"/>
        </w:rPr>
        <w:t xml:space="preserve"> at </w:t>
      </w:r>
      <w:hyperlink r:id="rId2" w:history="1">
        <w:r w:rsidRPr="00137CA8">
          <w:rPr>
            <w:rStyle w:val="Hyperlink"/>
            <w:sz w:val="24"/>
            <w:szCs w:val="24"/>
          </w:rPr>
          <w:t>http://elibrary-backup.ferc.gov/idmws/File_list.asp?document_id=2270047</w:t>
        </w:r>
      </w:hyperlink>
    </w:p>
  </w:footnote>
  <w:footnote w:id="5">
    <w:p w14:paraId="7DCF5D7E" w14:textId="61FC61F0" w:rsidR="00286C9B" w:rsidRPr="00286C9B" w:rsidRDefault="00286C9B">
      <w:pPr>
        <w:pStyle w:val="FootnoteText"/>
        <w:rPr>
          <w:sz w:val="24"/>
          <w:szCs w:val="24"/>
        </w:rPr>
      </w:pPr>
      <w:r w:rsidRPr="00286C9B">
        <w:rPr>
          <w:rStyle w:val="FootnoteReference"/>
          <w:sz w:val="24"/>
          <w:szCs w:val="24"/>
        </w:rPr>
        <w:footnoteRef/>
      </w:r>
      <w:r w:rsidRPr="00286C9B">
        <w:rPr>
          <w:sz w:val="24"/>
          <w:szCs w:val="24"/>
        </w:rPr>
        <w:t xml:space="preserve"> 13 CFR 121.101 (2014).</w:t>
      </w:r>
    </w:p>
  </w:footnote>
  <w:footnote w:id="6">
    <w:p w14:paraId="5D416C74" w14:textId="7AD379E4" w:rsidR="00286C9B" w:rsidRDefault="00286C9B">
      <w:pPr>
        <w:pStyle w:val="FootnoteText"/>
      </w:pPr>
      <w:r w:rsidRPr="00286C9B">
        <w:rPr>
          <w:rStyle w:val="FootnoteReference"/>
          <w:sz w:val="24"/>
          <w:szCs w:val="24"/>
        </w:rPr>
        <w:footnoteRef/>
      </w:r>
      <w:r w:rsidRPr="00286C9B">
        <w:rPr>
          <w:sz w:val="24"/>
          <w:szCs w:val="24"/>
        </w:rPr>
        <w:t xml:space="preserve"> SBA Final Rule on “Small Business Size Standards:  Utilities,” 78 FR 77,343 (Dec. 23, 2013).</w:t>
      </w:r>
    </w:p>
  </w:footnote>
  <w:footnote w:id="7">
    <w:p w14:paraId="14BB80D0" w14:textId="3FD6DA47" w:rsidR="00255CCF" w:rsidRPr="00E83044" w:rsidRDefault="00255CCF" w:rsidP="00630A34">
      <w:pPr>
        <w:pStyle w:val="FootnoteText"/>
        <w:rPr>
          <w:sz w:val="22"/>
          <w:szCs w:val="22"/>
        </w:rPr>
      </w:pPr>
      <w:r w:rsidRPr="00843A92">
        <w:rPr>
          <w:rStyle w:val="FootnoteReference"/>
          <w:sz w:val="22"/>
          <w:szCs w:val="22"/>
        </w:rPr>
        <w:footnoteRef/>
      </w:r>
      <w:r w:rsidRPr="00843A92">
        <w:rPr>
          <w:sz w:val="22"/>
          <w:szCs w:val="22"/>
        </w:rPr>
        <w:t xml:space="preserve"> </w:t>
      </w:r>
      <w:r w:rsidR="006A4AD1" w:rsidRPr="00574076">
        <w:rPr>
          <w:sz w:val="22"/>
          <w:szCs w:val="22"/>
        </w:rPr>
        <w:t>The federal cost of analysis and processing o</w:t>
      </w:r>
      <w:r w:rsidR="006A4AD1">
        <w:rPr>
          <w:sz w:val="22"/>
          <w:szCs w:val="22"/>
        </w:rPr>
        <w:t>f</w:t>
      </w:r>
      <w:r w:rsidR="006A4AD1" w:rsidRPr="00574076">
        <w:rPr>
          <w:sz w:val="22"/>
          <w:szCs w:val="22"/>
        </w:rPr>
        <w:t xml:space="preserve"> filings </w:t>
      </w:r>
      <w:r w:rsidR="006A4AD1" w:rsidRPr="006A4AD1">
        <w:rPr>
          <w:sz w:val="22"/>
          <w:szCs w:val="22"/>
        </w:rPr>
        <w:t>is b</w:t>
      </w:r>
      <w:r w:rsidRPr="006A4AD1">
        <w:rPr>
          <w:sz w:val="22"/>
          <w:szCs w:val="22"/>
        </w:rPr>
        <w:t xml:space="preserve">ased upon FERC’s </w:t>
      </w:r>
      <w:r w:rsidR="00983086" w:rsidRPr="00574076">
        <w:rPr>
          <w:sz w:val="22"/>
          <w:szCs w:val="22"/>
        </w:rPr>
        <w:t xml:space="preserve">2015 </w:t>
      </w:r>
      <w:r w:rsidRPr="00574076">
        <w:rPr>
          <w:sz w:val="22"/>
          <w:szCs w:val="22"/>
        </w:rPr>
        <w:t xml:space="preserve">FTE </w:t>
      </w:r>
      <w:r w:rsidR="006A4AD1">
        <w:rPr>
          <w:sz w:val="22"/>
          <w:szCs w:val="22"/>
        </w:rPr>
        <w:t xml:space="preserve">(full time equivalent) </w:t>
      </w:r>
      <w:r w:rsidRPr="00574076">
        <w:rPr>
          <w:sz w:val="22"/>
          <w:szCs w:val="22"/>
        </w:rPr>
        <w:t xml:space="preserve">average salary plus benefits </w:t>
      </w:r>
      <w:r w:rsidR="006A4AD1">
        <w:rPr>
          <w:sz w:val="22"/>
          <w:szCs w:val="22"/>
        </w:rPr>
        <w:t xml:space="preserve">of </w:t>
      </w:r>
      <w:r w:rsidR="00C138F2" w:rsidRPr="006A4AD1">
        <w:rPr>
          <w:sz w:val="22"/>
          <w:szCs w:val="22"/>
        </w:rPr>
        <w:t>$149,489</w:t>
      </w:r>
      <w:r w:rsidR="006A4AD1">
        <w:rPr>
          <w:sz w:val="22"/>
          <w:szCs w:val="22"/>
        </w:rPr>
        <w:t xml:space="preserve"> (or $72 per hour).</w:t>
      </w:r>
    </w:p>
  </w:footnote>
  <w:footnote w:id="8">
    <w:p w14:paraId="5CC14FB5" w14:textId="00FFAC1A" w:rsidR="00D9639B" w:rsidRPr="00843A92" w:rsidRDefault="007F2F2F">
      <w:pPr>
        <w:pStyle w:val="FootnoteText"/>
        <w:rPr>
          <w:sz w:val="22"/>
          <w:szCs w:val="22"/>
        </w:rPr>
      </w:pPr>
      <w:r w:rsidRPr="00843A92">
        <w:rPr>
          <w:rStyle w:val="FootnoteReference"/>
          <w:sz w:val="22"/>
          <w:szCs w:val="22"/>
        </w:rPr>
        <w:footnoteRef/>
      </w:r>
      <w:r w:rsidRPr="00843A92">
        <w:rPr>
          <w:sz w:val="22"/>
          <w:szCs w:val="22"/>
        </w:rPr>
        <w:t xml:space="preserve"> As discussed under Question 15, our burden estimate assumes 213 new market-based rate applicants and 134 existing market-based rate sellers per year will opt to begin selling primary frequency response service as a result of this NOPR.  For purposes of this question (Question 14), we project no incremental </w:t>
      </w:r>
      <w:r w:rsidR="003E13F3" w:rsidRPr="00843A92">
        <w:rPr>
          <w:sz w:val="22"/>
          <w:szCs w:val="22"/>
        </w:rPr>
        <w:t xml:space="preserve">NOPR-related burden on FERC </w:t>
      </w:r>
      <w:r w:rsidRPr="00843A92">
        <w:rPr>
          <w:sz w:val="22"/>
          <w:szCs w:val="22"/>
        </w:rPr>
        <w:t>staff associated with the 213 new market-based rate applicat</w:t>
      </w:r>
      <w:r w:rsidR="003E13F3" w:rsidRPr="00843A92">
        <w:rPr>
          <w:sz w:val="22"/>
          <w:szCs w:val="22"/>
        </w:rPr>
        <w:t>ions because the NOPR requires no support different from a standard market-based rate application, and thus no change in the FERC staff review of such an application</w:t>
      </w:r>
      <w:r w:rsidR="00D9639B" w:rsidRPr="00843A92">
        <w:rPr>
          <w:sz w:val="22"/>
          <w:szCs w:val="22"/>
        </w:rPr>
        <w:t xml:space="preserve"> from what it would have been absent the NOPR</w:t>
      </w:r>
      <w:r w:rsidR="003E13F3" w:rsidRPr="00843A92">
        <w:rPr>
          <w:sz w:val="22"/>
          <w:szCs w:val="22"/>
        </w:rPr>
        <w:t xml:space="preserve">.  </w:t>
      </w:r>
    </w:p>
    <w:p w14:paraId="74FCC4A0" w14:textId="64B37A39" w:rsidR="007F2F2F" w:rsidRPr="00843A92" w:rsidRDefault="003E13F3">
      <w:pPr>
        <w:pStyle w:val="FootnoteText"/>
        <w:rPr>
          <w:sz w:val="22"/>
          <w:szCs w:val="22"/>
        </w:rPr>
      </w:pPr>
      <w:r w:rsidRPr="00843A92">
        <w:rPr>
          <w:sz w:val="22"/>
          <w:szCs w:val="22"/>
        </w:rPr>
        <w:t xml:space="preserve">With respect to the 134 existing market-based rate sellers assumed to begin offering primary frequency response service each year, we assume 50% will wait to include the NOPR-related tariff filing with other market-based rate tariff filings they would have otherwise made anyway, and we project no incremental NOPR-related burden on FERC staff from this type of filing either.  We </w:t>
      </w:r>
      <w:r w:rsidR="00940395" w:rsidRPr="00843A92">
        <w:rPr>
          <w:sz w:val="22"/>
          <w:szCs w:val="22"/>
        </w:rPr>
        <w:t>anti</w:t>
      </w:r>
      <w:r w:rsidRPr="00843A92">
        <w:rPr>
          <w:sz w:val="22"/>
          <w:szCs w:val="22"/>
        </w:rPr>
        <w:t>c</w:t>
      </w:r>
      <w:r w:rsidR="00940395" w:rsidRPr="00843A92">
        <w:rPr>
          <w:sz w:val="22"/>
          <w:szCs w:val="22"/>
        </w:rPr>
        <w:t>ipa</w:t>
      </w:r>
      <w:r w:rsidRPr="00843A92">
        <w:rPr>
          <w:sz w:val="22"/>
          <w:szCs w:val="22"/>
        </w:rPr>
        <w:t>t</w:t>
      </w:r>
      <w:r w:rsidR="00940395" w:rsidRPr="00843A92">
        <w:rPr>
          <w:sz w:val="22"/>
          <w:szCs w:val="22"/>
        </w:rPr>
        <w:t>e</w:t>
      </w:r>
      <w:r w:rsidRPr="00843A92">
        <w:rPr>
          <w:sz w:val="22"/>
          <w:szCs w:val="22"/>
        </w:rPr>
        <w:t xml:space="preserve"> that the only NOPR-related incremental burden on FERC staff will be associated with those existing market-based rate</w:t>
      </w:r>
      <w:r w:rsidR="00D9639B" w:rsidRPr="00843A92">
        <w:rPr>
          <w:sz w:val="22"/>
          <w:szCs w:val="22"/>
        </w:rPr>
        <w:t xml:space="preserve"> sellers who make a tariff filing only to add the primary frequency response language required by the NOPR.  We project that processing such a basic tariff filing will</w:t>
      </w:r>
      <w:r w:rsidR="00D9639B" w:rsidRPr="00843A92">
        <w:rPr>
          <w:rFonts w:asciiTheme="minorHAnsi" w:eastAsiaTheme="minorHAnsi" w:hAnsiTheme="minorHAnsi" w:cstheme="minorBidi"/>
          <w:color w:val="1F497D"/>
          <w:sz w:val="22"/>
          <w:szCs w:val="22"/>
        </w:rPr>
        <w:t xml:space="preserve"> </w:t>
      </w:r>
      <w:r w:rsidR="00D9639B" w:rsidRPr="00843A92">
        <w:rPr>
          <w:sz w:val="22"/>
          <w:szCs w:val="22"/>
        </w:rPr>
        <w:t xml:space="preserve">require at most </w:t>
      </w:r>
      <w:r w:rsidR="00C33EDB" w:rsidRPr="00843A92">
        <w:rPr>
          <w:sz w:val="22"/>
          <w:szCs w:val="22"/>
        </w:rPr>
        <w:t>6</w:t>
      </w:r>
      <w:r w:rsidR="00D9639B" w:rsidRPr="00843A92">
        <w:rPr>
          <w:sz w:val="22"/>
          <w:szCs w:val="22"/>
        </w:rPr>
        <w:t xml:space="preserve"> hours to analyze the filing and prepare and review a delegated order accepting or rejecting the filing.  Accordingly, our estimate of NOPR-related burden on FERC staff </w:t>
      </w:r>
      <w:r w:rsidR="00940395" w:rsidRPr="00843A92">
        <w:rPr>
          <w:sz w:val="22"/>
          <w:szCs w:val="22"/>
        </w:rPr>
        <w:t xml:space="preserve">related to FERC-516 </w:t>
      </w:r>
      <w:r w:rsidR="00D9639B" w:rsidRPr="00843A92">
        <w:rPr>
          <w:sz w:val="22"/>
          <w:szCs w:val="22"/>
        </w:rPr>
        <w:t xml:space="preserve">is </w:t>
      </w:r>
      <w:r w:rsidR="0028361F" w:rsidRPr="0028361F">
        <w:rPr>
          <w:sz w:val="22"/>
          <w:szCs w:val="22"/>
        </w:rPr>
        <w:t>402</w:t>
      </w:r>
      <w:r w:rsidR="00D9639B" w:rsidRPr="00843A92">
        <w:rPr>
          <w:sz w:val="22"/>
          <w:szCs w:val="22"/>
        </w:rPr>
        <w:t xml:space="preserve"> hours/year</w:t>
      </w:r>
      <w:r w:rsidR="0028361F" w:rsidRPr="0028361F">
        <w:rPr>
          <w:sz w:val="22"/>
          <w:szCs w:val="22"/>
        </w:rPr>
        <w:t>,</w:t>
      </w:r>
      <w:r w:rsidR="00D9639B" w:rsidRPr="00843A92">
        <w:rPr>
          <w:sz w:val="22"/>
          <w:szCs w:val="22"/>
        </w:rPr>
        <w:t xml:space="preserve"> based on </w:t>
      </w:r>
      <w:r w:rsidR="0028361F" w:rsidRPr="0028361F">
        <w:rPr>
          <w:sz w:val="22"/>
          <w:szCs w:val="22"/>
        </w:rPr>
        <w:t>6</w:t>
      </w:r>
      <w:r w:rsidR="00D9639B" w:rsidRPr="00843A92">
        <w:rPr>
          <w:sz w:val="22"/>
          <w:szCs w:val="22"/>
        </w:rPr>
        <w:t xml:space="preserve"> hours per filing for 67 (i.e., 50% of 134) filings per year. </w:t>
      </w:r>
    </w:p>
  </w:footnote>
  <w:footnote w:id="9">
    <w:p w14:paraId="2080A7C2" w14:textId="77777777" w:rsidR="001B3E94" w:rsidRPr="00E83044" w:rsidRDefault="001B3E94" w:rsidP="001B3E94">
      <w:pPr>
        <w:pStyle w:val="FootnoteText"/>
        <w:rPr>
          <w:sz w:val="22"/>
          <w:szCs w:val="22"/>
        </w:rPr>
      </w:pPr>
      <w:r w:rsidRPr="00843A92">
        <w:rPr>
          <w:rStyle w:val="FootnoteReference"/>
          <w:sz w:val="22"/>
          <w:szCs w:val="22"/>
        </w:rPr>
        <w:footnoteRef/>
      </w:r>
      <w:r w:rsidRPr="00843A92">
        <w:rPr>
          <w:sz w:val="22"/>
          <w:szCs w:val="22"/>
        </w:rPr>
        <w:t xml:space="preserve"> </w:t>
      </w:r>
      <w:r w:rsidRPr="00A13882">
        <w:rPr>
          <w:sz w:val="22"/>
          <w:szCs w:val="22"/>
        </w:rPr>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(not just this proposed rule), and other changes to the collection. </w:t>
      </w:r>
    </w:p>
  </w:footnote>
  <w:footnote w:id="10">
    <w:p w14:paraId="575FECFE" w14:textId="6DCF60ED" w:rsidR="00C12232" w:rsidRPr="00843A92" w:rsidRDefault="00AD14B6">
      <w:pPr>
        <w:pStyle w:val="FootnoteText"/>
        <w:rPr>
          <w:sz w:val="24"/>
          <w:szCs w:val="24"/>
        </w:rPr>
      </w:pPr>
      <w:r w:rsidRPr="00843A92">
        <w:rPr>
          <w:rStyle w:val="FootnoteReference"/>
          <w:sz w:val="24"/>
          <w:szCs w:val="24"/>
        </w:rPr>
        <w:footnoteRef/>
      </w:r>
      <w:r w:rsidRPr="00843A92">
        <w:rPr>
          <w:sz w:val="24"/>
          <w:szCs w:val="24"/>
        </w:rPr>
        <w:t xml:space="preserve"> The supporting statement for ICR 201409-1902-005 (for the final rule in Docket No. RM05-5-022) says in part that “... the total additional Federal Cost for the FERC-516 is $371,570 ....  These additional costs will be added to the existing Federal costs for a total of $2,437,394 for the FERC-516 ....</w:t>
      </w:r>
      <w:r w:rsidR="00C12232" w:rsidRPr="00843A92">
        <w:rPr>
          <w:sz w:val="24"/>
          <w:szCs w:val="24"/>
        </w:rPr>
        <w:t>”</w:t>
      </w:r>
      <w:r w:rsidRPr="00843A92">
        <w:rPr>
          <w:sz w:val="24"/>
          <w:szCs w:val="24"/>
        </w:rPr>
        <w:t xml:space="preserve">  </w:t>
      </w:r>
    </w:p>
    <w:p w14:paraId="0A3722AB" w14:textId="666EED5E" w:rsidR="00AD14B6" w:rsidRDefault="00AD14B6">
      <w:pPr>
        <w:pStyle w:val="FootnoteText"/>
      </w:pPr>
      <w:r w:rsidRPr="00843A92">
        <w:rPr>
          <w:sz w:val="24"/>
          <w:szCs w:val="24"/>
        </w:rPr>
        <w:t>However</w:t>
      </w:r>
      <w:r w:rsidR="00C12232" w:rsidRPr="00843A92">
        <w:rPr>
          <w:sz w:val="24"/>
          <w:szCs w:val="24"/>
        </w:rPr>
        <w:t>,</w:t>
      </w:r>
      <w:r w:rsidRPr="00843A92">
        <w:rPr>
          <w:sz w:val="24"/>
          <w:szCs w:val="24"/>
        </w:rPr>
        <w:t xml:space="preserve"> it appears that the </w:t>
      </w:r>
      <w:r w:rsidR="00C12232" w:rsidRPr="00843A92">
        <w:rPr>
          <w:sz w:val="24"/>
          <w:szCs w:val="24"/>
        </w:rPr>
        <w:t xml:space="preserve">additional </w:t>
      </w:r>
      <w:r w:rsidRPr="00843A92">
        <w:rPr>
          <w:sz w:val="24"/>
          <w:szCs w:val="24"/>
        </w:rPr>
        <w:t xml:space="preserve">$371,570 </w:t>
      </w:r>
      <w:r w:rsidR="00C12232" w:rsidRPr="00843A92">
        <w:rPr>
          <w:sz w:val="24"/>
          <w:szCs w:val="24"/>
        </w:rPr>
        <w:t xml:space="preserve">for the final rule in RM05-5-022 </w:t>
      </w:r>
      <w:r w:rsidRPr="00843A92">
        <w:rPr>
          <w:sz w:val="24"/>
          <w:szCs w:val="24"/>
        </w:rPr>
        <w:t>was inadvertently not added to the meta-data field f</w:t>
      </w:r>
      <w:r w:rsidR="00C12232" w:rsidRPr="00843A92">
        <w:rPr>
          <w:sz w:val="24"/>
          <w:szCs w:val="24"/>
        </w:rPr>
        <w:t>o</w:t>
      </w:r>
      <w:r w:rsidRPr="00843A92">
        <w:rPr>
          <w:sz w:val="24"/>
          <w:szCs w:val="24"/>
        </w:rPr>
        <w:t>r federal cost in reginfo.gov and ROCIS because that figure is $2,437,394.  Therefore the federal cost field for FERC-516 should be $2</w:t>
      </w:r>
      <w:r w:rsidR="00C12232" w:rsidRPr="00843A92">
        <w:rPr>
          <w:sz w:val="24"/>
          <w:szCs w:val="24"/>
        </w:rPr>
        <w:t>,</w:t>
      </w:r>
      <w:r w:rsidRPr="00843A92">
        <w:rPr>
          <w:sz w:val="24"/>
          <w:szCs w:val="24"/>
        </w:rPr>
        <w:t>437</w:t>
      </w:r>
      <w:r w:rsidR="00C12232" w:rsidRPr="00843A92">
        <w:rPr>
          <w:sz w:val="24"/>
          <w:szCs w:val="24"/>
        </w:rPr>
        <w:t>,</w:t>
      </w:r>
      <w:r w:rsidRPr="00843A92">
        <w:rPr>
          <w:sz w:val="24"/>
          <w:szCs w:val="24"/>
        </w:rPr>
        <w:t>394 + $371,570 + $34,137</w:t>
      </w:r>
      <w:r w:rsidR="00C12232" w:rsidRPr="00843A92">
        <w:rPr>
          <w:sz w:val="24"/>
          <w:szCs w:val="24"/>
        </w:rPr>
        <w:t>, or $2,843,101 after implementation of this NOPR in RM15-2.</w:t>
      </w:r>
    </w:p>
  </w:footnote>
  <w:footnote w:id="11">
    <w:p w14:paraId="50EAE2A4" w14:textId="77777777" w:rsidR="00220CB1" w:rsidRPr="00C63B6A" w:rsidRDefault="00220CB1" w:rsidP="00220CB1">
      <w:pPr>
        <w:pStyle w:val="FootnoteText"/>
        <w:rPr>
          <w:sz w:val="24"/>
          <w:szCs w:val="24"/>
        </w:rPr>
      </w:pPr>
      <w:r w:rsidRPr="00C63B6A">
        <w:rPr>
          <w:rStyle w:val="FootnoteReference"/>
          <w:sz w:val="24"/>
          <w:szCs w:val="24"/>
        </w:rPr>
        <w:footnoteRef/>
      </w:r>
      <w:r w:rsidRPr="00C63B6A">
        <w:rPr>
          <w:sz w:val="24"/>
          <w:szCs w:val="24"/>
        </w:rPr>
        <w:t xml:space="preserve"> We think that industry staff members are similarly situated to FERC, in terms of hourly cost per full time employee.  Therefore, the estimated average hourly cost (salary plus benefits) is $72.00. </w:t>
      </w:r>
    </w:p>
  </w:footnote>
  <w:footnote w:id="12">
    <w:p w14:paraId="5E058099" w14:textId="77777777" w:rsidR="00220CB1" w:rsidRPr="00C63B6A" w:rsidRDefault="00220CB1" w:rsidP="00220CB1">
      <w:pPr>
        <w:pStyle w:val="FootnoteText"/>
        <w:rPr>
          <w:sz w:val="24"/>
          <w:szCs w:val="24"/>
        </w:rPr>
      </w:pPr>
      <w:r w:rsidRPr="00C63B6A">
        <w:rPr>
          <w:rStyle w:val="FootnoteReference"/>
          <w:sz w:val="24"/>
          <w:szCs w:val="24"/>
        </w:rPr>
        <w:footnoteRef/>
      </w:r>
      <w:r w:rsidRPr="00C63B6A">
        <w:rPr>
          <w:sz w:val="24"/>
          <w:szCs w:val="24"/>
        </w:rPr>
        <w:t xml:space="preserve"> The 1,551 respondent universe includes existing sellers (1,965 total market-based rate sellers - 697 Category 1 sellers + 70 Category 1 sellers = 1,338 sellers estimated to sell primary frequency response services) plus 213 new market-based rate applicants (as estimated in Docket No. RM14-14).  (We estimate that ten percent (or 70, as indicated above) of the Category 1 sellers may choose to sell primary frequency response services.)  </w:t>
      </w:r>
    </w:p>
  </w:footnote>
  <w:footnote w:id="13">
    <w:p w14:paraId="14235151" w14:textId="77777777" w:rsidR="00220CB1" w:rsidRPr="00C63B6A" w:rsidRDefault="00220CB1" w:rsidP="00220CB1">
      <w:pPr>
        <w:pStyle w:val="FootnoteText"/>
        <w:spacing w:after="120"/>
        <w:rPr>
          <w:sz w:val="24"/>
          <w:szCs w:val="24"/>
        </w:rPr>
      </w:pPr>
      <w:r w:rsidRPr="00C63B6A">
        <w:rPr>
          <w:rStyle w:val="FootnoteReference"/>
          <w:sz w:val="24"/>
          <w:szCs w:val="24"/>
        </w:rPr>
        <w:footnoteRef/>
      </w:r>
      <w:r w:rsidRPr="00C63B6A">
        <w:rPr>
          <w:sz w:val="24"/>
          <w:szCs w:val="24"/>
        </w:rPr>
        <w:t xml:space="preserve"> We expect respondents to enter the primary frequency response market gradually.  For each of the next three years, we expect all 213 new market-based rate applicants per year (or 639 total during Years 1-3), to include the primary frequency response language in their tariffs.  </w:t>
      </w:r>
    </w:p>
    <w:p w14:paraId="29F33AD6" w14:textId="77777777" w:rsidR="00220CB1" w:rsidRPr="00C63B6A" w:rsidRDefault="00220CB1" w:rsidP="00220CB1">
      <w:pPr>
        <w:pStyle w:val="FootnoteText"/>
        <w:rPr>
          <w:sz w:val="24"/>
          <w:szCs w:val="24"/>
        </w:rPr>
      </w:pPr>
      <w:r w:rsidRPr="00C63B6A">
        <w:rPr>
          <w:sz w:val="24"/>
          <w:szCs w:val="24"/>
        </w:rPr>
        <w:t>Additionally, during the three-year period, we expect a total of ten percent of the existing 1,338 respondents (or 134 respondents), to decide to sell primary frequency response services and to make the corresponding FERC-516 rate filing.  The corresponding annual estimate is 45 of the existing respondents (an average of 3.3% annually).  Therefore, the annual estimate, including both new respondents and existing respondents, is an average of 258 (213 + 45) respondents and responses per year.</w:t>
      </w:r>
    </w:p>
  </w:footnote>
  <w:footnote w:id="14">
    <w:p w14:paraId="7324F63C" w14:textId="77777777" w:rsidR="00220CB1" w:rsidRPr="00C63B6A" w:rsidRDefault="00220CB1" w:rsidP="00220CB1">
      <w:pPr>
        <w:pStyle w:val="FootnoteText"/>
        <w:rPr>
          <w:sz w:val="24"/>
          <w:szCs w:val="24"/>
        </w:rPr>
      </w:pPr>
      <w:r w:rsidRPr="00C63B6A">
        <w:rPr>
          <w:rStyle w:val="FootnoteReference"/>
          <w:sz w:val="24"/>
          <w:szCs w:val="24"/>
        </w:rPr>
        <w:footnoteRef/>
      </w:r>
      <w:r w:rsidRPr="00C63B6A">
        <w:rPr>
          <w:sz w:val="24"/>
          <w:szCs w:val="24"/>
        </w:rPr>
        <w:t xml:space="preserve"> As respondents decide to sell primary frequency response services, they would report the new offering in their Electric Quarterly Report (FERC-920), and would continue to report in subsequent EQRs.  When a filer adds the new service, we estimate the one-time burden to be two hours.  We expect any additional burden associated with reporting the new service in the EQR to be negligible after the first implementation as it would become part of the respondent’s normal reporting practice in the EQR and would only involve selecting the ‘primary frequency response’ option from a list of product names.  On average, we expect filers of the new primary frequency response service to phase in:</w:t>
      </w:r>
    </w:p>
    <w:p w14:paraId="6C075B79" w14:textId="77777777" w:rsidR="00220CB1" w:rsidRPr="00C63B6A" w:rsidRDefault="00220CB1" w:rsidP="00220CB1">
      <w:pPr>
        <w:pStyle w:val="FootnoteText"/>
        <w:numPr>
          <w:ilvl w:val="0"/>
          <w:numId w:val="6"/>
        </w:numPr>
        <w:rPr>
          <w:sz w:val="24"/>
          <w:szCs w:val="24"/>
        </w:rPr>
      </w:pPr>
      <w:r w:rsidRPr="00C63B6A">
        <w:rPr>
          <w:sz w:val="24"/>
          <w:szCs w:val="24"/>
        </w:rPr>
        <w:t>Year 1, 258 respondents or 16.6 percent of EQR filers</w:t>
      </w:r>
    </w:p>
    <w:p w14:paraId="714D1E93" w14:textId="77777777" w:rsidR="00220CB1" w:rsidRPr="00C63B6A" w:rsidRDefault="00220CB1" w:rsidP="00220CB1">
      <w:pPr>
        <w:pStyle w:val="FootnoteText"/>
        <w:numPr>
          <w:ilvl w:val="0"/>
          <w:numId w:val="6"/>
        </w:numPr>
        <w:rPr>
          <w:sz w:val="24"/>
          <w:szCs w:val="24"/>
        </w:rPr>
      </w:pPr>
      <w:r w:rsidRPr="00C63B6A">
        <w:rPr>
          <w:sz w:val="24"/>
          <w:szCs w:val="24"/>
        </w:rPr>
        <w:t>Year 2, 258 respondents or 16.6 percent of EQR filers</w:t>
      </w:r>
    </w:p>
    <w:p w14:paraId="369AE3B7" w14:textId="77777777" w:rsidR="00220CB1" w:rsidRDefault="00220CB1" w:rsidP="00220CB1">
      <w:pPr>
        <w:pStyle w:val="FootnoteText"/>
        <w:numPr>
          <w:ilvl w:val="0"/>
          <w:numId w:val="6"/>
        </w:numPr>
      </w:pPr>
      <w:r w:rsidRPr="00C63B6A">
        <w:rPr>
          <w:sz w:val="24"/>
          <w:szCs w:val="24"/>
        </w:rPr>
        <w:t>Year 3, 258 respondents or 16.6 percent of EQR filers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81ED9" w14:textId="6DC11F2A" w:rsidR="004715C5" w:rsidRPr="004715C5" w:rsidRDefault="004715C5" w:rsidP="004715C5">
    <w:pPr>
      <w:pStyle w:val="Header"/>
      <w:rPr>
        <w:rFonts w:ascii="Times New Roman" w:hAnsi="Times New Roman" w:cs="Times New Roman"/>
        <w:b/>
        <w:sz w:val="24"/>
        <w:szCs w:val="24"/>
      </w:rPr>
    </w:pPr>
    <w:r w:rsidRPr="004715C5">
      <w:rPr>
        <w:rFonts w:ascii="Times New Roman" w:hAnsi="Times New Roman" w:cs="Times New Roman"/>
        <w:b/>
        <w:sz w:val="24"/>
        <w:szCs w:val="24"/>
      </w:rPr>
      <w:t>FERC-516 (OMB Control N</w:t>
    </w:r>
    <w:r>
      <w:rPr>
        <w:rFonts w:ascii="Times New Roman" w:hAnsi="Times New Roman" w:cs="Times New Roman"/>
        <w:b/>
        <w:sz w:val="24"/>
        <w:szCs w:val="24"/>
      </w:rPr>
      <w:t>o.</w:t>
    </w:r>
    <w:r w:rsidRPr="004715C5">
      <w:rPr>
        <w:rFonts w:ascii="Times New Roman" w:hAnsi="Times New Roman" w:cs="Times New Roman"/>
        <w:b/>
        <w:sz w:val="24"/>
        <w:szCs w:val="24"/>
      </w:rPr>
      <w:t xml:space="preserve"> 1902-0096) and FERC-920 (</w:t>
    </w:r>
    <w:r>
      <w:rPr>
        <w:rFonts w:ascii="Times New Roman" w:hAnsi="Times New Roman" w:cs="Times New Roman"/>
        <w:b/>
        <w:sz w:val="24"/>
        <w:szCs w:val="24"/>
      </w:rPr>
      <w:t xml:space="preserve">OMB </w:t>
    </w:r>
    <w:r w:rsidR="00055815">
      <w:rPr>
        <w:rFonts w:ascii="Times New Roman" w:hAnsi="Times New Roman" w:cs="Times New Roman"/>
        <w:b/>
        <w:sz w:val="24"/>
        <w:szCs w:val="24"/>
      </w:rPr>
      <w:t xml:space="preserve">Control </w:t>
    </w:r>
    <w:r>
      <w:rPr>
        <w:rFonts w:ascii="Times New Roman" w:hAnsi="Times New Roman" w:cs="Times New Roman"/>
        <w:b/>
        <w:sz w:val="24"/>
        <w:szCs w:val="24"/>
      </w:rPr>
      <w:t xml:space="preserve">No. </w:t>
    </w:r>
    <w:r w:rsidRPr="004715C5">
      <w:rPr>
        <w:rFonts w:ascii="Times New Roman" w:hAnsi="Times New Roman" w:cs="Times New Roman"/>
        <w:b/>
        <w:sz w:val="24"/>
        <w:szCs w:val="24"/>
      </w:rPr>
      <w:t>1902-0255)</w:t>
    </w:r>
  </w:p>
  <w:p w14:paraId="6FBC9137" w14:textId="24D5925C" w:rsidR="00255CCF" w:rsidRPr="004715C5" w:rsidRDefault="004715C5" w:rsidP="00AD3DE5">
    <w:pPr>
      <w:pStyle w:val="Header"/>
      <w:rPr>
        <w:rFonts w:ascii="Times New Roman" w:hAnsi="Times New Roman" w:cs="Times New Roman"/>
        <w:b/>
        <w:sz w:val="24"/>
        <w:szCs w:val="24"/>
      </w:rPr>
    </w:pPr>
    <w:r>
      <w:rPr>
        <w:rFonts w:ascii="Times New Roman" w:hAnsi="Times New Roman" w:cs="Times New Roman"/>
        <w:b/>
        <w:sz w:val="24"/>
        <w:szCs w:val="24"/>
      </w:rPr>
      <w:t xml:space="preserve">as modified in the </w:t>
    </w:r>
    <w:r w:rsidRPr="004715C5">
      <w:rPr>
        <w:rFonts w:ascii="Times New Roman" w:hAnsi="Times New Roman" w:cs="Times New Roman"/>
        <w:b/>
        <w:sz w:val="24"/>
        <w:szCs w:val="24"/>
      </w:rPr>
      <w:t xml:space="preserve">Proposed Rule </w:t>
    </w:r>
    <w:r>
      <w:rPr>
        <w:rFonts w:ascii="Times New Roman" w:hAnsi="Times New Roman" w:cs="Times New Roman"/>
        <w:b/>
        <w:sz w:val="24"/>
        <w:szCs w:val="24"/>
      </w:rPr>
      <w:t xml:space="preserve">in Docket </w:t>
    </w:r>
    <w:r w:rsidR="00055815">
      <w:rPr>
        <w:rFonts w:ascii="Times New Roman" w:hAnsi="Times New Roman" w:cs="Times New Roman"/>
        <w:b/>
        <w:sz w:val="24"/>
        <w:szCs w:val="24"/>
      </w:rPr>
      <w:t xml:space="preserve">No. </w:t>
    </w:r>
    <w:r w:rsidR="00936070" w:rsidRPr="004715C5">
      <w:rPr>
        <w:rFonts w:ascii="Times New Roman" w:hAnsi="Times New Roman" w:cs="Times New Roman"/>
        <w:b/>
        <w:sz w:val="24"/>
        <w:szCs w:val="24"/>
      </w:rPr>
      <w:t>RM15-2</w:t>
    </w:r>
    <w:r w:rsidR="00255CCF" w:rsidRPr="004715C5">
      <w:rPr>
        <w:rFonts w:ascii="Times New Roman" w:hAnsi="Times New Roman" w:cs="Times New Roman"/>
        <w:b/>
        <w:sz w:val="24"/>
        <w:szCs w:val="24"/>
      </w:rPr>
      <w:t xml:space="preserve"> </w:t>
    </w:r>
  </w:p>
  <w:p w14:paraId="447CC386" w14:textId="4D77936D" w:rsidR="007D0FC9" w:rsidRPr="004715C5" w:rsidRDefault="007D0FC9" w:rsidP="00AD3DE5">
    <w:pPr>
      <w:pStyle w:val="Header"/>
      <w:rPr>
        <w:rFonts w:ascii="Times New Roman" w:hAnsi="Times New Roman" w:cs="Times New Roman"/>
        <w:b/>
        <w:sz w:val="24"/>
        <w:szCs w:val="24"/>
      </w:rPr>
    </w:pPr>
    <w:r w:rsidRPr="004715C5">
      <w:rPr>
        <w:rFonts w:ascii="Times New Roman" w:hAnsi="Times New Roman" w:cs="Times New Roman"/>
        <w:b/>
        <w:sz w:val="24"/>
        <w:szCs w:val="24"/>
      </w:rPr>
      <w:t xml:space="preserve">RIN: </w:t>
    </w:r>
    <w:r w:rsidR="00DD1976" w:rsidRPr="00DD1976">
      <w:rPr>
        <w:rFonts w:ascii="Times New Roman" w:hAnsi="Times New Roman" w:cs="Times New Roman"/>
        <w:b/>
        <w:sz w:val="24"/>
        <w:szCs w:val="24"/>
      </w:rPr>
      <w:t>1902-AE96</w:t>
    </w:r>
  </w:p>
  <w:p w14:paraId="6FBC9138" w14:textId="77777777" w:rsidR="00255CCF" w:rsidRDefault="00255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17CC7"/>
    <w:multiLevelType w:val="hybridMultilevel"/>
    <w:tmpl w:val="8136728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49116067"/>
    <w:multiLevelType w:val="hybridMultilevel"/>
    <w:tmpl w:val="1A0216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trackRevisions/>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36F6"/>
    <w:rsid w:val="0002242D"/>
    <w:rsid w:val="00032244"/>
    <w:rsid w:val="00035845"/>
    <w:rsid w:val="00055815"/>
    <w:rsid w:val="00074DC8"/>
    <w:rsid w:val="0007704B"/>
    <w:rsid w:val="000B0C37"/>
    <w:rsid w:val="000D16AE"/>
    <w:rsid w:val="000E34F4"/>
    <w:rsid w:val="000F0997"/>
    <w:rsid w:val="000F34E5"/>
    <w:rsid w:val="000F6D3C"/>
    <w:rsid w:val="0011419F"/>
    <w:rsid w:val="00122655"/>
    <w:rsid w:val="001348AC"/>
    <w:rsid w:val="00137BA9"/>
    <w:rsid w:val="00137CA8"/>
    <w:rsid w:val="00143103"/>
    <w:rsid w:val="00154181"/>
    <w:rsid w:val="00155FCD"/>
    <w:rsid w:val="001606B6"/>
    <w:rsid w:val="001678D3"/>
    <w:rsid w:val="00181727"/>
    <w:rsid w:val="00185730"/>
    <w:rsid w:val="00197A36"/>
    <w:rsid w:val="001B3E94"/>
    <w:rsid w:val="001C1550"/>
    <w:rsid w:val="001C1E51"/>
    <w:rsid w:val="001D5696"/>
    <w:rsid w:val="001D5974"/>
    <w:rsid w:val="001F76EF"/>
    <w:rsid w:val="00214798"/>
    <w:rsid w:val="00220CB1"/>
    <w:rsid w:val="002244B4"/>
    <w:rsid w:val="00230C1A"/>
    <w:rsid w:val="0025203F"/>
    <w:rsid w:val="00255CCF"/>
    <w:rsid w:val="0026674D"/>
    <w:rsid w:val="0028361F"/>
    <w:rsid w:val="00286C9B"/>
    <w:rsid w:val="002B13E2"/>
    <w:rsid w:val="002D6F4E"/>
    <w:rsid w:val="002E48FD"/>
    <w:rsid w:val="00307830"/>
    <w:rsid w:val="00313383"/>
    <w:rsid w:val="00316732"/>
    <w:rsid w:val="00323532"/>
    <w:rsid w:val="003316E0"/>
    <w:rsid w:val="003515F8"/>
    <w:rsid w:val="00363749"/>
    <w:rsid w:val="003804AA"/>
    <w:rsid w:val="003B3B61"/>
    <w:rsid w:val="003E13F3"/>
    <w:rsid w:val="003E7B94"/>
    <w:rsid w:val="0040502E"/>
    <w:rsid w:val="00414F32"/>
    <w:rsid w:val="00425D3F"/>
    <w:rsid w:val="004276A5"/>
    <w:rsid w:val="00466C57"/>
    <w:rsid w:val="004715C5"/>
    <w:rsid w:val="00482F51"/>
    <w:rsid w:val="004C4C89"/>
    <w:rsid w:val="004C5E0E"/>
    <w:rsid w:val="004D7DA8"/>
    <w:rsid w:val="004F6977"/>
    <w:rsid w:val="00521FFF"/>
    <w:rsid w:val="00522F69"/>
    <w:rsid w:val="0053287C"/>
    <w:rsid w:val="005474BF"/>
    <w:rsid w:val="0055290C"/>
    <w:rsid w:val="00570685"/>
    <w:rsid w:val="00571C5E"/>
    <w:rsid w:val="00571EC8"/>
    <w:rsid w:val="00574076"/>
    <w:rsid w:val="0057700F"/>
    <w:rsid w:val="00583B41"/>
    <w:rsid w:val="005A2792"/>
    <w:rsid w:val="005B77CE"/>
    <w:rsid w:val="005C615A"/>
    <w:rsid w:val="005D235C"/>
    <w:rsid w:val="005D73E9"/>
    <w:rsid w:val="005F1C3C"/>
    <w:rsid w:val="00605B9C"/>
    <w:rsid w:val="00615A5C"/>
    <w:rsid w:val="006166FA"/>
    <w:rsid w:val="00630A34"/>
    <w:rsid w:val="00632BBE"/>
    <w:rsid w:val="00664BC0"/>
    <w:rsid w:val="00690136"/>
    <w:rsid w:val="006A4AD1"/>
    <w:rsid w:val="006B437C"/>
    <w:rsid w:val="0070799F"/>
    <w:rsid w:val="0074195A"/>
    <w:rsid w:val="00773AEB"/>
    <w:rsid w:val="00787670"/>
    <w:rsid w:val="007A2F92"/>
    <w:rsid w:val="007D0FC9"/>
    <w:rsid w:val="007E7C0F"/>
    <w:rsid w:val="007F2F2F"/>
    <w:rsid w:val="007F74B4"/>
    <w:rsid w:val="008352B4"/>
    <w:rsid w:val="00843A92"/>
    <w:rsid w:val="00857577"/>
    <w:rsid w:val="008619E1"/>
    <w:rsid w:val="00862AA0"/>
    <w:rsid w:val="008725DB"/>
    <w:rsid w:val="00876F75"/>
    <w:rsid w:val="008911E8"/>
    <w:rsid w:val="008A1B1F"/>
    <w:rsid w:val="008A21A4"/>
    <w:rsid w:val="008A5C6B"/>
    <w:rsid w:val="008A76A0"/>
    <w:rsid w:val="008B703B"/>
    <w:rsid w:val="008C238C"/>
    <w:rsid w:val="008C288D"/>
    <w:rsid w:val="008D310F"/>
    <w:rsid w:val="008E70CD"/>
    <w:rsid w:val="008E7899"/>
    <w:rsid w:val="00913A8B"/>
    <w:rsid w:val="00936070"/>
    <w:rsid w:val="00940395"/>
    <w:rsid w:val="00950ECA"/>
    <w:rsid w:val="00970FE4"/>
    <w:rsid w:val="00983086"/>
    <w:rsid w:val="009E1190"/>
    <w:rsid w:val="00A03E2E"/>
    <w:rsid w:val="00A13882"/>
    <w:rsid w:val="00A276F5"/>
    <w:rsid w:val="00A3140F"/>
    <w:rsid w:val="00A56DF5"/>
    <w:rsid w:val="00A63343"/>
    <w:rsid w:val="00A72E7B"/>
    <w:rsid w:val="00A80014"/>
    <w:rsid w:val="00A96B65"/>
    <w:rsid w:val="00AB2354"/>
    <w:rsid w:val="00AB4B12"/>
    <w:rsid w:val="00AD14B6"/>
    <w:rsid w:val="00AD3DE5"/>
    <w:rsid w:val="00B047E2"/>
    <w:rsid w:val="00B27783"/>
    <w:rsid w:val="00B432B9"/>
    <w:rsid w:val="00B44020"/>
    <w:rsid w:val="00B95800"/>
    <w:rsid w:val="00BA1C7D"/>
    <w:rsid w:val="00BA7C56"/>
    <w:rsid w:val="00BC248C"/>
    <w:rsid w:val="00BD46DC"/>
    <w:rsid w:val="00C01698"/>
    <w:rsid w:val="00C12232"/>
    <w:rsid w:val="00C138F2"/>
    <w:rsid w:val="00C33EDB"/>
    <w:rsid w:val="00C50C77"/>
    <w:rsid w:val="00C510DD"/>
    <w:rsid w:val="00C63B6A"/>
    <w:rsid w:val="00CA495F"/>
    <w:rsid w:val="00CA59C3"/>
    <w:rsid w:val="00CD78AF"/>
    <w:rsid w:val="00CF759C"/>
    <w:rsid w:val="00D04207"/>
    <w:rsid w:val="00D05A67"/>
    <w:rsid w:val="00D075A0"/>
    <w:rsid w:val="00D306DD"/>
    <w:rsid w:val="00D349D4"/>
    <w:rsid w:val="00D355BD"/>
    <w:rsid w:val="00D7505E"/>
    <w:rsid w:val="00D76508"/>
    <w:rsid w:val="00D80FBD"/>
    <w:rsid w:val="00D95509"/>
    <w:rsid w:val="00D9639B"/>
    <w:rsid w:val="00DC4E36"/>
    <w:rsid w:val="00DD1976"/>
    <w:rsid w:val="00E03105"/>
    <w:rsid w:val="00E11CA6"/>
    <w:rsid w:val="00E14565"/>
    <w:rsid w:val="00E20612"/>
    <w:rsid w:val="00E636D7"/>
    <w:rsid w:val="00E87A4F"/>
    <w:rsid w:val="00EA5ADE"/>
    <w:rsid w:val="00EA752C"/>
    <w:rsid w:val="00EB374E"/>
    <w:rsid w:val="00EB3E6F"/>
    <w:rsid w:val="00EB4FE8"/>
    <w:rsid w:val="00ED5560"/>
    <w:rsid w:val="00F1100F"/>
    <w:rsid w:val="00F118DB"/>
    <w:rsid w:val="00F12DC2"/>
    <w:rsid w:val="00F132A1"/>
    <w:rsid w:val="00F14038"/>
    <w:rsid w:val="00F152DF"/>
    <w:rsid w:val="00F16AFE"/>
    <w:rsid w:val="00F22CFE"/>
    <w:rsid w:val="00F23AEA"/>
    <w:rsid w:val="00F50384"/>
    <w:rsid w:val="00F725E6"/>
    <w:rsid w:val="00F74C9B"/>
    <w:rsid w:val="00F80112"/>
    <w:rsid w:val="00F81142"/>
    <w:rsid w:val="00F8440A"/>
    <w:rsid w:val="00F95A9B"/>
    <w:rsid w:val="00F95CFB"/>
    <w:rsid w:val="00FB5060"/>
    <w:rsid w:val="00FB7B6F"/>
    <w:rsid w:val="00FD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FBC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F503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uiPriority w:val="99"/>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F503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08447">
      <w:bodyDiv w:val="1"/>
      <w:marLeft w:val="0"/>
      <w:marRight w:val="0"/>
      <w:marTop w:val="0"/>
      <w:marBottom w:val="0"/>
      <w:divBdr>
        <w:top w:val="none" w:sz="0" w:space="0" w:color="auto"/>
        <w:left w:val="none" w:sz="0" w:space="0" w:color="auto"/>
        <w:bottom w:val="none" w:sz="0" w:space="0" w:color="auto"/>
        <w:right w:val="none" w:sz="0" w:space="0" w:color="auto"/>
      </w:divBdr>
    </w:div>
    <w:div w:id="1271623192">
      <w:bodyDiv w:val="1"/>
      <w:marLeft w:val="0"/>
      <w:marRight w:val="0"/>
      <w:marTop w:val="0"/>
      <w:marBottom w:val="0"/>
      <w:divBdr>
        <w:top w:val="none" w:sz="0" w:space="0" w:color="auto"/>
        <w:left w:val="none" w:sz="0" w:space="0" w:color="auto"/>
        <w:bottom w:val="none" w:sz="0" w:space="0" w:color="auto"/>
        <w:right w:val="none" w:sz="0" w:space="0" w:color="auto"/>
      </w:divBdr>
    </w:div>
    <w:div w:id="1589919473">
      <w:bodyDiv w:val="1"/>
      <w:marLeft w:val="0"/>
      <w:marRight w:val="0"/>
      <w:marTop w:val="0"/>
      <w:marBottom w:val="0"/>
      <w:divBdr>
        <w:top w:val="none" w:sz="0" w:space="0" w:color="auto"/>
        <w:left w:val="none" w:sz="0" w:space="0" w:color="auto"/>
        <w:bottom w:val="none" w:sz="0" w:space="0" w:color="auto"/>
        <w:right w:val="none" w:sz="0" w:space="0" w:color="auto"/>
      </w:divBdr>
    </w:div>
    <w:div w:id="183051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info-collections.as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elibrary-backup.ferc.gov/idmws/File_list.asp?document_id=2270047" TargetMode="External"/><Relationship Id="rId1" Type="http://schemas.openxmlformats.org/officeDocument/2006/relationships/hyperlink" Target="http://elibrary.ferc.gov/idmws/common/opennat.asp?fileID=137759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50f21749c83d5a1fa3edc2888aee1b51">
  <xsd:schema xmlns:xsd="http://www.w3.org/2001/XMLSchema" xmlns:xs="http://www.w3.org/2001/XMLSchema" xmlns:p="http://schemas.microsoft.com/office/2006/metadata/properties" xmlns:ns2="d6eefc7d-9817-4fa6-84d5-3bc009be21b8" targetNamespace="http://schemas.microsoft.com/office/2006/metadata/properties" ma:root="true" ma:fieldsID="0a0f5a41ca190a1522e4c7f33c9824fc"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3.xml><?xml version="1.0" encoding="utf-8"?>
<p:properties xmlns:p="http://schemas.microsoft.com/office/2006/metadata/properties" xmlns:xsi="http://www.w3.org/2001/XMLSchema-instance">
  <documentManagement>
    <Date xmlns="d6eefc7d-9817-4fa6-84d5-3bc009be21b8">2015-02-25T05:00:00+00:00</Date>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516</_x0031__x002e__x0020_Collection_x0020_Number>
    <Status xmlns="d6eefc7d-9817-4fa6-84d5-3bc009be21b8">Final</Status>
    <_x0032__x002e__x0020_Docket_x0020_Number xmlns="d6eefc7d-9817-4fa6-84d5-3bc009be21b8" xsi:nil="true"/>
    <_x0032__x002e__x0020_Collection_x0020_Number xmlns="d6eefc7d-9817-4fa6-84d5-3bc009be21b8">920</_x0032__x002e__x0020_Collection_x0020_Number>
    <_x0031__x002e__x0020_Docket_x0020_Number xmlns="d6eefc7d-9817-4fa6-84d5-3bc009be21b8">RM15-2</_x0031__x002e__x0020_Docket_x0020_Number>
    <_x0033__x002e__x0020_Collection_x0020_Number xmlns="d6eefc7d-9817-4fa6-84d5-3bc009be21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9955A-FA64-4FED-BAD4-3D581693E754}"/>
</file>

<file path=customXml/itemProps2.xml><?xml version="1.0" encoding="utf-8"?>
<ds:datastoreItem xmlns:ds="http://schemas.openxmlformats.org/officeDocument/2006/customXml" ds:itemID="{7E3F4928-4AA2-4F0F-93C9-DA8F9AE52375}"/>
</file>

<file path=customXml/itemProps3.xml><?xml version="1.0" encoding="utf-8"?>
<ds:datastoreItem xmlns:ds="http://schemas.openxmlformats.org/officeDocument/2006/customXml" ds:itemID="{DC3A4479-0543-455B-A152-110FB41B2830}"/>
</file>

<file path=customXml/itemProps4.xml><?xml version="1.0" encoding="utf-8"?>
<ds:datastoreItem xmlns:ds="http://schemas.openxmlformats.org/officeDocument/2006/customXml" ds:itemID="{D9C6C5CF-3CE0-47E8-B44B-CB4D7C85D04F}"/>
</file>

<file path=customXml/itemProps5.xml><?xml version="1.0" encoding="utf-8"?>
<ds:datastoreItem xmlns:ds="http://schemas.openxmlformats.org/officeDocument/2006/customXml" ds:itemID="{30682DC6-5CD3-4A2E-A29F-04F0103C4D92}"/>
</file>

<file path=docProps/app.xml><?xml version="1.0" encoding="utf-8"?>
<Properties xmlns="http://schemas.openxmlformats.org/officeDocument/2006/extended-properties" xmlns:vt="http://schemas.openxmlformats.org/officeDocument/2006/docPropsVTypes">
  <Template>Normal.dotm</Template>
  <TotalTime>86</TotalTime>
  <Pages>10</Pages>
  <Words>2171</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Ellen Brown</cp:lastModifiedBy>
  <cp:revision>9</cp:revision>
  <dcterms:created xsi:type="dcterms:W3CDTF">2015-02-23T19:25:00Z</dcterms:created>
  <dcterms:modified xsi:type="dcterms:W3CDTF">2015-02-25T20:11:00Z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y fmtid="{D5CDD505-2E9C-101B-9397-08002B2CF9AE}" pid="3" name="_NewReviewCycle">
    <vt:lpwstr/>
  </property>
</Properties>
</file>