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0C4D7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5613BC" w:rsidP="005613BC">
      <w:pPr>
        <w:rPr>
          <w:color w:val="000000"/>
        </w:rPr>
      </w:pPr>
      <w:r>
        <w:rPr>
          <w:b/>
        </w:rPr>
        <w:t>NSPS for Lime Manufacturing</w:t>
      </w:r>
      <w:r w:rsidR="002B29A5" w:rsidRPr="00236DB3">
        <w:rPr>
          <w:b/>
          <w:color w:val="FF0000"/>
        </w:rPr>
        <w:t xml:space="preserve"> </w:t>
      </w:r>
      <w:r w:rsidR="002B29A5" w:rsidRPr="00236DB3">
        <w:rPr>
          <w:b/>
        </w:rPr>
        <w:t>(40 CFR</w:t>
      </w:r>
      <w:r w:rsidR="002B29A5" w:rsidRPr="00236DB3">
        <w:rPr>
          <w:b/>
          <w:color w:val="FF0000"/>
        </w:rPr>
        <w:t xml:space="preserve"> </w:t>
      </w:r>
      <w:r w:rsidR="002B29A5" w:rsidRPr="00236DB3">
        <w:rPr>
          <w:b/>
        </w:rPr>
        <w:t>Part</w:t>
      </w:r>
      <w:r w:rsidR="002B29A5" w:rsidRPr="00236DB3">
        <w:rPr>
          <w:b/>
          <w:color w:val="FF0000"/>
        </w:rPr>
        <w:t xml:space="preserve"> </w:t>
      </w:r>
      <w:r w:rsidR="000C4D73" w:rsidRPr="000C4D73">
        <w:rPr>
          <w:b/>
        </w:rPr>
        <w:t>60, Subpart HH) (Renewal</w:t>
      </w:r>
      <w:r w:rsidR="002B29A5" w:rsidRPr="00236DB3">
        <w:rPr>
          <w:b/>
        </w:rPr>
        <w:t>)</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5613BC" w:rsidP="002B29A5">
      <w:pPr>
        <w:rPr>
          <w:bCs/>
          <w:color w:val="000000"/>
        </w:rPr>
      </w:pPr>
      <w:r w:rsidRPr="00011588">
        <w:t xml:space="preserve">NSPS for Lime Manufacturing (40 CFR </w:t>
      </w:r>
      <w:r>
        <w:t>P</w:t>
      </w:r>
      <w:r w:rsidRPr="00011588">
        <w:t xml:space="preserve">art 60, </w:t>
      </w:r>
      <w:r>
        <w:t>Subpart HH)</w:t>
      </w:r>
      <w:r w:rsidR="002B29A5">
        <w:rPr>
          <w:bCs/>
          <w:color w:val="FF0000"/>
        </w:rPr>
        <w:t xml:space="preserve"> </w:t>
      </w:r>
      <w:r w:rsidR="002B29A5" w:rsidRPr="004C5E95">
        <w:rPr>
          <w:bCs/>
        </w:rPr>
        <w:t xml:space="preserve">(Renewal), EPA ICR Number </w:t>
      </w:r>
      <w:r>
        <w:rPr>
          <w:bCs/>
        </w:rPr>
        <w:t>1167.11</w:t>
      </w:r>
      <w:r w:rsidR="000C4D73" w:rsidRPr="000C4D73">
        <w:rPr>
          <w:bCs/>
        </w:rPr>
        <w:t>,</w:t>
      </w:r>
      <w:r w:rsidR="002B29A5">
        <w:rPr>
          <w:bCs/>
          <w:color w:val="FF0000"/>
        </w:rPr>
        <w:t xml:space="preserve"> </w:t>
      </w:r>
      <w:r w:rsidR="002B29A5" w:rsidRPr="004C5E95">
        <w:rPr>
          <w:bCs/>
        </w:rPr>
        <w:t>OMB Control Number 2060-</w:t>
      </w:r>
      <w:r>
        <w:rPr>
          <w:bCs/>
        </w:rPr>
        <w:t>0063</w:t>
      </w:r>
      <w:r w:rsidR="000C4D73" w:rsidRPr="000C4D73">
        <w:rPr>
          <w:bCs/>
        </w:rPr>
        <w:t>.</w:t>
      </w:r>
      <w:r w:rsidR="002B29A5">
        <w:rPr>
          <w:bCs/>
          <w:color w:val="FF0000"/>
        </w:rPr>
        <w:t xml:space="preserve"> </w:t>
      </w:r>
    </w:p>
    <w:p w:rsidR="00CA4CD6" w:rsidRDefault="00CA4CD6">
      <w:pPr>
        <w:rPr>
          <w:b/>
          <w:bCs/>
          <w:color w:val="000000"/>
        </w:rPr>
      </w:pPr>
    </w:p>
    <w:p w:rsidR="00CA4CD6" w:rsidRDefault="00CA4CD6" w:rsidP="005613BC">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000C4D73" w:rsidRPr="000C4D73">
        <w:t>New Source Performance Standards (NSPS) for</w:t>
      </w:r>
      <w:r>
        <w:rPr>
          <w:color w:val="000000"/>
        </w:rPr>
        <w:t xml:space="preserve"> </w:t>
      </w:r>
      <w:r w:rsidR="005613BC" w:rsidRPr="00011588">
        <w:t>Lime Manufacturing</w:t>
      </w:r>
      <w:r>
        <w:rPr>
          <w:color w:val="000000"/>
        </w:rPr>
        <w:t xml:space="preserve"> were proposed on</w:t>
      </w:r>
      <w:r w:rsidR="005613BC">
        <w:t xml:space="preserve"> May 3, 1977, promulgated on April 26, 1984, and amended on </w:t>
      </w:r>
      <w:r w:rsidR="000C4D73" w:rsidRPr="000C4D73">
        <w:t>October 17, 2000</w:t>
      </w:r>
      <w:r>
        <w:rPr>
          <w:color w:val="000000"/>
        </w:rPr>
        <w:t xml:space="preserve">.  These regulations apply </w:t>
      </w:r>
      <w:r w:rsidR="005613BC">
        <w:t>to each rotary lime kiln used in the manufacturing of lime</w:t>
      </w:r>
      <w:r w:rsidR="00FF5660">
        <w:t xml:space="preserve"> that commenced </w:t>
      </w:r>
      <w:r w:rsidR="00FF5660">
        <w:rPr>
          <w:color w:val="000000"/>
        </w:rPr>
        <w:t xml:space="preserve"> construction or reconstruction after the date of proposal.  </w:t>
      </w:r>
      <w:r w:rsidR="00001875">
        <w:rPr>
          <w:color w:val="000000"/>
        </w:rPr>
        <w:t xml:space="preserve">The standard does not apply to facilities used in the manufacture of lime at kraft pulp mills. </w:t>
      </w:r>
      <w:r>
        <w:rPr>
          <w:color w:val="000000"/>
        </w:rPr>
        <w:t xml:space="preserve">This information is being collected to assure compliance with 40 CFR </w:t>
      </w:r>
      <w:r w:rsidR="000C4D73" w:rsidRPr="000C4D73">
        <w:t>Part 60</w:t>
      </w:r>
      <w:r>
        <w:rPr>
          <w:color w:val="000000"/>
        </w:rPr>
        <w:t xml:space="preserve">, </w:t>
      </w:r>
      <w:r w:rsidR="006810C3">
        <w:rPr>
          <w:color w:val="000000"/>
        </w:rPr>
        <w:t xml:space="preserve">Subpart </w:t>
      </w:r>
      <w:r w:rsidR="000C4D73" w:rsidRPr="000C4D73">
        <w:t>HH</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0C4D73" w:rsidRPr="000C4D73">
        <w:t>NSPS</w:t>
      </w:r>
      <w:r w:rsidR="005613BC">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w:t>
      </w:r>
      <w:r w:rsidR="000C4D73" w:rsidRPr="000C4D73">
        <w:t>reports, and records are essential in determining compliance, and are required of all affected facilities subject to 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0C4D73" w:rsidRPr="000C4D73">
        <w:t xml:space="preserve">two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r w:rsidR="005613BC" w:rsidRPr="005613B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w:t>
      </w:r>
      <w:r w:rsidR="000C4D73" w:rsidRPr="000C4D73">
        <w:t>average of 2.47</w:t>
      </w:r>
      <w:r w:rsidR="005613BC">
        <w:t xml:space="preserve"> </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0C4D73" w:rsidRPr="000C4D73">
        <w:t xml:space="preserve"> 41</w:t>
      </w:r>
      <w:r w:rsidR="005613BC">
        <w:rPr>
          <w:color w:val="FF0000"/>
        </w:rPr>
        <w:t xml:space="preserve"> </w:t>
      </w:r>
      <w:r w:rsidR="00CA4CD6">
        <w:rPr>
          <w:color w:val="000000"/>
        </w:rPr>
        <w:t xml:space="preserve">respondents </w:t>
      </w:r>
      <w:r>
        <w:rPr>
          <w:color w:val="000000"/>
        </w:rPr>
        <w:t>per year will be subject to the standard</w:t>
      </w:r>
      <w:r w:rsidR="00CA4CD6">
        <w:rPr>
          <w:color w:val="000000"/>
        </w:rPr>
        <w:t xml:space="preserve">, </w:t>
      </w:r>
      <w:r w:rsidR="000C4D73" w:rsidRPr="000C4D73">
        <w:t>and no additional</w:t>
      </w:r>
      <w:r>
        <w:rPr>
          <w:color w:val="000000"/>
        </w:rPr>
        <w:t xml:space="preserve">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F5BA7" w:rsidRDefault="000C4D73">
      <w:pPr>
        <w:pBdr>
          <w:top w:val="single" w:sz="6" w:space="0" w:color="FFFFFF"/>
          <w:left w:val="single" w:sz="6" w:space="0" w:color="FFFFFF"/>
          <w:bottom w:val="single" w:sz="6" w:space="0" w:color="FFFFFF"/>
          <w:right w:val="single" w:sz="6" w:space="0" w:color="FFFFFF"/>
        </w:pBdr>
        <w:ind w:firstLine="720"/>
      </w:pPr>
      <w:r w:rsidRPr="000C4D73">
        <w:t xml:space="preserve">The Office of Management and Budget (OMB)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1F5BA7">
        <w:t xml:space="preserve">All of the lime manufacturers in the United States are owned and operated by the lime manufacturing industry (the “Affected Public”), which is privately, owned for-profit business.  None of these facilities in the United States are owned by state, local, tribal or the Federal </w:t>
      </w:r>
      <w:r w:rsidR="000C4D73" w:rsidRPr="000C4D73">
        <w:lastRenderedPageBreak/>
        <w:t>government.  The burden to the “Affected Public” may be found in Table 1: Annual Respondent Burden and Cost – NSPS for Lime Manufacturing (40 CFR Part 60, Subpart HH) (Renewal).  The “Federal Government” burden is attributed entirely to work performed by federal employees or government contractors and may be found in  Table 2: Average Annual EPA Burden and Cost – NSPS for Lime Manufacturing (40 CFR Part 60, Subpart HH) (Renewal).</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01891" w:rsidRDefault="000C4D73">
      <w:pPr>
        <w:pBdr>
          <w:top w:val="single" w:sz="6" w:space="0" w:color="FFFFFF"/>
          <w:left w:val="single" w:sz="6" w:space="0" w:color="FFFFFF"/>
          <w:bottom w:val="single" w:sz="6" w:space="0" w:color="FFFFFF"/>
          <w:right w:val="single" w:sz="6" w:space="0" w:color="FFFFFF"/>
        </w:pBdr>
        <w:ind w:firstLine="720"/>
      </w:pPr>
      <w:r w:rsidRPr="000C4D73">
        <w:t xml:space="preserve">The EPA is charged under Section 111 of the Clean Air Act (CAA), as amended, to establish standards of performance for new stationary sources that reflect: </w:t>
      </w:r>
    </w:p>
    <w:p w:rsidR="00CA4CD6" w:rsidRPr="00801891" w:rsidRDefault="00CA4CD6">
      <w:pPr>
        <w:pBdr>
          <w:top w:val="single" w:sz="6" w:space="0" w:color="FFFFFF"/>
          <w:left w:val="single" w:sz="6" w:space="0" w:color="FFFFFF"/>
          <w:bottom w:val="single" w:sz="6" w:space="0" w:color="FFFFFF"/>
          <w:right w:val="single" w:sz="6" w:space="0" w:color="FFFFFF"/>
        </w:pBdr>
      </w:pPr>
    </w:p>
    <w:p w:rsidR="00CA4CD6" w:rsidRPr="00801891" w:rsidRDefault="000C4D73">
      <w:pPr>
        <w:pBdr>
          <w:top w:val="single" w:sz="6" w:space="0" w:color="FFFFFF"/>
          <w:left w:val="single" w:sz="6" w:space="0" w:color="FFFFFF"/>
          <w:bottom w:val="single" w:sz="6" w:space="0" w:color="FFFFFF"/>
          <w:right w:val="single" w:sz="6" w:space="0" w:color="FFFFFF"/>
        </w:pBdr>
        <w:ind w:left="1440" w:right="1440"/>
      </w:pPr>
      <w:r w:rsidRPr="000C4D73">
        <w:rPr>
          <w:b/>
          <w:bCs/>
        </w:rPr>
        <w:t>. . .</w:t>
      </w:r>
      <w:r w:rsidRPr="000C4D73">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801891" w:rsidRDefault="00CA4CD6">
      <w:pPr>
        <w:pBdr>
          <w:top w:val="single" w:sz="6" w:space="0" w:color="FFFFFF"/>
          <w:left w:val="single" w:sz="6" w:space="0" w:color="FFFFFF"/>
          <w:bottom w:val="single" w:sz="6" w:space="0" w:color="FFFFFF"/>
          <w:right w:val="single" w:sz="6" w:space="0" w:color="FFFFFF"/>
        </w:pBdr>
      </w:pPr>
    </w:p>
    <w:p w:rsidR="000C4D73" w:rsidRPr="000C4D73" w:rsidRDefault="000C4D73" w:rsidP="000C4D73">
      <w:pPr>
        <w:pBdr>
          <w:top w:val="single" w:sz="6" w:space="0" w:color="FFFFFF"/>
          <w:left w:val="single" w:sz="6" w:space="0" w:color="FFFFFF"/>
          <w:bottom w:val="single" w:sz="6" w:space="0" w:color="FFFFFF"/>
          <w:right w:val="single" w:sz="6" w:space="0" w:color="FFFFFF"/>
        </w:pBdr>
      </w:pPr>
      <w:r w:rsidRPr="000C4D73">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801891" w:rsidRDefault="00CA4CD6">
      <w:pPr>
        <w:pBdr>
          <w:top w:val="single" w:sz="6" w:space="0" w:color="FFFFFF"/>
          <w:left w:val="single" w:sz="6" w:space="0" w:color="FFFFFF"/>
          <w:bottom w:val="single" w:sz="6" w:space="0" w:color="FFFFFF"/>
          <w:right w:val="single" w:sz="6" w:space="0" w:color="FFFFFF"/>
        </w:pBdr>
      </w:pPr>
    </w:p>
    <w:p w:rsidR="00CA4CD6" w:rsidRDefault="000C4D73">
      <w:pPr>
        <w:pBdr>
          <w:top w:val="single" w:sz="6" w:space="0" w:color="FFFFFF"/>
          <w:left w:val="single" w:sz="6" w:space="0" w:color="FFFFFF"/>
          <w:bottom w:val="single" w:sz="6" w:space="0" w:color="FFFFFF"/>
          <w:right w:val="single" w:sz="6" w:space="0" w:color="FFFFFF"/>
        </w:pBdr>
        <w:ind w:left="1440" w:right="1440"/>
        <w:rPr>
          <w:color w:val="FF0000"/>
        </w:rPr>
      </w:pPr>
      <w:r w:rsidRPr="000C4D7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C4D73" w:rsidRDefault="00CA4CD6" w:rsidP="000C4D73">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0C4D73" w:rsidRPr="000C4D73">
        <w:t>particulate matter</w:t>
      </w:r>
      <w:r w:rsidR="00FF5660">
        <w:t xml:space="preserve"> (PM)</w:t>
      </w:r>
      <w:r>
        <w:rPr>
          <w:color w:val="000000"/>
        </w:rPr>
        <w:t xml:space="preserve"> emissions from </w:t>
      </w:r>
      <w:r w:rsidR="00801891">
        <w:rPr>
          <w:color w:val="000000"/>
        </w:rPr>
        <w:t>lime manufacturing plants</w:t>
      </w:r>
      <w:r>
        <w:rPr>
          <w:color w:val="000000"/>
        </w:rPr>
        <w:t xml:space="preserve"> cause or contribute to air pollution that may reasonably be anticipated to endanger public health or welfare.  Therefore, the </w:t>
      </w:r>
      <w:r w:rsidR="000C4D73" w:rsidRPr="000C4D73">
        <w:t>NSPS</w:t>
      </w:r>
      <w:r w:rsidR="00801891">
        <w:rPr>
          <w:color w:val="FF0000"/>
        </w:rPr>
        <w:t xml:space="preserve">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801891">
        <w:rPr>
          <w:color w:val="000000"/>
        </w:rPr>
        <w:t>HH</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000C4D73" w:rsidRPr="000C4D73">
        <w:t xml:space="preserve">During the performance test a record of the operating parameters under which compliance was achieved may be recorded and used to determine compliance in place of a continuous emission monitor.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000C4D73" w:rsidRPr="000C4D73">
        <w:t>pollution control devices are properly installed and operated, leaks are being detected and repaired,</w:t>
      </w:r>
      <w:r w:rsidR="0059264A">
        <w:rPr>
          <w:color w:val="FF0000"/>
        </w:rPr>
        <w:t xml:space="preserve"> </w:t>
      </w:r>
      <w:r>
        <w:rPr>
          <w:color w:val="000000"/>
        </w:rPr>
        <w:t>and the standard</w:t>
      </w:r>
      <w:r w:rsidR="0059264A">
        <w:rPr>
          <w:color w:val="000000"/>
        </w:rPr>
        <w:t xml:space="preserve"> is</w:t>
      </w:r>
      <w:r>
        <w:rPr>
          <w:color w:val="000000"/>
        </w:rPr>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0C4D73" w:rsidRPr="000C4D73">
        <w:t>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0C4D73" w:rsidRPr="000C4D73">
        <w:t>60, Subpart HH</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B711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614564">
        <w:rPr>
          <w:i/>
          <w:color w:val="000000"/>
        </w:rPr>
        <w:t>Federal Regis</w:t>
      </w:r>
      <w:r w:rsidR="000C4D73" w:rsidRPr="00614564">
        <w:rPr>
          <w:i/>
        </w:rPr>
        <w:t>ter</w:t>
      </w:r>
      <w:r w:rsidR="000C4D73" w:rsidRPr="00614564">
        <w:t xml:space="preserve"> (79 FR 30117) on May 27, 2014.  No comments were received on the burden published in the </w:t>
      </w:r>
      <w:bookmarkStart w:id="0" w:name="_GoBack"/>
      <w:r w:rsidR="000C4D73" w:rsidRPr="00614564">
        <w:rPr>
          <w:i/>
        </w:rPr>
        <w:t>Federal Register</w:t>
      </w:r>
      <w:bookmarkEnd w:id="0"/>
      <w:r w:rsidR="000C4D73" w:rsidRPr="000C4D73">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CF2B37" w:rsidRDefault="00CF2B37" w:rsidP="00123889">
      <w:pPr>
        <w:rPr>
          <w:color w:val="FF0000"/>
        </w:rPr>
      </w:pPr>
    </w:p>
    <w:p w:rsidR="00CF45CE" w:rsidRDefault="000C4D73" w:rsidP="00CF45CE">
      <w:pPr>
        <w:widowControl/>
        <w:ind w:firstLine="720"/>
      </w:pPr>
      <w:r w:rsidRPr="000C4D73">
        <w:t>The Agency has consulted i</w:t>
      </w:r>
      <w:r w:rsidRPr="000C4D73">
        <w:rPr>
          <w:bCs/>
        </w:rPr>
        <w:t>ndustry experts and internal data sources to project the number of affected facilities and industry growth over the next three years.</w:t>
      </w:r>
      <w:r w:rsidRPr="000C4D73">
        <w:rPr>
          <w:b/>
          <w:bCs/>
        </w:rPr>
        <w:t xml:space="preserve">  </w:t>
      </w:r>
      <w:r w:rsidRPr="000C4D73">
        <w:t xml:space="preserve">The primary source </w:t>
      </w:r>
      <w:r w:rsidRPr="000C4D73">
        <w:lastRenderedPageBreak/>
        <w:t>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w:t>
      </w:r>
      <w:r w:rsidR="005222B8" w:rsidRPr="00277F42">
        <w:rPr>
          <w:color w:val="FF0000"/>
        </w:rPr>
        <w:t xml:space="preserve">  </w:t>
      </w:r>
      <w:r w:rsidR="00CF45CE">
        <w:t>The growth rate for the industry is based on our consultations with the Agency’s internal industry experts.</w:t>
      </w:r>
    </w:p>
    <w:p w:rsidR="00CF45CE" w:rsidRDefault="00CF45CE" w:rsidP="00CF45CE"/>
    <w:p w:rsidR="00CF45CE" w:rsidRDefault="00CF45CE" w:rsidP="00CF45CE">
      <w:pPr>
        <w:ind w:firstLine="720"/>
        <w:rPr>
          <w:color w:val="FF0000"/>
        </w:rPr>
      </w:pPr>
      <w:r w:rsidRPr="00F23407">
        <w:t xml:space="preserve">Industry trade associations and other interested parties were provided an opportunity to comment on the burden associated with the standard as it was being developed.  </w:t>
      </w:r>
      <w:r>
        <w:t xml:space="preserve">In developing this ICR, we contacted both the </w:t>
      </w:r>
      <w:r w:rsidR="005B40E0">
        <w:t xml:space="preserve">National Lime Association, at (707) 243-5463, and the </w:t>
      </w:r>
      <w:r w:rsidR="005B40E0" w:rsidRPr="003C2EB3">
        <w:t xml:space="preserve">Carmeuse </w:t>
      </w:r>
      <w:r w:rsidR="005B40E0" w:rsidRPr="003C2EB3">
        <w:rPr>
          <w:bCs/>
        </w:rPr>
        <w:t>Lime</w:t>
      </w:r>
      <w:r w:rsidR="005B40E0" w:rsidRPr="003C2EB3">
        <w:t xml:space="preserve"> &amp; Stone</w:t>
      </w:r>
      <w:r w:rsidR="005B40E0">
        <w:t>,</w:t>
      </w:r>
      <w:r w:rsidR="005B40E0" w:rsidRPr="003C2EB3">
        <w:t xml:space="preserve"> </w:t>
      </w:r>
      <w:r w:rsidR="005B40E0">
        <w:t>at (412) 995-5500.</w:t>
      </w:r>
    </w:p>
    <w:p w:rsidR="00CF45CE" w:rsidRDefault="00CF45CE" w:rsidP="00CF45CE">
      <w:pPr>
        <w:ind w:firstLine="720"/>
        <w:rPr>
          <w:color w:val="FF0000"/>
        </w:rPr>
      </w:pPr>
    </w:p>
    <w:p w:rsidR="00CF45CE" w:rsidRDefault="00CF45CE" w:rsidP="00CF45CE">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rsidR="005B40E0" w:rsidRPr="00FC5674" w:rsidRDefault="005B40E0" w:rsidP="00CF45CE">
      <w:pPr>
        <w:pBdr>
          <w:top w:val="single" w:sz="6" w:space="0" w:color="FFFFFF"/>
          <w:left w:val="single" w:sz="6" w:space="0" w:color="FFFFFF"/>
          <w:bottom w:val="single" w:sz="6" w:space="0" w:color="FFFFFF"/>
          <w:right w:val="single" w:sz="6" w:space="0" w:color="FFFFFF"/>
        </w:pBdr>
        <w:ind w:firstLine="720"/>
        <w:rPr>
          <w:bCs/>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respondents to the recordkeeping and reporting requirements are </w:t>
      </w:r>
      <w:r w:rsidR="00A4164C">
        <w:t>lime manufacturing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A4164C">
        <w:t>3274</w:t>
      </w:r>
      <w:r w:rsidR="003A790C">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A4164C">
        <w:t>327410</w:t>
      </w:r>
      <w:r>
        <w:rPr>
          <w:color w:val="000000"/>
        </w:rPr>
        <w:t xml:space="preserve"> for </w:t>
      </w:r>
      <w:r w:rsidR="00A4164C">
        <w:t>Lime Manufacturing</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w:t>
      </w:r>
      <w:r w:rsidR="00CA4CD6" w:rsidRPr="003A790C">
        <w:t>ired by</w:t>
      </w:r>
      <w:r w:rsidR="003A790C" w:rsidRPr="003A790C">
        <w:t xml:space="preserve"> the</w:t>
      </w:r>
      <w:r w:rsidR="00CA4CD6">
        <w:rPr>
          <w:color w:val="FF0000"/>
        </w:rPr>
        <w:t xml:space="preserve"> </w:t>
      </w:r>
      <w:r w:rsidR="00E22E55">
        <w:t>NSPS for Lime Manufacturing (40 CFR Part 60, Subpart HH)</w:t>
      </w:r>
      <w:r w:rsidR="00CA4CD6">
        <w:rPr>
          <w:color w:val="FF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E22E5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60.7(a)(1)</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60.7(a)(3)</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Notification of any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60.7(a)(4)</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60.7(a)(4)</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Notification of the anticipated date of the performance test</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60.7(a)(6)</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Notification that continuous monitoring system data will be used to determine compliance</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60.7(a)(7)</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60.8(a)</w:t>
            </w:r>
          </w:p>
        </w:tc>
      </w:tr>
      <w:tr w:rsidR="00E22E5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Semiannual excess emissions report</w:t>
            </w:r>
          </w:p>
        </w:tc>
        <w:tc>
          <w:tcPr>
            <w:tcW w:w="234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E22E5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22E55"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Record of startup, shutdown, and malfunctions</w:t>
            </w:r>
          </w:p>
        </w:tc>
        <w:tc>
          <w:tcPr>
            <w:tcW w:w="225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60.7(b)</w:t>
            </w:r>
          </w:p>
        </w:tc>
      </w:tr>
      <w:tr w:rsidR="00E22E55"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60.7(f)</w:t>
            </w:r>
          </w:p>
        </w:tc>
      </w:tr>
      <w:tr w:rsidR="00E22E55"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Observe and record Method 9 opacities</w:t>
            </w:r>
          </w:p>
        </w:tc>
        <w:tc>
          <w:tcPr>
            <w:tcW w:w="2250" w:type="dxa"/>
            <w:tcBorders>
              <w:top w:val="single" w:sz="7" w:space="0" w:color="000000"/>
              <w:left w:val="single" w:sz="7" w:space="0" w:color="000000"/>
              <w:bottom w:val="single" w:sz="7" w:space="0" w:color="000000"/>
              <w:right w:val="single" w:sz="7" w:space="0" w:color="000000"/>
            </w:tcBorders>
          </w:tcPr>
          <w:p w:rsidR="00E22E55" w:rsidRPr="00CF2B37" w:rsidRDefault="00E22E55">
            <w:pPr>
              <w:pBdr>
                <w:top w:val="single" w:sz="6" w:space="0" w:color="FFFFFF"/>
                <w:left w:val="single" w:sz="6" w:space="0" w:color="FFFFFF"/>
                <w:bottom w:val="single" w:sz="6" w:space="0" w:color="FFFFFF"/>
                <w:right w:val="single" w:sz="6" w:space="0" w:color="FFFFFF"/>
              </w:pBdr>
              <w:spacing w:after="58"/>
            </w:pPr>
            <w:r>
              <w:t>60.344(b)(4), 60.11(b)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lastRenderedPageBreak/>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000C4D73" w:rsidRPr="000C4D73">
        <w:t>approximately 10  percent</w:t>
      </w:r>
      <w:r>
        <w:rPr>
          <w:color w:val="000000"/>
        </w:rPr>
        <w:t xml:space="preserve">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E22E55">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0C4D73" w:rsidRPr="000C4D73">
              <w:t>for wet scrubber.</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E22E55">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000C4D73" w:rsidRPr="000C4D73">
              <w:t>Method 9</w:t>
            </w:r>
            <w:r w:rsidR="00E22E55">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E22E55" w:rsidRDefault="000C4D73" w:rsidP="00CF2B37">
      <w:pPr>
        <w:pBdr>
          <w:top w:val="single" w:sz="6" w:space="0" w:color="FFFFFF"/>
          <w:left w:val="single" w:sz="6" w:space="0" w:color="FFFFFF"/>
          <w:bottom w:val="single" w:sz="6" w:space="0" w:color="FFFFFF"/>
          <w:right w:val="single" w:sz="6" w:space="0" w:color="FFFFFF"/>
        </w:pBdr>
        <w:ind w:firstLine="720"/>
      </w:pPr>
      <w:r w:rsidRPr="000C4D73">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r w:rsidRPr="000C4D73">
        <w:rPr>
          <w:rStyle w:val="CommentReference"/>
        </w:rPr>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FA238F" w:rsidP="004C701D">
            <w:pPr>
              <w:pBdr>
                <w:top w:val="single" w:sz="6" w:space="0" w:color="FFFFFF"/>
                <w:left w:val="single" w:sz="6" w:space="0" w:color="FFFFFF"/>
                <w:bottom w:val="single" w:sz="6" w:space="0" w:color="FFFFFF"/>
                <w:right w:val="single" w:sz="6" w:space="0" w:color="FFFFFF"/>
              </w:pBdr>
              <w:spacing w:after="72"/>
              <w:rPr>
                <w:color w:val="000000"/>
              </w:rPr>
            </w:pPr>
            <w:r>
              <w:t>Input, analyze, and maintain data in Integrated Compliance Information System (ICIS) and ECHO</w:t>
            </w:r>
            <w:r>
              <w:rPr>
                <w:color w:val="000000"/>
              </w:rPr>
              <w:t>.</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A238F" w:rsidRDefault="000C4D73">
      <w:pPr>
        <w:pBdr>
          <w:top w:val="single" w:sz="6" w:space="0" w:color="FFFFFF"/>
          <w:left w:val="single" w:sz="6" w:space="0" w:color="FFFFFF"/>
          <w:bottom w:val="single" w:sz="6" w:space="0" w:color="FFFFFF"/>
          <w:right w:val="single" w:sz="6" w:space="0" w:color="FFFFFF"/>
        </w:pBdr>
        <w:ind w:firstLine="720"/>
      </w:pPr>
      <w:r w:rsidRPr="000C4D73">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364A9" w:rsidRDefault="000364A9" w:rsidP="000364A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000C4D73" w:rsidRPr="000C4D73">
        <w:t>operator for 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BA2307" w:rsidRDefault="00BA2307" w:rsidP="006E4A6E">
      <w:pPr>
        <w:pBdr>
          <w:top w:val="single" w:sz="6" w:space="0" w:color="FFFFFF"/>
          <w:left w:val="single" w:sz="6" w:space="0" w:color="FFFFFF"/>
          <w:bottom w:val="single" w:sz="6" w:space="0" w:color="FFFFFF"/>
          <w:right w:val="single" w:sz="6" w:space="0" w:color="FFFFFF"/>
        </w:pBdr>
        <w:rPr>
          <w:color w:val="000000"/>
        </w:rPr>
      </w:pPr>
      <w:r>
        <w:rPr>
          <w:color w:val="000000"/>
        </w:rPr>
        <w:tab/>
      </w:r>
    </w:p>
    <w:p w:rsidR="000C4D73" w:rsidRPr="000C4D73" w:rsidRDefault="000C4D73" w:rsidP="000C4D73">
      <w:pPr>
        <w:pBdr>
          <w:top w:val="single" w:sz="6" w:space="0" w:color="FFFFFF"/>
          <w:left w:val="single" w:sz="6" w:space="0" w:color="FFFFFF"/>
          <w:bottom w:val="single" w:sz="6" w:space="0" w:color="FFFFFF"/>
          <w:right w:val="single" w:sz="6" w:space="0" w:color="FFFFFF"/>
        </w:pBdr>
        <w:ind w:firstLine="720"/>
      </w:pPr>
      <w:r w:rsidRPr="000C4D73">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BA2307">
        <w:t>NSPS for Lime Manufacturing (40 CFR Part 60, Subpart HH)</w:t>
      </w:r>
      <w:r w:rsidR="00FF10B8">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915230">
        <w:rPr>
          <w:color w:val="000000"/>
        </w:rPr>
        <w:t>3,772</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0C4D73" w:rsidRPr="000C4D73">
        <w:t>the NSPS</w:t>
      </w:r>
      <w:r w:rsidR="00FF10B8">
        <w:rPr>
          <w:color w:val="FF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0364A9" w:rsidRDefault="000364A9" w:rsidP="000364A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$129.93 ($61.87 + 110%)   </w:t>
      </w:r>
    </w:p>
    <w:p w:rsidR="000364A9" w:rsidRDefault="000364A9" w:rsidP="000364A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$103.97 ($49.51 + 110%)</w:t>
      </w:r>
    </w:p>
    <w:p w:rsidR="000364A9" w:rsidRDefault="000364A9" w:rsidP="000364A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$51.79 ($24.66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0364A9">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01022C" w:rsidRDefault="0001022C">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rsidRDefault="000C4D73">
      <w:pPr>
        <w:pBdr>
          <w:top w:val="single" w:sz="6" w:space="0" w:color="FFFFFF"/>
          <w:left w:val="single" w:sz="6" w:space="0" w:color="FFFFFF"/>
          <w:bottom w:val="single" w:sz="6" w:space="0" w:color="FFFFFF"/>
          <w:right w:val="single" w:sz="6" w:space="0" w:color="FFFFFF"/>
        </w:pBdr>
        <w:ind w:firstLine="720"/>
        <w:rPr>
          <w:color w:val="FF0000"/>
        </w:rPr>
      </w:pPr>
      <w:r w:rsidRPr="000C4D73">
        <w:t xml:space="preserve">The type of industry costs associated with the information collection activities in the </w:t>
      </w:r>
      <w:r w:rsidRPr="000C4D73">
        <w:lastRenderedPageBreak/>
        <w:t>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 and other costs such as photocopying and postage</w:t>
      </w:r>
      <w:r w:rsidR="00CA4CD6" w:rsidRPr="003F1AFC">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01022C">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01022C">
        <w:tc>
          <w:tcPr>
            <w:tcW w:w="11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1022C" w:rsidTr="00FE02CA">
        <w:tc>
          <w:tcPr>
            <w:tcW w:w="1170" w:type="dxa"/>
            <w:tcBorders>
              <w:top w:val="single" w:sz="8" w:space="0" w:color="000000"/>
              <w:left w:val="single" w:sz="8" w:space="0" w:color="000000"/>
              <w:bottom w:val="single" w:sz="8" w:space="0" w:color="000000"/>
              <w:right w:val="single" w:sz="8"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Continuous Opacity Monitor</w:t>
            </w:r>
          </w:p>
        </w:tc>
        <w:tc>
          <w:tcPr>
            <w:tcW w:w="1440" w:type="dxa"/>
            <w:tcBorders>
              <w:top w:val="single" w:sz="8" w:space="0" w:color="000000"/>
              <w:left w:val="single" w:sz="8" w:space="0" w:color="000000"/>
              <w:bottom w:val="single" w:sz="8" w:space="0" w:color="000000"/>
              <w:right w:val="single" w:sz="8" w:space="0" w:color="000000"/>
            </w:tcBorders>
            <w:vAlign w:val="center"/>
          </w:tcPr>
          <w:p w:rsidR="0001022C" w:rsidRDefault="0001022C" w:rsidP="00FE02C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$15,000</w:t>
            </w:r>
          </w:p>
        </w:tc>
        <w:tc>
          <w:tcPr>
            <w:tcW w:w="1350" w:type="dxa"/>
            <w:tcBorders>
              <w:top w:val="single" w:sz="8" w:space="0" w:color="000000"/>
              <w:left w:val="single" w:sz="8" w:space="0" w:color="000000"/>
              <w:bottom w:val="single" w:sz="8" w:space="0" w:color="000000"/>
              <w:right w:val="single" w:sz="8" w:space="0" w:color="000000"/>
            </w:tcBorders>
            <w:vAlign w:val="center"/>
          </w:tcPr>
          <w:p w:rsidR="0001022C" w:rsidRDefault="0001022C" w:rsidP="00FE02C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01022C" w:rsidRDefault="0001022C" w:rsidP="00FE02C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01022C" w:rsidRDefault="0001022C" w:rsidP="00FE02C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$1,500</w:t>
            </w:r>
          </w:p>
        </w:tc>
        <w:tc>
          <w:tcPr>
            <w:tcW w:w="1260" w:type="dxa"/>
            <w:tcBorders>
              <w:top w:val="single" w:sz="8" w:space="0" w:color="000000"/>
              <w:left w:val="single" w:sz="8" w:space="0" w:color="000000"/>
              <w:bottom w:val="single" w:sz="8" w:space="0" w:color="000000"/>
              <w:right w:val="single" w:sz="8" w:space="0" w:color="000000"/>
            </w:tcBorders>
            <w:vAlign w:val="center"/>
          </w:tcPr>
          <w:p w:rsidR="0001022C" w:rsidRDefault="0001022C" w:rsidP="00FE02C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41</w:t>
            </w:r>
          </w:p>
        </w:tc>
        <w:tc>
          <w:tcPr>
            <w:tcW w:w="1350" w:type="dxa"/>
            <w:tcBorders>
              <w:top w:val="single" w:sz="8" w:space="0" w:color="000000"/>
              <w:left w:val="single" w:sz="8" w:space="0" w:color="000000"/>
              <w:bottom w:val="single" w:sz="8" w:space="0" w:color="000000"/>
              <w:right w:val="single" w:sz="8" w:space="0" w:color="000000"/>
            </w:tcBorders>
            <w:vAlign w:val="center"/>
          </w:tcPr>
          <w:p w:rsidR="0001022C" w:rsidRDefault="0001022C" w:rsidP="00FE02C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$61,500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7D76F3">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7D76F3">
        <w:rPr>
          <w:color w:val="000000"/>
        </w:rPr>
        <w:t>61,500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0C4D73" w:rsidRDefault="00CA4CD6" w:rsidP="000C4D7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7D76F3">
        <w:rPr>
          <w:color w:val="000000"/>
        </w:rPr>
        <w:t>61,500</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938F9">
        <w:rPr>
          <w:color w:val="000000"/>
        </w:rPr>
        <w:t>17,168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1022C">
        <w:t>NSPS for Lime Manufacturing (40 CFR Part 60, Subpart HH)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938F9">
        <w:rPr>
          <w:color w:val="000000"/>
        </w:rPr>
        <w:t>41</w:t>
      </w:r>
      <w:r w:rsidR="00FE02CA">
        <w:rPr>
          <w:color w:val="000000"/>
        </w:rPr>
        <w:t xml:space="preserve"> </w:t>
      </w:r>
      <w:r>
        <w:rPr>
          <w:color w:val="000000"/>
        </w:rPr>
        <w:t xml:space="preserve">existing respondents will be subject to the standard.  It is estimated that </w:t>
      </w:r>
      <w:r w:rsidR="007938F9">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7938F9">
        <w:rPr>
          <w:color w:val="000000"/>
        </w:rPr>
        <w:t>41</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01022C">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01022C">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01022C">
        <w:tc>
          <w:tcPr>
            <w:tcW w:w="900" w:type="dxa"/>
            <w:tcBorders>
              <w:top w:val="single" w:sz="8" w:space="0" w:color="000000"/>
              <w:left w:val="single" w:sz="8" w:space="0" w:color="000000"/>
              <w:bottom w:val="single" w:sz="6" w:space="0" w:color="000000"/>
              <w:right w:val="single" w:sz="6" w:space="0" w:color="000000"/>
            </w:tcBorders>
          </w:tcPr>
          <w:p w:rsidR="0001022C" w:rsidRDefault="0001022C">
            <w:pPr>
              <w:spacing w:line="120" w:lineRule="exact"/>
              <w:rPr>
                <w:color w:val="000000"/>
                <w:sz w:val="20"/>
                <w:szCs w:val="20"/>
              </w:rPr>
            </w:pPr>
          </w:p>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82" w:type="dxa"/>
            <w:tcBorders>
              <w:top w:val="single" w:sz="8"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41</w:t>
            </w:r>
          </w:p>
        </w:tc>
        <w:tc>
          <w:tcPr>
            <w:tcW w:w="2070" w:type="dxa"/>
            <w:tcBorders>
              <w:top w:val="single" w:sz="8"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800" w:type="dxa"/>
            <w:tcBorders>
              <w:top w:val="single" w:sz="8"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710" w:type="dxa"/>
            <w:tcBorders>
              <w:top w:val="single" w:sz="8" w:space="0" w:color="000000"/>
              <w:left w:val="single" w:sz="6" w:space="0" w:color="000000"/>
              <w:bottom w:val="single" w:sz="6" w:space="0" w:color="000000"/>
              <w:right w:val="single" w:sz="8"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41</w:t>
            </w:r>
          </w:p>
        </w:tc>
      </w:tr>
      <w:tr w:rsidR="0001022C">
        <w:tc>
          <w:tcPr>
            <w:tcW w:w="900" w:type="dxa"/>
            <w:tcBorders>
              <w:top w:val="single" w:sz="6" w:space="0" w:color="000000"/>
              <w:left w:val="single" w:sz="8" w:space="0" w:color="000000"/>
              <w:bottom w:val="single" w:sz="6" w:space="0" w:color="000000"/>
              <w:right w:val="single" w:sz="6" w:space="0" w:color="000000"/>
            </w:tcBorders>
          </w:tcPr>
          <w:p w:rsidR="0001022C" w:rsidRDefault="0001022C">
            <w:pPr>
              <w:spacing w:line="120" w:lineRule="exact"/>
              <w:rPr>
                <w:color w:val="000000"/>
                <w:sz w:val="18"/>
                <w:szCs w:val="18"/>
              </w:rPr>
            </w:pPr>
          </w:p>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82"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41</w:t>
            </w:r>
          </w:p>
        </w:tc>
        <w:tc>
          <w:tcPr>
            <w:tcW w:w="2070"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800"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710" w:type="dxa"/>
            <w:tcBorders>
              <w:top w:val="single" w:sz="6" w:space="0" w:color="000000"/>
              <w:left w:val="single" w:sz="6" w:space="0" w:color="000000"/>
              <w:bottom w:val="single" w:sz="6" w:space="0" w:color="000000"/>
              <w:right w:val="single" w:sz="8"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41</w:t>
            </w:r>
          </w:p>
        </w:tc>
      </w:tr>
      <w:tr w:rsidR="0001022C">
        <w:tc>
          <w:tcPr>
            <w:tcW w:w="900" w:type="dxa"/>
            <w:tcBorders>
              <w:top w:val="single" w:sz="6" w:space="0" w:color="000000"/>
              <w:left w:val="single" w:sz="8" w:space="0" w:color="000000"/>
              <w:bottom w:val="single" w:sz="6" w:space="0" w:color="000000"/>
              <w:right w:val="single" w:sz="6" w:space="0" w:color="000000"/>
            </w:tcBorders>
          </w:tcPr>
          <w:p w:rsidR="0001022C" w:rsidRDefault="0001022C">
            <w:pPr>
              <w:spacing w:line="120" w:lineRule="exact"/>
              <w:rPr>
                <w:color w:val="000000"/>
                <w:sz w:val="18"/>
                <w:szCs w:val="18"/>
              </w:rPr>
            </w:pPr>
          </w:p>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0</w:t>
            </w:r>
          </w:p>
        </w:tc>
        <w:tc>
          <w:tcPr>
            <w:tcW w:w="1282"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41</w:t>
            </w:r>
          </w:p>
        </w:tc>
        <w:tc>
          <w:tcPr>
            <w:tcW w:w="2070"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0</w:t>
            </w:r>
          </w:p>
        </w:tc>
        <w:tc>
          <w:tcPr>
            <w:tcW w:w="1800" w:type="dxa"/>
            <w:tcBorders>
              <w:top w:val="single" w:sz="6" w:space="0" w:color="000000"/>
              <w:left w:val="single" w:sz="6" w:space="0" w:color="000000"/>
              <w:bottom w:val="single" w:sz="6"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0</w:t>
            </w:r>
          </w:p>
        </w:tc>
        <w:tc>
          <w:tcPr>
            <w:tcW w:w="1710" w:type="dxa"/>
            <w:tcBorders>
              <w:top w:val="single" w:sz="6" w:space="0" w:color="000000"/>
              <w:left w:val="single" w:sz="6" w:space="0" w:color="000000"/>
              <w:bottom w:val="single" w:sz="6" w:space="0" w:color="000000"/>
              <w:right w:val="single" w:sz="8"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41</w:t>
            </w:r>
          </w:p>
        </w:tc>
      </w:tr>
      <w:tr w:rsidR="0001022C">
        <w:tc>
          <w:tcPr>
            <w:tcW w:w="900" w:type="dxa"/>
            <w:tcBorders>
              <w:top w:val="single" w:sz="6" w:space="0" w:color="000000"/>
              <w:left w:val="single" w:sz="8" w:space="0" w:color="000000"/>
              <w:bottom w:val="single" w:sz="8" w:space="0" w:color="000000"/>
              <w:right w:val="single" w:sz="6" w:space="0" w:color="000000"/>
            </w:tcBorders>
          </w:tcPr>
          <w:p w:rsidR="0001022C" w:rsidRDefault="0001022C">
            <w:pPr>
              <w:spacing w:line="120" w:lineRule="exact"/>
              <w:rPr>
                <w:color w:val="000000"/>
                <w:sz w:val="18"/>
                <w:szCs w:val="18"/>
              </w:rPr>
            </w:pPr>
          </w:p>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0</w:t>
            </w:r>
          </w:p>
        </w:tc>
        <w:tc>
          <w:tcPr>
            <w:tcW w:w="1282" w:type="dxa"/>
            <w:tcBorders>
              <w:top w:val="single" w:sz="6" w:space="0" w:color="000000"/>
              <w:left w:val="single" w:sz="6" w:space="0" w:color="000000"/>
              <w:bottom w:val="single" w:sz="8"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41</w:t>
            </w:r>
          </w:p>
        </w:tc>
        <w:tc>
          <w:tcPr>
            <w:tcW w:w="2070" w:type="dxa"/>
            <w:tcBorders>
              <w:top w:val="single" w:sz="6" w:space="0" w:color="000000"/>
              <w:left w:val="single" w:sz="6" w:space="0" w:color="000000"/>
              <w:bottom w:val="single" w:sz="8"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0</w:t>
            </w:r>
          </w:p>
        </w:tc>
        <w:tc>
          <w:tcPr>
            <w:tcW w:w="1800" w:type="dxa"/>
            <w:tcBorders>
              <w:top w:val="single" w:sz="6" w:space="0" w:color="000000"/>
              <w:left w:val="single" w:sz="6" w:space="0" w:color="000000"/>
              <w:bottom w:val="single" w:sz="8" w:space="0" w:color="000000"/>
              <w:right w:val="single" w:sz="6"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0</w:t>
            </w:r>
          </w:p>
        </w:tc>
        <w:tc>
          <w:tcPr>
            <w:tcW w:w="1710" w:type="dxa"/>
            <w:tcBorders>
              <w:top w:val="single" w:sz="6" w:space="0" w:color="000000"/>
              <w:left w:val="single" w:sz="6" w:space="0" w:color="000000"/>
              <w:bottom w:val="single" w:sz="8" w:space="0" w:color="000000"/>
              <w:right w:val="single" w:sz="8" w:space="0" w:color="000000"/>
            </w:tcBorders>
          </w:tcPr>
          <w:p w:rsidR="0001022C" w:rsidRDefault="0001022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rPr>
              <w:t>41</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7938F9">
        <w:rPr>
          <w:color w:val="000000"/>
        </w:rPr>
        <w:t>41</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01022C">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1022C" w:rsidTr="0001022C">
        <w:tc>
          <w:tcPr>
            <w:tcW w:w="2700" w:type="dxa"/>
            <w:vAlign w:val="center"/>
          </w:tcPr>
          <w:p w:rsidR="000C4D73" w:rsidRDefault="0001022C" w:rsidP="000C4D73">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initial performance test</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01022C" w:rsidTr="0001022C">
        <w:tc>
          <w:tcPr>
            <w:tcW w:w="2700" w:type="dxa"/>
            <w:vAlign w:val="center"/>
          </w:tcPr>
          <w:p w:rsidR="000C4D73" w:rsidRDefault="0001022C" w:rsidP="000C4D73">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lastRenderedPageBreak/>
              <w:t>Notification of any physical or operational changes</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01022C" w:rsidTr="0001022C">
        <w:tc>
          <w:tcPr>
            <w:tcW w:w="2700" w:type="dxa"/>
            <w:vAlign w:val="center"/>
          </w:tcPr>
          <w:p w:rsidR="000C4D73" w:rsidRDefault="0001022C" w:rsidP="000C4D73">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demonstration of CMS</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01022C" w:rsidTr="0001022C">
        <w:tc>
          <w:tcPr>
            <w:tcW w:w="2700" w:type="dxa"/>
            <w:vAlign w:val="center"/>
          </w:tcPr>
          <w:p w:rsidR="000C4D73" w:rsidRDefault="0001022C" w:rsidP="000C4D73">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that continuous monitoring system (CMS)</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01022C" w:rsidTr="0001022C">
        <w:tc>
          <w:tcPr>
            <w:tcW w:w="2700" w:type="dxa"/>
            <w:vAlign w:val="center"/>
          </w:tcPr>
          <w:p w:rsidR="000C4D73" w:rsidRDefault="0001022C" w:rsidP="000C4D73">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Semiannual excess emission report</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41</w:t>
            </w: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82</w:t>
            </w:r>
          </w:p>
        </w:tc>
      </w:tr>
      <w:tr w:rsidR="0001022C" w:rsidTr="00FF0CB5">
        <w:tc>
          <w:tcPr>
            <w:tcW w:w="270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Total</w:t>
            </w:r>
          </w:p>
        </w:tc>
        <w:tc>
          <w:tcPr>
            <w:tcW w:w="2070" w:type="dxa"/>
            <w:vAlign w:val="center"/>
          </w:tcPr>
          <w:p w:rsidR="0001022C" w:rsidRDefault="0001022C">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rPr>
              <w:t>82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7938F9">
        <w:rPr>
          <w:color w:val="000000"/>
        </w:rPr>
        <w:t>82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750E3">
        <w:rPr>
          <w:color w:val="000000"/>
        </w:rPr>
        <w:t>$</w:t>
      </w:r>
      <w:r w:rsidR="00C62906">
        <w:rPr>
          <w:color w:val="000000"/>
        </w:rPr>
        <w:t>379,317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6750E3" w:rsidRPr="004179EA">
        <w:t>Table 1: Annual Respondent Burden and Cost – NSPS for Lime Manufacturing (40 CFR Part 60, Subpart HH)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750E3">
        <w:rPr>
          <w:color w:val="000000"/>
        </w:rPr>
        <w:t>3,772</w:t>
      </w:r>
      <w:r>
        <w:rPr>
          <w:color w:val="000000"/>
        </w:rPr>
        <w:t>.</w:t>
      </w:r>
      <w:r w:rsidR="00507EC5">
        <w:rPr>
          <w:color w:val="000000"/>
        </w:rPr>
        <w:t xml:space="preserve">  </w:t>
      </w:r>
      <w:r>
        <w:rPr>
          <w:color w:val="000000"/>
        </w:rPr>
        <w:t xml:space="preserve">Details regarding these estimates may be found in </w:t>
      </w:r>
      <w:r w:rsidR="006750E3" w:rsidRPr="004179EA">
        <w:t>Table 1: Annual Respondent Burden and Cost – NSPS for Lime Manufacturing (40 CFR Part 60, Subpart HH)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6750E3">
        <w:rPr>
          <w:color w:val="000000"/>
        </w:rPr>
        <w:t>46</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750E3">
        <w:rPr>
          <w:color w:val="000000"/>
        </w:rPr>
        <w:t>$61,500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6750E3">
        <w:rPr>
          <w:color w:val="000000"/>
        </w:rPr>
        <w:t>377</w:t>
      </w:r>
      <w:r>
        <w:rPr>
          <w:color w:val="000000"/>
        </w:rPr>
        <w:t xml:space="preserve"> labor hours at a cost of</w:t>
      </w:r>
      <w:r w:rsidR="006750E3">
        <w:rPr>
          <w:color w:val="000000"/>
        </w:rPr>
        <w:t xml:space="preserve"> $17,168</w:t>
      </w:r>
      <w:r w:rsidR="00144F35">
        <w:rPr>
          <w:color w:val="000000"/>
        </w:rPr>
        <w:t xml:space="preserve">.  See </w:t>
      </w:r>
      <w:r w:rsidR="00B86474" w:rsidRPr="004179EA">
        <w:t>Table 2: Average Annual EPA Burden and Cost – NSPS for Lime Manufacturing (40 CFR Part 60, Subpart HH) (Renewal)</w:t>
      </w:r>
      <w:r w:rsidR="00B8647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7E2D9C" w:rsidRDefault="007E2D9C" w:rsidP="007E2D9C">
      <w:pPr>
        <w:ind w:firstLine="720"/>
        <w:rPr>
          <w:color w:val="000000"/>
        </w:rPr>
      </w:pPr>
      <w:r>
        <w:rPr>
          <w:color w:val="000000"/>
        </w:rPr>
        <w:t xml:space="preserve">There is no change in the labor hours in this ICR compared to the previous ICR.  </w:t>
      </w:r>
      <w:r>
        <w:rPr>
          <w:color w:val="000000"/>
        </w:rPr>
        <w:lastRenderedPageBreak/>
        <w:t xml:space="preserve">However, there is an increase in the estimated </w:t>
      </w:r>
      <w:r w:rsidR="00D93C52">
        <w:rPr>
          <w:color w:val="000000"/>
        </w:rPr>
        <w:t>labor</w:t>
      </w:r>
      <w:r>
        <w:rPr>
          <w:color w:val="000000"/>
        </w:rPr>
        <w:t xml:space="preserve"> cost as currently identified in the OMB Inventory of Approved Burdens.  The increase is not due to any program changes.  The change in burden is due to the use of the most updated labor rates.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6750E3">
        <w:rPr>
          <w:color w:val="000000"/>
        </w:rPr>
        <w:t xml:space="preserve"> 46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750E3" w:rsidRPr="004F508A">
        <w:rPr>
          <w:bCs/>
        </w:rPr>
        <w:t>EPA-HQ-OECA-2014-0042</w:t>
      </w:r>
      <w:r w:rsidR="000C4D73" w:rsidRPr="000C4D73">
        <w:t>.</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750E3" w:rsidRPr="004F508A">
        <w:rPr>
          <w:bCs/>
        </w:rPr>
        <w:t>EPA-HQ-OECA-2014-0042</w:t>
      </w:r>
      <w:r w:rsidR="006750E3">
        <w:rPr>
          <w:bCs/>
        </w:rPr>
        <w:t xml:space="preserve"> </w:t>
      </w:r>
      <w:r w:rsidR="00CA4CD6">
        <w:t xml:space="preserve">and OMB Control </w:t>
      </w:r>
      <w:r w:rsidR="006750E3">
        <w:t>Number</w:t>
      </w:r>
      <w:r w:rsidR="009A614C">
        <w:t xml:space="preserve"> </w:t>
      </w:r>
      <w:r w:rsidR="006750E3">
        <w:t>2060-0063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6750E3" w:rsidP="009A614C">
      <w:pPr>
        <w:jc w:val="center"/>
        <w:outlineLvl w:val="0"/>
        <w:rPr>
          <w:b/>
          <w:bCs/>
          <w:color w:val="000000"/>
        </w:rPr>
      </w:pPr>
      <w:r w:rsidRPr="006750E3">
        <w:rPr>
          <w:b/>
          <w:bCs/>
          <w:color w:val="000000"/>
        </w:rPr>
        <w:lastRenderedPageBreak/>
        <w:t>Table 1: Annual Respondent Burden and Cost – NSPS for Lime Manufacturing (40 CFR Part 60, Subpart HH) (Renewal)</w:t>
      </w:r>
      <w:r w:rsidR="00144F35" w:rsidRPr="00C4183F">
        <w:rPr>
          <w:b/>
          <w:bCs/>
          <w:color w:val="000000"/>
        </w:rPr>
        <w:t xml:space="preserve"> </w:t>
      </w:r>
    </w:p>
    <w:p w:rsidR="00144F35" w:rsidRDefault="00144F35" w:rsidP="00F340DF">
      <w:pPr>
        <w:rPr>
          <w:b/>
          <w:bCs/>
          <w:color w:val="000000"/>
        </w:rPr>
      </w:pPr>
    </w:p>
    <w:tbl>
      <w:tblPr>
        <w:tblW w:w="5193" w:type="pct"/>
        <w:tblLayout w:type="fixed"/>
        <w:tblLook w:val="04A0" w:firstRow="1" w:lastRow="0" w:firstColumn="1" w:lastColumn="0" w:noHBand="0" w:noVBand="1"/>
      </w:tblPr>
      <w:tblGrid>
        <w:gridCol w:w="3708"/>
        <w:gridCol w:w="1440"/>
        <w:gridCol w:w="1262"/>
        <w:gridCol w:w="1350"/>
        <w:gridCol w:w="1262"/>
        <w:gridCol w:w="1259"/>
        <w:gridCol w:w="1440"/>
        <w:gridCol w:w="1081"/>
        <w:gridCol w:w="1347"/>
      </w:tblGrid>
      <w:tr w:rsidR="00A01488" w:rsidRPr="00FB4A71" w:rsidTr="00F46FD9">
        <w:trPr>
          <w:trHeight w:val="1530"/>
          <w:tblHeader/>
        </w:trPr>
        <w:tc>
          <w:tcPr>
            <w:tcW w:w="131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Burden item</w:t>
            </w:r>
          </w:p>
        </w:tc>
        <w:tc>
          <w:tcPr>
            <w:tcW w:w="509" w:type="pct"/>
            <w:tcBorders>
              <w:top w:val="single" w:sz="4" w:space="0" w:color="auto"/>
              <w:left w:val="nil"/>
              <w:bottom w:val="single" w:sz="4" w:space="0" w:color="auto"/>
              <w:right w:val="single" w:sz="4" w:space="0" w:color="auto"/>
            </w:tcBorders>
            <w:shd w:val="clear" w:color="000000" w:fill="D8D8D8"/>
            <w:vAlign w:val="center"/>
            <w:hideMark/>
          </w:tcPr>
          <w:p w:rsidR="009A614C" w:rsidRDefault="00FB4A71" w:rsidP="00FB4A71">
            <w:pPr>
              <w:widowControl/>
              <w:autoSpaceDE/>
              <w:autoSpaceDN/>
              <w:adjustRightInd/>
              <w:jc w:val="center"/>
              <w:rPr>
                <w:b/>
                <w:bCs/>
                <w:color w:val="000000"/>
                <w:sz w:val="20"/>
                <w:szCs w:val="20"/>
              </w:rPr>
            </w:pPr>
            <w:r w:rsidRPr="00FB4A71">
              <w:rPr>
                <w:b/>
                <w:bCs/>
                <w:color w:val="000000"/>
                <w:sz w:val="20"/>
                <w:szCs w:val="20"/>
              </w:rPr>
              <w:t xml:space="preserve">(A) </w:t>
            </w:r>
          </w:p>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Person-hours per occurrence</w:t>
            </w:r>
          </w:p>
        </w:tc>
        <w:tc>
          <w:tcPr>
            <w:tcW w:w="446" w:type="pct"/>
            <w:tcBorders>
              <w:top w:val="single" w:sz="4" w:space="0" w:color="auto"/>
              <w:left w:val="nil"/>
              <w:bottom w:val="single" w:sz="4" w:space="0" w:color="auto"/>
              <w:right w:val="single" w:sz="4" w:space="0" w:color="auto"/>
            </w:tcBorders>
            <w:shd w:val="clear" w:color="000000" w:fill="D8D8D8"/>
            <w:vAlign w:val="center"/>
            <w:hideMark/>
          </w:tcPr>
          <w:p w:rsidR="009A614C" w:rsidRDefault="00FB4A71" w:rsidP="00FB4A71">
            <w:pPr>
              <w:widowControl/>
              <w:autoSpaceDE/>
              <w:autoSpaceDN/>
              <w:adjustRightInd/>
              <w:jc w:val="center"/>
              <w:rPr>
                <w:b/>
                <w:bCs/>
                <w:color w:val="000000"/>
                <w:sz w:val="20"/>
                <w:szCs w:val="20"/>
              </w:rPr>
            </w:pPr>
            <w:r w:rsidRPr="00FB4A71">
              <w:rPr>
                <w:b/>
                <w:bCs/>
                <w:color w:val="000000"/>
                <w:sz w:val="20"/>
                <w:szCs w:val="20"/>
              </w:rPr>
              <w:t xml:space="preserve">(B) </w:t>
            </w:r>
          </w:p>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No.  Of occurrences per respondent per year</w:t>
            </w:r>
          </w:p>
        </w:tc>
        <w:tc>
          <w:tcPr>
            <w:tcW w:w="477" w:type="pct"/>
            <w:tcBorders>
              <w:top w:val="single" w:sz="4" w:space="0" w:color="auto"/>
              <w:left w:val="nil"/>
              <w:bottom w:val="single" w:sz="4" w:space="0" w:color="auto"/>
              <w:right w:val="single" w:sz="4" w:space="0" w:color="auto"/>
            </w:tcBorders>
            <w:shd w:val="clear" w:color="000000" w:fill="D8D8D8"/>
            <w:vAlign w:val="center"/>
            <w:hideMark/>
          </w:tcPr>
          <w:p w:rsidR="009A614C" w:rsidRDefault="00FB4A71" w:rsidP="00FB4A71">
            <w:pPr>
              <w:widowControl/>
              <w:autoSpaceDE/>
              <w:autoSpaceDN/>
              <w:adjustRightInd/>
              <w:jc w:val="center"/>
              <w:rPr>
                <w:b/>
                <w:bCs/>
                <w:color w:val="000000"/>
                <w:sz w:val="20"/>
                <w:szCs w:val="20"/>
              </w:rPr>
            </w:pPr>
            <w:r w:rsidRPr="00FB4A71">
              <w:rPr>
                <w:b/>
                <w:bCs/>
                <w:color w:val="000000"/>
                <w:sz w:val="20"/>
                <w:szCs w:val="20"/>
              </w:rPr>
              <w:t xml:space="preserve">(C) </w:t>
            </w:r>
          </w:p>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Person-hours per respondent per year (C=AxB)</w:t>
            </w:r>
          </w:p>
        </w:tc>
        <w:tc>
          <w:tcPr>
            <w:tcW w:w="446" w:type="pct"/>
            <w:tcBorders>
              <w:top w:val="single" w:sz="4" w:space="0" w:color="auto"/>
              <w:left w:val="nil"/>
              <w:bottom w:val="single" w:sz="4" w:space="0" w:color="auto"/>
              <w:right w:val="single" w:sz="4" w:space="0" w:color="auto"/>
            </w:tcBorders>
            <w:shd w:val="clear" w:color="000000" w:fill="D8D8D8"/>
            <w:vAlign w:val="center"/>
            <w:hideMark/>
          </w:tcPr>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(D) Respondents per year (a)</w:t>
            </w:r>
          </w:p>
        </w:tc>
        <w:tc>
          <w:tcPr>
            <w:tcW w:w="445" w:type="pct"/>
            <w:tcBorders>
              <w:top w:val="single" w:sz="4" w:space="0" w:color="auto"/>
              <w:left w:val="nil"/>
              <w:bottom w:val="single" w:sz="4" w:space="0" w:color="auto"/>
              <w:right w:val="single" w:sz="4" w:space="0" w:color="auto"/>
            </w:tcBorders>
            <w:shd w:val="clear" w:color="000000" w:fill="D8D8D8"/>
            <w:vAlign w:val="center"/>
            <w:hideMark/>
          </w:tcPr>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(E) Technical person-hours per year (E=CxD)</w:t>
            </w:r>
          </w:p>
        </w:tc>
        <w:tc>
          <w:tcPr>
            <w:tcW w:w="509" w:type="pct"/>
            <w:tcBorders>
              <w:top w:val="single" w:sz="4" w:space="0" w:color="auto"/>
              <w:left w:val="nil"/>
              <w:bottom w:val="single" w:sz="4" w:space="0" w:color="auto"/>
              <w:right w:val="single" w:sz="4" w:space="0" w:color="auto"/>
            </w:tcBorders>
            <w:shd w:val="clear" w:color="000000" w:fill="D8D8D8"/>
            <w:vAlign w:val="center"/>
            <w:hideMark/>
          </w:tcPr>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(F) Management person-hours per year (Ex0.05)</w:t>
            </w:r>
          </w:p>
        </w:tc>
        <w:tc>
          <w:tcPr>
            <w:tcW w:w="382" w:type="pct"/>
            <w:tcBorders>
              <w:top w:val="single" w:sz="4" w:space="0" w:color="auto"/>
              <w:left w:val="nil"/>
              <w:bottom w:val="single" w:sz="4" w:space="0" w:color="auto"/>
              <w:right w:val="single" w:sz="4" w:space="0" w:color="auto"/>
            </w:tcBorders>
            <w:shd w:val="clear" w:color="000000" w:fill="D8D8D8"/>
            <w:vAlign w:val="center"/>
            <w:hideMark/>
          </w:tcPr>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(G) Clerical person-hours per year (Ex0.1)</w:t>
            </w:r>
          </w:p>
        </w:tc>
        <w:tc>
          <w:tcPr>
            <w:tcW w:w="476" w:type="pct"/>
            <w:tcBorders>
              <w:top w:val="single" w:sz="4" w:space="0" w:color="auto"/>
              <w:left w:val="nil"/>
              <w:bottom w:val="single" w:sz="4" w:space="0" w:color="auto"/>
              <w:right w:val="single" w:sz="4" w:space="0" w:color="auto"/>
            </w:tcBorders>
            <w:shd w:val="clear" w:color="000000" w:fill="D8D8D8"/>
            <w:vAlign w:val="center"/>
            <w:hideMark/>
          </w:tcPr>
          <w:p w:rsidR="009A614C" w:rsidRDefault="00FB4A71" w:rsidP="00FB4A71">
            <w:pPr>
              <w:widowControl/>
              <w:autoSpaceDE/>
              <w:autoSpaceDN/>
              <w:adjustRightInd/>
              <w:jc w:val="center"/>
              <w:rPr>
                <w:b/>
                <w:bCs/>
                <w:color w:val="000000"/>
                <w:sz w:val="20"/>
                <w:szCs w:val="20"/>
              </w:rPr>
            </w:pPr>
            <w:r w:rsidRPr="00FB4A71">
              <w:rPr>
                <w:b/>
                <w:bCs/>
                <w:color w:val="000000"/>
                <w:sz w:val="20"/>
                <w:szCs w:val="20"/>
              </w:rPr>
              <w:t xml:space="preserve">(H) </w:t>
            </w:r>
          </w:p>
          <w:p w:rsidR="00FB4A71" w:rsidRPr="00FB4A71" w:rsidRDefault="00FB4A71" w:rsidP="00FB4A71">
            <w:pPr>
              <w:widowControl/>
              <w:autoSpaceDE/>
              <w:autoSpaceDN/>
              <w:adjustRightInd/>
              <w:jc w:val="center"/>
              <w:rPr>
                <w:b/>
                <w:bCs/>
                <w:color w:val="000000"/>
                <w:sz w:val="20"/>
                <w:szCs w:val="20"/>
              </w:rPr>
            </w:pPr>
            <w:r w:rsidRPr="00FB4A71">
              <w:rPr>
                <w:b/>
                <w:bCs/>
                <w:color w:val="000000"/>
                <w:sz w:val="20"/>
                <w:szCs w:val="20"/>
              </w:rPr>
              <w:t>Cost, $ (b)</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1.  Applications</w:t>
            </w:r>
          </w:p>
        </w:tc>
        <w:tc>
          <w:tcPr>
            <w:tcW w:w="509"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r w:rsidRPr="00FB4A71">
              <w:rPr>
                <w:color w:val="000000"/>
                <w:sz w:val="20"/>
                <w:szCs w:val="20"/>
              </w:rPr>
              <w:t>N/A</w:t>
            </w: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jc w:val="right"/>
              <w:rPr>
                <w:color w:val="000000"/>
                <w:sz w:val="20"/>
                <w:szCs w:val="20"/>
              </w:rPr>
            </w:pPr>
            <w:r w:rsidRPr="00FB4A71">
              <w:rPr>
                <w:color w:val="000000"/>
                <w:sz w:val="20"/>
                <w:szCs w:val="20"/>
              </w:rPr>
              <w:t> </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2.  Survey and Studies</w:t>
            </w:r>
          </w:p>
        </w:tc>
        <w:tc>
          <w:tcPr>
            <w:tcW w:w="509"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r w:rsidRPr="00FB4A71">
              <w:rPr>
                <w:color w:val="000000"/>
                <w:sz w:val="20"/>
                <w:szCs w:val="20"/>
              </w:rPr>
              <w:t>N/A</w:t>
            </w: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jc w:val="right"/>
              <w:rPr>
                <w:color w:val="000000"/>
                <w:sz w:val="20"/>
                <w:szCs w:val="20"/>
              </w:rPr>
            </w:pPr>
            <w:r w:rsidRPr="00FB4A71">
              <w:rPr>
                <w:color w:val="000000"/>
                <w:sz w:val="20"/>
                <w:szCs w:val="20"/>
              </w:rPr>
              <w:t> </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3.  Reporting Requirements</w:t>
            </w:r>
          </w:p>
        </w:tc>
        <w:tc>
          <w:tcPr>
            <w:tcW w:w="509"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jc w:val="right"/>
              <w:rPr>
                <w:color w:val="000000"/>
                <w:sz w:val="20"/>
                <w:szCs w:val="20"/>
              </w:rPr>
            </w:pPr>
            <w:r w:rsidRPr="00FB4A71">
              <w:rPr>
                <w:color w:val="000000"/>
                <w:sz w:val="20"/>
                <w:szCs w:val="20"/>
              </w:rPr>
              <w:t> </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A.  Read instructions</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B.  Required activities:</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 </w:t>
            </w:r>
          </w:p>
        </w:tc>
      </w:tr>
      <w:tr w:rsidR="00F46FD9" w:rsidRPr="00FB4A71" w:rsidTr="00F46FD9">
        <w:trPr>
          <w:trHeight w:val="375"/>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Initial performance tests</w:t>
            </w:r>
            <w:r w:rsidRPr="00FB4A71">
              <w:rPr>
                <w:color w:val="000000"/>
                <w:sz w:val="20"/>
                <w:szCs w:val="20"/>
                <w:vertAlign w:val="superscript"/>
              </w:rPr>
              <w:t xml:space="preserve"> </w:t>
            </w:r>
            <w:r w:rsidRPr="00FB4A71">
              <w:rPr>
                <w:color w:val="000000"/>
                <w:sz w:val="20"/>
                <w:szCs w:val="20"/>
              </w:rPr>
              <w:t xml:space="preserve"> </w:t>
            </w:r>
            <w:r w:rsidRPr="00FB4A71">
              <w:rPr>
                <w:color w:val="000000"/>
                <w:vertAlign w:val="superscript"/>
              </w:rPr>
              <w:t>c</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280</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280</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75"/>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Reference Method 9 Test </w:t>
            </w:r>
            <w:r w:rsidRPr="00FB4A71">
              <w:rPr>
                <w:color w:val="000000"/>
                <w:vertAlign w:val="superscript"/>
              </w:rPr>
              <w:t>d</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1.2</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4.8</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75"/>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Repeat of performance test </w:t>
            </w:r>
            <w:r w:rsidRPr="00FB4A71">
              <w:rPr>
                <w:color w:val="000000"/>
                <w:vertAlign w:val="superscript"/>
              </w:rPr>
              <w:t>e</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280</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0.2</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56</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C.   Create information</w:t>
            </w:r>
          </w:p>
        </w:tc>
        <w:tc>
          <w:tcPr>
            <w:tcW w:w="9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C4D73" w:rsidRDefault="00F46FD9" w:rsidP="000C4D73">
            <w:pPr>
              <w:widowControl/>
              <w:autoSpaceDE/>
              <w:autoSpaceDN/>
              <w:adjustRightInd/>
              <w:jc w:val="center"/>
              <w:rPr>
                <w:color w:val="000000"/>
                <w:sz w:val="20"/>
                <w:szCs w:val="20"/>
              </w:rPr>
            </w:pPr>
            <w:r w:rsidRPr="00FB4A71">
              <w:rPr>
                <w:color w:val="000000"/>
                <w:sz w:val="20"/>
                <w:szCs w:val="20"/>
              </w:rPr>
              <w:t>Included in 3B</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sidRPr="00FB4A71">
              <w:rPr>
                <w:color w:val="000000"/>
                <w:sz w:val="20"/>
                <w:szCs w:val="20"/>
              </w:rPr>
              <w:t> </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D.  Gather Existing Information</w:t>
            </w:r>
          </w:p>
        </w:tc>
        <w:tc>
          <w:tcPr>
            <w:tcW w:w="9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C4D73" w:rsidRDefault="00F46FD9" w:rsidP="000C4D73">
            <w:pPr>
              <w:widowControl/>
              <w:autoSpaceDE/>
              <w:autoSpaceDN/>
              <w:adjustRightInd/>
              <w:jc w:val="center"/>
              <w:rPr>
                <w:color w:val="000000"/>
                <w:sz w:val="20"/>
                <w:szCs w:val="20"/>
              </w:rPr>
            </w:pPr>
            <w:r w:rsidRPr="00FB4A71">
              <w:rPr>
                <w:color w:val="000000"/>
                <w:sz w:val="20"/>
                <w:szCs w:val="20"/>
              </w:rPr>
              <w:t>Included in 3B</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sidRPr="00FB4A71">
              <w:rPr>
                <w:color w:val="000000"/>
                <w:sz w:val="20"/>
                <w:szCs w:val="20"/>
              </w:rPr>
              <w:t> </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E.  Write report</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 </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Notification of construction / reconstruction</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Notification of actual startup</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Notification of initial                        </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performance test</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0C4D73" w:rsidRDefault="000C4D73" w:rsidP="000C4D73">
            <w:pPr>
              <w:widowControl/>
              <w:autoSpaceDE/>
              <w:autoSpaceDN/>
              <w:adjustRightInd/>
              <w:jc w:val="center"/>
              <w:rPr>
                <w:rFonts w:ascii="Calibri" w:hAnsi="Calibri"/>
                <w:color w:val="000000"/>
                <w:sz w:val="22"/>
                <w:szCs w:val="22"/>
              </w:rPr>
            </w:pPr>
          </w:p>
        </w:tc>
        <w:tc>
          <w:tcPr>
            <w:tcW w:w="477"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0C4D73" w:rsidRDefault="000C4D73" w:rsidP="000C4D73">
            <w:pPr>
              <w:widowControl/>
              <w:autoSpaceDE/>
              <w:autoSpaceDN/>
              <w:adjustRightInd/>
              <w:jc w:val="center"/>
              <w:rPr>
                <w:rFonts w:ascii="Calibri" w:hAnsi="Calibri"/>
                <w:color w:val="000000"/>
                <w:sz w:val="22"/>
                <w:szCs w:val="22"/>
              </w:rPr>
            </w:pPr>
          </w:p>
        </w:tc>
        <w:tc>
          <w:tcPr>
            <w:tcW w:w="445"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rFonts w:ascii="Calibri" w:hAnsi="Calibri"/>
                <w:color w:val="000000"/>
                <w:sz w:val="22"/>
                <w:szCs w:val="22"/>
              </w:rPr>
            </w:pPr>
            <w:r>
              <w:rPr>
                <w:rFonts w:ascii="Calibri" w:hAnsi="Calibri"/>
                <w:color w:val="000000"/>
                <w:sz w:val="22"/>
                <w:szCs w:val="22"/>
              </w:rPr>
              <w:t> </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Notification of any physical or operational change</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Notification of demonstration of continuous monitoring system</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Notification that continuous monitoring system (CMS)</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0</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$0</w:t>
            </w:r>
          </w:p>
        </w:tc>
      </w:tr>
      <w:tr w:rsidR="00F46FD9" w:rsidRPr="00FB4A71" w:rsidTr="00F46FD9">
        <w:trPr>
          <w:trHeight w:val="375"/>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Semiannual excess emissions </w:t>
            </w:r>
            <w:r w:rsidRPr="00FB4A71">
              <w:rPr>
                <w:color w:val="000000"/>
                <w:vertAlign w:val="superscript"/>
              </w:rPr>
              <w:t xml:space="preserve">f </w:t>
            </w:r>
            <w:r w:rsidRPr="00FB4A71">
              <w:rPr>
                <w:color w:val="000000"/>
                <w:sz w:val="20"/>
                <w:szCs w:val="20"/>
              </w:rPr>
              <w:t>reports</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8</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41</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656</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32.8</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65.6</w:t>
            </w:r>
          </w:p>
        </w:tc>
        <w:tc>
          <w:tcPr>
            <w:tcW w:w="476" w:type="pct"/>
            <w:tcBorders>
              <w:top w:val="nil"/>
              <w:left w:val="nil"/>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jc w:val="right"/>
              <w:rPr>
                <w:color w:val="000000"/>
                <w:sz w:val="20"/>
                <w:szCs w:val="20"/>
              </w:rPr>
            </w:pPr>
            <w:r>
              <w:rPr>
                <w:color w:val="000000"/>
                <w:sz w:val="20"/>
                <w:szCs w:val="20"/>
              </w:rPr>
              <w:t>$75,863.45</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lastRenderedPageBreak/>
              <w:t xml:space="preserve">     Performance test results</w:t>
            </w:r>
          </w:p>
        </w:tc>
        <w:tc>
          <w:tcPr>
            <w:tcW w:w="9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C4D73" w:rsidRDefault="00FB4A71" w:rsidP="000C4D73">
            <w:pPr>
              <w:widowControl/>
              <w:autoSpaceDE/>
              <w:autoSpaceDN/>
              <w:adjustRightInd/>
              <w:jc w:val="center"/>
              <w:rPr>
                <w:color w:val="000000"/>
                <w:sz w:val="20"/>
                <w:szCs w:val="20"/>
              </w:rPr>
            </w:pPr>
            <w:r w:rsidRPr="00FB4A71">
              <w:rPr>
                <w:color w:val="000000"/>
                <w:sz w:val="20"/>
                <w:szCs w:val="20"/>
              </w:rPr>
              <w:t>Included in 3B</w:t>
            </w:r>
          </w:p>
        </w:tc>
        <w:tc>
          <w:tcPr>
            <w:tcW w:w="477"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rFonts w:ascii="Calibri" w:hAnsi="Calibri"/>
                <w:color w:val="000000"/>
                <w:sz w:val="22"/>
                <w:szCs w:val="22"/>
              </w:rPr>
            </w:pPr>
            <w:r w:rsidRPr="00FB4A71">
              <w:rPr>
                <w:rFonts w:ascii="Calibri" w:hAnsi="Calibri"/>
                <w:color w:val="000000"/>
                <w:sz w:val="22"/>
                <w:szCs w:val="22"/>
              </w:rPr>
              <w:t> </w:t>
            </w:r>
          </w:p>
        </w:tc>
      </w:tr>
      <w:tr w:rsidR="00F46FD9" w:rsidRPr="00FB4A71" w:rsidTr="00FE02CA">
        <w:trPr>
          <w:trHeight w:val="300"/>
        </w:trPr>
        <w:tc>
          <w:tcPr>
            <w:tcW w:w="318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46FD9" w:rsidRPr="00FB4A71" w:rsidRDefault="00F46FD9" w:rsidP="00A01488">
            <w:pPr>
              <w:widowControl/>
              <w:autoSpaceDE/>
              <w:autoSpaceDN/>
              <w:adjustRightInd/>
              <w:rPr>
                <w:b/>
                <w:bCs/>
                <w:i/>
                <w:iCs/>
                <w:color w:val="000000"/>
                <w:sz w:val="20"/>
                <w:szCs w:val="20"/>
              </w:rPr>
            </w:pPr>
            <w:r w:rsidRPr="00FB4A71">
              <w:rPr>
                <w:b/>
                <w:bCs/>
                <w:i/>
                <w:iCs/>
                <w:color w:val="000000"/>
                <w:sz w:val="20"/>
                <w:szCs w:val="20"/>
              </w:rPr>
              <w:t>SUBTOTAL Reporting</w:t>
            </w:r>
          </w:p>
        </w:tc>
        <w:tc>
          <w:tcPr>
            <w:tcW w:w="133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F46FD9" w:rsidRDefault="00F46FD9">
            <w:pPr>
              <w:widowControl/>
              <w:autoSpaceDE/>
              <w:autoSpaceDN/>
              <w:adjustRightInd/>
              <w:jc w:val="center"/>
              <w:rPr>
                <w:b/>
                <w:bCs/>
                <w:i/>
                <w:iCs/>
                <w:color w:val="000000"/>
                <w:sz w:val="20"/>
                <w:szCs w:val="20"/>
              </w:rPr>
            </w:pPr>
            <w:r w:rsidRPr="00FB4A71">
              <w:rPr>
                <w:b/>
                <w:bCs/>
                <w:i/>
                <w:iCs/>
                <w:color w:val="000000"/>
                <w:sz w:val="20"/>
                <w:szCs w:val="20"/>
              </w:rPr>
              <w:t>754</w:t>
            </w:r>
          </w:p>
        </w:tc>
        <w:tc>
          <w:tcPr>
            <w:tcW w:w="476" w:type="pct"/>
            <w:tcBorders>
              <w:top w:val="nil"/>
              <w:left w:val="nil"/>
              <w:bottom w:val="single" w:sz="4" w:space="0" w:color="auto"/>
              <w:right w:val="single" w:sz="4" w:space="0" w:color="auto"/>
            </w:tcBorders>
            <w:shd w:val="clear" w:color="auto" w:fill="auto"/>
            <w:noWrap/>
            <w:hideMark/>
          </w:tcPr>
          <w:p w:rsidR="00F46FD9" w:rsidRDefault="00F46FD9">
            <w:pPr>
              <w:widowControl/>
              <w:autoSpaceDE/>
              <w:autoSpaceDN/>
              <w:adjustRightInd/>
              <w:jc w:val="right"/>
              <w:rPr>
                <w:b/>
                <w:bCs/>
                <w:i/>
                <w:iCs/>
                <w:color w:val="000000"/>
                <w:sz w:val="20"/>
                <w:szCs w:val="20"/>
              </w:rPr>
            </w:pPr>
            <w:r>
              <w:rPr>
                <w:b/>
                <w:bCs/>
                <w:i/>
                <w:iCs/>
                <w:color w:val="000000"/>
                <w:sz w:val="20"/>
                <w:szCs w:val="20"/>
              </w:rPr>
              <w:t>$75,863.45</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4.  Recordkeeping requirements</w:t>
            </w:r>
          </w:p>
        </w:tc>
        <w:tc>
          <w:tcPr>
            <w:tcW w:w="955" w:type="pct"/>
            <w:gridSpan w:val="2"/>
            <w:tcBorders>
              <w:top w:val="single" w:sz="4" w:space="0" w:color="auto"/>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vAlign w:val="center"/>
            <w:hideMark/>
          </w:tcPr>
          <w:p w:rsidR="00A8345E" w:rsidRDefault="00FB4A71">
            <w:pPr>
              <w:widowControl/>
              <w:autoSpaceDE/>
              <w:autoSpaceDN/>
              <w:adjustRightInd/>
              <w:jc w:val="right"/>
              <w:rPr>
                <w:color w:val="000000"/>
                <w:sz w:val="20"/>
                <w:szCs w:val="20"/>
              </w:rPr>
            </w:pPr>
            <w:r w:rsidRPr="00FB4A71">
              <w:rPr>
                <w:color w:val="000000"/>
                <w:sz w:val="20"/>
                <w:szCs w:val="20"/>
              </w:rPr>
              <w:t> </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A.  Read instructions</w:t>
            </w:r>
          </w:p>
        </w:tc>
        <w:tc>
          <w:tcPr>
            <w:tcW w:w="9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C4D73" w:rsidRDefault="00FB4A71" w:rsidP="000C4D73">
            <w:pPr>
              <w:widowControl/>
              <w:autoSpaceDE/>
              <w:autoSpaceDN/>
              <w:adjustRightInd/>
              <w:jc w:val="center"/>
              <w:rPr>
                <w:color w:val="000000"/>
                <w:sz w:val="20"/>
                <w:szCs w:val="20"/>
              </w:rPr>
            </w:pPr>
            <w:r w:rsidRPr="00FB4A71">
              <w:rPr>
                <w:color w:val="000000"/>
                <w:sz w:val="20"/>
                <w:szCs w:val="20"/>
              </w:rPr>
              <w:t>Included in 3A</w:t>
            </w:r>
          </w:p>
        </w:tc>
        <w:tc>
          <w:tcPr>
            <w:tcW w:w="477"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vAlign w:val="center"/>
            <w:hideMark/>
          </w:tcPr>
          <w:p w:rsidR="00A8345E" w:rsidRDefault="00FB4A71">
            <w:pPr>
              <w:widowControl/>
              <w:autoSpaceDE/>
              <w:autoSpaceDN/>
              <w:adjustRightInd/>
              <w:jc w:val="right"/>
              <w:rPr>
                <w:color w:val="000000"/>
                <w:sz w:val="20"/>
                <w:szCs w:val="20"/>
              </w:rPr>
            </w:pPr>
            <w:r w:rsidRPr="00FB4A71">
              <w:rPr>
                <w:color w:val="000000"/>
                <w:sz w:val="20"/>
                <w:szCs w:val="20"/>
              </w:rPr>
              <w:t> </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B.  Plan activities</w:t>
            </w:r>
          </w:p>
        </w:tc>
        <w:tc>
          <w:tcPr>
            <w:tcW w:w="9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C4D73" w:rsidRDefault="00FB4A71" w:rsidP="000C4D73">
            <w:pPr>
              <w:widowControl/>
              <w:autoSpaceDE/>
              <w:autoSpaceDN/>
              <w:adjustRightInd/>
              <w:jc w:val="center"/>
              <w:rPr>
                <w:color w:val="000000"/>
                <w:sz w:val="20"/>
                <w:szCs w:val="20"/>
              </w:rPr>
            </w:pPr>
            <w:r w:rsidRPr="00FB4A71">
              <w:rPr>
                <w:color w:val="000000"/>
                <w:sz w:val="20"/>
                <w:szCs w:val="20"/>
              </w:rPr>
              <w:t>Included in 3B</w:t>
            </w:r>
          </w:p>
        </w:tc>
        <w:tc>
          <w:tcPr>
            <w:tcW w:w="477"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vAlign w:val="center"/>
            <w:hideMark/>
          </w:tcPr>
          <w:p w:rsidR="00A8345E" w:rsidRDefault="00FB4A71">
            <w:pPr>
              <w:widowControl/>
              <w:autoSpaceDE/>
              <w:autoSpaceDN/>
              <w:adjustRightInd/>
              <w:jc w:val="right"/>
              <w:rPr>
                <w:color w:val="000000"/>
                <w:sz w:val="20"/>
                <w:szCs w:val="20"/>
              </w:rPr>
            </w:pPr>
            <w:r w:rsidRPr="00FB4A71">
              <w:rPr>
                <w:color w:val="000000"/>
                <w:sz w:val="20"/>
                <w:szCs w:val="20"/>
              </w:rPr>
              <w:t> </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C.  Implement activities</w:t>
            </w:r>
          </w:p>
        </w:tc>
        <w:tc>
          <w:tcPr>
            <w:tcW w:w="9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C4D73" w:rsidRDefault="00FB4A71" w:rsidP="000C4D73">
            <w:pPr>
              <w:widowControl/>
              <w:autoSpaceDE/>
              <w:autoSpaceDN/>
              <w:adjustRightInd/>
              <w:jc w:val="center"/>
              <w:rPr>
                <w:color w:val="000000"/>
                <w:sz w:val="20"/>
                <w:szCs w:val="20"/>
              </w:rPr>
            </w:pPr>
            <w:r w:rsidRPr="00FB4A71">
              <w:rPr>
                <w:color w:val="000000"/>
                <w:sz w:val="20"/>
                <w:szCs w:val="20"/>
              </w:rPr>
              <w:t>Included in 3B</w:t>
            </w:r>
          </w:p>
        </w:tc>
        <w:tc>
          <w:tcPr>
            <w:tcW w:w="477"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vAlign w:val="center"/>
            <w:hideMark/>
          </w:tcPr>
          <w:p w:rsidR="00A8345E" w:rsidRDefault="00FB4A71">
            <w:pPr>
              <w:widowControl/>
              <w:autoSpaceDE/>
              <w:autoSpaceDN/>
              <w:adjustRightInd/>
              <w:jc w:val="right"/>
              <w:rPr>
                <w:color w:val="000000"/>
                <w:sz w:val="20"/>
                <w:szCs w:val="20"/>
              </w:rPr>
            </w:pPr>
            <w:r w:rsidRPr="00FB4A71">
              <w:rPr>
                <w:color w:val="000000"/>
                <w:sz w:val="20"/>
                <w:szCs w:val="20"/>
              </w:rPr>
              <w:t> </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D.  Develop record system</w:t>
            </w:r>
          </w:p>
        </w:tc>
        <w:tc>
          <w:tcPr>
            <w:tcW w:w="509"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r w:rsidRPr="00FB4A71">
              <w:rPr>
                <w:color w:val="000000"/>
                <w:sz w:val="20"/>
                <w:szCs w:val="20"/>
              </w:rPr>
              <w:t>N/A</w:t>
            </w:r>
          </w:p>
        </w:tc>
        <w:tc>
          <w:tcPr>
            <w:tcW w:w="446" w:type="pct"/>
            <w:tcBorders>
              <w:top w:val="nil"/>
              <w:left w:val="nil"/>
              <w:bottom w:val="single" w:sz="4" w:space="0" w:color="auto"/>
              <w:right w:val="single" w:sz="4" w:space="0" w:color="auto"/>
            </w:tcBorders>
            <w:shd w:val="clear" w:color="auto" w:fill="auto"/>
            <w:noWrap/>
            <w:vAlign w:val="center"/>
            <w:hideMark/>
          </w:tcPr>
          <w:p w:rsidR="000C4D73" w:rsidRDefault="000C4D73" w:rsidP="000C4D73">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vAlign w:val="center"/>
            <w:hideMark/>
          </w:tcPr>
          <w:p w:rsidR="00A8345E" w:rsidRDefault="00FB4A71">
            <w:pPr>
              <w:widowControl/>
              <w:autoSpaceDE/>
              <w:autoSpaceDN/>
              <w:adjustRightInd/>
              <w:jc w:val="right"/>
              <w:rPr>
                <w:color w:val="000000"/>
                <w:sz w:val="20"/>
                <w:szCs w:val="20"/>
              </w:rPr>
            </w:pPr>
            <w:r w:rsidRPr="00FB4A71">
              <w:rPr>
                <w:color w:val="000000"/>
                <w:sz w:val="20"/>
                <w:szCs w:val="20"/>
              </w:rPr>
              <w:t> </w:t>
            </w:r>
          </w:p>
        </w:tc>
      </w:tr>
      <w:tr w:rsidR="00A01488"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E.  Time to enter information</w:t>
            </w:r>
          </w:p>
        </w:tc>
        <w:tc>
          <w:tcPr>
            <w:tcW w:w="509" w:type="pct"/>
            <w:tcBorders>
              <w:top w:val="nil"/>
              <w:left w:val="nil"/>
              <w:bottom w:val="single" w:sz="4" w:space="0" w:color="auto"/>
              <w:right w:val="single" w:sz="4" w:space="0" w:color="auto"/>
            </w:tcBorders>
            <w:shd w:val="clear" w:color="auto" w:fill="auto"/>
            <w:noWrap/>
            <w:vAlign w:val="center"/>
            <w:hideMark/>
          </w:tcPr>
          <w:p w:rsidR="00FB4A71" w:rsidRPr="00FB4A71" w:rsidRDefault="00FB4A71" w:rsidP="00A01488">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A8345E" w:rsidRDefault="00A8345E">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vAlign w:val="center"/>
            <w:hideMark/>
          </w:tcPr>
          <w:p w:rsidR="00A8345E" w:rsidRDefault="00FB4A71">
            <w:pPr>
              <w:widowControl/>
              <w:autoSpaceDE/>
              <w:autoSpaceDN/>
              <w:adjustRightInd/>
              <w:jc w:val="right"/>
              <w:rPr>
                <w:color w:val="000000"/>
                <w:sz w:val="20"/>
                <w:szCs w:val="20"/>
              </w:rPr>
            </w:pPr>
            <w:r w:rsidRPr="00FB4A71">
              <w:rPr>
                <w:color w:val="000000"/>
                <w:sz w:val="20"/>
                <w:szCs w:val="20"/>
              </w:rPr>
              <w:t> </w:t>
            </w:r>
          </w:p>
        </w:tc>
      </w:tr>
      <w:tr w:rsidR="00F46FD9" w:rsidRPr="00FB4A71" w:rsidTr="00F46FD9">
        <w:trPr>
          <w:trHeight w:val="375"/>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Records of CMS operating </w:t>
            </w:r>
            <w:r w:rsidRPr="00FB4A71">
              <w:rPr>
                <w:color w:val="000000"/>
                <w:vertAlign w:val="superscript"/>
              </w:rPr>
              <w:t xml:space="preserve">g </w:t>
            </w:r>
            <w:r w:rsidRPr="00FB4A71">
              <w:rPr>
                <w:color w:val="000000"/>
                <w:sz w:val="20"/>
                <w:szCs w:val="20"/>
              </w:rPr>
              <w:t>parameters</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0.25</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250</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62.5</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41</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2,562.5</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128.13</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256.25</w:t>
            </w:r>
          </w:p>
        </w:tc>
        <w:tc>
          <w:tcPr>
            <w:tcW w:w="476" w:type="pct"/>
            <w:tcBorders>
              <w:top w:val="nil"/>
              <w:left w:val="nil"/>
              <w:bottom w:val="single" w:sz="4" w:space="0" w:color="auto"/>
              <w:right w:val="single" w:sz="4" w:space="0" w:color="auto"/>
            </w:tcBorders>
            <w:shd w:val="clear" w:color="auto" w:fill="auto"/>
            <w:noWrap/>
            <w:hideMark/>
          </w:tcPr>
          <w:p w:rsidR="00F46FD9" w:rsidRDefault="00F46FD9">
            <w:pPr>
              <w:widowControl/>
              <w:autoSpaceDE/>
              <w:autoSpaceDN/>
              <w:adjustRightInd/>
              <w:jc w:val="right"/>
              <w:rPr>
                <w:color w:val="000000"/>
                <w:sz w:val="20"/>
                <w:szCs w:val="20"/>
              </w:rPr>
            </w:pPr>
            <w:r>
              <w:rPr>
                <w:color w:val="000000"/>
                <w:sz w:val="20"/>
                <w:szCs w:val="20"/>
              </w:rPr>
              <w:t>$296,341.59</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 xml:space="preserve">     Records of startup, shutdown,  malfunction</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1.5</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1.5</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41</w:t>
            </w: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61.5</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3.08</w:t>
            </w: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r w:rsidRPr="00FB4A71">
              <w:rPr>
                <w:color w:val="000000"/>
                <w:sz w:val="20"/>
                <w:szCs w:val="20"/>
              </w:rPr>
              <w:t>6.15</w:t>
            </w:r>
          </w:p>
        </w:tc>
        <w:tc>
          <w:tcPr>
            <w:tcW w:w="476" w:type="pct"/>
            <w:tcBorders>
              <w:top w:val="nil"/>
              <w:left w:val="nil"/>
              <w:bottom w:val="single" w:sz="4" w:space="0" w:color="auto"/>
              <w:right w:val="single" w:sz="4" w:space="0" w:color="auto"/>
            </w:tcBorders>
            <w:shd w:val="clear" w:color="auto" w:fill="auto"/>
            <w:noWrap/>
            <w:hideMark/>
          </w:tcPr>
          <w:p w:rsidR="00F46FD9" w:rsidRDefault="00F46FD9">
            <w:pPr>
              <w:widowControl/>
              <w:autoSpaceDE/>
              <w:autoSpaceDN/>
              <w:adjustRightInd/>
              <w:jc w:val="right"/>
              <w:rPr>
                <w:color w:val="000000"/>
                <w:sz w:val="20"/>
                <w:szCs w:val="20"/>
              </w:rPr>
            </w:pPr>
            <w:r>
              <w:rPr>
                <w:color w:val="000000"/>
                <w:sz w:val="20"/>
                <w:szCs w:val="20"/>
              </w:rPr>
              <w:t>$7,112.20</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F.  Time to train personnel</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N/A</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46FD9" w:rsidRDefault="00F46FD9">
            <w:pPr>
              <w:widowControl/>
              <w:autoSpaceDE/>
              <w:autoSpaceDN/>
              <w:adjustRightInd/>
              <w:jc w:val="right"/>
              <w:rPr>
                <w:color w:val="000000"/>
                <w:sz w:val="20"/>
                <w:szCs w:val="20"/>
              </w:rPr>
            </w:pPr>
            <w:r>
              <w:rPr>
                <w:color w:val="000000"/>
                <w:sz w:val="20"/>
                <w:szCs w:val="20"/>
              </w:rPr>
              <w:t> </w:t>
            </w:r>
          </w:p>
        </w:tc>
      </w:tr>
      <w:tr w:rsidR="00F46FD9" w:rsidRPr="00FB4A71" w:rsidTr="00F46FD9">
        <w:trPr>
          <w:trHeight w:val="300"/>
        </w:trPr>
        <w:tc>
          <w:tcPr>
            <w:tcW w:w="1310" w:type="pct"/>
            <w:tcBorders>
              <w:top w:val="nil"/>
              <w:left w:val="single" w:sz="4" w:space="0" w:color="auto"/>
              <w:bottom w:val="single" w:sz="4" w:space="0" w:color="auto"/>
              <w:right w:val="single" w:sz="4" w:space="0" w:color="auto"/>
            </w:tcBorders>
            <w:shd w:val="clear" w:color="auto" w:fill="auto"/>
            <w:noWrap/>
            <w:hideMark/>
          </w:tcPr>
          <w:p w:rsidR="00F46FD9" w:rsidRPr="00FB4A71" w:rsidRDefault="00F46FD9" w:rsidP="00FB4A71">
            <w:pPr>
              <w:widowControl/>
              <w:autoSpaceDE/>
              <w:autoSpaceDN/>
              <w:adjustRightInd/>
              <w:rPr>
                <w:color w:val="000000"/>
                <w:sz w:val="20"/>
                <w:szCs w:val="20"/>
              </w:rPr>
            </w:pPr>
            <w:r w:rsidRPr="00FB4A71">
              <w:rPr>
                <w:color w:val="000000"/>
                <w:sz w:val="20"/>
                <w:szCs w:val="20"/>
              </w:rPr>
              <w:t>G. Time for audits</w:t>
            </w:r>
          </w:p>
        </w:tc>
        <w:tc>
          <w:tcPr>
            <w:tcW w:w="509" w:type="pct"/>
            <w:tcBorders>
              <w:top w:val="nil"/>
              <w:left w:val="nil"/>
              <w:bottom w:val="single" w:sz="4" w:space="0" w:color="auto"/>
              <w:right w:val="single" w:sz="4" w:space="0" w:color="auto"/>
            </w:tcBorders>
            <w:shd w:val="clear" w:color="auto" w:fill="auto"/>
            <w:noWrap/>
            <w:vAlign w:val="center"/>
            <w:hideMark/>
          </w:tcPr>
          <w:p w:rsidR="00F46FD9" w:rsidRPr="00FB4A71" w:rsidRDefault="00F46FD9" w:rsidP="00A01488">
            <w:pPr>
              <w:widowControl/>
              <w:autoSpaceDE/>
              <w:autoSpaceDN/>
              <w:adjustRightInd/>
              <w:jc w:val="center"/>
              <w:rPr>
                <w:color w:val="000000"/>
                <w:sz w:val="20"/>
                <w:szCs w:val="20"/>
              </w:rPr>
            </w:pPr>
            <w:r w:rsidRPr="00FB4A71">
              <w:rPr>
                <w:color w:val="000000"/>
                <w:sz w:val="20"/>
                <w:szCs w:val="20"/>
              </w:rPr>
              <w:t>N/A</w:t>
            </w: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7"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noWrap/>
            <w:vAlign w:val="center"/>
            <w:hideMark/>
          </w:tcPr>
          <w:p w:rsidR="00F46FD9" w:rsidRDefault="00F46FD9">
            <w:pPr>
              <w:widowControl/>
              <w:autoSpaceDE/>
              <w:autoSpaceDN/>
              <w:adjustRightInd/>
              <w:jc w:val="center"/>
              <w:rPr>
                <w:color w:val="000000"/>
                <w:sz w:val="20"/>
                <w:szCs w:val="20"/>
              </w:rPr>
            </w:pPr>
          </w:p>
        </w:tc>
        <w:tc>
          <w:tcPr>
            <w:tcW w:w="476" w:type="pct"/>
            <w:tcBorders>
              <w:top w:val="nil"/>
              <w:left w:val="nil"/>
              <w:bottom w:val="single" w:sz="4" w:space="0" w:color="auto"/>
              <w:right w:val="single" w:sz="4" w:space="0" w:color="auto"/>
            </w:tcBorders>
            <w:shd w:val="clear" w:color="auto" w:fill="auto"/>
            <w:noWrap/>
            <w:hideMark/>
          </w:tcPr>
          <w:p w:rsidR="00F46FD9" w:rsidRDefault="00F46FD9">
            <w:pPr>
              <w:widowControl/>
              <w:autoSpaceDE/>
              <w:autoSpaceDN/>
              <w:adjustRightInd/>
              <w:jc w:val="right"/>
              <w:rPr>
                <w:color w:val="000000"/>
                <w:sz w:val="20"/>
                <w:szCs w:val="20"/>
              </w:rPr>
            </w:pPr>
            <w:r>
              <w:rPr>
                <w:color w:val="000000"/>
                <w:sz w:val="20"/>
                <w:szCs w:val="20"/>
              </w:rPr>
              <w:t> </w:t>
            </w:r>
          </w:p>
        </w:tc>
      </w:tr>
      <w:tr w:rsidR="00FB1326" w:rsidRPr="00FB4A71" w:rsidTr="00FE02CA">
        <w:trPr>
          <w:trHeight w:val="300"/>
        </w:trPr>
        <w:tc>
          <w:tcPr>
            <w:tcW w:w="3188" w:type="pct"/>
            <w:gridSpan w:val="5"/>
            <w:tcBorders>
              <w:top w:val="single" w:sz="4" w:space="0" w:color="auto"/>
              <w:left w:val="single" w:sz="4" w:space="0" w:color="auto"/>
              <w:bottom w:val="single" w:sz="4" w:space="0" w:color="auto"/>
              <w:right w:val="single" w:sz="4" w:space="0" w:color="auto"/>
            </w:tcBorders>
            <w:shd w:val="clear" w:color="000000" w:fill="FFFFFF"/>
            <w:noWrap/>
            <w:hideMark/>
          </w:tcPr>
          <w:p w:rsidR="00FB1326" w:rsidRPr="00FB4A71" w:rsidRDefault="00FB1326" w:rsidP="00FB4A71">
            <w:pPr>
              <w:widowControl/>
              <w:autoSpaceDE/>
              <w:autoSpaceDN/>
              <w:adjustRightInd/>
              <w:rPr>
                <w:b/>
                <w:bCs/>
                <w:i/>
                <w:iCs/>
                <w:color w:val="000000"/>
                <w:sz w:val="20"/>
                <w:szCs w:val="20"/>
              </w:rPr>
            </w:pPr>
            <w:r w:rsidRPr="00FB4A71">
              <w:rPr>
                <w:b/>
                <w:bCs/>
                <w:i/>
                <w:iCs/>
                <w:color w:val="000000"/>
                <w:sz w:val="20"/>
                <w:szCs w:val="20"/>
              </w:rPr>
              <w:t>SUBTOTAL Recordkeeping</w:t>
            </w:r>
          </w:p>
        </w:tc>
        <w:tc>
          <w:tcPr>
            <w:tcW w:w="133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FB1326" w:rsidRPr="00FB4A71" w:rsidRDefault="00FB1326" w:rsidP="00A01488">
            <w:pPr>
              <w:widowControl/>
              <w:autoSpaceDE/>
              <w:autoSpaceDN/>
              <w:adjustRightInd/>
              <w:jc w:val="center"/>
              <w:rPr>
                <w:b/>
                <w:bCs/>
                <w:i/>
                <w:iCs/>
                <w:color w:val="000000"/>
                <w:sz w:val="20"/>
                <w:szCs w:val="20"/>
              </w:rPr>
            </w:pPr>
            <w:r w:rsidRPr="00FB4A71">
              <w:rPr>
                <w:b/>
                <w:bCs/>
                <w:i/>
                <w:iCs/>
                <w:color w:val="000000"/>
                <w:sz w:val="20"/>
                <w:szCs w:val="20"/>
              </w:rPr>
              <w:t>3,01</w:t>
            </w:r>
            <w:r w:rsidR="009A614C">
              <w:rPr>
                <w:b/>
                <w:bCs/>
                <w:i/>
                <w:iCs/>
                <w:color w:val="000000"/>
                <w:sz w:val="20"/>
                <w:szCs w:val="20"/>
              </w:rPr>
              <w:t>8</w:t>
            </w:r>
          </w:p>
        </w:tc>
        <w:tc>
          <w:tcPr>
            <w:tcW w:w="476" w:type="pct"/>
            <w:tcBorders>
              <w:top w:val="nil"/>
              <w:left w:val="nil"/>
              <w:bottom w:val="single" w:sz="4" w:space="0" w:color="auto"/>
              <w:right w:val="single" w:sz="4" w:space="0" w:color="auto"/>
            </w:tcBorders>
            <w:shd w:val="clear" w:color="000000" w:fill="FFFFFF"/>
            <w:noWrap/>
            <w:hideMark/>
          </w:tcPr>
          <w:p w:rsidR="00FB1326" w:rsidRDefault="00FB1326">
            <w:pPr>
              <w:widowControl/>
              <w:autoSpaceDE/>
              <w:autoSpaceDN/>
              <w:adjustRightInd/>
              <w:jc w:val="right"/>
              <w:rPr>
                <w:b/>
                <w:bCs/>
                <w:i/>
                <w:iCs/>
                <w:color w:val="000000"/>
                <w:sz w:val="20"/>
                <w:szCs w:val="20"/>
              </w:rPr>
            </w:pPr>
            <w:r>
              <w:rPr>
                <w:b/>
                <w:bCs/>
                <w:i/>
                <w:iCs/>
                <w:color w:val="000000"/>
                <w:sz w:val="20"/>
                <w:szCs w:val="20"/>
              </w:rPr>
              <w:t>$303,453.79</w:t>
            </w:r>
          </w:p>
        </w:tc>
      </w:tr>
      <w:tr w:rsidR="00FB1326" w:rsidRPr="00FB4A71" w:rsidTr="00FE02CA">
        <w:trPr>
          <w:trHeight w:val="300"/>
        </w:trPr>
        <w:tc>
          <w:tcPr>
            <w:tcW w:w="3188" w:type="pct"/>
            <w:gridSpan w:val="5"/>
            <w:tcBorders>
              <w:top w:val="single" w:sz="4" w:space="0" w:color="auto"/>
              <w:left w:val="single" w:sz="4" w:space="0" w:color="auto"/>
              <w:bottom w:val="nil"/>
              <w:right w:val="single" w:sz="4" w:space="0" w:color="auto"/>
            </w:tcBorders>
            <w:shd w:val="clear" w:color="000000" w:fill="FFFFFF"/>
            <w:noWrap/>
            <w:hideMark/>
          </w:tcPr>
          <w:p w:rsidR="00FB1326" w:rsidRPr="00FB4A71" w:rsidRDefault="00FB1326" w:rsidP="00FB4A71">
            <w:pPr>
              <w:widowControl/>
              <w:autoSpaceDE/>
              <w:autoSpaceDN/>
              <w:adjustRightInd/>
              <w:rPr>
                <w:b/>
                <w:bCs/>
                <w:color w:val="000000"/>
                <w:sz w:val="20"/>
                <w:szCs w:val="20"/>
              </w:rPr>
            </w:pPr>
            <w:r w:rsidRPr="00FB4A71">
              <w:rPr>
                <w:b/>
                <w:bCs/>
                <w:color w:val="000000"/>
                <w:sz w:val="20"/>
                <w:szCs w:val="20"/>
              </w:rPr>
              <w:t xml:space="preserve">TOTAL LABOR BURDEN AND COST </w:t>
            </w:r>
          </w:p>
        </w:tc>
        <w:tc>
          <w:tcPr>
            <w:tcW w:w="1336" w:type="pct"/>
            <w:gridSpan w:val="3"/>
            <w:tcBorders>
              <w:top w:val="single" w:sz="4" w:space="0" w:color="auto"/>
              <w:left w:val="nil"/>
              <w:bottom w:val="nil"/>
              <w:right w:val="single" w:sz="4" w:space="0" w:color="auto"/>
            </w:tcBorders>
            <w:shd w:val="clear" w:color="000000" w:fill="FFFFFF"/>
            <w:noWrap/>
            <w:vAlign w:val="center"/>
            <w:hideMark/>
          </w:tcPr>
          <w:p w:rsidR="00FB1326" w:rsidRPr="00FB4A71" w:rsidRDefault="00FB1326" w:rsidP="00A01488">
            <w:pPr>
              <w:widowControl/>
              <w:autoSpaceDE/>
              <w:autoSpaceDN/>
              <w:adjustRightInd/>
              <w:jc w:val="center"/>
              <w:rPr>
                <w:b/>
                <w:bCs/>
                <w:color w:val="000000"/>
                <w:sz w:val="20"/>
                <w:szCs w:val="20"/>
              </w:rPr>
            </w:pPr>
          </w:p>
        </w:tc>
        <w:tc>
          <w:tcPr>
            <w:tcW w:w="476" w:type="pct"/>
            <w:tcBorders>
              <w:top w:val="nil"/>
              <w:left w:val="nil"/>
              <w:bottom w:val="nil"/>
              <w:right w:val="single" w:sz="4" w:space="0" w:color="auto"/>
            </w:tcBorders>
            <w:shd w:val="clear" w:color="000000" w:fill="FFFFFF"/>
            <w:noWrap/>
            <w:hideMark/>
          </w:tcPr>
          <w:p w:rsidR="00FB1326" w:rsidRDefault="00FB1326">
            <w:pPr>
              <w:widowControl/>
              <w:autoSpaceDE/>
              <w:autoSpaceDN/>
              <w:adjustRightInd/>
              <w:jc w:val="right"/>
              <w:rPr>
                <w:b/>
                <w:bCs/>
                <w:color w:val="000000"/>
                <w:sz w:val="20"/>
                <w:szCs w:val="20"/>
              </w:rPr>
            </w:pPr>
          </w:p>
        </w:tc>
      </w:tr>
      <w:tr w:rsidR="00FB1326" w:rsidRPr="00FB4A71" w:rsidTr="00FE02CA">
        <w:trPr>
          <w:trHeight w:val="300"/>
        </w:trPr>
        <w:tc>
          <w:tcPr>
            <w:tcW w:w="3188" w:type="pct"/>
            <w:gridSpan w:val="5"/>
            <w:tcBorders>
              <w:top w:val="nil"/>
              <w:left w:val="single" w:sz="4" w:space="0" w:color="auto"/>
              <w:bottom w:val="single" w:sz="4" w:space="0" w:color="auto"/>
              <w:right w:val="single" w:sz="4" w:space="0" w:color="auto"/>
            </w:tcBorders>
            <w:shd w:val="clear" w:color="auto" w:fill="auto"/>
            <w:hideMark/>
          </w:tcPr>
          <w:p w:rsidR="00FB1326" w:rsidRPr="00FB4A71" w:rsidRDefault="00FB1326" w:rsidP="00FB4A71">
            <w:pPr>
              <w:widowControl/>
              <w:autoSpaceDE/>
              <w:autoSpaceDN/>
              <w:adjustRightInd/>
              <w:rPr>
                <w:b/>
                <w:bCs/>
                <w:color w:val="000000"/>
                <w:sz w:val="20"/>
                <w:szCs w:val="20"/>
              </w:rPr>
            </w:pPr>
            <w:r w:rsidRPr="00FB4A71">
              <w:rPr>
                <w:b/>
                <w:bCs/>
                <w:color w:val="000000"/>
                <w:sz w:val="20"/>
                <w:szCs w:val="20"/>
              </w:rPr>
              <w:t>(rounded)</w:t>
            </w:r>
          </w:p>
        </w:tc>
        <w:tc>
          <w:tcPr>
            <w:tcW w:w="1336" w:type="pct"/>
            <w:gridSpan w:val="3"/>
            <w:tcBorders>
              <w:top w:val="nil"/>
              <w:left w:val="nil"/>
              <w:bottom w:val="single" w:sz="4" w:space="0" w:color="auto"/>
              <w:right w:val="single" w:sz="4" w:space="0" w:color="auto"/>
            </w:tcBorders>
            <w:shd w:val="clear" w:color="auto" w:fill="auto"/>
            <w:noWrap/>
            <w:vAlign w:val="center"/>
            <w:hideMark/>
          </w:tcPr>
          <w:p w:rsidR="00FB1326" w:rsidRPr="00FB4A71" w:rsidRDefault="00FB1326" w:rsidP="00A01488">
            <w:pPr>
              <w:widowControl/>
              <w:autoSpaceDE/>
              <w:autoSpaceDN/>
              <w:adjustRightInd/>
              <w:jc w:val="center"/>
              <w:rPr>
                <w:b/>
                <w:bCs/>
                <w:color w:val="000000"/>
                <w:sz w:val="20"/>
                <w:szCs w:val="20"/>
              </w:rPr>
            </w:pPr>
            <w:r w:rsidRPr="00FB4A71">
              <w:rPr>
                <w:b/>
                <w:bCs/>
                <w:color w:val="000000"/>
                <w:sz w:val="20"/>
                <w:szCs w:val="20"/>
              </w:rPr>
              <w:t>3,772</w:t>
            </w:r>
          </w:p>
        </w:tc>
        <w:tc>
          <w:tcPr>
            <w:tcW w:w="476" w:type="pct"/>
            <w:tcBorders>
              <w:top w:val="nil"/>
              <w:left w:val="nil"/>
              <w:bottom w:val="single" w:sz="4" w:space="0" w:color="auto"/>
              <w:right w:val="single" w:sz="4" w:space="0" w:color="auto"/>
            </w:tcBorders>
            <w:shd w:val="clear" w:color="auto" w:fill="auto"/>
            <w:noWrap/>
            <w:vAlign w:val="bottom"/>
            <w:hideMark/>
          </w:tcPr>
          <w:p w:rsidR="00FB1326" w:rsidRDefault="00FB1326">
            <w:pPr>
              <w:widowControl/>
              <w:autoSpaceDE/>
              <w:autoSpaceDN/>
              <w:adjustRightInd/>
              <w:jc w:val="right"/>
              <w:rPr>
                <w:b/>
                <w:bCs/>
                <w:color w:val="000000"/>
                <w:sz w:val="20"/>
                <w:szCs w:val="20"/>
              </w:rPr>
            </w:pPr>
            <w:r>
              <w:rPr>
                <w:b/>
                <w:bCs/>
                <w:color w:val="000000"/>
                <w:sz w:val="20"/>
                <w:szCs w:val="20"/>
              </w:rPr>
              <w:t xml:space="preserve">$379,317 </w:t>
            </w:r>
          </w:p>
        </w:tc>
      </w:tr>
      <w:tr w:rsidR="00FB1326" w:rsidRPr="00FB4A71" w:rsidTr="00F46FD9">
        <w:trPr>
          <w:trHeight w:val="300"/>
        </w:trPr>
        <w:tc>
          <w:tcPr>
            <w:tcW w:w="4524" w:type="pct"/>
            <w:gridSpan w:val="8"/>
            <w:tcBorders>
              <w:top w:val="single" w:sz="4" w:space="0" w:color="auto"/>
              <w:left w:val="single" w:sz="4" w:space="0" w:color="auto"/>
              <w:bottom w:val="single" w:sz="4" w:space="0" w:color="auto"/>
              <w:right w:val="single" w:sz="4" w:space="0" w:color="000000"/>
            </w:tcBorders>
            <w:shd w:val="clear" w:color="000000" w:fill="FFFFFF"/>
            <w:noWrap/>
            <w:hideMark/>
          </w:tcPr>
          <w:p w:rsidR="00FB1326" w:rsidRPr="00FB4A71" w:rsidRDefault="00FB1326" w:rsidP="00FB4A71">
            <w:pPr>
              <w:widowControl/>
              <w:autoSpaceDE/>
              <w:autoSpaceDN/>
              <w:adjustRightInd/>
              <w:rPr>
                <w:b/>
                <w:bCs/>
                <w:color w:val="000000"/>
                <w:sz w:val="20"/>
                <w:szCs w:val="20"/>
              </w:rPr>
            </w:pPr>
            <w:r w:rsidRPr="00FB4A71">
              <w:rPr>
                <w:b/>
                <w:bCs/>
                <w:color w:val="000000"/>
                <w:sz w:val="20"/>
                <w:szCs w:val="20"/>
              </w:rPr>
              <w:t>Capital and O&amp;M Costs</w:t>
            </w:r>
          </w:p>
        </w:tc>
        <w:tc>
          <w:tcPr>
            <w:tcW w:w="476" w:type="pct"/>
            <w:tcBorders>
              <w:top w:val="nil"/>
              <w:left w:val="nil"/>
              <w:bottom w:val="single" w:sz="4" w:space="0" w:color="auto"/>
              <w:right w:val="single" w:sz="4" w:space="0" w:color="auto"/>
            </w:tcBorders>
            <w:shd w:val="clear" w:color="000000" w:fill="FFFFFF"/>
            <w:noWrap/>
            <w:vAlign w:val="center"/>
            <w:hideMark/>
          </w:tcPr>
          <w:p w:rsidR="00FB1326" w:rsidRPr="00FB4A71" w:rsidRDefault="00FB1326" w:rsidP="00A01488">
            <w:pPr>
              <w:widowControl/>
              <w:autoSpaceDE/>
              <w:autoSpaceDN/>
              <w:adjustRightInd/>
              <w:jc w:val="right"/>
              <w:rPr>
                <w:b/>
                <w:bCs/>
                <w:color w:val="000000"/>
                <w:sz w:val="20"/>
                <w:szCs w:val="20"/>
              </w:rPr>
            </w:pPr>
            <w:r w:rsidRPr="00FB4A71">
              <w:rPr>
                <w:b/>
                <w:bCs/>
                <w:color w:val="000000"/>
                <w:sz w:val="20"/>
                <w:szCs w:val="20"/>
              </w:rPr>
              <w:t>$61,500</w:t>
            </w:r>
          </w:p>
        </w:tc>
      </w:tr>
      <w:tr w:rsidR="00FB1326" w:rsidRPr="00FB4A71" w:rsidTr="00F46FD9">
        <w:trPr>
          <w:trHeight w:val="300"/>
        </w:trPr>
        <w:tc>
          <w:tcPr>
            <w:tcW w:w="4524" w:type="pct"/>
            <w:gridSpan w:val="8"/>
            <w:tcBorders>
              <w:top w:val="single" w:sz="4" w:space="0" w:color="auto"/>
              <w:left w:val="single" w:sz="4" w:space="0" w:color="auto"/>
              <w:bottom w:val="single" w:sz="4" w:space="0" w:color="auto"/>
              <w:right w:val="single" w:sz="4" w:space="0" w:color="000000"/>
            </w:tcBorders>
            <w:shd w:val="clear" w:color="000000" w:fill="FFFFFF"/>
            <w:noWrap/>
            <w:hideMark/>
          </w:tcPr>
          <w:p w:rsidR="00FB1326" w:rsidRPr="00FB4A71" w:rsidRDefault="00FB1326" w:rsidP="00FB4A71">
            <w:pPr>
              <w:widowControl/>
              <w:autoSpaceDE/>
              <w:autoSpaceDN/>
              <w:adjustRightInd/>
              <w:rPr>
                <w:b/>
                <w:bCs/>
                <w:color w:val="000000"/>
                <w:sz w:val="20"/>
                <w:szCs w:val="20"/>
              </w:rPr>
            </w:pPr>
            <w:r w:rsidRPr="00FB4A71">
              <w:rPr>
                <w:b/>
                <w:bCs/>
                <w:color w:val="000000"/>
                <w:sz w:val="20"/>
                <w:szCs w:val="20"/>
              </w:rPr>
              <w:t>Grand Total (Labor Cost + Capital/O&amp;M)</w:t>
            </w:r>
          </w:p>
        </w:tc>
        <w:tc>
          <w:tcPr>
            <w:tcW w:w="476" w:type="pct"/>
            <w:tcBorders>
              <w:top w:val="nil"/>
              <w:left w:val="nil"/>
              <w:bottom w:val="single" w:sz="4" w:space="0" w:color="auto"/>
              <w:right w:val="single" w:sz="4" w:space="0" w:color="auto"/>
            </w:tcBorders>
            <w:shd w:val="clear" w:color="000000" w:fill="FFFFFF"/>
            <w:noWrap/>
            <w:vAlign w:val="center"/>
            <w:hideMark/>
          </w:tcPr>
          <w:p w:rsidR="000C4D73" w:rsidRDefault="002C78B9" w:rsidP="000C4D73">
            <w:pPr>
              <w:jc w:val="right"/>
              <w:rPr>
                <w:b/>
                <w:bCs/>
                <w:color w:val="000000"/>
                <w:sz w:val="20"/>
                <w:szCs w:val="20"/>
              </w:rPr>
            </w:pPr>
            <w:r>
              <w:rPr>
                <w:b/>
                <w:bCs/>
                <w:color w:val="000000"/>
                <w:sz w:val="20"/>
                <w:szCs w:val="20"/>
              </w:rPr>
              <w:t>$440,817</w:t>
            </w:r>
          </w:p>
        </w:tc>
      </w:tr>
    </w:tbl>
    <w:p w:rsidR="003D6951" w:rsidRPr="003F1AFC" w:rsidRDefault="003D6951" w:rsidP="003D6951">
      <w:pPr>
        <w:rPr>
          <w:color w:val="FF0000"/>
        </w:rPr>
      </w:pPr>
    </w:p>
    <w:p w:rsidR="00A01488" w:rsidRDefault="00A01488" w:rsidP="00A01488">
      <w:pPr>
        <w:ind w:left="-180" w:right="-270"/>
        <w:rPr>
          <w:sz w:val="20"/>
        </w:rPr>
      </w:pPr>
      <w:r>
        <w:rPr>
          <w:b/>
          <w:bCs/>
          <w:sz w:val="20"/>
        </w:rPr>
        <w:t>Assumptions:</w:t>
      </w:r>
    </w:p>
    <w:p w:rsidR="00A01488" w:rsidRDefault="00A01488" w:rsidP="00A01488">
      <w:pPr>
        <w:ind w:left="-180" w:right="-270"/>
        <w:rPr>
          <w:sz w:val="20"/>
        </w:rPr>
      </w:pPr>
      <w:r>
        <w:rPr>
          <w:vertAlign w:val="superscript"/>
        </w:rPr>
        <w:t>a</w:t>
      </w:r>
      <w:r>
        <w:rPr>
          <w:sz w:val="20"/>
        </w:rPr>
        <w:t xml:space="preserve">  We have assumed that the average number of respondents that will be subject to the rule will be 41, and no additional new sources will become subject to the rule over the three-year period of this ICR. </w:t>
      </w:r>
    </w:p>
    <w:p w:rsidR="00A01488" w:rsidRDefault="00A01488" w:rsidP="00A01488">
      <w:pPr>
        <w:ind w:left="-180" w:right="-270"/>
        <w:rPr>
          <w:sz w:val="20"/>
        </w:rPr>
      </w:pPr>
      <w:r>
        <w:rPr>
          <w:vertAlign w:val="superscript"/>
        </w:rPr>
        <w:t>b</w:t>
      </w:r>
      <w:r>
        <w:rPr>
          <w:sz w:val="20"/>
        </w:rPr>
        <w:t xml:space="preserve">  This ICR uses the following labor rates: $</w:t>
      </w:r>
      <w:r w:rsidR="00C62906">
        <w:rPr>
          <w:sz w:val="20"/>
        </w:rPr>
        <w:t>129.93</w:t>
      </w:r>
      <w:r>
        <w:rPr>
          <w:sz w:val="20"/>
        </w:rPr>
        <w:t xml:space="preserve"> per hour for Executive, Administrative, and Managerial labor; $</w:t>
      </w:r>
      <w:r w:rsidR="00C62906">
        <w:rPr>
          <w:sz w:val="20"/>
        </w:rPr>
        <w:t>103.97</w:t>
      </w:r>
      <w:r>
        <w:rPr>
          <w:sz w:val="20"/>
        </w:rPr>
        <w:t xml:space="preserve"> per hour for Technical labor, and $</w:t>
      </w:r>
      <w:r w:rsidR="00C62906">
        <w:rPr>
          <w:sz w:val="20"/>
        </w:rPr>
        <w:t>51.79</w:t>
      </w:r>
      <w:r>
        <w:rPr>
          <w:sz w:val="20"/>
        </w:rPr>
        <w:t xml:space="preserve"> per hour for Clerical labor.  These rates are from the United States Department of Labor, Bureau of Labor Statistics, </w:t>
      </w:r>
      <w:r w:rsidR="00C62906">
        <w:rPr>
          <w:sz w:val="20"/>
        </w:rPr>
        <w:t>June</w:t>
      </w:r>
      <w:r w:rsidR="00C9574B">
        <w:rPr>
          <w:sz w:val="20"/>
        </w:rPr>
        <w:t xml:space="preserve"> 2014</w:t>
      </w:r>
      <w:r>
        <w:rPr>
          <w:sz w:val="20"/>
        </w:rPr>
        <w:t xml:space="preserve">, “Table 2: Civilian Workers, by Occupational and Industry group.”  The rates are from column 1, “Total Compensation.”  The rates have been increased by 110% to account for the benefit packages available to those </w:t>
      </w:r>
      <w:r>
        <w:rPr>
          <w:sz w:val="20"/>
        </w:rPr>
        <w:lastRenderedPageBreak/>
        <w:t>employed by private industry.</w:t>
      </w:r>
    </w:p>
    <w:p w:rsidR="00A01488" w:rsidRDefault="00A01488" w:rsidP="00A01488">
      <w:pPr>
        <w:ind w:left="-180" w:right="-270"/>
        <w:rPr>
          <w:sz w:val="20"/>
        </w:rPr>
      </w:pPr>
      <w:r w:rsidRPr="00C1749F">
        <w:rPr>
          <w:vertAlign w:val="superscript"/>
        </w:rPr>
        <w:t>c</w:t>
      </w:r>
      <w:r>
        <w:rPr>
          <w:sz w:val="20"/>
        </w:rPr>
        <w:t xml:space="preserve">  We have assumed that it will take 280 hours to complete a performance test.</w:t>
      </w:r>
    </w:p>
    <w:p w:rsidR="00A01488" w:rsidRDefault="00A01488" w:rsidP="00A01488">
      <w:pPr>
        <w:ind w:left="-180" w:right="-270"/>
        <w:rPr>
          <w:sz w:val="20"/>
        </w:rPr>
      </w:pPr>
      <w:r w:rsidRPr="00BC50E2">
        <w:rPr>
          <w:vertAlign w:val="superscript"/>
        </w:rPr>
        <w:t>d</w:t>
      </w:r>
      <w:r>
        <w:rPr>
          <w:sz w:val="20"/>
        </w:rPr>
        <w:t xml:space="preserve">  It will take respondents 4 hours to conduct a reference Method 9 test.</w:t>
      </w:r>
    </w:p>
    <w:p w:rsidR="00A01488" w:rsidRDefault="00A01488" w:rsidP="00A01488">
      <w:pPr>
        <w:ind w:left="-180" w:right="-270"/>
        <w:rPr>
          <w:sz w:val="20"/>
        </w:rPr>
      </w:pPr>
      <w:r w:rsidRPr="00BC50E2">
        <w:rPr>
          <w:vertAlign w:val="superscript"/>
        </w:rPr>
        <w:t>e</w:t>
      </w:r>
      <w:r>
        <w:rPr>
          <w:sz w:val="20"/>
        </w:rPr>
        <w:t xml:space="preserve">  We have assumed that 20 percent of new respondents will have to repeat the performance test.</w:t>
      </w:r>
    </w:p>
    <w:p w:rsidR="00A01488" w:rsidRDefault="00A01488" w:rsidP="00A01488">
      <w:pPr>
        <w:ind w:left="-180" w:right="-270"/>
        <w:rPr>
          <w:sz w:val="20"/>
        </w:rPr>
      </w:pPr>
      <w:r w:rsidRPr="0099328A">
        <w:rPr>
          <w:vertAlign w:val="superscript"/>
        </w:rPr>
        <w:t>f</w:t>
      </w:r>
      <w:r>
        <w:rPr>
          <w:sz w:val="20"/>
        </w:rPr>
        <w:t xml:space="preserve">  We have assumed that it will take 8 hour two times per year for each respondent to complete the semiannual report of exceedances. </w:t>
      </w:r>
    </w:p>
    <w:p w:rsidR="00A01488" w:rsidRDefault="00A01488" w:rsidP="00A01488">
      <w:pPr>
        <w:ind w:left="-180" w:right="-270"/>
        <w:rPr>
          <w:sz w:val="20"/>
        </w:rPr>
      </w:pPr>
      <w:r w:rsidRPr="0099328A">
        <w:rPr>
          <w:vertAlign w:val="superscript"/>
        </w:rPr>
        <w:t>g</w:t>
      </w:r>
      <w:r>
        <w:rPr>
          <w:sz w:val="20"/>
        </w:rPr>
        <w:t xml:space="preserve">  We have assumed that it will take 250 days per year to record CMS operating parameters information.</w:t>
      </w:r>
    </w:p>
    <w:p w:rsidR="00A01488" w:rsidRDefault="00A01488" w:rsidP="00A01488">
      <w:pPr>
        <w:ind w:left="-180" w:right="-270"/>
        <w:sectPr w:rsidR="00A01488" w:rsidSect="00FE02CA">
          <w:pgSz w:w="15840" w:h="12240" w:orient="landscape"/>
          <w:pgMar w:top="1354" w:right="1166" w:bottom="1354" w:left="1267" w:header="1354" w:footer="1354" w:gutter="0"/>
          <w:cols w:space="720"/>
          <w:noEndnote/>
        </w:sectPr>
      </w:pPr>
      <w:r w:rsidRPr="006A0C26">
        <w:rPr>
          <w:vertAlign w:val="superscript"/>
        </w:rPr>
        <w:t>h</w:t>
      </w:r>
      <w:r>
        <w:rPr>
          <w:sz w:val="20"/>
        </w:rPr>
        <w:t xml:space="preserve">  We have assumed that it will take 1.5 hours once a year to record information on startup, shutdown, and  malfunction</w:t>
      </w:r>
    </w:p>
    <w:p w:rsidR="000C4D73" w:rsidRDefault="00B86474" w:rsidP="009A614C">
      <w:pPr>
        <w:jc w:val="center"/>
        <w:outlineLvl w:val="0"/>
        <w:rPr>
          <w:bCs/>
          <w:color w:val="FF0000"/>
        </w:rPr>
      </w:pPr>
      <w:r w:rsidRPr="00B86474">
        <w:rPr>
          <w:b/>
          <w:bCs/>
          <w:color w:val="000000"/>
        </w:rPr>
        <w:lastRenderedPageBreak/>
        <w:t>Table 2: Average Annual EPA Burden and Cost – NSPS for Lime Manufacturing (40 CFR Part 60, Subpart HH) (Renewal)</w:t>
      </w:r>
    </w:p>
    <w:p w:rsidR="00144F35" w:rsidRDefault="00144F35" w:rsidP="00F340DF">
      <w:pPr>
        <w:rPr>
          <w:color w:val="000000"/>
        </w:rPr>
      </w:pPr>
    </w:p>
    <w:tbl>
      <w:tblPr>
        <w:tblW w:w="12863" w:type="dxa"/>
        <w:tblInd w:w="95" w:type="dxa"/>
        <w:tblLook w:val="04A0" w:firstRow="1" w:lastRow="0" w:firstColumn="1" w:lastColumn="0" w:noHBand="0" w:noVBand="1"/>
      </w:tblPr>
      <w:tblGrid>
        <w:gridCol w:w="4292"/>
        <w:gridCol w:w="1160"/>
        <w:gridCol w:w="1238"/>
        <w:gridCol w:w="986"/>
        <w:gridCol w:w="750"/>
        <w:gridCol w:w="1050"/>
        <w:gridCol w:w="1338"/>
        <w:gridCol w:w="933"/>
        <w:gridCol w:w="1116"/>
      </w:tblGrid>
      <w:tr w:rsidR="00FB4A71" w:rsidRPr="00FB4A71" w:rsidTr="00362C30">
        <w:trPr>
          <w:trHeight w:val="1855"/>
        </w:trPr>
        <w:tc>
          <w:tcPr>
            <w:tcW w:w="429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(A)</w:t>
            </w:r>
          </w:p>
          <w:p w:rsidR="007E2E93" w:rsidRDefault="00FB4A71">
            <w:pPr>
              <w:jc w:val="center"/>
              <w:rPr>
                <w:b/>
                <w:bCs/>
                <w:color w:val="000000"/>
                <w:sz w:val="20"/>
                <w:szCs w:val="20"/>
              </w:rPr>
            </w:pPr>
            <w:r w:rsidRPr="00FB4A71">
              <w:rPr>
                <w:b/>
                <w:bCs/>
                <w:color w:val="000000"/>
                <w:sz w:val="20"/>
                <w:szCs w:val="20"/>
              </w:rPr>
              <w:t>EPA person-hours per occurrence</w:t>
            </w:r>
          </w:p>
        </w:tc>
        <w:tc>
          <w:tcPr>
            <w:tcW w:w="1238" w:type="dxa"/>
            <w:tcBorders>
              <w:top w:val="single" w:sz="4" w:space="0" w:color="auto"/>
              <w:left w:val="nil"/>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(B)</w:t>
            </w:r>
          </w:p>
          <w:p w:rsidR="007E2E93" w:rsidRDefault="00FB4A71">
            <w:pPr>
              <w:jc w:val="center"/>
              <w:rPr>
                <w:b/>
                <w:bCs/>
                <w:color w:val="000000"/>
                <w:sz w:val="20"/>
                <w:szCs w:val="20"/>
              </w:rPr>
            </w:pPr>
            <w:r w:rsidRPr="00FB4A71">
              <w:rPr>
                <w:b/>
                <w:bCs/>
                <w:color w:val="000000"/>
                <w:sz w:val="20"/>
                <w:szCs w:val="20"/>
              </w:rPr>
              <w:t>No. of occurrences per plant per year</w:t>
            </w:r>
          </w:p>
        </w:tc>
        <w:tc>
          <w:tcPr>
            <w:tcW w:w="986" w:type="dxa"/>
            <w:tcBorders>
              <w:top w:val="single" w:sz="4" w:space="0" w:color="auto"/>
              <w:left w:val="nil"/>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(C)</w:t>
            </w:r>
          </w:p>
          <w:p w:rsidR="007E2E93" w:rsidRDefault="00FB4A71">
            <w:pPr>
              <w:jc w:val="center"/>
              <w:rPr>
                <w:b/>
                <w:bCs/>
                <w:color w:val="000000"/>
                <w:sz w:val="20"/>
                <w:szCs w:val="20"/>
              </w:rPr>
            </w:pPr>
            <w:r w:rsidRPr="00FB4A71">
              <w:rPr>
                <w:b/>
                <w:bCs/>
                <w:color w:val="000000"/>
                <w:sz w:val="20"/>
                <w:szCs w:val="20"/>
              </w:rPr>
              <w:t>EPA person-hours per plant per year (C=AxB)</w:t>
            </w:r>
          </w:p>
        </w:tc>
        <w:tc>
          <w:tcPr>
            <w:tcW w:w="750" w:type="dxa"/>
            <w:tcBorders>
              <w:top w:val="single" w:sz="4" w:space="0" w:color="auto"/>
              <w:left w:val="nil"/>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(D)</w:t>
            </w:r>
          </w:p>
          <w:p w:rsidR="007E2E93" w:rsidRDefault="00FB4A71">
            <w:pPr>
              <w:jc w:val="center"/>
              <w:rPr>
                <w:b/>
                <w:bCs/>
                <w:color w:val="000000"/>
                <w:sz w:val="20"/>
                <w:szCs w:val="20"/>
              </w:rPr>
            </w:pPr>
            <w:r w:rsidRPr="00FB4A71">
              <w:rPr>
                <w:b/>
                <w:bCs/>
                <w:color w:val="000000"/>
                <w:sz w:val="20"/>
                <w:szCs w:val="20"/>
              </w:rPr>
              <w:t xml:space="preserve">Plants Per Year  </w:t>
            </w:r>
            <w:r w:rsidRPr="00FB4A71">
              <w:rPr>
                <w:b/>
                <w:bCs/>
                <w:color w:val="000000"/>
                <w:sz w:val="20"/>
                <w:szCs w:val="20"/>
                <w:vertAlign w:val="superscript"/>
              </w:rPr>
              <w:t>a, c</w:t>
            </w:r>
          </w:p>
        </w:tc>
        <w:tc>
          <w:tcPr>
            <w:tcW w:w="105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(E) Technical person-hours per year (E=CxD)</w:t>
            </w:r>
          </w:p>
        </w:tc>
        <w:tc>
          <w:tcPr>
            <w:tcW w:w="133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(F) Management person-hours per year (Ex0.05)</w:t>
            </w:r>
          </w:p>
        </w:tc>
        <w:tc>
          <w:tcPr>
            <w:tcW w:w="93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(G) Clerical person-hours per year (Ex0.10)</w:t>
            </w:r>
          </w:p>
        </w:tc>
        <w:tc>
          <w:tcPr>
            <w:tcW w:w="1116" w:type="dxa"/>
            <w:tcBorders>
              <w:top w:val="single" w:sz="4" w:space="0" w:color="auto"/>
              <w:left w:val="nil"/>
              <w:bottom w:val="single" w:sz="4" w:space="0" w:color="auto"/>
              <w:right w:val="single" w:sz="4" w:space="0" w:color="auto"/>
            </w:tcBorders>
            <w:shd w:val="clear" w:color="000000" w:fill="BFBFBF"/>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(H)</w:t>
            </w:r>
          </w:p>
          <w:p w:rsidR="007E2E93" w:rsidRDefault="00FB4A71">
            <w:pPr>
              <w:jc w:val="center"/>
              <w:rPr>
                <w:b/>
                <w:bCs/>
                <w:color w:val="000000"/>
                <w:sz w:val="20"/>
                <w:szCs w:val="20"/>
              </w:rPr>
            </w:pPr>
            <w:r w:rsidRPr="00FB4A71">
              <w:rPr>
                <w:b/>
                <w:bCs/>
                <w:color w:val="000000"/>
                <w:sz w:val="20"/>
                <w:szCs w:val="20"/>
              </w:rPr>
              <w:t xml:space="preserve">Cost, $ </w:t>
            </w:r>
            <w:r w:rsidRPr="00FB4A71">
              <w:rPr>
                <w:b/>
                <w:bCs/>
                <w:color w:val="000000"/>
                <w:sz w:val="20"/>
                <w:szCs w:val="20"/>
                <w:vertAlign w:val="superscript"/>
              </w:rPr>
              <w:t>b</w:t>
            </w:r>
          </w:p>
        </w:tc>
      </w:tr>
      <w:tr w:rsidR="00FB4A71" w:rsidRPr="00FB4A71" w:rsidTr="00362C30">
        <w:trPr>
          <w:trHeight w:val="375"/>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Initial  performance tests </w:t>
            </w:r>
            <w:r w:rsidRPr="00FB4A71">
              <w:rPr>
                <w:color w:val="000000"/>
                <w:vertAlign w:val="superscript"/>
              </w:rPr>
              <w:t>c</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38</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38</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75"/>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Repeat  performance test </w:t>
            </w:r>
            <w:r w:rsidRPr="00FB4A71">
              <w:rPr>
                <w:color w:val="00000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38</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0.2</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7.6</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7E2E93">
            <w:pPr>
              <w:widowControl/>
              <w:autoSpaceDE/>
              <w:autoSpaceDN/>
              <w:adjustRightInd/>
              <w:jc w:val="center"/>
              <w:rPr>
                <w:color w:val="000000"/>
                <w:sz w:val="20"/>
                <w:szCs w:val="20"/>
              </w:rPr>
            </w:pPr>
          </w:p>
        </w:tc>
      </w:tr>
      <w:tr w:rsidR="00FB4A71" w:rsidRPr="00FB4A71" w:rsidTr="00362C30">
        <w:trPr>
          <w:trHeight w:val="375"/>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Notification of  </w:t>
            </w:r>
            <w:r w:rsidRPr="00FB4A71">
              <w:rPr>
                <w:color w:val="000000"/>
                <w:vertAlign w:val="superscript"/>
              </w:rPr>
              <w:t>e</w:t>
            </w:r>
            <w:r w:rsidRPr="00FB4A71">
              <w:rPr>
                <w:color w:val="000000"/>
                <w:sz w:val="20"/>
                <w:szCs w:val="20"/>
              </w:rPr>
              <w:t xml:space="preserve"> construction/reconstruction</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0.5</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75"/>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Notification of physical or  </w:t>
            </w:r>
            <w:r w:rsidRPr="00FB4A71">
              <w:rPr>
                <w:color w:val="000000"/>
                <w:vertAlign w:val="superscript"/>
              </w:rPr>
              <w:t xml:space="preserve">f </w:t>
            </w:r>
            <w:r w:rsidRPr="00FB4A71">
              <w:rPr>
                <w:color w:val="000000"/>
                <w:sz w:val="20"/>
                <w:szCs w:val="20"/>
              </w:rPr>
              <w:t>operational change</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1.2</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0.6</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Notification of demonstration of CMS </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0.5</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Notification of CMS data to determine compliance</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0.5</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75"/>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Performance test results </w:t>
            </w:r>
            <w:r w:rsidRPr="00FB4A71">
              <w:rPr>
                <w:color w:val="00000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1.2</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9.6</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$0</w:t>
            </w:r>
          </w:p>
        </w:tc>
      </w:tr>
      <w:tr w:rsidR="00FB4A71" w:rsidRPr="00FB4A71" w:rsidTr="00362C30">
        <w:trPr>
          <w:trHeight w:val="375"/>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FB4A71" w:rsidRPr="00FB4A71" w:rsidRDefault="00FB4A71" w:rsidP="00FB4A71">
            <w:pPr>
              <w:widowControl/>
              <w:autoSpaceDE/>
              <w:autoSpaceDN/>
              <w:adjustRightInd/>
              <w:rPr>
                <w:color w:val="000000"/>
                <w:sz w:val="20"/>
                <w:szCs w:val="20"/>
              </w:rPr>
            </w:pPr>
            <w:r w:rsidRPr="00FB4A71">
              <w:rPr>
                <w:color w:val="000000"/>
                <w:sz w:val="20"/>
                <w:szCs w:val="20"/>
              </w:rPr>
              <w:t xml:space="preserve">    Semiannual report </w:t>
            </w:r>
            <w:r w:rsidRPr="00FB4A71">
              <w:rPr>
                <w:color w:val="00000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41</w:t>
            </w:r>
          </w:p>
        </w:tc>
        <w:tc>
          <w:tcPr>
            <w:tcW w:w="1050"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328</w:t>
            </w:r>
          </w:p>
        </w:tc>
        <w:tc>
          <w:tcPr>
            <w:tcW w:w="1338"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16.4</w:t>
            </w:r>
          </w:p>
        </w:tc>
        <w:tc>
          <w:tcPr>
            <w:tcW w:w="933"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32.8</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color w:val="000000"/>
                <w:sz w:val="20"/>
                <w:szCs w:val="20"/>
              </w:rPr>
            </w:pPr>
            <w:r w:rsidRPr="00FB4A71">
              <w:rPr>
                <w:color w:val="000000"/>
                <w:sz w:val="20"/>
                <w:szCs w:val="20"/>
              </w:rPr>
              <w:t>$17,167.52</w:t>
            </w:r>
          </w:p>
        </w:tc>
      </w:tr>
      <w:tr w:rsidR="00FB4A71" w:rsidRPr="00FB4A71" w:rsidTr="00362C30">
        <w:trPr>
          <w:trHeight w:val="300"/>
        </w:trPr>
        <w:tc>
          <w:tcPr>
            <w:tcW w:w="8426" w:type="dxa"/>
            <w:gridSpan w:val="5"/>
            <w:tcBorders>
              <w:top w:val="single" w:sz="4" w:space="0" w:color="auto"/>
              <w:left w:val="single" w:sz="4" w:space="0" w:color="auto"/>
              <w:bottom w:val="nil"/>
              <w:right w:val="single" w:sz="4" w:space="0" w:color="auto"/>
            </w:tcBorders>
            <w:shd w:val="clear" w:color="auto" w:fill="auto"/>
            <w:noWrap/>
            <w:vAlign w:val="bottom"/>
            <w:hideMark/>
          </w:tcPr>
          <w:p w:rsidR="00FB4A71" w:rsidRPr="00FB4A71" w:rsidRDefault="00FB4A71" w:rsidP="00FB4A71">
            <w:pPr>
              <w:widowControl/>
              <w:autoSpaceDE/>
              <w:autoSpaceDN/>
              <w:adjustRightInd/>
              <w:rPr>
                <w:b/>
                <w:bCs/>
                <w:color w:val="000000"/>
                <w:sz w:val="20"/>
                <w:szCs w:val="20"/>
              </w:rPr>
            </w:pPr>
            <w:r w:rsidRPr="00FB4A71">
              <w:rPr>
                <w:b/>
                <w:bCs/>
                <w:color w:val="000000"/>
                <w:sz w:val="20"/>
                <w:szCs w:val="20"/>
              </w:rPr>
              <w:t xml:space="preserve">TOTAL ANNUAL BURDEN AND COST </w:t>
            </w:r>
          </w:p>
        </w:tc>
        <w:tc>
          <w:tcPr>
            <w:tcW w:w="3321" w:type="dxa"/>
            <w:gridSpan w:val="3"/>
            <w:tcBorders>
              <w:top w:val="single" w:sz="4" w:space="0" w:color="auto"/>
              <w:left w:val="nil"/>
              <w:bottom w:val="nil"/>
              <w:right w:val="single" w:sz="4" w:space="0" w:color="auto"/>
            </w:tcBorders>
            <w:shd w:val="clear" w:color="auto" w:fill="auto"/>
            <w:noWrap/>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377.2</w:t>
            </w:r>
          </w:p>
        </w:tc>
        <w:tc>
          <w:tcPr>
            <w:tcW w:w="1116" w:type="dxa"/>
            <w:tcBorders>
              <w:top w:val="nil"/>
              <w:left w:val="nil"/>
              <w:bottom w:val="nil"/>
              <w:right w:val="single" w:sz="4" w:space="0" w:color="auto"/>
            </w:tcBorders>
            <w:shd w:val="clear" w:color="auto" w:fill="auto"/>
            <w:noWrap/>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$17,167.52</w:t>
            </w:r>
          </w:p>
        </w:tc>
      </w:tr>
      <w:tr w:rsidR="00FB4A71" w:rsidRPr="00FB4A71" w:rsidTr="00362C30">
        <w:trPr>
          <w:trHeight w:val="300"/>
        </w:trPr>
        <w:tc>
          <w:tcPr>
            <w:tcW w:w="8426" w:type="dxa"/>
            <w:gridSpan w:val="5"/>
            <w:tcBorders>
              <w:top w:val="nil"/>
              <w:left w:val="single" w:sz="4" w:space="0" w:color="auto"/>
              <w:bottom w:val="single" w:sz="4" w:space="0" w:color="auto"/>
              <w:right w:val="single" w:sz="4" w:space="0" w:color="000000"/>
            </w:tcBorders>
            <w:shd w:val="clear" w:color="auto" w:fill="auto"/>
            <w:noWrap/>
            <w:vAlign w:val="bottom"/>
            <w:hideMark/>
          </w:tcPr>
          <w:p w:rsidR="00FB4A71" w:rsidRPr="00FB4A71" w:rsidRDefault="00FB4A71" w:rsidP="00FB4A71">
            <w:pPr>
              <w:widowControl/>
              <w:autoSpaceDE/>
              <w:autoSpaceDN/>
              <w:adjustRightInd/>
              <w:rPr>
                <w:b/>
                <w:bCs/>
                <w:color w:val="000000"/>
                <w:sz w:val="20"/>
                <w:szCs w:val="20"/>
              </w:rPr>
            </w:pPr>
            <w:r w:rsidRPr="00FB4A71">
              <w:rPr>
                <w:b/>
                <w:bCs/>
                <w:color w:val="000000"/>
                <w:sz w:val="20"/>
                <w:szCs w:val="20"/>
              </w:rPr>
              <w:t>(rounded)</w:t>
            </w:r>
          </w:p>
        </w:tc>
        <w:tc>
          <w:tcPr>
            <w:tcW w:w="3321" w:type="dxa"/>
            <w:gridSpan w:val="3"/>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377</w:t>
            </w:r>
          </w:p>
        </w:tc>
        <w:tc>
          <w:tcPr>
            <w:tcW w:w="1116" w:type="dxa"/>
            <w:tcBorders>
              <w:top w:val="nil"/>
              <w:left w:val="nil"/>
              <w:bottom w:val="single" w:sz="4" w:space="0" w:color="auto"/>
              <w:right w:val="single" w:sz="4" w:space="0" w:color="auto"/>
            </w:tcBorders>
            <w:shd w:val="clear" w:color="auto" w:fill="auto"/>
            <w:noWrap/>
            <w:vAlign w:val="center"/>
            <w:hideMark/>
          </w:tcPr>
          <w:p w:rsidR="007E2E93" w:rsidRDefault="00FB4A71">
            <w:pPr>
              <w:widowControl/>
              <w:autoSpaceDE/>
              <w:autoSpaceDN/>
              <w:adjustRightInd/>
              <w:jc w:val="center"/>
              <w:rPr>
                <w:b/>
                <w:bCs/>
                <w:color w:val="000000"/>
                <w:sz w:val="20"/>
                <w:szCs w:val="20"/>
              </w:rPr>
            </w:pPr>
            <w:r w:rsidRPr="00FB4A71">
              <w:rPr>
                <w:b/>
                <w:bCs/>
                <w:color w:val="000000"/>
                <w:sz w:val="20"/>
                <w:szCs w:val="20"/>
              </w:rPr>
              <w:t>$17,168</w:t>
            </w:r>
          </w:p>
        </w:tc>
      </w:tr>
    </w:tbl>
    <w:p w:rsidR="00FB4A71" w:rsidRDefault="00FB4A71" w:rsidP="00F340DF">
      <w:pPr>
        <w:rPr>
          <w:color w:val="000000"/>
        </w:rPr>
      </w:pPr>
    </w:p>
    <w:p w:rsidR="00A01488" w:rsidRDefault="00A01488" w:rsidP="00A01488">
      <w:pPr>
        <w:rPr>
          <w:sz w:val="20"/>
        </w:rPr>
      </w:pPr>
      <w:r>
        <w:rPr>
          <w:b/>
          <w:bCs/>
          <w:sz w:val="20"/>
        </w:rPr>
        <w:t>Assumptions:</w:t>
      </w:r>
    </w:p>
    <w:p w:rsidR="00A01488" w:rsidRDefault="00A01488" w:rsidP="00A01488">
      <w:pPr>
        <w:rPr>
          <w:sz w:val="20"/>
        </w:rPr>
      </w:pPr>
      <w:r>
        <w:rPr>
          <w:vertAlign w:val="superscript"/>
        </w:rPr>
        <w:t xml:space="preserve">a </w:t>
      </w:r>
      <w:r>
        <w:rPr>
          <w:sz w:val="20"/>
        </w:rPr>
        <w:t xml:space="preserve"> We have assumed that there are approximately 41 respondents currently operating in the United States which are subject to the regulation.  It is estimated that no additional respondents will become subject to the regulation in the next three years based on information available on the sector.  Therefore, the average number of respondents per year is estimated to be 41.</w:t>
      </w:r>
    </w:p>
    <w:p w:rsidR="00A01488" w:rsidRDefault="00A01488" w:rsidP="00A01488">
      <w:pPr>
        <w:rPr>
          <w:sz w:val="20"/>
        </w:rPr>
      </w:pPr>
      <w:r>
        <w:rPr>
          <w:vertAlign w:val="superscript"/>
        </w:rPr>
        <w:t xml:space="preserve">b </w:t>
      </w:r>
      <w:r>
        <w:rPr>
          <w:sz w:val="20"/>
        </w:rPr>
        <w:t xml:space="preserve"> This cost is based on the following labor rates which incorporates a 1.6 benefits multiplication factor to account for government overhead expenses:  Managerial rate of </w:t>
      </w:r>
      <w:r w:rsidR="007C695C" w:rsidRPr="007C695C">
        <w:rPr>
          <w:sz w:val="20"/>
        </w:rPr>
        <w:t>$62.90 (GS-13, Step 5, $39.31 + 60%)</w:t>
      </w:r>
      <w:r>
        <w:rPr>
          <w:sz w:val="20"/>
        </w:rPr>
        <w:t xml:space="preserve">, Technical rate of </w:t>
      </w:r>
      <w:r w:rsidR="007C695C" w:rsidRPr="007C695C">
        <w:rPr>
          <w:sz w:val="20"/>
        </w:rPr>
        <w:t>$46.67 (GS-12, Step 1, $29.17 + 60%)</w:t>
      </w:r>
      <w:r>
        <w:rPr>
          <w:sz w:val="20"/>
        </w:rPr>
        <w:t xml:space="preserve">, and Clerical rate of </w:t>
      </w:r>
      <w:r w:rsidR="007C695C" w:rsidRPr="007C695C">
        <w:rPr>
          <w:sz w:val="20"/>
        </w:rPr>
        <w:t>$25.25 (GS-6, Step 3, $15.78 + 60%)</w:t>
      </w:r>
      <w:r>
        <w:rPr>
          <w:sz w:val="20"/>
        </w:rPr>
        <w:t>.  These rates are from the Office of Personnel Management (OPM) “201</w:t>
      </w:r>
      <w:r w:rsidR="0087281E">
        <w:rPr>
          <w:sz w:val="20"/>
        </w:rPr>
        <w:t>4</w:t>
      </w:r>
      <w:r>
        <w:rPr>
          <w:sz w:val="20"/>
        </w:rPr>
        <w:t xml:space="preserve"> General Schedule” which excludes locality rates of pay.</w:t>
      </w:r>
    </w:p>
    <w:p w:rsidR="00A01488" w:rsidRDefault="00A01488" w:rsidP="00A01488">
      <w:pPr>
        <w:ind w:left="-180" w:right="-270"/>
        <w:rPr>
          <w:sz w:val="20"/>
        </w:rPr>
      </w:pPr>
      <w:r>
        <w:rPr>
          <w:sz w:val="20"/>
        </w:rPr>
        <w:lastRenderedPageBreak/>
        <w:t xml:space="preserve">    </w:t>
      </w:r>
      <w:r w:rsidRPr="00785FEE">
        <w:rPr>
          <w:vertAlign w:val="superscript"/>
        </w:rPr>
        <w:t>c</w:t>
      </w:r>
      <w:r>
        <w:rPr>
          <w:sz w:val="20"/>
        </w:rPr>
        <w:t xml:space="preserve">  We have assumed that it will take 38 hours to perform an initial performance test. </w:t>
      </w:r>
    </w:p>
    <w:p w:rsidR="00A01488" w:rsidRDefault="00A01488" w:rsidP="00A01488">
      <w:pPr>
        <w:ind w:left="-180" w:right="-270"/>
        <w:rPr>
          <w:sz w:val="20"/>
        </w:rPr>
      </w:pPr>
      <w:r>
        <w:rPr>
          <w:sz w:val="20"/>
        </w:rPr>
        <w:t xml:space="preserve">    </w:t>
      </w:r>
      <w:r w:rsidRPr="00785FEE">
        <w:rPr>
          <w:vertAlign w:val="superscript"/>
        </w:rPr>
        <w:t>d</w:t>
      </w:r>
      <w:r>
        <w:rPr>
          <w:sz w:val="20"/>
        </w:rPr>
        <w:t xml:space="preserve">  We have assumed that 20 percent of new respondents will have to repeat the performance test.</w:t>
      </w:r>
    </w:p>
    <w:p w:rsidR="00A01488" w:rsidRDefault="00A01488" w:rsidP="00A01488">
      <w:pPr>
        <w:ind w:left="-180" w:right="-270"/>
        <w:rPr>
          <w:sz w:val="20"/>
        </w:rPr>
      </w:pPr>
      <w:r>
        <w:rPr>
          <w:sz w:val="20"/>
        </w:rPr>
        <w:t xml:space="preserve">    </w:t>
      </w:r>
      <w:r w:rsidRPr="00A60A1D">
        <w:rPr>
          <w:vertAlign w:val="superscript"/>
        </w:rPr>
        <w:t>e</w:t>
      </w:r>
      <w:r>
        <w:rPr>
          <w:sz w:val="20"/>
        </w:rPr>
        <w:t xml:space="preserve">  It will take 2 hours to review construction/reconstruction report.</w:t>
      </w:r>
    </w:p>
    <w:p w:rsidR="00A01488" w:rsidRDefault="00A01488" w:rsidP="00A01488">
      <w:pPr>
        <w:rPr>
          <w:sz w:val="20"/>
        </w:rPr>
      </w:pPr>
      <w:r>
        <w:rPr>
          <w:vertAlign w:val="superscript"/>
        </w:rPr>
        <w:t xml:space="preserve"> </w:t>
      </w:r>
      <w:r w:rsidRPr="00A60A1D">
        <w:rPr>
          <w:vertAlign w:val="superscript"/>
        </w:rPr>
        <w:t>f</w:t>
      </w:r>
      <w:r>
        <w:rPr>
          <w:sz w:val="20"/>
        </w:rPr>
        <w:t xml:space="preserve">  It will take 0.5 hours to review the physical or operational change review.</w:t>
      </w:r>
    </w:p>
    <w:p w:rsidR="00A01488" w:rsidRDefault="00A01488" w:rsidP="00A01488">
      <w:pPr>
        <w:rPr>
          <w:sz w:val="20"/>
        </w:rPr>
      </w:pPr>
      <w:r w:rsidRPr="00B03663">
        <w:rPr>
          <w:vertAlign w:val="superscript"/>
        </w:rPr>
        <w:t>g</w:t>
      </w:r>
      <w:r>
        <w:rPr>
          <w:sz w:val="20"/>
        </w:rPr>
        <w:t xml:space="preserve">  We have assumed that it will take 8 hours to review the performance test results report.</w:t>
      </w:r>
    </w:p>
    <w:p w:rsidR="00A01488" w:rsidRDefault="00A01488" w:rsidP="00A01488">
      <w:pPr>
        <w:ind w:left="-180" w:right="-270"/>
        <w:rPr>
          <w:sz w:val="20"/>
        </w:rPr>
      </w:pPr>
      <w:r>
        <w:rPr>
          <w:sz w:val="20"/>
        </w:rPr>
        <w:t xml:space="preserve">   </w:t>
      </w:r>
      <w:r w:rsidRPr="00B03663">
        <w:rPr>
          <w:vertAlign w:val="superscript"/>
        </w:rPr>
        <w:t xml:space="preserve"> h</w:t>
      </w:r>
      <w:r>
        <w:rPr>
          <w:sz w:val="20"/>
        </w:rPr>
        <w:t xml:space="preserve">  We have assumed that it will take 4 hour two times per year for each respondent to review the semiannual report. </w:t>
      </w:r>
    </w:p>
    <w:p w:rsidR="00A01488" w:rsidRDefault="00A01488" w:rsidP="00F340DF">
      <w:pPr>
        <w:rPr>
          <w:color w:val="000000"/>
        </w:rPr>
      </w:pPr>
    </w:p>
    <w:sectPr w:rsidR="00A0148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5D0" w:rsidRDefault="008155D0">
      <w:r>
        <w:separator/>
      </w:r>
    </w:p>
  </w:endnote>
  <w:endnote w:type="continuationSeparator" w:id="0">
    <w:p w:rsidR="008155D0" w:rsidRDefault="0081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5D0" w:rsidRDefault="008155D0">
      <w:r>
        <w:separator/>
      </w:r>
    </w:p>
  </w:footnote>
  <w:footnote w:type="continuationSeparator" w:id="0">
    <w:p w:rsidR="008155D0" w:rsidRDefault="00815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CA" w:rsidRDefault="008155D0">
    <w:pPr>
      <w:framePr w:w="9361" w:wrap="notBeside" w:vAnchor="text" w:hAnchor="text" w:x="1" w:y="1"/>
      <w:jc w:val="center"/>
    </w:pPr>
    <w:r>
      <w:fldChar w:fldCharType="begin"/>
    </w:r>
    <w:r>
      <w:instrText xml:space="preserve">PAGE </w:instrText>
    </w:r>
    <w:r>
      <w:fldChar w:fldCharType="separate"/>
    </w:r>
    <w:r w:rsidR="00614564">
      <w:rPr>
        <w:noProof/>
      </w:rPr>
      <w:t>14</w:t>
    </w:r>
    <w:r>
      <w:rPr>
        <w:noProof/>
      </w:rPr>
      <w:fldChar w:fldCharType="end"/>
    </w:r>
  </w:p>
  <w:p w:rsidR="00FE02CA" w:rsidRDefault="00FE02CA"/>
  <w:p w:rsidR="00FE02CA" w:rsidRDefault="00FE02C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875"/>
    <w:rsid w:val="0000687D"/>
    <w:rsid w:val="0001022C"/>
    <w:rsid w:val="00033BC7"/>
    <w:rsid w:val="0003619B"/>
    <w:rsid w:val="000364A9"/>
    <w:rsid w:val="00055BDF"/>
    <w:rsid w:val="00055DC5"/>
    <w:rsid w:val="000A1FBB"/>
    <w:rsid w:val="000A687C"/>
    <w:rsid w:val="000B3EC2"/>
    <w:rsid w:val="000C4D73"/>
    <w:rsid w:val="000D2272"/>
    <w:rsid w:val="000F772C"/>
    <w:rsid w:val="00101B40"/>
    <w:rsid w:val="00102B52"/>
    <w:rsid w:val="0010697C"/>
    <w:rsid w:val="00123889"/>
    <w:rsid w:val="00126A7C"/>
    <w:rsid w:val="001356D4"/>
    <w:rsid w:val="0014079D"/>
    <w:rsid w:val="00144978"/>
    <w:rsid w:val="00144A82"/>
    <w:rsid w:val="00144F35"/>
    <w:rsid w:val="0015433E"/>
    <w:rsid w:val="00186DA3"/>
    <w:rsid w:val="00195753"/>
    <w:rsid w:val="001A0B41"/>
    <w:rsid w:val="001B0B9A"/>
    <w:rsid w:val="001B35F2"/>
    <w:rsid w:val="001C5991"/>
    <w:rsid w:val="001D762C"/>
    <w:rsid w:val="001F19FF"/>
    <w:rsid w:val="001F5BA7"/>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C78B9"/>
    <w:rsid w:val="002D2BDD"/>
    <w:rsid w:val="002D7683"/>
    <w:rsid w:val="002F674B"/>
    <w:rsid w:val="002F6DB3"/>
    <w:rsid w:val="003139FC"/>
    <w:rsid w:val="00317587"/>
    <w:rsid w:val="00341540"/>
    <w:rsid w:val="003511C6"/>
    <w:rsid w:val="0035325B"/>
    <w:rsid w:val="00354C15"/>
    <w:rsid w:val="00362C30"/>
    <w:rsid w:val="00373BA3"/>
    <w:rsid w:val="00377D7F"/>
    <w:rsid w:val="003A790C"/>
    <w:rsid w:val="003B384B"/>
    <w:rsid w:val="003C4B46"/>
    <w:rsid w:val="003C5023"/>
    <w:rsid w:val="003D536B"/>
    <w:rsid w:val="003D6951"/>
    <w:rsid w:val="003E30B5"/>
    <w:rsid w:val="003E3BD0"/>
    <w:rsid w:val="003E4C18"/>
    <w:rsid w:val="003F1AFC"/>
    <w:rsid w:val="0040391F"/>
    <w:rsid w:val="004179EA"/>
    <w:rsid w:val="0044133C"/>
    <w:rsid w:val="00455557"/>
    <w:rsid w:val="00473407"/>
    <w:rsid w:val="00484A45"/>
    <w:rsid w:val="004A4B25"/>
    <w:rsid w:val="004B1E88"/>
    <w:rsid w:val="004C5E95"/>
    <w:rsid w:val="004C701D"/>
    <w:rsid w:val="004F1469"/>
    <w:rsid w:val="004F6FCD"/>
    <w:rsid w:val="00504745"/>
    <w:rsid w:val="00507EC5"/>
    <w:rsid w:val="00516952"/>
    <w:rsid w:val="005222B8"/>
    <w:rsid w:val="005253D4"/>
    <w:rsid w:val="00551815"/>
    <w:rsid w:val="00560AD2"/>
    <w:rsid w:val="005613BC"/>
    <w:rsid w:val="00565A51"/>
    <w:rsid w:val="00571260"/>
    <w:rsid w:val="00583626"/>
    <w:rsid w:val="0059264A"/>
    <w:rsid w:val="005A1986"/>
    <w:rsid w:val="005B40E0"/>
    <w:rsid w:val="005B5DE8"/>
    <w:rsid w:val="005C3665"/>
    <w:rsid w:val="005C42AC"/>
    <w:rsid w:val="005C5C00"/>
    <w:rsid w:val="005D385C"/>
    <w:rsid w:val="005E194B"/>
    <w:rsid w:val="005F42F8"/>
    <w:rsid w:val="00601205"/>
    <w:rsid w:val="00606DEF"/>
    <w:rsid w:val="00614564"/>
    <w:rsid w:val="00631517"/>
    <w:rsid w:val="00635DBD"/>
    <w:rsid w:val="006741F7"/>
    <w:rsid w:val="006750E3"/>
    <w:rsid w:val="006810C3"/>
    <w:rsid w:val="00694B55"/>
    <w:rsid w:val="006A41FB"/>
    <w:rsid w:val="006A6E65"/>
    <w:rsid w:val="006D1B12"/>
    <w:rsid w:val="006E4A6E"/>
    <w:rsid w:val="006E642B"/>
    <w:rsid w:val="00724BC7"/>
    <w:rsid w:val="00763160"/>
    <w:rsid w:val="00780612"/>
    <w:rsid w:val="00786A20"/>
    <w:rsid w:val="007938F9"/>
    <w:rsid w:val="00797F87"/>
    <w:rsid w:val="007A0634"/>
    <w:rsid w:val="007A16F4"/>
    <w:rsid w:val="007A458D"/>
    <w:rsid w:val="007C0FAA"/>
    <w:rsid w:val="007C695C"/>
    <w:rsid w:val="007C7CB7"/>
    <w:rsid w:val="007D76F3"/>
    <w:rsid w:val="007E2D9C"/>
    <w:rsid w:val="007E2E93"/>
    <w:rsid w:val="007E6FF4"/>
    <w:rsid w:val="007F07FB"/>
    <w:rsid w:val="00801440"/>
    <w:rsid w:val="00801891"/>
    <w:rsid w:val="00810507"/>
    <w:rsid w:val="00813E69"/>
    <w:rsid w:val="008155D0"/>
    <w:rsid w:val="00817E8B"/>
    <w:rsid w:val="008338D4"/>
    <w:rsid w:val="00837642"/>
    <w:rsid w:val="0084255D"/>
    <w:rsid w:val="008434B3"/>
    <w:rsid w:val="00850ACF"/>
    <w:rsid w:val="00852038"/>
    <w:rsid w:val="00861489"/>
    <w:rsid w:val="0087281E"/>
    <w:rsid w:val="0088639E"/>
    <w:rsid w:val="008A46EB"/>
    <w:rsid w:val="008B407C"/>
    <w:rsid w:val="008E65E6"/>
    <w:rsid w:val="008F285B"/>
    <w:rsid w:val="008F4564"/>
    <w:rsid w:val="009018EC"/>
    <w:rsid w:val="00906EDB"/>
    <w:rsid w:val="00912E00"/>
    <w:rsid w:val="00915230"/>
    <w:rsid w:val="00923C46"/>
    <w:rsid w:val="00930FC7"/>
    <w:rsid w:val="009648A2"/>
    <w:rsid w:val="009711DB"/>
    <w:rsid w:val="009A0F50"/>
    <w:rsid w:val="009A16CD"/>
    <w:rsid w:val="009A614C"/>
    <w:rsid w:val="009B7114"/>
    <w:rsid w:val="009C06F5"/>
    <w:rsid w:val="009D31C1"/>
    <w:rsid w:val="009D6567"/>
    <w:rsid w:val="009E0F31"/>
    <w:rsid w:val="009E5726"/>
    <w:rsid w:val="00A007F5"/>
    <w:rsid w:val="00A01488"/>
    <w:rsid w:val="00A038EC"/>
    <w:rsid w:val="00A145B0"/>
    <w:rsid w:val="00A15172"/>
    <w:rsid w:val="00A26EF7"/>
    <w:rsid w:val="00A277D6"/>
    <w:rsid w:val="00A379F8"/>
    <w:rsid w:val="00A4164C"/>
    <w:rsid w:val="00A54EEA"/>
    <w:rsid w:val="00A56BFF"/>
    <w:rsid w:val="00A73600"/>
    <w:rsid w:val="00A74C1E"/>
    <w:rsid w:val="00A7661C"/>
    <w:rsid w:val="00A8345E"/>
    <w:rsid w:val="00A949F7"/>
    <w:rsid w:val="00A95BC7"/>
    <w:rsid w:val="00A962DF"/>
    <w:rsid w:val="00AA4008"/>
    <w:rsid w:val="00AF70A1"/>
    <w:rsid w:val="00B07F79"/>
    <w:rsid w:val="00B1318E"/>
    <w:rsid w:val="00B16C07"/>
    <w:rsid w:val="00B43608"/>
    <w:rsid w:val="00B46A57"/>
    <w:rsid w:val="00B65754"/>
    <w:rsid w:val="00B66231"/>
    <w:rsid w:val="00B769F1"/>
    <w:rsid w:val="00B82025"/>
    <w:rsid w:val="00B86474"/>
    <w:rsid w:val="00B918A8"/>
    <w:rsid w:val="00BA0A91"/>
    <w:rsid w:val="00BA2307"/>
    <w:rsid w:val="00BA4887"/>
    <w:rsid w:val="00BB3390"/>
    <w:rsid w:val="00BB3C1A"/>
    <w:rsid w:val="00BC11E9"/>
    <w:rsid w:val="00BC6DEF"/>
    <w:rsid w:val="00BD7CAE"/>
    <w:rsid w:val="00BE2989"/>
    <w:rsid w:val="00BE7A11"/>
    <w:rsid w:val="00BF722F"/>
    <w:rsid w:val="00C13FE8"/>
    <w:rsid w:val="00C30A60"/>
    <w:rsid w:val="00C33ABA"/>
    <w:rsid w:val="00C37BB6"/>
    <w:rsid w:val="00C52EFD"/>
    <w:rsid w:val="00C62906"/>
    <w:rsid w:val="00C64378"/>
    <w:rsid w:val="00C7555E"/>
    <w:rsid w:val="00C75CF0"/>
    <w:rsid w:val="00C808B5"/>
    <w:rsid w:val="00C82DB6"/>
    <w:rsid w:val="00C9574B"/>
    <w:rsid w:val="00CA4CD6"/>
    <w:rsid w:val="00CA7DA0"/>
    <w:rsid w:val="00CC48AB"/>
    <w:rsid w:val="00CC58F6"/>
    <w:rsid w:val="00CD2069"/>
    <w:rsid w:val="00CD280D"/>
    <w:rsid w:val="00CF2B37"/>
    <w:rsid w:val="00CF45CE"/>
    <w:rsid w:val="00D043CA"/>
    <w:rsid w:val="00D1219A"/>
    <w:rsid w:val="00D13D9A"/>
    <w:rsid w:val="00D14A8D"/>
    <w:rsid w:val="00D21198"/>
    <w:rsid w:val="00D2273E"/>
    <w:rsid w:val="00D33437"/>
    <w:rsid w:val="00D36499"/>
    <w:rsid w:val="00D42D52"/>
    <w:rsid w:val="00D46FA2"/>
    <w:rsid w:val="00D5080D"/>
    <w:rsid w:val="00D56F5F"/>
    <w:rsid w:val="00D61B37"/>
    <w:rsid w:val="00D63B96"/>
    <w:rsid w:val="00D92F66"/>
    <w:rsid w:val="00D93C52"/>
    <w:rsid w:val="00D95819"/>
    <w:rsid w:val="00DA0F28"/>
    <w:rsid w:val="00DA7285"/>
    <w:rsid w:val="00DB59E1"/>
    <w:rsid w:val="00DD0312"/>
    <w:rsid w:val="00DD1AC1"/>
    <w:rsid w:val="00DD7D49"/>
    <w:rsid w:val="00DF5C4E"/>
    <w:rsid w:val="00E0138B"/>
    <w:rsid w:val="00E10DA7"/>
    <w:rsid w:val="00E1538C"/>
    <w:rsid w:val="00E22E55"/>
    <w:rsid w:val="00E25DB6"/>
    <w:rsid w:val="00E276CD"/>
    <w:rsid w:val="00E32EDA"/>
    <w:rsid w:val="00E53137"/>
    <w:rsid w:val="00E702F6"/>
    <w:rsid w:val="00E72D70"/>
    <w:rsid w:val="00E77D5E"/>
    <w:rsid w:val="00E868BB"/>
    <w:rsid w:val="00EA37A9"/>
    <w:rsid w:val="00EA54E5"/>
    <w:rsid w:val="00EA7026"/>
    <w:rsid w:val="00EC4074"/>
    <w:rsid w:val="00ED741E"/>
    <w:rsid w:val="00EF113F"/>
    <w:rsid w:val="00F02EB3"/>
    <w:rsid w:val="00F033F0"/>
    <w:rsid w:val="00F03803"/>
    <w:rsid w:val="00F066C9"/>
    <w:rsid w:val="00F13BDE"/>
    <w:rsid w:val="00F20584"/>
    <w:rsid w:val="00F20822"/>
    <w:rsid w:val="00F30FDB"/>
    <w:rsid w:val="00F340DF"/>
    <w:rsid w:val="00F46FD9"/>
    <w:rsid w:val="00F538BC"/>
    <w:rsid w:val="00F87E6A"/>
    <w:rsid w:val="00F9092B"/>
    <w:rsid w:val="00F92D22"/>
    <w:rsid w:val="00FA238F"/>
    <w:rsid w:val="00FB0650"/>
    <w:rsid w:val="00FB1326"/>
    <w:rsid w:val="00FB4A71"/>
    <w:rsid w:val="00FB4D98"/>
    <w:rsid w:val="00FB6378"/>
    <w:rsid w:val="00FB7BCE"/>
    <w:rsid w:val="00FC4E09"/>
    <w:rsid w:val="00FD72B2"/>
    <w:rsid w:val="00FE02CA"/>
    <w:rsid w:val="00FE2099"/>
    <w:rsid w:val="00FF0CB5"/>
    <w:rsid w:val="00FF10B8"/>
    <w:rsid w:val="00FF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0D9BBB-3DC9-4FC5-B403-24DFF625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98676015">
      <w:bodyDiv w:val="1"/>
      <w:marLeft w:val="0"/>
      <w:marRight w:val="0"/>
      <w:marTop w:val="0"/>
      <w:marBottom w:val="0"/>
      <w:divBdr>
        <w:top w:val="none" w:sz="0" w:space="0" w:color="auto"/>
        <w:left w:val="none" w:sz="0" w:space="0" w:color="auto"/>
        <w:bottom w:val="none" w:sz="0" w:space="0" w:color="auto"/>
        <w:right w:val="none" w:sz="0" w:space="0" w:color="auto"/>
      </w:divBdr>
    </w:div>
    <w:div w:id="1123184486">
      <w:bodyDiv w:val="1"/>
      <w:marLeft w:val="0"/>
      <w:marRight w:val="0"/>
      <w:marTop w:val="0"/>
      <w:marBottom w:val="0"/>
      <w:divBdr>
        <w:top w:val="none" w:sz="0" w:space="0" w:color="auto"/>
        <w:left w:val="none" w:sz="0" w:space="0" w:color="auto"/>
        <w:bottom w:val="none" w:sz="0" w:space="0" w:color="auto"/>
        <w:right w:val="none" w:sz="0" w:space="0" w:color="auto"/>
      </w:divBdr>
    </w:div>
    <w:div w:id="12309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453B-3A10-49D5-BE0E-33DBAE74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4835</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2015-02-11T18:38:00Z</dcterms:created>
  <dcterms:modified xsi:type="dcterms:W3CDTF">2015-02-11T18:38:00Z</dcterms:modified>
</cp:coreProperties>
</file>