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EE" w:rsidRPr="008725EE" w:rsidRDefault="008725EE" w:rsidP="008725EE">
      <w:pPr>
        <w:spacing w:after="0" w:line="240" w:lineRule="auto"/>
        <w:jc w:val="center"/>
        <w:rPr>
          <w:rFonts w:ascii="Times New Roman" w:eastAsia="Times New Roman" w:hAnsi="Times New Roman" w:cs="Times New Roman"/>
          <w:b/>
          <w:sz w:val="24"/>
          <w:szCs w:val="20"/>
        </w:rPr>
      </w:pPr>
      <w:r w:rsidRPr="008725EE">
        <w:rPr>
          <w:rFonts w:ascii="Times New Roman" w:eastAsia="Times New Roman" w:hAnsi="Times New Roman" w:cs="Times New Roman"/>
          <w:b/>
          <w:sz w:val="24"/>
          <w:szCs w:val="20"/>
        </w:rPr>
        <w:t>SUPPORTING STATEMENT</w:t>
      </w:r>
    </w:p>
    <w:p w:rsidR="008725EE" w:rsidRPr="008725EE" w:rsidRDefault="008725EE" w:rsidP="008725EE">
      <w:pPr>
        <w:spacing w:after="0" w:line="240" w:lineRule="auto"/>
        <w:rPr>
          <w:rFonts w:ascii="Times New Roman" w:eastAsia="Times New Roman" w:hAnsi="Times New Roman" w:cs="Times New Roman"/>
          <w:sz w:val="24"/>
          <w:szCs w:val="20"/>
        </w:rPr>
      </w:pPr>
    </w:p>
    <w:p w:rsidR="008725EE" w:rsidRPr="008725EE" w:rsidRDefault="008725EE" w:rsidP="009C690C">
      <w:pPr>
        <w:numPr>
          <w:ilvl w:val="0"/>
          <w:numId w:val="7"/>
        </w:numPr>
        <w:spacing w:after="0" w:line="240" w:lineRule="auto"/>
        <w:ind w:left="360"/>
        <w:contextualSpacing/>
        <w:rPr>
          <w:rFonts w:ascii="Times New Roman" w:eastAsia="Times New Roman" w:hAnsi="Times New Roman" w:cs="Times New Roman"/>
          <w:b/>
          <w:u w:val="single"/>
        </w:rPr>
      </w:pPr>
      <w:bookmarkStart w:id="0" w:name="_GoBack"/>
      <w:bookmarkEnd w:id="0"/>
      <w:r w:rsidRPr="008725EE">
        <w:rPr>
          <w:rFonts w:ascii="Times New Roman" w:eastAsia="Times New Roman" w:hAnsi="Times New Roman" w:cs="Times New Roman"/>
          <w:b/>
          <w:u w:val="single"/>
        </w:rPr>
        <w:t>Justification</w:t>
      </w:r>
      <w:r w:rsidRPr="008725EE">
        <w:rPr>
          <w:rFonts w:ascii="Times New Roman" w:eastAsia="Times New Roman" w:hAnsi="Times New Roman" w:cs="Times New Roman"/>
          <w:b/>
        </w:rPr>
        <w:t>:</w:t>
      </w:r>
    </w:p>
    <w:p w:rsidR="008725EE" w:rsidRPr="008725EE" w:rsidRDefault="008725EE" w:rsidP="008725EE">
      <w:pPr>
        <w:spacing w:after="0" w:line="240" w:lineRule="auto"/>
        <w:rPr>
          <w:rFonts w:ascii="Times New Roman" w:eastAsia="Times New Roman" w:hAnsi="Times New Roman" w:cs="Times New Roman"/>
          <w:sz w:val="24"/>
          <w:szCs w:val="20"/>
        </w:rPr>
      </w:pPr>
    </w:p>
    <w:p w:rsidR="008725EE" w:rsidRPr="008725EE" w:rsidRDefault="008725EE" w:rsidP="008725EE">
      <w:pPr>
        <w:spacing w:after="0" w:line="240" w:lineRule="auto"/>
        <w:rPr>
          <w:rFonts w:ascii="Times New Roman" w:eastAsia="Times New Roman" w:hAnsi="Times New Roman" w:cs="Times New Roman"/>
          <w:sz w:val="24"/>
          <w:szCs w:val="20"/>
        </w:rPr>
      </w:pPr>
      <w:r w:rsidRPr="008725EE">
        <w:rPr>
          <w:rFonts w:ascii="Times New Roman" w:eastAsia="Times New Roman" w:hAnsi="Times New Roman" w:cs="Times New Roman"/>
        </w:rPr>
        <w:t xml:space="preserve">The Commission is seeking an extension for existing collection 3060-0411 (no change in reporting, recordkeeping or third party disclosure requirements) which relates to the filing of formal complaints with the Federal Communications Commission.  In conjunction with this extension, the Commission submits ministerial edits to Form 485 (Formal Complaint Intake Form) to correct typographical errors and rule citation omissions.                                                                                                                                                                                                                                                                                                                                                                                                                                                                                                                                                                                                                                                                                                                                                                                                                                                                                                                                                                                                                                                                                                                                                                                                                                                                                                                                                                                                                                                                                                                                                                                                                                                                                                                                                                                                                                                                                                                                                                                                                                                                                                                                                                                                                                                                                                                                                                                                                                                                                                                                                                                                                                                                                                                                                                                                                                                                                                                                                                                                                                                                                                                                                                                                                                                                                                                                                                                                                                                                                                           </w:t>
      </w:r>
      <w:r w:rsidRPr="008725EE">
        <w:rPr>
          <w:rFonts w:ascii="Times New Roman" w:eastAsia="Times New Roman" w:hAnsi="Times New Roman" w:cs="Times New Roman"/>
          <w:sz w:val="24"/>
          <w:szCs w:val="20"/>
        </w:rPr>
        <w:t xml:space="preserve">  </w:t>
      </w:r>
    </w:p>
    <w:p w:rsidR="008725EE" w:rsidRPr="008725EE" w:rsidRDefault="008725EE" w:rsidP="008725EE">
      <w:pPr>
        <w:spacing w:after="0" w:line="240" w:lineRule="auto"/>
        <w:contextualSpacing/>
        <w:rPr>
          <w:rFonts w:ascii="Times New Roman" w:eastAsia="Times New Roman" w:hAnsi="Times New Roman" w:cs="Times New Roman"/>
          <w:sz w:val="24"/>
          <w:szCs w:val="20"/>
        </w:rPr>
      </w:pPr>
    </w:p>
    <w:p w:rsidR="008725EE" w:rsidRPr="008725EE" w:rsidRDefault="008725EE" w:rsidP="008725EE">
      <w:pPr>
        <w:spacing w:after="0" w:line="240" w:lineRule="auto"/>
        <w:contextualSpacing/>
        <w:rPr>
          <w:rFonts w:ascii="Times New Roman" w:eastAsia="Times New Roman" w:hAnsi="Times New Roman" w:cs="Times New Roman"/>
          <w:b/>
          <w:sz w:val="24"/>
          <w:szCs w:val="20"/>
          <w:u w:val="single"/>
        </w:rPr>
      </w:pPr>
      <w:r w:rsidRPr="008725EE">
        <w:rPr>
          <w:rFonts w:ascii="Times New Roman" w:eastAsia="Times New Roman" w:hAnsi="Times New Roman" w:cs="Times New Roman"/>
          <w:b/>
          <w:sz w:val="24"/>
          <w:szCs w:val="20"/>
          <w:u w:val="single"/>
        </w:rPr>
        <w:t>A. Existing Information Collection Requirements</w:t>
      </w:r>
    </w:p>
    <w:p w:rsidR="008725EE" w:rsidRPr="008725EE" w:rsidRDefault="008725EE" w:rsidP="008725EE">
      <w:pPr>
        <w:spacing w:after="0" w:line="240" w:lineRule="auto"/>
        <w:rPr>
          <w:rFonts w:ascii="Times New Roman" w:eastAsia="Times New Roman" w:hAnsi="Times New Roman" w:cs="Times New Roman"/>
          <w:u w:val="single"/>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Sections 206-209 of the Communications Act of 1934, as amended (the “Act”)</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 xml:space="preserve"> provide the statutory framework</w:t>
      </w:r>
      <w:r w:rsidRPr="008725EE">
        <w:rPr>
          <w:rFonts w:ascii="Times New Roman" w:eastAsia="Times New Roman" w:hAnsi="Times New Roman" w:cs="Times New Roman"/>
          <w:color w:val="252525"/>
          <w:sz w:val="24"/>
          <w:szCs w:val="24"/>
        </w:rPr>
        <w:t xml:space="preserve"> </w:t>
      </w:r>
      <w:r w:rsidRPr="008725EE">
        <w:rPr>
          <w:rFonts w:ascii="Times New Roman" w:eastAsia="Times New Roman" w:hAnsi="Times New Roman" w:cs="Times New Roman"/>
        </w:rPr>
        <w:t xml:space="preserve">for adjudicating formal complaints against common carriers.  To resolve complaints between providers regarding compliance with data roaming obligations, Commission Rule 20.12(e) adopts by reference the procedures already in place for resolving Section 208 formal complaints against common carriers, except that the remedy of damages, is not available for complaints against commercial mobile data service providers.  Section 208(a) authorizes complaints by any person “complaining of anything done or omitted to be done by any common carrier” subject to the provisions of the Act.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Section 208(a) states that, if a carrier does not satisfy a complaint or there appears to be any reasonable ground for investigating the complaint, the Commission shall “investigate the matters complained of in such manner and by such means as it shall deem proper.”  Certain categories of complaints are subject to a statutory deadline for resolution.  </w:t>
      </w:r>
      <w:r w:rsidRPr="008725EE">
        <w:rPr>
          <w:rFonts w:ascii="Times New Roman" w:eastAsia="Times New Roman" w:hAnsi="Times New Roman" w:cs="Times New Roman"/>
          <w:i/>
        </w:rPr>
        <w:t>See, e.g.</w:t>
      </w:r>
      <w:r w:rsidRPr="008725EE">
        <w:rPr>
          <w:rFonts w:ascii="Times New Roman" w:eastAsia="Times New Roman" w:hAnsi="Times New Roman" w:cs="Times New Roman"/>
        </w:rPr>
        <w:t xml:space="preserve">, 47 U.S.C. § 208(b)(1) (imposing a five-month deadline for complaints challenging the “lawfulness of a charge, classification, regulation, or practice”); 47 U.S.C. § 271(d)(6) (imposing a 90-day deadline for complaints alleging that a Bell operating company has ceased to meet conditions imposed in connection with approval to provide in-region </w:t>
      </w:r>
      <w:proofErr w:type="spellStart"/>
      <w:r w:rsidRPr="008725EE">
        <w:rPr>
          <w:rFonts w:ascii="Times New Roman" w:eastAsia="Times New Roman" w:hAnsi="Times New Roman" w:cs="Times New Roman"/>
        </w:rPr>
        <w:t>interLATA</w:t>
      </w:r>
      <w:proofErr w:type="spellEnd"/>
      <w:r w:rsidRPr="008725EE">
        <w:rPr>
          <w:rFonts w:ascii="Times New Roman" w:eastAsia="Times New Roman" w:hAnsi="Times New Roman" w:cs="Times New Roman"/>
        </w:rPr>
        <w:t xml:space="preserve"> services).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Formal complaint proceedings before the Commission are similar to civil litigation in federal district court.  In fact, under section 207 of the Act, a party claiming to be damaged by a common carrier may file its complaint with the Commission or in any district court of the United States, “but such person shall not have the right to pursue both such remedies.”  </w:t>
      </w:r>
      <w:r w:rsidRPr="008725EE">
        <w:rPr>
          <w:rFonts w:ascii="Times New Roman" w:eastAsia="Times New Roman" w:hAnsi="Times New Roman" w:cs="Times New Roman"/>
          <w:i/>
        </w:rPr>
        <w:t xml:space="preserve">See </w:t>
      </w:r>
      <w:r w:rsidRPr="008725EE">
        <w:rPr>
          <w:rFonts w:ascii="Times New Roman" w:eastAsia="Times New Roman" w:hAnsi="Times New Roman" w:cs="Times New Roman"/>
        </w:rPr>
        <w:t xml:space="preserve">47 U.S.C. § 207.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The Commission has promulgated rules (the “Formal Complaint Rules”) to govern its formal complaint proceedings that are similar in many respects to the Federal Rules of Civil Procedure.  </w:t>
      </w:r>
      <w:r w:rsidRPr="008725EE">
        <w:rPr>
          <w:rFonts w:ascii="Times New Roman" w:eastAsia="Times New Roman" w:hAnsi="Times New Roman" w:cs="Times New Roman"/>
          <w:i/>
        </w:rPr>
        <w:t xml:space="preserve">See </w:t>
      </w:r>
      <w:r w:rsidRPr="008725EE">
        <w:rPr>
          <w:rFonts w:ascii="Times New Roman" w:eastAsia="Times New Roman" w:hAnsi="Times New Roman" w:cs="Times New Roman"/>
        </w:rPr>
        <w:t xml:space="preserve">47 C.F.R. §§ 1.720-1.736.  These rules require the submission of information from the parties necessary to create a record on which the Commission can decide complex legal and factual issues.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As described in Section 1.720 of the Commission’s rules, formal complaint proceedings are resolved on a written record consisting of a complaint, answer, and joint statement of stipulated facts, disputed facts and key legal issues, along with all associated affidavits, exhibits and other attachments.  </w:t>
      </w:r>
      <w:r w:rsidRPr="008725EE">
        <w:rPr>
          <w:rFonts w:ascii="Times New Roman" w:eastAsia="Times New Roman" w:hAnsi="Times New Roman" w:cs="Times New Roman"/>
          <w:i/>
        </w:rPr>
        <w:t xml:space="preserve">See </w:t>
      </w:r>
      <w:r w:rsidRPr="008725EE">
        <w:rPr>
          <w:rFonts w:ascii="Times New Roman" w:eastAsia="Times New Roman" w:hAnsi="Times New Roman" w:cs="Times New Roman"/>
        </w:rPr>
        <w:t>47 C.F.R. § 1.720.</w:t>
      </w:r>
    </w:p>
    <w:p w:rsidR="008725EE" w:rsidRPr="008725EE" w:rsidRDefault="008725EE" w:rsidP="008725EE">
      <w:pPr>
        <w:spacing w:after="0" w:line="240" w:lineRule="auto"/>
        <w:rPr>
          <w:rFonts w:ascii="Times New Roman" w:eastAsia="Times New Roman" w:hAnsi="Times New Roman" w:cs="Times New Roman"/>
          <w:color w:val="FF0000"/>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Specifically, the Commission’s Formal Complaint Rules mandate collection of the following information:</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1"/>
        </w:numPr>
        <w:spacing w:after="0" w:line="240" w:lineRule="auto"/>
        <w:ind w:hanging="360"/>
        <w:rPr>
          <w:rFonts w:ascii="Times New Roman" w:eastAsia="Times New Roman" w:hAnsi="Times New Roman" w:cs="Times New Roman"/>
        </w:rPr>
      </w:pPr>
      <w:r w:rsidRPr="008725EE">
        <w:rPr>
          <w:rFonts w:ascii="Times New Roman" w:eastAsia="Times New Roman" w:hAnsi="Times New Roman" w:cs="Times New Roman"/>
        </w:rPr>
        <w:t>General pleading requirements: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1"/>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are required to submit copies of all non-Commission authorities relied upon that are not routinely available in national reporting systems.  47 C.F.R. § 1.720(f).</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1"/>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lastRenderedPageBreak/>
        <w:t xml:space="preserve">Parties must submit copies of relevant tariffs or relevant portions of tariffs that are referred to or relied upon in their pleadings.  47 C.F.R. § 1.720(h).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1"/>
        </w:numPr>
        <w:spacing w:after="0" w:line="240" w:lineRule="auto"/>
        <w:ind w:hanging="360"/>
        <w:rPr>
          <w:rFonts w:ascii="Times New Roman" w:eastAsia="Times New Roman" w:hAnsi="Times New Roman" w:cs="Times New Roman"/>
        </w:rPr>
      </w:pPr>
      <w:r w:rsidRPr="008725EE">
        <w:rPr>
          <w:rFonts w:ascii="Times New Roman" w:eastAsia="Times New Roman" w:hAnsi="Times New Roman" w:cs="Times New Roman"/>
        </w:rPr>
        <w:t>Complaint:</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All material facts in the complaint must be supported by relevant affidavits and documentation, and the documentary evidence upon which the complainant relies to support its facts and arguments must be attached to the complaint.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 xml:space="preserve">5), (11); </w:t>
      </w:r>
      <w:r w:rsidRPr="008725EE">
        <w:rPr>
          <w:rFonts w:ascii="Times New Roman" w:eastAsia="Times New Roman" w:hAnsi="Times New Roman" w:cs="Times New Roman"/>
          <w:i/>
        </w:rPr>
        <w:t xml:space="preserve">see also </w:t>
      </w:r>
      <w:r w:rsidRPr="008725EE">
        <w:rPr>
          <w:rFonts w:ascii="Times New Roman" w:eastAsia="Times New Roman" w:hAnsi="Times New Roman" w:cs="Times New Roman"/>
        </w:rPr>
        <w:t>47 C.F.R. § 1.720(c).</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complaint must contain proposed findings of fact, conclusions of law, and legal analysis relevant to the claims and arguments.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6).</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complaint must specify the relief sought and, for complaints against common carriers, the amount of damages claimed, if known.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7).</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complainant must certify that prior to filing the complaint, the complainant mailed to the defendant (or its registered agent for service of process) a certified letter outlining the allegations that form the basis of the complaint it anticipates filing with the Commission and inviting a response within a reasonable period of time.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8).</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complaint must include an information designation identifying witnesses with knowledge of facts alleged and describing all relevant documents.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10).</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A FCC Form 485, Formal Complaint Intake Form, must accompany the complaint.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 xml:space="preserve">12).  The form indicates, among other things, that the complaint follows the procedural and substantive requirements under the Act and the Commission’s rules.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3"/>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If a complainant wishes to recover damages, the complaint must contain a clear and unequivocal request for damages.  47 C.F.R. § 1.722(a).  Either the complaint or a subsequent supplemental complaint for damages must contain either a computation of damages, along with an identification of relevant supporting evidence, or an explanation of why such evidence is not then available.  47 C.F.R. § 1.722(a), (e) and (h).  As noted above, the remedy of damages is not available for complaints against commercial mobile data service providers; accordingly, these provisions are excluded from the formal complaint process in the case of such complaints.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4"/>
        </w:numPr>
        <w:spacing w:after="0" w:line="240" w:lineRule="auto"/>
        <w:ind w:hanging="360"/>
        <w:rPr>
          <w:rFonts w:ascii="Times New Roman" w:eastAsia="Times New Roman" w:hAnsi="Times New Roman" w:cs="Times New Roman"/>
        </w:rPr>
      </w:pPr>
      <w:r w:rsidRPr="008725EE">
        <w:rPr>
          <w:rFonts w:ascii="Times New Roman" w:eastAsia="Times New Roman" w:hAnsi="Times New Roman" w:cs="Times New Roman"/>
        </w:rPr>
        <w:t>Answer:</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A defendant has 20 days after service of the complaint to file an answer, unless otherwise directed by the Commission.  47 C.F.R. § 1.724(a).</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answer must contain proposed findings of fact, conclusions of law, and legal analysis relevant to the claims and arguments.  47 C.F.R. § 1.724(c).</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answer must include an information designation identifying witnesses with knowledge of facts alleged and describing all relevant documents.  47 C.F.R. § 1.724(f).</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lastRenderedPageBreak/>
        <w:t>Copies of all documents upon which the defendant relies to support the facts and arguments set forth in the answer must be attached to the answer.  47 C.F.R. § 1.724(g).</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answer must contain a certification that the defendant has made good faith settlement efforts.  47 C.F.R. § 1.724(h).</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4"/>
        </w:numPr>
        <w:spacing w:after="0" w:line="240" w:lineRule="auto"/>
        <w:ind w:hanging="360"/>
        <w:rPr>
          <w:rFonts w:ascii="Times New Roman" w:eastAsia="Times New Roman" w:hAnsi="Times New Roman" w:cs="Times New Roman"/>
        </w:rPr>
      </w:pPr>
      <w:r w:rsidRPr="008725EE">
        <w:rPr>
          <w:rFonts w:ascii="Times New Roman" w:eastAsia="Times New Roman" w:hAnsi="Times New Roman" w:cs="Times New Roman"/>
        </w:rPr>
        <w:t>Reply:</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A complainant has 3 days after service of the answer to file a reply.  47 C.F.R. § 1.726(a).</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reply must contain proposed findings of fact, conclusions of law, and legal analysis relevant to the claims and arguments.  47 C.F.R. § 1.726(c).</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reply must include an information designation identifying witnesses with knowledge of facts alleged and describing all relevant documents.  47 C.F.R. § 1.726(d).</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4"/>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Copies of all documents upon which the complainant relies to support its facts and arguments set forth in the reply must be attached to the reply.  47 C.F.R. § 1.726(e).</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Other Submissions: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A request for a Commission order on a motion must be made by written motion, stating with particularity the grounds for the motion, relevant authority, and relief sought.  47 C.F.R. § 1.727.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Dispositive motions (and oppositions thereto) must contain proposed findings of fact and conclusions of law, and motions to compel discovery must contain a certification that a good faith attempt was made to resolve the discovery dispute.  </w:t>
      </w:r>
      <w:proofErr w:type="gramStart"/>
      <w:r w:rsidRPr="008725EE">
        <w:rPr>
          <w:rFonts w:ascii="Times New Roman" w:eastAsia="Times New Roman" w:hAnsi="Times New Roman" w:cs="Times New Roman"/>
        </w:rPr>
        <w:t>47 C.F.R. §§ 1.727(b), (d), 1.729(f).</w:t>
      </w:r>
      <w:proofErr w:type="gramEnd"/>
      <w:r w:rsidRPr="008725EE">
        <w:rPr>
          <w:rFonts w:ascii="Times New Roman" w:eastAsia="Times New Roman" w:hAnsi="Times New Roman" w:cs="Times New Roman"/>
        </w:rPr>
        <w:t xml:space="preserve">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Facts relied upon in such motions must be supported by documentation or affidavits.  </w:t>
      </w:r>
      <w:proofErr w:type="gramStart"/>
      <w:r w:rsidRPr="008725EE">
        <w:rPr>
          <w:rFonts w:ascii="Times New Roman" w:eastAsia="Times New Roman" w:hAnsi="Times New Roman" w:cs="Times New Roman"/>
        </w:rPr>
        <w:t>47 C.F.R. § 1.727(b).</w:t>
      </w:r>
      <w:proofErr w:type="gramEnd"/>
      <w:r w:rsidRPr="008725EE">
        <w:rPr>
          <w:rFonts w:ascii="Times New Roman" w:eastAsia="Times New Roman" w:hAnsi="Times New Roman" w:cs="Times New Roman"/>
        </w:rPr>
        <w:t xml:space="preserve">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Oppositions to motions must be made within five business days of the motion’s filing.  </w:t>
      </w:r>
      <w:proofErr w:type="gramStart"/>
      <w:r w:rsidRPr="008725EE">
        <w:rPr>
          <w:rFonts w:ascii="Times New Roman" w:eastAsia="Times New Roman" w:hAnsi="Times New Roman" w:cs="Times New Roman"/>
        </w:rPr>
        <w:t>47 C.F.R. § 1.727(e).</w:t>
      </w:r>
      <w:proofErr w:type="gramEnd"/>
      <w:r w:rsidRPr="008725EE">
        <w:rPr>
          <w:rFonts w:ascii="Times New Roman" w:eastAsia="Times New Roman" w:hAnsi="Times New Roman" w:cs="Times New Roman"/>
        </w:rPr>
        <w:t xml:space="preserve">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All motions and oppositions to motions must contain proposed orders, in hard copy and on disk.  </w:t>
      </w:r>
      <w:proofErr w:type="gramStart"/>
      <w:r w:rsidRPr="008725EE">
        <w:rPr>
          <w:rFonts w:ascii="Times New Roman" w:eastAsia="Times New Roman" w:hAnsi="Times New Roman" w:cs="Times New Roman"/>
        </w:rPr>
        <w:t>47 C.F.R. § 1.727(c), (d).</w:t>
      </w:r>
      <w:proofErr w:type="gramEnd"/>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Parties may file with their initial pleadings requests for interrogatories seeking discovery of non-privileged matter that is relevant to the material facts in dispute in the proceeding; the complainant may file within three days of defendant’s answer a further request for interrogatories.  47 C.F.R. § 1.729(a).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The responding party must file and serve any opposition/objection to the requests for interrogatories.  </w:t>
      </w:r>
      <w:proofErr w:type="gramStart"/>
      <w:r w:rsidRPr="008725EE">
        <w:rPr>
          <w:rFonts w:ascii="Times New Roman" w:eastAsia="Times New Roman" w:hAnsi="Times New Roman" w:cs="Times New Roman"/>
        </w:rPr>
        <w:t>47 C.F.R. § 1.729(c).</w:t>
      </w:r>
      <w:proofErr w:type="gramEnd"/>
      <w:r w:rsidRPr="008725EE">
        <w:rPr>
          <w:rFonts w:ascii="Times New Roman" w:eastAsia="Times New Roman" w:hAnsi="Times New Roman" w:cs="Times New Roman"/>
        </w:rPr>
        <w:t xml:space="preserve">  Interrogatories that the Commission orders to be answered are to be answered separately and fully in writing under oath.  </w:t>
      </w:r>
      <w:proofErr w:type="gramStart"/>
      <w:r w:rsidRPr="008725EE">
        <w:rPr>
          <w:rFonts w:ascii="Times New Roman" w:eastAsia="Times New Roman" w:hAnsi="Times New Roman" w:cs="Times New Roman"/>
        </w:rPr>
        <w:t>47 C.F.R. § 1.729(d), (e).</w:t>
      </w:r>
      <w:proofErr w:type="gramEnd"/>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A party may file a Motion to </w:t>
      </w:r>
      <w:proofErr w:type="gramStart"/>
      <w:r w:rsidRPr="008725EE">
        <w:rPr>
          <w:rFonts w:ascii="Times New Roman" w:eastAsia="Times New Roman" w:hAnsi="Times New Roman" w:cs="Times New Roman"/>
        </w:rPr>
        <w:t>Compel</w:t>
      </w:r>
      <w:proofErr w:type="gramEnd"/>
      <w:r w:rsidRPr="008725EE">
        <w:rPr>
          <w:rFonts w:ascii="Times New Roman" w:eastAsia="Times New Roman" w:hAnsi="Times New Roman" w:cs="Times New Roman"/>
        </w:rPr>
        <w:t xml:space="preserve"> if the response to its interrogatories is inadequate.  47 C.F.R. § 1.729(f).</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lastRenderedPageBreak/>
        <w:t>The Commission may order further discovery.  47 C.F.R. § 1.729(h).</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may be required to file briefs summarizing the facts and issues presented in the pleadings and other record evidence.  47 C.F.R. § 1.732(a).  The briefs must include all relevant documents as well as proposed findings of fact and conclusions of law.  47 C.F.R. § 1.732(b).</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Commission may require the parties to submit additional information.  47 C.F.R. § 1.729(g).</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Before the initial status conference, the parties must discuss, and attempt to reach agreement on discovery issues and the factual issues to which they can stipulate.  Following that meeting, and at least two days before the initial status conference, they must submit to the staff  a joint statement of stipulated facts, disputed facts, and key legal issues.  47 C.F.R. §§ 1.732(h), 1.733(a).</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Following the initial status conference, the parties must submit either (1) a joint proposed order memorializing the oral rulings made during the conference to the Commission (within one business day); 47 C.F.R. § 1.733(f)(1); or (2) a transcript of an audio recording of the status conference (within three business days).  47 C.F.R. § 1.733(f</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2).</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5"/>
        </w:numPr>
        <w:spacing w:after="0" w:line="240" w:lineRule="auto"/>
        <w:ind w:hanging="360"/>
        <w:rPr>
          <w:rFonts w:ascii="Times New Roman" w:eastAsia="Times New Roman" w:hAnsi="Times New Roman" w:cs="Times New Roman"/>
        </w:rPr>
      </w:pPr>
      <w:r w:rsidRPr="008725EE">
        <w:rPr>
          <w:rFonts w:ascii="Times New Roman" w:eastAsia="Times New Roman" w:hAnsi="Times New Roman" w:cs="Times New Roman"/>
        </w:rPr>
        <w:t>Accelerated Docket Proceedings: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to formal complaint proceedings may request that their dispute be included on the Commission’s Accelerated Docket (“AD”).  Many, but not all, of the requirements outlined above apply to AD proceedings (albeit with shorter pleading deadlines), and certain other procedural rules (discussed below) apply that do not apply to other formal complaint proceedings.  47 C.F.R. § 1.730(a).</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w:t>
      </w: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Any party that contemplates filing a formal complaint and wishes to have the complaint included on the AD must transmit a request so stating, by phone or in writing, to the Chief of the Enforcement Bureau’s Market Disputes Resolution Division.  47 C.F.R. § 1.730(b).  A defendant to a complaint proceeding may request in writing inclusion of the proceeding on the AD.  47 C.F.R. § 1.730(c).</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If a matter is accepted for handling on the AD, the complainant must file with its complaint a letter stating that it has gained admission on the AD.  47 C.F.R. § 1.730(b).</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Two days before the initial status conference, parties to an AD proceeding must submit a joint statement detailing the agreements that they have reached with respect to discovery, the facts to which they have agreed to stipulate, and the disputed facts or legal issues of which they can agree to a joint statement.  47 C.F.R. § 1.733(</w:t>
      </w:r>
      <w:proofErr w:type="spellStart"/>
      <w:r w:rsidRPr="008725EE">
        <w:rPr>
          <w:rFonts w:ascii="Times New Roman" w:eastAsia="Times New Roman" w:hAnsi="Times New Roman" w:cs="Times New Roman"/>
        </w:rPr>
        <w:t>i</w:t>
      </w:r>
      <w:proofErr w:type="spellEnd"/>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3).</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Each party to an AD proceeding also must submit two days before the initial status conference a separate statement of the disputed facts and legal issues presented by the complaint proceeding, any additional discovery that the party seeks, any reply (if applicable) to affirmative defenses contained in the answer (including witness and document information), and, if a defendant, any expert evidence.  47 C.F.R. § 1.734(</w:t>
      </w:r>
      <w:proofErr w:type="spellStart"/>
      <w:r w:rsidRPr="008725EE">
        <w:rPr>
          <w:rFonts w:ascii="Times New Roman" w:eastAsia="Times New Roman" w:hAnsi="Times New Roman" w:cs="Times New Roman"/>
        </w:rPr>
        <w:t>i</w:t>
      </w:r>
      <w:proofErr w:type="spellEnd"/>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4).</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lastRenderedPageBreak/>
        <w:t>Parties to an AD proceeding must serve with their complaint, answer, or pre-status-conference filing all documents in their possession, custody, or control that are likely to bear significantly on the issues raised in their respective pleadings.  47 C.F.R. §§ 1.721(f</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2)(</w:t>
      </w:r>
      <w:proofErr w:type="spellStart"/>
      <w:r w:rsidRPr="008725EE">
        <w:rPr>
          <w:rFonts w:ascii="Times New Roman" w:eastAsia="Times New Roman" w:hAnsi="Times New Roman" w:cs="Times New Roman"/>
        </w:rPr>
        <w:t>i</w:t>
      </w:r>
      <w:proofErr w:type="spellEnd"/>
      <w:r w:rsidRPr="008725EE">
        <w:rPr>
          <w:rFonts w:ascii="Times New Roman" w:eastAsia="Times New Roman" w:hAnsi="Times New Roman" w:cs="Times New Roman"/>
        </w:rPr>
        <w:t>), 1.724(k)(7), 1.726(g)(4), 1.729(</w:t>
      </w:r>
      <w:proofErr w:type="spellStart"/>
      <w:r w:rsidRPr="008725EE">
        <w:rPr>
          <w:rFonts w:ascii="Times New Roman" w:eastAsia="Times New Roman" w:hAnsi="Times New Roman" w:cs="Times New Roman"/>
        </w:rPr>
        <w:t>i</w:t>
      </w:r>
      <w:proofErr w:type="spellEnd"/>
      <w:r w:rsidRPr="008725EE">
        <w:rPr>
          <w:rFonts w:ascii="Times New Roman" w:eastAsia="Times New Roman" w:hAnsi="Times New Roman" w:cs="Times New Roman"/>
        </w:rPr>
        <w:t>)(1).</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to an AD proceeding may request in their pre-status-conference filing the production of additional documents or leave to propound a limited number of interrogatories or to conduct a reasonable number of depositions.  47 C.F.R. §§ 1.729(</w:t>
      </w:r>
      <w:proofErr w:type="spellStart"/>
      <w:r w:rsidRPr="008725EE">
        <w:rPr>
          <w:rFonts w:ascii="Times New Roman" w:eastAsia="Times New Roman" w:hAnsi="Times New Roman" w:cs="Times New Roman"/>
        </w:rPr>
        <w:t>i</w:t>
      </w:r>
      <w:proofErr w:type="spellEnd"/>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2), (3), 1.733(</w:t>
      </w:r>
      <w:proofErr w:type="spellStart"/>
      <w:r w:rsidRPr="008725EE">
        <w:rPr>
          <w:rFonts w:ascii="Times New Roman" w:eastAsia="Times New Roman" w:hAnsi="Times New Roman" w:cs="Times New Roman"/>
        </w:rPr>
        <w:t>i</w:t>
      </w:r>
      <w:proofErr w:type="spellEnd"/>
      <w:r w:rsidRPr="008725EE">
        <w:rPr>
          <w:rFonts w:ascii="Times New Roman" w:eastAsia="Times New Roman" w:hAnsi="Times New Roman" w:cs="Times New Roman"/>
        </w:rPr>
        <w:t>)(4).</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Commission may conduct a mini-trial (</w:t>
      </w:r>
      <w:r w:rsidRPr="008725EE">
        <w:rPr>
          <w:rFonts w:ascii="Times New Roman" w:eastAsia="Times New Roman" w:hAnsi="Times New Roman" w:cs="Times New Roman"/>
          <w:i/>
        </w:rPr>
        <w:t>i.e.</w:t>
      </w:r>
      <w:r w:rsidRPr="008725EE">
        <w:rPr>
          <w:rFonts w:ascii="Times New Roman" w:eastAsia="Times New Roman" w:hAnsi="Times New Roman" w:cs="Times New Roman"/>
        </w:rPr>
        <w:t xml:space="preserve">, hearing) in AD proceedings during which parties present evidence and argument in support of their cases.  Three days before the mini-trial, parties are required to exchange exhibits that they may introduce during the </w:t>
      </w:r>
      <w:proofErr w:type="spellStart"/>
      <w:r w:rsidRPr="008725EE">
        <w:rPr>
          <w:rFonts w:ascii="Times New Roman" w:eastAsia="Times New Roman" w:hAnsi="Times New Roman" w:cs="Times New Roman"/>
        </w:rPr>
        <w:t>proceeding</w:t>
      </w:r>
      <w:proofErr w:type="spellEnd"/>
      <w:r w:rsidRPr="008725EE">
        <w:rPr>
          <w:rFonts w:ascii="Times New Roman" w:eastAsia="Times New Roman" w:hAnsi="Times New Roman" w:cs="Times New Roman"/>
        </w:rPr>
        <w:t xml:space="preserve"> and lists of witnesses whom they may call.  47 C.F.R. § 1.730(g</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3).</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to an AD proceeding must submit proposed findings of fact and conclusions of law no less than two days before the beginning of the mini-trial.  47 C.F.R. § 1.730(g</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 xml:space="preserve">5).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may, but are not required to, submit revised proposed findings of fact and conclusions of law within three days after the conclusion of the mini-trial.  47 C.F.R. § 1.730(g).  Separate briefs are not permitted in AD proceedings in which a mini-trial is held.  47 C.F.R. § 1.730(g</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1).</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Parties to an AD proceeding must arrange for the preparation of, and file with the Commission three days after the mini-trial, a stenographic transcript of the mini-trial proceedings.  47 C.F.R. § 1.730(g</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6).</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1"/>
          <w:numId w:val="5"/>
        </w:num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A party to an AD proceeding that wishes to obtain review of a staff decision issued on delegated authority must file an application for review within 15 days of notice of the decision.  47 C.F.R. § 1.730(h).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Similarly, challenges to a recommended staff decision (relating to issues that may not be decided on delegated authority) must be filed as comments within 15 days of the release of the staff recommended decision.</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Opposition comments may be filed within 15 days, and reply comments with ten days.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br w:type="page"/>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B. Non-substantive Modifications to Formal Complaint Intake Form 485: </w:t>
      </w:r>
    </w:p>
    <w:p w:rsidR="008725EE" w:rsidRPr="008725EE" w:rsidRDefault="008725EE" w:rsidP="008725EE">
      <w:pPr>
        <w:spacing w:after="0" w:line="240" w:lineRule="auto"/>
        <w:rPr>
          <w:rFonts w:ascii="Times New Roman" w:eastAsia="Times New Roman" w:hAnsi="Times New Roman" w:cs="Times New Roman"/>
          <w:sz w:val="24"/>
          <w:szCs w:val="20"/>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No changes to the rules were made.  In Item 14 of this Supporting Statement, the agency modified the reported hours and cost burden that staff spends reviewing complaint filings from 24 to 48 hours.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The following changes were made to Form 485: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numPr>
          <w:ilvl w:val="0"/>
          <w:numId w:val="8"/>
        </w:numPr>
        <w:spacing w:after="0" w:line="240" w:lineRule="auto"/>
        <w:contextualSpacing/>
        <w:rPr>
          <w:rFonts w:ascii="Times New Roman" w:eastAsia="Times New Roman" w:hAnsi="Times New Roman" w:cs="Times New Roman"/>
        </w:rPr>
      </w:pPr>
      <w:r w:rsidRPr="008725EE">
        <w:rPr>
          <w:rFonts w:ascii="Times New Roman" w:eastAsia="Times New Roman" w:hAnsi="Times New Roman" w:cs="Times New Roman"/>
        </w:rPr>
        <w:t xml:space="preserve">Title of the form was changed from Formal Complaint Intake Form to Section 208 Formal Complaint Intake Form. </w:t>
      </w:r>
    </w:p>
    <w:p w:rsidR="008725EE" w:rsidRPr="008725EE" w:rsidRDefault="008725EE" w:rsidP="008725EE">
      <w:pPr>
        <w:numPr>
          <w:ilvl w:val="0"/>
          <w:numId w:val="8"/>
        </w:numPr>
        <w:spacing w:after="0" w:line="240" w:lineRule="auto"/>
        <w:contextualSpacing/>
        <w:rPr>
          <w:rFonts w:ascii="Times New Roman" w:eastAsia="Times New Roman" w:hAnsi="Times New Roman" w:cs="Times New Roman"/>
        </w:rPr>
      </w:pPr>
      <w:r w:rsidRPr="008725EE">
        <w:rPr>
          <w:rFonts w:ascii="Times New Roman" w:eastAsia="Times New Roman" w:hAnsi="Times New Roman" w:cs="Times New Roman"/>
        </w:rPr>
        <w:t>Date of form was changed from May 1999 to June 2014.</w:t>
      </w:r>
    </w:p>
    <w:p w:rsidR="008725EE" w:rsidRPr="008725EE" w:rsidRDefault="008725EE" w:rsidP="008725EE">
      <w:pPr>
        <w:numPr>
          <w:ilvl w:val="0"/>
          <w:numId w:val="8"/>
        </w:numPr>
        <w:spacing w:after="0" w:line="240" w:lineRule="auto"/>
        <w:contextualSpacing/>
        <w:rPr>
          <w:rFonts w:ascii="Times New Roman" w:eastAsia="Times New Roman" w:hAnsi="Times New Roman" w:cs="Times New Roman"/>
        </w:rPr>
      </w:pPr>
      <w:r w:rsidRPr="008725EE">
        <w:rPr>
          <w:rFonts w:ascii="Times New Roman" w:eastAsia="Times New Roman" w:hAnsi="Times New Roman" w:cs="Times New Roman"/>
        </w:rPr>
        <w:t>Item 5: Replaced the letter “l” with the number “1” to correct citation.</w:t>
      </w:r>
    </w:p>
    <w:p w:rsidR="008725EE" w:rsidRPr="008725EE" w:rsidRDefault="008725EE" w:rsidP="008725EE">
      <w:pPr>
        <w:numPr>
          <w:ilvl w:val="0"/>
          <w:numId w:val="8"/>
        </w:numPr>
        <w:spacing w:after="0" w:line="240" w:lineRule="auto"/>
        <w:contextualSpacing/>
        <w:rPr>
          <w:rFonts w:ascii="Times New Roman" w:eastAsia="Times New Roman" w:hAnsi="Times New Roman" w:cs="Times New Roman"/>
        </w:rPr>
      </w:pPr>
      <w:r w:rsidRPr="008725EE">
        <w:rPr>
          <w:rFonts w:ascii="Times New Roman" w:eastAsia="Times New Roman" w:hAnsi="Times New Roman" w:cs="Times New Roman"/>
        </w:rPr>
        <w:t>Item 7 (d</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1): Replaced the letter “l” with the number “1” to correct paragraph.</w:t>
      </w:r>
    </w:p>
    <w:p w:rsidR="008725EE" w:rsidRPr="008725EE" w:rsidRDefault="008725EE" w:rsidP="008725EE">
      <w:pPr>
        <w:numPr>
          <w:ilvl w:val="0"/>
          <w:numId w:val="8"/>
        </w:numPr>
        <w:spacing w:after="0" w:line="240" w:lineRule="auto"/>
        <w:contextualSpacing/>
        <w:rPr>
          <w:rFonts w:ascii="Times New Roman" w:eastAsia="Times New Roman" w:hAnsi="Times New Roman" w:cs="Times New Roman"/>
        </w:rPr>
      </w:pPr>
      <w:r w:rsidRPr="008725EE">
        <w:rPr>
          <w:rFonts w:ascii="Times New Roman" w:eastAsia="Times New Roman" w:hAnsi="Times New Roman" w:cs="Times New Roman"/>
        </w:rPr>
        <w:t>Item 7 (</w:t>
      </w:r>
      <w:proofErr w:type="spellStart"/>
      <w:r w:rsidRPr="008725EE">
        <w:rPr>
          <w:rFonts w:ascii="Times New Roman" w:eastAsia="Times New Roman" w:hAnsi="Times New Roman" w:cs="Times New Roman"/>
        </w:rPr>
        <w:t>i</w:t>
      </w:r>
      <w:proofErr w:type="spellEnd"/>
      <w:r w:rsidRPr="008725EE">
        <w:rPr>
          <w:rFonts w:ascii="Times New Roman" w:eastAsia="Times New Roman" w:hAnsi="Times New Roman" w:cs="Times New Roman"/>
        </w:rPr>
        <w:t xml:space="preserve">): Added missing citation for existing service requirement. </w:t>
      </w:r>
    </w:p>
    <w:p w:rsidR="008725EE" w:rsidRPr="008725EE" w:rsidRDefault="008725EE" w:rsidP="008725EE">
      <w:pPr>
        <w:numPr>
          <w:ilvl w:val="0"/>
          <w:numId w:val="8"/>
        </w:numPr>
        <w:spacing w:after="0" w:line="240" w:lineRule="auto"/>
        <w:contextualSpacing/>
        <w:rPr>
          <w:rFonts w:ascii="Times New Roman" w:eastAsia="Times New Roman" w:hAnsi="Times New Roman" w:cs="Times New Roman"/>
        </w:rPr>
      </w:pPr>
      <w:r w:rsidRPr="008725EE">
        <w:rPr>
          <w:rFonts w:ascii="Times New Roman" w:eastAsia="Times New Roman" w:hAnsi="Times New Roman" w:cs="Times New Roman"/>
        </w:rPr>
        <w:t>Item 7 (j): Corrected citation and added second related citation.</w:t>
      </w:r>
    </w:p>
    <w:p w:rsidR="008725EE" w:rsidRPr="008725EE" w:rsidRDefault="008725EE" w:rsidP="00A510ED">
      <w:pPr>
        <w:spacing w:after="0" w:line="240" w:lineRule="auto"/>
        <w:ind w:left="360" w:firstLine="720"/>
        <w:rPr>
          <w:rFonts w:ascii="Times New Roman" w:eastAsia="Times New Roman" w:hAnsi="Times New Roman" w:cs="Times New Roman"/>
        </w:rPr>
      </w:pPr>
      <w:r w:rsidRPr="008725EE">
        <w:rPr>
          <w:rFonts w:ascii="Times New Roman" w:eastAsia="Times New Roman" w:hAnsi="Times New Roman" w:cs="Times New Roman"/>
        </w:rPr>
        <w:t xml:space="preserve">7.    Item 11: Replaced letters “II” with numbers “11”.  </w:t>
      </w:r>
    </w:p>
    <w:p w:rsidR="008725EE" w:rsidRPr="008725EE" w:rsidRDefault="008725EE" w:rsidP="00A510ED">
      <w:pPr>
        <w:spacing w:after="0" w:line="240" w:lineRule="auto"/>
        <w:ind w:left="360" w:firstLine="720"/>
        <w:rPr>
          <w:rFonts w:ascii="Times New Roman" w:eastAsia="Times New Roman" w:hAnsi="Times New Roman" w:cs="Times New Roman"/>
        </w:rPr>
      </w:pPr>
      <w:r w:rsidRPr="008725EE">
        <w:rPr>
          <w:rFonts w:ascii="Times New Roman" w:eastAsia="Times New Roman" w:hAnsi="Times New Roman" w:cs="Times New Roman"/>
        </w:rPr>
        <w:t xml:space="preserve">8.   Email address for FCC Paperwork Reduction Act contact was updated in the Instructions.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As noted on the Form OMB 83-I, the information collection requirements described above may affect individuals or households.  As required by the Privacy Act of 1974, as amended, 5 U.S.C. 552a, and OMB regulations, M-03-22 (September 22, 2003), the FCC has completed both a system of records, FCC/EB-5, “Enforcement Bureau Activity Tracking System,” and is drafting an update to the existing  Privacy Impact Assessment (PIA), that cover the collection, maintenance, use, and disposal of all personally identifiable information PII that may be submitted as part of a formal complaint: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 xml:space="preserve">(a)  The system of records notice (SORN), FCC/EB-5, “Enforcement Bureau Activity Tracking System (EBATS),” was published in the </w:t>
      </w:r>
      <w:r w:rsidRPr="008725EE">
        <w:rPr>
          <w:rFonts w:ascii="Times New Roman" w:eastAsia="Times New Roman" w:hAnsi="Times New Roman" w:cs="Times New Roman"/>
          <w:i/>
        </w:rPr>
        <w:t>Federal Register</w:t>
      </w:r>
      <w:r w:rsidRPr="008725EE">
        <w:rPr>
          <w:rFonts w:ascii="Times New Roman" w:eastAsia="Times New Roman" w:hAnsi="Times New Roman" w:cs="Times New Roman"/>
        </w:rPr>
        <w:t xml:space="preserve"> on December 14, 2010 (75 FR </w:t>
      </w:r>
      <w:r w:rsidRPr="008725EE">
        <w:rPr>
          <w:rFonts w:ascii="Times New Roman" w:eastAsia="Times New Roman" w:hAnsi="Times New Roman" w:cs="Times New Roman"/>
          <w:bCs/>
        </w:rPr>
        <w:t>77872</w:t>
      </w:r>
      <w:r w:rsidRPr="008725EE">
        <w:rPr>
          <w:rFonts w:ascii="Times New Roman" w:eastAsia="Times New Roman" w:hAnsi="Times New Roman" w:cs="Times New Roman"/>
        </w:rPr>
        <w:t xml:space="preserve">) and became effective on January 24, 2011.  It is posted on the FCC’s Privacy Act webpage at: </w:t>
      </w:r>
      <w:r w:rsidRPr="008725EE">
        <w:rPr>
          <w:rFonts w:ascii="Times New Roman" w:eastAsia="Times New Roman" w:hAnsi="Times New Roman" w:cs="Times New Roman"/>
          <w:color w:val="0000FF"/>
          <w:u w:val="single"/>
        </w:rPr>
        <w:t>http://www.fcc.gov/omd/privacyact/records-systems.html.</w:t>
      </w:r>
      <w:r w:rsidRPr="008725EE">
        <w:rPr>
          <w:rFonts w:ascii="Times New Roman" w:eastAsia="Times New Roman" w:hAnsi="Times New Roman" w:cs="Times New Roman"/>
        </w:rPr>
        <w:t xml:space="preserve">  </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 xml:space="preserve">(b) The initial Privacy Impact Assessment (PIA) was completed on May 22, 2009.  However, with the approval of the FCC/EB-5, “EBATS,” on January 24, 2011 and supplementation expected in </w:t>
      </w:r>
      <w:proofErr w:type="gramStart"/>
      <w:r w:rsidRPr="008725EE">
        <w:rPr>
          <w:rFonts w:ascii="Times New Roman" w:eastAsia="Times New Roman" w:hAnsi="Times New Roman" w:cs="Times New Roman"/>
        </w:rPr>
        <w:t>Fall</w:t>
      </w:r>
      <w:proofErr w:type="gramEnd"/>
      <w:r w:rsidRPr="008725EE">
        <w:rPr>
          <w:rFonts w:ascii="Times New Roman" w:eastAsia="Times New Roman" w:hAnsi="Times New Roman" w:cs="Times New Roman"/>
        </w:rPr>
        <w:t xml:space="preserve"> 2014, the Commission is now updating the PIA to include the information that is contained in this SORN.</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uppressAutoHyphens/>
        <w:spacing w:after="0" w:line="240" w:lineRule="auto"/>
        <w:rPr>
          <w:rFonts w:ascii="Times New Roman" w:eastAsia="Times New Roman" w:hAnsi="Times New Roman" w:cs="Times New Roman"/>
          <w:color w:val="FF0000"/>
          <w:sz w:val="24"/>
          <w:szCs w:val="24"/>
        </w:rPr>
      </w:pPr>
      <w:r w:rsidRPr="008725EE">
        <w:rPr>
          <w:rFonts w:ascii="Times New Roman" w:eastAsia="Times New Roman" w:hAnsi="Times New Roman" w:cs="Times New Roman"/>
          <w:sz w:val="24"/>
          <w:szCs w:val="24"/>
        </w:rPr>
        <w:t>Statutory authority for this information collection is contained in 47 U.S.C. 151, 154(</w:t>
      </w:r>
      <w:proofErr w:type="spellStart"/>
      <w:r w:rsidRPr="008725EE">
        <w:rPr>
          <w:rFonts w:ascii="Times New Roman" w:eastAsia="Times New Roman" w:hAnsi="Times New Roman" w:cs="Times New Roman"/>
          <w:sz w:val="24"/>
          <w:szCs w:val="24"/>
        </w:rPr>
        <w:t>i</w:t>
      </w:r>
      <w:proofErr w:type="spellEnd"/>
      <w:r w:rsidRPr="008725EE">
        <w:rPr>
          <w:rFonts w:ascii="Times New Roman" w:eastAsia="Times New Roman" w:hAnsi="Times New Roman" w:cs="Times New Roman"/>
          <w:sz w:val="24"/>
          <w:szCs w:val="24"/>
        </w:rPr>
        <w:t>), 154(j),</w:t>
      </w:r>
      <w:r w:rsidRPr="008725EE">
        <w:rPr>
          <w:rFonts w:ascii="Times New Roman" w:eastAsia="Times New Roman" w:hAnsi="Times New Roman" w:cs="Times New Roman"/>
          <w:color w:val="FF0000"/>
          <w:sz w:val="24"/>
          <w:szCs w:val="24"/>
        </w:rPr>
        <w:t xml:space="preserve"> </w:t>
      </w:r>
      <w:r w:rsidRPr="008725EE">
        <w:rPr>
          <w:rFonts w:ascii="Times New Roman" w:eastAsia="Times New Roman" w:hAnsi="Times New Roman" w:cs="Times New Roman"/>
          <w:sz w:val="24"/>
          <w:szCs w:val="24"/>
        </w:rPr>
        <w:t>206, 207, 208, 209,</w:t>
      </w:r>
      <w:r w:rsidRPr="008725EE">
        <w:rPr>
          <w:rFonts w:ascii="Times New Roman" w:eastAsia="Times New Roman" w:hAnsi="Times New Roman" w:cs="Times New Roman"/>
          <w:color w:val="FF0000"/>
          <w:sz w:val="24"/>
          <w:szCs w:val="24"/>
        </w:rPr>
        <w:t xml:space="preserve"> </w:t>
      </w:r>
      <w:r w:rsidRPr="008725EE">
        <w:rPr>
          <w:rFonts w:ascii="Times New Roman" w:eastAsia="Times New Roman" w:hAnsi="Times New Roman" w:cs="Times New Roman"/>
          <w:sz w:val="24"/>
          <w:szCs w:val="24"/>
        </w:rPr>
        <w:t>301, 303, 304, 309, 316, 332, and 1302.</w:t>
      </w:r>
    </w:p>
    <w:p w:rsidR="008725EE" w:rsidRPr="008725EE" w:rsidRDefault="008725EE" w:rsidP="008725EE">
      <w:pPr>
        <w:spacing w:after="0" w:line="240" w:lineRule="auto"/>
        <w:jc w:val="center"/>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2.</w:t>
      </w:r>
      <w:r w:rsidRPr="008725EE">
        <w:rPr>
          <w:rFonts w:ascii="Times New Roman" w:eastAsia="Times New Roman" w:hAnsi="Times New Roman" w:cs="Times New Roman"/>
        </w:rPr>
        <w:tab/>
        <w:t>The Commission uses the information detailed in the Justification to determine the sufficiency of complaints and to resolve the merits of disputes between parties.  Orders issued by the Commission in formal complaint proceedings are based upon evidence and argument produced by the parties in accordance with the Formal Complaint Rules.  If the information were not collected, the Commission would not be able to resolve common carrier related complaint proceedings required by Section 208, or the complaints against commercial mobile data service providers that will be critically important to ensure compliance with the data roaming rule, 47 C.F.R. § 20.12(e).</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3.</w:t>
      </w:r>
      <w:r w:rsidRPr="008725EE">
        <w:rPr>
          <w:rFonts w:ascii="Times New Roman" w:eastAsia="Times New Roman" w:hAnsi="Times New Roman" w:cs="Times New Roman"/>
        </w:rPr>
        <w:tab/>
        <w:t xml:space="preserve">The Formal Complaint Rules require the submission of proposed orders on computer disk, in addition to hard copy (47 C.F.R. § 1.734(d)).  The Commission may waive this requirement upon a showing of good cause (47 C.F.R. § 1.734(d)).  Parties may serve certain documents on each other by facsimile </w:t>
      </w:r>
      <w:r w:rsidRPr="008725EE">
        <w:rPr>
          <w:rFonts w:ascii="Times New Roman" w:eastAsia="Times New Roman" w:hAnsi="Times New Roman" w:cs="Times New Roman"/>
        </w:rPr>
        <w:lastRenderedPageBreak/>
        <w:t>(47 C.F.R. § 1.735(f</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3)).  Additionally, the FCC Form 485 is posted on the FCC website for downloading and printing.</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4.</w:t>
      </w:r>
      <w:r w:rsidRPr="008725EE">
        <w:rPr>
          <w:rFonts w:ascii="Times New Roman" w:eastAsia="Times New Roman" w:hAnsi="Times New Roman" w:cs="Times New Roman"/>
        </w:rPr>
        <w:tab/>
        <w:t>A complainant must state whether suit has been filed in any court or other government agency based on the same claim or set of facts, or whether the complaint seeks prospective relief identical to the relief proposed or at issue in another proceeding before the Commission.  47 C.F.R. § 1.721(a</w:t>
      </w:r>
      <w:proofErr w:type="gramStart"/>
      <w:r w:rsidRPr="008725EE">
        <w:rPr>
          <w:rFonts w:ascii="Times New Roman" w:eastAsia="Times New Roman" w:hAnsi="Times New Roman" w:cs="Times New Roman"/>
        </w:rPr>
        <w:t>)(</w:t>
      </w:r>
      <w:proofErr w:type="gramEnd"/>
      <w:r w:rsidRPr="008725EE">
        <w:rPr>
          <w:rFonts w:ascii="Times New Roman" w:eastAsia="Times New Roman" w:hAnsi="Times New Roman" w:cs="Times New Roman"/>
        </w:rPr>
        <w:t>9).  Thus, the Commission attempts to identify duplication.  If there are no duplicative proceedings, it is unlikely that information similar to the information that is obtained via the Formal Complaint Rules is already available.  Each dispute involves individual parties and unique facts, and, as stated above, it is essential that the Commission develop an adequate legal and factual record in order to adjudicate disputes and, in the event of a meritorious complaint, determine appropriate remedies.</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5.</w:t>
      </w:r>
      <w:r w:rsidRPr="008725EE">
        <w:rPr>
          <w:rFonts w:ascii="Times New Roman" w:eastAsia="Times New Roman" w:hAnsi="Times New Roman" w:cs="Times New Roman"/>
        </w:rPr>
        <w:tab/>
        <w:t>The Formal Complaint Rules require complainants and defendants to support factual allegations in their pleadings, through documentation and affidavits, and to identify individuals with knowledge, and describe all relevant documents early in the process.  The Formal Complaint Rules seek to eliminate or reduce significantly the need for multiple rounds of discovery requests and protracted discovery disputes, thereby significantly reducing the burden on small business entities.</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6.</w:t>
      </w:r>
      <w:r w:rsidRPr="008725EE">
        <w:rPr>
          <w:rFonts w:ascii="Times New Roman" w:eastAsia="Times New Roman" w:hAnsi="Times New Roman" w:cs="Times New Roman"/>
        </w:rPr>
        <w:tab/>
        <w:t>The Commission has no control over the frequency of complaints, which are filed within the sole discretion of a complaining party.  The filing of complaints depends entirely upon the complainant’s perception that it has a cause of action against a common carrier or a commercial mobile data service provider subject to the Communications Act of 1934, as amended.  If the information were not collected, the Commission would not be able to resolve common carrier related complaint proceedings required by Section 208, or the complaints against commercial mobile data service providers that will be critically important to ensure compliance with the data roaming rule, 47 C.F.R. § 20.12(e).</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7.</w:t>
      </w:r>
      <w:r w:rsidRPr="008725EE">
        <w:rPr>
          <w:rFonts w:ascii="Times New Roman" w:eastAsia="Times New Roman" w:hAnsi="Times New Roman" w:cs="Times New Roman"/>
        </w:rPr>
        <w:tab/>
      </w:r>
      <w:proofErr w:type="gramStart"/>
      <w:r w:rsidRPr="008725EE">
        <w:rPr>
          <w:rFonts w:ascii="Times New Roman" w:eastAsia="Times New Roman" w:hAnsi="Times New Roman" w:cs="Times New Roman"/>
        </w:rPr>
        <w:t>As</w:t>
      </w:r>
      <w:proofErr w:type="gramEnd"/>
      <w:r w:rsidRPr="008725EE">
        <w:rPr>
          <w:rFonts w:ascii="Times New Roman" w:eastAsia="Times New Roman" w:hAnsi="Times New Roman" w:cs="Times New Roman"/>
        </w:rPr>
        <w:t xml:space="preserve"> detailed above, the Commission has established certain response times during the pleading cycle that are less than 30 days.  These response times are necessary to the expeditious resolution of formal complaints (some of which are subject to statutory deadlines), and the response times are comparable to response times applicable to proceedings in federal district courts.</w:t>
      </w:r>
      <w:r w:rsidRPr="008725EE">
        <w:rPr>
          <w:rFonts w:ascii="Times New Roman" w:eastAsia="Times New Roman" w:hAnsi="Times New Roman" w:cs="Times New Roman"/>
          <w:vertAlign w:val="superscript"/>
        </w:rPr>
        <w:footnoteReference w:id="1"/>
      </w:r>
      <w:r w:rsidRPr="008725EE">
        <w:rPr>
          <w:rFonts w:ascii="Times New Roman" w:eastAsia="Times New Roman" w:hAnsi="Times New Roman" w:cs="Times New Roman"/>
        </w:rPr>
        <w:t xml:space="preserve"> </w:t>
      </w: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ab/>
      </w: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8.</w:t>
      </w:r>
      <w:r w:rsidRPr="008725EE">
        <w:rPr>
          <w:rFonts w:ascii="Times New Roman" w:eastAsia="Times New Roman" w:hAnsi="Times New Roman" w:cs="Times New Roman"/>
        </w:rPr>
        <w:tab/>
        <w:t xml:space="preserve">The Commission published a notice in the </w:t>
      </w:r>
      <w:r w:rsidRPr="008725EE">
        <w:rPr>
          <w:rFonts w:ascii="Times New Roman" w:eastAsia="Times New Roman" w:hAnsi="Times New Roman" w:cs="Times New Roman"/>
          <w:i/>
        </w:rPr>
        <w:t>Federal Register</w:t>
      </w:r>
      <w:r w:rsidRPr="008725EE">
        <w:rPr>
          <w:rFonts w:ascii="Times New Roman" w:eastAsia="Times New Roman" w:hAnsi="Times New Roman" w:cs="Times New Roman"/>
        </w:rPr>
        <w:t xml:space="preserve"> initiating a 60-day comment period on July 8, 2014.  No comments were received as a result of this notice.</w:t>
      </w:r>
      <w:r w:rsidRPr="008725EE">
        <w:rPr>
          <w:rFonts w:ascii="Times New Roman" w:eastAsia="Times New Roman" w:hAnsi="Times New Roman" w:cs="Times New Roman"/>
          <w:color w:val="FF0000"/>
        </w:rPr>
        <w:t xml:space="preserve">  </w:t>
      </w:r>
      <w:r w:rsidRPr="008725EE">
        <w:rPr>
          <w:rFonts w:ascii="Times New Roman" w:eastAsia="Times New Roman" w:hAnsi="Times New Roman" w:cs="Times New Roman"/>
        </w:rPr>
        <w:t>A copy of the notice is included in this submission to the OMB.</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9.</w:t>
      </w:r>
      <w:r w:rsidRPr="008725EE">
        <w:rPr>
          <w:rFonts w:ascii="Times New Roman" w:eastAsia="Times New Roman" w:hAnsi="Times New Roman" w:cs="Times New Roman"/>
        </w:rPr>
        <w:tab/>
        <w:t>No gifts or payments will be given to respondent for this collection.</w:t>
      </w:r>
    </w:p>
    <w:p w:rsidR="008725EE" w:rsidRPr="008725EE" w:rsidRDefault="008725EE" w:rsidP="0069615C">
      <w:pPr>
        <w:spacing w:after="0" w:line="240" w:lineRule="auto"/>
        <w:ind w:left="360" w:hanging="360"/>
        <w:rPr>
          <w:rFonts w:ascii="Times New Roman" w:eastAsia="Times New Roman" w:hAnsi="Times New Roman" w:cs="Times New Roman"/>
        </w:rPr>
      </w:pPr>
    </w:p>
    <w:p w:rsidR="008725EE" w:rsidRPr="008725EE" w:rsidRDefault="008725EE" w:rsidP="0069615C">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10.</w:t>
      </w:r>
      <w:r w:rsidRPr="008725EE">
        <w:rPr>
          <w:rFonts w:ascii="Times New Roman" w:eastAsia="Times New Roman" w:hAnsi="Times New Roman" w:cs="Times New Roman"/>
        </w:rPr>
        <w:tab/>
        <w:t xml:space="preserve">The Formal Complaint Rules contain a process by which confidential treatment can be afforded for material that a party believes in good faith falls within an exemption to disclosure under the Freedom </w:t>
      </w:r>
      <w:r w:rsidRPr="008725EE">
        <w:rPr>
          <w:rFonts w:ascii="Times New Roman" w:eastAsia="Times New Roman" w:hAnsi="Times New Roman" w:cs="Times New Roman"/>
        </w:rPr>
        <w:lastRenderedPageBreak/>
        <w:t xml:space="preserve">of Information Act.   </w:t>
      </w:r>
      <w:r w:rsidRPr="008725EE">
        <w:rPr>
          <w:rFonts w:ascii="Times New Roman" w:eastAsia="Times New Roman" w:hAnsi="Times New Roman" w:cs="Times New Roman"/>
          <w:i/>
        </w:rPr>
        <w:t xml:space="preserve">See </w:t>
      </w:r>
      <w:r w:rsidRPr="008725EE">
        <w:rPr>
          <w:rFonts w:ascii="Times New Roman" w:eastAsia="Times New Roman" w:hAnsi="Times New Roman" w:cs="Times New Roman"/>
        </w:rPr>
        <w:t xml:space="preserve">47 C.F.R. § 1.731.  In addition, the Commission has both a SORN and PIA to cover any PII that may be submitted, as noted in Question 1.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F42336">
      <w:pPr>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11.</w:t>
      </w:r>
      <w:r w:rsidRPr="008725EE">
        <w:rPr>
          <w:rFonts w:ascii="Times New Roman" w:eastAsia="Times New Roman" w:hAnsi="Times New Roman" w:cs="Times New Roman"/>
        </w:rPr>
        <w:tab/>
        <w:t>This collection may address personal matters of a sensitive nature such as PII.  As noted in Question 1, the FCC has both a SORN and a PIA to cover this PII.</w:t>
      </w:r>
    </w:p>
    <w:p w:rsidR="008725EE" w:rsidRPr="008725EE" w:rsidRDefault="008725EE" w:rsidP="00F42336">
      <w:pPr>
        <w:spacing w:after="0" w:line="240" w:lineRule="auto"/>
        <w:ind w:left="360" w:hanging="360"/>
        <w:rPr>
          <w:rFonts w:ascii="Times New Roman" w:eastAsia="Times New Roman" w:hAnsi="Times New Roman" w:cs="Times New Roman"/>
        </w:rPr>
      </w:pPr>
    </w:p>
    <w:p w:rsidR="008725EE" w:rsidRPr="008725EE" w:rsidRDefault="008725EE" w:rsidP="00F42336">
      <w:pPr>
        <w:suppressAutoHyphens/>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rPr>
        <w:t>12.</w:t>
      </w:r>
      <w:r w:rsidRPr="008725EE">
        <w:rPr>
          <w:rFonts w:ascii="Times New Roman" w:eastAsia="Times New Roman" w:hAnsi="Times New Roman" w:cs="Times New Roman"/>
        </w:rPr>
        <w:tab/>
        <w:t xml:space="preserve">The following represents the estimates of the hour burdens of the collections of information relating to regular formal complaint proceedings and complaints handled on the AD.  </w:t>
      </w:r>
    </w:p>
    <w:p w:rsidR="008725EE" w:rsidRPr="008725EE" w:rsidRDefault="008725EE" w:rsidP="00F42336">
      <w:pPr>
        <w:suppressAutoHyphens/>
        <w:spacing w:after="0" w:line="240" w:lineRule="auto"/>
        <w:ind w:left="360" w:hanging="360"/>
        <w:rPr>
          <w:rFonts w:ascii="Times New Roman" w:eastAsia="Times New Roman" w:hAnsi="Times New Roman" w:cs="Times New Roman"/>
        </w:rPr>
      </w:pPr>
    </w:p>
    <w:p w:rsidR="008725EE" w:rsidRPr="008725EE" w:rsidRDefault="008725EE" w:rsidP="00F42336">
      <w:pPr>
        <w:suppressAutoHyphens/>
        <w:spacing w:after="0" w:line="240" w:lineRule="auto"/>
        <w:ind w:left="360"/>
        <w:rPr>
          <w:rFonts w:ascii="Times New Roman" w:eastAsia="Times New Roman" w:hAnsi="Times New Roman" w:cs="Times New Roman"/>
        </w:rPr>
      </w:pPr>
      <w:r w:rsidRPr="008725EE">
        <w:rPr>
          <w:rFonts w:ascii="Times New Roman" w:eastAsia="Times New Roman" w:hAnsi="Times New Roman" w:cs="Times New Roman"/>
        </w:rPr>
        <w:t xml:space="preserve">The Commission estimates that 20 formal complaints will be filed each year, including FCC 485 forms with those complaints.  </w:t>
      </w:r>
    </w:p>
    <w:p w:rsidR="008725EE" w:rsidRPr="008725EE" w:rsidRDefault="008725EE" w:rsidP="00F42336">
      <w:pPr>
        <w:suppressAutoHyphens/>
        <w:spacing w:after="0" w:line="240" w:lineRule="auto"/>
        <w:ind w:left="360" w:hanging="360"/>
        <w:rPr>
          <w:rFonts w:ascii="Times New Roman" w:eastAsia="Times New Roman" w:hAnsi="Times New Roman" w:cs="Times New Roman"/>
        </w:rPr>
      </w:pPr>
    </w:p>
    <w:p w:rsidR="008725EE" w:rsidRPr="008725EE" w:rsidRDefault="008725EE" w:rsidP="00F42336">
      <w:pPr>
        <w:suppressAutoHyphens/>
        <w:spacing w:after="0" w:line="240" w:lineRule="auto"/>
        <w:ind w:left="360"/>
        <w:rPr>
          <w:rFonts w:ascii="Times New Roman" w:eastAsia="Times New Roman" w:hAnsi="Times New Roman" w:cs="Times New Roman"/>
        </w:rPr>
      </w:pPr>
      <w:r w:rsidRPr="008725EE">
        <w:rPr>
          <w:rFonts w:ascii="Times New Roman" w:eastAsia="Times New Roman" w:hAnsi="Times New Roman" w:cs="Times New Roman"/>
        </w:rPr>
        <w:t xml:space="preserve">In addition, the Commission estimates that 15 requests for consideration on the accelerated docket will be received, and that, as a result, 1 case will be accepted on the AD and 1 mini-trial will be held.  </w:t>
      </w:r>
    </w:p>
    <w:p w:rsidR="008725EE" w:rsidRPr="008725EE" w:rsidRDefault="008725EE" w:rsidP="00F42336">
      <w:pPr>
        <w:suppressAutoHyphens/>
        <w:spacing w:after="0" w:line="240" w:lineRule="auto"/>
        <w:ind w:left="360" w:hanging="360"/>
        <w:rPr>
          <w:rFonts w:ascii="Times New Roman" w:eastAsia="Times New Roman" w:hAnsi="Times New Roman" w:cs="Times New Roman"/>
        </w:rPr>
      </w:pPr>
    </w:p>
    <w:p w:rsidR="008725EE" w:rsidRPr="008725EE" w:rsidRDefault="008725EE" w:rsidP="00F42336">
      <w:pPr>
        <w:suppressAutoHyphens/>
        <w:spacing w:after="0" w:line="240" w:lineRule="auto"/>
        <w:ind w:left="360"/>
        <w:rPr>
          <w:rFonts w:ascii="Times New Roman" w:eastAsia="Times New Roman" w:hAnsi="Times New Roman" w:cs="Times New Roman"/>
          <w:spacing w:val="-3"/>
        </w:rPr>
      </w:pPr>
      <w:r w:rsidRPr="008725EE">
        <w:rPr>
          <w:rFonts w:ascii="Times New Roman" w:eastAsia="Times New Roman" w:hAnsi="Times New Roman" w:cs="Times New Roman"/>
        </w:rPr>
        <w:t xml:space="preserve">These estimates are </w:t>
      </w:r>
      <w:r w:rsidRPr="008725EE">
        <w:rPr>
          <w:rFonts w:ascii="Times New Roman" w:eastAsia="Times New Roman" w:hAnsi="Times New Roman" w:cs="Times New Roman"/>
          <w:spacing w:val="-3"/>
        </w:rPr>
        <w:t xml:space="preserve">based on FCC staff's knowledge and experience, as are the estimates of preparation times.  </w:t>
      </w:r>
    </w:p>
    <w:p w:rsidR="008725EE" w:rsidRPr="008725EE" w:rsidRDefault="008725EE" w:rsidP="00F42336">
      <w:pPr>
        <w:suppressAutoHyphens/>
        <w:spacing w:after="0" w:line="240" w:lineRule="auto"/>
        <w:ind w:left="360" w:hanging="360"/>
        <w:rPr>
          <w:rFonts w:ascii="Times New Roman" w:eastAsia="Times New Roman" w:hAnsi="Times New Roman" w:cs="Times New Roman"/>
          <w:spacing w:val="-3"/>
        </w:rPr>
      </w:pPr>
    </w:p>
    <w:p w:rsidR="008725EE" w:rsidRPr="008725EE" w:rsidRDefault="008725EE" w:rsidP="00E266D1">
      <w:pPr>
        <w:suppressAutoHyphens/>
        <w:spacing w:after="0" w:line="240" w:lineRule="auto"/>
        <w:ind w:firstLine="360"/>
        <w:rPr>
          <w:rFonts w:ascii="Times New Roman" w:eastAsia="Times New Roman" w:hAnsi="Times New Roman" w:cs="Times New Roman"/>
          <w:b/>
          <w:spacing w:val="-3"/>
        </w:rPr>
      </w:pPr>
      <w:r w:rsidRPr="008725EE">
        <w:rPr>
          <w:rFonts w:ascii="Times New Roman" w:eastAsia="Times New Roman" w:hAnsi="Times New Roman" w:cs="Times New Roman"/>
          <w:b/>
          <w:spacing w:val="-3"/>
        </w:rPr>
        <w:t>Total Number of Respondents: 20</w:t>
      </w:r>
    </w:p>
    <w:p w:rsidR="008725EE" w:rsidRPr="008725EE" w:rsidRDefault="008725EE" w:rsidP="008725EE">
      <w:pPr>
        <w:suppressAutoHyphens/>
        <w:spacing w:after="0" w:line="240" w:lineRule="auto"/>
        <w:rPr>
          <w:rFonts w:ascii="Times New Roman" w:eastAsia="Times New Roman" w:hAnsi="Times New Roman" w:cs="Times New Roman"/>
          <w:spacing w:val="-3"/>
        </w:rPr>
      </w:pPr>
    </w:p>
    <w:p w:rsidR="008725EE" w:rsidRPr="008725EE" w:rsidRDefault="008725EE" w:rsidP="008725EE">
      <w:pPr>
        <w:suppressAutoHyphens/>
        <w:spacing w:after="0" w:line="240" w:lineRule="auto"/>
        <w:rPr>
          <w:rFonts w:ascii="Times New Roman" w:eastAsia="Times New Roman" w:hAnsi="Times New Roman" w:cs="Times New Roman"/>
          <w:spacing w:val="-3"/>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30"/>
        <w:gridCol w:w="1750"/>
        <w:gridCol w:w="1488"/>
        <w:gridCol w:w="1488"/>
        <w:gridCol w:w="1574"/>
      </w:tblGrid>
      <w:tr w:rsidR="008725EE" w:rsidRPr="008725EE" w:rsidTr="002D282D">
        <w:tc>
          <w:tcPr>
            <w:tcW w:w="279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spacing w:val="-3"/>
              </w:rPr>
              <w:br w:type="page"/>
            </w:r>
            <w:r w:rsidRPr="008725EE">
              <w:rPr>
                <w:rFonts w:ascii="Times New Roman" w:eastAsia="Times New Roman" w:hAnsi="Times New Roman" w:cs="Times New Roman"/>
                <w:b/>
              </w:rPr>
              <w:t>Filing or event</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Complainant hours</w:t>
            </w:r>
          </w:p>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 xml:space="preserve">(In-House) </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Complainant’s Contract Attorney</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Defendant’s hours</w:t>
            </w:r>
          </w:p>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(In-House)</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Defendant’s Contract Attorney</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Total Hours</w:t>
            </w:r>
          </w:p>
          <w:p w:rsidR="008725EE" w:rsidRPr="008725EE" w:rsidRDefault="008725EE" w:rsidP="008725EE">
            <w:pPr>
              <w:spacing w:after="0" w:line="240" w:lineRule="auto"/>
              <w:jc w:val="center"/>
              <w:rPr>
                <w:rFonts w:ascii="Times New Roman" w:eastAsia="Times New Roman" w:hAnsi="Times New Roman" w:cs="Times New Roman"/>
                <w:b/>
              </w:rPr>
            </w:pPr>
            <w:r w:rsidRPr="008725EE">
              <w:rPr>
                <w:rFonts w:ascii="Times New Roman" w:eastAsia="Times New Roman" w:hAnsi="Times New Roman" w:cs="Times New Roman"/>
                <w:b/>
              </w:rPr>
              <w:t>(Both In-House &amp; Contracted)</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FCC 485</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0.5</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1.5</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Request for AD Treatment </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5</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Complaint</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8</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68</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Answer/Response</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8</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60</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68</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Reply</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28</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Document Production</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12</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12</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32</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Joint Statement</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24</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56</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Status Conference(s)</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8</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Briefs</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40</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40</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88</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Proposed Findings of Fact and Conclusions of Law</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0.5</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0.5</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6</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13</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Mini-Trial </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16</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16</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40</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Mini-trial Transcripts </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10</w:t>
            </w:r>
          </w:p>
        </w:tc>
      </w:tr>
      <w:tr w:rsidR="008725EE" w:rsidRPr="008725EE" w:rsidTr="002D282D">
        <w:tc>
          <w:tcPr>
            <w:tcW w:w="2790" w:type="dxa"/>
            <w:shd w:val="clear" w:color="auto" w:fill="auto"/>
          </w:tcPr>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Best and Final Offer</w:t>
            </w:r>
          </w:p>
        </w:tc>
        <w:tc>
          <w:tcPr>
            <w:tcW w:w="153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750"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4</w:t>
            </w:r>
          </w:p>
        </w:tc>
        <w:tc>
          <w:tcPr>
            <w:tcW w:w="1488"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24</w:t>
            </w:r>
          </w:p>
        </w:tc>
        <w:tc>
          <w:tcPr>
            <w:tcW w:w="1574" w:type="dxa"/>
            <w:shd w:val="clear" w:color="auto" w:fill="auto"/>
          </w:tcPr>
          <w:p w:rsidR="008725EE" w:rsidRPr="008725EE" w:rsidRDefault="008725EE" w:rsidP="008725EE">
            <w:pPr>
              <w:spacing w:after="0" w:line="240" w:lineRule="auto"/>
              <w:jc w:val="center"/>
              <w:rPr>
                <w:rFonts w:ascii="Times New Roman" w:eastAsia="Times New Roman" w:hAnsi="Times New Roman" w:cs="Times New Roman"/>
              </w:rPr>
            </w:pPr>
            <w:r w:rsidRPr="008725EE">
              <w:rPr>
                <w:rFonts w:ascii="Times New Roman" w:eastAsia="Times New Roman" w:hAnsi="Times New Roman" w:cs="Times New Roman"/>
              </w:rPr>
              <w:t>56</w:t>
            </w:r>
          </w:p>
        </w:tc>
      </w:tr>
    </w:tbl>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In-House Hours Burden</w:t>
      </w:r>
      <w:r w:rsidRPr="008725EE">
        <w:rPr>
          <w:rFonts w:ascii="Times New Roman" w:eastAsia="Times New Roman" w:hAnsi="Times New Roman" w:cs="Times New Roman"/>
        </w:rPr>
        <w:t>:</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Responses</w:t>
      </w:r>
      <w:r w:rsidRPr="008725EE">
        <w:rPr>
          <w:rFonts w:ascii="Times New Roman" w:eastAsia="Times New Roman" w:hAnsi="Times New Roman" w:cs="Times New Roman"/>
          <w:u w:val="single"/>
        </w:rPr>
        <w:tab/>
      </w:r>
      <w:r w:rsidRPr="008725EE">
        <w:rPr>
          <w:rFonts w:ascii="Times New Roman" w:eastAsia="Times New Roman" w:hAnsi="Times New Roman" w:cs="Times New Roman"/>
          <w:u w:val="single"/>
        </w:rPr>
        <w:tab/>
      </w:r>
      <w:r w:rsidRPr="008725EE">
        <w:rPr>
          <w:rFonts w:ascii="Times New Roman" w:eastAsia="Times New Roman" w:hAnsi="Times New Roman" w:cs="Times New Roman"/>
          <w:u w:val="single"/>
        </w:rPr>
        <w:tab/>
      </w:r>
      <w:r w:rsidRPr="008725EE">
        <w:rPr>
          <w:rFonts w:ascii="Times New Roman" w:eastAsia="Times New Roman" w:hAnsi="Times New Roman" w:cs="Times New Roman"/>
          <w:u w:val="single"/>
        </w:rPr>
        <w:tab/>
        <w:t>Hours/Response</w:t>
      </w:r>
      <w:r w:rsidRPr="008725EE">
        <w:rPr>
          <w:rFonts w:ascii="Times New Roman" w:eastAsia="Times New Roman" w:hAnsi="Times New Roman" w:cs="Times New Roman"/>
          <w:u w:val="single"/>
        </w:rPr>
        <w:tab/>
      </w:r>
      <w:r w:rsidRPr="008725EE">
        <w:rPr>
          <w:rFonts w:ascii="Times New Roman" w:eastAsia="Times New Roman" w:hAnsi="Times New Roman" w:cs="Times New Roman"/>
          <w:u w:val="single"/>
        </w:rPr>
        <w:tab/>
        <w:t>Total Hours</w:t>
      </w:r>
      <w:r w:rsidRPr="008725EE">
        <w:rPr>
          <w:rFonts w:ascii="Times New Roman" w:eastAsia="Times New Roman" w:hAnsi="Times New Roman" w:cs="Times New Roman"/>
        </w:rPr>
        <w:tab/>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FCC 485s filed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0.5 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10 hours </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15 Requests for AD Treatment </w:t>
      </w:r>
      <w:r w:rsidR="00F642AC">
        <w:rPr>
          <w:rFonts w:ascii="Times New Roman" w:eastAsia="Times New Roman" w:hAnsi="Times New Roman" w:cs="Times New Roman"/>
        </w:rPr>
        <w:tab/>
      </w:r>
      <w:r w:rsidRPr="008725EE">
        <w:rPr>
          <w:rFonts w:ascii="Times New Roman" w:eastAsia="Times New Roman" w:hAnsi="Times New Roman" w:cs="Times New Roman"/>
        </w:rPr>
        <w:tab/>
        <w:t xml:space="preserve">x   1 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15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Complaints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F642AC">
        <w:rPr>
          <w:rFonts w:ascii="Times New Roman" w:eastAsia="Times New Roman" w:hAnsi="Times New Roman" w:cs="Times New Roman"/>
        </w:rPr>
        <w:tab/>
      </w:r>
      <w:r w:rsidRPr="008725EE">
        <w:rPr>
          <w:rFonts w:ascii="Times New Roman" w:eastAsia="Times New Roman" w:hAnsi="Times New Roman" w:cs="Times New Roman"/>
        </w:rPr>
        <w:t>x   8 hours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160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Answer/Responses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F642AC">
        <w:rPr>
          <w:rFonts w:ascii="Times New Roman" w:eastAsia="Times New Roman" w:hAnsi="Times New Roman" w:cs="Times New Roman"/>
        </w:rPr>
        <w:tab/>
      </w:r>
      <w:r w:rsidRPr="008725EE">
        <w:rPr>
          <w:rFonts w:ascii="Times New Roman" w:eastAsia="Times New Roman" w:hAnsi="Times New Roman" w:cs="Times New Roman"/>
        </w:rPr>
        <w:t>x   8 hours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160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Replies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80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Document Production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12 hours (complainant) </w:t>
      </w:r>
      <w:r w:rsidRPr="008725EE">
        <w:rPr>
          <w:rFonts w:ascii="Times New Roman" w:eastAsia="Times New Roman" w:hAnsi="Times New Roman" w:cs="Times New Roman"/>
        </w:rPr>
        <w:tab/>
        <w:t>= 240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lastRenderedPageBreak/>
        <w:t>20 Document Production</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12 hours (defendant) </w:t>
      </w:r>
      <w:r w:rsidRPr="008725EE">
        <w:rPr>
          <w:rFonts w:ascii="Times New Roman" w:eastAsia="Times New Roman" w:hAnsi="Times New Roman" w:cs="Times New Roman"/>
        </w:rPr>
        <w:tab/>
      </w:r>
      <w:r w:rsidRPr="008725EE">
        <w:rPr>
          <w:rFonts w:ascii="Times New Roman" w:eastAsia="Times New Roman" w:hAnsi="Times New Roman" w:cs="Times New Roman"/>
        </w:rPr>
        <w:tab/>
        <w:t>= 240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Joint Statements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(complainant) </w:t>
      </w:r>
      <w:r w:rsidRPr="008725EE">
        <w:rPr>
          <w:rFonts w:ascii="Times New Roman" w:eastAsia="Times New Roman" w:hAnsi="Times New Roman" w:cs="Times New Roman"/>
        </w:rPr>
        <w:tab/>
        <w:t>=   80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Joint Statements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(defendant) </w:t>
      </w:r>
      <w:r w:rsidRPr="008725EE">
        <w:rPr>
          <w:rFonts w:ascii="Times New Roman" w:eastAsia="Times New Roman" w:hAnsi="Times New Roman" w:cs="Times New Roman"/>
        </w:rPr>
        <w:tab/>
      </w:r>
      <w:r w:rsidRPr="008725EE">
        <w:rPr>
          <w:rFonts w:ascii="Times New Roman" w:eastAsia="Times New Roman" w:hAnsi="Times New Roman" w:cs="Times New Roman"/>
        </w:rPr>
        <w:tab/>
        <w:t>=   80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Status conferences</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2 hours (complainant) </w:t>
      </w:r>
      <w:r w:rsidRPr="008725EE">
        <w:rPr>
          <w:rFonts w:ascii="Times New Roman" w:eastAsia="Times New Roman" w:hAnsi="Times New Roman" w:cs="Times New Roman"/>
        </w:rPr>
        <w:tab/>
        <w:t>=   40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Status conferences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2 hours (defendant) </w:t>
      </w:r>
      <w:r w:rsidRPr="008725EE">
        <w:rPr>
          <w:rFonts w:ascii="Times New Roman" w:eastAsia="Times New Roman" w:hAnsi="Times New Roman" w:cs="Times New Roman"/>
        </w:rPr>
        <w:tab/>
      </w:r>
      <w:r w:rsidRPr="008725EE">
        <w:rPr>
          <w:rFonts w:ascii="Times New Roman" w:eastAsia="Times New Roman" w:hAnsi="Times New Roman" w:cs="Times New Roman"/>
        </w:rPr>
        <w:tab/>
        <w:t>=   40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Briefs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(complainant) </w:t>
      </w:r>
      <w:r w:rsidRPr="008725EE">
        <w:rPr>
          <w:rFonts w:ascii="Times New Roman" w:eastAsia="Times New Roman" w:hAnsi="Times New Roman" w:cs="Times New Roman"/>
        </w:rPr>
        <w:tab/>
        <w:t>=   80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Briefs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(defendant) </w:t>
      </w:r>
      <w:r w:rsidRPr="008725EE">
        <w:rPr>
          <w:rFonts w:ascii="Times New Roman" w:eastAsia="Times New Roman" w:hAnsi="Times New Roman" w:cs="Times New Roman"/>
        </w:rPr>
        <w:tab/>
      </w:r>
      <w:r w:rsidRPr="008725EE">
        <w:rPr>
          <w:rFonts w:ascii="Times New Roman" w:eastAsia="Times New Roman" w:hAnsi="Times New Roman" w:cs="Times New Roman"/>
        </w:rPr>
        <w:tab/>
        <w:t>=   80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Proposed findings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0.5 hours (complainant) </w:t>
      </w:r>
      <w:r w:rsidRPr="008725EE">
        <w:rPr>
          <w:rFonts w:ascii="Times New Roman" w:eastAsia="Times New Roman" w:hAnsi="Times New Roman" w:cs="Times New Roman"/>
        </w:rPr>
        <w:tab/>
        <w:t>=   10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Proposed findings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0.5 hours (defendant) </w:t>
      </w:r>
      <w:r w:rsidRPr="008725EE">
        <w:rPr>
          <w:rFonts w:ascii="Times New Roman" w:eastAsia="Times New Roman" w:hAnsi="Times New Roman" w:cs="Times New Roman"/>
        </w:rPr>
        <w:tab/>
        <w:t>=   10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 mini-trial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(complainant) </w:t>
      </w:r>
      <w:r w:rsidRPr="008725EE">
        <w:rPr>
          <w:rFonts w:ascii="Times New Roman" w:eastAsia="Times New Roman" w:hAnsi="Times New Roman" w:cs="Times New Roman"/>
        </w:rPr>
        <w:tab/>
        <w:t>=     4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 mini-trial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4 hours (defendant)</w:t>
      </w:r>
      <w:r w:rsidRPr="008725EE">
        <w:rPr>
          <w:rFonts w:ascii="Times New Roman" w:eastAsia="Times New Roman" w:hAnsi="Times New Roman" w:cs="Times New Roman"/>
        </w:rPr>
        <w:tab/>
      </w:r>
      <w:r w:rsidRPr="008725EE">
        <w:rPr>
          <w:rFonts w:ascii="Times New Roman" w:eastAsia="Times New Roman" w:hAnsi="Times New Roman" w:cs="Times New Roman"/>
        </w:rPr>
        <w:tab/>
        <w:t>=     4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 Best and Final Offers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(complainant) </w:t>
      </w:r>
      <w:r w:rsidRPr="008725EE">
        <w:rPr>
          <w:rFonts w:ascii="Times New Roman" w:eastAsia="Times New Roman" w:hAnsi="Times New Roman" w:cs="Times New Roman"/>
        </w:rPr>
        <w:tab/>
        <w:t>=     8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 Best and Final Offers </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4 hours (defendant) </w:t>
      </w:r>
      <w:r w:rsidRPr="008725EE">
        <w:rPr>
          <w:rFonts w:ascii="Times New Roman" w:eastAsia="Times New Roman" w:hAnsi="Times New Roman" w:cs="Times New Roman"/>
        </w:rPr>
        <w:tab/>
      </w:r>
      <w:r w:rsidRPr="008725EE">
        <w:rPr>
          <w:rFonts w:ascii="Times New Roman" w:eastAsia="Times New Roman" w:hAnsi="Times New Roman" w:cs="Times New Roman"/>
        </w:rPr>
        <w:tab/>
        <w:t>=     8 hours</w:t>
      </w:r>
    </w:p>
    <w:p w:rsidR="008725EE" w:rsidRPr="008725EE" w:rsidRDefault="008725EE" w:rsidP="008725EE">
      <w:pPr>
        <w:suppressAutoHyphens/>
        <w:spacing w:after="0" w:line="240" w:lineRule="auto"/>
        <w:rPr>
          <w:rFonts w:ascii="Times New Roman" w:eastAsia="Times New Roman" w:hAnsi="Times New Roman" w:cs="Times New Roman"/>
          <w:b/>
          <w:spacing w:val="-3"/>
        </w:rPr>
      </w:pPr>
    </w:p>
    <w:p w:rsidR="008725EE" w:rsidRPr="008725EE" w:rsidRDefault="008725EE" w:rsidP="008725EE">
      <w:pPr>
        <w:suppressAutoHyphens/>
        <w:spacing w:after="0" w:line="240" w:lineRule="auto"/>
        <w:rPr>
          <w:rFonts w:ascii="Times New Roman" w:eastAsia="Times New Roman" w:hAnsi="Times New Roman" w:cs="Times New Roman"/>
          <w:spacing w:val="-3"/>
        </w:rPr>
      </w:pPr>
      <w:r w:rsidRPr="008725EE">
        <w:rPr>
          <w:rFonts w:ascii="Times New Roman" w:eastAsia="Times New Roman" w:hAnsi="Times New Roman" w:cs="Times New Roman"/>
          <w:b/>
          <w:spacing w:val="-3"/>
        </w:rPr>
        <w:t>Total Number of Responses Annually = 301 responses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b/>
        </w:rPr>
      </w:pPr>
      <w:r w:rsidRPr="008725EE">
        <w:rPr>
          <w:rFonts w:ascii="Times New Roman" w:eastAsia="Times New Roman" w:hAnsi="Times New Roman" w:cs="Times New Roman"/>
          <w:b/>
        </w:rPr>
        <w:t>Total Annual Burden Hours = 1,349 hours</w:t>
      </w:r>
    </w:p>
    <w:p w:rsidR="008725EE" w:rsidRPr="008725EE" w:rsidRDefault="008725EE" w:rsidP="008725EE">
      <w:pPr>
        <w:spacing w:after="0" w:line="240" w:lineRule="auto"/>
        <w:rPr>
          <w:rFonts w:ascii="Times New Roman" w:eastAsia="Times New Roman" w:hAnsi="Times New Roman" w:cs="Times New Roman"/>
          <w:b/>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The Commission estimates that the burden is distributed among the four affected groups as follows</w:t>
      </w:r>
      <w:r w:rsidRPr="008725EE">
        <w:rPr>
          <w:rFonts w:ascii="Times New Roman" w:eastAsia="Times New Roman" w:hAnsi="Times New Roman" w:cs="Times New Roman"/>
        </w:rPr>
        <w:t>:</w:t>
      </w:r>
      <w:r w:rsidRPr="008725EE">
        <w:rPr>
          <w:rFonts w:ascii="Times New Roman" w:eastAsia="Times New Roman" w:hAnsi="Times New Roman" w:cs="Times New Roman"/>
          <w:vertAlign w:val="superscript"/>
        </w:rPr>
        <w:footnoteReference w:id="2"/>
      </w:r>
      <w:r w:rsidRPr="008725EE">
        <w:rPr>
          <w:rFonts w:ascii="Times New Roman" w:eastAsia="Times New Roman" w:hAnsi="Times New Roman" w:cs="Times New Roman"/>
        </w:rPr>
        <w:t xml:space="preserve"> </w:t>
      </w:r>
    </w:p>
    <w:p w:rsidR="008725EE" w:rsidRPr="008725EE" w:rsidRDefault="008725EE" w:rsidP="008725EE">
      <w:pPr>
        <w:spacing w:after="0" w:line="240" w:lineRule="auto"/>
        <w:rPr>
          <w:rFonts w:ascii="Times New Roman" w:eastAsia="Times New Roman" w:hAnsi="Times New Roman" w:cs="Times New Roman"/>
          <w:b/>
        </w:rPr>
      </w:pPr>
    </w:p>
    <w:p w:rsidR="008725EE" w:rsidRPr="008725EE" w:rsidRDefault="008725EE" w:rsidP="008725EE">
      <w:pPr>
        <w:tabs>
          <w:tab w:val="left" w:pos="504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80% Businesses and not-for-profit Institutions:</w:t>
      </w:r>
      <w:r w:rsidRPr="008725EE">
        <w:rPr>
          <w:rFonts w:ascii="Times New Roman" w:eastAsia="Times New Roman" w:hAnsi="Times New Roman" w:cs="Times New Roman"/>
        </w:rPr>
        <w:tab/>
        <w:t>1,079 hours</w:t>
      </w:r>
    </w:p>
    <w:p w:rsidR="008725EE" w:rsidRPr="008725EE" w:rsidRDefault="008725EE" w:rsidP="008725EE">
      <w:pPr>
        <w:tabs>
          <w:tab w:val="left" w:pos="504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10% State, Local, or Tribal Governments: </w:t>
      </w:r>
      <w:r w:rsidRPr="008725EE">
        <w:rPr>
          <w:rFonts w:ascii="Times New Roman" w:eastAsia="Times New Roman" w:hAnsi="Times New Roman" w:cs="Times New Roman"/>
        </w:rPr>
        <w:tab/>
        <w:t xml:space="preserve">   135 hours</w:t>
      </w:r>
    </w:p>
    <w:p w:rsidR="008725EE" w:rsidRPr="008725EE" w:rsidRDefault="008725EE" w:rsidP="008725EE">
      <w:pPr>
        <w:tabs>
          <w:tab w:val="left" w:pos="504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5% Federal Government: </w:t>
      </w:r>
      <w:r w:rsidRPr="008725EE">
        <w:rPr>
          <w:rFonts w:ascii="Times New Roman" w:eastAsia="Times New Roman" w:hAnsi="Times New Roman" w:cs="Times New Roman"/>
        </w:rPr>
        <w:tab/>
        <w:t xml:space="preserve">     67 hours</w:t>
      </w:r>
    </w:p>
    <w:p w:rsidR="008725EE" w:rsidRPr="008725EE" w:rsidRDefault="008725EE" w:rsidP="008725EE">
      <w:pPr>
        <w:tabs>
          <w:tab w:val="left" w:pos="504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5% Individuals or Households:</w:t>
      </w:r>
      <w:r w:rsidRPr="008725EE">
        <w:rPr>
          <w:rFonts w:ascii="Times New Roman" w:eastAsia="Times New Roman" w:hAnsi="Times New Roman" w:cs="Times New Roman"/>
        </w:rPr>
        <w:tab/>
        <w:t xml:space="preserve">     67 hours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The Commission estimates that the reporting, recordkeeping, and 3</w:t>
      </w:r>
      <w:r w:rsidRPr="008725EE">
        <w:rPr>
          <w:rFonts w:ascii="Times New Roman" w:eastAsia="Times New Roman" w:hAnsi="Times New Roman" w:cs="Times New Roman"/>
          <w:vertAlign w:val="superscript"/>
        </w:rPr>
        <w:t>rd</w:t>
      </w:r>
      <w:r w:rsidRPr="008725EE">
        <w:rPr>
          <w:rFonts w:ascii="Times New Roman" w:eastAsia="Times New Roman" w:hAnsi="Times New Roman" w:cs="Times New Roman"/>
        </w:rPr>
        <w:t xml:space="preserve"> party disclosure requirements each total one-third of the burden estimates: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Reporting requirements</w:t>
      </w:r>
      <w:r w:rsidRPr="008725EE">
        <w:rPr>
          <w:rFonts w:ascii="Times New Roman" w:eastAsia="Times New Roman" w:hAnsi="Times New Roman" w:cs="Times New Roman"/>
        </w:rPr>
        <w:t>:  The Commission estimates that approximately 90% of the burden can be attributed to complying with the reporting requirements: 1,215 hours, which is distributed as follows: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80% Businesses and not-for-profit Institutions:</w:t>
      </w:r>
      <w:r w:rsidRPr="008725EE">
        <w:rPr>
          <w:rFonts w:ascii="Times New Roman" w:eastAsia="Times New Roman" w:hAnsi="Times New Roman" w:cs="Times New Roman"/>
        </w:rPr>
        <w:tab/>
        <w:t xml:space="preserve"> 971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10% State, Local, or Tribal Governments: </w:t>
      </w:r>
      <w:r w:rsidRPr="008725EE">
        <w:rPr>
          <w:rFonts w:ascii="Times New Roman" w:eastAsia="Times New Roman" w:hAnsi="Times New Roman" w:cs="Times New Roman"/>
        </w:rPr>
        <w:tab/>
        <w:t xml:space="preserve"> 121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5% Federal Government: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61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5% Individuals or Households: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61 hours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Recordkeeping requirements</w:t>
      </w:r>
      <w:r w:rsidRPr="008725EE">
        <w:rPr>
          <w:rFonts w:ascii="Times New Roman" w:eastAsia="Times New Roman" w:hAnsi="Times New Roman" w:cs="Times New Roman"/>
        </w:rPr>
        <w:t>: The Commission estimates that approximately 5% of the burden can be attributed to complying with the recordkeeping requirements: 67 hours, which is distributed as follows: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80% Businesses and not-for-profit Institutions:</w:t>
      </w:r>
      <w:r w:rsidRPr="008725EE">
        <w:rPr>
          <w:rFonts w:ascii="Times New Roman" w:eastAsia="Times New Roman" w:hAnsi="Times New Roman" w:cs="Times New Roman"/>
        </w:rPr>
        <w:tab/>
        <w:t xml:space="preserve">  54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10% State, Local, or Tribal Governments: </w:t>
      </w:r>
      <w:r w:rsidRPr="008725EE">
        <w:rPr>
          <w:rFonts w:ascii="Times New Roman" w:eastAsia="Times New Roman" w:hAnsi="Times New Roman" w:cs="Times New Roman"/>
        </w:rPr>
        <w:tab/>
        <w:t xml:space="preserve">    7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5% Federal Government: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3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5% Individuals or Households: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3 hours </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lastRenderedPageBreak/>
        <w:t>Third Party Disclosure</w:t>
      </w:r>
      <w:r w:rsidRPr="008725EE">
        <w:rPr>
          <w:rFonts w:ascii="Times New Roman" w:eastAsia="Times New Roman" w:hAnsi="Times New Roman" w:cs="Times New Roman"/>
        </w:rPr>
        <w:t>: The Commission estimates that approximately 5% of the burden can be attributed to complying with the third party disclosure requirements: 67 hours, which is distributed as follows:</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80% Businesses and not-for-profit Institutions:</w:t>
      </w:r>
      <w:r w:rsidRPr="008725EE">
        <w:rPr>
          <w:rFonts w:ascii="Times New Roman" w:eastAsia="Times New Roman" w:hAnsi="Times New Roman" w:cs="Times New Roman"/>
        </w:rPr>
        <w:tab/>
        <w:t xml:space="preserve">  54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10% State, Local, or Tribal Governments: </w:t>
      </w:r>
      <w:r w:rsidRPr="008725EE">
        <w:rPr>
          <w:rFonts w:ascii="Times New Roman" w:eastAsia="Times New Roman" w:hAnsi="Times New Roman" w:cs="Times New Roman"/>
        </w:rPr>
        <w:tab/>
        <w:t xml:space="preserve">    7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5% Federal Government: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3 hours</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 5% Individuals or Households: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3 hours </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6D219A">
      <w:pPr>
        <w:suppressAutoHyphens/>
        <w:spacing w:after="0" w:line="240" w:lineRule="auto"/>
        <w:ind w:left="36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13.</w:t>
      </w:r>
      <w:r w:rsidRPr="008725EE">
        <w:rPr>
          <w:rFonts w:ascii="Times New Roman" w:eastAsia="Times New Roman" w:hAnsi="Times New Roman" w:cs="Times New Roman"/>
          <w:spacing w:val="-3"/>
        </w:rPr>
        <w:tab/>
        <w:t xml:space="preserve">Annual Cost Burden:  </w:t>
      </w:r>
    </w:p>
    <w:p w:rsidR="008725EE" w:rsidRPr="008725EE" w:rsidRDefault="008725EE" w:rsidP="006D219A">
      <w:pPr>
        <w:suppressAutoHyphens/>
        <w:spacing w:after="0" w:line="240" w:lineRule="auto"/>
        <w:ind w:left="360" w:hanging="360"/>
        <w:rPr>
          <w:rFonts w:ascii="Times New Roman" w:eastAsia="Times New Roman" w:hAnsi="Times New Roman" w:cs="Times New Roman"/>
          <w:spacing w:val="-3"/>
          <w:u w:val="single"/>
        </w:rPr>
      </w:pPr>
    </w:p>
    <w:p w:rsidR="008725EE" w:rsidRPr="008725EE" w:rsidRDefault="008725EE" w:rsidP="006D219A">
      <w:pPr>
        <w:suppressAutoHyphens/>
        <w:spacing w:after="0" w:line="240" w:lineRule="auto"/>
        <w:ind w:left="360"/>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We assume that the complainant/defendant will use contract attorneys in the preparation of the required documents.  It is estimated that this attorney will have an average hourly salary of $300/hour.  </w:t>
      </w:r>
    </w:p>
    <w:p w:rsidR="008725EE" w:rsidRPr="008725EE" w:rsidRDefault="008725EE" w:rsidP="006D219A">
      <w:pPr>
        <w:suppressAutoHyphens/>
        <w:spacing w:after="0" w:line="240" w:lineRule="auto"/>
        <w:ind w:left="360" w:hanging="360"/>
        <w:rPr>
          <w:rFonts w:ascii="Times New Roman" w:eastAsia="Times New Roman" w:hAnsi="Times New Roman" w:cs="Times New Roman"/>
          <w:spacing w:val="-3"/>
        </w:rPr>
      </w:pPr>
    </w:p>
    <w:p w:rsidR="008725EE" w:rsidRPr="008725EE" w:rsidRDefault="008725EE" w:rsidP="006D219A">
      <w:pPr>
        <w:suppressAutoHyphens/>
        <w:spacing w:after="0" w:line="240" w:lineRule="auto"/>
        <w:ind w:left="360"/>
        <w:rPr>
          <w:rFonts w:ascii="Times New Roman" w:eastAsia="Times New Roman" w:hAnsi="Times New Roman" w:cs="Times New Roman"/>
          <w:spacing w:val="-3"/>
        </w:rPr>
      </w:pPr>
      <w:r w:rsidRPr="008725EE">
        <w:rPr>
          <w:rFonts w:ascii="Times New Roman" w:eastAsia="Times New Roman" w:hAnsi="Times New Roman" w:cs="Times New Roman"/>
          <w:spacing w:val="-3"/>
        </w:rPr>
        <w:t>We also assume that complainant/defendant will use a contract stenographer to prepare the stenographic transcription of the mini-trial proceeding.  This stenographer is estimated to have an average hourly salary of $50/hour.</w:t>
      </w:r>
    </w:p>
    <w:p w:rsidR="008725EE" w:rsidRPr="008725EE" w:rsidRDefault="008725EE" w:rsidP="006D219A">
      <w:pPr>
        <w:suppressAutoHyphens/>
        <w:spacing w:after="0" w:line="240" w:lineRule="auto"/>
        <w:ind w:left="360" w:hanging="360"/>
        <w:jc w:val="both"/>
        <w:rPr>
          <w:rFonts w:ascii="Times New Roman" w:eastAsia="Times New Roman" w:hAnsi="Times New Roman" w:cs="Times New Roman"/>
          <w:spacing w:val="-3"/>
        </w:rPr>
      </w:pPr>
    </w:p>
    <w:p w:rsidR="008725EE" w:rsidRPr="008725EE" w:rsidRDefault="008725EE" w:rsidP="006D219A">
      <w:pPr>
        <w:suppressAutoHyphens/>
        <w:spacing w:after="0" w:line="240" w:lineRule="auto"/>
        <w:ind w:left="36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A fee must be submitted with filing of a formal complaint ($225 per application). </w:t>
      </w:r>
      <w:proofErr w:type="gramStart"/>
      <w:r w:rsidRPr="008725EE">
        <w:rPr>
          <w:rFonts w:ascii="Times New Roman" w:eastAsia="Times New Roman" w:hAnsi="Times New Roman" w:cs="Times New Roman"/>
          <w:spacing w:val="-3"/>
        </w:rPr>
        <w:t>47 C.F.R. § 1.1106.</w:t>
      </w:r>
      <w:proofErr w:type="gramEnd"/>
    </w:p>
    <w:p w:rsidR="008725EE" w:rsidRPr="008725EE" w:rsidRDefault="008725EE" w:rsidP="008725EE">
      <w:pPr>
        <w:suppressAutoHyphens/>
        <w:spacing w:after="0" w:line="240" w:lineRule="auto"/>
        <w:jc w:val="both"/>
        <w:rPr>
          <w:rFonts w:ascii="Times New Roman" w:eastAsia="Times New Roman" w:hAnsi="Times New Roman" w:cs="Times New Roman"/>
          <w:spacing w:val="-3"/>
        </w:rPr>
      </w:pPr>
    </w:p>
    <w:p w:rsidR="008725EE" w:rsidRPr="008725EE" w:rsidRDefault="008725EE" w:rsidP="008725EE">
      <w:pPr>
        <w:suppressAutoHyphens/>
        <w:spacing w:after="0" w:line="240" w:lineRule="auto"/>
        <w:rPr>
          <w:rFonts w:ascii="Times New Roman" w:eastAsia="Times New Roman" w:hAnsi="Times New Roman" w:cs="Times New Roman"/>
          <w:spacing w:val="-3"/>
          <w:u w:val="single"/>
        </w:rPr>
      </w:pPr>
      <w:r w:rsidRPr="008725EE">
        <w:rPr>
          <w:rFonts w:ascii="Times New Roman" w:eastAsia="Times New Roman" w:hAnsi="Times New Roman" w:cs="Times New Roman"/>
        </w:rPr>
        <w:t xml:space="preserve">20 </w:t>
      </w:r>
      <w:r w:rsidRPr="008725EE">
        <w:rPr>
          <w:rFonts w:ascii="Times New Roman" w:eastAsia="Times New Roman" w:hAnsi="Times New Roman" w:cs="Times New Roman"/>
          <w:spacing w:val="-3"/>
        </w:rPr>
        <w:t>Formal Complaint Fees</w:t>
      </w:r>
      <w:r w:rsidRPr="008725EE">
        <w:rPr>
          <w:rFonts w:ascii="Times New Roman" w:eastAsia="Times New Roman" w:hAnsi="Times New Roman" w:cs="Times New Roman"/>
          <w:spacing w:val="-3"/>
        </w:rPr>
        <w:tab/>
      </w:r>
      <w:r w:rsidRPr="008725EE">
        <w:rPr>
          <w:rFonts w:ascii="Times New Roman" w:eastAsia="Times New Roman" w:hAnsi="Times New Roman" w:cs="Times New Roman"/>
          <w:spacing w:val="-3"/>
        </w:rPr>
        <w:tab/>
      </w:r>
      <w:r w:rsidRPr="008725EE">
        <w:rPr>
          <w:rFonts w:ascii="Times New Roman" w:eastAsia="Times New Roman" w:hAnsi="Times New Roman" w:cs="Times New Roman"/>
          <w:spacing w:val="-3"/>
        </w:rPr>
        <w:tab/>
      </w:r>
      <w:r w:rsidRPr="008725EE">
        <w:rPr>
          <w:rFonts w:ascii="Times New Roman" w:eastAsia="Times New Roman" w:hAnsi="Times New Roman" w:cs="Times New Roman"/>
          <w:spacing w:val="-3"/>
        </w:rPr>
        <w:tab/>
        <w:t>x $225</w:t>
      </w:r>
      <w:r w:rsidRPr="008725EE">
        <w:rPr>
          <w:rFonts w:ascii="Times New Roman" w:eastAsia="Times New Roman" w:hAnsi="Times New Roman" w:cs="Times New Roman"/>
          <w:spacing w:val="-3"/>
        </w:rPr>
        <w:tab/>
      </w:r>
      <w:r w:rsidRPr="008725EE">
        <w:rPr>
          <w:rFonts w:ascii="Times New Roman" w:eastAsia="Times New Roman" w:hAnsi="Times New Roman" w:cs="Times New Roman"/>
          <w:spacing w:val="-3"/>
        </w:rPr>
        <w:tab/>
      </w:r>
      <w:r w:rsidRPr="008725EE">
        <w:rPr>
          <w:rFonts w:ascii="Times New Roman" w:eastAsia="Times New Roman" w:hAnsi="Times New Roman" w:cs="Times New Roman"/>
          <w:spacing w:val="-3"/>
        </w:rPr>
        <w:tab/>
      </w:r>
      <w:r w:rsidRPr="008725EE">
        <w:rPr>
          <w:rFonts w:ascii="Times New Roman" w:eastAsia="Times New Roman" w:hAnsi="Times New Roman" w:cs="Times New Roman"/>
          <w:spacing w:val="-3"/>
        </w:rPr>
        <w:tab/>
        <w:t>= $    4, 500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FCC 485s filed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x   1 hour </w:t>
      </w:r>
      <w:r w:rsidRPr="008725EE">
        <w:rPr>
          <w:rFonts w:ascii="Times New Roman" w:eastAsia="Times New Roman" w:hAnsi="Times New Roman" w:cs="Times New Roman"/>
        </w:rPr>
        <w:tab/>
        <w:t xml:space="preserve">x $300/hour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    6,000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15 Requests for AD Treatment </w:t>
      </w:r>
      <w:r w:rsidR="00C61B23">
        <w:rPr>
          <w:rFonts w:ascii="Times New Roman" w:eastAsia="Times New Roman" w:hAnsi="Times New Roman" w:cs="Times New Roman"/>
        </w:rPr>
        <w:tab/>
      </w:r>
      <w:r w:rsidRPr="008725EE">
        <w:rPr>
          <w:rFonts w:ascii="Times New Roman" w:eastAsia="Times New Roman" w:hAnsi="Times New Roman" w:cs="Times New Roman"/>
        </w:rPr>
        <w:tab/>
        <w:t>x   5 hours</w:t>
      </w:r>
      <w:r w:rsidRPr="008725EE">
        <w:rPr>
          <w:rFonts w:ascii="Times New Roman" w:eastAsia="Times New Roman" w:hAnsi="Times New Roman" w:cs="Times New Roman"/>
        </w:rPr>
        <w:tab/>
        <w:t xml:space="preserve">x $300/hour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22,500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Complaints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C61B23">
        <w:rPr>
          <w:rFonts w:ascii="Times New Roman" w:eastAsia="Times New Roman" w:hAnsi="Times New Roman" w:cs="Times New Roman"/>
        </w:rPr>
        <w:tab/>
      </w:r>
      <w:r w:rsidRPr="008725EE">
        <w:rPr>
          <w:rFonts w:ascii="Times New Roman" w:eastAsia="Times New Roman" w:hAnsi="Times New Roman" w:cs="Times New Roman"/>
        </w:rPr>
        <w:t>x 60 hours</w:t>
      </w:r>
      <w:r w:rsidRPr="008725EE">
        <w:rPr>
          <w:rFonts w:ascii="Times New Roman" w:eastAsia="Times New Roman" w:hAnsi="Times New Roman" w:cs="Times New Roman"/>
        </w:rPr>
        <w:tab/>
        <w:t xml:space="preserve">x $300/hour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$360,000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Answers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60 hours</w:t>
      </w:r>
      <w:r w:rsidRPr="008725EE">
        <w:rPr>
          <w:rFonts w:ascii="Times New Roman" w:eastAsia="Times New Roman" w:hAnsi="Times New Roman" w:cs="Times New Roman"/>
        </w:rPr>
        <w:tab/>
        <w:t>x $300/hour</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$360,000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Replies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24 hours</w:t>
      </w:r>
      <w:r w:rsidRPr="008725EE">
        <w:rPr>
          <w:rFonts w:ascii="Times New Roman" w:eastAsia="Times New Roman" w:hAnsi="Times New Roman" w:cs="Times New Roman"/>
        </w:rPr>
        <w:tab/>
        <w:t xml:space="preserve">x $300/hour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$144,000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Document Production</w:t>
      </w:r>
      <w:r w:rsidRPr="008725EE">
        <w:rPr>
          <w:rFonts w:ascii="Times New Roman" w:eastAsia="Times New Roman" w:hAnsi="Times New Roman" w:cs="Times New Roman"/>
        </w:rPr>
        <w:tab/>
      </w:r>
      <w:r w:rsidRPr="008725EE">
        <w:rPr>
          <w:rFonts w:ascii="Times New Roman" w:eastAsia="Times New Roman" w:hAnsi="Times New Roman" w:cs="Times New Roman"/>
        </w:rPr>
        <w:tab/>
        <w:t>x   4 hours</w:t>
      </w:r>
      <w:r w:rsidRPr="008725EE">
        <w:rPr>
          <w:rFonts w:ascii="Times New Roman" w:eastAsia="Times New Roman" w:hAnsi="Times New Roman" w:cs="Times New Roman"/>
        </w:rPr>
        <w:tab/>
        <w:t xml:space="preserve">x $300/hour (complainant) </w:t>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24,000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Document Production</w:t>
      </w:r>
      <w:r w:rsidRPr="008725EE">
        <w:rPr>
          <w:rFonts w:ascii="Times New Roman" w:eastAsia="Times New Roman" w:hAnsi="Times New Roman" w:cs="Times New Roman"/>
        </w:rPr>
        <w:tab/>
      </w:r>
      <w:r w:rsidRPr="008725EE">
        <w:rPr>
          <w:rFonts w:ascii="Times New Roman" w:eastAsia="Times New Roman" w:hAnsi="Times New Roman" w:cs="Times New Roman"/>
        </w:rPr>
        <w:tab/>
        <w:t>x   4 hours</w:t>
      </w:r>
      <w:r w:rsidRPr="008725EE">
        <w:rPr>
          <w:rFonts w:ascii="Times New Roman" w:eastAsia="Times New Roman" w:hAnsi="Times New Roman" w:cs="Times New Roman"/>
        </w:rPr>
        <w:tab/>
        <w:t xml:space="preserve">x $300/hour (defendant) </w:t>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24,000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Joint Statements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24 hours</w:t>
      </w:r>
      <w:r w:rsidRPr="008725EE">
        <w:rPr>
          <w:rFonts w:ascii="Times New Roman" w:eastAsia="Times New Roman" w:hAnsi="Times New Roman" w:cs="Times New Roman"/>
        </w:rPr>
        <w:tab/>
        <w:t xml:space="preserve">x $300/hour (complainant) </w:t>
      </w:r>
      <w:r w:rsidRPr="008725EE">
        <w:rPr>
          <w:rFonts w:ascii="Times New Roman" w:eastAsia="Times New Roman" w:hAnsi="Times New Roman" w:cs="Times New Roman"/>
        </w:rPr>
        <w:tab/>
        <w:t>= $144,000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Joint Statements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24 hours</w:t>
      </w:r>
      <w:r w:rsidRPr="008725EE">
        <w:rPr>
          <w:rFonts w:ascii="Times New Roman" w:eastAsia="Times New Roman" w:hAnsi="Times New Roman" w:cs="Times New Roman"/>
        </w:rPr>
        <w:tab/>
        <w:t xml:space="preserve">x $300/hour (defendant) </w:t>
      </w:r>
      <w:r w:rsidRPr="008725EE">
        <w:rPr>
          <w:rFonts w:ascii="Times New Roman" w:eastAsia="Times New Roman" w:hAnsi="Times New Roman" w:cs="Times New Roman"/>
        </w:rPr>
        <w:tab/>
        <w:t>= $144,000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Status conferences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C61B23">
        <w:rPr>
          <w:rFonts w:ascii="Times New Roman" w:eastAsia="Times New Roman" w:hAnsi="Times New Roman" w:cs="Times New Roman"/>
        </w:rPr>
        <w:tab/>
      </w:r>
      <w:r w:rsidRPr="008725EE">
        <w:rPr>
          <w:rFonts w:ascii="Times New Roman" w:eastAsia="Times New Roman" w:hAnsi="Times New Roman" w:cs="Times New Roman"/>
        </w:rPr>
        <w:t>x   2 hours</w:t>
      </w:r>
      <w:r w:rsidRPr="008725EE">
        <w:rPr>
          <w:rFonts w:ascii="Times New Roman" w:eastAsia="Times New Roman" w:hAnsi="Times New Roman" w:cs="Times New Roman"/>
        </w:rPr>
        <w:tab/>
        <w:t>x $300/hour (complainant)</w:t>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12,000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Status conferences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C61B23">
        <w:rPr>
          <w:rFonts w:ascii="Times New Roman" w:eastAsia="Times New Roman" w:hAnsi="Times New Roman" w:cs="Times New Roman"/>
        </w:rPr>
        <w:tab/>
      </w:r>
      <w:r w:rsidRPr="008725EE">
        <w:rPr>
          <w:rFonts w:ascii="Times New Roman" w:eastAsia="Times New Roman" w:hAnsi="Times New Roman" w:cs="Times New Roman"/>
        </w:rPr>
        <w:t>x   2 hours</w:t>
      </w:r>
      <w:r w:rsidRPr="008725EE">
        <w:rPr>
          <w:rFonts w:ascii="Times New Roman" w:eastAsia="Times New Roman" w:hAnsi="Times New Roman" w:cs="Times New Roman"/>
        </w:rPr>
        <w:tab/>
        <w:t>x $300/hour (defendant)</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12,000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20 Briefs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40 hours</w:t>
      </w:r>
      <w:r w:rsidRPr="008725EE">
        <w:rPr>
          <w:rFonts w:ascii="Times New Roman" w:eastAsia="Times New Roman" w:hAnsi="Times New Roman" w:cs="Times New Roman"/>
        </w:rPr>
        <w:tab/>
        <w:t>x $300/hour (complainant)</w:t>
      </w:r>
      <w:r w:rsidRPr="008725EE">
        <w:rPr>
          <w:rFonts w:ascii="Times New Roman" w:eastAsia="Times New Roman" w:hAnsi="Times New Roman" w:cs="Times New Roman"/>
        </w:rPr>
        <w:tab/>
        <w:t>= $240,000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Briefs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40 hours</w:t>
      </w:r>
      <w:r w:rsidRPr="008725EE">
        <w:rPr>
          <w:rFonts w:ascii="Times New Roman" w:eastAsia="Times New Roman" w:hAnsi="Times New Roman" w:cs="Times New Roman"/>
        </w:rPr>
        <w:tab/>
        <w:t xml:space="preserve">x $300/hour (defendant) </w:t>
      </w:r>
      <w:r w:rsidRPr="008725EE">
        <w:rPr>
          <w:rFonts w:ascii="Times New Roman" w:eastAsia="Times New Roman" w:hAnsi="Times New Roman" w:cs="Times New Roman"/>
        </w:rPr>
        <w:tab/>
        <w:t>= $240,000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Proposed findings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0C70CA">
        <w:rPr>
          <w:rFonts w:ascii="Times New Roman" w:eastAsia="Times New Roman" w:hAnsi="Times New Roman" w:cs="Times New Roman"/>
        </w:rPr>
        <w:tab/>
      </w:r>
      <w:r w:rsidRPr="008725EE">
        <w:rPr>
          <w:rFonts w:ascii="Times New Roman" w:eastAsia="Times New Roman" w:hAnsi="Times New Roman" w:cs="Times New Roman"/>
        </w:rPr>
        <w:t>x   6 hours</w:t>
      </w:r>
      <w:r w:rsidRPr="008725EE">
        <w:rPr>
          <w:rFonts w:ascii="Times New Roman" w:eastAsia="Times New Roman" w:hAnsi="Times New Roman" w:cs="Times New Roman"/>
        </w:rPr>
        <w:tab/>
        <w:t xml:space="preserve">x $300/hour (complainant) </w:t>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36,000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20 Proposed findings</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0C70CA">
        <w:rPr>
          <w:rFonts w:ascii="Times New Roman" w:eastAsia="Times New Roman" w:hAnsi="Times New Roman" w:cs="Times New Roman"/>
        </w:rPr>
        <w:tab/>
      </w:r>
      <w:r w:rsidRPr="008725EE">
        <w:rPr>
          <w:rFonts w:ascii="Times New Roman" w:eastAsia="Times New Roman" w:hAnsi="Times New Roman" w:cs="Times New Roman"/>
        </w:rPr>
        <w:t>x   6 hours</w:t>
      </w:r>
      <w:r w:rsidRPr="008725EE">
        <w:rPr>
          <w:rFonts w:ascii="Times New Roman" w:eastAsia="Times New Roman" w:hAnsi="Times New Roman" w:cs="Times New Roman"/>
        </w:rPr>
        <w:tab/>
        <w:t>x $300/hour (defendant)</w:t>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36,000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1 mini-trial</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16 hours</w:t>
      </w:r>
      <w:r w:rsidRPr="008725EE">
        <w:rPr>
          <w:rFonts w:ascii="Times New Roman" w:eastAsia="Times New Roman" w:hAnsi="Times New Roman" w:cs="Times New Roman"/>
        </w:rPr>
        <w:tab/>
        <w:t>x $300/hour (complainant)</w:t>
      </w:r>
      <w:r w:rsidRPr="008725EE">
        <w:rPr>
          <w:rFonts w:ascii="Times New Roman" w:eastAsia="Times New Roman" w:hAnsi="Times New Roman" w:cs="Times New Roman"/>
        </w:rPr>
        <w:tab/>
        <w:t>= $    4,800</w:t>
      </w:r>
    </w:p>
    <w:p w:rsidR="008725EE" w:rsidRPr="008725EE" w:rsidRDefault="008725EE" w:rsidP="008725EE">
      <w:pPr>
        <w:suppressAutoHyphens/>
        <w:spacing w:after="0" w:line="240" w:lineRule="auto"/>
        <w:jc w:val="both"/>
        <w:rPr>
          <w:rFonts w:ascii="Times New Roman" w:eastAsia="Times New Roman" w:hAnsi="Times New Roman" w:cs="Times New Roman"/>
        </w:rPr>
      </w:pPr>
      <w:r w:rsidRPr="008725EE">
        <w:rPr>
          <w:rFonts w:ascii="Times New Roman" w:eastAsia="Times New Roman" w:hAnsi="Times New Roman" w:cs="Times New Roman"/>
        </w:rPr>
        <w:t>1 mini-trial</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x 16 hours</w:t>
      </w:r>
      <w:r w:rsidRPr="008725EE">
        <w:rPr>
          <w:rFonts w:ascii="Times New Roman" w:eastAsia="Times New Roman" w:hAnsi="Times New Roman" w:cs="Times New Roman"/>
        </w:rPr>
        <w:tab/>
        <w:t xml:space="preserve">x $300/hour (defendant) </w:t>
      </w:r>
      <w:r w:rsidRPr="008725EE">
        <w:rPr>
          <w:rFonts w:ascii="Times New Roman" w:eastAsia="Times New Roman" w:hAnsi="Times New Roman" w:cs="Times New Roman"/>
        </w:rPr>
        <w:tab/>
        <w:t>= $    4,800</w:t>
      </w:r>
    </w:p>
    <w:p w:rsidR="008725EE" w:rsidRPr="008725EE" w:rsidRDefault="008725EE" w:rsidP="008725EE">
      <w:pPr>
        <w:suppressAutoHyphen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1 mini-trial transcript</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0C70CA">
        <w:rPr>
          <w:rFonts w:ascii="Times New Roman" w:eastAsia="Times New Roman" w:hAnsi="Times New Roman" w:cs="Times New Roman"/>
        </w:rPr>
        <w:tab/>
      </w:r>
      <w:r w:rsidRPr="008725EE">
        <w:rPr>
          <w:rFonts w:ascii="Times New Roman" w:eastAsia="Times New Roman" w:hAnsi="Times New Roman" w:cs="Times New Roman"/>
        </w:rPr>
        <w:t>x 10 hours</w:t>
      </w:r>
      <w:r w:rsidRPr="008725EE">
        <w:rPr>
          <w:rFonts w:ascii="Times New Roman" w:eastAsia="Times New Roman" w:hAnsi="Times New Roman" w:cs="Times New Roman"/>
        </w:rPr>
        <w:tab/>
        <w:t xml:space="preserve">x $50/hour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       500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 Best and Final Offers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0C70CA">
        <w:rPr>
          <w:rFonts w:ascii="Times New Roman" w:eastAsia="Times New Roman" w:hAnsi="Times New Roman" w:cs="Times New Roman"/>
        </w:rPr>
        <w:tab/>
      </w:r>
      <w:r w:rsidRPr="008725EE">
        <w:rPr>
          <w:rFonts w:ascii="Times New Roman" w:eastAsia="Times New Roman" w:hAnsi="Times New Roman" w:cs="Times New Roman"/>
        </w:rPr>
        <w:t xml:space="preserve">x 24 hours </w:t>
      </w:r>
      <w:r w:rsidRPr="008725EE">
        <w:rPr>
          <w:rFonts w:ascii="Times New Roman" w:eastAsia="Times New Roman" w:hAnsi="Times New Roman" w:cs="Times New Roman"/>
        </w:rPr>
        <w:tab/>
        <w:t xml:space="preserve">x $300/hour (complainant) </w:t>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14,400</w:t>
      </w:r>
      <w:proofErr w:type="gramEnd"/>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2 Best and Final Offers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000C70CA">
        <w:rPr>
          <w:rFonts w:ascii="Times New Roman" w:eastAsia="Times New Roman" w:hAnsi="Times New Roman" w:cs="Times New Roman"/>
        </w:rPr>
        <w:tab/>
      </w:r>
      <w:r w:rsidRPr="008725EE">
        <w:rPr>
          <w:rFonts w:ascii="Times New Roman" w:eastAsia="Times New Roman" w:hAnsi="Times New Roman" w:cs="Times New Roman"/>
        </w:rPr>
        <w:t xml:space="preserve">x 24 hours </w:t>
      </w:r>
      <w:r w:rsidRPr="008725EE">
        <w:rPr>
          <w:rFonts w:ascii="Times New Roman" w:eastAsia="Times New Roman" w:hAnsi="Times New Roman" w:cs="Times New Roman"/>
        </w:rPr>
        <w:tab/>
        <w:t xml:space="preserve">x $300/hour (defendant) </w:t>
      </w:r>
      <w:r w:rsidRPr="008725EE">
        <w:rPr>
          <w:rFonts w:ascii="Times New Roman" w:eastAsia="Times New Roman" w:hAnsi="Times New Roman" w:cs="Times New Roman"/>
        </w:rPr>
        <w:tab/>
        <w:t xml:space="preserve">= </w:t>
      </w:r>
      <w:proofErr w:type="gramStart"/>
      <w:r w:rsidRPr="008725EE">
        <w:rPr>
          <w:rFonts w:ascii="Times New Roman" w:eastAsia="Times New Roman" w:hAnsi="Times New Roman" w:cs="Times New Roman"/>
        </w:rPr>
        <w:t>$  14,400</w:t>
      </w:r>
      <w:proofErr w:type="gramEnd"/>
    </w:p>
    <w:p w:rsidR="008725EE" w:rsidRPr="008725EE" w:rsidRDefault="008725EE" w:rsidP="008725EE">
      <w:pPr>
        <w:suppressAutoHyphens/>
        <w:spacing w:after="0" w:line="240" w:lineRule="auto"/>
        <w:rPr>
          <w:rFonts w:ascii="Times New Roman" w:eastAsia="Times New Roman" w:hAnsi="Times New Roman" w:cs="Times New Roman"/>
          <w:spacing w:val="-3"/>
        </w:rPr>
      </w:pPr>
    </w:p>
    <w:p w:rsidR="008725EE" w:rsidRPr="008725EE" w:rsidRDefault="008725EE" w:rsidP="008725EE">
      <w:pPr>
        <w:suppressAutoHyphens/>
        <w:spacing w:after="0" w:line="240" w:lineRule="auto"/>
        <w:rPr>
          <w:rFonts w:ascii="Times New Roman" w:eastAsia="Times New Roman" w:hAnsi="Times New Roman" w:cs="Times New Roman"/>
          <w:spacing w:val="-3"/>
        </w:rPr>
      </w:pPr>
      <w:r w:rsidRPr="008725EE">
        <w:rPr>
          <w:rFonts w:ascii="Times New Roman" w:eastAsia="Times New Roman" w:hAnsi="Times New Roman" w:cs="Times New Roman"/>
          <w:b/>
          <w:spacing w:val="-3"/>
        </w:rPr>
        <w:t xml:space="preserve">Total Annual Cost Burden = $1,847,900.00 </w:t>
      </w:r>
    </w:p>
    <w:p w:rsidR="008725EE" w:rsidRPr="008725EE" w:rsidRDefault="008725EE" w:rsidP="008725EE">
      <w:pPr>
        <w:suppressAutoHyphens/>
        <w:spacing w:after="0" w:line="240" w:lineRule="auto"/>
        <w:rPr>
          <w:rFonts w:ascii="Times New Roman" w:eastAsia="Times New Roman" w:hAnsi="Times New Roman" w:cs="Times New Roman"/>
          <w:spacing w:val="-3"/>
        </w:rPr>
      </w:pPr>
    </w:p>
    <w:p w:rsidR="008725EE" w:rsidRPr="008725EE" w:rsidRDefault="008725EE" w:rsidP="008725EE">
      <w:pPr>
        <w:suppressAutoHyphens/>
        <w:spacing w:after="0" w:line="240" w:lineRule="auto"/>
        <w:rPr>
          <w:rFonts w:ascii="Times New Roman" w:eastAsia="Times New Roman" w:hAnsi="Times New Roman" w:cs="Times New Roman"/>
          <w:spacing w:val="-3"/>
        </w:rPr>
      </w:pPr>
      <w:r w:rsidRPr="008725EE">
        <w:rPr>
          <w:rFonts w:ascii="Times New Roman" w:eastAsia="Times New Roman" w:hAnsi="Times New Roman" w:cs="Times New Roman"/>
          <w:spacing w:val="-3"/>
        </w:rPr>
        <w:t>Based on the percentage of the reporting, recordkeeping, and third party disclosure burdens that we are allocating to each respondent group, we believe that the total annual cost burden should be distributed as follows:</w:t>
      </w:r>
    </w:p>
    <w:p w:rsidR="008725EE" w:rsidRPr="008725EE" w:rsidRDefault="008725EE" w:rsidP="008725EE">
      <w:pPr>
        <w:suppressAutoHyphens/>
        <w:spacing w:after="0" w:line="240" w:lineRule="auto"/>
        <w:rPr>
          <w:rFonts w:ascii="Times New Roman" w:eastAsia="Times New Roman" w:hAnsi="Times New Roman" w:cs="Times New Roman"/>
          <w:spacing w:val="-3"/>
        </w:rPr>
      </w:pPr>
    </w:p>
    <w:p w:rsidR="008725EE" w:rsidRPr="008725EE" w:rsidRDefault="008725EE" w:rsidP="008725EE">
      <w:pPr>
        <w:tabs>
          <w:tab w:val="left" w:pos="432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Businesses and not-for-profit Institutions</w:t>
      </w:r>
      <w:r w:rsidRPr="008725EE">
        <w:rPr>
          <w:rFonts w:ascii="Times New Roman" w:eastAsia="Times New Roman" w:hAnsi="Times New Roman" w:cs="Times New Roman"/>
        </w:rPr>
        <w:t xml:space="preserve">:  </w:t>
      </w:r>
      <w:r w:rsidRPr="008725EE">
        <w:rPr>
          <w:rFonts w:ascii="Times New Roman" w:eastAsia="Times New Roman" w:hAnsi="Times New Roman" w:cs="Times New Roman"/>
        </w:rPr>
        <w:tab/>
        <w:t xml:space="preserve">$1,478,320.00 </w:t>
      </w:r>
      <w:r w:rsidRPr="008725EE">
        <w:rPr>
          <w:rFonts w:ascii="Times New Roman" w:eastAsia="Times New Roman" w:hAnsi="Times New Roman" w:cs="Times New Roman"/>
        </w:rPr>
        <w:tab/>
        <w:t xml:space="preserve">  </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Reporting (90%):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$1,663,110.00</w:t>
      </w:r>
    </w:p>
    <w:p w:rsidR="008725EE" w:rsidRPr="008725EE" w:rsidRDefault="008725EE" w:rsidP="008725EE">
      <w:pPr>
        <w:tabs>
          <w:tab w:val="left" w:pos="459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Recordkeeping (5%)</w:t>
      </w:r>
      <w:r w:rsidRPr="008725EE">
        <w:rPr>
          <w:rFonts w:ascii="Times New Roman" w:eastAsia="Times New Roman" w:hAnsi="Times New Roman" w:cs="Times New Roman"/>
        </w:rPr>
        <w:tab/>
        <w:t>$73,916.00</w:t>
      </w:r>
    </w:p>
    <w:p w:rsidR="008725EE" w:rsidRPr="008725EE" w:rsidRDefault="008725EE" w:rsidP="008725EE">
      <w:pPr>
        <w:tabs>
          <w:tab w:val="left" w:pos="459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lastRenderedPageBreak/>
        <w:t>Third Party Disclosure (5%)</w:t>
      </w:r>
      <w:r w:rsidRPr="008725EE">
        <w:rPr>
          <w:rFonts w:ascii="Times New Roman" w:eastAsia="Times New Roman" w:hAnsi="Times New Roman" w:cs="Times New Roman"/>
        </w:rPr>
        <w:tab/>
        <w:t>$73,916.00</w:t>
      </w:r>
    </w:p>
    <w:p w:rsidR="008725EE" w:rsidRDefault="008725EE" w:rsidP="008725EE">
      <w:pPr>
        <w:spacing w:after="0" w:line="240" w:lineRule="auto"/>
        <w:rPr>
          <w:rFonts w:ascii="Times New Roman" w:eastAsia="Times New Roman" w:hAnsi="Times New Roman" w:cs="Times New Roman"/>
        </w:rPr>
      </w:pPr>
    </w:p>
    <w:p w:rsidR="00853EAD" w:rsidRPr="008725EE" w:rsidRDefault="00853EAD" w:rsidP="008725EE">
      <w:pPr>
        <w:spacing w:after="0" w:line="240" w:lineRule="auto"/>
        <w:rPr>
          <w:rFonts w:ascii="Times New Roman" w:eastAsia="Times New Roman" w:hAnsi="Times New Roman" w:cs="Times New Roman"/>
        </w:rPr>
      </w:pPr>
    </w:p>
    <w:p w:rsidR="008725EE" w:rsidRPr="008725EE" w:rsidRDefault="008725EE" w:rsidP="008725EE">
      <w:pPr>
        <w:tabs>
          <w:tab w:val="left" w:pos="450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State, Local, or Tribal Governments</w:t>
      </w:r>
      <w:r w:rsidRPr="008725EE">
        <w:rPr>
          <w:rFonts w:ascii="Times New Roman" w:eastAsia="Times New Roman" w:hAnsi="Times New Roman" w:cs="Times New Roman"/>
        </w:rPr>
        <w:t xml:space="preserve">: </w:t>
      </w:r>
      <w:r w:rsidRPr="008725EE">
        <w:rPr>
          <w:rFonts w:ascii="Times New Roman" w:eastAsia="Times New Roman" w:hAnsi="Times New Roman" w:cs="Times New Roman"/>
        </w:rPr>
        <w:tab/>
        <w:t>$184,790.00</w:t>
      </w:r>
      <w:r w:rsidRPr="008725EE">
        <w:rPr>
          <w:rFonts w:ascii="Times New Roman" w:eastAsia="Times New Roman" w:hAnsi="Times New Roman" w:cs="Times New Roman"/>
        </w:rPr>
        <w:tab/>
        <w:t xml:space="preserve">   </w:t>
      </w:r>
    </w:p>
    <w:p w:rsidR="008725EE" w:rsidRPr="008725EE" w:rsidRDefault="008725EE" w:rsidP="008725EE">
      <w:pPr>
        <w:tabs>
          <w:tab w:val="left" w:pos="450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Reporting (90%)</w:t>
      </w:r>
      <w:r w:rsidRPr="008725EE">
        <w:rPr>
          <w:rFonts w:ascii="Times New Roman" w:eastAsia="Times New Roman" w:hAnsi="Times New Roman" w:cs="Times New Roman"/>
        </w:rPr>
        <w:tab/>
        <w:t>$166,311.00</w:t>
      </w:r>
    </w:p>
    <w:p w:rsidR="008725EE" w:rsidRPr="008725EE" w:rsidRDefault="008725EE" w:rsidP="008725EE">
      <w:pPr>
        <w:tabs>
          <w:tab w:val="left" w:pos="468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Recordkeeping (5%)</w:t>
      </w:r>
      <w:r w:rsidRPr="008725EE">
        <w:rPr>
          <w:rFonts w:ascii="Times New Roman" w:eastAsia="Times New Roman" w:hAnsi="Times New Roman" w:cs="Times New Roman"/>
        </w:rPr>
        <w:tab/>
        <w:t xml:space="preserve"> $9,239.50</w:t>
      </w:r>
    </w:p>
    <w:p w:rsidR="008725EE" w:rsidRPr="008725EE" w:rsidRDefault="008725EE" w:rsidP="008725EE">
      <w:pPr>
        <w:tabs>
          <w:tab w:val="left" w:pos="468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Third Party Disclosure (5%)</w:t>
      </w:r>
      <w:r w:rsidRPr="008725EE">
        <w:rPr>
          <w:rFonts w:ascii="Times New Roman" w:eastAsia="Times New Roman" w:hAnsi="Times New Roman" w:cs="Times New Roman"/>
        </w:rPr>
        <w:tab/>
        <w:t xml:space="preserve"> $9,239.50</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tabs>
          <w:tab w:val="left" w:pos="468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Federal Government</w:t>
      </w:r>
      <w:r w:rsidRPr="008725EE">
        <w:rPr>
          <w:rFonts w:ascii="Times New Roman" w:eastAsia="Times New Roman" w:hAnsi="Times New Roman" w:cs="Times New Roman"/>
        </w:rPr>
        <w:t xml:space="preserve">: </w:t>
      </w:r>
      <w:r w:rsidRPr="008725EE">
        <w:rPr>
          <w:rFonts w:ascii="Times New Roman" w:eastAsia="Times New Roman" w:hAnsi="Times New Roman" w:cs="Times New Roman"/>
        </w:rPr>
        <w:tab/>
        <w:t>$92,395.00</w:t>
      </w:r>
      <w:r w:rsidRPr="008725EE">
        <w:rPr>
          <w:rFonts w:ascii="Times New Roman" w:eastAsia="Times New Roman" w:hAnsi="Times New Roman" w:cs="Times New Roman"/>
        </w:rPr>
        <w:tab/>
        <w:t xml:space="preserve">    </w:t>
      </w:r>
    </w:p>
    <w:p w:rsidR="008725EE" w:rsidRPr="008725EE" w:rsidRDefault="008725EE" w:rsidP="008725EE">
      <w:pPr>
        <w:tabs>
          <w:tab w:val="left" w:pos="468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Reporting (90%)</w:t>
      </w:r>
      <w:r w:rsidRPr="008725EE">
        <w:rPr>
          <w:rFonts w:ascii="Times New Roman" w:eastAsia="Times New Roman" w:hAnsi="Times New Roman" w:cs="Times New Roman"/>
        </w:rPr>
        <w:tab/>
        <w:t>$83,155.50</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Recordkeeping (5%) </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w:t>
      </w:r>
      <w:r w:rsidR="00853EAD">
        <w:rPr>
          <w:rFonts w:ascii="Times New Roman" w:eastAsia="Times New Roman" w:hAnsi="Times New Roman" w:cs="Times New Roman"/>
        </w:rPr>
        <w:tab/>
        <w:t xml:space="preserve">       </w:t>
      </w:r>
      <w:r w:rsidRPr="008725EE">
        <w:rPr>
          <w:rFonts w:ascii="Times New Roman" w:eastAsia="Times New Roman" w:hAnsi="Times New Roman" w:cs="Times New Roman"/>
        </w:rPr>
        <w:t xml:space="preserve">  $4,619.75</w:t>
      </w: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Third Party Disclosure (5%)                                </w:t>
      </w:r>
      <w:r w:rsidR="00853EAD">
        <w:rPr>
          <w:rFonts w:ascii="Times New Roman" w:eastAsia="Times New Roman" w:hAnsi="Times New Roman" w:cs="Times New Roman"/>
        </w:rPr>
        <w:t xml:space="preserve">        </w:t>
      </w:r>
      <w:r w:rsidRPr="008725EE">
        <w:rPr>
          <w:rFonts w:ascii="Times New Roman" w:eastAsia="Times New Roman" w:hAnsi="Times New Roman" w:cs="Times New Roman"/>
        </w:rPr>
        <w:t xml:space="preserve">  $4,619.95</w:t>
      </w:r>
    </w:p>
    <w:p w:rsidR="008725EE" w:rsidRPr="008725EE" w:rsidRDefault="008725EE" w:rsidP="008725EE">
      <w:pPr>
        <w:spacing w:after="0" w:line="240" w:lineRule="auto"/>
        <w:rPr>
          <w:rFonts w:ascii="Times New Roman" w:eastAsia="Times New Roman" w:hAnsi="Times New Roman" w:cs="Times New Roman"/>
        </w:rPr>
      </w:pPr>
    </w:p>
    <w:p w:rsidR="008725EE" w:rsidRPr="008725EE" w:rsidRDefault="008725EE" w:rsidP="008725EE">
      <w:pPr>
        <w:spacing w:after="0" w:line="240" w:lineRule="auto"/>
        <w:rPr>
          <w:rFonts w:ascii="Times New Roman" w:eastAsia="Times New Roman" w:hAnsi="Times New Roman" w:cs="Times New Roman"/>
        </w:rPr>
      </w:pPr>
      <w:r w:rsidRPr="008725EE">
        <w:rPr>
          <w:rFonts w:ascii="Times New Roman" w:eastAsia="Times New Roman" w:hAnsi="Times New Roman" w:cs="Times New Roman"/>
          <w:u w:val="single"/>
        </w:rPr>
        <w:t>Individuals or Households</w:t>
      </w:r>
      <w:r w:rsidRPr="008725EE">
        <w:rPr>
          <w:rFonts w:ascii="Times New Roman" w:eastAsia="Times New Roman" w:hAnsi="Times New Roman" w:cs="Times New Roman"/>
        </w:rPr>
        <w:t>:</w:t>
      </w:r>
      <w:r w:rsidRPr="008725EE">
        <w:rPr>
          <w:rFonts w:ascii="Times New Roman" w:eastAsia="Times New Roman" w:hAnsi="Times New Roman" w:cs="Times New Roman"/>
        </w:rPr>
        <w:tab/>
      </w:r>
      <w:r w:rsidRPr="008725EE">
        <w:rPr>
          <w:rFonts w:ascii="Times New Roman" w:eastAsia="Times New Roman" w:hAnsi="Times New Roman" w:cs="Times New Roman"/>
        </w:rPr>
        <w:tab/>
      </w:r>
      <w:r w:rsidRPr="008725EE">
        <w:rPr>
          <w:rFonts w:ascii="Times New Roman" w:eastAsia="Times New Roman" w:hAnsi="Times New Roman" w:cs="Times New Roman"/>
        </w:rPr>
        <w:tab/>
        <w:t xml:space="preserve">       $92,395.00</w:t>
      </w:r>
    </w:p>
    <w:p w:rsidR="008725EE" w:rsidRPr="008725EE" w:rsidRDefault="008725EE" w:rsidP="008725EE">
      <w:pPr>
        <w:tabs>
          <w:tab w:val="left" w:pos="468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Reporting (90%)</w:t>
      </w:r>
      <w:r w:rsidRPr="008725EE">
        <w:rPr>
          <w:rFonts w:ascii="Times New Roman" w:eastAsia="Times New Roman" w:hAnsi="Times New Roman" w:cs="Times New Roman"/>
        </w:rPr>
        <w:tab/>
        <w:t xml:space="preserve"> $83,155.50</w:t>
      </w:r>
    </w:p>
    <w:p w:rsidR="008725EE" w:rsidRPr="008725EE" w:rsidRDefault="008725EE" w:rsidP="008725EE">
      <w:pPr>
        <w:tabs>
          <w:tab w:val="left" w:pos="477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 xml:space="preserve">Recordkeeping (5%) </w:t>
      </w:r>
      <w:r w:rsidRPr="008725EE">
        <w:rPr>
          <w:rFonts w:ascii="Times New Roman" w:eastAsia="Times New Roman" w:hAnsi="Times New Roman" w:cs="Times New Roman"/>
        </w:rPr>
        <w:tab/>
        <w:t xml:space="preserve"> $4,619.75</w:t>
      </w:r>
    </w:p>
    <w:p w:rsidR="008725EE" w:rsidRPr="008725EE" w:rsidRDefault="008725EE" w:rsidP="008725EE">
      <w:pPr>
        <w:tabs>
          <w:tab w:val="left" w:pos="4860"/>
        </w:tabs>
        <w:spacing w:after="0" w:line="240" w:lineRule="auto"/>
        <w:rPr>
          <w:rFonts w:ascii="Times New Roman" w:eastAsia="Times New Roman" w:hAnsi="Times New Roman" w:cs="Times New Roman"/>
        </w:rPr>
      </w:pPr>
      <w:r w:rsidRPr="008725EE">
        <w:rPr>
          <w:rFonts w:ascii="Times New Roman" w:eastAsia="Times New Roman" w:hAnsi="Times New Roman" w:cs="Times New Roman"/>
        </w:rPr>
        <w:t>Third Party Disclosure (5%)</w:t>
      </w:r>
      <w:r w:rsidRPr="008725EE">
        <w:rPr>
          <w:rFonts w:ascii="Times New Roman" w:eastAsia="Times New Roman" w:hAnsi="Times New Roman" w:cs="Times New Roman"/>
        </w:rPr>
        <w:tab/>
        <w:t>$4,619.75</w:t>
      </w:r>
    </w:p>
    <w:p w:rsidR="008725EE" w:rsidRPr="008725EE" w:rsidRDefault="008725EE" w:rsidP="008725EE">
      <w:pPr>
        <w:suppressAutoHyphens/>
        <w:spacing w:after="0" w:line="240" w:lineRule="auto"/>
        <w:rPr>
          <w:rFonts w:ascii="Times New Roman" w:eastAsia="Times New Roman" w:hAnsi="Times New Roman" w:cs="Times New Roman"/>
          <w:spacing w:val="-3"/>
        </w:rPr>
      </w:pPr>
    </w:p>
    <w:tbl>
      <w:tblPr>
        <w:tblStyle w:val="TableGrid"/>
        <w:tblW w:w="9990" w:type="dxa"/>
        <w:tblInd w:w="-432" w:type="dxa"/>
        <w:tblLayout w:type="fixed"/>
        <w:tblLook w:val="04A0" w:firstRow="1" w:lastRow="0" w:firstColumn="1" w:lastColumn="0" w:noHBand="0" w:noVBand="1"/>
      </w:tblPr>
      <w:tblGrid>
        <w:gridCol w:w="1620"/>
        <w:gridCol w:w="1980"/>
        <w:gridCol w:w="1080"/>
        <w:gridCol w:w="1440"/>
        <w:gridCol w:w="1170"/>
        <w:gridCol w:w="1104"/>
        <w:gridCol w:w="1596"/>
      </w:tblGrid>
      <w:tr w:rsidR="008725EE" w:rsidRPr="008725EE" w:rsidTr="002D282D">
        <w:trPr>
          <w:trHeight w:val="530"/>
        </w:trPr>
        <w:tc>
          <w:tcPr>
            <w:tcW w:w="9990" w:type="dxa"/>
            <w:gridSpan w:val="7"/>
          </w:tcPr>
          <w:p w:rsidR="008725EE" w:rsidRPr="008725EE" w:rsidRDefault="008725EE" w:rsidP="008725EE">
            <w:pPr>
              <w:suppressAutoHyphens/>
              <w:jc w:val="center"/>
              <w:rPr>
                <w:b/>
                <w:spacing w:val="-3"/>
              </w:rPr>
            </w:pPr>
            <w:r w:rsidRPr="008725EE">
              <w:rPr>
                <w:b/>
                <w:spacing w:val="-3"/>
              </w:rPr>
              <w:t>DISTRIBUTION OF BURDENS</w:t>
            </w:r>
          </w:p>
        </w:tc>
      </w:tr>
      <w:tr w:rsidR="008725EE" w:rsidRPr="008725EE" w:rsidTr="002D282D">
        <w:tc>
          <w:tcPr>
            <w:tcW w:w="162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Respondent Groups</w:t>
            </w:r>
          </w:p>
        </w:tc>
        <w:tc>
          <w:tcPr>
            <w:tcW w:w="198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Percent of Respondents</w:t>
            </w:r>
          </w:p>
          <w:p w:rsidR="008725EE" w:rsidRPr="008725EE" w:rsidRDefault="008725EE" w:rsidP="008725EE">
            <w:pPr>
              <w:suppressAutoHyphens/>
              <w:jc w:val="center"/>
              <w:rPr>
                <w:b/>
                <w:spacing w:val="-3"/>
              </w:rPr>
            </w:pPr>
          </w:p>
        </w:tc>
        <w:tc>
          <w:tcPr>
            <w:tcW w:w="108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Percent</w:t>
            </w:r>
          </w:p>
          <w:p w:rsidR="008725EE" w:rsidRPr="008725EE" w:rsidRDefault="008725EE" w:rsidP="008725EE">
            <w:pPr>
              <w:suppressAutoHyphens/>
              <w:jc w:val="center"/>
              <w:rPr>
                <w:b/>
                <w:spacing w:val="-3"/>
              </w:rPr>
            </w:pPr>
            <w:r w:rsidRPr="008725EE">
              <w:rPr>
                <w:b/>
                <w:spacing w:val="-3"/>
              </w:rPr>
              <w:t>of Burdens</w:t>
            </w:r>
          </w:p>
        </w:tc>
        <w:tc>
          <w:tcPr>
            <w:tcW w:w="144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Respondents</w:t>
            </w:r>
          </w:p>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p>
        </w:tc>
        <w:tc>
          <w:tcPr>
            <w:tcW w:w="117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Responses</w:t>
            </w:r>
          </w:p>
        </w:tc>
        <w:tc>
          <w:tcPr>
            <w:tcW w:w="1104" w:type="dxa"/>
          </w:tcPr>
          <w:p w:rsidR="008725EE" w:rsidRPr="008725EE" w:rsidRDefault="008725EE" w:rsidP="008725EE">
            <w:pPr>
              <w:suppressAutoHyphens/>
              <w:jc w:val="center"/>
              <w:rPr>
                <w:b/>
                <w:spacing w:val="-3"/>
              </w:rPr>
            </w:pPr>
            <w:r w:rsidRPr="008725EE">
              <w:rPr>
                <w:b/>
                <w:spacing w:val="-3"/>
              </w:rPr>
              <w:t>Total</w:t>
            </w:r>
          </w:p>
          <w:p w:rsidR="008725EE" w:rsidRPr="008725EE" w:rsidRDefault="008725EE" w:rsidP="008725EE">
            <w:pPr>
              <w:suppressAutoHyphens/>
              <w:jc w:val="center"/>
              <w:rPr>
                <w:b/>
                <w:spacing w:val="-3"/>
              </w:rPr>
            </w:pPr>
            <w:r w:rsidRPr="008725EE">
              <w:rPr>
                <w:b/>
                <w:spacing w:val="-3"/>
              </w:rPr>
              <w:t>Annual Hourly</w:t>
            </w:r>
          </w:p>
          <w:p w:rsidR="008725EE" w:rsidRPr="008725EE" w:rsidRDefault="008725EE" w:rsidP="008725EE">
            <w:pPr>
              <w:suppressAutoHyphens/>
              <w:jc w:val="center"/>
              <w:rPr>
                <w:b/>
                <w:spacing w:val="-3"/>
              </w:rPr>
            </w:pPr>
            <w:r w:rsidRPr="008725EE">
              <w:rPr>
                <w:b/>
                <w:spacing w:val="-3"/>
              </w:rPr>
              <w:t>Burden</w:t>
            </w:r>
          </w:p>
        </w:tc>
        <w:tc>
          <w:tcPr>
            <w:tcW w:w="1596" w:type="dxa"/>
          </w:tcPr>
          <w:p w:rsidR="008725EE" w:rsidRPr="008725EE" w:rsidRDefault="008725EE" w:rsidP="008725EE">
            <w:pPr>
              <w:suppressAutoHyphens/>
              <w:jc w:val="center"/>
              <w:rPr>
                <w:b/>
                <w:spacing w:val="-3"/>
              </w:rPr>
            </w:pPr>
            <w:r w:rsidRPr="008725EE">
              <w:rPr>
                <w:b/>
                <w:spacing w:val="-3"/>
              </w:rPr>
              <w:t>Total</w:t>
            </w:r>
          </w:p>
          <w:p w:rsidR="008725EE" w:rsidRPr="008725EE" w:rsidRDefault="008725EE" w:rsidP="008725EE">
            <w:pPr>
              <w:suppressAutoHyphens/>
              <w:jc w:val="center"/>
              <w:rPr>
                <w:b/>
                <w:spacing w:val="-3"/>
              </w:rPr>
            </w:pPr>
            <w:r w:rsidRPr="008725EE">
              <w:rPr>
                <w:b/>
                <w:spacing w:val="-3"/>
              </w:rPr>
              <w:t>Annual</w:t>
            </w:r>
          </w:p>
          <w:p w:rsidR="008725EE" w:rsidRPr="008725EE" w:rsidRDefault="008725EE" w:rsidP="008725EE">
            <w:pPr>
              <w:suppressAutoHyphens/>
              <w:jc w:val="center"/>
              <w:rPr>
                <w:b/>
                <w:spacing w:val="-3"/>
              </w:rPr>
            </w:pPr>
            <w:r w:rsidRPr="008725EE">
              <w:rPr>
                <w:b/>
                <w:spacing w:val="-3"/>
              </w:rPr>
              <w:t>Costs</w:t>
            </w:r>
          </w:p>
        </w:tc>
      </w:tr>
      <w:tr w:rsidR="008725EE" w:rsidRPr="008725EE" w:rsidTr="002D282D">
        <w:tc>
          <w:tcPr>
            <w:tcW w:w="1620" w:type="dxa"/>
          </w:tcPr>
          <w:p w:rsidR="008725EE" w:rsidRPr="008725EE" w:rsidRDefault="008725EE" w:rsidP="008725EE">
            <w:pPr>
              <w:suppressAutoHyphens/>
              <w:rPr>
                <w:spacing w:val="-3"/>
              </w:rPr>
            </w:pPr>
            <w:r w:rsidRPr="008725EE">
              <w:rPr>
                <w:spacing w:val="-3"/>
              </w:rPr>
              <w:t>Businesses and Not-for Profits</w:t>
            </w:r>
          </w:p>
          <w:p w:rsidR="008725EE" w:rsidRPr="008725EE" w:rsidRDefault="008725EE" w:rsidP="008725EE">
            <w:pPr>
              <w:suppressAutoHyphens/>
              <w:rPr>
                <w:spacing w:val="-3"/>
              </w:rPr>
            </w:pPr>
            <w:r w:rsidRPr="008725EE">
              <w:rPr>
                <w:spacing w:val="-3"/>
              </w:rPr>
              <w:t>(Private Sector)</w:t>
            </w:r>
          </w:p>
        </w:tc>
        <w:tc>
          <w:tcPr>
            <w:tcW w:w="1980" w:type="dxa"/>
          </w:tcPr>
          <w:p w:rsidR="008725EE" w:rsidRPr="008725EE" w:rsidRDefault="008725EE" w:rsidP="008725EE">
            <w:pPr>
              <w:suppressAutoHyphens/>
              <w:rPr>
                <w:spacing w:val="-3"/>
              </w:rPr>
            </w:pPr>
          </w:p>
          <w:p w:rsidR="008725EE" w:rsidRPr="008725EE" w:rsidRDefault="008725EE" w:rsidP="008725EE">
            <w:pPr>
              <w:suppressAutoHyphens/>
              <w:jc w:val="center"/>
              <w:rPr>
                <w:spacing w:val="-3"/>
              </w:rPr>
            </w:pPr>
            <w:r w:rsidRPr="008725EE">
              <w:rPr>
                <w:spacing w:val="-3"/>
              </w:rPr>
              <w:t>80%</w:t>
            </w:r>
          </w:p>
        </w:tc>
        <w:tc>
          <w:tcPr>
            <w:tcW w:w="1080" w:type="dxa"/>
          </w:tcPr>
          <w:p w:rsidR="008725EE" w:rsidRPr="008725EE" w:rsidRDefault="008725EE" w:rsidP="008725EE">
            <w:pPr>
              <w:suppressAutoHyphens/>
              <w:rPr>
                <w:spacing w:val="-3"/>
              </w:rPr>
            </w:pPr>
          </w:p>
        </w:tc>
        <w:tc>
          <w:tcPr>
            <w:tcW w:w="144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16</w:t>
            </w:r>
          </w:p>
        </w:tc>
        <w:tc>
          <w:tcPr>
            <w:tcW w:w="117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240</w:t>
            </w:r>
          </w:p>
        </w:tc>
        <w:tc>
          <w:tcPr>
            <w:tcW w:w="1104"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1079</w:t>
            </w:r>
          </w:p>
        </w:tc>
        <w:tc>
          <w:tcPr>
            <w:tcW w:w="1596" w:type="dxa"/>
          </w:tcPr>
          <w:p w:rsidR="008725EE" w:rsidRPr="008725EE" w:rsidRDefault="008725EE" w:rsidP="008725EE">
            <w:pPr>
              <w:suppressAutoHyphens/>
              <w:jc w:val="right"/>
              <w:rPr>
                <w:spacing w:val="-3"/>
              </w:rPr>
            </w:pPr>
          </w:p>
          <w:p w:rsidR="008725EE" w:rsidRPr="008725EE" w:rsidRDefault="008725EE" w:rsidP="008725EE">
            <w:pPr>
              <w:suppressAutoHyphens/>
              <w:jc w:val="right"/>
              <w:rPr>
                <w:spacing w:val="-3"/>
              </w:rPr>
            </w:pPr>
            <w:r w:rsidRPr="008725EE">
              <w:rPr>
                <w:spacing w:val="-3"/>
              </w:rPr>
              <w:t>$1,478,320.00</w:t>
            </w:r>
          </w:p>
        </w:tc>
      </w:tr>
      <w:tr w:rsidR="008725EE" w:rsidRPr="008725EE" w:rsidTr="002D282D">
        <w:tc>
          <w:tcPr>
            <w:tcW w:w="1620" w:type="dxa"/>
            <w:vMerge w:val="restart"/>
          </w:tcPr>
          <w:p w:rsidR="008725EE" w:rsidRPr="008725EE" w:rsidRDefault="008725EE" w:rsidP="008725EE">
            <w:pPr>
              <w:suppressAutoHyphens/>
              <w:rPr>
                <w:spacing w:val="-3"/>
              </w:rPr>
            </w:pPr>
          </w:p>
          <w:p w:rsidR="008725EE" w:rsidRPr="008725EE" w:rsidRDefault="008725EE" w:rsidP="008725EE">
            <w:pPr>
              <w:suppressAutoHyphens/>
              <w:rPr>
                <w:spacing w:val="-3"/>
              </w:rPr>
            </w:pPr>
          </w:p>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Reporting</w:t>
            </w:r>
          </w:p>
        </w:tc>
        <w:tc>
          <w:tcPr>
            <w:tcW w:w="1080" w:type="dxa"/>
          </w:tcPr>
          <w:p w:rsidR="008725EE" w:rsidRPr="008725EE" w:rsidRDefault="008725EE" w:rsidP="008725EE">
            <w:pPr>
              <w:suppressAutoHyphens/>
              <w:jc w:val="center"/>
              <w:rPr>
                <w:spacing w:val="-3"/>
              </w:rPr>
            </w:pPr>
            <w:r w:rsidRPr="008725EE">
              <w:rPr>
                <w:spacing w:val="-3"/>
              </w:rPr>
              <w:t>90%</w:t>
            </w:r>
          </w:p>
        </w:tc>
        <w:tc>
          <w:tcPr>
            <w:tcW w:w="1440" w:type="dxa"/>
            <w:vMerge w:val="restart"/>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216</w:t>
            </w:r>
          </w:p>
        </w:tc>
        <w:tc>
          <w:tcPr>
            <w:tcW w:w="1104" w:type="dxa"/>
          </w:tcPr>
          <w:p w:rsidR="008725EE" w:rsidRPr="008725EE" w:rsidRDefault="008725EE" w:rsidP="008725EE">
            <w:pPr>
              <w:suppressAutoHyphens/>
              <w:jc w:val="center"/>
              <w:rPr>
                <w:spacing w:val="-3"/>
              </w:rPr>
            </w:pPr>
            <w:r w:rsidRPr="008725EE">
              <w:rPr>
                <w:spacing w:val="-3"/>
              </w:rPr>
              <w:t>971</w:t>
            </w:r>
          </w:p>
        </w:tc>
        <w:tc>
          <w:tcPr>
            <w:tcW w:w="1596" w:type="dxa"/>
          </w:tcPr>
          <w:p w:rsidR="008725EE" w:rsidRPr="008725EE" w:rsidRDefault="008725EE" w:rsidP="008725EE">
            <w:pPr>
              <w:suppressAutoHyphens/>
              <w:jc w:val="right"/>
              <w:rPr>
                <w:spacing w:val="-3"/>
              </w:rPr>
            </w:pPr>
            <w:r w:rsidRPr="008725EE">
              <w:rPr>
                <w:spacing w:val="-3"/>
              </w:rPr>
              <w:t>$1,663,110.00</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Recordkeeping</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12</w:t>
            </w:r>
          </w:p>
        </w:tc>
        <w:tc>
          <w:tcPr>
            <w:tcW w:w="1104" w:type="dxa"/>
          </w:tcPr>
          <w:p w:rsidR="008725EE" w:rsidRPr="008725EE" w:rsidRDefault="008725EE" w:rsidP="008725EE">
            <w:pPr>
              <w:suppressAutoHyphens/>
              <w:jc w:val="center"/>
              <w:rPr>
                <w:spacing w:val="-3"/>
              </w:rPr>
            </w:pPr>
            <w:r w:rsidRPr="008725EE">
              <w:rPr>
                <w:spacing w:val="-3"/>
              </w:rPr>
              <w:t>54</w:t>
            </w:r>
          </w:p>
        </w:tc>
        <w:tc>
          <w:tcPr>
            <w:tcW w:w="1596" w:type="dxa"/>
          </w:tcPr>
          <w:p w:rsidR="008725EE" w:rsidRPr="008725EE" w:rsidRDefault="008725EE" w:rsidP="008725EE">
            <w:pPr>
              <w:suppressAutoHyphens/>
              <w:jc w:val="right"/>
              <w:rPr>
                <w:spacing w:val="-3"/>
              </w:rPr>
            </w:pPr>
            <w:r w:rsidRPr="008725EE">
              <w:rPr>
                <w:spacing w:val="-3"/>
              </w:rPr>
              <w:t>$73,916.00</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3</w:t>
            </w:r>
            <w:r w:rsidRPr="008725EE">
              <w:rPr>
                <w:spacing w:val="-3"/>
                <w:vertAlign w:val="superscript"/>
              </w:rPr>
              <w:t>rd</w:t>
            </w:r>
            <w:r w:rsidRPr="008725EE">
              <w:rPr>
                <w:spacing w:val="-3"/>
              </w:rPr>
              <w:t xml:space="preserve"> Party Disclosure</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12</w:t>
            </w:r>
          </w:p>
        </w:tc>
        <w:tc>
          <w:tcPr>
            <w:tcW w:w="1104" w:type="dxa"/>
          </w:tcPr>
          <w:p w:rsidR="008725EE" w:rsidRPr="008725EE" w:rsidRDefault="008725EE" w:rsidP="008725EE">
            <w:pPr>
              <w:suppressAutoHyphens/>
              <w:jc w:val="center"/>
              <w:rPr>
                <w:spacing w:val="-3"/>
              </w:rPr>
            </w:pPr>
            <w:r w:rsidRPr="008725EE">
              <w:rPr>
                <w:spacing w:val="-3"/>
              </w:rPr>
              <w:t>54</w:t>
            </w:r>
          </w:p>
        </w:tc>
        <w:tc>
          <w:tcPr>
            <w:tcW w:w="1596" w:type="dxa"/>
          </w:tcPr>
          <w:p w:rsidR="008725EE" w:rsidRPr="008725EE" w:rsidRDefault="008725EE" w:rsidP="008725EE">
            <w:pPr>
              <w:suppressAutoHyphens/>
              <w:jc w:val="right"/>
              <w:rPr>
                <w:spacing w:val="-3"/>
              </w:rPr>
            </w:pPr>
            <w:r w:rsidRPr="008725EE">
              <w:rPr>
                <w:spacing w:val="-3"/>
              </w:rPr>
              <w:t>$73,916.00</w:t>
            </w:r>
          </w:p>
        </w:tc>
      </w:tr>
      <w:tr w:rsidR="008725EE" w:rsidRPr="008725EE" w:rsidTr="002D282D">
        <w:tc>
          <w:tcPr>
            <w:tcW w:w="1620" w:type="dxa"/>
          </w:tcPr>
          <w:p w:rsidR="008725EE" w:rsidRPr="008725EE" w:rsidRDefault="008725EE" w:rsidP="008725EE">
            <w:pPr>
              <w:suppressAutoHyphens/>
              <w:rPr>
                <w:spacing w:val="-3"/>
              </w:rPr>
            </w:pPr>
            <w:r w:rsidRPr="008725EE">
              <w:rPr>
                <w:spacing w:val="-3"/>
              </w:rPr>
              <w:t xml:space="preserve">State and Local Governments: </w:t>
            </w:r>
          </w:p>
        </w:tc>
        <w:tc>
          <w:tcPr>
            <w:tcW w:w="1980" w:type="dxa"/>
          </w:tcPr>
          <w:p w:rsidR="008725EE" w:rsidRPr="008725EE" w:rsidRDefault="008725EE" w:rsidP="008725EE">
            <w:pPr>
              <w:suppressAutoHyphens/>
              <w:rPr>
                <w:spacing w:val="-3"/>
              </w:rPr>
            </w:pPr>
          </w:p>
          <w:p w:rsidR="008725EE" w:rsidRPr="008725EE" w:rsidRDefault="008725EE" w:rsidP="008725EE">
            <w:pPr>
              <w:suppressAutoHyphens/>
              <w:jc w:val="center"/>
              <w:rPr>
                <w:spacing w:val="-3"/>
              </w:rPr>
            </w:pPr>
            <w:r w:rsidRPr="008725EE">
              <w:rPr>
                <w:spacing w:val="-3"/>
              </w:rPr>
              <w:t>10%</w:t>
            </w:r>
          </w:p>
        </w:tc>
        <w:tc>
          <w:tcPr>
            <w:tcW w:w="1080" w:type="dxa"/>
          </w:tcPr>
          <w:p w:rsidR="008725EE" w:rsidRPr="008725EE" w:rsidRDefault="008725EE" w:rsidP="008725EE">
            <w:pPr>
              <w:suppressAutoHyphens/>
              <w:jc w:val="center"/>
              <w:rPr>
                <w:spacing w:val="-3"/>
              </w:rPr>
            </w:pPr>
          </w:p>
        </w:tc>
        <w:tc>
          <w:tcPr>
            <w:tcW w:w="144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2</w:t>
            </w:r>
          </w:p>
        </w:tc>
        <w:tc>
          <w:tcPr>
            <w:tcW w:w="117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29</w:t>
            </w:r>
          </w:p>
        </w:tc>
        <w:tc>
          <w:tcPr>
            <w:tcW w:w="1104"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135</w:t>
            </w:r>
          </w:p>
        </w:tc>
        <w:tc>
          <w:tcPr>
            <w:tcW w:w="1596" w:type="dxa"/>
          </w:tcPr>
          <w:p w:rsidR="008725EE" w:rsidRPr="008725EE" w:rsidRDefault="008725EE" w:rsidP="008725EE">
            <w:pPr>
              <w:suppressAutoHyphens/>
              <w:jc w:val="right"/>
              <w:rPr>
                <w:spacing w:val="-3"/>
              </w:rPr>
            </w:pPr>
          </w:p>
          <w:p w:rsidR="008725EE" w:rsidRPr="008725EE" w:rsidRDefault="008725EE" w:rsidP="008725EE">
            <w:pPr>
              <w:suppressAutoHyphens/>
              <w:jc w:val="right"/>
              <w:rPr>
                <w:spacing w:val="-3"/>
              </w:rPr>
            </w:pPr>
            <w:r w:rsidRPr="008725EE">
              <w:rPr>
                <w:spacing w:val="-3"/>
              </w:rPr>
              <w:t>$184,790.00</w:t>
            </w:r>
          </w:p>
        </w:tc>
      </w:tr>
      <w:tr w:rsidR="008725EE" w:rsidRPr="008725EE" w:rsidTr="002D282D">
        <w:tc>
          <w:tcPr>
            <w:tcW w:w="1620" w:type="dxa"/>
            <w:vMerge w:val="restart"/>
          </w:tcPr>
          <w:p w:rsidR="008725EE" w:rsidRPr="008725EE" w:rsidRDefault="008725EE" w:rsidP="008725EE">
            <w:pPr>
              <w:suppressAutoHyphens/>
              <w:rPr>
                <w:spacing w:val="-3"/>
              </w:rPr>
            </w:pPr>
          </w:p>
          <w:p w:rsidR="008725EE" w:rsidRPr="008725EE" w:rsidRDefault="008725EE" w:rsidP="008725EE">
            <w:pPr>
              <w:suppressAutoHyphens/>
              <w:rPr>
                <w:spacing w:val="-3"/>
              </w:rPr>
            </w:pPr>
          </w:p>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Reporting</w:t>
            </w:r>
          </w:p>
        </w:tc>
        <w:tc>
          <w:tcPr>
            <w:tcW w:w="1080" w:type="dxa"/>
          </w:tcPr>
          <w:p w:rsidR="008725EE" w:rsidRPr="008725EE" w:rsidRDefault="008725EE" w:rsidP="008725EE">
            <w:pPr>
              <w:suppressAutoHyphens/>
              <w:jc w:val="center"/>
              <w:rPr>
                <w:spacing w:val="-3"/>
              </w:rPr>
            </w:pPr>
            <w:r w:rsidRPr="008725EE">
              <w:rPr>
                <w:spacing w:val="-3"/>
              </w:rPr>
              <w:t>90%</w:t>
            </w:r>
          </w:p>
        </w:tc>
        <w:tc>
          <w:tcPr>
            <w:tcW w:w="1440" w:type="dxa"/>
            <w:vMerge w:val="restart"/>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27</w:t>
            </w:r>
          </w:p>
        </w:tc>
        <w:tc>
          <w:tcPr>
            <w:tcW w:w="1104" w:type="dxa"/>
          </w:tcPr>
          <w:p w:rsidR="008725EE" w:rsidRPr="008725EE" w:rsidRDefault="008725EE" w:rsidP="008725EE">
            <w:pPr>
              <w:suppressAutoHyphens/>
              <w:jc w:val="center"/>
              <w:rPr>
                <w:spacing w:val="-3"/>
              </w:rPr>
            </w:pPr>
            <w:r w:rsidRPr="008725EE">
              <w:rPr>
                <w:spacing w:val="-3"/>
              </w:rPr>
              <w:t>121</w:t>
            </w:r>
          </w:p>
        </w:tc>
        <w:tc>
          <w:tcPr>
            <w:tcW w:w="1596" w:type="dxa"/>
          </w:tcPr>
          <w:p w:rsidR="008725EE" w:rsidRPr="008725EE" w:rsidRDefault="008725EE" w:rsidP="008725EE">
            <w:pPr>
              <w:suppressAutoHyphens/>
              <w:jc w:val="right"/>
              <w:rPr>
                <w:spacing w:val="-3"/>
              </w:rPr>
            </w:pPr>
            <w:r w:rsidRPr="008725EE">
              <w:rPr>
                <w:spacing w:val="-3"/>
              </w:rPr>
              <w:t>$166,311.00</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Recordkeeping</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w:t>
            </w:r>
          </w:p>
        </w:tc>
        <w:tc>
          <w:tcPr>
            <w:tcW w:w="1104" w:type="dxa"/>
          </w:tcPr>
          <w:p w:rsidR="008725EE" w:rsidRPr="008725EE" w:rsidRDefault="008725EE" w:rsidP="008725EE">
            <w:pPr>
              <w:suppressAutoHyphens/>
              <w:jc w:val="center"/>
              <w:rPr>
                <w:spacing w:val="-3"/>
              </w:rPr>
            </w:pPr>
            <w:r w:rsidRPr="008725EE">
              <w:rPr>
                <w:spacing w:val="-3"/>
              </w:rPr>
              <w:t>7</w:t>
            </w:r>
          </w:p>
        </w:tc>
        <w:tc>
          <w:tcPr>
            <w:tcW w:w="1596" w:type="dxa"/>
          </w:tcPr>
          <w:p w:rsidR="008725EE" w:rsidRPr="008725EE" w:rsidRDefault="008725EE" w:rsidP="008725EE">
            <w:pPr>
              <w:suppressAutoHyphens/>
              <w:jc w:val="right"/>
              <w:rPr>
                <w:spacing w:val="-3"/>
              </w:rPr>
            </w:pPr>
            <w:r w:rsidRPr="008725EE">
              <w:rPr>
                <w:spacing w:val="-3"/>
              </w:rPr>
              <w:t>$9,239.50</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3</w:t>
            </w:r>
            <w:r w:rsidRPr="008725EE">
              <w:rPr>
                <w:spacing w:val="-3"/>
                <w:vertAlign w:val="superscript"/>
              </w:rPr>
              <w:t>rd</w:t>
            </w:r>
            <w:r w:rsidRPr="008725EE">
              <w:rPr>
                <w:spacing w:val="-3"/>
              </w:rPr>
              <w:t xml:space="preserve"> Party Disclosure</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w:t>
            </w:r>
          </w:p>
        </w:tc>
        <w:tc>
          <w:tcPr>
            <w:tcW w:w="1104" w:type="dxa"/>
          </w:tcPr>
          <w:p w:rsidR="008725EE" w:rsidRPr="008725EE" w:rsidRDefault="008725EE" w:rsidP="008725EE">
            <w:pPr>
              <w:suppressAutoHyphens/>
              <w:jc w:val="center"/>
              <w:rPr>
                <w:spacing w:val="-3"/>
              </w:rPr>
            </w:pPr>
            <w:r w:rsidRPr="008725EE">
              <w:rPr>
                <w:spacing w:val="-3"/>
              </w:rPr>
              <w:t>7</w:t>
            </w:r>
          </w:p>
        </w:tc>
        <w:tc>
          <w:tcPr>
            <w:tcW w:w="1596" w:type="dxa"/>
          </w:tcPr>
          <w:p w:rsidR="008725EE" w:rsidRPr="008725EE" w:rsidRDefault="008725EE" w:rsidP="008725EE">
            <w:pPr>
              <w:suppressAutoHyphens/>
              <w:jc w:val="right"/>
              <w:rPr>
                <w:spacing w:val="-3"/>
              </w:rPr>
            </w:pPr>
            <w:r w:rsidRPr="008725EE">
              <w:rPr>
                <w:spacing w:val="-3"/>
              </w:rPr>
              <w:t>$9,239.50</w:t>
            </w:r>
          </w:p>
        </w:tc>
      </w:tr>
      <w:tr w:rsidR="008725EE" w:rsidRPr="008725EE" w:rsidTr="002D282D">
        <w:tc>
          <w:tcPr>
            <w:tcW w:w="1620" w:type="dxa"/>
          </w:tcPr>
          <w:p w:rsidR="008725EE" w:rsidRPr="008725EE" w:rsidRDefault="008725EE" w:rsidP="008725EE">
            <w:pPr>
              <w:suppressAutoHyphens/>
              <w:rPr>
                <w:spacing w:val="-3"/>
              </w:rPr>
            </w:pPr>
            <w:r w:rsidRPr="008725EE">
              <w:rPr>
                <w:spacing w:val="-3"/>
              </w:rPr>
              <w:t>Federal Government</w:t>
            </w:r>
          </w:p>
        </w:tc>
        <w:tc>
          <w:tcPr>
            <w:tcW w:w="1980" w:type="dxa"/>
          </w:tcPr>
          <w:p w:rsidR="008725EE" w:rsidRPr="008725EE" w:rsidRDefault="008725EE" w:rsidP="008725EE">
            <w:pPr>
              <w:suppressAutoHyphens/>
              <w:rPr>
                <w:spacing w:val="-3"/>
              </w:rPr>
            </w:pPr>
          </w:p>
          <w:p w:rsidR="008725EE" w:rsidRPr="008725EE" w:rsidRDefault="008725EE" w:rsidP="008725EE">
            <w:pPr>
              <w:suppressAutoHyphens/>
              <w:jc w:val="center"/>
              <w:rPr>
                <w:spacing w:val="-3"/>
              </w:rPr>
            </w:pPr>
            <w:r w:rsidRPr="008725EE">
              <w:rPr>
                <w:spacing w:val="-3"/>
              </w:rPr>
              <w:t>5%</w:t>
            </w:r>
          </w:p>
        </w:tc>
        <w:tc>
          <w:tcPr>
            <w:tcW w:w="1080" w:type="dxa"/>
          </w:tcPr>
          <w:p w:rsidR="008725EE" w:rsidRPr="008725EE" w:rsidRDefault="008725EE" w:rsidP="008725EE">
            <w:pPr>
              <w:suppressAutoHyphens/>
              <w:jc w:val="center"/>
              <w:rPr>
                <w:spacing w:val="-3"/>
              </w:rPr>
            </w:pPr>
          </w:p>
        </w:tc>
        <w:tc>
          <w:tcPr>
            <w:tcW w:w="144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w:t>
            </w:r>
          </w:p>
        </w:tc>
        <w:tc>
          <w:tcPr>
            <w:tcW w:w="117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16</w:t>
            </w:r>
          </w:p>
        </w:tc>
        <w:tc>
          <w:tcPr>
            <w:tcW w:w="1104"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67</w:t>
            </w:r>
          </w:p>
        </w:tc>
        <w:tc>
          <w:tcPr>
            <w:tcW w:w="1596" w:type="dxa"/>
          </w:tcPr>
          <w:p w:rsidR="008725EE" w:rsidRPr="008725EE" w:rsidRDefault="008725EE" w:rsidP="008725EE">
            <w:pPr>
              <w:suppressAutoHyphens/>
              <w:jc w:val="right"/>
              <w:rPr>
                <w:spacing w:val="-3"/>
              </w:rPr>
            </w:pPr>
          </w:p>
          <w:p w:rsidR="008725EE" w:rsidRPr="008725EE" w:rsidRDefault="008725EE" w:rsidP="008725EE">
            <w:pPr>
              <w:suppressAutoHyphens/>
              <w:jc w:val="right"/>
              <w:rPr>
                <w:spacing w:val="-3"/>
              </w:rPr>
            </w:pPr>
            <w:r w:rsidRPr="008725EE">
              <w:rPr>
                <w:spacing w:val="-3"/>
              </w:rPr>
              <w:t>$92,395.00</w:t>
            </w:r>
          </w:p>
        </w:tc>
      </w:tr>
      <w:tr w:rsidR="008725EE" w:rsidRPr="008725EE" w:rsidTr="002D282D">
        <w:tc>
          <w:tcPr>
            <w:tcW w:w="1620" w:type="dxa"/>
            <w:vMerge w:val="restart"/>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Reporting</w:t>
            </w:r>
          </w:p>
        </w:tc>
        <w:tc>
          <w:tcPr>
            <w:tcW w:w="1080" w:type="dxa"/>
          </w:tcPr>
          <w:p w:rsidR="008725EE" w:rsidRPr="008725EE" w:rsidRDefault="008725EE" w:rsidP="008725EE">
            <w:pPr>
              <w:suppressAutoHyphens/>
              <w:jc w:val="center"/>
              <w:rPr>
                <w:spacing w:val="-3"/>
              </w:rPr>
            </w:pPr>
            <w:r w:rsidRPr="008725EE">
              <w:rPr>
                <w:spacing w:val="-3"/>
              </w:rPr>
              <w:t>90%</w:t>
            </w:r>
          </w:p>
        </w:tc>
        <w:tc>
          <w:tcPr>
            <w:tcW w:w="1440" w:type="dxa"/>
            <w:vMerge w:val="restart"/>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14</w:t>
            </w:r>
          </w:p>
        </w:tc>
        <w:tc>
          <w:tcPr>
            <w:tcW w:w="1104" w:type="dxa"/>
          </w:tcPr>
          <w:p w:rsidR="008725EE" w:rsidRPr="008725EE" w:rsidRDefault="008725EE" w:rsidP="008725EE">
            <w:pPr>
              <w:suppressAutoHyphens/>
              <w:jc w:val="center"/>
              <w:rPr>
                <w:spacing w:val="-3"/>
              </w:rPr>
            </w:pPr>
            <w:r w:rsidRPr="008725EE">
              <w:rPr>
                <w:spacing w:val="-3"/>
              </w:rPr>
              <w:t>61</w:t>
            </w:r>
          </w:p>
        </w:tc>
        <w:tc>
          <w:tcPr>
            <w:tcW w:w="1596" w:type="dxa"/>
          </w:tcPr>
          <w:p w:rsidR="008725EE" w:rsidRPr="008725EE" w:rsidRDefault="008725EE" w:rsidP="008725EE">
            <w:pPr>
              <w:suppressAutoHyphens/>
              <w:jc w:val="right"/>
              <w:rPr>
                <w:spacing w:val="-3"/>
              </w:rPr>
            </w:pPr>
            <w:r w:rsidRPr="008725EE">
              <w:rPr>
                <w:spacing w:val="-3"/>
              </w:rPr>
              <w:t>$83,155.50</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Recordkeeping</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w:t>
            </w:r>
          </w:p>
        </w:tc>
        <w:tc>
          <w:tcPr>
            <w:tcW w:w="1104" w:type="dxa"/>
          </w:tcPr>
          <w:p w:rsidR="008725EE" w:rsidRPr="008725EE" w:rsidRDefault="008725EE" w:rsidP="008725EE">
            <w:pPr>
              <w:suppressAutoHyphens/>
              <w:jc w:val="center"/>
              <w:rPr>
                <w:spacing w:val="-3"/>
              </w:rPr>
            </w:pPr>
            <w:r w:rsidRPr="008725EE">
              <w:rPr>
                <w:spacing w:val="-3"/>
              </w:rPr>
              <w:t>3</w:t>
            </w:r>
          </w:p>
        </w:tc>
        <w:tc>
          <w:tcPr>
            <w:tcW w:w="1596" w:type="dxa"/>
          </w:tcPr>
          <w:p w:rsidR="008725EE" w:rsidRPr="008725EE" w:rsidRDefault="008725EE" w:rsidP="008725EE">
            <w:pPr>
              <w:suppressAutoHyphens/>
              <w:jc w:val="right"/>
              <w:rPr>
                <w:spacing w:val="-3"/>
              </w:rPr>
            </w:pPr>
            <w:r w:rsidRPr="008725EE">
              <w:rPr>
                <w:spacing w:val="-3"/>
              </w:rPr>
              <w:t>$4,619.75</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3</w:t>
            </w:r>
            <w:r w:rsidRPr="008725EE">
              <w:rPr>
                <w:spacing w:val="-3"/>
                <w:vertAlign w:val="superscript"/>
              </w:rPr>
              <w:t>rd</w:t>
            </w:r>
            <w:r w:rsidRPr="008725EE">
              <w:rPr>
                <w:spacing w:val="-3"/>
              </w:rPr>
              <w:t xml:space="preserve"> Party Disclosure</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w:t>
            </w:r>
          </w:p>
        </w:tc>
        <w:tc>
          <w:tcPr>
            <w:tcW w:w="1104" w:type="dxa"/>
          </w:tcPr>
          <w:p w:rsidR="008725EE" w:rsidRPr="008725EE" w:rsidRDefault="008725EE" w:rsidP="008725EE">
            <w:pPr>
              <w:suppressAutoHyphens/>
              <w:jc w:val="center"/>
              <w:rPr>
                <w:spacing w:val="-3"/>
              </w:rPr>
            </w:pPr>
            <w:r w:rsidRPr="008725EE">
              <w:rPr>
                <w:spacing w:val="-3"/>
              </w:rPr>
              <w:t>3</w:t>
            </w:r>
          </w:p>
        </w:tc>
        <w:tc>
          <w:tcPr>
            <w:tcW w:w="1596" w:type="dxa"/>
          </w:tcPr>
          <w:p w:rsidR="008725EE" w:rsidRPr="008725EE" w:rsidRDefault="008725EE" w:rsidP="008725EE">
            <w:pPr>
              <w:suppressAutoHyphens/>
              <w:jc w:val="right"/>
              <w:rPr>
                <w:spacing w:val="-3"/>
              </w:rPr>
            </w:pPr>
            <w:r w:rsidRPr="008725EE">
              <w:rPr>
                <w:spacing w:val="-3"/>
              </w:rPr>
              <w:t>$4,619.75</w:t>
            </w:r>
          </w:p>
        </w:tc>
      </w:tr>
      <w:tr w:rsidR="008725EE" w:rsidRPr="008725EE" w:rsidTr="002D282D">
        <w:tc>
          <w:tcPr>
            <w:tcW w:w="1620" w:type="dxa"/>
          </w:tcPr>
          <w:p w:rsidR="008725EE" w:rsidRPr="008725EE" w:rsidRDefault="008725EE" w:rsidP="008725EE">
            <w:pPr>
              <w:suppressAutoHyphens/>
              <w:rPr>
                <w:spacing w:val="-3"/>
              </w:rPr>
            </w:pPr>
            <w:r w:rsidRPr="008725EE">
              <w:rPr>
                <w:spacing w:val="-3"/>
              </w:rPr>
              <w:t>Individuals or Household</w:t>
            </w:r>
          </w:p>
        </w:tc>
        <w:tc>
          <w:tcPr>
            <w:tcW w:w="1980" w:type="dxa"/>
          </w:tcPr>
          <w:p w:rsidR="008725EE" w:rsidRPr="008725EE" w:rsidRDefault="008725EE" w:rsidP="008725EE">
            <w:pPr>
              <w:suppressAutoHyphens/>
              <w:rPr>
                <w:spacing w:val="-3"/>
              </w:rPr>
            </w:pPr>
          </w:p>
          <w:p w:rsidR="008725EE" w:rsidRPr="008725EE" w:rsidRDefault="008725EE" w:rsidP="008725EE">
            <w:pPr>
              <w:suppressAutoHyphens/>
              <w:jc w:val="center"/>
              <w:rPr>
                <w:spacing w:val="-3"/>
              </w:rPr>
            </w:pPr>
            <w:r w:rsidRPr="008725EE">
              <w:rPr>
                <w:spacing w:val="-3"/>
              </w:rPr>
              <w:t>5%</w:t>
            </w:r>
          </w:p>
        </w:tc>
        <w:tc>
          <w:tcPr>
            <w:tcW w:w="1080" w:type="dxa"/>
          </w:tcPr>
          <w:p w:rsidR="008725EE" w:rsidRPr="008725EE" w:rsidRDefault="008725EE" w:rsidP="008725EE">
            <w:pPr>
              <w:suppressAutoHyphens/>
              <w:jc w:val="center"/>
              <w:rPr>
                <w:spacing w:val="-3"/>
              </w:rPr>
            </w:pPr>
          </w:p>
        </w:tc>
        <w:tc>
          <w:tcPr>
            <w:tcW w:w="144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w:t>
            </w:r>
          </w:p>
        </w:tc>
        <w:tc>
          <w:tcPr>
            <w:tcW w:w="1170"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16</w:t>
            </w:r>
          </w:p>
        </w:tc>
        <w:tc>
          <w:tcPr>
            <w:tcW w:w="1104" w:type="dxa"/>
          </w:tcPr>
          <w:p w:rsidR="008725EE" w:rsidRPr="008725EE" w:rsidRDefault="008725EE" w:rsidP="008725EE">
            <w:pPr>
              <w:suppressAutoHyphens/>
              <w:jc w:val="center"/>
              <w:rPr>
                <w:spacing w:val="-3"/>
              </w:rPr>
            </w:pPr>
          </w:p>
          <w:p w:rsidR="008725EE" w:rsidRPr="008725EE" w:rsidRDefault="008725EE" w:rsidP="008725EE">
            <w:pPr>
              <w:suppressAutoHyphens/>
              <w:jc w:val="center"/>
              <w:rPr>
                <w:spacing w:val="-3"/>
              </w:rPr>
            </w:pPr>
            <w:r w:rsidRPr="008725EE">
              <w:rPr>
                <w:spacing w:val="-3"/>
              </w:rPr>
              <w:t>67</w:t>
            </w:r>
          </w:p>
        </w:tc>
        <w:tc>
          <w:tcPr>
            <w:tcW w:w="1596" w:type="dxa"/>
          </w:tcPr>
          <w:p w:rsidR="008725EE" w:rsidRPr="008725EE" w:rsidRDefault="008725EE" w:rsidP="008725EE">
            <w:pPr>
              <w:suppressAutoHyphens/>
              <w:jc w:val="right"/>
              <w:rPr>
                <w:spacing w:val="-3"/>
              </w:rPr>
            </w:pPr>
          </w:p>
          <w:p w:rsidR="008725EE" w:rsidRPr="008725EE" w:rsidRDefault="008725EE" w:rsidP="008725EE">
            <w:pPr>
              <w:suppressAutoHyphens/>
              <w:jc w:val="right"/>
              <w:rPr>
                <w:spacing w:val="-3"/>
              </w:rPr>
            </w:pPr>
            <w:r w:rsidRPr="008725EE">
              <w:rPr>
                <w:spacing w:val="-3"/>
              </w:rPr>
              <w:t>$92,395.00</w:t>
            </w:r>
          </w:p>
        </w:tc>
      </w:tr>
      <w:tr w:rsidR="008725EE" w:rsidRPr="008725EE" w:rsidTr="002D282D">
        <w:tc>
          <w:tcPr>
            <w:tcW w:w="1620" w:type="dxa"/>
            <w:vMerge w:val="restart"/>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 xml:space="preserve">Reporting </w:t>
            </w:r>
          </w:p>
        </w:tc>
        <w:tc>
          <w:tcPr>
            <w:tcW w:w="1080" w:type="dxa"/>
          </w:tcPr>
          <w:p w:rsidR="008725EE" w:rsidRPr="008725EE" w:rsidRDefault="008725EE" w:rsidP="008725EE">
            <w:pPr>
              <w:suppressAutoHyphens/>
              <w:jc w:val="center"/>
              <w:rPr>
                <w:spacing w:val="-3"/>
              </w:rPr>
            </w:pPr>
            <w:r w:rsidRPr="008725EE">
              <w:rPr>
                <w:spacing w:val="-3"/>
              </w:rPr>
              <w:t>90%</w:t>
            </w:r>
          </w:p>
        </w:tc>
        <w:tc>
          <w:tcPr>
            <w:tcW w:w="1440" w:type="dxa"/>
            <w:vMerge w:val="restart"/>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14</w:t>
            </w:r>
          </w:p>
        </w:tc>
        <w:tc>
          <w:tcPr>
            <w:tcW w:w="1104" w:type="dxa"/>
          </w:tcPr>
          <w:p w:rsidR="008725EE" w:rsidRPr="008725EE" w:rsidRDefault="008725EE" w:rsidP="008725EE">
            <w:pPr>
              <w:suppressAutoHyphens/>
              <w:jc w:val="center"/>
              <w:rPr>
                <w:spacing w:val="-3"/>
              </w:rPr>
            </w:pPr>
            <w:r w:rsidRPr="008725EE">
              <w:rPr>
                <w:spacing w:val="-3"/>
              </w:rPr>
              <w:t>61</w:t>
            </w:r>
          </w:p>
        </w:tc>
        <w:tc>
          <w:tcPr>
            <w:tcW w:w="1596" w:type="dxa"/>
          </w:tcPr>
          <w:p w:rsidR="008725EE" w:rsidRPr="008725EE" w:rsidRDefault="008725EE" w:rsidP="008725EE">
            <w:pPr>
              <w:suppressAutoHyphens/>
              <w:jc w:val="right"/>
              <w:rPr>
                <w:spacing w:val="-3"/>
              </w:rPr>
            </w:pPr>
            <w:r w:rsidRPr="008725EE">
              <w:rPr>
                <w:spacing w:val="-3"/>
              </w:rPr>
              <w:t>$83,155.50</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Recordkeeping</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w:t>
            </w:r>
          </w:p>
        </w:tc>
        <w:tc>
          <w:tcPr>
            <w:tcW w:w="1104" w:type="dxa"/>
          </w:tcPr>
          <w:p w:rsidR="008725EE" w:rsidRPr="008725EE" w:rsidRDefault="008725EE" w:rsidP="008725EE">
            <w:pPr>
              <w:suppressAutoHyphens/>
              <w:jc w:val="center"/>
              <w:rPr>
                <w:spacing w:val="-3"/>
              </w:rPr>
            </w:pPr>
            <w:r w:rsidRPr="008725EE">
              <w:rPr>
                <w:spacing w:val="-3"/>
              </w:rPr>
              <w:t>3</w:t>
            </w:r>
          </w:p>
        </w:tc>
        <w:tc>
          <w:tcPr>
            <w:tcW w:w="1596" w:type="dxa"/>
          </w:tcPr>
          <w:p w:rsidR="008725EE" w:rsidRPr="008725EE" w:rsidRDefault="008725EE" w:rsidP="008725EE">
            <w:pPr>
              <w:suppressAutoHyphens/>
              <w:jc w:val="right"/>
              <w:rPr>
                <w:spacing w:val="-3"/>
              </w:rPr>
            </w:pPr>
            <w:r w:rsidRPr="008725EE">
              <w:rPr>
                <w:spacing w:val="-3"/>
              </w:rPr>
              <w:t>$4,619.75</w:t>
            </w:r>
          </w:p>
        </w:tc>
      </w:tr>
      <w:tr w:rsidR="008725EE" w:rsidRPr="008725EE" w:rsidTr="002D282D">
        <w:tc>
          <w:tcPr>
            <w:tcW w:w="1620" w:type="dxa"/>
            <w:vMerge/>
          </w:tcPr>
          <w:p w:rsidR="008725EE" w:rsidRPr="008725EE" w:rsidRDefault="008725EE" w:rsidP="008725EE">
            <w:pPr>
              <w:suppressAutoHyphens/>
              <w:rPr>
                <w:spacing w:val="-3"/>
              </w:rPr>
            </w:pPr>
          </w:p>
        </w:tc>
        <w:tc>
          <w:tcPr>
            <w:tcW w:w="1980" w:type="dxa"/>
          </w:tcPr>
          <w:p w:rsidR="008725EE" w:rsidRPr="008725EE" w:rsidRDefault="008725EE" w:rsidP="008725EE">
            <w:pPr>
              <w:suppressAutoHyphens/>
              <w:rPr>
                <w:spacing w:val="-3"/>
              </w:rPr>
            </w:pPr>
            <w:r w:rsidRPr="008725EE">
              <w:rPr>
                <w:spacing w:val="-3"/>
              </w:rPr>
              <w:t>3</w:t>
            </w:r>
            <w:r w:rsidRPr="008725EE">
              <w:rPr>
                <w:spacing w:val="-3"/>
                <w:vertAlign w:val="superscript"/>
              </w:rPr>
              <w:t>rd</w:t>
            </w:r>
            <w:r w:rsidRPr="008725EE">
              <w:rPr>
                <w:spacing w:val="-3"/>
              </w:rPr>
              <w:t xml:space="preserve"> Party Disclosure</w:t>
            </w:r>
          </w:p>
        </w:tc>
        <w:tc>
          <w:tcPr>
            <w:tcW w:w="1080" w:type="dxa"/>
          </w:tcPr>
          <w:p w:rsidR="008725EE" w:rsidRPr="008725EE" w:rsidRDefault="008725EE" w:rsidP="008725EE">
            <w:pPr>
              <w:suppressAutoHyphens/>
              <w:jc w:val="center"/>
              <w:rPr>
                <w:spacing w:val="-3"/>
              </w:rPr>
            </w:pPr>
            <w:r w:rsidRPr="008725EE">
              <w:rPr>
                <w:spacing w:val="-3"/>
              </w:rPr>
              <w:t>5%</w:t>
            </w:r>
          </w:p>
        </w:tc>
        <w:tc>
          <w:tcPr>
            <w:tcW w:w="1440" w:type="dxa"/>
            <w:vMerge/>
          </w:tcPr>
          <w:p w:rsidR="008725EE" w:rsidRPr="008725EE" w:rsidRDefault="008725EE" w:rsidP="008725EE">
            <w:pPr>
              <w:suppressAutoHyphens/>
              <w:jc w:val="center"/>
              <w:rPr>
                <w:spacing w:val="-3"/>
              </w:rPr>
            </w:pPr>
          </w:p>
        </w:tc>
        <w:tc>
          <w:tcPr>
            <w:tcW w:w="1170" w:type="dxa"/>
          </w:tcPr>
          <w:p w:rsidR="008725EE" w:rsidRPr="008725EE" w:rsidRDefault="008725EE" w:rsidP="008725EE">
            <w:pPr>
              <w:suppressAutoHyphens/>
              <w:jc w:val="center"/>
              <w:rPr>
                <w:spacing w:val="-3"/>
              </w:rPr>
            </w:pPr>
            <w:r w:rsidRPr="008725EE">
              <w:rPr>
                <w:spacing w:val="-3"/>
              </w:rPr>
              <w:t>1</w:t>
            </w:r>
          </w:p>
        </w:tc>
        <w:tc>
          <w:tcPr>
            <w:tcW w:w="1104" w:type="dxa"/>
          </w:tcPr>
          <w:p w:rsidR="008725EE" w:rsidRPr="008725EE" w:rsidRDefault="008725EE" w:rsidP="008725EE">
            <w:pPr>
              <w:suppressAutoHyphens/>
              <w:jc w:val="center"/>
              <w:rPr>
                <w:spacing w:val="-3"/>
              </w:rPr>
            </w:pPr>
            <w:r w:rsidRPr="008725EE">
              <w:rPr>
                <w:spacing w:val="-3"/>
              </w:rPr>
              <w:t>3</w:t>
            </w:r>
          </w:p>
        </w:tc>
        <w:tc>
          <w:tcPr>
            <w:tcW w:w="1596" w:type="dxa"/>
          </w:tcPr>
          <w:p w:rsidR="008725EE" w:rsidRPr="008725EE" w:rsidRDefault="008725EE" w:rsidP="008725EE">
            <w:pPr>
              <w:suppressAutoHyphens/>
              <w:jc w:val="right"/>
              <w:rPr>
                <w:spacing w:val="-3"/>
              </w:rPr>
            </w:pPr>
            <w:r w:rsidRPr="008725EE">
              <w:rPr>
                <w:spacing w:val="-3"/>
              </w:rPr>
              <w:t>$4,619.75</w:t>
            </w:r>
          </w:p>
        </w:tc>
      </w:tr>
      <w:tr w:rsidR="008725EE" w:rsidRPr="008725EE" w:rsidTr="002D282D">
        <w:trPr>
          <w:trHeight w:val="431"/>
        </w:trPr>
        <w:tc>
          <w:tcPr>
            <w:tcW w:w="4680" w:type="dxa"/>
            <w:gridSpan w:val="3"/>
          </w:tcPr>
          <w:p w:rsidR="008725EE" w:rsidRPr="008725EE" w:rsidRDefault="008725EE" w:rsidP="008725EE">
            <w:pPr>
              <w:suppressAutoHyphens/>
              <w:jc w:val="right"/>
              <w:rPr>
                <w:b/>
                <w:spacing w:val="-3"/>
              </w:rPr>
            </w:pPr>
          </w:p>
          <w:p w:rsidR="008725EE" w:rsidRPr="008725EE" w:rsidRDefault="008725EE" w:rsidP="008725EE">
            <w:pPr>
              <w:suppressAutoHyphens/>
              <w:jc w:val="center"/>
              <w:rPr>
                <w:b/>
                <w:spacing w:val="-3"/>
              </w:rPr>
            </w:pPr>
            <w:r w:rsidRPr="008725EE">
              <w:rPr>
                <w:b/>
                <w:spacing w:val="-3"/>
              </w:rPr>
              <w:t>TOTALS</w:t>
            </w:r>
          </w:p>
        </w:tc>
        <w:tc>
          <w:tcPr>
            <w:tcW w:w="144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20</w:t>
            </w:r>
          </w:p>
        </w:tc>
        <w:tc>
          <w:tcPr>
            <w:tcW w:w="1170"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301</w:t>
            </w:r>
          </w:p>
        </w:tc>
        <w:tc>
          <w:tcPr>
            <w:tcW w:w="1104" w:type="dxa"/>
          </w:tcPr>
          <w:p w:rsidR="008725EE" w:rsidRPr="008725EE" w:rsidRDefault="008725EE" w:rsidP="008725EE">
            <w:pPr>
              <w:suppressAutoHyphens/>
              <w:jc w:val="center"/>
              <w:rPr>
                <w:b/>
                <w:spacing w:val="-3"/>
              </w:rPr>
            </w:pPr>
          </w:p>
          <w:p w:rsidR="008725EE" w:rsidRPr="008725EE" w:rsidRDefault="008725EE" w:rsidP="008725EE">
            <w:pPr>
              <w:suppressAutoHyphens/>
              <w:jc w:val="center"/>
              <w:rPr>
                <w:b/>
                <w:spacing w:val="-3"/>
              </w:rPr>
            </w:pPr>
            <w:r w:rsidRPr="008725EE">
              <w:rPr>
                <w:b/>
                <w:spacing w:val="-3"/>
              </w:rPr>
              <w:t>1,349</w:t>
            </w:r>
          </w:p>
        </w:tc>
        <w:tc>
          <w:tcPr>
            <w:tcW w:w="1596" w:type="dxa"/>
          </w:tcPr>
          <w:p w:rsidR="008725EE" w:rsidRPr="008725EE" w:rsidRDefault="008725EE" w:rsidP="008725EE">
            <w:pPr>
              <w:suppressAutoHyphens/>
              <w:jc w:val="right"/>
              <w:rPr>
                <w:b/>
                <w:spacing w:val="-3"/>
              </w:rPr>
            </w:pPr>
          </w:p>
          <w:p w:rsidR="008725EE" w:rsidRPr="008725EE" w:rsidRDefault="008725EE" w:rsidP="008725EE">
            <w:pPr>
              <w:suppressAutoHyphens/>
              <w:jc w:val="right"/>
              <w:rPr>
                <w:b/>
                <w:spacing w:val="-3"/>
              </w:rPr>
            </w:pPr>
            <w:r w:rsidRPr="008725EE">
              <w:rPr>
                <w:b/>
                <w:spacing w:val="-3"/>
              </w:rPr>
              <w:t>$1,847,900.00</w:t>
            </w:r>
          </w:p>
        </w:tc>
      </w:tr>
    </w:tbl>
    <w:p w:rsidR="008725EE" w:rsidRPr="008725EE" w:rsidRDefault="008725EE" w:rsidP="008725EE">
      <w:pPr>
        <w:suppressAutoHyphens/>
        <w:spacing w:after="0" w:line="240" w:lineRule="auto"/>
        <w:jc w:val="center"/>
        <w:rPr>
          <w:rFonts w:ascii="Times New Roman" w:eastAsia="Times New Roman" w:hAnsi="Times New Roman" w:cs="Times New Roman"/>
          <w:b/>
          <w:spacing w:val="-3"/>
        </w:rPr>
      </w:pPr>
    </w:p>
    <w:p w:rsidR="008725EE" w:rsidRPr="008725EE" w:rsidRDefault="008725EE" w:rsidP="008725EE">
      <w:pPr>
        <w:suppressAutoHyphens/>
        <w:spacing w:after="0" w:line="240" w:lineRule="auto"/>
        <w:jc w:val="center"/>
        <w:rPr>
          <w:rFonts w:ascii="Times New Roman" w:eastAsia="Times New Roman" w:hAnsi="Times New Roman" w:cs="Times New Roman"/>
          <w:b/>
          <w:spacing w:val="-3"/>
        </w:rPr>
      </w:pPr>
    </w:p>
    <w:p w:rsidR="008725EE" w:rsidRPr="008725EE" w:rsidRDefault="008725EE" w:rsidP="009A02CA">
      <w:pPr>
        <w:suppressAutoHyphens/>
        <w:spacing w:after="0" w:line="240" w:lineRule="auto"/>
        <w:ind w:left="36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14.</w:t>
      </w:r>
      <w:r w:rsidRPr="008725EE">
        <w:rPr>
          <w:rFonts w:ascii="Times New Roman" w:eastAsia="Times New Roman" w:hAnsi="Times New Roman" w:cs="Times New Roman"/>
          <w:spacing w:val="-3"/>
        </w:rPr>
        <w:tab/>
        <w:t xml:space="preserve">Cost to the Federal Government:  </w:t>
      </w:r>
    </w:p>
    <w:p w:rsidR="008725EE" w:rsidRPr="008725EE" w:rsidRDefault="008725EE" w:rsidP="008725EE">
      <w:pPr>
        <w:suppressAutoHyphens/>
        <w:spacing w:after="0" w:line="240" w:lineRule="auto"/>
        <w:rPr>
          <w:rFonts w:ascii="Times New Roman" w:eastAsia="Times New Roman" w:hAnsi="Times New Roman" w:cs="Times New Roman"/>
          <w:spacing w:val="-3"/>
        </w:rPr>
      </w:pPr>
    </w:p>
    <w:p w:rsidR="008725EE" w:rsidRPr="008725EE" w:rsidRDefault="008725EE" w:rsidP="009A02CA">
      <w:pPr>
        <w:suppressAutoHyphens/>
        <w:spacing w:after="0" w:line="240" w:lineRule="auto"/>
        <w:ind w:left="360"/>
        <w:rPr>
          <w:rFonts w:ascii="Times New Roman" w:eastAsia="Times New Roman" w:hAnsi="Times New Roman" w:cs="Times New Roman"/>
          <w:spacing w:val="-3"/>
        </w:rPr>
      </w:pPr>
      <w:r w:rsidRPr="008725EE">
        <w:rPr>
          <w:rFonts w:ascii="Times New Roman" w:eastAsia="Times New Roman" w:hAnsi="Times New Roman" w:cs="Times New Roman"/>
          <w:spacing w:val="-3"/>
        </w:rPr>
        <w:lastRenderedPageBreak/>
        <w:t xml:space="preserve">The Commission will use staff attorneys at the GS-15 level ($70/hour) to review the material submitted for each formal complaint proceeding.  It is estimated that this staff attorney would spend </w:t>
      </w:r>
      <w:proofErr w:type="gramStart"/>
      <w:r w:rsidRPr="008725EE">
        <w:rPr>
          <w:rFonts w:ascii="Times New Roman" w:eastAsia="Times New Roman" w:hAnsi="Times New Roman" w:cs="Times New Roman"/>
          <w:spacing w:val="-3"/>
        </w:rPr>
        <w:t>approximately  48</w:t>
      </w:r>
      <w:proofErr w:type="gramEnd"/>
      <w:r w:rsidRPr="008725EE">
        <w:rPr>
          <w:rFonts w:ascii="Times New Roman" w:eastAsia="Times New Roman" w:hAnsi="Times New Roman" w:cs="Times New Roman"/>
          <w:spacing w:val="-3"/>
        </w:rPr>
        <w:t xml:space="preserve"> hours in this review.  It is further estimated that this staff attorney would also spend approximately 16 hours reviewing the Best and Final Offers.</w:t>
      </w:r>
    </w:p>
    <w:p w:rsidR="008725EE" w:rsidRPr="008725EE" w:rsidRDefault="008725EE" w:rsidP="007443AD">
      <w:pPr>
        <w:suppressAutoHyphens/>
        <w:spacing w:after="0" w:line="240" w:lineRule="auto"/>
        <w:ind w:left="360"/>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20 complaint proceeding filings </w:t>
      </w:r>
      <w:r w:rsidRPr="008725EE">
        <w:rPr>
          <w:rFonts w:ascii="Times New Roman" w:eastAsia="Times New Roman" w:hAnsi="Times New Roman" w:cs="Times New Roman"/>
          <w:spacing w:val="-3"/>
        </w:rPr>
        <w:tab/>
        <w:t>x $70/</w:t>
      </w:r>
      <w:proofErr w:type="gramStart"/>
      <w:r w:rsidRPr="008725EE">
        <w:rPr>
          <w:rFonts w:ascii="Times New Roman" w:eastAsia="Times New Roman" w:hAnsi="Times New Roman" w:cs="Times New Roman"/>
          <w:spacing w:val="-3"/>
        </w:rPr>
        <w:t>hour  x</w:t>
      </w:r>
      <w:proofErr w:type="gramEnd"/>
      <w:r w:rsidRPr="008725EE">
        <w:rPr>
          <w:rFonts w:ascii="Times New Roman" w:eastAsia="Times New Roman" w:hAnsi="Times New Roman" w:cs="Times New Roman"/>
          <w:spacing w:val="-3"/>
        </w:rPr>
        <w:t xml:space="preserve">  48 hours =  $67, 200</w:t>
      </w:r>
    </w:p>
    <w:p w:rsidR="008725EE" w:rsidRPr="008725EE" w:rsidRDefault="008725EE" w:rsidP="007443AD">
      <w:pPr>
        <w:suppressAutoHyphens/>
        <w:spacing w:after="0" w:line="240" w:lineRule="auto"/>
        <w:ind w:left="360"/>
        <w:rPr>
          <w:rFonts w:ascii="Times New Roman" w:eastAsia="Times New Roman" w:hAnsi="Times New Roman" w:cs="Times New Roman"/>
          <w:spacing w:val="-3"/>
        </w:rPr>
      </w:pPr>
      <w:r w:rsidRPr="008725EE">
        <w:rPr>
          <w:rFonts w:ascii="Times New Roman" w:eastAsia="Times New Roman" w:hAnsi="Times New Roman" w:cs="Times New Roman"/>
          <w:spacing w:val="-3"/>
          <w:u w:val="single"/>
        </w:rPr>
        <w:t>4 Best and Final Offer Review</w:t>
      </w:r>
      <w:r w:rsidRPr="008725EE">
        <w:rPr>
          <w:rFonts w:ascii="Times New Roman" w:eastAsia="Times New Roman" w:hAnsi="Times New Roman" w:cs="Times New Roman"/>
          <w:spacing w:val="-3"/>
          <w:u w:val="single"/>
        </w:rPr>
        <w:tab/>
        <w:t>x $70/</w:t>
      </w:r>
      <w:proofErr w:type="gramStart"/>
      <w:r w:rsidRPr="008725EE">
        <w:rPr>
          <w:rFonts w:ascii="Times New Roman" w:eastAsia="Times New Roman" w:hAnsi="Times New Roman" w:cs="Times New Roman"/>
          <w:spacing w:val="-3"/>
          <w:u w:val="single"/>
        </w:rPr>
        <w:t>hour  x</w:t>
      </w:r>
      <w:proofErr w:type="gramEnd"/>
      <w:r w:rsidRPr="008725EE">
        <w:rPr>
          <w:rFonts w:ascii="Times New Roman" w:eastAsia="Times New Roman" w:hAnsi="Times New Roman" w:cs="Times New Roman"/>
          <w:spacing w:val="-3"/>
          <w:u w:val="single"/>
        </w:rPr>
        <w:t xml:space="preserve">  4 hours  =     $ 1,120</w:t>
      </w:r>
      <w:r w:rsidRPr="008725EE">
        <w:rPr>
          <w:rFonts w:ascii="Times New Roman" w:eastAsia="Times New Roman" w:hAnsi="Times New Roman" w:cs="Times New Roman"/>
          <w:spacing w:val="-3"/>
        </w:rPr>
        <w:tab/>
      </w:r>
    </w:p>
    <w:p w:rsidR="008725EE" w:rsidRPr="008725EE" w:rsidRDefault="008725EE" w:rsidP="007443AD">
      <w:pPr>
        <w:suppressAutoHyphens/>
        <w:spacing w:after="0" w:line="240" w:lineRule="auto"/>
        <w:ind w:left="360"/>
        <w:rPr>
          <w:rFonts w:ascii="Times New Roman" w:eastAsia="Times New Roman" w:hAnsi="Times New Roman" w:cs="Times New Roman"/>
          <w:b/>
          <w:spacing w:val="-3"/>
        </w:rPr>
      </w:pPr>
      <w:r w:rsidRPr="008725EE">
        <w:rPr>
          <w:rFonts w:ascii="Times New Roman" w:eastAsia="Times New Roman" w:hAnsi="Times New Roman" w:cs="Times New Roman"/>
          <w:b/>
          <w:spacing w:val="-3"/>
        </w:rPr>
        <w:t>Total Cost to the Federal Government:</w:t>
      </w:r>
      <w:r w:rsidRPr="008725EE">
        <w:rPr>
          <w:rFonts w:ascii="Times New Roman" w:eastAsia="Times New Roman" w:hAnsi="Times New Roman" w:cs="Times New Roman"/>
          <w:b/>
          <w:spacing w:val="-3"/>
        </w:rPr>
        <w:tab/>
      </w:r>
      <w:r w:rsidRPr="008725EE">
        <w:rPr>
          <w:rFonts w:ascii="Times New Roman" w:eastAsia="Times New Roman" w:hAnsi="Times New Roman" w:cs="Times New Roman"/>
          <w:b/>
          <w:spacing w:val="-3"/>
        </w:rPr>
        <w:tab/>
      </w:r>
      <w:r w:rsidRPr="008725EE">
        <w:rPr>
          <w:rFonts w:ascii="Times New Roman" w:eastAsia="Times New Roman" w:hAnsi="Times New Roman" w:cs="Times New Roman"/>
          <w:b/>
          <w:spacing w:val="-3"/>
        </w:rPr>
        <w:tab/>
        <w:t xml:space="preserve">  $68, 320</w:t>
      </w:r>
    </w:p>
    <w:p w:rsidR="008725EE" w:rsidRPr="008725EE" w:rsidRDefault="008725EE" w:rsidP="007443AD">
      <w:pPr>
        <w:suppressAutoHyphens/>
        <w:spacing w:after="0" w:line="240" w:lineRule="auto"/>
        <w:ind w:left="360"/>
        <w:jc w:val="both"/>
        <w:rPr>
          <w:rFonts w:ascii="Times New Roman" w:eastAsia="Times New Roman" w:hAnsi="Times New Roman" w:cs="Times New Roman"/>
          <w:spacing w:val="-3"/>
        </w:rPr>
      </w:pPr>
    </w:p>
    <w:p w:rsidR="008725EE" w:rsidRPr="008725EE" w:rsidRDefault="008725EE" w:rsidP="00C77435">
      <w:pPr>
        <w:suppressAutoHyphens/>
        <w:spacing w:after="0" w:line="240" w:lineRule="auto"/>
        <w:ind w:left="36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15.  The Commission notes two changes to this information collection since the previous submission:</w:t>
      </w:r>
    </w:p>
    <w:p w:rsidR="008725EE" w:rsidRPr="008725EE" w:rsidRDefault="008725EE" w:rsidP="00C77435">
      <w:pPr>
        <w:suppressAutoHyphens/>
        <w:spacing w:after="0" w:line="240" w:lineRule="auto"/>
        <w:ind w:left="360" w:hanging="360"/>
        <w:rPr>
          <w:rFonts w:ascii="Times New Roman" w:eastAsia="Times New Roman" w:hAnsi="Times New Roman" w:cs="Times New Roman"/>
          <w:spacing w:val="-3"/>
        </w:rPr>
      </w:pPr>
    </w:p>
    <w:p w:rsidR="008725EE" w:rsidRPr="008725EE" w:rsidRDefault="008725EE" w:rsidP="00C77435">
      <w:pPr>
        <w:suppressAutoHyphens/>
        <w:spacing w:after="0" w:line="240" w:lineRule="auto"/>
        <w:ind w:left="72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(a) We have made various non-substantive changes to FCC Form 485; and </w:t>
      </w:r>
    </w:p>
    <w:p w:rsidR="008725EE" w:rsidRPr="008725EE" w:rsidRDefault="008725EE" w:rsidP="00C77435">
      <w:pPr>
        <w:suppressAutoHyphens/>
        <w:spacing w:after="0" w:line="240" w:lineRule="auto"/>
        <w:ind w:left="720" w:hanging="360"/>
        <w:rPr>
          <w:rFonts w:ascii="Times New Roman" w:eastAsia="Times New Roman" w:hAnsi="Times New Roman" w:cs="Times New Roman"/>
          <w:spacing w:val="-3"/>
        </w:rPr>
      </w:pPr>
    </w:p>
    <w:p w:rsidR="008725EE" w:rsidRPr="008725EE" w:rsidRDefault="008725EE" w:rsidP="00C77435">
      <w:pPr>
        <w:suppressAutoHyphens/>
        <w:spacing w:after="0" w:line="240" w:lineRule="auto"/>
        <w:ind w:left="720" w:hanging="360"/>
        <w:rPr>
          <w:rFonts w:ascii="Times New Roman" w:eastAsia="Times New Roman" w:hAnsi="Times New Roman" w:cs="Times New Roman"/>
        </w:rPr>
      </w:pPr>
      <w:r w:rsidRPr="008725EE">
        <w:rPr>
          <w:rFonts w:ascii="Times New Roman" w:eastAsia="Times New Roman" w:hAnsi="Times New Roman" w:cs="Times New Roman"/>
          <w:spacing w:val="-3"/>
        </w:rPr>
        <w:t xml:space="preserve">(b) We have increased our estimate of the time that it takes to review these materials will require 48 rather than 24 hours as previously reported.  </w:t>
      </w:r>
    </w:p>
    <w:p w:rsidR="008725EE" w:rsidRPr="008725EE" w:rsidRDefault="008725EE" w:rsidP="00C77435">
      <w:pPr>
        <w:suppressAutoHyphens/>
        <w:spacing w:after="0" w:line="240" w:lineRule="auto"/>
        <w:ind w:left="360" w:hanging="360"/>
        <w:rPr>
          <w:rFonts w:ascii="Times New Roman" w:eastAsia="Times New Roman" w:hAnsi="Times New Roman" w:cs="Times New Roman"/>
          <w:spacing w:val="-3"/>
        </w:rPr>
      </w:pPr>
    </w:p>
    <w:p w:rsidR="008725EE" w:rsidRPr="008725EE" w:rsidRDefault="008725EE" w:rsidP="00C77435">
      <w:pPr>
        <w:suppressAutoHyphens/>
        <w:spacing w:after="0" w:line="240" w:lineRule="auto"/>
        <w:ind w:left="36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16.</w:t>
      </w:r>
      <w:r w:rsidRPr="008725EE">
        <w:rPr>
          <w:rFonts w:ascii="Times New Roman" w:eastAsia="Times New Roman" w:hAnsi="Times New Roman" w:cs="Times New Roman"/>
          <w:spacing w:val="-3"/>
        </w:rPr>
        <w:tab/>
        <w:t xml:space="preserve">The data will not be published.  </w:t>
      </w:r>
    </w:p>
    <w:p w:rsidR="008725EE" w:rsidRPr="008725EE" w:rsidRDefault="008725EE" w:rsidP="00C77435">
      <w:pPr>
        <w:suppressAutoHyphens/>
        <w:spacing w:after="0" w:line="240" w:lineRule="auto"/>
        <w:ind w:left="360" w:hanging="360"/>
        <w:jc w:val="both"/>
        <w:rPr>
          <w:rFonts w:ascii="Times New Roman" w:eastAsia="Times New Roman" w:hAnsi="Times New Roman" w:cs="Times New Roman"/>
          <w:spacing w:val="-3"/>
        </w:rPr>
      </w:pPr>
    </w:p>
    <w:p w:rsidR="008725EE" w:rsidRPr="008725EE" w:rsidRDefault="008725EE" w:rsidP="00C77435">
      <w:pPr>
        <w:suppressAutoHyphens/>
        <w:spacing w:after="0" w:line="240" w:lineRule="auto"/>
        <w:ind w:left="360" w:hanging="360"/>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17. </w:t>
      </w:r>
      <w:r w:rsidRPr="008725EE">
        <w:rPr>
          <w:rFonts w:ascii="Times New Roman" w:eastAsia="Times New Roman" w:hAnsi="Times New Roman" w:cs="Times New Roman"/>
          <w:spacing w:val="-3"/>
        </w:rPr>
        <w:tab/>
        <w:t>An extension of the waiver not to publish the expiration date on the FCC Form 485 is requested.  The Commission will use an edition date in lieu of the OMB expiration date.  This will obviate the need for the Commission to destroy existing stock of forms upon the expiration of the clearance.  OMB approval of the expiration date of the information collection will be displayed at 47 C.F.R. § 0.408.</w:t>
      </w:r>
    </w:p>
    <w:p w:rsidR="008725EE" w:rsidRPr="008725EE" w:rsidRDefault="008725EE" w:rsidP="00C77435">
      <w:pPr>
        <w:suppressAutoHyphens/>
        <w:spacing w:after="0" w:line="240" w:lineRule="auto"/>
        <w:ind w:left="360" w:hanging="360"/>
        <w:jc w:val="both"/>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 </w:t>
      </w:r>
    </w:p>
    <w:p w:rsidR="008725EE" w:rsidRPr="008725EE" w:rsidRDefault="008725EE" w:rsidP="00C77435">
      <w:pPr>
        <w:suppressAutoHyphens/>
        <w:spacing w:after="0" w:line="240" w:lineRule="auto"/>
        <w:ind w:left="360" w:hanging="360"/>
        <w:rPr>
          <w:rFonts w:ascii="Times New Roman" w:eastAsia="Times New Roman" w:hAnsi="Times New Roman" w:cs="Times New Roman"/>
        </w:rPr>
      </w:pPr>
      <w:r w:rsidRPr="008725EE">
        <w:rPr>
          <w:rFonts w:ascii="Times New Roman" w:eastAsia="Times New Roman" w:hAnsi="Times New Roman" w:cs="Times New Roman"/>
          <w:spacing w:val="-3"/>
        </w:rPr>
        <w:t>18.  There are no exception</w:t>
      </w:r>
      <w:r w:rsidR="00B951B1">
        <w:rPr>
          <w:rFonts w:ascii="Times New Roman" w:eastAsia="Times New Roman" w:hAnsi="Times New Roman" w:cs="Times New Roman"/>
          <w:spacing w:val="-3"/>
        </w:rPr>
        <w:t>s</w:t>
      </w:r>
      <w:r w:rsidRPr="008725EE">
        <w:rPr>
          <w:rFonts w:ascii="Times New Roman" w:eastAsia="Times New Roman" w:hAnsi="Times New Roman" w:cs="Times New Roman"/>
          <w:spacing w:val="-3"/>
        </w:rPr>
        <w:t xml:space="preserve"> to the Certification Statement in Item 19. </w:t>
      </w:r>
    </w:p>
    <w:p w:rsidR="008725EE" w:rsidRPr="008725EE" w:rsidRDefault="008725EE" w:rsidP="008725EE">
      <w:pPr>
        <w:suppressAutoHyphens/>
        <w:spacing w:after="0" w:line="240" w:lineRule="auto"/>
        <w:rPr>
          <w:rFonts w:ascii="Times New Roman" w:eastAsia="Times New Roman" w:hAnsi="Times New Roman" w:cs="Times New Roman"/>
          <w:sz w:val="24"/>
          <w:szCs w:val="20"/>
          <w:shd w:val="clear" w:color="auto" w:fill="FFFF99"/>
        </w:rPr>
      </w:pPr>
    </w:p>
    <w:p w:rsidR="008725EE" w:rsidRPr="008725EE" w:rsidRDefault="008725EE" w:rsidP="008725EE">
      <w:pPr>
        <w:spacing w:after="0" w:line="240" w:lineRule="auto"/>
        <w:rPr>
          <w:rFonts w:ascii="Times New Roman" w:eastAsia="Times New Roman" w:hAnsi="Times New Roman" w:cs="Times New Roman"/>
          <w:shd w:val="clear" w:color="auto" w:fill="FFFF99"/>
        </w:rPr>
      </w:pPr>
      <w:r w:rsidRPr="008725EE">
        <w:rPr>
          <w:rFonts w:ascii="Times New Roman" w:eastAsia="Times New Roman" w:hAnsi="Times New Roman" w:cs="Times New Roman"/>
          <w:shd w:val="clear" w:color="auto" w:fill="FFFF99"/>
        </w:rPr>
        <w:t xml:space="preserve"> </w:t>
      </w:r>
    </w:p>
    <w:p w:rsidR="008725EE" w:rsidRPr="008725EE" w:rsidRDefault="008725EE" w:rsidP="008725EE">
      <w:pPr>
        <w:suppressAutoHyphens/>
        <w:spacing w:after="0" w:line="240" w:lineRule="auto"/>
        <w:jc w:val="both"/>
        <w:rPr>
          <w:rFonts w:ascii="Times New Roman" w:eastAsia="Times New Roman" w:hAnsi="Times New Roman" w:cs="Times New Roman"/>
          <w:b/>
          <w:spacing w:val="-3"/>
        </w:rPr>
      </w:pPr>
      <w:r w:rsidRPr="008725EE">
        <w:rPr>
          <w:rFonts w:ascii="Times New Roman" w:eastAsia="Times New Roman" w:hAnsi="Times New Roman" w:cs="Times New Roman"/>
          <w:b/>
          <w:spacing w:val="-3"/>
          <w:u w:val="single"/>
        </w:rPr>
        <w:t>B.  Collections of Information Employing Statistical Methods</w:t>
      </w:r>
      <w:r w:rsidRPr="008725EE">
        <w:rPr>
          <w:rFonts w:ascii="Times New Roman" w:eastAsia="Times New Roman" w:hAnsi="Times New Roman" w:cs="Times New Roman"/>
          <w:b/>
          <w:spacing w:val="-3"/>
        </w:rPr>
        <w:t>:</w:t>
      </w:r>
    </w:p>
    <w:p w:rsidR="008725EE" w:rsidRPr="008725EE" w:rsidRDefault="008725EE" w:rsidP="008725EE">
      <w:pPr>
        <w:suppressAutoHyphens/>
        <w:spacing w:after="0" w:line="240" w:lineRule="auto"/>
        <w:jc w:val="both"/>
        <w:rPr>
          <w:rFonts w:ascii="Times New Roman" w:eastAsia="Times New Roman" w:hAnsi="Times New Roman" w:cs="Times New Roman"/>
          <w:spacing w:val="-3"/>
        </w:rPr>
      </w:pPr>
    </w:p>
    <w:p w:rsidR="008725EE" w:rsidRPr="008725EE" w:rsidRDefault="008725EE" w:rsidP="008725EE">
      <w:pPr>
        <w:suppressAutoHyphens/>
        <w:spacing w:after="0" w:line="240" w:lineRule="auto"/>
        <w:jc w:val="both"/>
        <w:rPr>
          <w:rFonts w:ascii="Times New Roman" w:eastAsia="Times New Roman" w:hAnsi="Times New Roman" w:cs="Times New Roman"/>
          <w:spacing w:val="-3"/>
        </w:rPr>
      </w:pPr>
      <w:r w:rsidRPr="008725EE">
        <w:rPr>
          <w:rFonts w:ascii="Times New Roman" w:eastAsia="Times New Roman" w:hAnsi="Times New Roman" w:cs="Times New Roman"/>
          <w:spacing w:val="-3"/>
        </w:rPr>
        <w:t xml:space="preserve">    This information collection does not employ any statistical methods.</w:t>
      </w:r>
    </w:p>
    <w:p w:rsidR="008725EE" w:rsidRPr="008725EE" w:rsidRDefault="008725EE" w:rsidP="008725EE">
      <w:pPr>
        <w:spacing w:after="0" w:line="240" w:lineRule="auto"/>
        <w:rPr>
          <w:rFonts w:ascii="Times New Roman" w:eastAsia="Times New Roman" w:hAnsi="Times New Roman" w:cs="Times New Roman"/>
          <w:color w:val="FF0000"/>
        </w:rPr>
      </w:pPr>
    </w:p>
    <w:p w:rsidR="00E2650D" w:rsidRDefault="00E2650D"/>
    <w:sectPr w:rsidR="00E2650D" w:rsidSect="003C0465">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EE" w:rsidRDefault="008725EE" w:rsidP="008725EE">
      <w:pPr>
        <w:spacing w:after="0" w:line="240" w:lineRule="auto"/>
      </w:pPr>
      <w:r>
        <w:separator/>
      </w:r>
    </w:p>
  </w:endnote>
  <w:endnote w:type="continuationSeparator" w:id="0">
    <w:p w:rsidR="008725EE" w:rsidRDefault="008725EE" w:rsidP="0087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1A" w:rsidRDefault="00957F7E" w:rsidP="00CF7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0D1A" w:rsidRDefault="00957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1A" w:rsidRPr="00CF0490" w:rsidRDefault="00957F7E" w:rsidP="00CF7F1C">
    <w:pPr>
      <w:pStyle w:val="Footer"/>
      <w:framePr w:wrap="around" w:vAnchor="text" w:hAnchor="margin" w:xAlign="center" w:y="1"/>
      <w:rPr>
        <w:rStyle w:val="PageNumber"/>
        <w:sz w:val="20"/>
      </w:rPr>
    </w:pPr>
    <w:r w:rsidRPr="00CF0490">
      <w:rPr>
        <w:rStyle w:val="PageNumber"/>
        <w:sz w:val="20"/>
      </w:rPr>
      <w:fldChar w:fldCharType="begin"/>
    </w:r>
    <w:r w:rsidRPr="00CF0490">
      <w:rPr>
        <w:rStyle w:val="PageNumber"/>
        <w:sz w:val="20"/>
      </w:rPr>
      <w:instrText xml:space="preserve">PAGE  </w:instrText>
    </w:r>
    <w:r w:rsidRPr="00CF0490">
      <w:rPr>
        <w:rStyle w:val="PageNumber"/>
        <w:sz w:val="20"/>
      </w:rPr>
      <w:fldChar w:fldCharType="separate"/>
    </w:r>
    <w:r>
      <w:rPr>
        <w:rStyle w:val="PageNumber"/>
        <w:noProof/>
        <w:sz w:val="20"/>
      </w:rPr>
      <w:t>12</w:t>
    </w:r>
    <w:r w:rsidRPr="00CF0490">
      <w:rPr>
        <w:rStyle w:val="PageNumber"/>
        <w:sz w:val="20"/>
      </w:rPr>
      <w:fldChar w:fldCharType="end"/>
    </w:r>
  </w:p>
  <w:p w:rsidR="00910D1A" w:rsidRDefault="00957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1A" w:rsidRPr="008B13B1" w:rsidRDefault="00957F7E" w:rsidP="008B13B1">
    <w:pPr>
      <w:pStyle w:val="Footer"/>
      <w:framePr w:wrap="around" w:vAnchor="text" w:hAnchor="page" w:x="6022" w:y="-83"/>
      <w:rPr>
        <w:rStyle w:val="PageNumber"/>
        <w:sz w:val="20"/>
      </w:rPr>
    </w:pPr>
    <w:r w:rsidRPr="008B13B1">
      <w:rPr>
        <w:rStyle w:val="PageNumber"/>
        <w:sz w:val="20"/>
      </w:rPr>
      <w:fldChar w:fldCharType="begin"/>
    </w:r>
    <w:r w:rsidRPr="008B13B1">
      <w:rPr>
        <w:rStyle w:val="PageNumber"/>
        <w:sz w:val="20"/>
      </w:rPr>
      <w:instrText xml:space="preserve">PAGE  </w:instrText>
    </w:r>
    <w:r w:rsidRPr="008B13B1">
      <w:rPr>
        <w:rStyle w:val="PageNumber"/>
        <w:sz w:val="20"/>
      </w:rPr>
      <w:fldChar w:fldCharType="separate"/>
    </w:r>
    <w:r>
      <w:rPr>
        <w:rStyle w:val="PageNumber"/>
        <w:noProof/>
        <w:sz w:val="20"/>
      </w:rPr>
      <w:t>1</w:t>
    </w:r>
    <w:r w:rsidRPr="008B13B1">
      <w:rPr>
        <w:rStyle w:val="PageNumber"/>
        <w:sz w:val="20"/>
      </w:rPr>
      <w:fldChar w:fldCharType="end"/>
    </w:r>
  </w:p>
  <w:p w:rsidR="00910D1A" w:rsidRDefault="00957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EE" w:rsidRDefault="008725EE" w:rsidP="008725EE">
      <w:pPr>
        <w:spacing w:after="0" w:line="240" w:lineRule="auto"/>
      </w:pPr>
      <w:r>
        <w:separator/>
      </w:r>
    </w:p>
  </w:footnote>
  <w:footnote w:type="continuationSeparator" w:id="0">
    <w:p w:rsidR="008725EE" w:rsidRDefault="008725EE" w:rsidP="008725EE">
      <w:pPr>
        <w:spacing w:after="0" w:line="240" w:lineRule="auto"/>
      </w:pPr>
      <w:r>
        <w:continuationSeparator/>
      </w:r>
    </w:p>
  </w:footnote>
  <w:footnote w:id="1">
    <w:p w:rsidR="008725EE" w:rsidRPr="00062101" w:rsidRDefault="008725EE" w:rsidP="008725EE">
      <w:pPr>
        <w:rPr>
          <w:sz w:val="20"/>
        </w:rPr>
      </w:pPr>
      <w:r w:rsidRPr="00062101">
        <w:rPr>
          <w:rStyle w:val="FootnoteReference"/>
          <w:sz w:val="20"/>
        </w:rPr>
        <w:footnoteRef/>
      </w:r>
      <w:r w:rsidRPr="00062101">
        <w:rPr>
          <w:sz w:val="20"/>
        </w:rPr>
        <w:t xml:space="preserve"> The rules require that respondents prepare written responses to a collection of information in fewer than 30 days after receipt.  A defendant to a complaint action is required to file an answer within 20 days of service of a complaint.  A complainant is required to file a reply within 3 days of service of the answer.  Parties may also be required to file, in less than 30 days after receipt of the documents requiring responses, joint statements, briefs, applications for Commission review of staff decisions, and objections to recommended decisions.  These response times are necessary to the expeditious resolution of </w:t>
      </w:r>
      <w:r>
        <w:rPr>
          <w:sz w:val="20"/>
        </w:rPr>
        <w:t xml:space="preserve">formal </w:t>
      </w:r>
      <w:r w:rsidRPr="00062101">
        <w:rPr>
          <w:sz w:val="20"/>
        </w:rPr>
        <w:t>complaints (some of which are subject to statutory deadlines).</w:t>
      </w:r>
      <w:r w:rsidRPr="00062101">
        <w:rPr>
          <w:b/>
          <w:sz w:val="20"/>
        </w:rPr>
        <w:t xml:space="preserve">  </w:t>
      </w:r>
    </w:p>
    <w:p w:rsidR="008725EE" w:rsidRDefault="008725EE" w:rsidP="008725EE">
      <w:pPr>
        <w:pStyle w:val="FootnoteText"/>
      </w:pPr>
    </w:p>
  </w:footnote>
  <w:footnote w:id="2">
    <w:p w:rsidR="008725EE" w:rsidRPr="003E1F74" w:rsidRDefault="008725EE" w:rsidP="008725EE">
      <w:pPr>
        <w:pStyle w:val="FootnoteText"/>
      </w:pPr>
      <w:r w:rsidRPr="003E1F74">
        <w:rPr>
          <w:rStyle w:val="FootnoteReference"/>
        </w:rPr>
        <w:footnoteRef/>
      </w:r>
      <w:r w:rsidRPr="003E1F74">
        <w:t xml:space="preserve"> The Commission has made slight modifications to the percentages for each of the four respondent groups.  This was done to fit OMB’s ROCIS electronic calculation matrix.  We believe that in a three year period, for the reporting, recordkeeping, and third party disclosure requirements, the percentages attributable to businesses may range from 80% to 90%; for state, local, or tribal governments from 8% to 10%; for the Federal Government from 1% to 5%; and for individuals or households from 1% to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1A" w:rsidRPr="007A1D1A" w:rsidRDefault="00957F7E" w:rsidP="003C0465">
    <w:pPr>
      <w:pStyle w:val="Header"/>
      <w:rPr>
        <w:b/>
      </w:rPr>
    </w:pPr>
    <w:r w:rsidRPr="007A1D1A">
      <w:rPr>
        <w:b/>
      </w:rPr>
      <w:t>3060-0411</w:t>
    </w:r>
    <w:r w:rsidRPr="007A1D1A">
      <w:rPr>
        <w:b/>
      </w:rPr>
      <w:tab/>
    </w:r>
    <w:r w:rsidRPr="007A1D1A">
      <w:rPr>
        <w:b/>
      </w:rPr>
      <w:tab/>
    </w:r>
    <w:r>
      <w:rPr>
        <w:b/>
      </w:rPr>
      <w:t>June 2014</w:t>
    </w:r>
  </w:p>
  <w:p w:rsidR="00910D1A" w:rsidRPr="007A1D1A" w:rsidRDefault="00957F7E" w:rsidP="003C0465">
    <w:pPr>
      <w:pStyle w:val="Header"/>
      <w:rPr>
        <w:b/>
      </w:rPr>
    </w:pPr>
    <w:r w:rsidRPr="007A1D1A">
      <w:rPr>
        <w:b/>
      </w:rPr>
      <w:t>Procedures for Formal Complaints</w:t>
    </w:r>
  </w:p>
  <w:p w:rsidR="00910D1A" w:rsidRDefault="00957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1A" w:rsidRPr="007A1D1A" w:rsidRDefault="00957F7E">
    <w:pPr>
      <w:pStyle w:val="Header"/>
      <w:rPr>
        <w:b/>
      </w:rPr>
    </w:pPr>
    <w:r w:rsidRPr="007A1D1A">
      <w:rPr>
        <w:b/>
      </w:rPr>
      <w:t>3060-0411</w:t>
    </w:r>
    <w:r w:rsidRPr="007A1D1A">
      <w:rPr>
        <w:b/>
      </w:rPr>
      <w:tab/>
    </w:r>
    <w:r w:rsidRPr="007A1D1A">
      <w:rPr>
        <w:b/>
      </w:rPr>
      <w:tab/>
    </w:r>
    <w:r>
      <w:rPr>
        <w:b/>
      </w:rPr>
      <w:t>September</w:t>
    </w:r>
    <w:r w:rsidRPr="007A1D1A">
      <w:rPr>
        <w:b/>
      </w:rPr>
      <w:t xml:space="preserve"> 201</w:t>
    </w:r>
    <w:r>
      <w:rPr>
        <w:b/>
      </w:rPr>
      <w:t>4</w:t>
    </w:r>
  </w:p>
  <w:p w:rsidR="00910D1A" w:rsidRPr="007A1D1A" w:rsidRDefault="00957F7E">
    <w:pPr>
      <w:pStyle w:val="Header"/>
      <w:rPr>
        <w:b/>
      </w:rPr>
    </w:pPr>
    <w:r w:rsidRPr="007A1D1A">
      <w:rPr>
        <w:b/>
      </w:rPr>
      <w:t>Procedures for Formal Complaints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BFE"/>
    <w:multiLevelType w:val="hybridMultilevel"/>
    <w:tmpl w:val="145680B8"/>
    <w:lvl w:ilvl="0" w:tplc="01CC30C0">
      <w:start w:val="1"/>
      <w:numFmt w:val="bullet"/>
      <w:lvlText w:val=""/>
      <w:lvlJc w:val="left"/>
      <w:pPr>
        <w:tabs>
          <w:tab w:val="num" w:pos="720"/>
        </w:tabs>
        <w:ind w:left="720" w:hanging="720"/>
      </w:pPr>
      <w:rPr>
        <w:rFonts w:ascii="Symbol" w:hAnsi="Symbol" w:hint="default"/>
      </w:rPr>
    </w:lvl>
    <w:lvl w:ilvl="1" w:tplc="2D4AE4A4">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253EC5"/>
    <w:multiLevelType w:val="hybridMultilevel"/>
    <w:tmpl w:val="B39AA922"/>
    <w:lvl w:ilvl="0" w:tplc="01CC30C0">
      <w:start w:val="1"/>
      <w:numFmt w:val="bullet"/>
      <w:lvlText w:val=""/>
      <w:lvlJc w:val="left"/>
      <w:pPr>
        <w:tabs>
          <w:tab w:val="num" w:pos="720"/>
        </w:tabs>
        <w:ind w:left="720" w:hanging="720"/>
      </w:pPr>
      <w:rPr>
        <w:rFonts w:ascii="Symbol" w:hAnsi="Symbol" w:hint="default"/>
      </w:rPr>
    </w:lvl>
    <w:lvl w:ilvl="1" w:tplc="CFD840B4">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5117A2"/>
    <w:multiLevelType w:val="hybridMultilevel"/>
    <w:tmpl w:val="CCC2A52E"/>
    <w:lvl w:ilvl="0" w:tplc="69E87E9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7904E3"/>
    <w:multiLevelType w:val="hybridMultilevel"/>
    <w:tmpl w:val="2F52A18A"/>
    <w:lvl w:ilvl="0" w:tplc="64B851A4">
      <w:start w:val="1"/>
      <w:numFmt w:val="bullet"/>
      <w:lvlText w:val=""/>
      <w:lvlJc w:val="left"/>
      <w:pPr>
        <w:tabs>
          <w:tab w:val="num" w:pos="1440"/>
        </w:tabs>
        <w:ind w:left="1440" w:hanging="720"/>
      </w:pPr>
      <w:rPr>
        <w:rFonts w:ascii="Wingdings" w:hAnsi="Wingdings" w:hint="default"/>
      </w:rPr>
    </w:lvl>
    <w:lvl w:ilvl="1" w:tplc="21F89E78">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CA2694"/>
    <w:multiLevelType w:val="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72E47AC"/>
    <w:multiLevelType w:val="hybridMultilevel"/>
    <w:tmpl w:val="1070F1C0"/>
    <w:lvl w:ilvl="0" w:tplc="01CC30C0">
      <w:start w:val="1"/>
      <w:numFmt w:val="bullet"/>
      <w:lvlText w:val=""/>
      <w:lvlJc w:val="left"/>
      <w:pPr>
        <w:tabs>
          <w:tab w:val="num" w:pos="720"/>
        </w:tabs>
        <w:ind w:left="720" w:hanging="720"/>
      </w:pPr>
      <w:rPr>
        <w:rFonts w:ascii="Symbol" w:hAnsi="Symbol" w:hint="default"/>
      </w:rPr>
    </w:lvl>
    <w:lvl w:ilvl="1" w:tplc="21F89E78">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850D12"/>
    <w:multiLevelType w:val="hybridMultilevel"/>
    <w:tmpl w:val="CE3C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9F6EEB"/>
    <w:multiLevelType w:val="hybridMultilevel"/>
    <w:tmpl w:val="0F5E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drawingGridHorizontalSpacing w:val="21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43"/>
    <w:rsid w:val="000478C2"/>
    <w:rsid w:val="000C70CA"/>
    <w:rsid w:val="000D7903"/>
    <w:rsid w:val="00145743"/>
    <w:rsid w:val="001702CB"/>
    <w:rsid w:val="00232871"/>
    <w:rsid w:val="00411833"/>
    <w:rsid w:val="005A442A"/>
    <w:rsid w:val="0069615C"/>
    <w:rsid w:val="006D219A"/>
    <w:rsid w:val="007443AD"/>
    <w:rsid w:val="007B5512"/>
    <w:rsid w:val="008242EC"/>
    <w:rsid w:val="00853EAD"/>
    <w:rsid w:val="008725EE"/>
    <w:rsid w:val="00957F7E"/>
    <w:rsid w:val="009A02CA"/>
    <w:rsid w:val="009C690C"/>
    <w:rsid w:val="00A510ED"/>
    <w:rsid w:val="00A73CAE"/>
    <w:rsid w:val="00B951B1"/>
    <w:rsid w:val="00C61B23"/>
    <w:rsid w:val="00C77435"/>
    <w:rsid w:val="00D74DE2"/>
    <w:rsid w:val="00E2650D"/>
    <w:rsid w:val="00E266D1"/>
    <w:rsid w:val="00F31F0B"/>
    <w:rsid w:val="00F42336"/>
    <w:rsid w:val="00F642AC"/>
    <w:rsid w:val="00F9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725EE"/>
  </w:style>
  <w:style w:type="paragraph" w:styleId="BalloonText">
    <w:name w:val="Balloon Text"/>
    <w:basedOn w:val="Normal"/>
    <w:link w:val="BalloonTextChar"/>
    <w:semiHidden/>
    <w:rsid w:val="008725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725EE"/>
    <w:rPr>
      <w:rFonts w:ascii="Tahoma" w:eastAsia="Times New Roman" w:hAnsi="Tahoma" w:cs="Tahoma"/>
      <w:sz w:val="16"/>
      <w:szCs w:val="16"/>
    </w:rPr>
  </w:style>
  <w:style w:type="table" w:styleId="TableGrid">
    <w:name w:val="Table Grid"/>
    <w:basedOn w:val="TableNormal"/>
    <w:rsid w:val="008725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725E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8725EE"/>
    <w:rPr>
      <w:rFonts w:ascii="Times New Roman" w:eastAsia="Times New Roman" w:hAnsi="Times New Roman" w:cs="Times New Roman"/>
      <w:sz w:val="24"/>
      <w:szCs w:val="20"/>
    </w:rPr>
  </w:style>
  <w:style w:type="character" w:styleId="PageNumber">
    <w:name w:val="page number"/>
    <w:basedOn w:val="DefaultParagraphFont"/>
    <w:rsid w:val="008725EE"/>
  </w:style>
  <w:style w:type="paragraph" w:styleId="Header">
    <w:name w:val="header"/>
    <w:basedOn w:val="Normal"/>
    <w:link w:val="HeaderChar"/>
    <w:rsid w:val="008725E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725EE"/>
    <w:rPr>
      <w:rFonts w:ascii="Times New Roman" w:eastAsia="Times New Roman" w:hAnsi="Times New Roman" w:cs="Times New Roman"/>
      <w:sz w:val="24"/>
      <w:szCs w:val="20"/>
    </w:rPr>
  </w:style>
  <w:style w:type="paragraph" w:styleId="FootnoteText">
    <w:name w:val="footnote text"/>
    <w:basedOn w:val="Normal"/>
    <w:link w:val="FootnoteTextChar"/>
    <w:semiHidden/>
    <w:rsid w:val="00872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25EE"/>
    <w:rPr>
      <w:rFonts w:ascii="Times New Roman" w:eastAsia="Times New Roman" w:hAnsi="Times New Roman" w:cs="Times New Roman"/>
      <w:sz w:val="20"/>
      <w:szCs w:val="20"/>
    </w:rPr>
  </w:style>
  <w:style w:type="character" w:styleId="FootnoteReference">
    <w:name w:val="footnote reference"/>
    <w:semiHidden/>
    <w:rsid w:val="008725EE"/>
    <w:rPr>
      <w:vertAlign w:val="superscript"/>
    </w:rPr>
  </w:style>
  <w:style w:type="character" w:styleId="Hyperlink">
    <w:name w:val="Hyperlink"/>
    <w:rsid w:val="008725EE"/>
    <w:rPr>
      <w:color w:val="0000FF"/>
      <w:u w:val="single"/>
    </w:rPr>
  </w:style>
  <w:style w:type="character" w:styleId="CommentReference">
    <w:name w:val="annotation reference"/>
    <w:semiHidden/>
    <w:rsid w:val="008725EE"/>
    <w:rPr>
      <w:sz w:val="16"/>
      <w:szCs w:val="16"/>
    </w:rPr>
  </w:style>
  <w:style w:type="paragraph" w:styleId="CommentText">
    <w:name w:val="annotation text"/>
    <w:basedOn w:val="Normal"/>
    <w:link w:val="CommentTextChar"/>
    <w:semiHidden/>
    <w:rsid w:val="008725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725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25EE"/>
    <w:rPr>
      <w:b/>
      <w:bCs/>
    </w:rPr>
  </w:style>
  <w:style w:type="character" w:customStyle="1" w:styleId="CommentSubjectChar">
    <w:name w:val="Comment Subject Char"/>
    <w:basedOn w:val="CommentTextChar"/>
    <w:link w:val="CommentSubject"/>
    <w:semiHidden/>
    <w:rsid w:val="008725EE"/>
    <w:rPr>
      <w:rFonts w:ascii="Times New Roman" w:eastAsia="Times New Roman" w:hAnsi="Times New Roman" w:cs="Times New Roman"/>
      <w:b/>
      <w:bCs/>
      <w:sz w:val="20"/>
      <w:szCs w:val="20"/>
    </w:rPr>
  </w:style>
  <w:style w:type="paragraph" w:styleId="ListParagraph">
    <w:name w:val="List Paragraph"/>
    <w:basedOn w:val="Normal"/>
    <w:uiPriority w:val="34"/>
    <w:qFormat/>
    <w:rsid w:val="008725EE"/>
    <w:pPr>
      <w:spacing w:after="0" w:line="240" w:lineRule="auto"/>
      <w:ind w:left="720"/>
      <w:contextualSpacing/>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725EE"/>
  </w:style>
  <w:style w:type="paragraph" w:styleId="BalloonText">
    <w:name w:val="Balloon Text"/>
    <w:basedOn w:val="Normal"/>
    <w:link w:val="BalloonTextChar"/>
    <w:semiHidden/>
    <w:rsid w:val="008725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725EE"/>
    <w:rPr>
      <w:rFonts w:ascii="Tahoma" w:eastAsia="Times New Roman" w:hAnsi="Tahoma" w:cs="Tahoma"/>
      <w:sz w:val="16"/>
      <w:szCs w:val="16"/>
    </w:rPr>
  </w:style>
  <w:style w:type="table" w:styleId="TableGrid">
    <w:name w:val="Table Grid"/>
    <w:basedOn w:val="TableNormal"/>
    <w:rsid w:val="008725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725E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8725EE"/>
    <w:rPr>
      <w:rFonts w:ascii="Times New Roman" w:eastAsia="Times New Roman" w:hAnsi="Times New Roman" w:cs="Times New Roman"/>
      <w:sz w:val="24"/>
      <w:szCs w:val="20"/>
    </w:rPr>
  </w:style>
  <w:style w:type="character" w:styleId="PageNumber">
    <w:name w:val="page number"/>
    <w:basedOn w:val="DefaultParagraphFont"/>
    <w:rsid w:val="008725EE"/>
  </w:style>
  <w:style w:type="paragraph" w:styleId="Header">
    <w:name w:val="header"/>
    <w:basedOn w:val="Normal"/>
    <w:link w:val="HeaderChar"/>
    <w:rsid w:val="008725E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725EE"/>
    <w:rPr>
      <w:rFonts w:ascii="Times New Roman" w:eastAsia="Times New Roman" w:hAnsi="Times New Roman" w:cs="Times New Roman"/>
      <w:sz w:val="24"/>
      <w:szCs w:val="20"/>
    </w:rPr>
  </w:style>
  <w:style w:type="paragraph" w:styleId="FootnoteText">
    <w:name w:val="footnote text"/>
    <w:basedOn w:val="Normal"/>
    <w:link w:val="FootnoteTextChar"/>
    <w:semiHidden/>
    <w:rsid w:val="00872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725EE"/>
    <w:rPr>
      <w:rFonts w:ascii="Times New Roman" w:eastAsia="Times New Roman" w:hAnsi="Times New Roman" w:cs="Times New Roman"/>
      <w:sz w:val="20"/>
      <w:szCs w:val="20"/>
    </w:rPr>
  </w:style>
  <w:style w:type="character" w:styleId="FootnoteReference">
    <w:name w:val="footnote reference"/>
    <w:semiHidden/>
    <w:rsid w:val="008725EE"/>
    <w:rPr>
      <w:vertAlign w:val="superscript"/>
    </w:rPr>
  </w:style>
  <w:style w:type="character" w:styleId="Hyperlink">
    <w:name w:val="Hyperlink"/>
    <w:rsid w:val="008725EE"/>
    <w:rPr>
      <w:color w:val="0000FF"/>
      <w:u w:val="single"/>
    </w:rPr>
  </w:style>
  <w:style w:type="character" w:styleId="CommentReference">
    <w:name w:val="annotation reference"/>
    <w:semiHidden/>
    <w:rsid w:val="008725EE"/>
    <w:rPr>
      <w:sz w:val="16"/>
      <w:szCs w:val="16"/>
    </w:rPr>
  </w:style>
  <w:style w:type="paragraph" w:styleId="CommentText">
    <w:name w:val="annotation text"/>
    <w:basedOn w:val="Normal"/>
    <w:link w:val="CommentTextChar"/>
    <w:semiHidden/>
    <w:rsid w:val="008725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725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25EE"/>
    <w:rPr>
      <w:b/>
      <w:bCs/>
    </w:rPr>
  </w:style>
  <w:style w:type="character" w:customStyle="1" w:styleId="CommentSubjectChar">
    <w:name w:val="Comment Subject Char"/>
    <w:basedOn w:val="CommentTextChar"/>
    <w:link w:val="CommentSubject"/>
    <w:semiHidden/>
    <w:rsid w:val="008725EE"/>
    <w:rPr>
      <w:rFonts w:ascii="Times New Roman" w:eastAsia="Times New Roman" w:hAnsi="Times New Roman" w:cs="Times New Roman"/>
      <w:b/>
      <w:bCs/>
      <w:sz w:val="20"/>
      <w:szCs w:val="20"/>
    </w:rPr>
  </w:style>
  <w:style w:type="paragraph" w:styleId="ListParagraph">
    <w:name w:val="List Paragraph"/>
    <w:basedOn w:val="Normal"/>
    <w:uiPriority w:val="34"/>
    <w:qFormat/>
    <w:rsid w:val="008725EE"/>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 Smith</dc:creator>
  <cp:lastModifiedBy>Leslie F Smith</cp:lastModifiedBy>
  <cp:revision>8</cp:revision>
  <dcterms:created xsi:type="dcterms:W3CDTF">2014-09-22T16:58:00Z</dcterms:created>
  <dcterms:modified xsi:type="dcterms:W3CDTF">2014-09-22T18:56:00Z</dcterms:modified>
</cp:coreProperties>
</file>