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FF" w:rsidRPr="007C5A72" w:rsidRDefault="005E15FF" w:rsidP="000614CE">
      <w:pPr>
        <w:tabs>
          <w:tab w:val="left" w:pos="4860"/>
        </w:tabs>
        <w:ind w:left="4860" w:hanging="4860"/>
        <w:outlineLvl w:val="0"/>
        <w:rPr>
          <w:b/>
          <w:bCs/>
        </w:rPr>
      </w:pPr>
      <w:r w:rsidRPr="007C5A72">
        <w:rPr>
          <w:b/>
          <w:bCs/>
        </w:rPr>
        <w:t>Memorandum</w:t>
      </w:r>
    </w:p>
    <w:p w:rsidR="005E15FF" w:rsidRPr="007C5A72" w:rsidRDefault="005E15FF" w:rsidP="005E15FF">
      <w:pPr>
        <w:rPr>
          <w:b/>
          <w:bCs/>
        </w:rPr>
      </w:pPr>
    </w:p>
    <w:p w:rsidR="005E15FF" w:rsidRPr="007C5A72" w:rsidRDefault="005E15FF" w:rsidP="005E15FF">
      <w:pPr>
        <w:rPr>
          <w:b/>
          <w:bCs/>
        </w:rPr>
      </w:pPr>
      <w:r w:rsidRPr="007C5A72">
        <w:rPr>
          <w:b/>
          <w:bCs/>
        </w:rPr>
        <w:t>Date:</w:t>
      </w:r>
      <w:r w:rsidRPr="007C5A72">
        <w:rPr>
          <w:b/>
          <w:bCs/>
        </w:rPr>
        <w:tab/>
      </w:r>
      <w:r w:rsidRPr="007C5A72">
        <w:rPr>
          <w:b/>
          <w:bCs/>
        </w:rPr>
        <w:tab/>
      </w:r>
      <w:r w:rsidR="00FC08F5">
        <w:rPr>
          <w:b/>
          <w:bCs/>
        </w:rPr>
        <w:t>September 20, 2016</w:t>
      </w:r>
      <w:bookmarkStart w:id="0" w:name="_GoBack"/>
      <w:bookmarkEnd w:id="0"/>
    </w:p>
    <w:p w:rsidR="005E15FF" w:rsidRPr="007C5A72" w:rsidRDefault="005E15FF" w:rsidP="005E15FF">
      <w:pPr>
        <w:rPr>
          <w:b/>
          <w:bCs/>
        </w:rPr>
      </w:pPr>
    </w:p>
    <w:p w:rsidR="005E15FF" w:rsidRPr="007C5A72" w:rsidRDefault="005E15FF" w:rsidP="005E15FF">
      <w:pPr>
        <w:rPr>
          <w:b/>
          <w:bCs/>
        </w:rPr>
      </w:pPr>
      <w:r w:rsidRPr="007C5A72">
        <w:rPr>
          <w:b/>
          <w:bCs/>
        </w:rPr>
        <w:t>To:</w:t>
      </w:r>
      <w:r w:rsidRPr="007C5A72">
        <w:rPr>
          <w:b/>
          <w:bCs/>
        </w:rPr>
        <w:tab/>
      </w:r>
      <w:r w:rsidRPr="007C5A72">
        <w:rPr>
          <w:b/>
          <w:bCs/>
        </w:rPr>
        <w:tab/>
      </w:r>
      <w:r w:rsidR="00CA2A51" w:rsidRPr="007C5A72">
        <w:rPr>
          <w:b/>
          <w:bCs/>
        </w:rPr>
        <w:t>Steph</w:t>
      </w:r>
      <w:r w:rsidR="007A2F2A" w:rsidRPr="007C5A72">
        <w:rPr>
          <w:b/>
          <w:bCs/>
        </w:rPr>
        <w:t>anie</w:t>
      </w:r>
      <w:r w:rsidR="00CA2A51" w:rsidRPr="007C5A72">
        <w:rPr>
          <w:b/>
          <w:bCs/>
        </w:rPr>
        <w:t xml:space="preserve"> </w:t>
      </w:r>
      <w:proofErr w:type="spellStart"/>
      <w:r w:rsidR="00CA2A51" w:rsidRPr="007C5A72">
        <w:rPr>
          <w:b/>
          <w:bCs/>
        </w:rPr>
        <w:t>Tath</w:t>
      </w:r>
      <w:r w:rsidR="00BF2BD3">
        <w:rPr>
          <w:b/>
          <w:bCs/>
        </w:rPr>
        <w:t>a</w:t>
      </w:r>
      <w:r w:rsidR="00CA2A51" w:rsidRPr="007C5A72">
        <w:rPr>
          <w:b/>
          <w:bCs/>
        </w:rPr>
        <w:t>m</w:t>
      </w:r>
      <w:proofErr w:type="spellEnd"/>
      <w:r w:rsidRPr="007C5A72">
        <w:rPr>
          <w:b/>
          <w:bCs/>
        </w:rPr>
        <w:t>, OMB Desk Officer</w:t>
      </w:r>
    </w:p>
    <w:p w:rsidR="005E15FF" w:rsidRPr="007C5A72" w:rsidRDefault="005E15FF" w:rsidP="005E15FF">
      <w:pPr>
        <w:rPr>
          <w:b/>
          <w:bCs/>
        </w:rPr>
      </w:pPr>
    </w:p>
    <w:p w:rsidR="005E15FF" w:rsidRPr="007C5A72" w:rsidRDefault="005E15FF" w:rsidP="005E15FF">
      <w:pPr>
        <w:ind w:left="1440" w:hanging="1440"/>
        <w:rPr>
          <w:b/>
          <w:bCs/>
        </w:rPr>
      </w:pPr>
      <w:r w:rsidRPr="007C5A72">
        <w:rPr>
          <w:b/>
          <w:bCs/>
        </w:rPr>
        <w:t>Through:</w:t>
      </w:r>
      <w:r w:rsidRPr="007C5A72">
        <w:rPr>
          <w:b/>
          <w:bCs/>
        </w:rPr>
        <w:tab/>
        <w:t xml:space="preserve">Ruth Brown, United States Department of Agriculture, </w:t>
      </w:r>
      <w:proofErr w:type="gramStart"/>
      <w:r w:rsidRPr="007C5A72">
        <w:rPr>
          <w:b/>
          <w:bCs/>
        </w:rPr>
        <w:t>Office</w:t>
      </w:r>
      <w:proofErr w:type="gramEnd"/>
      <w:r w:rsidRPr="007C5A72">
        <w:rPr>
          <w:b/>
          <w:bCs/>
        </w:rPr>
        <w:t xml:space="preserve"> of Chief Information Office</w:t>
      </w:r>
      <w:r w:rsidR="00812CB1">
        <w:rPr>
          <w:b/>
          <w:bCs/>
        </w:rPr>
        <w:br/>
      </w:r>
    </w:p>
    <w:p w:rsidR="00CA2A51" w:rsidRPr="000E1784" w:rsidRDefault="005E15FF" w:rsidP="000E1784">
      <w:pPr>
        <w:rPr>
          <w:b/>
        </w:rPr>
      </w:pPr>
      <w:r w:rsidRPr="000E1784">
        <w:rPr>
          <w:b/>
        </w:rPr>
        <w:t xml:space="preserve">From:  </w:t>
      </w:r>
      <w:r w:rsidRPr="000E1784">
        <w:rPr>
          <w:b/>
        </w:rPr>
        <w:tab/>
      </w:r>
      <w:r w:rsidR="00CA2A51" w:rsidRPr="000E1784">
        <w:rPr>
          <w:b/>
        </w:rPr>
        <w:t>Lynnette Thomas</w:t>
      </w:r>
    </w:p>
    <w:p w:rsidR="005E15FF" w:rsidRPr="000E1784" w:rsidRDefault="00CA2A51" w:rsidP="000E1784">
      <w:pPr>
        <w:ind w:left="720" w:firstLine="720"/>
        <w:rPr>
          <w:b/>
        </w:rPr>
      </w:pPr>
      <w:r w:rsidRPr="000E1784">
        <w:rPr>
          <w:b/>
        </w:rPr>
        <w:t>Food and Nutrition Service, Branch Chief, Planning &amp; Regulatory Affairs</w:t>
      </w:r>
      <w:r w:rsidR="00812CB1" w:rsidRPr="000E1784">
        <w:rPr>
          <w:b/>
        </w:rPr>
        <w:br/>
      </w:r>
    </w:p>
    <w:p w:rsidR="005E15FF" w:rsidRPr="007C5A72" w:rsidRDefault="005E15FF" w:rsidP="005E15FF">
      <w:pPr>
        <w:ind w:left="1440" w:hanging="1440"/>
        <w:rPr>
          <w:b/>
          <w:bCs/>
        </w:rPr>
      </w:pPr>
      <w:r w:rsidRPr="007C5A72">
        <w:rPr>
          <w:b/>
          <w:bCs/>
        </w:rPr>
        <w:t>Re:</w:t>
      </w:r>
      <w:r w:rsidRPr="007C5A72">
        <w:rPr>
          <w:b/>
          <w:bCs/>
        </w:rPr>
        <w:tab/>
        <w:t>Generic OMB Clearance No. 0584-</w:t>
      </w:r>
      <w:r w:rsidR="007A2F2A" w:rsidRPr="007C5A72">
        <w:rPr>
          <w:b/>
          <w:bCs/>
        </w:rPr>
        <w:t>0606</w:t>
      </w:r>
      <w:r w:rsidRPr="007C5A72">
        <w:rPr>
          <w:b/>
          <w:bCs/>
        </w:rPr>
        <w:t xml:space="preserve"> </w:t>
      </w:r>
      <w:r w:rsidR="007A2F2A" w:rsidRPr="007C5A72">
        <w:rPr>
          <w:b/>
          <w:bCs/>
        </w:rPr>
        <w:t>–</w:t>
      </w:r>
      <w:r w:rsidR="00CA2A51" w:rsidRPr="007C5A72">
        <w:rPr>
          <w:b/>
          <w:bCs/>
        </w:rPr>
        <w:t xml:space="preserve"> </w:t>
      </w:r>
      <w:r w:rsidR="00BF2BD3">
        <w:rPr>
          <w:b/>
          <w:bCs/>
        </w:rPr>
        <w:t>Pretesting for t</w:t>
      </w:r>
      <w:r w:rsidR="00BF2BD3" w:rsidRPr="00BF2BD3">
        <w:rPr>
          <w:b/>
        </w:rPr>
        <w:t>he Third National Survey of WIC Participants (NSWP-III)</w:t>
      </w:r>
    </w:p>
    <w:p w:rsidR="005E15FF" w:rsidRPr="007C5A72" w:rsidRDefault="005E15FF" w:rsidP="005E15FF"/>
    <w:p w:rsidR="005E15FF" w:rsidRPr="007C5A72" w:rsidRDefault="005E15FF" w:rsidP="005E15FF">
      <w:r w:rsidRPr="007C5A72">
        <w:t xml:space="preserve">The Food and Nutrition Service (FNS) of the United States Department of Agriculture (USDA) is requesting approval for </w:t>
      </w:r>
      <w:r w:rsidR="007A2F2A" w:rsidRPr="007C5A72">
        <w:t>pretesting</w:t>
      </w:r>
      <w:r w:rsidR="005A47E3" w:rsidRPr="007C5A72">
        <w:t xml:space="preserve"> of data collection instruments </w:t>
      </w:r>
      <w:r w:rsidRPr="007C5A72">
        <w:t>under Approved Generic OMB Clearance No.</w:t>
      </w:r>
      <w:r w:rsidRPr="007C5A72">
        <w:rPr>
          <w:bCs/>
        </w:rPr>
        <w:t xml:space="preserve"> 0584-0</w:t>
      </w:r>
      <w:r w:rsidR="007A2F2A" w:rsidRPr="007C5A72">
        <w:rPr>
          <w:bCs/>
        </w:rPr>
        <w:t>606</w:t>
      </w:r>
      <w:r w:rsidRPr="007C5A72">
        <w:rPr>
          <w:bCs/>
        </w:rPr>
        <w:t>.</w:t>
      </w:r>
    </w:p>
    <w:p w:rsidR="005E15FF" w:rsidRPr="007C5A72" w:rsidRDefault="005E15FF" w:rsidP="005E15FF"/>
    <w:p w:rsidR="005E15FF" w:rsidRPr="007C5A72" w:rsidRDefault="005E15FF" w:rsidP="005E15FF">
      <w:pPr>
        <w:rPr>
          <w:b/>
          <w:bCs/>
        </w:rPr>
      </w:pPr>
      <w:r w:rsidRPr="007C5A72">
        <w:t xml:space="preserve">This request is to acquire clearance to conduct </w:t>
      </w:r>
      <w:r w:rsidR="001475C0" w:rsidRPr="007C5A72">
        <w:t xml:space="preserve">pretesting </w:t>
      </w:r>
      <w:r w:rsidRPr="007C5A72">
        <w:t xml:space="preserve">with </w:t>
      </w:r>
      <w:r w:rsidR="002E0E32" w:rsidRPr="007C5A72">
        <w:t>the Special Supplemental Nutrition Program for Women, Infants</w:t>
      </w:r>
      <w:r w:rsidR="00060977">
        <w:t>,</w:t>
      </w:r>
      <w:r w:rsidR="002E0E32" w:rsidRPr="007C5A72">
        <w:t xml:space="preserve"> and Children (WIC)’s </w:t>
      </w:r>
      <w:r w:rsidR="001B7D9F">
        <w:t>S</w:t>
      </w:r>
      <w:r w:rsidR="002E0E32" w:rsidRPr="007C5A72">
        <w:t>tate agencies (SAs), local agencies (LAs), current and former WIC participants</w:t>
      </w:r>
      <w:r w:rsidR="005D1900" w:rsidRPr="007C5A72">
        <w:t>, and denied WIC applicants</w:t>
      </w:r>
      <w:r w:rsidRPr="007C5A72">
        <w:t xml:space="preserve"> </w:t>
      </w:r>
      <w:r w:rsidR="00275E56">
        <w:t>with the purpose of identifying</w:t>
      </w:r>
      <w:r w:rsidR="001475C0" w:rsidRPr="007C5A72">
        <w:t xml:space="preserve"> potential data quality problems, such as high</w:t>
      </w:r>
      <w:r w:rsidR="00555D07">
        <w:t xml:space="preserve"> </w:t>
      </w:r>
      <w:r w:rsidR="001475C0" w:rsidRPr="007C5A72">
        <w:t>item nonresponse rates,</w:t>
      </w:r>
      <w:r w:rsidR="00DF7E22" w:rsidRPr="007C5A72">
        <w:t xml:space="preserve"> and</w:t>
      </w:r>
      <w:r w:rsidR="001475C0" w:rsidRPr="007C5A72">
        <w:t xml:space="preserve"> </w:t>
      </w:r>
      <w:r w:rsidR="00DD0CD1">
        <w:t>modification of f</w:t>
      </w:r>
      <w:r w:rsidR="00293D5B" w:rsidRPr="007C5A72">
        <w:rPr>
          <w:bCs/>
        </w:rPr>
        <w:t>low</w:t>
      </w:r>
      <w:r w:rsidR="00D313BD" w:rsidRPr="007C5A72">
        <w:rPr>
          <w:bCs/>
        </w:rPr>
        <w:t>, order</w:t>
      </w:r>
      <w:r w:rsidR="001B7D9F">
        <w:rPr>
          <w:bCs/>
        </w:rPr>
        <w:t>,</w:t>
      </w:r>
      <w:r w:rsidR="00D313BD" w:rsidRPr="007C5A72">
        <w:rPr>
          <w:bCs/>
        </w:rPr>
        <w:t xml:space="preserve"> and timing of questions</w:t>
      </w:r>
      <w:r w:rsidR="00293D5B" w:rsidRPr="007C5A72">
        <w:rPr>
          <w:bCs/>
        </w:rPr>
        <w:t>, as well as participant u</w:t>
      </w:r>
      <w:r w:rsidR="00DF7E22" w:rsidRPr="007C5A72">
        <w:rPr>
          <w:bCs/>
        </w:rPr>
        <w:t>nderstanding of questions asked</w:t>
      </w:r>
      <w:proofErr w:type="gramStart"/>
      <w:r w:rsidR="00DF7E22" w:rsidRPr="007C5A72">
        <w:rPr>
          <w:bCs/>
        </w:rPr>
        <w:t xml:space="preserve">. </w:t>
      </w:r>
      <w:proofErr w:type="gramEnd"/>
      <w:r w:rsidRPr="007C5A72">
        <w:t>The following information is provided for review:</w:t>
      </w:r>
    </w:p>
    <w:p w:rsidR="005E15FF" w:rsidRPr="007C5A72" w:rsidRDefault="005E15FF" w:rsidP="005E15FF"/>
    <w:p w:rsidR="005E15FF" w:rsidRPr="000E1784" w:rsidRDefault="005E15FF" w:rsidP="000E1784">
      <w:pPr>
        <w:pStyle w:val="ListParagraph"/>
        <w:numPr>
          <w:ilvl w:val="0"/>
          <w:numId w:val="2"/>
        </w:numPr>
        <w:rPr>
          <w:bCs/>
        </w:rPr>
      </w:pPr>
      <w:r w:rsidRPr="000E1784">
        <w:rPr>
          <w:b/>
        </w:rPr>
        <w:t xml:space="preserve">Title of the Project: </w:t>
      </w:r>
      <w:r w:rsidR="00BF2BD3" w:rsidRPr="00BF2BD3">
        <w:t>Pretesting for t</w:t>
      </w:r>
      <w:r w:rsidR="006102D4" w:rsidRPr="007C5A72">
        <w:t>he Third National Survey of WIC Participants (NSWP-III)</w:t>
      </w:r>
    </w:p>
    <w:p w:rsidR="005E15FF" w:rsidRPr="007C5A72" w:rsidRDefault="005E15FF" w:rsidP="005E15FF">
      <w:pPr>
        <w:numPr>
          <w:ilvl w:val="0"/>
          <w:numId w:val="2"/>
        </w:numPr>
        <w:rPr>
          <w:bCs/>
        </w:rPr>
      </w:pPr>
      <w:r w:rsidRPr="007C5A72">
        <w:rPr>
          <w:b/>
        </w:rPr>
        <w:t xml:space="preserve">Control Number: </w:t>
      </w:r>
      <w:r w:rsidRPr="007C5A72">
        <w:rPr>
          <w:bCs/>
        </w:rPr>
        <w:t>0584-0</w:t>
      </w:r>
      <w:r w:rsidR="007A2F2A" w:rsidRPr="007C5A72">
        <w:rPr>
          <w:bCs/>
        </w:rPr>
        <w:t>606</w:t>
      </w:r>
      <w:r w:rsidRPr="007C5A72">
        <w:rPr>
          <w:bCs/>
        </w:rPr>
        <w:t>, Expires 0</w:t>
      </w:r>
      <w:r w:rsidR="007A2F2A" w:rsidRPr="007C5A72">
        <w:rPr>
          <w:bCs/>
        </w:rPr>
        <w:t>3</w:t>
      </w:r>
      <w:r w:rsidRPr="007C5A72">
        <w:rPr>
          <w:bCs/>
        </w:rPr>
        <w:t>/3</w:t>
      </w:r>
      <w:r w:rsidR="007A2F2A" w:rsidRPr="007C5A72">
        <w:rPr>
          <w:bCs/>
        </w:rPr>
        <w:t>1</w:t>
      </w:r>
      <w:r w:rsidRPr="007C5A72">
        <w:rPr>
          <w:bCs/>
        </w:rPr>
        <w:t>/201</w:t>
      </w:r>
      <w:r w:rsidR="007A2F2A" w:rsidRPr="007C5A72">
        <w:rPr>
          <w:bCs/>
        </w:rPr>
        <w:t>9</w:t>
      </w:r>
    </w:p>
    <w:p w:rsidR="005E15FF" w:rsidRPr="007C5A72" w:rsidRDefault="005E15FF" w:rsidP="005E15FF">
      <w:pPr>
        <w:pStyle w:val="ListParagraph"/>
        <w:numPr>
          <w:ilvl w:val="0"/>
          <w:numId w:val="2"/>
        </w:numPr>
      </w:pPr>
      <w:r w:rsidRPr="007C5A72">
        <w:rPr>
          <w:b/>
        </w:rPr>
        <w:t>Public Affected by this Project:</w:t>
      </w:r>
      <w:r w:rsidRPr="007C5A72">
        <w:t xml:space="preserve"> </w:t>
      </w:r>
    </w:p>
    <w:p w:rsidR="007A2F2A" w:rsidRPr="007C5A72" w:rsidRDefault="00812CB1" w:rsidP="000E1784">
      <w:pPr>
        <w:ind w:left="360"/>
      </w:pPr>
      <w:r>
        <w:br/>
      </w:r>
      <w:r w:rsidR="007A2F2A" w:rsidRPr="007C5A72">
        <w:t>State, Local, Tribal Governments:</w:t>
      </w:r>
    </w:p>
    <w:p w:rsidR="00293D5B" w:rsidRPr="007C5A72" w:rsidRDefault="006102D4" w:rsidP="007A2F2A">
      <w:pPr>
        <w:pStyle w:val="ListParagraph"/>
        <w:numPr>
          <w:ilvl w:val="0"/>
          <w:numId w:val="9"/>
        </w:numPr>
      </w:pPr>
      <w:r w:rsidRPr="007C5A72">
        <w:t xml:space="preserve">State </w:t>
      </w:r>
      <w:r w:rsidR="00153406" w:rsidRPr="007C5A72">
        <w:t xml:space="preserve">WIC </w:t>
      </w:r>
      <w:r w:rsidRPr="007C5A72">
        <w:t>Agenc</w:t>
      </w:r>
      <w:r w:rsidR="00293D5B" w:rsidRPr="007C5A72">
        <w:t xml:space="preserve">y </w:t>
      </w:r>
      <w:r w:rsidR="00A1460D">
        <w:t>D</w:t>
      </w:r>
      <w:r w:rsidR="00293D5B" w:rsidRPr="007C5A72">
        <w:t>irectors</w:t>
      </w:r>
    </w:p>
    <w:p w:rsidR="007A2F2A" w:rsidRPr="007C5A72" w:rsidRDefault="00293D5B" w:rsidP="007A2F2A">
      <w:pPr>
        <w:pStyle w:val="ListParagraph"/>
        <w:numPr>
          <w:ilvl w:val="0"/>
          <w:numId w:val="9"/>
        </w:numPr>
      </w:pPr>
      <w:r w:rsidRPr="007C5A72">
        <w:t xml:space="preserve">Local </w:t>
      </w:r>
      <w:r w:rsidR="00153406" w:rsidRPr="007C5A72">
        <w:t xml:space="preserve">WIC </w:t>
      </w:r>
      <w:r w:rsidRPr="007C5A72">
        <w:t xml:space="preserve">Agency </w:t>
      </w:r>
      <w:r w:rsidR="00A1460D">
        <w:t>D</w:t>
      </w:r>
      <w:r w:rsidRPr="007C5A72">
        <w:t>irectors</w:t>
      </w:r>
    </w:p>
    <w:p w:rsidR="005E15FF" w:rsidRPr="007C5A72" w:rsidRDefault="005E15FF" w:rsidP="000E1784"/>
    <w:p w:rsidR="007A2F2A" w:rsidRPr="007C5A72" w:rsidRDefault="007A2F2A" w:rsidP="007A2F2A">
      <w:pPr>
        <w:ind w:left="360"/>
      </w:pPr>
      <w:r w:rsidRPr="007C5A72">
        <w:t>Individuals/Households:</w:t>
      </w:r>
    </w:p>
    <w:p w:rsidR="00CA3141" w:rsidRDefault="005D1900" w:rsidP="007A2F2A">
      <w:pPr>
        <w:pStyle w:val="ListParagraph"/>
        <w:numPr>
          <w:ilvl w:val="0"/>
          <w:numId w:val="3"/>
        </w:numPr>
      </w:pPr>
      <w:r w:rsidRPr="007C5A72">
        <w:t>Cur</w:t>
      </w:r>
      <w:r w:rsidR="00293D5B" w:rsidRPr="007C5A72">
        <w:t xml:space="preserve">rent </w:t>
      </w:r>
      <w:r w:rsidR="00CA3141" w:rsidRPr="007C5A72">
        <w:t xml:space="preserve">WIC </w:t>
      </w:r>
      <w:r w:rsidR="00CA3141">
        <w:t>P</w:t>
      </w:r>
      <w:r w:rsidR="00CA3141" w:rsidRPr="007C5A72">
        <w:t>articipants</w:t>
      </w:r>
    </w:p>
    <w:p w:rsidR="00293D5B" w:rsidRPr="007C5A72" w:rsidRDefault="00293D5B" w:rsidP="007A2F2A">
      <w:pPr>
        <w:pStyle w:val="ListParagraph"/>
        <w:numPr>
          <w:ilvl w:val="0"/>
          <w:numId w:val="3"/>
        </w:numPr>
      </w:pPr>
      <w:r w:rsidRPr="007C5A72">
        <w:t xml:space="preserve">Former WIC </w:t>
      </w:r>
      <w:r w:rsidR="00A1460D">
        <w:t>P</w:t>
      </w:r>
      <w:r w:rsidRPr="007C5A72">
        <w:t>articipants</w:t>
      </w:r>
    </w:p>
    <w:p w:rsidR="007A2F2A" w:rsidRPr="007C5A72" w:rsidRDefault="005D1900" w:rsidP="007A2F2A">
      <w:pPr>
        <w:pStyle w:val="ListParagraph"/>
        <w:numPr>
          <w:ilvl w:val="0"/>
          <w:numId w:val="3"/>
        </w:numPr>
      </w:pPr>
      <w:r w:rsidRPr="007C5A72">
        <w:t xml:space="preserve">Denied WIC Applicants </w:t>
      </w:r>
    </w:p>
    <w:p w:rsidR="005E15FF" w:rsidRPr="007C5A72" w:rsidRDefault="005E15FF" w:rsidP="005E15FF"/>
    <w:p w:rsidR="001475C0" w:rsidRPr="007C5A72" w:rsidRDefault="001475C0" w:rsidP="005E15FF"/>
    <w:p w:rsidR="001475C0" w:rsidRPr="007C5A72" w:rsidRDefault="001475C0" w:rsidP="005E15FF"/>
    <w:p w:rsidR="001475C0" w:rsidRPr="007C5A72" w:rsidRDefault="001475C0" w:rsidP="005E15FF"/>
    <w:p w:rsidR="001475C0" w:rsidRPr="007C5A72" w:rsidRDefault="001475C0" w:rsidP="005E15FF"/>
    <w:p w:rsidR="001475C0" w:rsidRPr="007C5A72" w:rsidRDefault="001475C0" w:rsidP="005E15FF"/>
    <w:p w:rsidR="001475C0" w:rsidRPr="007C5A72" w:rsidRDefault="001475C0" w:rsidP="005E15FF"/>
    <w:p w:rsidR="005E15FF" w:rsidRPr="007C5A72" w:rsidRDefault="005E15FF" w:rsidP="005E15FF">
      <w:pPr>
        <w:numPr>
          <w:ilvl w:val="0"/>
          <w:numId w:val="2"/>
        </w:numPr>
      </w:pPr>
      <w:r w:rsidRPr="007C5A72">
        <w:rPr>
          <w:b/>
        </w:rPr>
        <w:lastRenderedPageBreak/>
        <w:t>Number of Respondents</w:t>
      </w:r>
      <w:r w:rsidR="007A2F2A" w:rsidRPr="007C5A72">
        <w:rPr>
          <w:b/>
        </w:rPr>
        <w:t xml:space="preserve"> &amp; Research Activities</w:t>
      </w:r>
      <w:r w:rsidRPr="007C5A72">
        <w:rPr>
          <w:b/>
        </w:rPr>
        <w:t>:</w:t>
      </w:r>
    </w:p>
    <w:p w:rsidR="001475C0" w:rsidRPr="007C5A72" w:rsidRDefault="001475C0" w:rsidP="007739CA">
      <w:pPr>
        <w:rPr>
          <w:b/>
        </w:rPr>
      </w:pPr>
    </w:p>
    <w:p w:rsidR="00CF5D72" w:rsidRDefault="00CA3141" w:rsidP="00CA3141">
      <w:pPr>
        <w:spacing w:line="276" w:lineRule="auto"/>
      </w:pPr>
      <w:r w:rsidRPr="00CA3141">
        <w:rPr>
          <w:rStyle w:val="IntenseEmphasis"/>
          <w:color w:val="auto"/>
        </w:rPr>
        <w:t>Table 1</w:t>
      </w:r>
      <w:proofErr w:type="gramStart"/>
      <w:r w:rsidRPr="00CA3141">
        <w:rPr>
          <w:rStyle w:val="IntenseEmphasis"/>
          <w:color w:val="auto"/>
        </w:rPr>
        <w:t xml:space="preserve">. </w:t>
      </w:r>
      <w:proofErr w:type="gramEnd"/>
      <w:r w:rsidR="001475C0" w:rsidRPr="00CA3141">
        <w:rPr>
          <w:rStyle w:val="IntenseEmphasis"/>
          <w:color w:val="auto"/>
        </w:rPr>
        <w:t xml:space="preserve">Research Activities </w:t>
      </w:r>
      <w:r w:rsidRPr="00CA3141">
        <w:rPr>
          <w:rStyle w:val="IntenseEmphasis"/>
          <w:color w:val="auto"/>
        </w:rPr>
        <w:t xml:space="preserve">Target </w:t>
      </w:r>
      <w:r w:rsidR="001475C0" w:rsidRPr="00CA3141">
        <w:rPr>
          <w:rStyle w:val="IntenseEmphasis"/>
          <w:color w:val="auto"/>
        </w:rPr>
        <w:t>Audience</w:t>
      </w:r>
    </w:p>
    <w:tbl>
      <w:tblPr>
        <w:tblStyle w:val="MediumShading1-Accent1"/>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4320"/>
        <w:gridCol w:w="1502"/>
      </w:tblGrid>
      <w:tr w:rsidR="001475C0" w:rsidRPr="004D35C0" w:rsidTr="003B1DC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808" w:type="dxa"/>
            <w:tcBorders>
              <w:top w:val="none" w:sz="0" w:space="0" w:color="auto"/>
              <w:left w:val="none" w:sz="0" w:space="0" w:color="auto"/>
              <w:bottom w:val="none" w:sz="0" w:space="0" w:color="auto"/>
              <w:right w:val="none" w:sz="0" w:space="0" w:color="auto"/>
            </w:tcBorders>
            <w:shd w:val="clear" w:color="auto" w:fill="C5D9F1"/>
            <w:vAlign w:val="bottom"/>
            <w:hideMark/>
          </w:tcPr>
          <w:p w:rsidR="001475C0" w:rsidRPr="006216F2" w:rsidRDefault="00CA3141" w:rsidP="000E1784">
            <w:pPr>
              <w:jc w:val="center"/>
              <w:rPr>
                <w:rFonts w:ascii="Arial Narrow" w:hAnsi="Arial Narrow"/>
                <w:color w:val="auto"/>
                <w:sz w:val="20"/>
                <w:szCs w:val="20"/>
              </w:rPr>
            </w:pPr>
            <w:r w:rsidRPr="006216F2">
              <w:rPr>
                <w:rFonts w:ascii="Arial Narrow" w:hAnsi="Arial Narrow"/>
                <w:color w:val="auto"/>
                <w:sz w:val="20"/>
                <w:szCs w:val="20"/>
              </w:rPr>
              <w:t>Respondent Type</w:t>
            </w:r>
          </w:p>
        </w:tc>
        <w:tc>
          <w:tcPr>
            <w:tcW w:w="4320" w:type="dxa"/>
            <w:tcBorders>
              <w:top w:val="none" w:sz="0" w:space="0" w:color="auto"/>
              <w:left w:val="none" w:sz="0" w:space="0" w:color="auto"/>
              <w:bottom w:val="none" w:sz="0" w:space="0" w:color="auto"/>
              <w:right w:val="none" w:sz="0" w:space="0" w:color="auto"/>
            </w:tcBorders>
            <w:shd w:val="clear" w:color="auto" w:fill="C5D9F1"/>
            <w:vAlign w:val="bottom"/>
            <w:hideMark/>
          </w:tcPr>
          <w:p w:rsidR="001475C0" w:rsidRPr="006216F2" w:rsidRDefault="001475C0" w:rsidP="000E17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6216F2">
              <w:rPr>
                <w:rFonts w:ascii="Arial Narrow" w:hAnsi="Arial Narrow"/>
                <w:color w:val="auto"/>
                <w:sz w:val="20"/>
                <w:szCs w:val="20"/>
              </w:rPr>
              <w:t>Research Activity</w:t>
            </w:r>
          </w:p>
        </w:tc>
        <w:tc>
          <w:tcPr>
            <w:tcW w:w="1502" w:type="dxa"/>
            <w:tcBorders>
              <w:top w:val="none" w:sz="0" w:space="0" w:color="auto"/>
              <w:left w:val="none" w:sz="0" w:space="0" w:color="auto"/>
              <w:bottom w:val="none" w:sz="0" w:space="0" w:color="auto"/>
              <w:right w:val="none" w:sz="0" w:space="0" w:color="auto"/>
            </w:tcBorders>
            <w:shd w:val="clear" w:color="auto" w:fill="C5D9F1"/>
            <w:vAlign w:val="bottom"/>
            <w:hideMark/>
          </w:tcPr>
          <w:p w:rsidR="001475C0" w:rsidRPr="006216F2" w:rsidRDefault="001475C0" w:rsidP="000E17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6216F2">
              <w:rPr>
                <w:rFonts w:ascii="Arial Narrow" w:hAnsi="Arial Narrow"/>
                <w:color w:val="auto"/>
                <w:sz w:val="20"/>
                <w:szCs w:val="20"/>
              </w:rPr>
              <w:t># of Participants</w:t>
            </w:r>
          </w:p>
        </w:tc>
      </w:tr>
      <w:tr w:rsidR="001475C0" w:rsidRPr="004D35C0" w:rsidTr="003B1DC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08" w:type="dxa"/>
            <w:tcBorders>
              <w:right w:val="none" w:sz="0" w:space="0" w:color="auto"/>
            </w:tcBorders>
            <w:shd w:val="clear" w:color="auto" w:fill="D9D9D9"/>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 xml:space="preserve">State WIC </w:t>
            </w:r>
            <w:r w:rsidR="00CA3141" w:rsidRPr="006216F2">
              <w:rPr>
                <w:rFonts w:ascii="Arial Narrow" w:hAnsi="Arial Narrow"/>
                <w:color w:val="000000"/>
                <w:sz w:val="20"/>
                <w:szCs w:val="20"/>
              </w:rPr>
              <w:t xml:space="preserve">Agency </w:t>
            </w:r>
            <w:r w:rsidRPr="006216F2">
              <w:rPr>
                <w:rFonts w:ascii="Arial Narrow" w:hAnsi="Arial Narrow"/>
                <w:color w:val="000000"/>
                <w:sz w:val="20"/>
                <w:szCs w:val="20"/>
              </w:rPr>
              <w:t>Director</w:t>
            </w:r>
          </w:p>
        </w:tc>
        <w:tc>
          <w:tcPr>
            <w:tcW w:w="4320" w:type="dxa"/>
            <w:tcBorders>
              <w:left w:val="none" w:sz="0" w:space="0" w:color="auto"/>
              <w:right w:val="none" w:sz="0" w:space="0" w:color="auto"/>
            </w:tcBorders>
            <w:shd w:val="clear" w:color="auto" w:fill="D9D9D9"/>
          </w:tcPr>
          <w:p w:rsidR="001475C0" w:rsidRPr="006216F2" w:rsidRDefault="001475C0" w:rsidP="00C10CCF">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State Agency Survey</w:t>
            </w:r>
          </w:p>
        </w:tc>
        <w:tc>
          <w:tcPr>
            <w:tcW w:w="1502" w:type="dxa"/>
            <w:tcBorders>
              <w:left w:val="none" w:sz="0" w:space="0" w:color="auto"/>
            </w:tcBorders>
            <w:shd w:val="clear" w:color="auto" w:fill="D9D9D9"/>
          </w:tcPr>
          <w:p w:rsidR="001475C0" w:rsidRPr="006216F2" w:rsidRDefault="001475C0"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9</w:t>
            </w:r>
          </w:p>
        </w:tc>
      </w:tr>
      <w:tr w:rsidR="001475C0" w:rsidRPr="004D35C0" w:rsidTr="00FB1D0D">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08" w:type="dxa"/>
            <w:tcBorders>
              <w:right w:val="none" w:sz="0" w:space="0" w:color="auto"/>
            </w:tcBorders>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Local WIC Agency Director</w:t>
            </w:r>
          </w:p>
        </w:tc>
        <w:tc>
          <w:tcPr>
            <w:tcW w:w="4320" w:type="dxa"/>
            <w:tcBorders>
              <w:left w:val="none" w:sz="0" w:space="0" w:color="auto"/>
              <w:right w:val="none" w:sz="0" w:space="0" w:color="auto"/>
            </w:tcBorders>
          </w:tcPr>
          <w:p w:rsidR="001475C0" w:rsidRPr="006216F2" w:rsidRDefault="001475C0" w:rsidP="00C10CCF">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Local WIC Agency Survey</w:t>
            </w:r>
          </w:p>
        </w:tc>
        <w:tc>
          <w:tcPr>
            <w:tcW w:w="1502" w:type="dxa"/>
            <w:tcBorders>
              <w:left w:val="none" w:sz="0" w:space="0" w:color="auto"/>
            </w:tcBorders>
          </w:tcPr>
          <w:p w:rsidR="001475C0" w:rsidRPr="006216F2" w:rsidRDefault="001475C0" w:rsidP="00C10CCF">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9</w:t>
            </w:r>
          </w:p>
        </w:tc>
      </w:tr>
      <w:tr w:rsidR="001475C0" w:rsidRPr="004D35C0" w:rsidTr="003B1DC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08" w:type="dxa"/>
            <w:vMerge w:val="restart"/>
            <w:tcBorders>
              <w:right w:val="none" w:sz="0" w:space="0" w:color="auto"/>
            </w:tcBorders>
            <w:shd w:val="clear" w:color="auto" w:fill="D9D9D9"/>
            <w:hideMark/>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WIC Participants</w:t>
            </w:r>
            <w:r w:rsidR="00CA3141" w:rsidRPr="006216F2">
              <w:rPr>
                <w:rFonts w:ascii="Arial Narrow" w:hAnsi="Arial Narrow"/>
                <w:color w:val="000000"/>
                <w:sz w:val="20"/>
                <w:szCs w:val="20"/>
              </w:rPr>
              <w:br/>
            </w:r>
          </w:p>
        </w:tc>
        <w:tc>
          <w:tcPr>
            <w:tcW w:w="4320" w:type="dxa"/>
            <w:tcBorders>
              <w:left w:val="none" w:sz="0" w:space="0" w:color="auto"/>
              <w:right w:val="none" w:sz="0" w:space="0" w:color="auto"/>
            </w:tcBorders>
            <w:shd w:val="clear" w:color="auto" w:fill="D9D9D9"/>
            <w:hideMark/>
          </w:tcPr>
          <w:p w:rsidR="001475C0" w:rsidRPr="006216F2" w:rsidRDefault="001475C0" w:rsidP="00C10CCF">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WIC Participant Certification Survey</w:t>
            </w:r>
          </w:p>
        </w:tc>
        <w:tc>
          <w:tcPr>
            <w:tcW w:w="1502" w:type="dxa"/>
            <w:tcBorders>
              <w:left w:val="none" w:sz="0" w:space="0" w:color="auto"/>
            </w:tcBorders>
            <w:shd w:val="clear" w:color="auto" w:fill="D9D9D9"/>
            <w:hideMark/>
          </w:tcPr>
          <w:p w:rsidR="001475C0" w:rsidRPr="006216F2" w:rsidRDefault="001475C0"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9</w:t>
            </w:r>
          </w:p>
        </w:tc>
      </w:tr>
      <w:tr w:rsidR="001475C0" w:rsidRPr="004D35C0" w:rsidTr="00FB1D0D">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08" w:type="dxa"/>
            <w:vMerge/>
            <w:tcBorders>
              <w:right w:val="none" w:sz="0" w:space="0" w:color="auto"/>
            </w:tcBorders>
          </w:tcPr>
          <w:p w:rsidR="001475C0" w:rsidRPr="006216F2" w:rsidRDefault="001475C0" w:rsidP="00C10CCF">
            <w:pPr>
              <w:rPr>
                <w:rFonts w:ascii="Arial Narrow" w:hAnsi="Arial Narrow"/>
                <w:color w:val="000000"/>
                <w:sz w:val="20"/>
                <w:szCs w:val="20"/>
              </w:rPr>
            </w:pPr>
          </w:p>
        </w:tc>
        <w:tc>
          <w:tcPr>
            <w:tcW w:w="4320" w:type="dxa"/>
            <w:tcBorders>
              <w:left w:val="none" w:sz="0" w:space="0" w:color="auto"/>
              <w:right w:val="none" w:sz="0" w:space="0" w:color="auto"/>
            </w:tcBorders>
          </w:tcPr>
          <w:p w:rsidR="001475C0" w:rsidRPr="006216F2" w:rsidRDefault="001475C0" w:rsidP="00C10CCF">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Program Experiences Survey</w:t>
            </w:r>
          </w:p>
        </w:tc>
        <w:tc>
          <w:tcPr>
            <w:tcW w:w="1502" w:type="dxa"/>
            <w:tcBorders>
              <w:left w:val="none" w:sz="0" w:space="0" w:color="auto"/>
            </w:tcBorders>
          </w:tcPr>
          <w:p w:rsidR="001475C0" w:rsidRPr="006216F2" w:rsidRDefault="001475C0" w:rsidP="00C10CCF">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9</w:t>
            </w:r>
          </w:p>
        </w:tc>
      </w:tr>
      <w:tr w:rsidR="001475C0" w:rsidRPr="004D35C0" w:rsidTr="003B1DC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08" w:type="dxa"/>
            <w:vMerge/>
            <w:tcBorders>
              <w:right w:val="none" w:sz="0" w:space="0" w:color="auto"/>
            </w:tcBorders>
          </w:tcPr>
          <w:p w:rsidR="001475C0" w:rsidRPr="006216F2" w:rsidRDefault="001475C0" w:rsidP="00C10CCF">
            <w:pPr>
              <w:rPr>
                <w:rFonts w:ascii="Arial Narrow" w:hAnsi="Arial Narrow"/>
                <w:color w:val="000000"/>
                <w:sz w:val="20"/>
                <w:szCs w:val="20"/>
              </w:rPr>
            </w:pPr>
          </w:p>
        </w:tc>
        <w:tc>
          <w:tcPr>
            <w:tcW w:w="4320" w:type="dxa"/>
            <w:tcBorders>
              <w:left w:val="none" w:sz="0" w:space="0" w:color="auto"/>
              <w:right w:val="none" w:sz="0" w:space="0" w:color="auto"/>
            </w:tcBorders>
            <w:shd w:val="clear" w:color="auto" w:fill="D9D9D9"/>
          </w:tcPr>
          <w:p w:rsidR="001475C0" w:rsidRPr="006216F2" w:rsidRDefault="001475C0" w:rsidP="00C10CCF">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Former WIC Participants Case Study</w:t>
            </w:r>
          </w:p>
        </w:tc>
        <w:tc>
          <w:tcPr>
            <w:tcW w:w="1502" w:type="dxa"/>
            <w:tcBorders>
              <w:left w:val="none" w:sz="0" w:space="0" w:color="auto"/>
            </w:tcBorders>
            <w:shd w:val="clear" w:color="auto" w:fill="D9D9D9"/>
          </w:tcPr>
          <w:p w:rsidR="001475C0" w:rsidRPr="006216F2" w:rsidRDefault="001475C0"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9</w:t>
            </w:r>
          </w:p>
        </w:tc>
      </w:tr>
      <w:tr w:rsidR="001475C0" w:rsidRPr="004D35C0" w:rsidTr="00FB1D0D">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08" w:type="dxa"/>
            <w:tcBorders>
              <w:right w:val="none" w:sz="0" w:space="0" w:color="auto"/>
            </w:tcBorders>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Denied WIC Applicants</w:t>
            </w:r>
          </w:p>
        </w:tc>
        <w:tc>
          <w:tcPr>
            <w:tcW w:w="4320" w:type="dxa"/>
            <w:tcBorders>
              <w:left w:val="none" w:sz="0" w:space="0" w:color="auto"/>
              <w:right w:val="none" w:sz="0" w:space="0" w:color="auto"/>
            </w:tcBorders>
          </w:tcPr>
          <w:p w:rsidR="001475C0" w:rsidRPr="006216F2" w:rsidRDefault="001475C0" w:rsidP="00C10CCF">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Denied Applicant Survey</w:t>
            </w:r>
          </w:p>
        </w:tc>
        <w:tc>
          <w:tcPr>
            <w:tcW w:w="1502" w:type="dxa"/>
            <w:tcBorders>
              <w:left w:val="none" w:sz="0" w:space="0" w:color="auto"/>
            </w:tcBorders>
          </w:tcPr>
          <w:p w:rsidR="001475C0" w:rsidRPr="006216F2" w:rsidRDefault="001475C0" w:rsidP="00C10CCF">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9</w:t>
            </w:r>
          </w:p>
        </w:tc>
      </w:tr>
      <w:tr w:rsidR="00CA3141" w:rsidRPr="004D35C0" w:rsidTr="00ED4A6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128" w:type="dxa"/>
            <w:gridSpan w:val="2"/>
            <w:shd w:val="clear" w:color="auto" w:fill="D9D9D9"/>
          </w:tcPr>
          <w:p w:rsidR="00CA3141" w:rsidRPr="006216F2" w:rsidRDefault="00CA3141" w:rsidP="00CA3141">
            <w:pPr>
              <w:jc w:val="right"/>
              <w:rPr>
                <w:rFonts w:ascii="Arial Narrow" w:hAnsi="Arial Narrow"/>
                <w:color w:val="000000"/>
                <w:sz w:val="20"/>
                <w:szCs w:val="20"/>
              </w:rPr>
            </w:pPr>
            <w:r w:rsidRPr="006216F2">
              <w:rPr>
                <w:rFonts w:ascii="Arial Narrow" w:hAnsi="Arial Narrow"/>
                <w:color w:val="000000"/>
                <w:sz w:val="20"/>
                <w:szCs w:val="20"/>
              </w:rPr>
              <w:t>Total</w:t>
            </w:r>
          </w:p>
        </w:tc>
        <w:tc>
          <w:tcPr>
            <w:tcW w:w="1502" w:type="dxa"/>
            <w:shd w:val="clear" w:color="auto" w:fill="D9D9D9"/>
          </w:tcPr>
          <w:p w:rsidR="00CA3141" w:rsidRPr="006216F2" w:rsidRDefault="00CA3141"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sz w:val="20"/>
                <w:szCs w:val="20"/>
              </w:rPr>
            </w:pPr>
            <w:r w:rsidRPr="006216F2">
              <w:rPr>
                <w:rFonts w:ascii="Arial Narrow" w:hAnsi="Arial Narrow"/>
                <w:b/>
                <w:color w:val="000000"/>
                <w:sz w:val="20"/>
                <w:szCs w:val="20"/>
              </w:rPr>
              <w:fldChar w:fldCharType="begin"/>
            </w:r>
            <w:r w:rsidRPr="006216F2">
              <w:rPr>
                <w:rFonts w:ascii="Arial Narrow" w:hAnsi="Arial Narrow"/>
                <w:b/>
                <w:color w:val="000000"/>
                <w:sz w:val="20"/>
                <w:szCs w:val="20"/>
              </w:rPr>
              <w:instrText xml:space="preserve"> =SUM(ABOVE) </w:instrText>
            </w:r>
            <w:r w:rsidRPr="006216F2">
              <w:rPr>
                <w:rFonts w:ascii="Arial Narrow" w:hAnsi="Arial Narrow"/>
                <w:b/>
                <w:color w:val="000000"/>
                <w:sz w:val="20"/>
                <w:szCs w:val="20"/>
              </w:rPr>
              <w:fldChar w:fldCharType="separate"/>
            </w:r>
            <w:r w:rsidRPr="006216F2">
              <w:rPr>
                <w:rFonts w:ascii="Arial Narrow" w:hAnsi="Arial Narrow"/>
                <w:b/>
                <w:color w:val="000000"/>
                <w:sz w:val="20"/>
                <w:szCs w:val="20"/>
              </w:rPr>
              <w:t>54</w:t>
            </w:r>
            <w:r w:rsidRPr="006216F2">
              <w:rPr>
                <w:rFonts w:ascii="Arial Narrow" w:hAnsi="Arial Narrow"/>
                <w:b/>
                <w:color w:val="000000"/>
                <w:sz w:val="20"/>
                <w:szCs w:val="20"/>
              </w:rPr>
              <w:fldChar w:fldCharType="end"/>
            </w:r>
          </w:p>
        </w:tc>
      </w:tr>
    </w:tbl>
    <w:p w:rsidR="001475C0" w:rsidRPr="007C5A72" w:rsidRDefault="001475C0" w:rsidP="005E15FF"/>
    <w:p w:rsidR="005E15FF" w:rsidRPr="007C5A72" w:rsidRDefault="005E15FF" w:rsidP="005E15FF">
      <w:pPr>
        <w:numPr>
          <w:ilvl w:val="0"/>
          <w:numId w:val="2"/>
        </w:numPr>
      </w:pPr>
      <w:r w:rsidRPr="007C5A72">
        <w:rPr>
          <w:b/>
        </w:rPr>
        <w:t>Time Needed Per Response:</w:t>
      </w:r>
    </w:p>
    <w:p w:rsidR="005E15FF" w:rsidRPr="007C5A72" w:rsidRDefault="005E15FF" w:rsidP="005E15FF"/>
    <w:p w:rsidR="00BF6D49" w:rsidRPr="00CA3141" w:rsidRDefault="00CA3141" w:rsidP="00CA3141">
      <w:pPr>
        <w:shd w:val="clear" w:color="auto" w:fill="FFFFFF" w:themeFill="background1"/>
        <w:spacing w:line="276" w:lineRule="auto"/>
        <w:rPr>
          <w:rStyle w:val="IntenseEmphasis"/>
          <w:color w:val="auto"/>
        </w:rPr>
      </w:pPr>
      <w:r w:rsidRPr="00CA3141">
        <w:rPr>
          <w:rStyle w:val="IntenseEmphasis"/>
          <w:color w:val="auto"/>
        </w:rPr>
        <w:t>Table 2</w:t>
      </w:r>
      <w:proofErr w:type="gramStart"/>
      <w:r w:rsidRPr="00CA3141">
        <w:rPr>
          <w:rStyle w:val="IntenseEmphasis"/>
          <w:color w:val="auto"/>
        </w:rPr>
        <w:t xml:space="preserve">. </w:t>
      </w:r>
      <w:proofErr w:type="gramEnd"/>
      <w:r w:rsidRPr="00CA3141">
        <w:rPr>
          <w:rStyle w:val="IntenseEmphasis"/>
          <w:color w:val="auto"/>
        </w:rPr>
        <w:t xml:space="preserve">Estimated </w:t>
      </w:r>
      <w:r w:rsidR="00BF6D49" w:rsidRPr="00CA3141">
        <w:rPr>
          <w:rStyle w:val="IntenseEmphasis"/>
          <w:color w:val="auto"/>
        </w:rPr>
        <w:t>Time</w:t>
      </w:r>
      <w:r w:rsidRPr="00CA3141">
        <w:rPr>
          <w:rStyle w:val="IntenseEmphasis"/>
          <w:color w:val="auto"/>
        </w:rPr>
        <w:t xml:space="preserve"> Needed</w:t>
      </w:r>
      <w:r w:rsidR="00BF6D49" w:rsidRPr="00CA3141">
        <w:rPr>
          <w:rStyle w:val="IntenseEmphasis"/>
          <w:color w:val="auto"/>
        </w:rPr>
        <w:t xml:space="preserve"> </w:t>
      </w:r>
      <w:r w:rsidR="00E668FD">
        <w:rPr>
          <w:rStyle w:val="IntenseEmphasis"/>
          <w:color w:val="auto"/>
        </w:rPr>
        <w:t>P</w:t>
      </w:r>
      <w:r w:rsidRPr="00CA3141">
        <w:rPr>
          <w:rStyle w:val="IntenseEmphasis"/>
          <w:color w:val="auto"/>
        </w:rPr>
        <w:t>er Response by Research Activity</w:t>
      </w:r>
    </w:p>
    <w:tbl>
      <w:tblPr>
        <w:tblStyle w:val="MediumShading1-Accent1"/>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780"/>
        <w:gridCol w:w="1862"/>
      </w:tblGrid>
      <w:tr w:rsidR="001475C0" w:rsidRPr="004D35C0" w:rsidTr="006216F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8" w:type="dxa"/>
            <w:tcBorders>
              <w:top w:val="none" w:sz="0" w:space="0" w:color="auto"/>
              <w:left w:val="none" w:sz="0" w:space="0" w:color="auto"/>
              <w:bottom w:val="none" w:sz="0" w:space="0" w:color="auto"/>
              <w:right w:val="none" w:sz="0" w:space="0" w:color="auto"/>
            </w:tcBorders>
            <w:shd w:val="clear" w:color="auto" w:fill="C5D9F1"/>
            <w:vAlign w:val="bottom"/>
            <w:hideMark/>
          </w:tcPr>
          <w:p w:rsidR="001475C0" w:rsidRPr="006216F2" w:rsidRDefault="00CA3141" w:rsidP="000E1784">
            <w:pPr>
              <w:jc w:val="center"/>
              <w:rPr>
                <w:rFonts w:ascii="Arial Narrow" w:hAnsi="Arial Narrow"/>
                <w:color w:val="auto"/>
                <w:sz w:val="20"/>
                <w:szCs w:val="20"/>
              </w:rPr>
            </w:pPr>
            <w:r w:rsidRPr="006216F2">
              <w:rPr>
                <w:rFonts w:ascii="Arial Narrow" w:hAnsi="Arial Narrow"/>
                <w:color w:val="auto"/>
                <w:sz w:val="20"/>
                <w:szCs w:val="20"/>
              </w:rPr>
              <w:t>Respondent Type</w:t>
            </w:r>
          </w:p>
        </w:tc>
        <w:tc>
          <w:tcPr>
            <w:tcW w:w="3780" w:type="dxa"/>
            <w:tcBorders>
              <w:top w:val="none" w:sz="0" w:space="0" w:color="auto"/>
              <w:left w:val="none" w:sz="0" w:space="0" w:color="auto"/>
              <w:bottom w:val="none" w:sz="0" w:space="0" w:color="auto"/>
              <w:right w:val="none" w:sz="0" w:space="0" w:color="auto"/>
            </w:tcBorders>
            <w:shd w:val="clear" w:color="auto" w:fill="C5D9F1"/>
            <w:vAlign w:val="bottom"/>
            <w:hideMark/>
          </w:tcPr>
          <w:p w:rsidR="001475C0" w:rsidRPr="006216F2" w:rsidRDefault="001475C0" w:rsidP="000E17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6216F2">
              <w:rPr>
                <w:rFonts w:ascii="Arial Narrow" w:hAnsi="Arial Narrow"/>
                <w:color w:val="auto"/>
                <w:sz w:val="20"/>
                <w:szCs w:val="20"/>
              </w:rPr>
              <w:t>Research Activity</w:t>
            </w:r>
          </w:p>
        </w:tc>
        <w:tc>
          <w:tcPr>
            <w:tcW w:w="1862" w:type="dxa"/>
            <w:tcBorders>
              <w:top w:val="none" w:sz="0" w:space="0" w:color="auto"/>
              <w:left w:val="none" w:sz="0" w:space="0" w:color="auto"/>
              <w:bottom w:val="none" w:sz="0" w:space="0" w:color="auto"/>
              <w:right w:val="none" w:sz="0" w:space="0" w:color="auto"/>
            </w:tcBorders>
            <w:shd w:val="clear" w:color="auto" w:fill="C5D9F1"/>
            <w:vAlign w:val="bottom"/>
            <w:hideMark/>
          </w:tcPr>
          <w:p w:rsidR="001475C0" w:rsidRPr="006216F2" w:rsidRDefault="001475C0" w:rsidP="000E17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6216F2">
              <w:rPr>
                <w:rFonts w:ascii="Arial Narrow" w:hAnsi="Arial Narrow"/>
                <w:color w:val="auto"/>
                <w:sz w:val="20"/>
                <w:szCs w:val="20"/>
              </w:rPr>
              <w:t>Time (Hours)</w:t>
            </w:r>
          </w:p>
        </w:tc>
      </w:tr>
      <w:tr w:rsidR="001475C0" w:rsidRPr="004D35C0" w:rsidTr="006216F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shd w:val="clear" w:color="auto" w:fill="D9D9D9"/>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State WIC Director</w:t>
            </w:r>
          </w:p>
        </w:tc>
        <w:tc>
          <w:tcPr>
            <w:tcW w:w="3780" w:type="dxa"/>
            <w:tcBorders>
              <w:left w:val="none" w:sz="0" w:space="0" w:color="auto"/>
              <w:right w:val="none" w:sz="0" w:space="0" w:color="auto"/>
            </w:tcBorders>
            <w:shd w:val="clear" w:color="auto" w:fill="D9D9D9"/>
          </w:tcPr>
          <w:p w:rsidR="001475C0" w:rsidRPr="006216F2" w:rsidRDefault="001475C0" w:rsidP="00C10CCF">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State Agency Survey</w:t>
            </w:r>
          </w:p>
        </w:tc>
        <w:tc>
          <w:tcPr>
            <w:tcW w:w="1862" w:type="dxa"/>
            <w:tcBorders>
              <w:left w:val="none" w:sz="0" w:space="0" w:color="auto"/>
            </w:tcBorders>
            <w:shd w:val="clear" w:color="auto" w:fill="D9D9D9"/>
          </w:tcPr>
          <w:p w:rsidR="001475C0" w:rsidRPr="006216F2" w:rsidRDefault="001475C0"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1.1</w:t>
            </w:r>
            <w:r w:rsidR="00AF3CC6">
              <w:rPr>
                <w:rFonts w:ascii="Arial Narrow" w:hAnsi="Arial Narrow"/>
                <w:color w:val="000000"/>
                <w:sz w:val="20"/>
                <w:szCs w:val="20"/>
              </w:rPr>
              <w:t>5</w:t>
            </w:r>
          </w:p>
        </w:tc>
      </w:tr>
      <w:tr w:rsidR="001475C0" w:rsidRPr="004D35C0" w:rsidTr="006213C2">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Local WIC Agency Director</w:t>
            </w:r>
          </w:p>
        </w:tc>
        <w:tc>
          <w:tcPr>
            <w:tcW w:w="3780" w:type="dxa"/>
            <w:tcBorders>
              <w:left w:val="none" w:sz="0" w:space="0" w:color="auto"/>
              <w:right w:val="none" w:sz="0" w:space="0" w:color="auto"/>
            </w:tcBorders>
          </w:tcPr>
          <w:p w:rsidR="001475C0" w:rsidRPr="006216F2" w:rsidRDefault="001475C0" w:rsidP="00C10CCF">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Local WIC Agency Survey</w:t>
            </w:r>
          </w:p>
        </w:tc>
        <w:tc>
          <w:tcPr>
            <w:tcW w:w="1862" w:type="dxa"/>
            <w:tcBorders>
              <w:left w:val="none" w:sz="0" w:space="0" w:color="auto"/>
            </w:tcBorders>
          </w:tcPr>
          <w:p w:rsidR="001475C0" w:rsidRPr="006216F2" w:rsidRDefault="00CA3141" w:rsidP="00C10CCF">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0</w:t>
            </w:r>
            <w:r w:rsidR="001475C0" w:rsidRPr="006216F2">
              <w:rPr>
                <w:rFonts w:ascii="Arial Narrow" w:hAnsi="Arial Narrow"/>
                <w:color w:val="000000"/>
                <w:sz w:val="20"/>
                <w:szCs w:val="20"/>
              </w:rPr>
              <w:t>.</w:t>
            </w:r>
            <w:r w:rsidR="00AF3CC6">
              <w:rPr>
                <w:rFonts w:ascii="Arial Narrow" w:hAnsi="Arial Narrow"/>
                <w:color w:val="000000"/>
                <w:sz w:val="20"/>
                <w:szCs w:val="20"/>
              </w:rPr>
              <w:t>72</w:t>
            </w:r>
          </w:p>
        </w:tc>
      </w:tr>
      <w:tr w:rsidR="001475C0" w:rsidRPr="004D35C0" w:rsidTr="006216F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88" w:type="dxa"/>
            <w:vMerge w:val="restart"/>
            <w:tcBorders>
              <w:right w:val="none" w:sz="0" w:space="0" w:color="auto"/>
            </w:tcBorders>
            <w:shd w:val="clear" w:color="auto" w:fill="D9D9D9"/>
            <w:hideMark/>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WIC Participants</w:t>
            </w:r>
          </w:p>
        </w:tc>
        <w:tc>
          <w:tcPr>
            <w:tcW w:w="3780" w:type="dxa"/>
            <w:tcBorders>
              <w:left w:val="none" w:sz="0" w:space="0" w:color="auto"/>
              <w:right w:val="none" w:sz="0" w:space="0" w:color="auto"/>
            </w:tcBorders>
            <w:shd w:val="clear" w:color="auto" w:fill="D9D9D9"/>
            <w:hideMark/>
          </w:tcPr>
          <w:p w:rsidR="001475C0" w:rsidRPr="006216F2" w:rsidRDefault="001475C0" w:rsidP="00C10CCF">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WIC Participant Certification Survey</w:t>
            </w:r>
          </w:p>
        </w:tc>
        <w:tc>
          <w:tcPr>
            <w:tcW w:w="1862" w:type="dxa"/>
            <w:tcBorders>
              <w:left w:val="none" w:sz="0" w:space="0" w:color="auto"/>
            </w:tcBorders>
            <w:shd w:val="clear" w:color="auto" w:fill="D9D9D9"/>
            <w:hideMark/>
          </w:tcPr>
          <w:p w:rsidR="001475C0" w:rsidRPr="006216F2" w:rsidRDefault="00CA3141"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0</w:t>
            </w:r>
            <w:r w:rsidR="001475C0" w:rsidRPr="006216F2">
              <w:rPr>
                <w:rFonts w:ascii="Arial Narrow" w:hAnsi="Arial Narrow"/>
                <w:color w:val="000000"/>
                <w:sz w:val="20"/>
                <w:szCs w:val="20"/>
              </w:rPr>
              <w:t>.50</w:t>
            </w:r>
          </w:p>
        </w:tc>
      </w:tr>
      <w:tr w:rsidR="001475C0" w:rsidRPr="004D35C0" w:rsidTr="006213C2">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88" w:type="dxa"/>
            <w:vMerge/>
            <w:tcBorders>
              <w:right w:val="none" w:sz="0" w:space="0" w:color="auto"/>
            </w:tcBorders>
          </w:tcPr>
          <w:p w:rsidR="001475C0" w:rsidRPr="006216F2" w:rsidRDefault="001475C0" w:rsidP="00C10CCF">
            <w:pPr>
              <w:rPr>
                <w:rFonts w:ascii="Arial Narrow" w:hAnsi="Arial Narrow"/>
                <w:color w:val="000000"/>
                <w:sz w:val="20"/>
                <w:szCs w:val="20"/>
              </w:rPr>
            </w:pPr>
          </w:p>
        </w:tc>
        <w:tc>
          <w:tcPr>
            <w:tcW w:w="3780" w:type="dxa"/>
            <w:tcBorders>
              <w:left w:val="none" w:sz="0" w:space="0" w:color="auto"/>
              <w:right w:val="none" w:sz="0" w:space="0" w:color="auto"/>
            </w:tcBorders>
          </w:tcPr>
          <w:p w:rsidR="001475C0" w:rsidRPr="006216F2" w:rsidRDefault="001475C0" w:rsidP="00C10CCF">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Program Experiences Survey</w:t>
            </w:r>
          </w:p>
        </w:tc>
        <w:tc>
          <w:tcPr>
            <w:tcW w:w="1862" w:type="dxa"/>
            <w:tcBorders>
              <w:left w:val="none" w:sz="0" w:space="0" w:color="auto"/>
            </w:tcBorders>
          </w:tcPr>
          <w:p w:rsidR="001475C0" w:rsidRPr="006216F2" w:rsidRDefault="00CA3141" w:rsidP="00C10CCF">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0</w:t>
            </w:r>
            <w:r w:rsidR="001475C0" w:rsidRPr="006216F2">
              <w:rPr>
                <w:rFonts w:ascii="Arial Narrow" w:hAnsi="Arial Narrow"/>
                <w:color w:val="000000"/>
                <w:sz w:val="20"/>
                <w:szCs w:val="20"/>
              </w:rPr>
              <w:t>.5</w:t>
            </w:r>
            <w:r w:rsidR="00AF3CC6">
              <w:rPr>
                <w:rFonts w:ascii="Arial Narrow" w:hAnsi="Arial Narrow"/>
                <w:color w:val="000000"/>
                <w:sz w:val="20"/>
                <w:szCs w:val="20"/>
              </w:rPr>
              <w:t>0</w:t>
            </w:r>
          </w:p>
        </w:tc>
      </w:tr>
      <w:tr w:rsidR="001475C0" w:rsidRPr="004D35C0" w:rsidTr="006216F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88" w:type="dxa"/>
            <w:vMerge/>
            <w:tcBorders>
              <w:right w:val="none" w:sz="0" w:space="0" w:color="auto"/>
            </w:tcBorders>
          </w:tcPr>
          <w:p w:rsidR="001475C0" w:rsidRPr="006216F2" w:rsidRDefault="001475C0" w:rsidP="00C10CCF">
            <w:pPr>
              <w:rPr>
                <w:rFonts w:ascii="Arial Narrow" w:hAnsi="Arial Narrow"/>
                <w:color w:val="000000"/>
                <w:sz w:val="20"/>
                <w:szCs w:val="20"/>
              </w:rPr>
            </w:pPr>
          </w:p>
        </w:tc>
        <w:tc>
          <w:tcPr>
            <w:tcW w:w="3780" w:type="dxa"/>
            <w:tcBorders>
              <w:left w:val="none" w:sz="0" w:space="0" w:color="auto"/>
              <w:right w:val="none" w:sz="0" w:space="0" w:color="auto"/>
            </w:tcBorders>
            <w:shd w:val="clear" w:color="auto" w:fill="D9D9D9"/>
          </w:tcPr>
          <w:p w:rsidR="001475C0" w:rsidRPr="006216F2" w:rsidRDefault="001475C0" w:rsidP="00C10CCF">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Former WIC Participants Case Study</w:t>
            </w:r>
          </w:p>
        </w:tc>
        <w:tc>
          <w:tcPr>
            <w:tcW w:w="1862" w:type="dxa"/>
            <w:tcBorders>
              <w:left w:val="none" w:sz="0" w:space="0" w:color="auto"/>
            </w:tcBorders>
            <w:shd w:val="clear" w:color="auto" w:fill="D9D9D9"/>
          </w:tcPr>
          <w:p w:rsidR="001475C0" w:rsidRPr="006216F2" w:rsidRDefault="00CA3141" w:rsidP="00C10CC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0</w:t>
            </w:r>
            <w:r w:rsidR="001475C0" w:rsidRPr="006216F2">
              <w:rPr>
                <w:rFonts w:ascii="Arial Narrow" w:hAnsi="Arial Narrow"/>
                <w:color w:val="000000"/>
                <w:sz w:val="20"/>
                <w:szCs w:val="20"/>
              </w:rPr>
              <w:t>.67</w:t>
            </w:r>
          </w:p>
        </w:tc>
      </w:tr>
      <w:tr w:rsidR="001475C0" w:rsidRPr="004D35C0" w:rsidTr="006213C2">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1475C0" w:rsidRPr="006216F2" w:rsidRDefault="001475C0" w:rsidP="00C10CCF">
            <w:pPr>
              <w:rPr>
                <w:rFonts w:ascii="Arial Narrow" w:hAnsi="Arial Narrow"/>
                <w:color w:val="000000"/>
                <w:sz w:val="20"/>
                <w:szCs w:val="20"/>
              </w:rPr>
            </w:pPr>
            <w:r w:rsidRPr="006216F2">
              <w:rPr>
                <w:rFonts w:ascii="Arial Narrow" w:hAnsi="Arial Narrow"/>
                <w:color w:val="000000"/>
                <w:sz w:val="20"/>
                <w:szCs w:val="20"/>
              </w:rPr>
              <w:t>Denied WIC Applicants</w:t>
            </w:r>
          </w:p>
        </w:tc>
        <w:tc>
          <w:tcPr>
            <w:tcW w:w="3780" w:type="dxa"/>
            <w:tcBorders>
              <w:left w:val="none" w:sz="0" w:space="0" w:color="auto"/>
              <w:right w:val="none" w:sz="0" w:space="0" w:color="auto"/>
            </w:tcBorders>
          </w:tcPr>
          <w:p w:rsidR="001475C0" w:rsidRPr="006216F2" w:rsidRDefault="001475C0" w:rsidP="00C10CCF">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Denied Applicant Survey</w:t>
            </w:r>
          </w:p>
        </w:tc>
        <w:tc>
          <w:tcPr>
            <w:tcW w:w="1862" w:type="dxa"/>
            <w:tcBorders>
              <w:left w:val="none" w:sz="0" w:space="0" w:color="auto"/>
            </w:tcBorders>
          </w:tcPr>
          <w:p w:rsidR="001475C0" w:rsidRPr="006216F2" w:rsidRDefault="00CA3141" w:rsidP="00C10CCF">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0</w:t>
            </w:r>
            <w:r w:rsidR="001475C0" w:rsidRPr="006216F2">
              <w:rPr>
                <w:rFonts w:ascii="Arial Narrow" w:hAnsi="Arial Narrow"/>
                <w:color w:val="000000"/>
                <w:sz w:val="20"/>
                <w:szCs w:val="20"/>
              </w:rPr>
              <w:t>.58</w:t>
            </w:r>
          </w:p>
        </w:tc>
      </w:tr>
    </w:tbl>
    <w:p w:rsidR="005E15FF" w:rsidRPr="007C5A72" w:rsidRDefault="005E15FF" w:rsidP="005E15FF">
      <w:pPr>
        <w:spacing w:after="120"/>
        <w:rPr>
          <w:sz w:val="22"/>
          <w:szCs w:val="22"/>
        </w:rPr>
      </w:pPr>
    </w:p>
    <w:p w:rsidR="004D35C0" w:rsidRDefault="004D35C0">
      <w:pPr>
        <w:rPr>
          <w:b/>
        </w:rPr>
      </w:pPr>
    </w:p>
    <w:p w:rsidR="00B17C79" w:rsidRDefault="00B17C79" w:rsidP="00B17C79">
      <w:pPr>
        <w:pStyle w:val="ListParagraph"/>
        <w:ind w:left="360"/>
        <w:rPr>
          <w:b/>
        </w:rPr>
      </w:pPr>
    </w:p>
    <w:p w:rsidR="00F23538" w:rsidRDefault="00F23538" w:rsidP="00B17C79">
      <w:pPr>
        <w:pStyle w:val="ListParagraph"/>
        <w:ind w:left="360"/>
        <w:rPr>
          <w:b/>
        </w:rPr>
      </w:pPr>
    </w:p>
    <w:p w:rsidR="00F23538" w:rsidRDefault="00F23538" w:rsidP="00B17C79">
      <w:pPr>
        <w:pStyle w:val="ListParagraph"/>
        <w:ind w:left="360"/>
        <w:rPr>
          <w:b/>
          <w:highlight w:val="yellow"/>
        </w:rPr>
        <w:sectPr w:rsidR="00F23538" w:rsidSect="004A5728">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292728" w:rsidRPr="00042FF4" w:rsidRDefault="00292728" w:rsidP="00292728">
      <w:pPr>
        <w:shd w:val="clear" w:color="auto" w:fill="FFFFFF" w:themeFill="background1"/>
        <w:spacing w:line="276" w:lineRule="auto"/>
        <w:rPr>
          <w:i/>
        </w:rPr>
      </w:pPr>
      <w:r>
        <w:rPr>
          <w:rStyle w:val="IntenseEmphasis"/>
          <w:color w:val="auto"/>
        </w:rPr>
        <w:lastRenderedPageBreak/>
        <w:t>Table 3</w:t>
      </w:r>
      <w:proofErr w:type="gramStart"/>
      <w:r>
        <w:rPr>
          <w:rStyle w:val="IntenseEmphasis"/>
          <w:color w:val="auto"/>
        </w:rPr>
        <w:t xml:space="preserve">. </w:t>
      </w:r>
      <w:proofErr w:type="gramEnd"/>
      <w:r w:rsidRPr="00292728">
        <w:rPr>
          <w:rStyle w:val="IntenseEmphasis"/>
          <w:color w:val="auto"/>
        </w:rPr>
        <w:t>Estimates of Respondent Burden</w:t>
      </w:r>
    </w:p>
    <w:p w:rsidR="00292728" w:rsidRDefault="00292728" w:rsidP="00E90604">
      <w:pPr>
        <w:jc w:val="center"/>
        <w:rPr>
          <w:noProof/>
        </w:rPr>
      </w:pPr>
    </w:p>
    <w:p w:rsidR="00B17C79" w:rsidRPr="00B17C79" w:rsidRDefault="00AF3CC6" w:rsidP="00E90604">
      <w:pPr>
        <w:jc w:val="center"/>
        <w:rPr>
          <w:b/>
          <w:highlight w:val="yellow"/>
        </w:rPr>
      </w:pPr>
      <w:r w:rsidRPr="00AF3CC6">
        <w:rPr>
          <w:noProof/>
        </w:rPr>
        <w:drawing>
          <wp:inline distT="0" distB="0" distL="0" distR="0" wp14:anchorId="156E0835" wp14:editId="393D9A98">
            <wp:extent cx="9144000" cy="39998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44000" cy="3999865"/>
                    </a:xfrm>
                    <a:prstGeom prst="rect">
                      <a:avLst/>
                    </a:prstGeom>
                  </pic:spPr>
                </pic:pic>
              </a:graphicData>
            </a:graphic>
          </wp:inline>
        </w:drawing>
      </w:r>
      <w:r w:rsidRPr="00AF3CC6" w:rsidDel="00AF3CC6">
        <w:t xml:space="preserve"> </w:t>
      </w:r>
    </w:p>
    <w:p w:rsidR="00484674" w:rsidRPr="00484674" w:rsidRDefault="00484674" w:rsidP="00484674">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Default="008B6050" w:rsidP="00CA62B0">
      <w:pPr>
        <w:jc w:val="center"/>
        <w:rPr>
          <w:b/>
        </w:rPr>
      </w:pPr>
    </w:p>
    <w:p w:rsidR="008B6050" w:rsidRPr="007C5A72" w:rsidRDefault="00AF3CC6" w:rsidP="00CA62B0">
      <w:pPr>
        <w:jc w:val="center"/>
        <w:rPr>
          <w:b/>
        </w:rPr>
      </w:pPr>
      <w:r w:rsidRPr="00AF3CC6">
        <w:rPr>
          <w:noProof/>
        </w:rPr>
        <w:lastRenderedPageBreak/>
        <w:drawing>
          <wp:inline distT="0" distB="0" distL="0" distR="0" wp14:anchorId="29913533" wp14:editId="42B2B626">
            <wp:extent cx="9144000" cy="57842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144000" cy="5784215"/>
                    </a:xfrm>
                    <a:prstGeom prst="rect">
                      <a:avLst/>
                    </a:prstGeom>
                  </pic:spPr>
                </pic:pic>
              </a:graphicData>
            </a:graphic>
          </wp:inline>
        </w:drawing>
      </w:r>
    </w:p>
    <w:p w:rsidR="00B17C79" w:rsidRDefault="00B17C79" w:rsidP="00B17C79">
      <w:pPr>
        <w:pStyle w:val="ListParagraph"/>
        <w:ind w:left="360"/>
        <w:sectPr w:rsidR="00B17C79" w:rsidSect="00F23538">
          <w:pgSz w:w="15840" w:h="12240" w:orient="landscape"/>
          <w:pgMar w:top="720" w:right="720" w:bottom="720" w:left="720" w:header="720" w:footer="720" w:gutter="0"/>
          <w:cols w:space="720"/>
          <w:titlePg/>
          <w:docGrid w:linePitch="360"/>
        </w:sectPr>
      </w:pPr>
    </w:p>
    <w:p w:rsidR="005E15FF" w:rsidRPr="007C5A72" w:rsidRDefault="005E15FF" w:rsidP="0053612E">
      <w:pPr>
        <w:pStyle w:val="ListParagraph"/>
        <w:numPr>
          <w:ilvl w:val="0"/>
          <w:numId w:val="2"/>
        </w:numPr>
      </w:pPr>
      <w:r w:rsidRPr="007C5A72">
        <w:rPr>
          <w:b/>
        </w:rPr>
        <w:lastRenderedPageBreak/>
        <w:t>Project Purpose, Methodology, and Formative Research Design:</w:t>
      </w:r>
    </w:p>
    <w:p w:rsidR="005E15FF" w:rsidRPr="007C5A72" w:rsidRDefault="005E15FF" w:rsidP="005E15FF">
      <w:pPr>
        <w:pStyle w:val="NormalWeb"/>
        <w:spacing w:after="0" w:afterAutospacing="0" w:line="240" w:lineRule="auto"/>
        <w:ind w:left="360" w:hanging="360"/>
        <w:outlineLvl w:val="0"/>
        <w:rPr>
          <w:u w:val="single"/>
        </w:rPr>
      </w:pPr>
      <w:r w:rsidRPr="007C5A72">
        <w:rPr>
          <w:u w:val="single"/>
        </w:rPr>
        <w:t xml:space="preserve">Background </w:t>
      </w:r>
    </w:p>
    <w:p w:rsidR="000E3225" w:rsidRPr="007C5A72" w:rsidRDefault="000E3225" w:rsidP="000E3225"/>
    <w:p w:rsidR="000E3225" w:rsidRPr="007C5A72" w:rsidRDefault="00275E56" w:rsidP="000E3225">
      <w:r w:rsidRPr="007C5A72">
        <w:t>A primary objective of the Third National Survey of WIC Participants (NSWP-III) is to provide FNS with nationally representative estimates of improper payments from the WIC program arising from errors in the certification or denial of WIC applicants</w:t>
      </w:r>
      <w:r w:rsidR="00FB1D0D">
        <w:t>,</w:t>
      </w:r>
      <w:r>
        <w:t xml:space="preserve"> </w:t>
      </w:r>
      <w:r w:rsidR="00FB1D0D">
        <w:t>in order</w:t>
      </w:r>
      <w:r>
        <w:t xml:space="preserve"> </w:t>
      </w:r>
      <w:r w:rsidRPr="007C5A72">
        <w:t>to fulfill the requirements of the Improper Payment Elimination and Recovery Act (IPERIA) of 2012</w:t>
      </w:r>
      <w:proofErr w:type="gramStart"/>
      <w:r w:rsidR="004045EB">
        <w:t xml:space="preserve">. </w:t>
      </w:r>
      <w:proofErr w:type="gramEnd"/>
      <w:r w:rsidR="004045EB">
        <w:t xml:space="preserve">In addition, the study will </w:t>
      </w:r>
      <w:r w:rsidR="000E3225" w:rsidRPr="007C5A72">
        <w:t xml:space="preserve">investigate potential </w:t>
      </w:r>
      <w:r w:rsidR="006C7DDE">
        <w:t>SA</w:t>
      </w:r>
      <w:r w:rsidR="000E3225" w:rsidRPr="007C5A72">
        <w:t xml:space="preserve"> and </w:t>
      </w:r>
      <w:r w:rsidR="006C7DDE">
        <w:t xml:space="preserve">LA </w:t>
      </w:r>
      <w:r w:rsidR="000E3225" w:rsidRPr="007C5A72">
        <w:t xml:space="preserve">characteristics that may correlate with these errors, and </w:t>
      </w:r>
      <w:r w:rsidR="000C74D9">
        <w:t>will</w:t>
      </w:r>
      <w:r w:rsidR="000E3225" w:rsidRPr="007C5A72">
        <w:t xml:space="preserve"> assess WIC participants’ reasons for satisfaction or dissatisfaction with the program</w:t>
      </w:r>
      <w:proofErr w:type="gramStart"/>
      <w:r w:rsidR="000E3225" w:rsidRPr="007C5A72">
        <w:t xml:space="preserve">. </w:t>
      </w:r>
      <w:proofErr w:type="gramEnd"/>
      <w:r w:rsidR="000E3225" w:rsidRPr="007C5A72">
        <w:t xml:space="preserve">NSWP-III builds on three previous studies and reports </w:t>
      </w:r>
      <w:r w:rsidR="00CB355B">
        <w:t xml:space="preserve">that span </w:t>
      </w:r>
      <w:r w:rsidR="000E3225" w:rsidRPr="007C5A72">
        <w:t xml:space="preserve">several decades. </w:t>
      </w:r>
    </w:p>
    <w:p w:rsidR="000E3225" w:rsidRPr="007C5A72" w:rsidRDefault="000E3225" w:rsidP="000E3225"/>
    <w:p w:rsidR="000E3225" w:rsidRPr="007C5A72" w:rsidRDefault="000E3225" w:rsidP="000E3225">
      <w:r w:rsidRPr="007C5A72">
        <w:t>To accomplish study objectives, the following data collections are planned</w:t>
      </w:r>
      <w:r w:rsidR="00B01380">
        <w:t xml:space="preserve"> for the full data collection</w:t>
      </w:r>
      <w:r w:rsidRPr="007C5A72">
        <w:t xml:space="preserve">: (1) a Certification Survey with up to 2,000 recently certified WIC participants; (2) a Denied Applicant Survey with up to 240 WIC applicants who did not qualify for the program; (3) a Program Experiences Survey with up to 2,500 current WIC program participants; (4) </w:t>
      </w:r>
      <w:r w:rsidR="004D35C0" w:rsidRPr="007C5A72">
        <w:t xml:space="preserve">a </w:t>
      </w:r>
      <w:r w:rsidRPr="007C5A72">
        <w:t xml:space="preserve">Former Participant Case Study with </w:t>
      </w:r>
      <w:r w:rsidR="00B01380">
        <w:t xml:space="preserve">125 </w:t>
      </w:r>
      <w:r w:rsidRPr="007C5A72">
        <w:t xml:space="preserve">inactive WIC program participants who have stopped redeeming WIC benefits; (5) </w:t>
      </w:r>
      <w:r w:rsidR="004D35C0" w:rsidRPr="007C5A72">
        <w:t xml:space="preserve">a </w:t>
      </w:r>
      <w:r w:rsidRPr="007C5A72">
        <w:t>State Agency Survey with 90 agencies, including 50 States and the District of Columbia, 34 Indian Tribal Organizations (ITOs), and 5 U.S. Territories; and</w:t>
      </w:r>
      <w:r w:rsidR="004045EB">
        <w:t xml:space="preserve"> </w:t>
      </w:r>
      <w:r w:rsidR="004D35C0" w:rsidRPr="007C5A72">
        <w:t xml:space="preserve">(6) </w:t>
      </w:r>
      <w:r w:rsidRPr="007C5A72">
        <w:t xml:space="preserve">a Local WIC Agency Survey with 1,500 local WIC agency directors. </w:t>
      </w:r>
    </w:p>
    <w:p w:rsidR="000E3225" w:rsidRPr="007C5A72" w:rsidRDefault="000E3225" w:rsidP="000E3225"/>
    <w:p w:rsidR="005E15FF" w:rsidRPr="007C5A72" w:rsidRDefault="005E15FF" w:rsidP="005E15FF">
      <w:pPr>
        <w:outlineLvl w:val="0"/>
        <w:rPr>
          <w:u w:val="single"/>
        </w:rPr>
      </w:pPr>
      <w:r w:rsidRPr="007C5A72">
        <w:rPr>
          <w:u w:val="single"/>
        </w:rPr>
        <w:t>Purpose</w:t>
      </w:r>
    </w:p>
    <w:p w:rsidR="00907CE1" w:rsidRPr="007C5A72" w:rsidRDefault="00907CE1" w:rsidP="005E15FF">
      <w:pPr>
        <w:pStyle w:val="Default"/>
        <w:rPr>
          <w:rFonts w:ascii="Times New Roman" w:hAnsi="Times New Roman" w:cs="Times New Roman"/>
          <w:bCs/>
        </w:rPr>
      </w:pPr>
    </w:p>
    <w:p w:rsidR="00153406" w:rsidRPr="007C5A72" w:rsidRDefault="00153406" w:rsidP="00153406">
      <w:pPr>
        <w:pStyle w:val="NormalWeb"/>
        <w:spacing w:before="0" w:beforeAutospacing="0" w:after="0" w:afterAutospacing="0" w:line="240" w:lineRule="auto"/>
        <w:rPr>
          <w:rFonts w:eastAsiaTheme="minorEastAsia"/>
          <w:color w:val="000000"/>
        </w:rPr>
      </w:pPr>
      <w:r w:rsidRPr="007C5A72">
        <w:rPr>
          <w:rFonts w:eastAsiaTheme="minorEastAsia"/>
          <w:color w:val="000000"/>
        </w:rPr>
        <w:t xml:space="preserve">The purpose of each </w:t>
      </w:r>
      <w:r w:rsidR="00CA3141">
        <w:rPr>
          <w:rFonts w:eastAsiaTheme="minorEastAsia"/>
          <w:color w:val="000000"/>
        </w:rPr>
        <w:t>data collection activity</w:t>
      </w:r>
      <w:r w:rsidRPr="007C5A72">
        <w:rPr>
          <w:rFonts w:eastAsiaTheme="minorEastAsia"/>
          <w:color w:val="000000"/>
        </w:rPr>
        <w:t xml:space="preserve"> is described below.</w:t>
      </w:r>
      <w:r w:rsidR="00DF7E22" w:rsidRPr="007C5A72">
        <w:rPr>
          <w:rFonts w:eastAsiaTheme="minorEastAsia"/>
          <w:color w:val="000000"/>
        </w:rPr>
        <w:t xml:space="preserve"> </w:t>
      </w:r>
    </w:p>
    <w:p w:rsidR="00153406" w:rsidRPr="007C5A72" w:rsidRDefault="00153406" w:rsidP="00153406">
      <w:pPr>
        <w:pStyle w:val="NormalWeb"/>
        <w:spacing w:before="0" w:beforeAutospacing="0" w:after="0" w:afterAutospacing="0" w:line="240" w:lineRule="auto"/>
        <w:rPr>
          <w:rStyle w:val="NormalWebChar"/>
        </w:rPr>
      </w:pPr>
    </w:p>
    <w:p w:rsidR="00153406" w:rsidRPr="009962BB" w:rsidRDefault="00153406" w:rsidP="000E1784">
      <w:pPr>
        <w:pStyle w:val="Heading2"/>
      </w:pPr>
      <w:r w:rsidRPr="009962BB">
        <w:t>State Agency Survey</w:t>
      </w:r>
    </w:p>
    <w:p w:rsidR="00E1721F" w:rsidRDefault="00153406" w:rsidP="000E1784">
      <w:pPr>
        <w:rPr>
          <w:rFonts w:eastAsiaTheme="minorEastAsia"/>
        </w:rPr>
      </w:pPr>
      <w:r w:rsidRPr="007C5A72">
        <w:rPr>
          <w:rFonts w:eastAsiaTheme="minorEastAsia"/>
        </w:rPr>
        <w:t xml:space="preserve">Federal guidelines grant </w:t>
      </w:r>
      <w:r w:rsidR="009814DC">
        <w:rPr>
          <w:rFonts w:eastAsiaTheme="minorEastAsia"/>
        </w:rPr>
        <w:t xml:space="preserve">SAs </w:t>
      </w:r>
      <w:r w:rsidRPr="007C5A72">
        <w:rPr>
          <w:rFonts w:eastAsiaTheme="minorEastAsia"/>
        </w:rPr>
        <w:t xml:space="preserve">substantial authority to determine the State’s WIC Program operations and procedures, </w:t>
      </w:r>
      <w:r w:rsidR="00E23F65">
        <w:rPr>
          <w:rFonts w:eastAsiaTheme="minorEastAsia"/>
        </w:rPr>
        <w:t xml:space="preserve">including providing guidance to </w:t>
      </w:r>
      <w:r w:rsidR="00D20063">
        <w:rPr>
          <w:rFonts w:eastAsiaTheme="minorEastAsia"/>
        </w:rPr>
        <w:t>LAs</w:t>
      </w:r>
      <w:r w:rsidR="00E23F65">
        <w:rPr>
          <w:rFonts w:eastAsiaTheme="minorEastAsia"/>
        </w:rPr>
        <w:t xml:space="preserve"> on implementing procedures to determine an applicant’s eligibility, </w:t>
      </w:r>
      <w:r w:rsidRPr="007C5A72">
        <w:rPr>
          <w:rFonts w:eastAsiaTheme="minorEastAsia"/>
        </w:rPr>
        <w:t>negotiating and determining food options, establishing application and payment procedures, and establishing program data management systems and procedures</w:t>
      </w:r>
      <w:proofErr w:type="gramStart"/>
      <w:r w:rsidRPr="007C5A72">
        <w:rPr>
          <w:rFonts w:eastAsiaTheme="minorEastAsia"/>
        </w:rPr>
        <w:t xml:space="preserve">. </w:t>
      </w:r>
      <w:proofErr w:type="gramEnd"/>
      <w:r w:rsidRPr="007C5A72">
        <w:rPr>
          <w:rFonts w:eastAsiaTheme="minorEastAsia"/>
        </w:rPr>
        <w:t>The State</w:t>
      </w:r>
      <w:r w:rsidR="00275E56">
        <w:rPr>
          <w:rFonts w:eastAsiaTheme="minorEastAsia"/>
        </w:rPr>
        <w:t xml:space="preserve"> </w:t>
      </w:r>
      <w:r w:rsidR="00CB355B">
        <w:rPr>
          <w:rFonts w:eastAsiaTheme="minorEastAsia"/>
        </w:rPr>
        <w:t>A</w:t>
      </w:r>
      <w:r w:rsidR="00275E56">
        <w:rPr>
          <w:rFonts w:eastAsiaTheme="minorEastAsia"/>
        </w:rPr>
        <w:t>gency</w:t>
      </w:r>
      <w:r w:rsidRPr="007C5A72">
        <w:rPr>
          <w:rFonts w:eastAsiaTheme="minorEastAsia"/>
        </w:rPr>
        <w:t xml:space="preserve"> </w:t>
      </w:r>
      <w:r w:rsidR="00CB355B">
        <w:rPr>
          <w:rFonts w:eastAsiaTheme="minorEastAsia"/>
        </w:rPr>
        <w:t>S</w:t>
      </w:r>
      <w:r w:rsidRPr="007C5A72">
        <w:rPr>
          <w:rFonts w:eastAsiaTheme="minorEastAsia"/>
        </w:rPr>
        <w:t>urvey is designed to identify policies and practices that each WIC S</w:t>
      </w:r>
      <w:r w:rsidR="00566F90">
        <w:rPr>
          <w:rFonts w:eastAsiaTheme="minorEastAsia"/>
        </w:rPr>
        <w:t>A</w:t>
      </w:r>
      <w:r w:rsidRPr="007C5A72">
        <w:rPr>
          <w:rFonts w:eastAsiaTheme="minorEastAsia"/>
        </w:rPr>
        <w:t xml:space="preserve"> has established under these discretionary powers, and to enable comparisons of their potential effects</w:t>
      </w:r>
      <w:proofErr w:type="gramStart"/>
      <w:r w:rsidRPr="007C5A72">
        <w:rPr>
          <w:rFonts w:eastAsiaTheme="minorEastAsia"/>
        </w:rPr>
        <w:t xml:space="preserve">. </w:t>
      </w:r>
      <w:proofErr w:type="gramEnd"/>
      <w:r w:rsidRPr="007C5A72">
        <w:rPr>
          <w:rFonts w:eastAsiaTheme="minorEastAsia"/>
        </w:rPr>
        <w:t>The State Agency Survey was created by incorporating and modifying questions from NSWP-II</w:t>
      </w:r>
      <w:proofErr w:type="gramStart"/>
      <w:r w:rsidRPr="007C5A72">
        <w:rPr>
          <w:rFonts w:eastAsiaTheme="minorEastAsia"/>
        </w:rPr>
        <w:t xml:space="preserve">. </w:t>
      </w:r>
      <w:proofErr w:type="gramEnd"/>
      <w:r w:rsidRPr="007C5A72">
        <w:rPr>
          <w:rFonts w:eastAsiaTheme="minorEastAsia"/>
        </w:rPr>
        <w:t>Some questions are new to the NSWP-III survey</w:t>
      </w:r>
      <w:r w:rsidR="00566F90">
        <w:rPr>
          <w:rFonts w:eastAsiaTheme="minorEastAsia"/>
        </w:rPr>
        <w:t>,</w:t>
      </w:r>
      <w:r w:rsidR="004D35C0">
        <w:rPr>
          <w:rFonts w:eastAsiaTheme="minorEastAsia"/>
        </w:rPr>
        <w:t xml:space="preserve"> some </w:t>
      </w:r>
      <w:r w:rsidR="00017EA9">
        <w:rPr>
          <w:rFonts w:eastAsiaTheme="minorEastAsia"/>
        </w:rPr>
        <w:t xml:space="preserve">NSWP-II </w:t>
      </w:r>
      <w:r w:rsidR="004D35C0">
        <w:rPr>
          <w:rFonts w:eastAsiaTheme="minorEastAsia"/>
        </w:rPr>
        <w:t>questions</w:t>
      </w:r>
      <w:r w:rsidR="00017EA9">
        <w:rPr>
          <w:rFonts w:eastAsiaTheme="minorEastAsia"/>
        </w:rPr>
        <w:t xml:space="preserve"> </w:t>
      </w:r>
      <w:r w:rsidR="004D35C0">
        <w:rPr>
          <w:rFonts w:eastAsiaTheme="minorEastAsia"/>
        </w:rPr>
        <w:t>have been dropped due to changes in the program since the prior study was conducted</w:t>
      </w:r>
      <w:r w:rsidR="00566F90">
        <w:rPr>
          <w:rFonts w:eastAsiaTheme="minorEastAsia"/>
        </w:rPr>
        <w:t>,</w:t>
      </w:r>
      <w:r w:rsidR="00E23F65">
        <w:rPr>
          <w:rFonts w:eastAsiaTheme="minorEastAsia"/>
        </w:rPr>
        <w:t xml:space="preserve"> and other questions have been dropped because they were outside the scope of research questions detailed in the P</w:t>
      </w:r>
      <w:r w:rsidR="00802A65">
        <w:rPr>
          <w:rFonts w:eastAsiaTheme="minorEastAsia"/>
        </w:rPr>
        <w:t xml:space="preserve">erformance </w:t>
      </w:r>
      <w:r w:rsidR="00E23F65">
        <w:rPr>
          <w:rFonts w:eastAsiaTheme="minorEastAsia"/>
        </w:rPr>
        <w:t>W</w:t>
      </w:r>
      <w:r w:rsidR="00802A65">
        <w:rPr>
          <w:rFonts w:eastAsiaTheme="minorEastAsia"/>
        </w:rPr>
        <w:t xml:space="preserve">ork </w:t>
      </w:r>
      <w:r w:rsidR="00E23F65">
        <w:rPr>
          <w:rFonts w:eastAsiaTheme="minorEastAsia"/>
        </w:rPr>
        <w:t>S</w:t>
      </w:r>
      <w:r w:rsidR="00802A65">
        <w:rPr>
          <w:rFonts w:eastAsiaTheme="minorEastAsia"/>
        </w:rPr>
        <w:t>tatement</w:t>
      </w:r>
      <w:r w:rsidR="00566F90">
        <w:rPr>
          <w:rFonts w:eastAsiaTheme="minorEastAsia"/>
        </w:rPr>
        <w:t xml:space="preserve"> (PWS)</w:t>
      </w:r>
      <w:r w:rsidR="00E23F65">
        <w:rPr>
          <w:rFonts w:eastAsiaTheme="minorEastAsia"/>
        </w:rPr>
        <w:t>.</w:t>
      </w:r>
    </w:p>
    <w:p w:rsidR="00E1721F" w:rsidRPr="007C5A72" w:rsidRDefault="00E1721F" w:rsidP="00E1721F">
      <w:pPr>
        <w:rPr>
          <w:rFonts w:eastAsia="Calibri"/>
        </w:rPr>
      </w:pPr>
    </w:p>
    <w:p w:rsidR="00153406" w:rsidRPr="00221413" w:rsidRDefault="00153406" w:rsidP="00221413">
      <w:pPr>
        <w:pStyle w:val="Heading2"/>
        <w:rPr>
          <w:rFonts w:eastAsiaTheme="minorEastAsia"/>
          <w:i w:val="0"/>
        </w:rPr>
      </w:pPr>
      <w:r w:rsidRPr="00221413">
        <w:rPr>
          <w:rStyle w:val="Heading2Char"/>
          <w:i/>
        </w:rPr>
        <w:t>Local Agency Survey</w:t>
      </w:r>
    </w:p>
    <w:p w:rsidR="00153406" w:rsidRPr="007C5A72" w:rsidRDefault="00153406" w:rsidP="000E1784">
      <w:pPr>
        <w:rPr>
          <w:rFonts w:eastAsia="Calibri"/>
        </w:rPr>
      </w:pPr>
      <w:r w:rsidRPr="007C5A72">
        <w:rPr>
          <w:rFonts w:eastAsia="Calibri"/>
        </w:rPr>
        <w:t xml:space="preserve">The Local Agency Survey will focus on the services the LA provides to WIC participants, as well as the infrastructure of the WIC agency itself, including structure of the agency, clinics and sites under the </w:t>
      </w:r>
      <w:r w:rsidR="00E37135">
        <w:rPr>
          <w:rFonts w:eastAsia="Calibri"/>
        </w:rPr>
        <w:t>LA</w:t>
      </w:r>
      <w:r w:rsidRPr="007C5A72">
        <w:rPr>
          <w:rFonts w:eastAsia="Calibri"/>
        </w:rPr>
        <w:t>, income eligibility procedures, certification procedures, and food instrument or food distribution procedures</w:t>
      </w:r>
      <w:proofErr w:type="gramStart"/>
      <w:r w:rsidRPr="007C5A72">
        <w:rPr>
          <w:rFonts w:eastAsia="Calibri"/>
        </w:rPr>
        <w:t xml:space="preserve">. </w:t>
      </w:r>
      <w:proofErr w:type="gramEnd"/>
      <w:r w:rsidR="00B73EC9">
        <w:rPr>
          <w:rFonts w:eastAsia="Calibri"/>
        </w:rPr>
        <w:t xml:space="preserve">LAs </w:t>
      </w:r>
      <w:r w:rsidRPr="007C5A72">
        <w:rPr>
          <w:rFonts w:eastAsia="Calibri"/>
        </w:rPr>
        <w:t>will also be asked about the policies and practices at their sites</w:t>
      </w:r>
      <w:proofErr w:type="gramStart"/>
      <w:r w:rsidRPr="007C5A72">
        <w:rPr>
          <w:rFonts w:eastAsia="Calibri"/>
        </w:rPr>
        <w:t xml:space="preserve">. </w:t>
      </w:r>
      <w:proofErr w:type="gramEnd"/>
      <w:r w:rsidRPr="007C5A72">
        <w:rPr>
          <w:rFonts w:eastAsia="Calibri"/>
        </w:rPr>
        <w:t>These questions will characterize heterogeneity in site-level policies and practices across the nation</w:t>
      </w:r>
      <w:proofErr w:type="gramStart"/>
      <w:r w:rsidRPr="007C5A72">
        <w:rPr>
          <w:rFonts w:eastAsia="Calibri"/>
        </w:rPr>
        <w:t xml:space="preserve">. </w:t>
      </w:r>
      <w:proofErr w:type="gramEnd"/>
      <w:r w:rsidRPr="007C5A72">
        <w:rPr>
          <w:rFonts w:eastAsia="Calibri"/>
        </w:rPr>
        <w:t>The Local Agency Survey was created by incorporating and modifying questions from NSWP-II</w:t>
      </w:r>
      <w:proofErr w:type="gramStart"/>
      <w:r w:rsidRPr="007C5A72">
        <w:rPr>
          <w:rFonts w:eastAsia="Calibri"/>
        </w:rPr>
        <w:t xml:space="preserve">. </w:t>
      </w:r>
      <w:proofErr w:type="gramEnd"/>
      <w:r w:rsidRPr="007C5A72">
        <w:rPr>
          <w:rFonts w:eastAsia="Calibri"/>
        </w:rPr>
        <w:t>Some questions are new to the NSWP-III survey</w:t>
      </w:r>
      <w:r w:rsidR="00554295">
        <w:rPr>
          <w:rFonts w:eastAsia="Calibri"/>
        </w:rPr>
        <w:t>,</w:t>
      </w:r>
      <w:r w:rsidR="00F62884">
        <w:rPr>
          <w:rFonts w:eastAsia="Calibri"/>
        </w:rPr>
        <w:t xml:space="preserve"> </w:t>
      </w:r>
      <w:r w:rsidR="00F62884">
        <w:rPr>
          <w:rFonts w:eastAsiaTheme="minorEastAsia"/>
        </w:rPr>
        <w:t xml:space="preserve">some </w:t>
      </w:r>
      <w:r w:rsidR="005543C3">
        <w:rPr>
          <w:rFonts w:eastAsiaTheme="minorEastAsia"/>
        </w:rPr>
        <w:t xml:space="preserve">NSWP-II </w:t>
      </w:r>
      <w:r w:rsidR="00F62884">
        <w:rPr>
          <w:rFonts w:eastAsiaTheme="minorEastAsia"/>
        </w:rPr>
        <w:t xml:space="preserve">questions have </w:t>
      </w:r>
      <w:r w:rsidR="00F62884">
        <w:rPr>
          <w:rFonts w:eastAsiaTheme="minorEastAsia"/>
        </w:rPr>
        <w:lastRenderedPageBreak/>
        <w:t>been dropped due to changes in the program since the prior study was conducted</w:t>
      </w:r>
      <w:r w:rsidR="00554295">
        <w:rPr>
          <w:rFonts w:eastAsiaTheme="minorEastAsia"/>
        </w:rPr>
        <w:t>,</w:t>
      </w:r>
      <w:r w:rsidR="00E23F65">
        <w:rPr>
          <w:rFonts w:eastAsia="Calibri"/>
        </w:rPr>
        <w:t xml:space="preserve"> </w:t>
      </w:r>
      <w:r w:rsidR="00E23F65">
        <w:rPr>
          <w:rFonts w:eastAsiaTheme="minorEastAsia"/>
        </w:rPr>
        <w:t>and other questions have been dropped because they were outside the scope of research questions detailed in the PWS.</w:t>
      </w:r>
      <w:r w:rsidR="00A1460D">
        <w:rPr>
          <w:rFonts w:eastAsia="Calibri"/>
        </w:rPr>
        <w:br/>
      </w:r>
    </w:p>
    <w:p w:rsidR="00153406" w:rsidRPr="009962BB" w:rsidRDefault="00153406" w:rsidP="000E1784">
      <w:pPr>
        <w:pStyle w:val="Heading2"/>
      </w:pPr>
      <w:r w:rsidRPr="009962BB">
        <w:t>Certification Survey</w:t>
      </w:r>
    </w:p>
    <w:p w:rsidR="00153406" w:rsidRDefault="00153406" w:rsidP="000E1784">
      <w:pPr>
        <w:rPr>
          <w:rFonts w:eastAsiaTheme="minorEastAsia"/>
        </w:rPr>
      </w:pPr>
      <w:r w:rsidRPr="007C5A72">
        <w:rPr>
          <w:rFonts w:eastAsiaTheme="minorEastAsia"/>
        </w:rPr>
        <w:t xml:space="preserve">The Certification Survey’s purpose is to meet the objective of calculating improper payment rates </w:t>
      </w:r>
      <w:r w:rsidR="002165B2">
        <w:rPr>
          <w:rFonts w:eastAsiaTheme="minorEastAsia"/>
        </w:rPr>
        <w:t xml:space="preserve">due to certification error </w:t>
      </w:r>
      <w:r w:rsidRPr="007C5A72">
        <w:rPr>
          <w:rFonts w:eastAsiaTheme="minorEastAsia"/>
        </w:rPr>
        <w:t>in the WIC program</w:t>
      </w:r>
      <w:proofErr w:type="gramStart"/>
      <w:r w:rsidRPr="007C5A72">
        <w:rPr>
          <w:rFonts w:eastAsiaTheme="minorEastAsia"/>
        </w:rPr>
        <w:t xml:space="preserve">. </w:t>
      </w:r>
      <w:proofErr w:type="gramEnd"/>
      <w:r w:rsidRPr="007C5A72">
        <w:rPr>
          <w:rFonts w:eastAsiaTheme="minorEastAsia"/>
        </w:rPr>
        <w:t>Data from the survey, combined with State administrative data on WIC participants</w:t>
      </w:r>
      <w:r w:rsidR="00F62884">
        <w:rPr>
          <w:rFonts w:eastAsiaTheme="minorEastAsia"/>
        </w:rPr>
        <w:t xml:space="preserve"> and redemptions of food instruments</w:t>
      </w:r>
      <w:r w:rsidRPr="007C5A72">
        <w:rPr>
          <w:rFonts w:eastAsiaTheme="minorEastAsia"/>
        </w:rPr>
        <w:t xml:space="preserve">, will allow the research team to estimate </w:t>
      </w:r>
      <w:r w:rsidR="002165B2">
        <w:rPr>
          <w:rFonts w:eastAsiaTheme="minorEastAsia"/>
        </w:rPr>
        <w:t xml:space="preserve">rates of </w:t>
      </w:r>
      <w:r w:rsidRPr="007C5A72">
        <w:rPr>
          <w:rFonts w:eastAsiaTheme="minorEastAsia"/>
        </w:rPr>
        <w:t>case error and improper payments in a nationally representative sample, as well as for each of the five certification categories (pregnant women, breastfeeding women, non-breastfeeding postpartum women, infants, and children), by asking respondents questions related to their eligibility for WIC</w:t>
      </w:r>
      <w:proofErr w:type="gramStart"/>
      <w:r w:rsidRPr="007C5A72">
        <w:rPr>
          <w:rFonts w:eastAsiaTheme="minorEastAsia"/>
        </w:rPr>
        <w:t xml:space="preserve">. </w:t>
      </w:r>
      <w:proofErr w:type="gramEnd"/>
      <w:r w:rsidRPr="007C5A72">
        <w:rPr>
          <w:rFonts w:eastAsiaTheme="minorEastAsia"/>
        </w:rPr>
        <w:t xml:space="preserve">The Certification Survey has been adapted from NSWP-II’s </w:t>
      </w:r>
      <w:r w:rsidR="00C95A11" w:rsidRPr="007C5A72">
        <w:rPr>
          <w:rFonts w:eastAsiaTheme="minorEastAsia"/>
        </w:rPr>
        <w:t xml:space="preserve">Certification Survey </w:t>
      </w:r>
      <w:r w:rsidRPr="007C5A72">
        <w:rPr>
          <w:rFonts w:eastAsiaTheme="minorEastAsia"/>
        </w:rPr>
        <w:t>to maintain as much comparability as possible</w:t>
      </w:r>
      <w:r w:rsidR="00554295">
        <w:rPr>
          <w:rFonts w:eastAsiaTheme="minorEastAsia"/>
        </w:rPr>
        <w:t>,</w:t>
      </w:r>
      <w:r w:rsidRPr="007C5A72">
        <w:rPr>
          <w:rFonts w:eastAsiaTheme="minorEastAsia"/>
        </w:rPr>
        <w:t xml:space="preserve"> while balancing the need to reflect current certification regulations</w:t>
      </w:r>
      <w:proofErr w:type="gramStart"/>
      <w:r w:rsidRPr="007C5A72">
        <w:rPr>
          <w:rFonts w:eastAsiaTheme="minorEastAsia"/>
        </w:rPr>
        <w:t xml:space="preserve">. </w:t>
      </w:r>
      <w:proofErr w:type="gramEnd"/>
      <w:r w:rsidR="00A1460D">
        <w:rPr>
          <w:rFonts w:eastAsiaTheme="minorEastAsia"/>
        </w:rPr>
        <w:br/>
      </w:r>
    </w:p>
    <w:p w:rsidR="00180A78" w:rsidRPr="009962BB" w:rsidRDefault="00180A78" w:rsidP="00180A78">
      <w:pPr>
        <w:pStyle w:val="Heading2"/>
      </w:pPr>
      <w:r w:rsidRPr="009962BB">
        <w:t xml:space="preserve">Denied Applicant Survey </w:t>
      </w:r>
    </w:p>
    <w:p w:rsidR="00180A78" w:rsidRPr="007C5A72" w:rsidRDefault="00180A78" w:rsidP="00180A78">
      <w:pPr>
        <w:rPr>
          <w:rFonts w:eastAsiaTheme="minorEastAsia"/>
        </w:rPr>
      </w:pPr>
      <w:r w:rsidRPr="007C5A72">
        <w:rPr>
          <w:rFonts w:eastAsiaTheme="minorEastAsia"/>
        </w:rPr>
        <w:t>The purpose of the Denied Applicant Survey is to determine whether WIC applicants who were deemed ineligible were correctly or erroneously denied WIC benefits</w:t>
      </w:r>
      <w:proofErr w:type="gramStart"/>
      <w:r w:rsidRPr="007C5A72">
        <w:rPr>
          <w:rFonts w:eastAsiaTheme="minorEastAsia"/>
        </w:rPr>
        <w:t xml:space="preserve">. </w:t>
      </w:r>
      <w:proofErr w:type="gramEnd"/>
      <w:r w:rsidRPr="007C5A72">
        <w:rPr>
          <w:rFonts w:eastAsiaTheme="minorEastAsia"/>
        </w:rPr>
        <w:t>The survey data will inform the estimation of the rate and associated dollar cost of underpayments due to erroneous denials</w:t>
      </w:r>
      <w:proofErr w:type="gramStart"/>
      <w:r w:rsidRPr="007C5A72">
        <w:rPr>
          <w:rFonts w:eastAsiaTheme="minorEastAsia"/>
        </w:rPr>
        <w:t xml:space="preserve">. </w:t>
      </w:r>
      <w:proofErr w:type="gramEnd"/>
      <w:r w:rsidRPr="007C5A72">
        <w:rPr>
          <w:rFonts w:eastAsiaTheme="minorEastAsia"/>
        </w:rPr>
        <w:t>An additional purpose is to describe the reasons why applicants were correctly or erroneously denied WIC benefits</w:t>
      </w:r>
      <w:proofErr w:type="gramStart"/>
      <w:r w:rsidRPr="007C5A72">
        <w:rPr>
          <w:rFonts w:eastAsiaTheme="minorEastAsia"/>
        </w:rPr>
        <w:t xml:space="preserve">. </w:t>
      </w:r>
      <w:proofErr w:type="gramEnd"/>
      <w:r w:rsidRPr="007C5A72">
        <w:rPr>
          <w:rFonts w:eastAsiaTheme="minorEastAsia"/>
        </w:rPr>
        <w:t xml:space="preserve">To answer the </w:t>
      </w:r>
      <w:r>
        <w:rPr>
          <w:rFonts w:eastAsiaTheme="minorEastAsia"/>
        </w:rPr>
        <w:t>s</w:t>
      </w:r>
      <w:r w:rsidRPr="007C5A72">
        <w:rPr>
          <w:rFonts w:eastAsiaTheme="minorEastAsia"/>
        </w:rPr>
        <w:t xml:space="preserve">tudy </w:t>
      </w:r>
      <w:r>
        <w:rPr>
          <w:rFonts w:eastAsiaTheme="minorEastAsia"/>
        </w:rPr>
        <w:t>o</w:t>
      </w:r>
      <w:r w:rsidRPr="007C5A72">
        <w:rPr>
          <w:rFonts w:eastAsiaTheme="minorEastAsia"/>
        </w:rPr>
        <w:t>bjectives, the Denied Applicant Survey differs from that used in NSWP-II</w:t>
      </w:r>
      <w:proofErr w:type="gramStart"/>
      <w:r w:rsidRPr="007C5A72">
        <w:rPr>
          <w:rFonts w:eastAsiaTheme="minorEastAsia"/>
        </w:rPr>
        <w:t xml:space="preserve">. </w:t>
      </w:r>
      <w:proofErr w:type="gramEnd"/>
      <w:r w:rsidRPr="007C5A72">
        <w:rPr>
          <w:rFonts w:eastAsiaTheme="minorEastAsia"/>
        </w:rPr>
        <w:t>The prior study’s Denied Applicant Survey did not ask requisite questions needed to determine whether the denial was made correctly or erroneously</w:t>
      </w:r>
      <w:proofErr w:type="gramStart"/>
      <w:r w:rsidRPr="007C5A72">
        <w:rPr>
          <w:rFonts w:eastAsiaTheme="minorEastAsia"/>
        </w:rPr>
        <w:t xml:space="preserve">. </w:t>
      </w:r>
      <w:proofErr w:type="gramEnd"/>
      <w:r>
        <w:rPr>
          <w:rFonts w:eastAsiaTheme="minorEastAsia"/>
        </w:rPr>
        <w:t>I</w:t>
      </w:r>
      <w:r w:rsidRPr="007C5A72">
        <w:rPr>
          <w:rFonts w:eastAsiaTheme="minorEastAsia"/>
        </w:rPr>
        <w:t>n order to know if an applicant was correctly or erroneously denied, the study must confirm the applicant’s residence, certification category, and income at the time of application</w:t>
      </w:r>
      <w:proofErr w:type="gramStart"/>
      <w:r w:rsidRPr="007C5A72">
        <w:rPr>
          <w:rFonts w:eastAsiaTheme="minorEastAsia"/>
        </w:rPr>
        <w:t xml:space="preserve">. </w:t>
      </w:r>
      <w:proofErr w:type="gramEnd"/>
      <w:r w:rsidRPr="007C5A72">
        <w:rPr>
          <w:rFonts w:eastAsiaTheme="minorEastAsia"/>
        </w:rPr>
        <w:t>To achieve these objectives, the NSWP-III Denied Applicant Survey, in large part, mirrors the Certification Survey, with appropriate modifications to introductory language and question stems—for example, referring to the applicant’s “date of application” rather than “date of certification.”</w:t>
      </w:r>
      <w:r>
        <w:rPr>
          <w:rFonts w:eastAsiaTheme="minorEastAsia"/>
        </w:rPr>
        <w:br/>
      </w:r>
    </w:p>
    <w:p w:rsidR="00153406" w:rsidRPr="009962BB" w:rsidRDefault="00153406" w:rsidP="000E1784">
      <w:pPr>
        <w:pStyle w:val="Heading2"/>
      </w:pPr>
      <w:r w:rsidRPr="009962BB">
        <w:t xml:space="preserve">Program Experiences Survey </w:t>
      </w:r>
    </w:p>
    <w:p w:rsidR="00153406" w:rsidRPr="007C5A72" w:rsidRDefault="00153406" w:rsidP="000E1784">
      <w:pPr>
        <w:rPr>
          <w:rFonts w:eastAsiaTheme="minorEastAsia"/>
        </w:rPr>
      </w:pPr>
      <w:r w:rsidRPr="007C5A72">
        <w:rPr>
          <w:rFonts w:eastAsiaTheme="minorEastAsia"/>
        </w:rPr>
        <w:t>The Program Experiences Survey will collect data on WIC participants’ program experiences, participation in other programs, food security, and other characteristics not available from administrative data</w:t>
      </w:r>
      <w:proofErr w:type="gramStart"/>
      <w:r w:rsidRPr="007C5A72">
        <w:rPr>
          <w:rFonts w:eastAsiaTheme="minorEastAsia"/>
        </w:rPr>
        <w:t xml:space="preserve">. </w:t>
      </w:r>
      <w:proofErr w:type="gramEnd"/>
      <w:r w:rsidRPr="007C5A72">
        <w:rPr>
          <w:rFonts w:eastAsiaTheme="minorEastAsia"/>
        </w:rPr>
        <w:t>The Program Experiences Survey was created by incorporating and modifying questions from NSWP-II</w:t>
      </w:r>
      <w:proofErr w:type="gramStart"/>
      <w:r w:rsidRPr="007C5A72">
        <w:rPr>
          <w:rFonts w:eastAsiaTheme="minorEastAsia"/>
        </w:rPr>
        <w:t xml:space="preserve">. </w:t>
      </w:r>
      <w:proofErr w:type="gramEnd"/>
      <w:r w:rsidRPr="007C5A72">
        <w:rPr>
          <w:rFonts w:eastAsiaTheme="minorEastAsia"/>
        </w:rPr>
        <w:t>Some questions are new to the NSWP-III survey.</w:t>
      </w:r>
      <w:r w:rsidR="00A1460D">
        <w:rPr>
          <w:rFonts w:eastAsiaTheme="minorEastAsia"/>
        </w:rPr>
        <w:br/>
      </w:r>
    </w:p>
    <w:p w:rsidR="00153406" w:rsidRPr="009962BB" w:rsidRDefault="00153406" w:rsidP="000E1784">
      <w:pPr>
        <w:pStyle w:val="Heading2"/>
      </w:pPr>
      <w:r w:rsidRPr="009962BB">
        <w:t xml:space="preserve">Former WIC Participants Case Study </w:t>
      </w:r>
    </w:p>
    <w:p w:rsidR="00E23F65" w:rsidRDefault="00153406" w:rsidP="00153406">
      <w:r w:rsidRPr="007C5A72">
        <w:t>The Former WIC Participants Case Study consists of qualitative interviews designed to examine the barriers and facilitators to WIC program retention</w:t>
      </w:r>
      <w:proofErr w:type="gramStart"/>
      <w:r w:rsidRPr="007C5A72">
        <w:t>.</w:t>
      </w:r>
      <w:r w:rsidR="00AC79AA" w:rsidRPr="00AC79AA">
        <w:t xml:space="preserve"> </w:t>
      </w:r>
      <w:proofErr w:type="gramEnd"/>
      <w:r w:rsidR="00AC79AA" w:rsidRPr="007C5A72">
        <w:t xml:space="preserve">The instrument also seeks to determine reasons </w:t>
      </w:r>
      <w:r w:rsidR="00AC79AA">
        <w:t>why a participant stopped redeeming benefits within their period</w:t>
      </w:r>
      <w:r w:rsidR="00AC79AA" w:rsidRPr="007C5A72">
        <w:t xml:space="preserve"> of eligibility</w:t>
      </w:r>
      <w:proofErr w:type="gramStart"/>
      <w:r w:rsidR="00E23F65">
        <w:t xml:space="preserve">. </w:t>
      </w:r>
      <w:proofErr w:type="gramEnd"/>
      <w:r w:rsidR="00AC79AA">
        <w:t>The research team</w:t>
      </w:r>
      <w:r w:rsidR="00AC79AA" w:rsidRPr="007C5A72">
        <w:t xml:space="preserve"> </w:t>
      </w:r>
      <w:r w:rsidRPr="007C5A72">
        <w:t xml:space="preserve">will select former participants from the previously identified sampling units of </w:t>
      </w:r>
      <w:r w:rsidR="00E23F65">
        <w:t>LA</w:t>
      </w:r>
      <w:r w:rsidRPr="007C5A72">
        <w:t>s for this qualitative study</w:t>
      </w:r>
      <w:r w:rsidR="00323CDA">
        <w:t>,</w:t>
      </w:r>
      <w:r w:rsidRPr="007C5A72">
        <w:t xml:space="preserve"> using administrative data provided by the </w:t>
      </w:r>
      <w:r w:rsidR="003D6FF6">
        <w:t>SAs</w:t>
      </w:r>
      <w:r w:rsidRPr="007C5A72">
        <w:t>.</w:t>
      </w:r>
    </w:p>
    <w:p w:rsidR="00E23F65" w:rsidRDefault="00E23F65" w:rsidP="00153406"/>
    <w:p w:rsidR="007D425C" w:rsidRDefault="007D425C" w:rsidP="00153406"/>
    <w:p w:rsidR="007D425C" w:rsidRDefault="007D425C" w:rsidP="00153406"/>
    <w:p w:rsidR="005E15FF" w:rsidRPr="007D425C" w:rsidRDefault="005E15FF" w:rsidP="007D425C">
      <w:pPr>
        <w:pStyle w:val="Heading1"/>
        <w:rPr>
          <w:rFonts w:ascii="Times New Roman" w:hAnsi="Times New Roman" w:cs="Times New Roman"/>
          <w:bCs/>
          <w:color w:val="auto"/>
          <w:sz w:val="24"/>
          <w:szCs w:val="24"/>
          <w:u w:val="single"/>
        </w:rPr>
      </w:pPr>
      <w:r w:rsidRPr="007D425C">
        <w:rPr>
          <w:rFonts w:ascii="Times New Roman" w:hAnsi="Times New Roman" w:cs="Times New Roman"/>
          <w:color w:val="auto"/>
          <w:sz w:val="24"/>
          <w:szCs w:val="24"/>
          <w:u w:val="single"/>
        </w:rPr>
        <w:lastRenderedPageBreak/>
        <w:t>Methodology/Research Design</w:t>
      </w:r>
    </w:p>
    <w:p w:rsidR="008E1D93" w:rsidRPr="007C5A72" w:rsidRDefault="008E1D93" w:rsidP="005E15FF">
      <w:pPr>
        <w:rPr>
          <w:bCs/>
          <w:highlight w:val="yellow"/>
        </w:rPr>
      </w:pPr>
    </w:p>
    <w:p w:rsidR="008E1D93" w:rsidRPr="00E70B79" w:rsidRDefault="000509FB" w:rsidP="000E1784">
      <w:pPr>
        <w:pStyle w:val="Heading2"/>
      </w:pPr>
      <w:r w:rsidRPr="00E70B79">
        <w:t>State Agency Survey</w:t>
      </w:r>
    </w:p>
    <w:p w:rsidR="00F73045" w:rsidRPr="00076340" w:rsidRDefault="009962BB" w:rsidP="00076340">
      <w:pPr>
        <w:rPr>
          <w:bCs/>
        </w:rPr>
      </w:pPr>
      <w:r w:rsidRPr="00076340">
        <w:rPr>
          <w:bCs/>
        </w:rPr>
        <w:t>A paper-and-pencil</w:t>
      </w:r>
      <w:r w:rsidR="00805788" w:rsidRPr="00076340">
        <w:rPr>
          <w:bCs/>
        </w:rPr>
        <w:t>, self-administered</w:t>
      </w:r>
      <w:r w:rsidRPr="00076340">
        <w:rPr>
          <w:bCs/>
        </w:rPr>
        <w:t xml:space="preserve"> survey will be administered to selected SAs. </w:t>
      </w:r>
    </w:p>
    <w:p w:rsidR="0032057F" w:rsidRPr="008844B7" w:rsidRDefault="0032057F" w:rsidP="0032057F">
      <w:pPr>
        <w:pStyle w:val="ListParagraph"/>
        <w:ind w:left="0"/>
        <w:rPr>
          <w:bCs/>
        </w:rPr>
      </w:pPr>
      <w:r w:rsidRPr="008844B7">
        <w:rPr>
          <w:bCs/>
        </w:rPr>
        <w:t xml:space="preserve">FNS will aid the research team in contacting the </w:t>
      </w:r>
      <w:r w:rsidR="00140070">
        <w:rPr>
          <w:bCs/>
        </w:rPr>
        <w:t>R</w:t>
      </w:r>
      <w:r w:rsidRPr="008844B7">
        <w:rPr>
          <w:bCs/>
        </w:rPr>
        <w:t xml:space="preserve">egional </w:t>
      </w:r>
      <w:r w:rsidR="00140070">
        <w:rPr>
          <w:bCs/>
        </w:rPr>
        <w:t>O</w:t>
      </w:r>
      <w:r w:rsidRPr="008844B7">
        <w:rPr>
          <w:bCs/>
        </w:rPr>
        <w:t>ffices of three selected regions</w:t>
      </w:r>
      <w:proofErr w:type="gramStart"/>
      <w:r w:rsidRPr="008844B7">
        <w:rPr>
          <w:bCs/>
        </w:rPr>
        <w:t xml:space="preserve">. </w:t>
      </w:r>
      <w:proofErr w:type="gramEnd"/>
      <w:r w:rsidRPr="008844B7">
        <w:rPr>
          <w:bCs/>
        </w:rPr>
        <w:t xml:space="preserve">Each </w:t>
      </w:r>
      <w:r w:rsidR="00140070">
        <w:rPr>
          <w:bCs/>
        </w:rPr>
        <w:t>of the three R</w:t>
      </w:r>
      <w:r w:rsidRPr="008844B7">
        <w:rPr>
          <w:bCs/>
        </w:rPr>
        <w:t xml:space="preserve">egional </w:t>
      </w:r>
      <w:r w:rsidR="00140070">
        <w:rPr>
          <w:bCs/>
        </w:rPr>
        <w:t>O</w:t>
      </w:r>
      <w:r w:rsidRPr="008844B7">
        <w:rPr>
          <w:bCs/>
        </w:rPr>
        <w:t>ffice</w:t>
      </w:r>
      <w:r w:rsidR="00140070">
        <w:rPr>
          <w:bCs/>
        </w:rPr>
        <w:t>s</w:t>
      </w:r>
      <w:r w:rsidRPr="008844B7">
        <w:rPr>
          <w:bCs/>
        </w:rPr>
        <w:t xml:space="preserve"> will be provided a list of </w:t>
      </w:r>
      <w:r w:rsidR="00E23F65">
        <w:rPr>
          <w:bCs/>
        </w:rPr>
        <w:t>four</w:t>
      </w:r>
      <w:r w:rsidRPr="008844B7">
        <w:rPr>
          <w:bCs/>
        </w:rPr>
        <w:t xml:space="preserve"> </w:t>
      </w:r>
      <w:r w:rsidR="004861E9">
        <w:rPr>
          <w:bCs/>
        </w:rPr>
        <w:t>S</w:t>
      </w:r>
      <w:r w:rsidRPr="008844B7">
        <w:rPr>
          <w:bCs/>
        </w:rPr>
        <w:t>tates select</w:t>
      </w:r>
      <w:r>
        <w:rPr>
          <w:bCs/>
        </w:rPr>
        <w:t>ed</w:t>
      </w:r>
      <w:r w:rsidRPr="008844B7">
        <w:rPr>
          <w:bCs/>
        </w:rPr>
        <w:t xml:space="preserve"> for participation in the </w:t>
      </w:r>
      <w:r w:rsidR="006D3CB5" w:rsidRPr="008844B7">
        <w:rPr>
          <w:bCs/>
        </w:rPr>
        <w:t xml:space="preserve">pretest </w:t>
      </w:r>
      <w:r w:rsidR="006D3CB5">
        <w:rPr>
          <w:bCs/>
        </w:rPr>
        <w:t xml:space="preserve">of the </w:t>
      </w:r>
      <w:r w:rsidRPr="008844B7">
        <w:rPr>
          <w:bCs/>
        </w:rPr>
        <w:t xml:space="preserve">State Agency </w:t>
      </w:r>
      <w:r w:rsidR="006D3CB5">
        <w:rPr>
          <w:bCs/>
        </w:rPr>
        <w:t>Survey</w:t>
      </w:r>
      <w:proofErr w:type="gramStart"/>
      <w:r w:rsidRPr="008844B7">
        <w:rPr>
          <w:bCs/>
        </w:rPr>
        <w:t xml:space="preserve">. </w:t>
      </w:r>
      <w:proofErr w:type="gramEnd"/>
      <w:r w:rsidR="0085371F">
        <w:rPr>
          <w:bCs/>
        </w:rPr>
        <w:t xml:space="preserve">The </w:t>
      </w:r>
      <w:r w:rsidR="00140070">
        <w:rPr>
          <w:bCs/>
        </w:rPr>
        <w:t>R</w:t>
      </w:r>
      <w:r w:rsidR="0085371F">
        <w:rPr>
          <w:bCs/>
        </w:rPr>
        <w:t xml:space="preserve">egional </w:t>
      </w:r>
      <w:r w:rsidR="00140070">
        <w:rPr>
          <w:bCs/>
        </w:rPr>
        <w:t>O</w:t>
      </w:r>
      <w:r w:rsidR="0085371F">
        <w:rPr>
          <w:bCs/>
        </w:rPr>
        <w:t>ffice</w:t>
      </w:r>
      <w:r w:rsidR="00140070">
        <w:rPr>
          <w:bCs/>
        </w:rPr>
        <w:t>s</w:t>
      </w:r>
      <w:r w:rsidR="0085371F">
        <w:rPr>
          <w:bCs/>
        </w:rPr>
        <w:t xml:space="preserve"> will be asked to alert the </w:t>
      </w:r>
      <w:r w:rsidR="00140070">
        <w:rPr>
          <w:bCs/>
        </w:rPr>
        <w:t xml:space="preserve">selected </w:t>
      </w:r>
      <w:r w:rsidR="00D06E90">
        <w:rPr>
          <w:bCs/>
        </w:rPr>
        <w:t xml:space="preserve">SAs </w:t>
      </w:r>
      <w:r w:rsidR="0085371F">
        <w:rPr>
          <w:bCs/>
        </w:rPr>
        <w:t>to expect an invitation to participate in the pretest and to confirm contact information</w:t>
      </w:r>
      <w:r w:rsidR="00371241">
        <w:rPr>
          <w:bCs/>
        </w:rPr>
        <w:t xml:space="preserve"> of the person who will be responsible for completing the survey</w:t>
      </w:r>
      <w:r w:rsidR="0085371F">
        <w:rPr>
          <w:bCs/>
        </w:rPr>
        <w:t>.</w:t>
      </w:r>
    </w:p>
    <w:p w:rsidR="0032057F" w:rsidRDefault="0032057F" w:rsidP="0032057F">
      <w:pPr>
        <w:pStyle w:val="ListParagraph"/>
        <w:ind w:left="0"/>
        <w:rPr>
          <w:bCs/>
          <w:highlight w:val="yellow"/>
        </w:rPr>
      </w:pPr>
    </w:p>
    <w:p w:rsidR="0032057F" w:rsidRDefault="0032057F" w:rsidP="0032057F">
      <w:r>
        <w:t xml:space="preserve">The research team will mail a hard copy of the invitation letter and two hard copies of the questionnaire (one to keep and one to return) to </w:t>
      </w:r>
      <w:r w:rsidR="00E23F65">
        <w:t xml:space="preserve">nine of the </w:t>
      </w:r>
      <w:r>
        <w:t xml:space="preserve">selected </w:t>
      </w:r>
      <w:r w:rsidR="00980E08">
        <w:t>SA d</w:t>
      </w:r>
      <w:r>
        <w:t>irectors</w:t>
      </w:r>
      <w:proofErr w:type="gramStart"/>
      <w:r>
        <w:t xml:space="preserve">. </w:t>
      </w:r>
      <w:proofErr w:type="gramEnd"/>
      <w:r w:rsidR="00E23F65">
        <w:t xml:space="preserve">The remaining </w:t>
      </w:r>
      <w:r w:rsidR="006D3CB5">
        <w:t xml:space="preserve">three </w:t>
      </w:r>
      <w:r w:rsidR="00980E08">
        <w:t xml:space="preserve">SAs </w:t>
      </w:r>
      <w:r w:rsidR="00E23F65">
        <w:t>will be kept as potential back-up</w:t>
      </w:r>
      <w:r w:rsidR="008C125A">
        <w:t xml:space="preserve"> participant</w:t>
      </w:r>
      <w:r w:rsidR="00E23F65">
        <w:t>s</w:t>
      </w:r>
      <w:r w:rsidR="008C125A">
        <w:t>,</w:t>
      </w:r>
      <w:r w:rsidR="00E23F65">
        <w:t xml:space="preserve"> </w:t>
      </w:r>
      <w:r w:rsidR="00F113F7">
        <w:rPr>
          <w:bCs/>
        </w:rPr>
        <w:t xml:space="preserve">if </w:t>
      </w:r>
      <w:r w:rsidR="0056066C">
        <w:rPr>
          <w:bCs/>
        </w:rPr>
        <w:t>the research team is</w:t>
      </w:r>
      <w:r w:rsidR="00F113F7">
        <w:rPr>
          <w:bCs/>
        </w:rPr>
        <w:t xml:space="preserve"> having difficulty gaining participation from an SA during the data collection period</w:t>
      </w:r>
      <w:proofErr w:type="gramStart"/>
      <w:r w:rsidR="00E23F65">
        <w:t xml:space="preserve">. </w:t>
      </w:r>
      <w:proofErr w:type="gramEnd"/>
      <w:r w:rsidR="00E63B89">
        <w:t xml:space="preserve">The mail package will be sent using FedEx priority mail; this will allow for </w:t>
      </w:r>
      <w:r w:rsidR="00095E8F">
        <w:t>the package</w:t>
      </w:r>
      <w:r w:rsidR="00E63B89">
        <w:t xml:space="preserve"> to stand out among the other mail items the official may receive, and it allows for the package to be tracked</w:t>
      </w:r>
      <w:proofErr w:type="gramStart"/>
      <w:r w:rsidR="00E63B89">
        <w:t>.</w:t>
      </w:r>
      <w:r>
        <w:t xml:space="preserve"> </w:t>
      </w:r>
      <w:proofErr w:type="gramEnd"/>
      <w:r w:rsidRPr="00FA36F7">
        <w:t xml:space="preserve">The package will include a </w:t>
      </w:r>
      <w:r w:rsidR="002F66D2">
        <w:t>pre</w:t>
      </w:r>
      <w:r w:rsidRPr="00FA36F7">
        <w:t xml:space="preserve">paid </w:t>
      </w:r>
      <w:r w:rsidR="00E23F65">
        <w:t>FedEx</w:t>
      </w:r>
      <w:r w:rsidRPr="00FA36F7">
        <w:t xml:space="preserve"> envelope to return the completed survey to the research team.</w:t>
      </w:r>
    </w:p>
    <w:p w:rsidR="0032057F" w:rsidRDefault="0032057F" w:rsidP="0032057F"/>
    <w:p w:rsidR="0032057F" w:rsidRDefault="0032057F" w:rsidP="0032057F">
      <w:r>
        <w:t xml:space="preserve">The research team will follow up with a </w:t>
      </w:r>
      <w:r w:rsidR="008C125A">
        <w:t>tele</w:t>
      </w:r>
      <w:r>
        <w:t xml:space="preserve">phone call </w:t>
      </w:r>
      <w:r w:rsidR="008C125A">
        <w:t>2</w:t>
      </w:r>
      <w:r w:rsidR="0084720A">
        <w:t xml:space="preserve"> </w:t>
      </w:r>
      <w:r>
        <w:t>days after the package should have been received</w:t>
      </w:r>
      <w:proofErr w:type="gramStart"/>
      <w:r>
        <w:t xml:space="preserve">. </w:t>
      </w:r>
      <w:proofErr w:type="gramEnd"/>
      <w:r>
        <w:t>The purpose of th</w:t>
      </w:r>
      <w:r w:rsidR="008C125A">
        <w:t>is</w:t>
      </w:r>
      <w:r>
        <w:t xml:space="preserve"> call will be to answer any questions</w:t>
      </w:r>
      <w:r w:rsidR="0085371F">
        <w:t xml:space="preserve">, identify the point of contact, </w:t>
      </w:r>
      <w:r>
        <w:t xml:space="preserve">and emphasize the timing of the pretest. </w:t>
      </w:r>
    </w:p>
    <w:p w:rsidR="0032057F" w:rsidRDefault="0032057F" w:rsidP="0032057F"/>
    <w:p w:rsidR="0032057F" w:rsidRDefault="0032057F" w:rsidP="0032057F">
      <w:r>
        <w:t xml:space="preserve">Reminder emails will be sent </w:t>
      </w:r>
      <w:r w:rsidRPr="00030DA9">
        <w:t>each week</w:t>
      </w:r>
      <w:r>
        <w:t xml:space="preserve"> of the data collection period</w:t>
      </w:r>
      <w:proofErr w:type="gramStart"/>
      <w:r>
        <w:t xml:space="preserve">. </w:t>
      </w:r>
      <w:proofErr w:type="gramEnd"/>
      <w:r w:rsidR="00974FF0">
        <w:t>No more than four reminder emails will be sent</w:t>
      </w:r>
      <w:proofErr w:type="gramStart"/>
      <w:r w:rsidR="00974FF0">
        <w:t xml:space="preserve">. </w:t>
      </w:r>
      <w:proofErr w:type="gramEnd"/>
      <w:r w:rsidRPr="0015506B">
        <w:t xml:space="preserve">If the State </w:t>
      </w:r>
      <w:r>
        <w:t xml:space="preserve">WIC </w:t>
      </w:r>
      <w:r w:rsidRPr="0015506B">
        <w:t xml:space="preserve">Agency Director does not </w:t>
      </w:r>
      <w:r w:rsidR="0085371F">
        <w:t xml:space="preserve">return </w:t>
      </w:r>
      <w:r w:rsidRPr="0015506B">
        <w:t>the</w:t>
      </w:r>
      <w:r>
        <w:t xml:space="preserve"> survey within</w:t>
      </w:r>
      <w:r w:rsidRPr="0015506B">
        <w:t xml:space="preserve"> </w:t>
      </w:r>
      <w:r w:rsidR="008C125A">
        <w:t>2</w:t>
      </w:r>
      <w:r w:rsidR="008C125A" w:rsidRPr="00030DA9">
        <w:t xml:space="preserve"> </w:t>
      </w:r>
      <w:r w:rsidRPr="00030DA9">
        <w:t>weeks</w:t>
      </w:r>
      <w:r>
        <w:t xml:space="preserve"> after the invitation letter and survey </w:t>
      </w:r>
      <w:r w:rsidR="0085371F">
        <w:t xml:space="preserve">are </w:t>
      </w:r>
      <w:r>
        <w:t xml:space="preserve">sent, the research team will </w:t>
      </w:r>
      <w:r w:rsidR="008C125A">
        <w:t xml:space="preserve">place </w:t>
      </w:r>
      <w:r>
        <w:t xml:space="preserve">a follow-up reminder </w:t>
      </w:r>
      <w:r w:rsidR="008C125A">
        <w:t>tele</w:t>
      </w:r>
      <w:r>
        <w:t xml:space="preserve">phone call.  </w:t>
      </w:r>
    </w:p>
    <w:p w:rsidR="0032057F" w:rsidRDefault="0032057F" w:rsidP="0032057F"/>
    <w:p w:rsidR="0032057F" w:rsidRPr="00C03665" w:rsidRDefault="0032057F" w:rsidP="0032057F">
      <w:pPr>
        <w:rPr>
          <w:bCs/>
          <w:highlight w:val="yellow"/>
        </w:rPr>
      </w:pPr>
      <w:r>
        <w:t xml:space="preserve">Once the research team receives </w:t>
      </w:r>
      <w:r w:rsidR="0085371F">
        <w:t xml:space="preserve">each </w:t>
      </w:r>
      <w:r>
        <w:t xml:space="preserve">survey response, </w:t>
      </w:r>
      <w:r w:rsidR="0085371F">
        <w:t xml:space="preserve">a </w:t>
      </w:r>
      <w:r>
        <w:t xml:space="preserve">trained interviewer will contact the </w:t>
      </w:r>
      <w:r w:rsidR="004327F3">
        <w:t>SA d</w:t>
      </w:r>
      <w:r>
        <w:t>irector to schedule a debriefing telephone interview</w:t>
      </w:r>
      <w:proofErr w:type="gramStart"/>
      <w:r>
        <w:t xml:space="preserve">. </w:t>
      </w:r>
      <w:proofErr w:type="gramEnd"/>
      <w:r w:rsidR="00974FF0">
        <w:t>During the debriefing telephone interview, t</w:t>
      </w:r>
      <w:r w:rsidRPr="00F73045">
        <w:t xml:space="preserve">he </w:t>
      </w:r>
      <w:r>
        <w:t>interviewer</w:t>
      </w:r>
      <w:r w:rsidRPr="00F73045">
        <w:t xml:space="preserve"> will ask pretest participants to estimate how long it took </w:t>
      </w:r>
      <w:r w:rsidR="00897E55">
        <w:t>them</w:t>
      </w:r>
      <w:r w:rsidR="00974FF0">
        <w:t xml:space="preserve"> </w:t>
      </w:r>
      <w:r w:rsidRPr="00F73045">
        <w:t xml:space="preserve">to complete the </w:t>
      </w:r>
      <w:r w:rsidR="00974FF0">
        <w:t>survey</w:t>
      </w:r>
      <w:r w:rsidRPr="00F73045">
        <w:t xml:space="preserve">, and </w:t>
      </w:r>
      <w:r w:rsidR="0085371F">
        <w:t xml:space="preserve">to </w:t>
      </w:r>
      <w:r w:rsidRPr="00F73045">
        <w:t xml:space="preserve">identify any </w:t>
      </w:r>
      <w:r w:rsidR="00974FF0">
        <w:t xml:space="preserve">survey </w:t>
      </w:r>
      <w:r w:rsidRPr="00F73045">
        <w:t>questions that were confusing or difficult to answer</w:t>
      </w:r>
      <w:proofErr w:type="gramStart"/>
      <w:r w:rsidRPr="00F73045">
        <w:t>.</w:t>
      </w:r>
      <w:r>
        <w:t xml:space="preserve"> </w:t>
      </w:r>
      <w:proofErr w:type="gramEnd"/>
      <w:r>
        <w:t xml:space="preserve">After the pretest data collection period has ended, the research team will send a thank-you email (or letter) to all </w:t>
      </w:r>
      <w:r w:rsidR="000724DA">
        <w:t>SA d</w:t>
      </w:r>
      <w:r>
        <w:t>irectors who participated in the pretest</w:t>
      </w:r>
      <w:proofErr w:type="gramStart"/>
      <w:r>
        <w:t>.</w:t>
      </w:r>
      <w:r w:rsidR="00316AA1">
        <w:t xml:space="preserve"> </w:t>
      </w:r>
      <w:proofErr w:type="gramEnd"/>
      <w:r w:rsidR="00316AA1">
        <w:t>Feedback provided during the pretest will be used to revise the State Agency Survey</w:t>
      </w:r>
      <w:proofErr w:type="gramStart"/>
      <w:r w:rsidR="00316AA1">
        <w:t xml:space="preserve">. </w:t>
      </w:r>
      <w:proofErr w:type="gramEnd"/>
      <w:r w:rsidR="00316AA1">
        <w:t xml:space="preserve">The survey will be programmed into </w:t>
      </w:r>
      <w:r w:rsidR="00555D07">
        <w:t>the</w:t>
      </w:r>
      <w:r w:rsidR="00316AA1">
        <w:t xml:space="preserve"> web-based survey software program, </w:t>
      </w:r>
      <w:proofErr w:type="spellStart"/>
      <w:r w:rsidR="00316AA1">
        <w:t>Qualt</w:t>
      </w:r>
      <w:r w:rsidR="00FC1FC3">
        <w:t>r</w:t>
      </w:r>
      <w:r w:rsidR="00316AA1">
        <w:t>ics</w:t>
      </w:r>
      <w:proofErr w:type="spellEnd"/>
      <w:r w:rsidR="00316AA1">
        <w:t xml:space="preserve">, </w:t>
      </w:r>
      <w:r w:rsidR="00316AA1">
        <w:rPr>
          <w:bCs/>
        </w:rPr>
        <w:t>for use with the full study sample.</w:t>
      </w:r>
      <w:r w:rsidR="00316AA1">
        <w:t xml:space="preserve"> </w:t>
      </w:r>
    </w:p>
    <w:p w:rsidR="0044564F" w:rsidRPr="00E70B79" w:rsidRDefault="0044564F" w:rsidP="00B759FC">
      <w:pPr>
        <w:pStyle w:val="ListParagraph"/>
        <w:rPr>
          <w:bCs/>
          <w:highlight w:val="yellow"/>
        </w:rPr>
      </w:pPr>
    </w:p>
    <w:p w:rsidR="00E70B79" w:rsidRPr="00805788" w:rsidRDefault="00E70B79" w:rsidP="000E1784">
      <w:pPr>
        <w:pStyle w:val="Heading2"/>
      </w:pPr>
      <w:r w:rsidRPr="00805788">
        <w:t>Local Agency Survey</w:t>
      </w:r>
    </w:p>
    <w:p w:rsidR="00BB6B3F" w:rsidRPr="00076340" w:rsidRDefault="00BB6B3F" w:rsidP="00BB6B3F">
      <w:pPr>
        <w:rPr>
          <w:bCs/>
        </w:rPr>
      </w:pPr>
      <w:r w:rsidRPr="00076340">
        <w:rPr>
          <w:bCs/>
        </w:rPr>
        <w:t xml:space="preserve">A paper-and-pencil, self-administered survey will be </w:t>
      </w:r>
      <w:r w:rsidR="00DD0CD1">
        <w:rPr>
          <w:bCs/>
        </w:rPr>
        <w:t>sent</w:t>
      </w:r>
      <w:r w:rsidRPr="00076340">
        <w:rPr>
          <w:bCs/>
        </w:rPr>
        <w:t xml:space="preserve"> to </w:t>
      </w:r>
      <w:proofErr w:type="gramStart"/>
      <w:r w:rsidRPr="00076340">
        <w:rPr>
          <w:bCs/>
        </w:rPr>
        <w:t>selected</w:t>
      </w:r>
      <w:proofErr w:type="gramEnd"/>
      <w:r w:rsidRPr="00076340">
        <w:rPr>
          <w:bCs/>
        </w:rPr>
        <w:t xml:space="preserve"> L</w:t>
      </w:r>
      <w:r>
        <w:rPr>
          <w:bCs/>
        </w:rPr>
        <w:t xml:space="preserve">As with contact information provided by the SAs. </w:t>
      </w:r>
    </w:p>
    <w:p w:rsidR="00BB6B3F" w:rsidRDefault="00BB6B3F" w:rsidP="00BB6B3F">
      <w:pPr>
        <w:rPr>
          <w:bCs/>
          <w:highlight w:val="yellow"/>
        </w:rPr>
      </w:pPr>
    </w:p>
    <w:p w:rsidR="00BB6B3F" w:rsidRDefault="00974FF0" w:rsidP="00BB6B3F">
      <w:r>
        <w:t xml:space="preserve">The research team will </w:t>
      </w:r>
      <w:r w:rsidR="004964E2">
        <w:t xml:space="preserve">email an invitation to selected LAs and </w:t>
      </w:r>
      <w:r w:rsidR="00BB6B3F">
        <w:t xml:space="preserve">mail a hard copy of the invitation letter </w:t>
      </w:r>
      <w:r w:rsidR="000B3C89">
        <w:t xml:space="preserve">with </w:t>
      </w:r>
      <w:r w:rsidR="00BB6B3F">
        <w:t>two hard copies of the questionnaire (one to keep and one to return)</w:t>
      </w:r>
      <w:proofErr w:type="gramStart"/>
      <w:r w:rsidR="00BB6B3F">
        <w:t xml:space="preserve">. </w:t>
      </w:r>
      <w:proofErr w:type="gramEnd"/>
      <w:r w:rsidR="00924E21">
        <w:t xml:space="preserve">The mail package will be sent using FedEx priority mail; this will allow for </w:t>
      </w:r>
      <w:r w:rsidR="00483F6A">
        <w:t>the package</w:t>
      </w:r>
      <w:r w:rsidR="00924E21">
        <w:t xml:space="preserve"> to stand out among the other mail items the official may receive, and it allows for the package to be tracked</w:t>
      </w:r>
      <w:proofErr w:type="gramStart"/>
      <w:r w:rsidR="00924E21">
        <w:t xml:space="preserve">. </w:t>
      </w:r>
      <w:proofErr w:type="gramEnd"/>
      <w:r w:rsidR="00BB6B3F" w:rsidRPr="00FA36F7">
        <w:t xml:space="preserve">The package will include a prepaid </w:t>
      </w:r>
      <w:r w:rsidR="00D27893">
        <w:t>FedEx</w:t>
      </w:r>
      <w:r w:rsidR="00BB6B3F" w:rsidRPr="00FA36F7">
        <w:t xml:space="preserve"> envelope to return the completed survey to the research team.</w:t>
      </w:r>
    </w:p>
    <w:p w:rsidR="00BB6B3F" w:rsidRDefault="00BB6B3F" w:rsidP="00BB6B3F"/>
    <w:p w:rsidR="00BB6B3F" w:rsidRDefault="00BB6B3F" w:rsidP="00BB6B3F">
      <w:r>
        <w:t>The research team will follow</w:t>
      </w:r>
      <w:r w:rsidR="0075246C">
        <w:t xml:space="preserve"> </w:t>
      </w:r>
      <w:r>
        <w:t xml:space="preserve">up with a </w:t>
      </w:r>
      <w:r w:rsidR="00920095">
        <w:t>tele</w:t>
      </w:r>
      <w:r>
        <w:t xml:space="preserve">phone call </w:t>
      </w:r>
      <w:r w:rsidR="00281058">
        <w:t>2</w:t>
      </w:r>
      <w:r>
        <w:t xml:space="preserve"> days after the package should have been received</w:t>
      </w:r>
      <w:proofErr w:type="gramStart"/>
      <w:r>
        <w:t xml:space="preserve">. </w:t>
      </w:r>
      <w:proofErr w:type="gramEnd"/>
      <w:r>
        <w:t>The purpose of th</w:t>
      </w:r>
      <w:r w:rsidR="00920095">
        <w:t>is</w:t>
      </w:r>
      <w:r>
        <w:t xml:space="preserve"> call will be to answer any questions</w:t>
      </w:r>
      <w:r w:rsidR="00D27893">
        <w:t>, identify the point of contact,</w:t>
      </w:r>
      <w:r>
        <w:t xml:space="preserve"> and emphasize the timing of the pretest</w:t>
      </w:r>
      <w:r w:rsidRPr="00190B85">
        <w:t>.</w:t>
      </w:r>
    </w:p>
    <w:p w:rsidR="00BB6B3F" w:rsidRDefault="00BB6B3F" w:rsidP="00BB6B3F"/>
    <w:p w:rsidR="00BB6B3F" w:rsidRDefault="00BB6B3F" w:rsidP="00BB6B3F">
      <w:r>
        <w:t xml:space="preserve">Reminder emails will be sent </w:t>
      </w:r>
      <w:r w:rsidRPr="00030DA9">
        <w:t>each week</w:t>
      </w:r>
      <w:r>
        <w:t xml:space="preserve"> of the data collection period</w:t>
      </w:r>
      <w:proofErr w:type="gramStart"/>
      <w:r>
        <w:t xml:space="preserve">. </w:t>
      </w:r>
      <w:proofErr w:type="gramEnd"/>
      <w:r w:rsidR="00974FF0">
        <w:t>No more than four reminder emails will be sent</w:t>
      </w:r>
      <w:proofErr w:type="gramStart"/>
      <w:r w:rsidR="00974FF0">
        <w:t xml:space="preserve">. </w:t>
      </w:r>
      <w:proofErr w:type="gramEnd"/>
      <w:r w:rsidRPr="0015506B">
        <w:t xml:space="preserve">If the </w:t>
      </w:r>
      <w:r>
        <w:t>LA</w:t>
      </w:r>
      <w:r w:rsidRPr="0015506B">
        <w:t xml:space="preserve"> </w:t>
      </w:r>
      <w:r w:rsidR="004611BE">
        <w:t>d</w:t>
      </w:r>
      <w:r w:rsidRPr="0015506B">
        <w:t xml:space="preserve">irector does not </w:t>
      </w:r>
      <w:r w:rsidR="00D27893">
        <w:t xml:space="preserve">return </w:t>
      </w:r>
      <w:r w:rsidRPr="0015506B">
        <w:t>the</w:t>
      </w:r>
      <w:r>
        <w:t xml:space="preserve"> survey within</w:t>
      </w:r>
      <w:r w:rsidRPr="0015506B">
        <w:t xml:space="preserve"> </w:t>
      </w:r>
      <w:r w:rsidR="00920095">
        <w:t>2</w:t>
      </w:r>
      <w:r w:rsidR="00920095" w:rsidRPr="00030DA9">
        <w:t xml:space="preserve"> </w:t>
      </w:r>
      <w:r w:rsidRPr="00030DA9">
        <w:t>weeks</w:t>
      </w:r>
      <w:r>
        <w:t xml:space="preserve"> after the invitation letter and survey </w:t>
      </w:r>
      <w:r w:rsidR="00D27893">
        <w:t xml:space="preserve">are </w:t>
      </w:r>
      <w:r>
        <w:t xml:space="preserve">sent, the research team will make a follow-up reminder </w:t>
      </w:r>
      <w:r w:rsidR="00920095">
        <w:t>tele</w:t>
      </w:r>
      <w:r>
        <w:t xml:space="preserve">phone call.  </w:t>
      </w:r>
    </w:p>
    <w:p w:rsidR="00BB6B3F" w:rsidRDefault="00BB6B3F" w:rsidP="00BB6B3F"/>
    <w:p w:rsidR="00BB6B3F" w:rsidRDefault="00BB6B3F" w:rsidP="00BB6B3F">
      <w:pPr>
        <w:rPr>
          <w:bCs/>
          <w:highlight w:val="yellow"/>
        </w:rPr>
      </w:pPr>
      <w:r>
        <w:t xml:space="preserve">Once the research team receives </w:t>
      </w:r>
      <w:r w:rsidR="00D27893">
        <w:t xml:space="preserve">each </w:t>
      </w:r>
      <w:r>
        <w:t xml:space="preserve">survey response, </w:t>
      </w:r>
      <w:r w:rsidR="00D27893">
        <w:t xml:space="preserve">a </w:t>
      </w:r>
      <w:r>
        <w:t xml:space="preserve">trained interviewer will contact the </w:t>
      </w:r>
      <w:r w:rsidR="00A96770">
        <w:t>LA d</w:t>
      </w:r>
      <w:r>
        <w:t>irector to schedule a debriefing telephone interview</w:t>
      </w:r>
      <w:proofErr w:type="gramStart"/>
      <w:r>
        <w:t xml:space="preserve">. </w:t>
      </w:r>
      <w:proofErr w:type="gramEnd"/>
      <w:r w:rsidR="006D3CB5">
        <w:t>During the debriefing telephone interview, t</w:t>
      </w:r>
      <w:r w:rsidRPr="00F73045">
        <w:t xml:space="preserve">he </w:t>
      </w:r>
      <w:r>
        <w:t>interviewer</w:t>
      </w:r>
      <w:r w:rsidRPr="00F73045">
        <w:t xml:space="preserve"> will ask pretest participants to estimate how long it took them to complete the </w:t>
      </w:r>
      <w:r w:rsidR="006D3CB5">
        <w:t>survey</w:t>
      </w:r>
      <w:r w:rsidRPr="00F73045">
        <w:t xml:space="preserve">, and </w:t>
      </w:r>
      <w:r w:rsidR="00D27893">
        <w:t xml:space="preserve">to </w:t>
      </w:r>
      <w:r w:rsidRPr="00F73045">
        <w:t xml:space="preserve">identify any </w:t>
      </w:r>
      <w:r w:rsidR="006D3CB5">
        <w:t xml:space="preserve">survey </w:t>
      </w:r>
      <w:r w:rsidRPr="00F73045">
        <w:t>questions that were confusing or difficult to answer</w:t>
      </w:r>
      <w:proofErr w:type="gramStart"/>
      <w:r w:rsidRPr="00F73045">
        <w:t>.</w:t>
      </w:r>
      <w:r>
        <w:t xml:space="preserve"> </w:t>
      </w:r>
      <w:proofErr w:type="gramEnd"/>
      <w:r>
        <w:t xml:space="preserve">After the pretest data collection period has ended, the research team will send a thank-you email (or letter) to all LA </w:t>
      </w:r>
      <w:r w:rsidR="00A96770">
        <w:t>d</w:t>
      </w:r>
      <w:r>
        <w:t>irectors who participated in the pretest</w:t>
      </w:r>
      <w:proofErr w:type="gramStart"/>
      <w:r>
        <w:t>.</w:t>
      </w:r>
      <w:r w:rsidR="00316AA1">
        <w:t xml:space="preserve"> </w:t>
      </w:r>
      <w:proofErr w:type="gramEnd"/>
      <w:r w:rsidR="00316AA1">
        <w:t>Feedback provided during the pretest will be used to revise the Local Agency Survey</w:t>
      </w:r>
      <w:proofErr w:type="gramStart"/>
      <w:r w:rsidR="00316AA1">
        <w:t xml:space="preserve">. </w:t>
      </w:r>
      <w:proofErr w:type="gramEnd"/>
      <w:r w:rsidR="00316AA1">
        <w:t xml:space="preserve">The survey will be programmed into </w:t>
      </w:r>
      <w:r w:rsidR="00555D07">
        <w:t>the</w:t>
      </w:r>
      <w:r w:rsidR="00316AA1">
        <w:t xml:space="preserve"> web-based survey software program, </w:t>
      </w:r>
      <w:proofErr w:type="spellStart"/>
      <w:r w:rsidR="00316AA1">
        <w:t>Qualt</w:t>
      </w:r>
      <w:r w:rsidR="00FC1FC3">
        <w:t>r</w:t>
      </w:r>
      <w:r w:rsidR="00316AA1">
        <w:t>ics</w:t>
      </w:r>
      <w:proofErr w:type="spellEnd"/>
      <w:r w:rsidR="00316AA1">
        <w:t>,</w:t>
      </w:r>
      <w:r w:rsidR="00316AA1" w:rsidRPr="00316AA1">
        <w:rPr>
          <w:bCs/>
        </w:rPr>
        <w:t xml:space="preserve"> </w:t>
      </w:r>
      <w:r w:rsidR="00316AA1">
        <w:rPr>
          <w:bCs/>
        </w:rPr>
        <w:t>for use with the full study sample.</w:t>
      </w:r>
    </w:p>
    <w:p w:rsidR="0044564F" w:rsidRPr="007C5A72" w:rsidRDefault="0044564F" w:rsidP="005E15FF">
      <w:pPr>
        <w:rPr>
          <w:bCs/>
          <w:highlight w:val="yellow"/>
        </w:rPr>
      </w:pPr>
    </w:p>
    <w:p w:rsidR="008E1D93" w:rsidRDefault="004F56B2" w:rsidP="000E1784">
      <w:pPr>
        <w:pStyle w:val="Heading2"/>
      </w:pPr>
      <w:r w:rsidRPr="00805788">
        <w:t>Certification Survey</w:t>
      </w:r>
      <w:r w:rsidR="00D27893">
        <w:t xml:space="preserve"> </w:t>
      </w:r>
    </w:p>
    <w:p w:rsidR="004D28E3" w:rsidRPr="00076340" w:rsidRDefault="004D28E3" w:rsidP="004D28E3">
      <w:pPr>
        <w:rPr>
          <w:bCs/>
          <w:i/>
        </w:rPr>
      </w:pPr>
      <w:r w:rsidRPr="00076340">
        <w:rPr>
          <w:bCs/>
        </w:rPr>
        <w:t>In-person survey interview</w:t>
      </w:r>
      <w:r>
        <w:rPr>
          <w:bCs/>
        </w:rPr>
        <w:t>s</w:t>
      </w:r>
      <w:r w:rsidRPr="00076340">
        <w:rPr>
          <w:bCs/>
        </w:rPr>
        <w:t xml:space="preserve"> </w:t>
      </w:r>
      <w:r>
        <w:rPr>
          <w:bCs/>
        </w:rPr>
        <w:t>will be conducted</w:t>
      </w:r>
      <w:r w:rsidRPr="00076340">
        <w:rPr>
          <w:bCs/>
        </w:rPr>
        <w:t xml:space="preserve"> with </w:t>
      </w:r>
      <w:r w:rsidR="006D3CB5">
        <w:rPr>
          <w:bCs/>
        </w:rPr>
        <w:t>nine</w:t>
      </w:r>
      <w:r>
        <w:rPr>
          <w:bCs/>
        </w:rPr>
        <w:t xml:space="preserve"> </w:t>
      </w:r>
      <w:r w:rsidRPr="00076340">
        <w:rPr>
          <w:bCs/>
        </w:rPr>
        <w:t>selected current WIC participants</w:t>
      </w:r>
      <w:r w:rsidR="00DC453C">
        <w:rPr>
          <w:bCs/>
        </w:rPr>
        <w:t xml:space="preserve"> (e.g.</w:t>
      </w:r>
      <w:r w:rsidR="0085371F">
        <w:rPr>
          <w:bCs/>
        </w:rPr>
        <w:t xml:space="preserve">, with </w:t>
      </w:r>
      <w:r w:rsidR="00DC453C">
        <w:rPr>
          <w:bCs/>
        </w:rPr>
        <w:t>five</w:t>
      </w:r>
      <w:r w:rsidR="0085371F">
        <w:rPr>
          <w:bCs/>
        </w:rPr>
        <w:t xml:space="preserve"> interviews in English and </w:t>
      </w:r>
      <w:r w:rsidR="00DC453C">
        <w:rPr>
          <w:bCs/>
        </w:rPr>
        <w:t>four</w:t>
      </w:r>
      <w:r w:rsidR="0085371F">
        <w:rPr>
          <w:bCs/>
        </w:rPr>
        <w:t xml:space="preserve"> in Spanish</w:t>
      </w:r>
      <w:r w:rsidR="00DC453C">
        <w:rPr>
          <w:bCs/>
        </w:rPr>
        <w:t>)</w:t>
      </w:r>
      <w:proofErr w:type="gramStart"/>
      <w:r w:rsidRPr="00076340">
        <w:rPr>
          <w:bCs/>
        </w:rPr>
        <w:t xml:space="preserve">. </w:t>
      </w:r>
      <w:proofErr w:type="gramEnd"/>
      <w:r w:rsidR="0085371F">
        <w:rPr>
          <w:bCs/>
        </w:rPr>
        <w:t>Participants will be recruited as described in the Recruiting and Consent section</w:t>
      </w:r>
      <w:r w:rsidR="006D3CB5">
        <w:rPr>
          <w:bCs/>
        </w:rPr>
        <w:t>.</w:t>
      </w:r>
    </w:p>
    <w:p w:rsidR="004D28E3" w:rsidRDefault="004D28E3" w:rsidP="004D28E3">
      <w:pPr>
        <w:rPr>
          <w:bCs/>
          <w:i/>
        </w:rPr>
      </w:pPr>
    </w:p>
    <w:p w:rsidR="004D28E3" w:rsidRPr="00C03665" w:rsidRDefault="004D28E3" w:rsidP="004D28E3">
      <w:pPr>
        <w:rPr>
          <w:bCs/>
          <w:i/>
        </w:rPr>
      </w:pPr>
      <w:r>
        <w:rPr>
          <w:bCs/>
        </w:rPr>
        <w:t>Selected participants will be scheduled for an interview</w:t>
      </w:r>
      <w:r w:rsidR="00924E21">
        <w:rPr>
          <w:bCs/>
        </w:rPr>
        <w:t xml:space="preserve"> which will take place</w:t>
      </w:r>
      <w:r>
        <w:rPr>
          <w:bCs/>
        </w:rPr>
        <w:t xml:space="preserve"> at their home</w:t>
      </w:r>
      <w:proofErr w:type="gramStart"/>
      <w:r>
        <w:rPr>
          <w:bCs/>
        </w:rPr>
        <w:t xml:space="preserve">. </w:t>
      </w:r>
      <w:proofErr w:type="gramEnd"/>
      <w:r w:rsidR="001F34C0">
        <w:t xml:space="preserve">After </w:t>
      </w:r>
      <w:r>
        <w:t>obtaining informed consent in person, the Field Interviewer (FI) will administer the survey</w:t>
      </w:r>
      <w:r w:rsidR="001F34C0">
        <w:t xml:space="preserve"> from a paper questionnaire</w:t>
      </w:r>
      <w:r>
        <w:t>, reading each question aloud</w:t>
      </w:r>
      <w:r w:rsidR="00F322E4">
        <w:t>, following interviewer instructions</w:t>
      </w:r>
      <w:r>
        <w:t xml:space="preserve">, and </w:t>
      </w:r>
      <w:r w:rsidR="003B15A6">
        <w:t>writ</w:t>
      </w:r>
      <w:r w:rsidR="000303FE">
        <w:t>ing</w:t>
      </w:r>
      <w:r w:rsidR="003B15A6">
        <w:t xml:space="preserve"> down </w:t>
      </w:r>
      <w:r>
        <w:t>the responses indicated</w:t>
      </w:r>
      <w:r w:rsidR="00F62884">
        <w:t xml:space="preserve"> by the WIC participant</w:t>
      </w:r>
      <w:proofErr w:type="gramStart"/>
      <w:r>
        <w:t xml:space="preserve">. </w:t>
      </w:r>
      <w:proofErr w:type="gramEnd"/>
      <w:r w:rsidR="00267BB0">
        <w:t>As specified in the questionnaire, the FI will obtain and review documentation of income and other determinants of eligibility, and then return the documentation to the respondent</w:t>
      </w:r>
      <w:proofErr w:type="gramStart"/>
      <w:r w:rsidR="00267BB0">
        <w:t xml:space="preserve">. </w:t>
      </w:r>
      <w:proofErr w:type="gramEnd"/>
      <w:r w:rsidR="00F322E4">
        <w:t>The FI will use a stopwatch to record the total duration needed for the survey</w:t>
      </w:r>
      <w:proofErr w:type="gramStart"/>
      <w:r w:rsidR="00F322E4">
        <w:t xml:space="preserve">. </w:t>
      </w:r>
      <w:proofErr w:type="gramEnd"/>
      <w:r w:rsidR="001F34C0">
        <w:t xml:space="preserve">The FI will debrief the respondent </w:t>
      </w:r>
      <w:r>
        <w:t>immediately following the completion of the Certification Survey</w:t>
      </w:r>
      <w:r w:rsidR="001F34C0">
        <w:t xml:space="preserve"> </w:t>
      </w:r>
      <w:r w:rsidRPr="00F73045">
        <w:t>and identify any questions that were confusing or difficult to answer</w:t>
      </w:r>
      <w:proofErr w:type="gramStart"/>
      <w:r w:rsidRPr="00F73045">
        <w:t>.</w:t>
      </w:r>
      <w:r>
        <w:t xml:space="preserve"> </w:t>
      </w:r>
      <w:proofErr w:type="gramEnd"/>
      <w:r>
        <w:t xml:space="preserve">After </w:t>
      </w:r>
      <w:r w:rsidR="00F322E4">
        <w:t>completing the survey</w:t>
      </w:r>
      <w:r w:rsidR="001F34C0">
        <w:t xml:space="preserve"> and debriefing</w:t>
      </w:r>
      <w:r w:rsidR="00F322E4">
        <w:t>,</w:t>
      </w:r>
      <w:r>
        <w:t xml:space="preserve"> the FIs will thank </w:t>
      </w:r>
      <w:r w:rsidR="00F322E4">
        <w:t xml:space="preserve">each </w:t>
      </w:r>
      <w:r>
        <w:t xml:space="preserve">pretest participant and provide a $25 </w:t>
      </w:r>
      <w:r w:rsidR="00F322E4">
        <w:t>gift card</w:t>
      </w:r>
      <w:proofErr w:type="gramStart"/>
      <w:r>
        <w:t>.</w:t>
      </w:r>
      <w:r w:rsidR="00F62884">
        <w:t xml:space="preserve"> </w:t>
      </w:r>
      <w:proofErr w:type="gramEnd"/>
      <w:r w:rsidR="00F62884">
        <w:t xml:space="preserve">After incorporating changes needed to </w:t>
      </w:r>
      <w:r w:rsidR="001F34C0">
        <w:t xml:space="preserve">improve </w:t>
      </w:r>
      <w:r w:rsidR="00F62884" w:rsidRPr="007C5A72">
        <w:t xml:space="preserve">item response rates, </w:t>
      </w:r>
      <w:r w:rsidR="00F62884" w:rsidRPr="007C5A72">
        <w:rPr>
          <w:bCs/>
        </w:rPr>
        <w:t xml:space="preserve">the flow and timing of questions, </w:t>
      </w:r>
      <w:r w:rsidR="00F62884">
        <w:rPr>
          <w:bCs/>
        </w:rPr>
        <w:t>and/or</w:t>
      </w:r>
      <w:r w:rsidR="00F62884" w:rsidRPr="007C5A72">
        <w:rPr>
          <w:bCs/>
        </w:rPr>
        <w:t xml:space="preserve"> </w:t>
      </w:r>
      <w:r w:rsidR="00F62884">
        <w:rPr>
          <w:bCs/>
        </w:rPr>
        <w:t xml:space="preserve">clarity </w:t>
      </w:r>
      <w:r w:rsidR="00F62884" w:rsidRPr="007C5A72">
        <w:rPr>
          <w:bCs/>
        </w:rPr>
        <w:t>of questions asked</w:t>
      </w:r>
      <w:r w:rsidR="00F62884">
        <w:rPr>
          <w:bCs/>
        </w:rPr>
        <w:t>, the survey will be programmed for computer assisted personal interviewing</w:t>
      </w:r>
      <w:r w:rsidR="00F322E4">
        <w:rPr>
          <w:bCs/>
        </w:rPr>
        <w:t xml:space="preserve"> (CAPI) for use with the full study sample</w:t>
      </w:r>
      <w:r w:rsidR="00F62884">
        <w:rPr>
          <w:bCs/>
        </w:rPr>
        <w:t>.</w:t>
      </w:r>
    </w:p>
    <w:p w:rsidR="00805788" w:rsidRDefault="00805788" w:rsidP="005E15FF">
      <w:pPr>
        <w:rPr>
          <w:bCs/>
          <w:highlight w:val="yellow"/>
        </w:rPr>
      </w:pPr>
    </w:p>
    <w:p w:rsidR="008E1D93" w:rsidRPr="00236D2F" w:rsidRDefault="00B759FC" w:rsidP="000E1784">
      <w:pPr>
        <w:pStyle w:val="Heading2"/>
      </w:pPr>
      <w:r w:rsidRPr="00236D2F">
        <w:t>Denied Applicant Survey</w:t>
      </w:r>
    </w:p>
    <w:p w:rsidR="00B759FC" w:rsidRPr="00076340" w:rsidRDefault="00E9782A" w:rsidP="00076340">
      <w:pPr>
        <w:rPr>
          <w:bCs/>
          <w:i/>
        </w:rPr>
      </w:pPr>
      <w:r w:rsidRPr="00076340">
        <w:rPr>
          <w:bCs/>
        </w:rPr>
        <w:t xml:space="preserve">In-person survey </w:t>
      </w:r>
      <w:r w:rsidR="0044564F" w:rsidRPr="00076340">
        <w:rPr>
          <w:bCs/>
        </w:rPr>
        <w:t>interview</w:t>
      </w:r>
      <w:r w:rsidR="004D28E3">
        <w:rPr>
          <w:bCs/>
        </w:rPr>
        <w:t>s</w:t>
      </w:r>
      <w:r w:rsidR="0044564F" w:rsidRPr="00076340">
        <w:rPr>
          <w:bCs/>
        </w:rPr>
        <w:t xml:space="preserve"> </w:t>
      </w:r>
      <w:r w:rsidRPr="00076340">
        <w:rPr>
          <w:bCs/>
        </w:rPr>
        <w:t xml:space="preserve">in </w:t>
      </w:r>
      <w:proofErr w:type="gramStart"/>
      <w:r w:rsidR="00DC453C">
        <w:rPr>
          <w:bCs/>
        </w:rPr>
        <w:t>either</w:t>
      </w:r>
      <w:r w:rsidR="00DC453C" w:rsidRPr="00076340">
        <w:rPr>
          <w:bCs/>
        </w:rPr>
        <w:t xml:space="preserve"> </w:t>
      </w:r>
      <w:r w:rsidRPr="00076340">
        <w:rPr>
          <w:bCs/>
        </w:rPr>
        <w:t>English and</w:t>
      </w:r>
      <w:proofErr w:type="gramEnd"/>
      <w:r w:rsidRPr="00076340">
        <w:rPr>
          <w:bCs/>
        </w:rPr>
        <w:t xml:space="preserve"> Spanish</w:t>
      </w:r>
      <w:r w:rsidR="004D28E3">
        <w:rPr>
          <w:bCs/>
        </w:rPr>
        <w:t xml:space="preserve"> will be conducted</w:t>
      </w:r>
      <w:r w:rsidR="0044564F" w:rsidRPr="00076340">
        <w:rPr>
          <w:bCs/>
        </w:rPr>
        <w:t xml:space="preserve"> with </w:t>
      </w:r>
      <w:r w:rsidR="004D28E3">
        <w:rPr>
          <w:bCs/>
        </w:rPr>
        <w:t xml:space="preserve">a total of </w:t>
      </w:r>
      <w:r w:rsidR="00316AA1">
        <w:rPr>
          <w:bCs/>
        </w:rPr>
        <w:t>nine</w:t>
      </w:r>
      <w:r w:rsidR="004D28E3">
        <w:rPr>
          <w:bCs/>
        </w:rPr>
        <w:t xml:space="preserve"> </w:t>
      </w:r>
      <w:r w:rsidR="0044564F" w:rsidRPr="00076340">
        <w:rPr>
          <w:bCs/>
        </w:rPr>
        <w:t>selected denied WIC applicants</w:t>
      </w:r>
      <w:r w:rsidR="00316AA1">
        <w:rPr>
          <w:bCs/>
        </w:rPr>
        <w:t xml:space="preserve"> (e.g., with five interviews in English and four in Spanish)</w:t>
      </w:r>
      <w:r w:rsidRPr="00076340">
        <w:rPr>
          <w:bCs/>
        </w:rPr>
        <w:t xml:space="preserve">. </w:t>
      </w:r>
    </w:p>
    <w:p w:rsidR="008E1D93" w:rsidRDefault="008E1D93" w:rsidP="005E15FF">
      <w:pPr>
        <w:rPr>
          <w:bCs/>
        </w:rPr>
      </w:pPr>
    </w:p>
    <w:p w:rsidR="004D28E3" w:rsidRPr="00C03665" w:rsidRDefault="004D28E3" w:rsidP="004D28E3">
      <w:pPr>
        <w:rPr>
          <w:bCs/>
          <w:i/>
        </w:rPr>
      </w:pPr>
      <w:r>
        <w:t>Data collection protocols are</w:t>
      </w:r>
      <w:r w:rsidRPr="005358A6">
        <w:t xml:space="preserve"> identical to that for the Certification Survey</w:t>
      </w:r>
      <w:proofErr w:type="gramStart"/>
      <w:r>
        <w:t xml:space="preserve">. </w:t>
      </w:r>
      <w:proofErr w:type="gramEnd"/>
      <w:r>
        <w:rPr>
          <w:bCs/>
        </w:rPr>
        <w:t xml:space="preserve">Selected participants will be scheduled for an interview </w:t>
      </w:r>
      <w:r w:rsidR="00C12609">
        <w:rPr>
          <w:bCs/>
        </w:rPr>
        <w:t xml:space="preserve">which will take place </w:t>
      </w:r>
      <w:r>
        <w:rPr>
          <w:bCs/>
        </w:rPr>
        <w:t>at their home</w:t>
      </w:r>
      <w:proofErr w:type="gramStart"/>
      <w:r>
        <w:rPr>
          <w:bCs/>
        </w:rPr>
        <w:t xml:space="preserve">. </w:t>
      </w:r>
      <w:proofErr w:type="gramEnd"/>
      <w:r w:rsidR="00E54841">
        <w:t>After</w:t>
      </w:r>
      <w:r>
        <w:t xml:space="preserve"> obtaining informed consent in person, the FI will administer </w:t>
      </w:r>
      <w:r w:rsidR="00F322E4">
        <w:t>the survey</w:t>
      </w:r>
      <w:r w:rsidR="00E54841">
        <w:t xml:space="preserve"> from a paper questionnaire</w:t>
      </w:r>
      <w:r w:rsidR="00F322E4">
        <w:t xml:space="preserve">, reading each question aloud, following interviewer instructions, and </w:t>
      </w:r>
      <w:r w:rsidR="007433FC">
        <w:t>writing down</w:t>
      </w:r>
      <w:r w:rsidR="00F322E4">
        <w:t xml:space="preserve"> the responses indicated by </w:t>
      </w:r>
      <w:r w:rsidR="00F322E4">
        <w:lastRenderedPageBreak/>
        <w:t xml:space="preserve">the </w:t>
      </w:r>
      <w:r w:rsidR="00483F6A">
        <w:t>survey</w:t>
      </w:r>
      <w:r w:rsidR="00F322E4">
        <w:t xml:space="preserve"> participant</w:t>
      </w:r>
      <w:proofErr w:type="gramStart"/>
      <w:r w:rsidR="00F322E4">
        <w:t xml:space="preserve">. </w:t>
      </w:r>
      <w:proofErr w:type="gramEnd"/>
      <w:r w:rsidR="00E54841">
        <w:t>As specified in the questionnaire, the FI will obtain and review documentation of income and other determinants of eligibility, and then return the documentation to the respondent</w:t>
      </w:r>
      <w:proofErr w:type="gramStart"/>
      <w:r w:rsidR="00E54841">
        <w:t xml:space="preserve">. </w:t>
      </w:r>
      <w:proofErr w:type="gramEnd"/>
      <w:r w:rsidR="00F322E4">
        <w:t>The FI will use a stopwatch to record the total duration needed for the survey</w:t>
      </w:r>
      <w:proofErr w:type="gramStart"/>
      <w:r>
        <w:t>.</w:t>
      </w:r>
      <w:r w:rsidR="00E54841">
        <w:t xml:space="preserve"> </w:t>
      </w:r>
      <w:proofErr w:type="gramEnd"/>
      <w:r w:rsidR="00E54841">
        <w:t xml:space="preserve">The FI will debrief the respondent </w:t>
      </w:r>
      <w:r w:rsidR="00D61ED3">
        <w:t>immediately following the completion of the Denied Applicant Survey</w:t>
      </w:r>
      <w:r w:rsidR="00E54841">
        <w:t xml:space="preserve"> </w:t>
      </w:r>
      <w:r w:rsidRPr="00F73045">
        <w:t>and identify any questions that were confusing or difficult to answer</w:t>
      </w:r>
      <w:proofErr w:type="gramStart"/>
      <w:r w:rsidRPr="00F73045">
        <w:t>.</w:t>
      </w:r>
      <w:r>
        <w:t xml:space="preserve"> </w:t>
      </w:r>
      <w:proofErr w:type="gramEnd"/>
      <w:r>
        <w:t xml:space="preserve">After </w:t>
      </w:r>
      <w:r w:rsidR="00F322E4">
        <w:t>completing the survey</w:t>
      </w:r>
      <w:r w:rsidR="00E54841">
        <w:t xml:space="preserve"> and debriefing</w:t>
      </w:r>
      <w:r w:rsidR="00F322E4">
        <w:t>, the FIs will thank each pretest participant and provide a $25 gift card</w:t>
      </w:r>
      <w:proofErr w:type="gramStart"/>
      <w:r w:rsidR="00F322E4">
        <w:t xml:space="preserve">. </w:t>
      </w:r>
      <w:proofErr w:type="gramEnd"/>
      <w:r w:rsidR="00F322E4">
        <w:t xml:space="preserve">After </w:t>
      </w:r>
      <w:r w:rsidR="00316AA1">
        <w:t>incorporating</w:t>
      </w:r>
      <w:r w:rsidR="00F322E4">
        <w:t xml:space="preserve"> changes needed to </w:t>
      </w:r>
      <w:r w:rsidR="00E54841">
        <w:t xml:space="preserve">improve item </w:t>
      </w:r>
      <w:r w:rsidR="00F322E4" w:rsidRPr="007C5A72">
        <w:t xml:space="preserve">response rates, </w:t>
      </w:r>
      <w:r w:rsidR="00F322E4" w:rsidRPr="007C5A72">
        <w:rPr>
          <w:bCs/>
        </w:rPr>
        <w:t xml:space="preserve">the flow and timing of questions, </w:t>
      </w:r>
      <w:r w:rsidR="00F322E4">
        <w:rPr>
          <w:bCs/>
        </w:rPr>
        <w:t>and/or</w:t>
      </w:r>
      <w:r w:rsidR="00F322E4" w:rsidRPr="007C5A72">
        <w:rPr>
          <w:bCs/>
        </w:rPr>
        <w:t xml:space="preserve"> </w:t>
      </w:r>
      <w:r w:rsidR="00F322E4">
        <w:rPr>
          <w:bCs/>
        </w:rPr>
        <w:t xml:space="preserve">clarity </w:t>
      </w:r>
      <w:r w:rsidR="00F322E4" w:rsidRPr="007C5A72">
        <w:rPr>
          <w:bCs/>
        </w:rPr>
        <w:t>of questions asked</w:t>
      </w:r>
      <w:r w:rsidR="00F322E4">
        <w:rPr>
          <w:bCs/>
        </w:rPr>
        <w:t>, the survey will be programmed for CAPI for use with the full study sample.</w:t>
      </w:r>
    </w:p>
    <w:p w:rsidR="004D28E3" w:rsidRDefault="004D28E3" w:rsidP="005E15FF"/>
    <w:p w:rsidR="004F56B2" w:rsidRPr="00C03665" w:rsidRDefault="00933D3C" w:rsidP="000E1784">
      <w:pPr>
        <w:pStyle w:val="Heading2"/>
      </w:pPr>
      <w:r w:rsidRPr="00C03665">
        <w:t>Program Experiences Survey</w:t>
      </w:r>
    </w:p>
    <w:p w:rsidR="00A155C4" w:rsidRPr="00076340" w:rsidRDefault="00D61ED3" w:rsidP="00A155C4">
      <w:pPr>
        <w:rPr>
          <w:bCs/>
          <w:i/>
        </w:rPr>
      </w:pPr>
      <w:r>
        <w:rPr>
          <w:bCs/>
        </w:rPr>
        <w:t>I</w:t>
      </w:r>
      <w:r w:rsidR="00A155C4" w:rsidRPr="00076340">
        <w:rPr>
          <w:bCs/>
        </w:rPr>
        <w:t>nterview</w:t>
      </w:r>
      <w:r w:rsidR="00A155C4">
        <w:rPr>
          <w:bCs/>
        </w:rPr>
        <w:t>s</w:t>
      </w:r>
      <w:r w:rsidR="00A155C4" w:rsidRPr="00076340">
        <w:rPr>
          <w:bCs/>
        </w:rPr>
        <w:t xml:space="preserve"> with</w:t>
      </w:r>
      <w:r w:rsidR="00A155C4">
        <w:rPr>
          <w:bCs/>
        </w:rPr>
        <w:t xml:space="preserve"> a total of</w:t>
      </w:r>
      <w:r w:rsidR="00A155C4" w:rsidRPr="00076340">
        <w:rPr>
          <w:bCs/>
        </w:rPr>
        <w:t xml:space="preserve"> </w:t>
      </w:r>
      <w:r w:rsidR="00316AA1">
        <w:rPr>
          <w:bCs/>
        </w:rPr>
        <w:t>nine</w:t>
      </w:r>
      <w:r w:rsidR="00A155C4">
        <w:rPr>
          <w:bCs/>
        </w:rPr>
        <w:t xml:space="preserve"> </w:t>
      </w:r>
      <w:r w:rsidR="00A155C4" w:rsidRPr="00076340">
        <w:rPr>
          <w:bCs/>
        </w:rPr>
        <w:t>current WIC participants</w:t>
      </w:r>
      <w:r>
        <w:rPr>
          <w:bCs/>
        </w:rPr>
        <w:t xml:space="preserve"> will be conducted by telephone (e.g.</w:t>
      </w:r>
      <w:r w:rsidR="002E2DDA">
        <w:rPr>
          <w:bCs/>
        </w:rPr>
        <w:t>,</w:t>
      </w:r>
      <w:r>
        <w:rPr>
          <w:bCs/>
        </w:rPr>
        <w:t xml:space="preserve"> with five interviews in English and four in Spanish)</w:t>
      </w:r>
      <w:proofErr w:type="gramStart"/>
      <w:r w:rsidR="00A155C4">
        <w:rPr>
          <w:bCs/>
        </w:rPr>
        <w:t xml:space="preserve">. </w:t>
      </w:r>
      <w:proofErr w:type="gramEnd"/>
      <w:r>
        <w:rPr>
          <w:bCs/>
        </w:rPr>
        <w:t xml:space="preserve">Participants will be recruited as described in the Recruiting and Consent section. </w:t>
      </w:r>
    </w:p>
    <w:p w:rsidR="00A155C4" w:rsidRDefault="00A155C4" w:rsidP="00A155C4">
      <w:pPr>
        <w:rPr>
          <w:bCs/>
          <w:i/>
        </w:rPr>
      </w:pPr>
    </w:p>
    <w:p w:rsidR="00A155C4" w:rsidRDefault="00A155C4" w:rsidP="00A155C4">
      <w:r>
        <w:t>T</w:t>
      </w:r>
      <w:r w:rsidR="002E2DDA">
        <w:t>rained t</w:t>
      </w:r>
      <w:r w:rsidR="00D61ED3">
        <w:t>elephone</w:t>
      </w:r>
      <w:r>
        <w:t xml:space="preserve"> interviewers</w:t>
      </w:r>
      <w:r w:rsidR="00D61ED3">
        <w:t xml:space="preserve"> (TI)</w:t>
      </w:r>
      <w:r>
        <w:t xml:space="preserve"> will administer the survey using paper copies that will have the same </w:t>
      </w:r>
      <w:r w:rsidRPr="00B57D1B">
        <w:t>questions, response options, and prompts</w:t>
      </w:r>
      <w:r>
        <w:t xml:space="preserve"> as the questionnaires that will be </w:t>
      </w:r>
      <w:r w:rsidR="00E26D62">
        <w:t xml:space="preserve">programmed for </w:t>
      </w:r>
      <w:r>
        <w:t>use</w:t>
      </w:r>
      <w:r w:rsidR="00E26D62">
        <w:t xml:space="preserve"> with the full study sample</w:t>
      </w:r>
      <w:proofErr w:type="gramStart"/>
      <w:r>
        <w:t xml:space="preserve">. </w:t>
      </w:r>
      <w:proofErr w:type="gramEnd"/>
      <w:r w:rsidR="00D61ED3">
        <w:t xml:space="preserve">After </w:t>
      </w:r>
      <w:r w:rsidR="00344556">
        <w:t xml:space="preserve">verbally </w:t>
      </w:r>
      <w:r w:rsidR="00D61ED3">
        <w:t xml:space="preserve">obtaining informed consent by </w:t>
      </w:r>
      <w:r w:rsidR="002E2DDA">
        <w:t>tele</w:t>
      </w:r>
      <w:r w:rsidR="00D61ED3">
        <w:t xml:space="preserve">phone, the TI will administer the survey, reading each question aloud, following interviewer instructions, and </w:t>
      </w:r>
      <w:r w:rsidR="00344556">
        <w:t>writing down</w:t>
      </w:r>
      <w:r w:rsidR="00D61ED3">
        <w:t xml:space="preserve"> the responses indicated by the WIC participant</w:t>
      </w:r>
      <w:proofErr w:type="gramStart"/>
      <w:r w:rsidR="00D61ED3">
        <w:t>.</w:t>
      </w:r>
      <w:r w:rsidR="001974C9">
        <w:t xml:space="preserve"> </w:t>
      </w:r>
      <w:proofErr w:type="gramEnd"/>
      <w:r w:rsidR="001974C9">
        <w:t>The TI will use a stopwatch to record the total duration needed for the survey.</w:t>
      </w:r>
    </w:p>
    <w:p w:rsidR="00A155C4" w:rsidRDefault="00A155C4" w:rsidP="00A155C4">
      <w:pPr>
        <w:pStyle w:val="ListParagraph"/>
      </w:pPr>
    </w:p>
    <w:p w:rsidR="00A155C4" w:rsidRPr="00C03665" w:rsidRDefault="001974C9" w:rsidP="00A155C4">
      <w:r>
        <w:t xml:space="preserve">The TI will debrief the respondent immediately following the completion of the </w:t>
      </w:r>
      <w:r w:rsidR="00A155C4">
        <w:t>Program Experiences Survey</w:t>
      </w:r>
      <w:r>
        <w:t xml:space="preserve"> </w:t>
      </w:r>
      <w:r w:rsidR="00A155C4" w:rsidRPr="00F73045">
        <w:t>and identify any questions that were confusing or difficult to answer</w:t>
      </w:r>
      <w:proofErr w:type="gramStart"/>
      <w:r w:rsidR="00A155C4" w:rsidRPr="00F73045">
        <w:t>.</w:t>
      </w:r>
      <w:r w:rsidR="00A155C4">
        <w:t xml:space="preserve"> </w:t>
      </w:r>
      <w:proofErr w:type="gramEnd"/>
      <w:r>
        <w:t xml:space="preserve">After completing the survey and debriefing, the TIs will thank each pretest participant and obtain a delivery address for </w:t>
      </w:r>
      <w:r w:rsidR="00483F6A">
        <w:t xml:space="preserve">sending </w:t>
      </w:r>
      <w:r>
        <w:t>a $25 gift card</w:t>
      </w:r>
      <w:proofErr w:type="gramStart"/>
      <w:r>
        <w:t xml:space="preserve">. </w:t>
      </w:r>
      <w:proofErr w:type="gramEnd"/>
      <w:r>
        <w:t xml:space="preserve">After incorporating changes needed to improve </w:t>
      </w:r>
      <w:r w:rsidRPr="007C5A72">
        <w:t xml:space="preserve">item response rates, </w:t>
      </w:r>
      <w:r w:rsidRPr="007C5A72">
        <w:rPr>
          <w:bCs/>
        </w:rPr>
        <w:t xml:space="preserve">the flow and timing of questions, </w:t>
      </w:r>
      <w:r>
        <w:rPr>
          <w:bCs/>
        </w:rPr>
        <w:t>and/or</w:t>
      </w:r>
      <w:r w:rsidRPr="007C5A72">
        <w:rPr>
          <w:bCs/>
        </w:rPr>
        <w:t xml:space="preserve"> </w:t>
      </w:r>
      <w:r>
        <w:rPr>
          <w:bCs/>
        </w:rPr>
        <w:t xml:space="preserve">clarity </w:t>
      </w:r>
      <w:r w:rsidRPr="007C5A72">
        <w:rPr>
          <w:bCs/>
        </w:rPr>
        <w:t>of questions asked</w:t>
      </w:r>
      <w:r>
        <w:rPr>
          <w:bCs/>
        </w:rPr>
        <w:t>, the survey will be programmed for computer assisted telephone interviewing (CATI) for use with the full study sample.</w:t>
      </w:r>
    </w:p>
    <w:p w:rsidR="00A155C4" w:rsidRPr="00C03665" w:rsidRDefault="00A155C4" w:rsidP="00A155C4">
      <w:pPr>
        <w:rPr>
          <w:bCs/>
        </w:rPr>
      </w:pPr>
    </w:p>
    <w:p w:rsidR="00A155C4" w:rsidRDefault="00A155C4" w:rsidP="00A155C4">
      <w:pPr>
        <w:pStyle w:val="Heading2"/>
        <w:rPr>
          <w:highlight w:val="yellow"/>
        </w:rPr>
      </w:pPr>
      <w:r w:rsidRPr="00E9782A">
        <w:t xml:space="preserve">Former WIC Participant Case Study </w:t>
      </w:r>
    </w:p>
    <w:p w:rsidR="00A155C4" w:rsidRPr="00076340" w:rsidRDefault="00A155C4" w:rsidP="00A155C4">
      <w:pPr>
        <w:rPr>
          <w:bCs/>
          <w:i/>
        </w:rPr>
      </w:pPr>
      <w:r w:rsidRPr="00076340">
        <w:rPr>
          <w:bCs/>
        </w:rPr>
        <w:t>Telephone-based interview</w:t>
      </w:r>
      <w:r>
        <w:rPr>
          <w:bCs/>
        </w:rPr>
        <w:t>s</w:t>
      </w:r>
      <w:r w:rsidRPr="00076340">
        <w:rPr>
          <w:bCs/>
        </w:rPr>
        <w:t xml:space="preserve"> </w:t>
      </w:r>
      <w:r w:rsidR="001974C9">
        <w:rPr>
          <w:bCs/>
        </w:rPr>
        <w:t>will be conducted</w:t>
      </w:r>
      <w:r w:rsidR="001974C9" w:rsidRPr="00076340">
        <w:rPr>
          <w:bCs/>
        </w:rPr>
        <w:t xml:space="preserve"> with </w:t>
      </w:r>
      <w:r w:rsidR="00316AA1">
        <w:rPr>
          <w:bCs/>
        </w:rPr>
        <w:t>nine</w:t>
      </w:r>
      <w:r w:rsidR="001974C9">
        <w:rPr>
          <w:bCs/>
        </w:rPr>
        <w:t xml:space="preserve"> </w:t>
      </w:r>
      <w:r w:rsidR="001974C9" w:rsidRPr="00076340">
        <w:rPr>
          <w:bCs/>
        </w:rPr>
        <w:t xml:space="preserve">selected </w:t>
      </w:r>
      <w:r w:rsidR="00316AA1">
        <w:rPr>
          <w:bCs/>
        </w:rPr>
        <w:t xml:space="preserve">former </w:t>
      </w:r>
      <w:r w:rsidR="001974C9" w:rsidRPr="00076340">
        <w:rPr>
          <w:bCs/>
        </w:rPr>
        <w:t>WIC participants</w:t>
      </w:r>
      <w:r w:rsidR="001974C9">
        <w:rPr>
          <w:bCs/>
        </w:rPr>
        <w:t xml:space="preserve"> (e.g., with five interviews in English and four in Spanish)</w:t>
      </w:r>
      <w:proofErr w:type="gramStart"/>
      <w:r w:rsidR="001974C9" w:rsidRPr="00076340">
        <w:rPr>
          <w:bCs/>
        </w:rPr>
        <w:t xml:space="preserve">. </w:t>
      </w:r>
      <w:proofErr w:type="gramEnd"/>
      <w:r w:rsidR="001974C9">
        <w:rPr>
          <w:bCs/>
        </w:rPr>
        <w:t xml:space="preserve">Participants will be recruited as described in the Recruiting and Consent section. </w:t>
      </w:r>
      <w:r w:rsidRPr="00076340">
        <w:rPr>
          <w:bCs/>
        </w:rPr>
        <w:t xml:space="preserve"> </w:t>
      </w:r>
    </w:p>
    <w:p w:rsidR="00A155C4" w:rsidRDefault="00A155C4" w:rsidP="00A155C4">
      <w:pPr>
        <w:rPr>
          <w:bCs/>
        </w:rPr>
      </w:pPr>
    </w:p>
    <w:p w:rsidR="00A155C4" w:rsidRDefault="00A155C4" w:rsidP="00A155C4">
      <w:r>
        <w:t>T</w:t>
      </w:r>
      <w:r w:rsidRPr="00B57D1B">
        <w:t xml:space="preserve">he </w:t>
      </w:r>
      <w:r w:rsidRPr="00E9782A">
        <w:t>Former WIC Participant Case Study</w:t>
      </w:r>
      <w:r>
        <w:t xml:space="preserve"> interview</w:t>
      </w:r>
      <w:r w:rsidR="00316AA1">
        <w:t>s are</w:t>
      </w:r>
      <w:r>
        <w:t xml:space="preserve"> qualitative in nature and </w:t>
      </w:r>
      <w:r w:rsidR="00316AA1">
        <w:t xml:space="preserve">the interview guide </w:t>
      </w:r>
      <w:r w:rsidRPr="00B57D1B">
        <w:t xml:space="preserve">will be available </w:t>
      </w:r>
      <w:r>
        <w:t xml:space="preserve">on paper for interviewers to conduct </w:t>
      </w:r>
      <w:r w:rsidR="00C24E00">
        <w:t xml:space="preserve">by </w:t>
      </w:r>
      <w:r w:rsidRPr="00B57D1B">
        <w:t>telephone</w:t>
      </w:r>
      <w:proofErr w:type="gramStart"/>
      <w:r w:rsidRPr="00B57D1B">
        <w:t>.</w:t>
      </w:r>
      <w:r>
        <w:t xml:space="preserve"> </w:t>
      </w:r>
      <w:proofErr w:type="gramEnd"/>
      <w:r w:rsidR="001C0898">
        <w:t>After verbally obtaining informed consent by telephone, the TI will administer the survey, reading each question aloud, following interviewer instructions, and audio recording the interview, if recording is permitted by the respondent</w:t>
      </w:r>
      <w:proofErr w:type="gramStart"/>
      <w:r w:rsidR="001974C9">
        <w:t xml:space="preserve">. </w:t>
      </w:r>
      <w:proofErr w:type="gramEnd"/>
      <w:r w:rsidR="001974C9">
        <w:t>If permission is not given</w:t>
      </w:r>
      <w:r w:rsidR="00A370B7">
        <w:t xml:space="preserve"> to audio</w:t>
      </w:r>
      <w:r w:rsidR="00801495">
        <w:t>-</w:t>
      </w:r>
      <w:r w:rsidR="00A370B7">
        <w:t>record the interview</w:t>
      </w:r>
      <w:r w:rsidR="001974C9">
        <w:t>, an additional TI will be asked to take notes</w:t>
      </w:r>
      <w:proofErr w:type="gramStart"/>
      <w:r w:rsidR="001974C9">
        <w:t xml:space="preserve">. </w:t>
      </w:r>
      <w:proofErr w:type="gramEnd"/>
      <w:r w:rsidR="001974C9">
        <w:t xml:space="preserve">The TI will use a stopwatch to record the total duration needed for the survey. </w:t>
      </w:r>
    </w:p>
    <w:p w:rsidR="001974C9" w:rsidRDefault="001974C9" w:rsidP="001974C9"/>
    <w:p w:rsidR="001974C9" w:rsidRPr="00C03665" w:rsidRDefault="001974C9" w:rsidP="001974C9">
      <w:r>
        <w:t xml:space="preserve">The TI will debrief the respondent immediately following the completion of the Former </w:t>
      </w:r>
      <w:r w:rsidR="00801495">
        <w:t xml:space="preserve">WIC </w:t>
      </w:r>
      <w:r>
        <w:t xml:space="preserve">Participant Survey </w:t>
      </w:r>
      <w:r w:rsidRPr="00F73045">
        <w:t>and identify any questions that were confusing or difficult to answer</w:t>
      </w:r>
      <w:proofErr w:type="gramStart"/>
      <w:r w:rsidRPr="00F73045">
        <w:t>.</w:t>
      </w:r>
      <w:r>
        <w:t xml:space="preserve"> </w:t>
      </w:r>
      <w:proofErr w:type="gramEnd"/>
      <w:r>
        <w:t xml:space="preserve">After completing the survey and debriefing, the TIs will thank each pretest participant and obtain a </w:t>
      </w:r>
      <w:r>
        <w:lastRenderedPageBreak/>
        <w:t xml:space="preserve">delivery address for </w:t>
      </w:r>
      <w:r w:rsidR="00483F6A">
        <w:t xml:space="preserve">sending </w:t>
      </w:r>
      <w:r>
        <w:t>a $25 gift card</w:t>
      </w:r>
      <w:proofErr w:type="gramStart"/>
      <w:r>
        <w:t xml:space="preserve">. </w:t>
      </w:r>
      <w:proofErr w:type="gramEnd"/>
      <w:r>
        <w:t xml:space="preserve">After incorporating changes needed to improve </w:t>
      </w:r>
      <w:r w:rsidRPr="007C5A72">
        <w:t xml:space="preserve">item response rates, </w:t>
      </w:r>
      <w:r w:rsidRPr="007C5A72">
        <w:rPr>
          <w:bCs/>
        </w:rPr>
        <w:t xml:space="preserve">the flow and timing of questions, </w:t>
      </w:r>
      <w:r>
        <w:rPr>
          <w:bCs/>
        </w:rPr>
        <w:t>and/or</w:t>
      </w:r>
      <w:r w:rsidRPr="007C5A72">
        <w:rPr>
          <w:bCs/>
        </w:rPr>
        <w:t xml:space="preserve"> </w:t>
      </w:r>
      <w:r>
        <w:rPr>
          <w:bCs/>
        </w:rPr>
        <w:t xml:space="preserve">clarity </w:t>
      </w:r>
      <w:r w:rsidRPr="007C5A72">
        <w:rPr>
          <w:bCs/>
        </w:rPr>
        <w:t>of questions asked</w:t>
      </w:r>
      <w:r>
        <w:rPr>
          <w:bCs/>
        </w:rPr>
        <w:t>, the survey will be programmed for CATI for use with the full study sample.</w:t>
      </w:r>
    </w:p>
    <w:p w:rsidR="001974C9" w:rsidRPr="00C03665" w:rsidRDefault="001974C9" w:rsidP="00A155C4">
      <w:pPr>
        <w:rPr>
          <w:i/>
          <w:highlight w:val="yellow"/>
        </w:rPr>
      </w:pPr>
    </w:p>
    <w:p w:rsidR="007A4D7F" w:rsidRPr="007C5A72" w:rsidRDefault="005E15FF" w:rsidP="00B22274">
      <w:pPr>
        <w:outlineLvl w:val="0"/>
        <w:rPr>
          <w:u w:val="single"/>
        </w:rPr>
      </w:pPr>
      <w:r w:rsidRPr="007C5A72">
        <w:rPr>
          <w:u w:val="single"/>
        </w:rPr>
        <w:t>Design/Sampling Procedures</w:t>
      </w:r>
    </w:p>
    <w:p w:rsidR="007720B7" w:rsidRDefault="007720B7" w:rsidP="00BF6D49">
      <w:pPr>
        <w:rPr>
          <w:highlight w:val="yellow"/>
        </w:rPr>
      </w:pPr>
    </w:p>
    <w:p w:rsidR="007720B7" w:rsidRPr="005D5A57" w:rsidRDefault="003A26FB" w:rsidP="000E1784">
      <w:pPr>
        <w:pStyle w:val="Heading2"/>
      </w:pPr>
      <w:r w:rsidRPr="005D5A57">
        <w:t>State Agency Survey</w:t>
      </w:r>
    </w:p>
    <w:p w:rsidR="003A26FB" w:rsidRDefault="001974C9" w:rsidP="007720B7">
      <w:pPr>
        <w:rPr>
          <w:bCs/>
        </w:rPr>
      </w:pPr>
      <w:r>
        <w:rPr>
          <w:bCs/>
        </w:rPr>
        <w:t xml:space="preserve">The research team will select </w:t>
      </w:r>
      <w:r w:rsidR="00316AA1">
        <w:rPr>
          <w:bCs/>
        </w:rPr>
        <w:t>three</w:t>
      </w:r>
      <w:r>
        <w:rPr>
          <w:bCs/>
        </w:rPr>
        <w:t xml:space="preserve"> </w:t>
      </w:r>
      <w:r w:rsidR="00316AA1">
        <w:rPr>
          <w:bCs/>
        </w:rPr>
        <w:t xml:space="preserve">FNS </w:t>
      </w:r>
      <w:r>
        <w:rPr>
          <w:bCs/>
        </w:rPr>
        <w:t xml:space="preserve">Regional </w:t>
      </w:r>
      <w:r w:rsidR="00316AA1">
        <w:rPr>
          <w:bCs/>
        </w:rPr>
        <w:t>O</w:t>
      </w:r>
      <w:r w:rsidR="003A26FB">
        <w:rPr>
          <w:bCs/>
        </w:rPr>
        <w:t xml:space="preserve">ffices </w:t>
      </w:r>
      <w:r>
        <w:rPr>
          <w:bCs/>
        </w:rPr>
        <w:t xml:space="preserve">and </w:t>
      </w:r>
      <w:r w:rsidR="00316AA1">
        <w:rPr>
          <w:bCs/>
        </w:rPr>
        <w:t>nine</w:t>
      </w:r>
      <w:r>
        <w:rPr>
          <w:bCs/>
        </w:rPr>
        <w:t xml:space="preserve"> </w:t>
      </w:r>
      <w:r w:rsidR="00EE4E90">
        <w:rPr>
          <w:bCs/>
        </w:rPr>
        <w:t>SAs</w:t>
      </w:r>
      <w:r>
        <w:rPr>
          <w:bCs/>
        </w:rPr>
        <w:t xml:space="preserve"> under the jurisdiction of those offices as the primary </w:t>
      </w:r>
      <w:r w:rsidR="00EE4E90">
        <w:rPr>
          <w:bCs/>
        </w:rPr>
        <w:t xml:space="preserve">SA </w:t>
      </w:r>
      <w:r>
        <w:rPr>
          <w:bCs/>
        </w:rPr>
        <w:t>sample</w:t>
      </w:r>
      <w:proofErr w:type="gramStart"/>
      <w:r>
        <w:rPr>
          <w:bCs/>
        </w:rPr>
        <w:t xml:space="preserve">. </w:t>
      </w:r>
      <w:proofErr w:type="gramEnd"/>
      <w:r>
        <w:rPr>
          <w:bCs/>
        </w:rPr>
        <w:t xml:space="preserve">An additional </w:t>
      </w:r>
      <w:r w:rsidR="00EE4E90">
        <w:rPr>
          <w:bCs/>
        </w:rPr>
        <w:t xml:space="preserve">SA </w:t>
      </w:r>
      <w:r>
        <w:rPr>
          <w:bCs/>
        </w:rPr>
        <w:t xml:space="preserve">will also be identified in each region to serve as a back-up if </w:t>
      </w:r>
      <w:r w:rsidR="00483F6A">
        <w:rPr>
          <w:bCs/>
        </w:rPr>
        <w:t>the research team is</w:t>
      </w:r>
      <w:r>
        <w:rPr>
          <w:bCs/>
        </w:rPr>
        <w:t xml:space="preserve"> having difficulty gaining participation from a</w:t>
      </w:r>
      <w:r w:rsidR="00F222B7">
        <w:rPr>
          <w:bCs/>
        </w:rPr>
        <w:t xml:space="preserve">n SA </w:t>
      </w:r>
      <w:r>
        <w:rPr>
          <w:bCs/>
        </w:rPr>
        <w:t>during the data collection period</w:t>
      </w:r>
      <w:proofErr w:type="gramStart"/>
      <w:r>
        <w:rPr>
          <w:bCs/>
        </w:rPr>
        <w:t xml:space="preserve">. </w:t>
      </w:r>
      <w:proofErr w:type="gramEnd"/>
      <w:r>
        <w:rPr>
          <w:bCs/>
        </w:rPr>
        <w:t xml:space="preserve">The research team will present a list of </w:t>
      </w:r>
      <w:r w:rsidR="00F222B7">
        <w:rPr>
          <w:bCs/>
        </w:rPr>
        <w:t xml:space="preserve">SAs </w:t>
      </w:r>
      <w:r>
        <w:rPr>
          <w:bCs/>
        </w:rPr>
        <w:t>recommended for the pretest to FNS for review</w:t>
      </w:r>
      <w:proofErr w:type="gramStart"/>
      <w:r>
        <w:rPr>
          <w:bCs/>
        </w:rPr>
        <w:t xml:space="preserve">. </w:t>
      </w:r>
      <w:proofErr w:type="gramEnd"/>
      <w:r w:rsidR="00483F6A">
        <w:rPr>
          <w:bCs/>
        </w:rPr>
        <w:t xml:space="preserve">The research team </w:t>
      </w:r>
      <w:r w:rsidR="00C24E00">
        <w:t xml:space="preserve">will </w:t>
      </w:r>
      <w:r w:rsidR="00A155C4">
        <w:t xml:space="preserve">seek a mix of </w:t>
      </w:r>
      <w:r w:rsidR="00C24E00">
        <w:t xml:space="preserve">urbanized </w:t>
      </w:r>
      <w:r w:rsidR="00A155C4">
        <w:t xml:space="preserve">and rural States from </w:t>
      </w:r>
      <w:r w:rsidR="00C24E00">
        <w:t xml:space="preserve">each of </w:t>
      </w:r>
      <w:r w:rsidR="00316AA1">
        <w:t>three</w:t>
      </w:r>
      <w:r w:rsidR="00C24E00">
        <w:t xml:space="preserve"> </w:t>
      </w:r>
      <w:r w:rsidR="00A155C4">
        <w:t>regions</w:t>
      </w:r>
      <w:proofErr w:type="gramStart"/>
      <w:r w:rsidR="00A155C4">
        <w:t xml:space="preserve">. </w:t>
      </w:r>
      <w:proofErr w:type="gramEnd"/>
      <w:r w:rsidR="00316AA1">
        <w:t xml:space="preserve">The team </w:t>
      </w:r>
      <w:r w:rsidR="00A155C4">
        <w:t xml:space="preserve">also </w:t>
      </w:r>
      <w:r w:rsidR="00483F6A">
        <w:t xml:space="preserve">will </w:t>
      </w:r>
      <w:r w:rsidR="00A155C4">
        <w:t xml:space="preserve">seek to include an ITO or territory among the </w:t>
      </w:r>
      <w:r w:rsidR="00FA6EBE">
        <w:t>nine</w:t>
      </w:r>
      <w:r w:rsidR="00A155C4">
        <w:t xml:space="preserve"> responding agencies</w:t>
      </w:r>
      <w:r w:rsidR="00316AA1">
        <w:t>, if possible</w:t>
      </w:r>
      <w:r w:rsidR="00A155C4">
        <w:t xml:space="preserve">. </w:t>
      </w:r>
    </w:p>
    <w:p w:rsidR="003A26FB" w:rsidRPr="007C5A72" w:rsidRDefault="003A26FB" w:rsidP="007720B7">
      <w:pPr>
        <w:rPr>
          <w:bCs/>
          <w:highlight w:val="yellow"/>
        </w:rPr>
      </w:pPr>
    </w:p>
    <w:p w:rsidR="007720B7" w:rsidRPr="005D5A57" w:rsidRDefault="005D5A57" w:rsidP="000E1784">
      <w:pPr>
        <w:pStyle w:val="Heading2"/>
        <w:rPr>
          <w:highlight w:val="yellow"/>
        </w:rPr>
      </w:pPr>
      <w:r w:rsidRPr="005D5A57">
        <w:t>Local Agency Survey</w:t>
      </w:r>
      <w:r w:rsidR="007720B7" w:rsidRPr="005D5A57">
        <w:rPr>
          <w:highlight w:val="yellow"/>
        </w:rPr>
        <w:t xml:space="preserve"> </w:t>
      </w:r>
    </w:p>
    <w:p w:rsidR="00C10CCF" w:rsidRPr="00A03F42" w:rsidRDefault="005D5A57" w:rsidP="00C10CCF">
      <w:pPr>
        <w:rPr>
          <w:bCs/>
        </w:rPr>
      </w:pPr>
      <w:r w:rsidRPr="00A03F42">
        <w:rPr>
          <w:color w:val="000000"/>
        </w:rPr>
        <w:t xml:space="preserve">SAs that have agreed to participate in the pretest of the State Agency Survey will be asked to help </w:t>
      </w:r>
      <w:r w:rsidR="00AB0CED">
        <w:rPr>
          <w:color w:val="000000"/>
        </w:rPr>
        <w:t>the research team</w:t>
      </w:r>
      <w:r w:rsidRPr="00A03F42">
        <w:rPr>
          <w:color w:val="000000"/>
        </w:rPr>
        <w:t xml:space="preserve"> identify </w:t>
      </w:r>
      <w:r w:rsidRPr="000638B3">
        <w:rPr>
          <w:color w:val="000000"/>
        </w:rPr>
        <w:t>one or two</w:t>
      </w:r>
      <w:r w:rsidRPr="00A03F42">
        <w:rPr>
          <w:color w:val="000000"/>
        </w:rPr>
        <w:t xml:space="preserve"> LAs that could participate in this pretest</w:t>
      </w:r>
      <w:proofErr w:type="gramStart"/>
      <w:r w:rsidRPr="00A03F42">
        <w:rPr>
          <w:color w:val="000000"/>
        </w:rPr>
        <w:t>.</w:t>
      </w:r>
      <w:r w:rsidR="00C10CCF" w:rsidRPr="00A03F42">
        <w:rPr>
          <w:color w:val="000000"/>
        </w:rPr>
        <w:t xml:space="preserve"> </w:t>
      </w:r>
      <w:proofErr w:type="gramEnd"/>
      <w:r w:rsidR="00BA54E7">
        <w:rPr>
          <w:color w:val="000000"/>
        </w:rPr>
        <w:t>The overriding criteri</w:t>
      </w:r>
      <w:r w:rsidR="006E75F8">
        <w:rPr>
          <w:color w:val="000000"/>
        </w:rPr>
        <w:t>on</w:t>
      </w:r>
      <w:r w:rsidR="00BA54E7">
        <w:rPr>
          <w:color w:val="000000"/>
        </w:rPr>
        <w:t xml:space="preserve"> for selection would be to select LAs that the </w:t>
      </w:r>
      <w:r w:rsidR="00B94171">
        <w:rPr>
          <w:color w:val="000000"/>
        </w:rPr>
        <w:t xml:space="preserve">SA </w:t>
      </w:r>
      <w:r w:rsidR="00BA54E7">
        <w:rPr>
          <w:color w:val="000000"/>
        </w:rPr>
        <w:t xml:space="preserve">believes would be most cooperative in the short timeframe </w:t>
      </w:r>
      <w:r w:rsidR="00475636">
        <w:rPr>
          <w:color w:val="000000"/>
        </w:rPr>
        <w:t xml:space="preserve">of </w:t>
      </w:r>
      <w:r w:rsidR="00BA54E7">
        <w:rPr>
          <w:color w:val="000000"/>
        </w:rPr>
        <w:t>the pretest</w:t>
      </w:r>
      <w:proofErr w:type="gramStart"/>
      <w:r w:rsidR="00BA54E7">
        <w:rPr>
          <w:color w:val="000000"/>
        </w:rPr>
        <w:t xml:space="preserve">. </w:t>
      </w:r>
      <w:proofErr w:type="gramEnd"/>
      <w:r w:rsidR="00C10CCF" w:rsidRPr="00A03F42">
        <w:t xml:space="preserve">Again, following a convenience sample study design, the research team will continue to </w:t>
      </w:r>
      <w:r w:rsidR="00A155C4">
        <w:t xml:space="preserve">recruit LAs to pretest the </w:t>
      </w:r>
      <w:r w:rsidR="00C10CCF" w:rsidRPr="00A03F42">
        <w:t xml:space="preserve">instrument until up to nine </w:t>
      </w:r>
      <w:r w:rsidR="00475636">
        <w:t>LA d</w:t>
      </w:r>
      <w:r w:rsidR="00C10CCF" w:rsidRPr="00A03F42">
        <w:t>irectors</w:t>
      </w:r>
      <w:r w:rsidR="00DD0CD1">
        <w:t xml:space="preserve"> agree to</w:t>
      </w:r>
      <w:r w:rsidR="00C10CCF" w:rsidRPr="00A03F42">
        <w:t xml:space="preserve"> participate.</w:t>
      </w:r>
    </w:p>
    <w:p w:rsidR="005D5A57" w:rsidRDefault="005D5A57" w:rsidP="007720B7">
      <w:pPr>
        <w:rPr>
          <w:bCs/>
          <w:highlight w:val="yellow"/>
        </w:rPr>
      </w:pPr>
    </w:p>
    <w:p w:rsidR="007720B7" w:rsidRPr="000E1784" w:rsidRDefault="007720B7" w:rsidP="000E1784">
      <w:pPr>
        <w:pStyle w:val="Heading2"/>
      </w:pPr>
      <w:r w:rsidRPr="000E1784">
        <w:t>Certification Survey</w:t>
      </w:r>
    </w:p>
    <w:p w:rsidR="00FB662D" w:rsidRDefault="00860CBE" w:rsidP="007720B7">
      <w:r>
        <w:t xml:space="preserve">A subsample of </w:t>
      </w:r>
      <w:r w:rsidR="00AB0CED">
        <w:t xml:space="preserve">two </w:t>
      </w:r>
      <w:r w:rsidR="00550CB8">
        <w:t>SAs</w:t>
      </w:r>
      <w:r w:rsidR="00E26D62">
        <w:t xml:space="preserve"> (</w:t>
      </w:r>
      <w:r w:rsidR="00550CB8">
        <w:t xml:space="preserve">and </w:t>
      </w:r>
      <w:r w:rsidR="00C10CCF">
        <w:t>LAs</w:t>
      </w:r>
      <w:r>
        <w:t xml:space="preserve"> within these two States</w:t>
      </w:r>
      <w:r w:rsidR="00E26D62">
        <w:t>,</w:t>
      </w:r>
      <w:r w:rsidR="00C10CCF">
        <w:t xml:space="preserve"> </w:t>
      </w:r>
      <w:r w:rsidR="00550CB8">
        <w:t>if necessary</w:t>
      </w:r>
      <w:r w:rsidR="00E26D62">
        <w:t>)</w:t>
      </w:r>
      <w:r w:rsidR="00550CB8">
        <w:t xml:space="preserve"> </w:t>
      </w:r>
      <w:r w:rsidR="00C10CCF">
        <w:t>that participate in the pretest will be asked to provide the names of</w:t>
      </w:r>
      <w:r w:rsidR="00757484">
        <w:t xml:space="preserve"> </w:t>
      </w:r>
      <w:r w:rsidR="00A155C4">
        <w:t>50</w:t>
      </w:r>
      <w:r w:rsidR="00CD217F">
        <w:t xml:space="preserve"> </w:t>
      </w:r>
      <w:r w:rsidR="00C10CCF">
        <w:t xml:space="preserve">English-speaking participants and </w:t>
      </w:r>
      <w:r w:rsidR="00A155C4">
        <w:t xml:space="preserve">50 </w:t>
      </w:r>
      <w:r w:rsidR="00C10CCF">
        <w:t>Spanish-speaking participants</w:t>
      </w:r>
      <w:r w:rsidR="003D61D9">
        <w:t>,</w:t>
      </w:r>
      <w:r w:rsidR="00C10CCF">
        <w:t xml:space="preserve"> who </w:t>
      </w:r>
      <w:r w:rsidR="00E26D62">
        <w:t xml:space="preserve">were certified up to </w:t>
      </w:r>
      <w:r w:rsidR="00E70507">
        <w:t>4</w:t>
      </w:r>
      <w:r w:rsidR="00E26D62">
        <w:t xml:space="preserve"> weeks prior to the start of pretesting</w:t>
      </w:r>
      <w:r w:rsidR="003D61D9">
        <w:t>,</w:t>
      </w:r>
      <w:r w:rsidR="00E26D62">
        <w:t xml:space="preserve"> who may </w:t>
      </w:r>
      <w:r w:rsidR="00C10CCF">
        <w:t xml:space="preserve">be </w:t>
      </w:r>
      <w:r w:rsidR="00E26D62">
        <w:t>invited to participate in</w:t>
      </w:r>
      <w:r w:rsidR="00C10CCF">
        <w:t xml:space="preserve"> the pretest</w:t>
      </w:r>
      <w:proofErr w:type="gramStart"/>
      <w:r w:rsidR="00A155C4">
        <w:t xml:space="preserve">. </w:t>
      </w:r>
      <w:proofErr w:type="gramEnd"/>
      <w:r w:rsidR="00A155C4">
        <w:t xml:space="preserve">These </w:t>
      </w:r>
      <w:r w:rsidR="00757484">
        <w:t xml:space="preserve">State or local agencies </w:t>
      </w:r>
      <w:r w:rsidR="00A155C4">
        <w:t xml:space="preserve">will be selected </w:t>
      </w:r>
      <w:r w:rsidR="00757484">
        <w:t xml:space="preserve">such that in-person pretesting can occur in </w:t>
      </w:r>
      <w:r w:rsidR="00A155C4">
        <w:t xml:space="preserve">one or two geographic areas </w:t>
      </w:r>
      <w:r w:rsidR="00DC453C">
        <w:t>where trained interviewers are available</w:t>
      </w:r>
      <w:r w:rsidR="00801495">
        <w:t>,</w:t>
      </w:r>
      <w:r w:rsidR="00DC453C">
        <w:t xml:space="preserve"> to minimize travel costs</w:t>
      </w:r>
      <w:r w:rsidR="00757484">
        <w:t xml:space="preserve"> </w:t>
      </w:r>
      <w:r w:rsidR="00801495">
        <w:t xml:space="preserve">and </w:t>
      </w:r>
      <w:r w:rsidR="00A155C4">
        <w:t>to facilitate efficient data collection during the short pretesting period</w:t>
      </w:r>
      <w:proofErr w:type="gramStart"/>
      <w:r w:rsidR="00A155C4">
        <w:t xml:space="preserve">. </w:t>
      </w:r>
      <w:proofErr w:type="gramEnd"/>
      <w:r w:rsidR="00A155C4">
        <w:t xml:space="preserve">The selected participants will be </w:t>
      </w:r>
      <w:r w:rsidR="00E26D62">
        <w:t xml:space="preserve">invited to take part in the pretest </w:t>
      </w:r>
      <w:r w:rsidR="00A155C4">
        <w:t xml:space="preserve">until </w:t>
      </w:r>
      <w:r w:rsidR="00AB0CED">
        <w:t>nine</w:t>
      </w:r>
      <w:r w:rsidR="00A155C4">
        <w:t xml:space="preserve"> current participants have responded to the survey</w:t>
      </w:r>
      <w:r w:rsidR="00DA7C4C">
        <w:t xml:space="preserve"> </w:t>
      </w:r>
      <w:r w:rsidR="00AB0CED">
        <w:rPr>
          <w:bCs/>
        </w:rPr>
        <w:t>(e.g., with five interviews in English and four in Spanish</w:t>
      </w:r>
      <w:r w:rsidR="00DA7C4C">
        <w:t>)</w:t>
      </w:r>
      <w:proofErr w:type="gramStart"/>
      <w:r w:rsidR="00C10CCF">
        <w:t>.</w:t>
      </w:r>
      <w:r w:rsidR="00CD217F" w:rsidRPr="00CD217F">
        <w:t xml:space="preserve"> </w:t>
      </w:r>
      <w:proofErr w:type="gramEnd"/>
      <w:r w:rsidR="00CD217F" w:rsidRPr="00CD217F">
        <w:t xml:space="preserve">Both </w:t>
      </w:r>
      <w:r w:rsidR="00A155C4">
        <w:t>versions of the instrument</w:t>
      </w:r>
      <w:r w:rsidR="00E26D62">
        <w:t xml:space="preserve">—that </w:t>
      </w:r>
      <w:r w:rsidR="006E75F8">
        <w:t>is, the instrument</w:t>
      </w:r>
      <w:r w:rsidR="00E26D62">
        <w:t xml:space="preserve"> for use with adult WIC participants themselves, and the version for parents or legal guardians of infant or child WIC</w:t>
      </w:r>
      <w:r w:rsidR="00EC0F72">
        <w:t xml:space="preserve"> </w:t>
      </w:r>
      <w:r w:rsidR="00E26D62">
        <w:t>participants</w:t>
      </w:r>
      <w:r w:rsidR="006E75F8">
        <w:t>—</w:t>
      </w:r>
      <w:r w:rsidR="00CD217F" w:rsidRPr="00CD217F">
        <w:t xml:space="preserve">will be </w:t>
      </w:r>
      <w:r w:rsidR="00E26D62">
        <w:t>pre</w:t>
      </w:r>
      <w:r w:rsidR="00CD217F" w:rsidRPr="00CD217F">
        <w:t>tested</w:t>
      </w:r>
      <w:proofErr w:type="gramStart"/>
      <w:r w:rsidR="00CD217F" w:rsidRPr="00CD217F">
        <w:t xml:space="preserve">. </w:t>
      </w:r>
      <w:proofErr w:type="gramEnd"/>
      <w:r w:rsidR="00CD217F" w:rsidRPr="00CD217F">
        <w:t xml:space="preserve">Therefore, </w:t>
      </w:r>
      <w:r w:rsidR="0050767B">
        <w:t>each version of the survey (English Version A for adult WIC participants; Spanish Version A for adult WIC participants; English Version B for infant/child WIC participants; and Spanish Version B for infant/child WIC participants) wil</w:t>
      </w:r>
      <w:r w:rsidR="00E70507">
        <w:t>l</w:t>
      </w:r>
      <w:r w:rsidR="0050767B">
        <w:t xml:space="preserve"> be pretested with </w:t>
      </w:r>
      <w:r w:rsidR="00CD217F" w:rsidRPr="00CD217F">
        <w:t>two</w:t>
      </w:r>
      <w:r w:rsidR="0050767B">
        <w:t xml:space="preserve"> to three</w:t>
      </w:r>
      <w:r w:rsidR="00CD217F" w:rsidRPr="00CD217F">
        <w:t xml:space="preserve"> people</w:t>
      </w:r>
      <w:r w:rsidR="006B342E">
        <w:t>,</w:t>
      </w:r>
      <w:r w:rsidR="00CD217F" w:rsidRPr="00CD217F">
        <w:t xml:space="preserve"> </w:t>
      </w:r>
      <w:r w:rsidR="0050767B">
        <w:t xml:space="preserve">for a total of </w:t>
      </w:r>
      <w:r w:rsidR="00AB0CED">
        <w:t>nine</w:t>
      </w:r>
      <w:r w:rsidR="0050767B">
        <w:t xml:space="preserve"> pretest respondents</w:t>
      </w:r>
      <w:r w:rsidR="00CD217F" w:rsidRPr="00CD217F">
        <w:t>.</w:t>
      </w:r>
    </w:p>
    <w:p w:rsidR="00C10CCF" w:rsidRPr="000E1784" w:rsidRDefault="00C10CCF" w:rsidP="007720B7">
      <w:pPr>
        <w:rPr>
          <w:bCs/>
        </w:rPr>
      </w:pPr>
    </w:p>
    <w:p w:rsidR="007720B7" w:rsidRDefault="007720B7" w:rsidP="000E1784">
      <w:pPr>
        <w:pStyle w:val="Heading2"/>
      </w:pPr>
      <w:r w:rsidRPr="000E1784">
        <w:t>Denied Applicant Survey</w:t>
      </w:r>
    </w:p>
    <w:p w:rsidR="00A155C4" w:rsidRDefault="00860CBE" w:rsidP="00A155C4">
      <w:r>
        <w:t xml:space="preserve">A subsample </w:t>
      </w:r>
      <w:r w:rsidR="00757484">
        <w:t xml:space="preserve">of </w:t>
      </w:r>
      <w:r w:rsidR="00A155C4">
        <w:t>SAs</w:t>
      </w:r>
      <w:r w:rsidR="0050767B">
        <w:t xml:space="preserve"> (</w:t>
      </w:r>
      <w:r w:rsidR="00A155C4">
        <w:t>and LAs</w:t>
      </w:r>
      <w:r>
        <w:t xml:space="preserve"> within these SAs</w:t>
      </w:r>
      <w:r w:rsidR="0050767B">
        <w:t>,</w:t>
      </w:r>
      <w:r w:rsidR="00A155C4">
        <w:t xml:space="preserve"> if necessary</w:t>
      </w:r>
      <w:r w:rsidR="0050767B">
        <w:t>)</w:t>
      </w:r>
      <w:r w:rsidR="00A155C4">
        <w:t xml:space="preserve"> that participate in the pretest will be asked to provide the names of</w:t>
      </w:r>
      <w:r>
        <w:t xml:space="preserve"> </w:t>
      </w:r>
      <w:r w:rsidR="00A155C4">
        <w:t>50 English-speaking applicants</w:t>
      </w:r>
      <w:r>
        <w:t xml:space="preserve"> who were denied WIC </w:t>
      </w:r>
      <w:r w:rsidR="0060766F">
        <w:t xml:space="preserve">assistance and benefits </w:t>
      </w:r>
      <w:r w:rsidR="00941BD7">
        <w:t>no more than</w:t>
      </w:r>
      <w:r>
        <w:t xml:space="preserve"> </w:t>
      </w:r>
      <w:r w:rsidR="0038086A">
        <w:t>6</w:t>
      </w:r>
      <w:r>
        <w:t xml:space="preserve"> months prior to the onset of pretesting</w:t>
      </w:r>
      <w:r w:rsidR="0060766F">
        <w:t>,</w:t>
      </w:r>
      <w:r>
        <w:t xml:space="preserve"> </w:t>
      </w:r>
      <w:r w:rsidR="00A155C4">
        <w:t xml:space="preserve">and 50 Spanish-speaking </w:t>
      </w:r>
      <w:r w:rsidR="0038086A">
        <w:t>applicants</w:t>
      </w:r>
      <w:r w:rsidR="00A155C4">
        <w:t xml:space="preserve"> </w:t>
      </w:r>
      <w:r>
        <w:t xml:space="preserve">who were denied WIC </w:t>
      </w:r>
      <w:r w:rsidR="00AB0CED">
        <w:t xml:space="preserve">assistance and benefits </w:t>
      </w:r>
      <w:r w:rsidR="00941BD7">
        <w:t>no more than</w:t>
      </w:r>
      <w:r>
        <w:t xml:space="preserve"> </w:t>
      </w:r>
      <w:r w:rsidR="0038086A">
        <w:t>6</w:t>
      </w:r>
      <w:r>
        <w:t xml:space="preserve"> months prior to the onset of pretesting</w:t>
      </w:r>
      <w:r w:rsidR="0060766F">
        <w:t>,</w:t>
      </w:r>
      <w:r>
        <w:t xml:space="preserve"> </w:t>
      </w:r>
      <w:r w:rsidR="00A155C4">
        <w:t>who could be contacted for the pretest</w:t>
      </w:r>
      <w:proofErr w:type="gramStart"/>
      <w:r w:rsidR="00A155C4">
        <w:t xml:space="preserve">. </w:t>
      </w:r>
      <w:proofErr w:type="gramEnd"/>
      <w:r w:rsidR="00A155C4">
        <w:t xml:space="preserve">These </w:t>
      </w:r>
      <w:r w:rsidR="000F28CB">
        <w:t>SAs</w:t>
      </w:r>
      <w:r w:rsidR="00757484">
        <w:t xml:space="preserve"> or </w:t>
      </w:r>
      <w:r w:rsidR="000F28CB">
        <w:t>LAs</w:t>
      </w:r>
      <w:r w:rsidR="00A155C4">
        <w:t xml:space="preserve"> will be selected </w:t>
      </w:r>
      <w:r w:rsidR="00757484">
        <w:t>based on</w:t>
      </w:r>
      <w:r w:rsidR="00A155C4">
        <w:t xml:space="preserve"> geographic</w:t>
      </w:r>
      <w:r w:rsidR="00757484">
        <w:t xml:space="preserve"> proximity</w:t>
      </w:r>
      <w:r w:rsidR="00A155C4">
        <w:t xml:space="preserve"> to facilitate efficient data collection during the short </w:t>
      </w:r>
      <w:r w:rsidR="00A155C4">
        <w:lastRenderedPageBreak/>
        <w:t>pretesting period</w:t>
      </w:r>
      <w:proofErr w:type="gramStart"/>
      <w:r w:rsidR="00A155C4">
        <w:t xml:space="preserve">. </w:t>
      </w:r>
      <w:proofErr w:type="gramEnd"/>
      <w:r w:rsidR="00A155C4">
        <w:t xml:space="preserve">The selected participants will be contacted until </w:t>
      </w:r>
      <w:r w:rsidR="00AB0CED">
        <w:t>nine</w:t>
      </w:r>
      <w:r w:rsidR="00A155C4">
        <w:t xml:space="preserve"> </w:t>
      </w:r>
      <w:r w:rsidR="00AB0CED">
        <w:t>denied WIC applicants</w:t>
      </w:r>
      <w:r w:rsidR="00A155C4">
        <w:t xml:space="preserve"> have responded to the survey</w:t>
      </w:r>
      <w:proofErr w:type="gramStart"/>
      <w:r w:rsidR="00A155C4">
        <w:t>.</w:t>
      </w:r>
      <w:r w:rsidR="00A155C4" w:rsidRPr="00CD217F">
        <w:t xml:space="preserve"> </w:t>
      </w:r>
      <w:proofErr w:type="gramEnd"/>
      <w:r w:rsidR="00A155C4" w:rsidRPr="00CD217F">
        <w:t xml:space="preserve">The research team will pretest the instrument in English and Spanish with a total of nine respondents selected from a list of </w:t>
      </w:r>
      <w:r w:rsidR="009C2141">
        <w:t xml:space="preserve">denied </w:t>
      </w:r>
      <w:r w:rsidR="00A155C4" w:rsidRPr="00CD217F">
        <w:t xml:space="preserve">WIC </w:t>
      </w:r>
      <w:r w:rsidR="009C2141">
        <w:t>applicants</w:t>
      </w:r>
      <w:proofErr w:type="gramStart"/>
      <w:r w:rsidR="00A155C4" w:rsidRPr="00CD217F">
        <w:t xml:space="preserve">. </w:t>
      </w:r>
      <w:proofErr w:type="gramEnd"/>
      <w:r w:rsidR="00A155C4" w:rsidRPr="00CD217F">
        <w:t xml:space="preserve">Both the </w:t>
      </w:r>
      <w:r w:rsidR="00A155C4">
        <w:t xml:space="preserve">adult and child versions of the instrument </w:t>
      </w:r>
      <w:r w:rsidR="00A155C4" w:rsidRPr="00CD217F">
        <w:t xml:space="preserve">will be </w:t>
      </w:r>
      <w:r w:rsidR="00AB0CED">
        <w:t>pre</w:t>
      </w:r>
      <w:r w:rsidR="00A155C4" w:rsidRPr="00CD217F">
        <w:t>tested</w:t>
      </w:r>
      <w:proofErr w:type="gramStart"/>
      <w:r w:rsidR="00A155C4" w:rsidRPr="00CD217F">
        <w:t xml:space="preserve">. </w:t>
      </w:r>
      <w:proofErr w:type="gramEnd"/>
      <w:r w:rsidR="00A155C4" w:rsidRPr="00CD217F">
        <w:t xml:space="preserve">Therefore, </w:t>
      </w:r>
      <w:r w:rsidR="0050767B">
        <w:t>each version of the survey (English Version A for adult WIC applicants; Spanish Version A for adult WIC applicants; English Version B for infant/child WIC applicants; and Spanish Version B for infant/child WIC applicants) wil</w:t>
      </w:r>
      <w:r w:rsidR="00AB0CED">
        <w:t>l</w:t>
      </w:r>
      <w:r w:rsidR="0050767B">
        <w:t xml:space="preserve"> be pretested with </w:t>
      </w:r>
      <w:r w:rsidR="0050767B" w:rsidRPr="00CD217F">
        <w:t>two</w:t>
      </w:r>
      <w:r w:rsidR="0050767B">
        <w:t xml:space="preserve"> to three</w:t>
      </w:r>
      <w:r w:rsidR="0050767B" w:rsidRPr="00CD217F">
        <w:t xml:space="preserve"> people</w:t>
      </w:r>
      <w:r w:rsidR="00BD7818">
        <w:t>,</w:t>
      </w:r>
      <w:r w:rsidR="0050767B" w:rsidRPr="00CD217F">
        <w:t xml:space="preserve"> </w:t>
      </w:r>
      <w:r w:rsidR="0050767B">
        <w:t xml:space="preserve">for a total of </w:t>
      </w:r>
      <w:r w:rsidR="00AB0CED">
        <w:t>nine</w:t>
      </w:r>
      <w:r w:rsidR="0050767B">
        <w:t xml:space="preserve"> pretest respondents</w:t>
      </w:r>
      <w:r w:rsidR="00A155C4" w:rsidRPr="00CD217F">
        <w:t>.</w:t>
      </w:r>
    </w:p>
    <w:p w:rsidR="007720B7" w:rsidRPr="007C5A72" w:rsidRDefault="007720B7" w:rsidP="007720B7">
      <w:pPr>
        <w:rPr>
          <w:bCs/>
          <w:highlight w:val="yellow"/>
        </w:rPr>
      </w:pPr>
    </w:p>
    <w:p w:rsidR="007720B7" w:rsidRPr="004B1F37" w:rsidRDefault="004B1F37" w:rsidP="000E1784">
      <w:pPr>
        <w:pStyle w:val="Heading2"/>
      </w:pPr>
      <w:r w:rsidRPr="004B1F37">
        <w:t>Program Experiences Survey</w:t>
      </w:r>
    </w:p>
    <w:p w:rsidR="00AB0CED" w:rsidRDefault="0032735E" w:rsidP="00AB0CED">
      <w:r>
        <w:t xml:space="preserve">A subsample of the </w:t>
      </w:r>
      <w:r w:rsidR="00A155C4">
        <w:t>SAs</w:t>
      </w:r>
      <w:r w:rsidR="00B53A3A">
        <w:t xml:space="preserve"> (and LAs within these SAs, if necessary)</w:t>
      </w:r>
      <w:r w:rsidR="00A155C4">
        <w:t xml:space="preserve"> that participate in the pretest will be asked to provide the names of </w:t>
      </w:r>
      <w:r w:rsidR="00F662F6">
        <w:t xml:space="preserve">a total of </w:t>
      </w:r>
      <w:r w:rsidR="00A155C4">
        <w:t>50 English-speaking participants and 50 Spanish-speaking participants who could be contacted for the pretest</w:t>
      </w:r>
      <w:proofErr w:type="gramStart"/>
      <w:r w:rsidR="00A155C4">
        <w:t xml:space="preserve">. </w:t>
      </w:r>
      <w:proofErr w:type="gramEnd"/>
      <w:r w:rsidR="00A155C4">
        <w:t>The research team will pretest the instrument</w:t>
      </w:r>
      <w:r w:rsidR="00A155C4" w:rsidRPr="001D69FF">
        <w:t xml:space="preserve"> with a total of </w:t>
      </w:r>
      <w:r w:rsidR="00AB0CED">
        <w:t>nine</w:t>
      </w:r>
      <w:r w:rsidR="00A155C4">
        <w:t xml:space="preserve"> </w:t>
      </w:r>
      <w:r w:rsidR="00A155C4" w:rsidRPr="001D69FF">
        <w:t>respondents selected from</w:t>
      </w:r>
      <w:r w:rsidR="00A155C4">
        <w:t xml:space="preserve"> a list of WIC participants</w:t>
      </w:r>
      <w:r w:rsidR="00DA7C4C">
        <w:t xml:space="preserve"> </w:t>
      </w:r>
      <w:r w:rsidR="00AB0CED">
        <w:rPr>
          <w:bCs/>
        </w:rPr>
        <w:t>(e.g., with five interviews in English and four in Spanish)</w:t>
      </w:r>
      <w:proofErr w:type="gramStart"/>
      <w:r w:rsidR="00AB0CED" w:rsidRPr="00076340">
        <w:rPr>
          <w:bCs/>
        </w:rPr>
        <w:t>.</w:t>
      </w:r>
      <w:r w:rsidR="00852FDF">
        <w:rPr>
          <w:bCs/>
        </w:rPr>
        <w:t xml:space="preserve"> </w:t>
      </w:r>
      <w:proofErr w:type="gramEnd"/>
      <w:r w:rsidR="00AB0CED" w:rsidRPr="00CD217F">
        <w:t xml:space="preserve">Both the </w:t>
      </w:r>
      <w:r w:rsidR="00AB0CED">
        <w:t xml:space="preserve">adult and child versions of the instrument </w:t>
      </w:r>
      <w:r w:rsidR="00AB0CED" w:rsidRPr="00CD217F">
        <w:t xml:space="preserve">will be </w:t>
      </w:r>
      <w:r w:rsidR="00AB0CED">
        <w:t>pre</w:t>
      </w:r>
      <w:r w:rsidR="00AB0CED" w:rsidRPr="00CD217F">
        <w:t>tested</w:t>
      </w:r>
      <w:proofErr w:type="gramStart"/>
      <w:r w:rsidR="00AB0CED" w:rsidRPr="00CD217F">
        <w:t xml:space="preserve">. </w:t>
      </w:r>
      <w:proofErr w:type="gramEnd"/>
      <w:r w:rsidR="00AB0CED" w:rsidRPr="00CD217F">
        <w:t xml:space="preserve">Therefore, </w:t>
      </w:r>
      <w:r w:rsidR="00AB0CED">
        <w:t xml:space="preserve">each version of the survey (English Version A for adult WIC participants; Spanish Version A for adult WIC participants; English Version B for infant/child WIC participants; and Spanish Version B for infant/child WIC participants) will be pretested with </w:t>
      </w:r>
      <w:r w:rsidR="00AB0CED" w:rsidRPr="00CD217F">
        <w:t>two</w:t>
      </w:r>
      <w:r w:rsidR="00AB0CED">
        <w:t xml:space="preserve"> to three</w:t>
      </w:r>
      <w:r w:rsidR="00AB0CED" w:rsidRPr="00CD217F">
        <w:t xml:space="preserve"> people</w:t>
      </w:r>
      <w:r w:rsidR="00083066">
        <w:t>,</w:t>
      </w:r>
      <w:r w:rsidR="00AB0CED" w:rsidRPr="00CD217F">
        <w:t xml:space="preserve"> </w:t>
      </w:r>
      <w:r w:rsidR="00AB0CED">
        <w:t>for a total of nine pretest respondents</w:t>
      </w:r>
      <w:r w:rsidR="00AB0CED" w:rsidRPr="00CD217F">
        <w:t>.</w:t>
      </w:r>
    </w:p>
    <w:p w:rsidR="00A155C4" w:rsidRPr="004B1F37" w:rsidRDefault="00AB0CED" w:rsidP="00AB0CED">
      <w:pPr>
        <w:rPr>
          <w:bCs/>
        </w:rPr>
      </w:pPr>
      <w:r w:rsidDel="00AB0CED">
        <w:t xml:space="preserve"> </w:t>
      </w:r>
    </w:p>
    <w:p w:rsidR="007720B7" w:rsidRPr="004B1F37" w:rsidRDefault="007720B7" w:rsidP="000E1784">
      <w:pPr>
        <w:pStyle w:val="Heading2"/>
      </w:pPr>
      <w:r w:rsidRPr="004B1F37">
        <w:t>Former WIC Participant Case Study</w:t>
      </w:r>
    </w:p>
    <w:p w:rsidR="00632FAC" w:rsidRDefault="004B40C1" w:rsidP="00C10CCF">
      <w:r>
        <w:t>A subsample of the SAs (and LAs within these SAs, if necessary)</w:t>
      </w:r>
      <w:r w:rsidR="00F76725">
        <w:t xml:space="preserve"> that participate in the pretest will be asked to provide the names of</w:t>
      </w:r>
      <w:r w:rsidR="00852FDF">
        <w:t xml:space="preserve"> </w:t>
      </w:r>
      <w:r w:rsidR="00F76725">
        <w:t>50 English-speaking former participants and 50 Spanish-speaking former participants who could be contacted for the pretest</w:t>
      </w:r>
      <w:proofErr w:type="gramStart"/>
      <w:r w:rsidR="00F76725">
        <w:t>.</w:t>
      </w:r>
      <w:r w:rsidR="002D058E">
        <w:t xml:space="preserve"> </w:t>
      </w:r>
      <w:proofErr w:type="gramEnd"/>
      <w:r w:rsidR="0077255F">
        <w:t>Depending on the capabilities of the S</w:t>
      </w:r>
      <w:r w:rsidR="006B342E">
        <w:t>A’s</w:t>
      </w:r>
      <w:r w:rsidR="0077255F">
        <w:t xml:space="preserve"> management information system (MIS), t</w:t>
      </w:r>
      <w:r w:rsidR="00632FAC">
        <w:t>he Study Plan refers to two methods that would be used for selecting sample</w:t>
      </w:r>
      <w:r w:rsidR="00794379">
        <w:t>s</w:t>
      </w:r>
      <w:r w:rsidR="00376B2F">
        <w:t xml:space="preserve"> of former participants</w:t>
      </w:r>
      <w:proofErr w:type="gramStart"/>
      <w:r w:rsidR="0077255F">
        <w:t>.</w:t>
      </w:r>
      <w:r w:rsidR="00632FAC">
        <w:t xml:space="preserve"> </w:t>
      </w:r>
      <w:proofErr w:type="gramEnd"/>
      <w:r w:rsidR="00F65381">
        <w:t xml:space="preserve">The preferred method for </w:t>
      </w:r>
      <w:r w:rsidR="00632FAC">
        <w:t>the pretest</w:t>
      </w:r>
      <w:r w:rsidR="00F65381">
        <w:t xml:space="preserve"> is to </w:t>
      </w:r>
      <w:r w:rsidR="00632FAC">
        <w:t>select those States where t</w:t>
      </w:r>
      <w:r w:rsidR="00632FAC" w:rsidRPr="005603F8">
        <w:t xml:space="preserve">he </w:t>
      </w:r>
      <w:r w:rsidR="0038086A">
        <w:t>MIS</w:t>
      </w:r>
      <w:r w:rsidR="00632FAC" w:rsidRPr="005603F8">
        <w:t xml:space="preserve"> </w:t>
      </w:r>
      <w:r w:rsidR="00632FAC">
        <w:t xml:space="preserve">is capable of </w:t>
      </w:r>
      <w:r w:rsidR="00632FAC" w:rsidRPr="005603F8">
        <w:t>identify</w:t>
      </w:r>
      <w:r w:rsidR="00632FAC">
        <w:t>ing</w:t>
      </w:r>
      <w:r w:rsidR="00632FAC" w:rsidRPr="005603F8">
        <w:t xml:space="preserve"> former participants who </w:t>
      </w:r>
      <w:r w:rsidR="00632FAC">
        <w:t>stopped redeeming</w:t>
      </w:r>
      <w:r w:rsidR="00632FAC" w:rsidRPr="005603F8">
        <w:t xml:space="preserve"> </w:t>
      </w:r>
      <w:r w:rsidR="00632FAC">
        <w:t xml:space="preserve">benefits </w:t>
      </w:r>
      <w:r w:rsidR="00632FAC" w:rsidRPr="005603F8">
        <w:t>before the end of their certification period as target</w:t>
      </w:r>
      <w:r w:rsidR="00852FDF">
        <w:t xml:space="preserve"> participant</w:t>
      </w:r>
      <w:r w:rsidR="00632FAC" w:rsidRPr="005603F8">
        <w:t>s for the survey.</w:t>
      </w:r>
    </w:p>
    <w:p w:rsidR="00632FAC" w:rsidRDefault="00632FAC" w:rsidP="00C10CCF"/>
    <w:p w:rsidR="002474B4" w:rsidRPr="004B1F37" w:rsidRDefault="00F76725" w:rsidP="00C10CCF">
      <w:pPr>
        <w:rPr>
          <w:bCs/>
        </w:rPr>
      </w:pPr>
      <w:r>
        <w:t>The research team will pretest the instrument</w:t>
      </w:r>
      <w:r w:rsidRPr="001D69FF">
        <w:t xml:space="preserve"> in English and Spanish with a total of </w:t>
      </w:r>
      <w:r w:rsidR="00852FDF">
        <w:t>nine</w:t>
      </w:r>
      <w:r>
        <w:t xml:space="preserve"> </w:t>
      </w:r>
      <w:r w:rsidRPr="001D69FF">
        <w:t>respondents selected from</w:t>
      </w:r>
      <w:r>
        <w:t xml:space="preserve"> a list of </w:t>
      </w:r>
      <w:r w:rsidR="009C2141">
        <w:t xml:space="preserve">former </w:t>
      </w:r>
      <w:r>
        <w:t>WIC participants</w:t>
      </w:r>
      <w:proofErr w:type="gramStart"/>
      <w:r>
        <w:t xml:space="preserve">. </w:t>
      </w:r>
      <w:proofErr w:type="gramEnd"/>
      <w:r>
        <w:t>Both the English and Spanish versions will be tested</w:t>
      </w:r>
      <w:r w:rsidR="002D058E">
        <w:t xml:space="preserve"> </w:t>
      </w:r>
      <w:r w:rsidR="00852FDF">
        <w:rPr>
          <w:bCs/>
        </w:rPr>
        <w:t>(e.g., with five interviews in English and four in Spanish)</w:t>
      </w:r>
      <w:r w:rsidR="00852FDF" w:rsidRPr="00076340">
        <w:rPr>
          <w:bCs/>
        </w:rPr>
        <w:t>.</w:t>
      </w:r>
      <w:r w:rsidR="00852FDF" w:rsidDel="00852FDF">
        <w:t xml:space="preserve"> </w:t>
      </w:r>
    </w:p>
    <w:p w:rsidR="005E15FF" w:rsidRPr="006D3CB5" w:rsidRDefault="005E15FF" w:rsidP="006D3CB5">
      <w:pPr>
        <w:pStyle w:val="Heading1"/>
        <w:rPr>
          <w:rFonts w:ascii="Times New Roman" w:hAnsi="Times New Roman" w:cs="Times New Roman"/>
          <w:color w:val="auto"/>
          <w:sz w:val="24"/>
          <w:szCs w:val="24"/>
          <w:u w:val="single"/>
        </w:rPr>
      </w:pPr>
      <w:r w:rsidRPr="006D3CB5">
        <w:rPr>
          <w:rFonts w:ascii="Times New Roman" w:hAnsi="Times New Roman" w:cs="Times New Roman"/>
          <w:color w:val="auto"/>
          <w:sz w:val="24"/>
          <w:szCs w:val="24"/>
          <w:u w:val="single"/>
        </w:rPr>
        <w:t>Recruitment and Consent</w:t>
      </w:r>
    </w:p>
    <w:p w:rsidR="00F76725" w:rsidRDefault="00852FDF" w:rsidP="00F76725">
      <w:r>
        <w:rPr>
          <w:sz w:val="22"/>
          <w:szCs w:val="22"/>
        </w:rPr>
        <w:br/>
      </w:r>
      <w:r w:rsidR="00F76725" w:rsidRPr="000A697B">
        <w:t>Using the sampling plan detailed above, recruitment will follow the procedure(s)</w:t>
      </w:r>
      <w:r w:rsidR="003606F4">
        <w:t xml:space="preserve"> described below</w:t>
      </w:r>
      <w:r w:rsidR="00F76725" w:rsidRPr="000A697B">
        <w:t>:</w:t>
      </w:r>
      <w:r w:rsidR="00F76725">
        <w:br/>
      </w:r>
    </w:p>
    <w:p w:rsidR="00E83AAB" w:rsidRDefault="006A1B12" w:rsidP="00F76725">
      <w:pPr>
        <w:pStyle w:val="Heading2"/>
      </w:pPr>
      <w:r>
        <w:t>Collection of</w:t>
      </w:r>
      <w:r w:rsidR="00E83AAB">
        <w:t xml:space="preserve"> </w:t>
      </w:r>
      <w:r>
        <w:t xml:space="preserve">WIC </w:t>
      </w:r>
      <w:r w:rsidR="00E83AAB">
        <w:t>Participant and Denied Applicant Information</w:t>
      </w:r>
    </w:p>
    <w:p w:rsidR="00E83AAB" w:rsidRDefault="00E83AAB" w:rsidP="00E83AAB">
      <w:r>
        <w:t>The research team and FNS will work collaboratively to obtain necessary information on current and former WIC participant</w:t>
      </w:r>
      <w:r w:rsidR="006A1B12">
        <w:t>s</w:t>
      </w:r>
      <w:r>
        <w:t>, and denied applicant</w:t>
      </w:r>
      <w:r w:rsidR="006A1B12">
        <w:t>s</w:t>
      </w:r>
      <w:proofErr w:type="gramStart"/>
      <w:r>
        <w:t xml:space="preserve">. </w:t>
      </w:r>
      <w:proofErr w:type="gramEnd"/>
      <w:r>
        <w:t xml:space="preserve">The research team will identify up to three </w:t>
      </w:r>
      <w:r w:rsidR="006A1B12">
        <w:t xml:space="preserve">potential </w:t>
      </w:r>
      <w:r>
        <w:t>LAs</w:t>
      </w:r>
      <w:r w:rsidR="006A1B12">
        <w:t xml:space="preserve"> within two S</w:t>
      </w:r>
      <w:r>
        <w:t>tates to pr</w:t>
      </w:r>
      <w:r w:rsidR="006A1B12">
        <w:t>ovide this information</w:t>
      </w:r>
      <w:proofErr w:type="gramStart"/>
      <w:r w:rsidR="006A1B12">
        <w:t xml:space="preserve">. </w:t>
      </w:r>
      <w:proofErr w:type="gramEnd"/>
      <w:r w:rsidR="006A1B12">
        <w:t>T</w:t>
      </w:r>
      <w:r>
        <w:t>he Regional Offices will notify the SA directors</w:t>
      </w:r>
      <w:r w:rsidR="006A1B12">
        <w:t xml:space="preserve"> in both States</w:t>
      </w:r>
      <w:r>
        <w:t xml:space="preserve"> that the research team is interested in obtaining this data from three preferred LAs in their jurisdiction</w:t>
      </w:r>
      <w:proofErr w:type="gramStart"/>
      <w:r>
        <w:t xml:space="preserve">. </w:t>
      </w:r>
      <w:proofErr w:type="gramEnd"/>
      <w:r>
        <w:t xml:space="preserve">The </w:t>
      </w:r>
      <w:r w:rsidR="006A1B12">
        <w:t xml:space="preserve">research team will request that the SA </w:t>
      </w:r>
      <w:r>
        <w:t>identify the most suitable candidate from the list provided</w:t>
      </w:r>
      <w:proofErr w:type="gramStart"/>
      <w:r>
        <w:t xml:space="preserve">. </w:t>
      </w:r>
      <w:proofErr w:type="gramEnd"/>
      <w:r w:rsidR="006A1B12">
        <w:t>Following an emailed notification of selection from the SA to the LA, the research team will contact</w:t>
      </w:r>
      <w:r>
        <w:t xml:space="preserve"> the selected LA and request the participant and </w:t>
      </w:r>
      <w:r>
        <w:lastRenderedPageBreak/>
        <w:t xml:space="preserve">denied applicant information needed for the </w:t>
      </w:r>
      <w:r w:rsidR="00BE0DE4">
        <w:t xml:space="preserve">pretest of the </w:t>
      </w:r>
      <w:r>
        <w:t>Certification Survey, Denied Applicant Survey, Program Experiences Surve</w:t>
      </w:r>
      <w:r w:rsidR="006A1B12">
        <w:t>y, and Former Participant Case Study</w:t>
      </w:r>
      <w:proofErr w:type="gramStart"/>
      <w:r>
        <w:t>.</w:t>
      </w:r>
      <w:r w:rsidR="00BE0DE4">
        <w:t xml:space="preserve"> </w:t>
      </w:r>
      <w:proofErr w:type="gramEnd"/>
      <w:r w:rsidR="00BE0DE4">
        <w:t>The research team</w:t>
      </w:r>
      <w:r w:rsidR="00BE0DE4" w:rsidRPr="00BE0DE4">
        <w:t xml:space="preserve"> will only contact the other two LAs if the first is unable to provide the number of participants needed for the pretest</w:t>
      </w:r>
      <w:proofErr w:type="gramStart"/>
      <w:r w:rsidR="00BE0DE4" w:rsidRPr="00BE0DE4">
        <w:t>.</w:t>
      </w:r>
      <w:r w:rsidR="006A1B12">
        <w:t xml:space="preserve"> </w:t>
      </w:r>
      <w:proofErr w:type="gramEnd"/>
      <w:r w:rsidR="006A1B12">
        <w:t>The research</w:t>
      </w:r>
      <w:r w:rsidR="005477EC">
        <w:t xml:space="preserve"> team</w:t>
      </w:r>
      <w:r w:rsidR="006A1B12">
        <w:t xml:space="preserve"> will use the information obtained to recruit respondents for each of the surveys and to complete</w:t>
      </w:r>
      <w:r w:rsidR="006A1B12" w:rsidRPr="006A1B12">
        <w:t xml:space="preserve"> the </w:t>
      </w:r>
      <w:r w:rsidR="00BE0DE4">
        <w:t xml:space="preserve">pretest of the </w:t>
      </w:r>
      <w:r w:rsidR="006A1B12" w:rsidRPr="006A1B12">
        <w:t>Certification Sur</w:t>
      </w:r>
      <w:r w:rsidR="006A1B12">
        <w:t>vey and Denied Applicant Survey.</w:t>
      </w:r>
    </w:p>
    <w:p w:rsidR="00E83AAB" w:rsidRPr="00E83AAB" w:rsidRDefault="00E83AAB" w:rsidP="00E83AAB"/>
    <w:p w:rsidR="00F76725" w:rsidRDefault="00F76725" w:rsidP="006A1B12">
      <w:pPr>
        <w:pStyle w:val="Heading2"/>
      </w:pPr>
      <w:r w:rsidRPr="005D5A57">
        <w:t>State Agency Survey</w:t>
      </w:r>
    </w:p>
    <w:p w:rsidR="00F76725" w:rsidRDefault="00F76725" w:rsidP="00F76725">
      <w:pPr>
        <w:rPr>
          <w:bCs/>
        </w:rPr>
      </w:pPr>
      <w:r w:rsidRPr="008844B7">
        <w:rPr>
          <w:bCs/>
        </w:rPr>
        <w:t xml:space="preserve">FNS will aid the research team in contacting the </w:t>
      </w:r>
      <w:r w:rsidR="00852FDF">
        <w:rPr>
          <w:bCs/>
        </w:rPr>
        <w:t>R</w:t>
      </w:r>
      <w:r w:rsidRPr="008844B7">
        <w:rPr>
          <w:bCs/>
        </w:rPr>
        <w:t xml:space="preserve">egional </w:t>
      </w:r>
      <w:r w:rsidR="00852FDF">
        <w:rPr>
          <w:bCs/>
        </w:rPr>
        <w:t>O</w:t>
      </w:r>
      <w:r w:rsidRPr="008844B7">
        <w:rPr>
          <w:bCs/>
        </w:rPr>
        <w:t>ffices of three selected regions</w:t>
      </w:r>
      <w:proofErr w:type="gramStart"/>
      <w:r w:rsidRPr="008844B7">
        <w:rPr>
          <w:bCs/>
        </w:rPr>
        <w:t xml:space="preserve">. </w:t>
      </w:r>
      <w:proofErr w:type="gramEnd"/>
      <w:r w:rsidRPr="008844B7">
        <w:rPr>
          <w:bCs/>
        </w:rPr>
        <w:t xml:space="preserve">Each </w:t>
      </w:r>
      <w:r w:rsidR="00852FDF">
        <w:rPr>
          <w:bCs/>
        </w:rPr>
        <w:t>R</w:t>
      </w:r>
      <w:r w:rsidRPr="008844B7">
        <w:rPr>
          <w:bCs/>
        </w:rPr>
        <w:t xml:space="preserve">egional </w:t>
      </w:r>
      <w:r w:rsidR="00852FDF">
        <w:rPr>
          <w:bCs/>
        </w:rPr>
        <w:t>O</w:t>
      </w:r>
      <w:r w:rsidRPr="008844B7">
        <w:rPr>
          <w:bCs/>
        </w:rPr>
        <w:t xml:space="preserve">ffice will be provided a list of </w:t>
      </w:r>
      <w:r w:rsidR="00852FDF">
        <w:rPr>
          <w:bCs/>
        </w:rPr>
        <w:t>three</w:t>
      </w:r>
      <w:r w:rsidRPr="008844B7">
        <w:rPr>
          <w:bCs/>
        </w:rPr>
        <w:t xml:space="preserve"> </w:t>
      </w:r>
      <w:r w:rsidR="00852FDF">
        <w:rPr>
          <w:bCs/>
        </w:rPr>
        <w:t>S</w:t>
      </w:r>
      <w:r w:rsidR="00DD0CD1">
        <w:rPr>
          <w:bCs/>
        </w:rPr>
        <w:t>As</w:t>
      </w:r>
      <w:r w:rsidRPr="008844B7">
        <w:rPr>
          <w:bCs/>
        </w:rPr>
        <w:t xml:space="preserve"> select</w:t>
      </w:r>
      <w:r>
        <w:rPr>
          <w:bCs/>
        </w:rPr>
        <w:t>ed</w:t>
      </w:r>
      <w:r w:rsidRPr="008844B7">
        <w:rPr>
          <w:bCs/>
        </w:rPr>
        <w:t xml:space="preserve"> for participat</w:t>
      </w:r>
      <w:r w:rsidR="00632FAC">
        <w:rPr>
          <w:bCs/>
        </w:rPr>
        <w:t xml:space="preserve">ion in the State Agency </w:t>
      </w:r>
      <w:r w:rsidR="00852FDF">
        <w:rPr>
          <w:bCs/>
        </w:rPr>
        <w:t xml:space="preserve">Survey </w:t>
      </w:r>
      <w:r w:rsidR="00632FAC">
        <w:rPr>
          <w:bCs/>
        </w:rPr>
        <w:t>pretest</w:t>
      </w:r>
      <w:proofErr w:type="gramStart"/>
      <w:r w:rsidR="00852FDF">
        <w:rPr>
          <w:bCs/>
        </w:rPr>
        <w:t xml:space="preserve">. </w:t>
      </w:r>
      <w:proofErr w:type="gramEnd"/>
      <w:r w:rsidR="00852FDF">
        <w:rPr>
          <w:bCs/>
        </w:rPr>
        <w:t xml:space="preserve">The research team will identify a </w:t>
      </w:r>
      <w:r w:rsidR="00632FAC">
        <w:rPr>
          <w:bCs/>
        </w:rPr>
        <w:t xml:space="preserve">fourth </w:t>
      </w:r>
      <w:r w:rsidR="006B342E">
        <w:rPr>
          <w:bCs/>
        </w:rPr>
        <w:t>SA</w:t>
      </w:r>
      <w:r w:rsidR="00632FAC">
        <w:rPr>
          <w:bCs/>
        </w:rPr>
        <w:t xml:space="preserve"> as a back-up</w:t>
      </w:r>
      <w:r w:rsidR="00F113F7">
        <w:rPr>
          <w:bCs/>
        </w:rPr>
        <w:t xml:space="preserve"> if </w:t>
      </w:r>
      <w:r w:rsidR="009C2141">
        <w:rPr>
          <w:bCs/>
        </w:rPr>
        <w:t>it is</w:t>
      </w:r>
      <w:r w:rsidR="00F113F7">
        <w:rPr>
          <w:bCs/>
        </w:rPr>
        <w:t xml:space="preserve"> having difficulty gaining participation from an SA during the data collection period</w:t>
      </w:r>
      <w:r w:rsidR="00632FAC">
        <w:rPr>
          <w:bCs/>
        </w:rPr>
        <w:t xml:space="preserve">. </w:t>
      </w:r>
    </w:p>
    <w:p w:rsidR="00F76725" w:rsidRDefault="00F76725" w:rsidP="00F76725"/>
    <w:p w:rsidR="00F76725" w:rsidRDefault="00F76725" w:rsidP="00F76725">
      <w:r>
        <w:t>T</w:t>
      </w:r>
      <w:r w:rsidRPr="00F73045">
        <w:t xml:space="preserve">he research team will use current contact information </w:t>
      </w:r>
      <w:r>
        <w:t xml:space="preserve">to send an email invitation letter to </w:t>
      </w:r>
      <w:r w:rsidR="009C2141">
        <w:t xml:space="preserve">the </w:t>
      </w:r>
      <w:r w:rsidR="00852FDF">
        <w:t>nine</w:t>
      </w:r>
      <w:r>
        <w:t xml:space="preserve"> State WIC Agency Directors to request their participation in the study and remind them of their obligation to participate in these types of studies</w:t>
      </w:r>
      <w:proofErr w:type="gramStart"/>
      <w:r>
        <w:t xml:space="preserve">. </w:t>
      </w:r>
      <w:proofErr w:type="gramEnd"/>
      <w:r w:rsidR="008B18E8">
        <w:t xml:space="preserve">The research team will mail a hard copy of the invitation letter and two hard copies of the questionnaire (one to keep and one to return) to the selected State </w:t>
      </w:r>
      <w:r w:rsidR="00852FDF">
        <w:t>WIC A</w:t>
      </w:r>
      <w:r w:rsidR="008B18E8">
        <w:t xml:space="preserve">gency </w:t>
      </w:r>
      <w:r w:rsidR="00852FDF">
        <w:t>D</w:t>
      </w:r>
      <w:r w:rsidR="008B18E8">
        <w:t>irectors</w:t>
      </w:r>
      <w:proofErr w:type="gramStart"/>
      <w:r w:rsidR="008B18E8">
        <w:t xml:space="preserve">. </w:t>
      </w:r>
      <w:proofErr w:type="gramEnd"/>
      <w:r w:rsidR="008B18E8">
        <w:t xml:space="preserve">The research team will follow up with a phone call </w:t>
      </w:r>
      <w:r w:rsidR="003606F4">
        <w:t>2</w:t>
      </w:r>
      <w:r w:rsidR="008B18E8">
        <w:t xml:space="preserve"> days after the package should have been received</w:t>
      </w:r>
      <w:proofErr w:type="gramStart"/>
      <w:r w:rsidR="008B18E8">
        <w:t xml:space="preserve">. </w:t>
      </w:r>
      <w:proofErr w:type="gramEnd"/>
      <w:r w:rsidR="008B18E8">
        <w:t>The purpose of the call will be to answer any questions, confirm the point of contact, and emphasize the timing of the pretest.</w:t>
      </w:r>
    </w:p>
    <w:p w:rsidR="008B18E8" w:rsidRDefault="008B18E8" w:rsidP="00F76725"/>
    <w:p w:rsidR="008B18E8" w:rsidRDefault="008B18E8" w:rsidP="00F76725">
      <w:r>
        <w:t xml:space="preserve">Reminder emails will be sent each week of the pretest </w:t>
      </w:r>
      <w:proofErr w:type="gramStart"/>
      <w:r>
        <w:t>period</w:t>
      </w:r>
      <w:r w:rsidR="003606F4">
        <w:t>,</w:t>
      </w:r>
      <w:proofErr w:type="gramEnd"/>
      <w:r>
        <w:t xml:space="preserve"> and </w:t>
      </w:r>
      <w:r w:rsidR="00A871B0">
        <w:t xml:space="preserve">up to </w:t>
      </w:r>
      <w:r>
        <w:t xml:space="preserve">two reminder </w:t>
      </w:r>
      <w:r w:rsidR="00EA7478">
        <w:t>tele</w:t>
      </w:r>
      <w:r>
        <w:t xml:space="preserve">phone calls </w:t>
      </w:r>
      <w:r w:rsidR="00D47433">
        <w:t>will be made,</w:t>
      </w:r>
      <w:r>
        <w:t xml:space="preserve"> until a S</w:t>
      </w:r>
      <w:r w:rsidR="006B3709">
        <w:t>A</w:t>
      </w:r>
      <w:r>
        <w:t xml:space="preserve"> completes its survey.  </w:t>
      </w:r>
    </w:p>
    <w:p w:rsidR="00F76725" w:rsidRPr="000A697B" w:rsidRDefault="00F76725" w:rsidP="00F76725"/>
    <w:p w:rsidR="00F76725" w:rsidRDefault="00F76725" w:rsidP="00F76725">
      <w:pPr>
        <w:pStyle w:val="Heading2"/>
        <w:rPr>
          <w:highlight w:val="yellow"/>
        </w:rPr>
      </w:pPr>
      <w:r w:rsidRPr="005D5A57">
        <w:t>Local Agency Survey</w:t>
      </w:r>
      <w:r w:rsidRPr="005D5A57">
        <w:rPr>
          <w:highlight w:val="yellow"/>
        </w:rPr>
        <w:t xml:space="preserve"> </w:t>
      </w:r>
    </w:p>
    <w:p w:rsidR="00852FDF" w:rsidRDefault="00F76725" w:rsidP="00F76725">
      <w:r>
        <w:t xml:space="preserve">The research team will email an invitation letter to selected Local WIC Agency Directors in the sample to request their participation in the study and remind them of their obligation to participate in these types of studies. </w:t>
      </w:r>
    </w:p>
    <w:p w:rsidR="00852FDF" w:rsidRDefault="00852FDF" w:rsidP="00F76725"/>
    <w:p w:rsidR="00A871B0" w:rsidRDefault="00A871B0" w:rsidP="00F76725">
      <w:r>
        <w:t xml:space="preserve">The research team will mail a hard copy of the invitation letter and two hard copies of the questionnaire (one to keep and one to return) to </w:t>
      </w:r>
      <w:r w:rsidR="009C2141">
        <w:t xml:space="preserve">the </w:t>
      </w:r>
      <w:r>
        <w:t xml:space="preserve">selected </w:t>
      </w:r>
      <w:r w:rsidR="009D0DF9">
        <w:t>LA d</w:t>
      </w:r>
      <w:r>
        <w:t>irectors</w:t>
      </w:r>
      <w:proofErr w:type="gramStart"/>
      <w:r>
        <w:t xml:space="preserve">. </w:t>
      </w:r>
      <w:proofErr w:type="gramEnd"/>
      <w:r w:rsidR="00852FDF">
        <w:t xml:space="preserve">The research team will follow up with a </w:t>
      </w:r>
      <w:r w:rsidR="0050313D">
        <w:t>tele</w:t>
      </w:r>
      <w:r w:rsidR="00852FDF">
        <w:t xml:space="preserve">phone call </w:t>
      </w:r>
      <w:r w:rsidR="0050313D">
        <w:t>2</w:t>
      </w:r>
      <w:r w:rsidR="00852FDF">
        <w:t xml:space="preserve"> days after the package should have been received</w:t>
      </w:r>
      <w:proofErr w:type="gramStart"/>
      <w:r w:rsidR="00852FDF">
        <w:t xml:space="preserve">. </w:t>
      </w:r>
      <w:proofErr w:type="gramEnd"/>
      <w:r w:rsidR="00852FDF">
        <w:t>The purpose of the call will be to answer any questions, confirm the point of contact, and emphasize the timing of the pretest.</w:t>
      </w:r>
    </w:p>
    <w:p w:rsidR="00A871B0" w:rsidRDefault="00A871B0" w:rsidP="00F76725"/>
    <w:p w:rsidR="00A871B0" w:rsidRDefault="00A871B0" w:rsidP="00F76725">
      <w:r>
        <w:t xml:space="preserve">Reminder emails will be sent </w:t>
      </w:r>
      <w:r w:rsidRPr="00030DA9">
        <w:t>each week</w:t>
      </w:r>
      <w:r>
        <w:t xml:space="preserve"> of the data collection period</w:t>
      </w:r>
      <w:proofErr w:type="gramStart"/>
      <w:r>
        <w:t xml:space="preserve">. </w:t>
      </w:r>
      <w:proofErr w:type="gramEnd"/>
      <w:r w:rsidRPr="0015506B">
        <w:t xml:space="preserve">If the </w:t>
      </w:r>
      <w:r>
        <w:t>LA</w:t>
      </w:r>
      <w:r w:rsidRPr="0015506B">
        <w:t xml:space="preserve"> </w:t>
      </w:r>
      <w:r w:rsidR="001040C3">
        <w:t>d</w:t>
      </w:r>
      <w:r w:rsidRPr="0015506B">
        <w:t xml:space="preserve">irector does not </w:t>
      </w:r>
      <w:r>
        <w:t xml:space="preserve">return </w:t>
      </w:r>
      <w:r w:rsidRPr="0015506B">
        <w:t>the</w:t>
      </w:r>
      <w:r>
        <w:t xml:space="preserve"> survey within</w:t>
      </w:r>
      <w:r w:rsidRPr="0015506B">
        <w:t xml:space="preserve"> </w:t>
      </w:r>
      <w:r w:rsidR="0050313D">
        <w:t>2</w:t>
      </w:r>
      <w:r w:rsidR="0050313D" w:rsidRPr="00030DA9">
        <w:t xml:space="preserve"> </w:t>
      </w:r>
      <w:r w:rsidRPr="00030DA9">
        <w:t>weeks</w:t>
      </w:r>
      <w:r>
        <w:t xml:space="preserve"> after the invitation letter and survey are sent, the research team will make up to two follow-up reminder </w:t>
      </w:r>
      <w:r w:rsidR="0050313D">
        <w:t>tele</w:t>
      </w:r>
      <w:r>
        <w:t>phone calls.</w:t>
      </w:r>
    </w:p>
    <w:p w:rsidR="00F76725" w:rsidRPr="000A697B" w:rsidRDefault="00F76725" w:rsidP="00F76725">
      <w:pPr>
        <w:rPr>
          <w:highlight w:val="yellow"/>
        </w:rPr>
      </w:pPr>
    </w:p>
    <w:p w:rsidR="00F76725" w:rsidRPr="000E1784" w:rsidRDefault="00F76725" w:rsidP="00F76725">
      <w:pPr>
        <w:pStyle w:val="Heading2"/>
      </w:pPr>
      <w:r w:rsidRPr="000E1784">
        <w:t>Certification Survey</w:t>
      </w:r>
    </w:p>
    <w:p w:rsidR="00F76725" w:rsidRDefault="00F76725" w:rsidP="00F76725">
      <w:pPr>
        <w:pStyle w:val="BodyText"/>
      </w:pPr>
      <w:r w:rsidRPr="00CD217F">
        <w:t xml:space="preserve">Prior to conducting the </w:t>
      </w:r>
      <w:r>
        <w:t xml:space="preserve">in-person interviews, trained </w:t>
      </w:r>
      <w:r w:rsidR="009A61DB">
        <w:t>recruiters</w:t>
      </w:r>
      <w:r w:rsidRPr="00CD217F">
        <w:t xml:space="preserve"> </w:t>
      </w:r>
      <w:r w:rsidR="009A61DB">
        <w:t xml:space="preserve">will </w:t>
      </w:r>
      <w:r w:rsidR="00DD0CD1">
        <w:t>contact</w:t>
      </w:r>
      <w:r w:rsidR="009A61DB">
        <w:t xml:space="preserve"> potential respondents to participate in the pretest of the Certificat</w:t>
      </w:r>
      <w:r w:rsidR="00267BB0">
        <w:t>i</w:t>
      </w:r>
      <w:r w:rsidR="009A61DB">
        <w:t>on Survey</w:t>
      </w:r>
      <w:r w:rsidR="00941351">
        <w:t xml:space="preserve"> by telephone</w:t>
      </w:r>
      <w:proofErr w:type="gramStart"/>
      <w:r w:rsidR="009A61DB">
        <w:t xml:space="preserve">. </w:t>
      </w:r>
      <w:proofErr w:type="gramEnd"/>
      <w:r w:rsidR="009A61DB">
        <w:t xml:space="preserve">Trained </w:t>
      </w:r>
      <w:r w:rsidR="00267BB0">
        <w:t xml:space="preserve">FIs </w:t>
      </w:r>
      <w:r w:rsidRPr="00CD217F">
        <w:t xml:space="preserve">will </w:t>
      </w:r>
      <w:r w:rsidR="009A61DB">
        <w:t xml:space="preserve">then </w:t>
      </w:r>
      <w:r w:rsidRPr="00CD217F">
        <w:t>schedule in-p</w:t>
      </w:r>
      <w:r>
        <w:t>erson interviews by telephone</w:t>
      </w:r>
      <w:r w:rsidR="009A61DB">
        <w:t xml:space="preserve"> with those who have agreed to participate</w:t>
      </w:r>
      <w:proofErr w:type="gramStart"/>
      <w:r>
        <w:t xml:space="preserve">. </w:t>
      </w:r>
      <w:proofErr w:type="gramEnd"/>
      <w:r>
        <w:t xml:space="preserve">FIs will schedule a time that is convenient for the participant and follow up with a confirmation and reminder phone call </w:t>
      </w:r>
      <w:r w:rsidRPr="00941351">
        <w:t>1</w:t>
      </w:r>
      <w:r>
        <w:t xml:space="preserve"> day prior to the scheduled interview time</w:t>
      </w:r>
      <w:proofErr w:type="gramStart"/>
      <w:r>
        <w:t xml:space="preserve">. </w:t>
      </w:r>
      <w:proofErr w:type="gramEnd"/>
      <w:r>
        <w:t xml:space="preserve">If a participant gives the FI permission to send text messages, then text messages will be used to confirm a scheduled </w:t>
      </w:r>
      <w:r>
        <w:lastRenderedPageBreak/>
        <w:t>interview</w:t>
      </w:r>
      <w:proofErr w:type="gramStart"/>
      <w:r>
        <w:t xml:space="preserve">. </w:t>
      </w:r>
      <w:proofErr w:type="gramEnd"/>
      <w:r>
        <w:t>Prior to administering the Certification Survey, the FI will thoroughly review the study consent form</w:t>
      </w:r>
      <w:proofErr w:type="gramStart"/>
      <w:r>
        <w:t xml:space="preserve">. </w:t>
      </w:r>
      <w:proofErr w:type="gramEnd"/>
      <w:r>
        <w:t>Consent will be obtained in writing, and a copy of the signed consent form will be provided to the respondent (one copy kept by the FI)</w:t>
      </w:r>
      <w:proofErr w:type="gramStart"/>
      <w:r>
        <w:t xml:space="preserve">. </w:t>
      </w:r>
      <w:proofErr w:type="gramEnd"/>
      <w:r w:rsidR="00F113F7">
        <w:t>In the event of non-consent, the FI will thank the sampled participant, conclude the visit and leave the</w:t>
      </w:r>
      <w:r w:rsidR="009C2141">
        <w:t>ir</w:t>
      </w:r>
      <w:r w:rsidR="00F113F7">
        <w:t xml:space="preserve"> home.</w:t>
      </w:r>
    </w:p>
    <w:p w:rsidR="00F76725" w:rsidRPr="000E1784" w:rsidRDefault="00F76725" w:rsidP="00F76725">
      <w:pPr>
        <w:rPr>
          <w:bCs/>
        </w:rPr>
      </w:pPr>
    </w:p>
    <w:p w:rsidR="00F76725" w:rsidRPr="004B1F37" w:rsidRDefault="00F76725" w:rsidP="00F76725">
      <w:pPr>
        <w:pStyle w:val="Heading2"/>
      </w:pPr>
      <w:r w:rsidRPr="000E1784">
        <w:t>Denied Applicant Survey</w:t>
      </w:r>
    </w:p>
    <w:p w:rsidR="00F76725" w:rsidRDefault="00F76725" w:rsidP="00F76725">
      <w:r>
        <w:t xml:space="preserve">Recruitment protocols </w:t>
      </w:r>
      <w:r w:rsidR="00267BB0">
        <w:t xml:space="preserve">will be </w:t>
      </w:r>
      <w:r w:rsidRPr="005358A6">
        <w:t>identical to that for the Certification Survey</w:t>
      </w:r>
      <w:proofErr w:type="gramStart"/>
      <w:r>
        <w:t>.</w:t>
      </w:r>
      <w:r w:rsidRPr="005358A6">
        <w:t xml:space="preserve"> </w:t>
      </w:r>
      <w:proofErr w:type="gramEnd"/>
      <w:r w:rsidRPr="00CD217F">
        <w:t xml:space="preserve">Prior to conducting the </w:t>
      </w:r>
      <w:r>
        <w:t xml:space="preserve">in-person interviews, trained </w:t>
      </w:r>
      <w:r w:rsidR="00267BB0">
        <w:t xml:space="preserve">FIs </w:t>
      </w:r>
      <w:r w:rsidRPr="00CD217F">
        <w:t>will schedule in-p</w:t>
      </w:r>
      <w:r>
        <w:t>erson interviews by telephone</w:t>
      </w:r>
      <w:proofErr w:type="gramStart"/>
      <w:r>
        <w:t xml:space="preserve">. </w:t>
      </w:r>
      <w:proofErr w:type="gramEnd"/>
      <w:r>
        <w:t xml:space="preserve">FIs will schedule a time that is convenient for the participant and follow up with a confirmation and reminder phone call </w:t>
      </w:r>
      <w:r w:rsidRPr="00D74BC9">
        <w:t>1</w:t>
      </w:r>
      <w:r>
        <w:t xml:space="preserve"> day prior to the scheduled interview time</w:t>
      </w:r>
      <w:proofErr w:type="gramStart"/>
      <w:r>
        <w:t xml:space="preserve">. </w:t>
      </w:r>
      <w:proofErr w:type="gramEnd"/>
      <w:r>
        <w:t>If a participant gives the FI permission to send text messages, then text messages will be used to confirm a scheduled interview</w:t>
      </w:r>
      <w:proofErr w:type="gramStart"/>
      <w:r>
        <w:t xml:space="preserve">. </w:t>
      </w:r>
      <w:proofErr w:type="gramEnd"/>
      <w:r>
        <w:t>Prior to administering the Denied Applicant Survey, the FI will thoroughly review the study consent form</w:t>
      </w:r>
      <w:proofErr w:type="gramStart"/>
      <w:r>
        <w:t xml:space="preserve">. </w:t>
      </w:r>
      <w:proofErr w:type="gramEnd"/>
      <w:r>
        <w:t>Consent will be obtained in writing and a copy of the signed consent form will be provided to the respondent (one copy kept by the FI)</w:t>
      </w:r>
      <w:proofErr w:type="gramStart"/>
      <w:r>
        <w:t>.</w:t>
      </w:r>
      <w:r w:rsidR="00F113F7">
        <w:t xml:space="preserve"> </w:t>
      </w:r>
      <w:proofErr w:type="gramEnd"/>
      <w:r w:rsidR="00F113F7">
        <w:t>In the event of non-consent, the FI will thank the sampled participant, conclude the visit and leave the</w:t>
      </w:r>
      <w:r w:rsidR="009C2141">
        <w:t>ir</w:t>
      </w:r>
      <w:r w:rsidR="00F113F7">
        <w:t xml:space="preserve"> home.</w:t>
      </w:r>
    </w:p>
    <w:p w:rsidR="000A697B" w:rsidRPr="007C5A72" w:rsidRDefault="000A697B" w:rsidP="000A697B">
      <w:pPr>
        <w:rPr>
          <w:bCs/>
          <w:highlight w:val="yellow"/>
        </w:rPr>
      </w:pPr>
    </w:p>
    <w:p w:rsidR="000A697B" w:rsidRDefault="000A697B" w:rsidP="000A697B">
      <w:pPr>
        <w:pStyle w:val="Heading2"/>
      </w:pPr>
      <w:r w:rsidRPr="004B1F37">
        <w:t>Program Experiences Survey</w:t>
      </w:r>
    </w:p>
    <w:p w:rsidR="0044564F" w:rsidRDefault="00DD0CD1" w:rsidP="000A697B">
      <w:r>
        <w:t>TI</w:t>
      </w:r>
      <w:r w:rsidR="00852FDF" w:rsidRPr="00F73045">
        <w:t xml:space="preserve"> will use current contact information</w:t>
      </w:r>
      <w:r w:rsidR="00852FDF" w:rsidRPr="00B57D1B">
        <w:t xml:space="preserve"> </w:t>
      </w:r>
      <w:r w:rsidR="00852FDF">
        <w:t xml:space="preserve">to call the </w:t>
      </w:r>
      <w:r w:rsidR="00B57D1B" w:rsidRPr="00B57D1B">
        <w:t>WIC participants</w:t>
      </w:r>
      <w:r w:rsidR="004020D5">
        <w:t xml:space="preserve"> </w:t>
      </w:r>
      <w:r w:rsidR="00C03665">
        <w:t>selected for the</w:t>
      </w:r>
      <w:r w:rsidR="00852FDF">
        <w:t xml:space="preserve"> telephone</w:t>
      </w:r>
      <w:r w:rsidR="00C03665">
        <w:t xml:space="preserve"> </w:t>
      </w:r>
      <w:r w:rsidR="00852FDF" w:rsidRPr="00852FDF">
        <w:t>Program Experiences Survey</w:t>
      </w:r>
      <w:proofErr w:type="gramStart"/>
      <w:r w:rsidR="00852FDF">
        <w:t xml:space="preserve">. </w:t>
      </w:r>
      <w:proofErr w:type="gramEnd"/>
      <w:r w:rsidR="004020D5">
        <w:t xml:space="preserve">No more than </w:t>
      </w:r>
      <w:r w:rsidR="00001F65">
        <w:t>five</w:t>
      </w:r>
      <w:r w:rsidR="004020D5">
        <w:t xml:space="preserve"> attempts </w:t>
      </w:r>
      <w:r w:rsidR="00C03665">
        <w:t xml:space="preserve">(telephone calls) </w:t>
      </w:r>
      <w:r w:rsidR="004020D5">
        <w:t>will be made to contact the respondent</w:t>
      </w:r>
      <w:proofErr w:type="gramStart"/>
      <w:r w:rsidR="004020D5">
        <w:t xml:space="preserve">. </w:t>
      </w:r>
      <w:proofErr w:type="gramEnd"/>
      <w:r w:rsidR="004020D5">
        <w:t xml:space="preserve">Prior to administering the </w:t>
      </w:r>
      <w:r w:rsidR="00852FDF">
        <w:t xml:space="preserve">telephone </w:t>
      </w:r>
      <w:r w:rsidR="004020D5" w:rsidRPr="004020D5">
        <w:t>Program Experiences Survey</w:t>
      </w:r>
      <w:r w:rsidR="004020D5">
        <w:t xml:space="preserve">, the </w:t>
      </w:r>
      <w:r w:rsidR="009D679B">
        <w:t>T</w:t>
      </w:r>
      <w:r w:rsidR="004020D5">
        <w:t xml:space="preserve">I will </w:t>
      </w:r>
      <w:r w:rsidR="00D74BC9">
        <w:t xml:space="preserve">read </w:t>
      </w:r>
      <w:r w:rsidR="004020D5">
        <w:t xml:space="preserve">the study consent form; consent will be obtained </w:t>
      </w:r>
      <w:r w:rsidR="00D74BC9">
        <w:t>verbally</w:t>
      </w:r>
      <w:r w:rsidR="004020D5">
        <w:t xml:space="preserve">. </w:t>
      </w:r>
    </w:p>
    <w:p w:rsidR="00550CB8" w:rsidRDefault="00550CB8" w:rsidP="000A697B"/>
    <w:p w:rsidR="000A697B" w:rsidRPr="004B1F37" w:rsidRDefault="000A697B" w:rsidP="000A697B">
      <w:pPr>
        <w:pStyle w:val="Heading2"/>
      </w:pPr>
      <w:r w:rsidRPr="004B1F37">
        <w:t>Former WIC Participant Case Study</w:t>
      </w:r>
    </w:p>
    <w:p w:rsidR="000A697B" w:rsidRPr="000A697B" w:rsidRDefault="00DD0CD1" w:rsidP="00C03665">
      <w:r>
        <w:t xml:space="preserve">TI </w:t>
      </w:r>
      <w:r w:rsidR="004020D5">
        <w:t xml:space="preserve">will call the sample selected for </w:t>
      </w:r>
      <w:r w:rsidR="00C03665">
        <w:t xml:space="preserve">interview for the </w:t>
      </w:r>
      <w:r w:rsidR="004020D5" w:rsidRPr="004020D5">
        <w:t>Former WIC Participant Case Study</w:t>
      </w:r>
      <w:proofErr w:type="gramStart"/>
      <w:r w:rsidR="004020D5">
        <w:t xml:space="preserve">. </w:t>
      </w:r>
      <w:proofErr w:type="gramEnd"/>
      <w:r w:rsidR="004020D5">
        <w:t xml:space="preserve">No more than </w:t>
      </w:r>
      <w:r w:rsidR="00B40C35">
        <w:t xml:space="preserve">five </w:t>
      </w:r>
      <w:r w:rsidR="004020D5">
        <w:t xml:space="preserve">attempts </w:t>
      </w:r>
      <w:r w:rsidR="00C03665">
        <w:t xml:space="preserve">(telephone calls) </w:t>
      </w:r>
      <w:r w:rsidR="004020D5">
        <w:t>will be made to contact the respondent</w:t>
      </w:r>
      <w:proofErr w:type="gramStart"/>
      <w:r w:rsidR="004020D5">
        <w:t xml:space="preserve">. </w:t>
      </w:r>
      <w:proofErr w:type="gramEnd"/>
      <w:r w:rsidR="004020D5">
        <w:t xml:space="preserve">Prior to administering the </w:t>
      </w:r>
      <w:r w:rsidR="004020D5" w:rsidRPr="004B1F37">
        <w:t>Former WIC Participant Case Study</w:t>
      </w:r>
      <w:r w:rsidR="004020D5">
        <w:t xml:space="preserve">, the </w:t>
      </w:r>
      <w:r w:rsidR="009D679B">
        <w:t>T</w:t>
      </w:r>
      <w:r w:rsidR="004020D5">
        <w:t xml:space="preserve">I will </w:t>
      </w:r>
      <w:r w:rsidR="00445964">
        <w:t xml:space="preserve">read </w:t>
      </w:r>
      <w:r w:rsidR="004020D5">
        <w:t xml:space="preserve">the study consent form; consent will be obtained </w:t>
      </w:r>
      <w:r w:rsidR="00445964">
        <w:t>verbally</w:t>
      </w:r>
      <w:r w:rsidR="004020D5">
        <w:t>.</w:t>
      </w:r>
    </w:p>
    <w:p w:rsidR="00B22274" w:rsidRPr="007C5A72" w:rsidRDefault="00B22274" w:rsidP="002C7065"/>
    <w:p w:rsidR="005E15FF" w:rsidRPr="007C5A72" w:rsidRDefault="003E3917" w:rsidP="005E15FF">
      <w:pPr>
        <w:outlineLvl w:val="0"/>
        <w:rPr>
          <w:u w:val="single"/>
        </w:rPr>
      </w:pPr>
      <w:r w:rsidRPr="007C5A72">
        <w:rPr>
          <w:u w:val="single"/>
        </w:rPr>
        <w:t>Incentives</w:t>
      </w:r>
    </w:p>
    <w:p w:rsidR="004B3D99" w:rsidRDefault="004B3D99" w:rsidP="00DF7E22">
      <w:r w:rsidRPr="004B3D99">
        <w:t xml:space="preserve">To </w:t>
      </w:r>
      <w:r>
        <w:t>reduce burden on respondents</w:t>
      </w:r>
      <w:r w:rsidRPr="004B3D99">
        <w:t xml:space="preserve">, </w:t>
      </w:r>
      <w:r>
        <w:t>the research team</w:t>
      </w:r>
      <w:r w:rsidRPr="004B3D99">
        <w:t xml:space="preserve"> proposed an incentive of, $25 fo</w:t>
      </w:r>
      <w:r>
        <w:t>r completing the Certification S</w:t>
      </w:r>
      <w:r w:rsidRPr="004B3D99">
        <w:t>urvey</w:t>
      </w:r>
      <w:r>
        <w:t xml:space="preserve">, </w:t>
      </w:r>
      <w:r w:rsidRPr="004B3D99">
        <w:t>$25 for com</w:t>
      </w:r>
      <w:r>
        <w:t>pleting the Program Experiences S</w:t>
      </w:r>
      <w:r w:rsidRPr="004B3D99">
        <w:t>urvey</w:t>
      </w:r>
      <w:r>
        <w:t xml:space="preserve">, </w:t>
      </w:r>
      <w:r w:rsidRPr="004B3D99">
        <w:t>$25 for com</w:t>
      </w:r>
      <w:r>
        <w:t xml:space="preserve">pleting the Program Denied Applicant Survey, and </w:t>
      </w:r>
      <w:r w:rsidRPr="004B3D99">
        <w:t>$25 for com</w:t>
      </w:r>
      <w:r>
        <w:t>pleting the Former WIC Participant Case Study interview</w:t>
      </w:r>
      <w:proofErr w:type="gramStart"/>
      <w:r>
        <w:t xml:space="preserve">. </w:t>
      </w:r>
      <w:proofErr w:type="gramEnd"/>
      <w:r w:rsidRPr="004B3D99">
        <w:t>Providing an extrinsic incentive increases cooperation rates, especially in populations defined as being in poverty</w:t>
      </w:r>
      <w:r w:rsidR="00391FA8">
        <w:t>,</w:t>
      </w:r>
      <w:r w:rsidR="00391FA8" w:rsidRPr="00D97F5D">
        <w:rPr>
          <w:rStyle w:val="FootnoteReference"/>
        </w:rPr>
        <w:footnoteReference w:id="2"/>
      </w:r>
      <w:proofErr w:type="gramStart"/>
      <w:r w:rsidR="00391FA8">
        <w:rPr>
          <w:vertAlign w:val="superscript"/>
        </w:rPr>
        <w:t>,</w:t>
      </w:r>
      <w:proofErr w:type="gramEnd"/>
      <w:r w:rsidR="00391FA8" w:rsidRPr="00D97F5D">
        <w:rPr>
          <w:rStyle w:val="FootnoteReference"/>
        </w:rPr>
        <w:footnoteReference w:id="3"/>
      </w:r>
      <w:r w:rsidRPr="004B3D99">
        <w:t xml:space="preserve"> and a monetary incentive even more so.</w:t>
      </w:r>
      <w:r w:rsidR="00391FA8" w:rsidRPr="00D97F5D">
        <w:rPr>
          <w:rStyle w:val="FootnoteReference"/>
        </w:rPr>
        <w:footnoteReference w:id="4"/>
      </w:r>
      <w:r w:rsidR="00391FA8" w:rsidRPr="004B3D99">
        <w:t xml:space="preserve"> </w:t>
      </w:r>
    </w:p>
    <w:p w:rsidR="00A24A05" w:rsidRDefault="00A24A05" w:rsidP="00DF7E22"/>
    <w:p w:rsidR="008A2C2E" w:rsidRDefault="004B77EA" w:rsidP="008A2C2E">
      <w:r>
        <w:t xml:space="preserve">Based on the review of the existing incentive literature, the research team </w:t>
      </w:r>
      <w:r w:rsidRPr="004B77EA">
        <w:t>firmly believe</w:t>
      </w:r>
      <w:r>
        <w:t>s</w:t>
      </w:r>
      <w:r w:rsidRPr="004B77EA">
        <w:t xml:space="preserve"> that the $25</w:t>
      </w:r>
      <w:r>
        <w:t xml:space="preserve"> for the participant and denied applicant surveys</w:t>
      </w:r>
      <w:r w:rsidRPr="004B77EA">
        <w:t xml:space="preserve"> </w:t>
      </w:r>
      <w:r>
        <w:t>is an appropriate incentive</w:t>
      </w:r>
      <w:r w:rsidRPr="004B77EA">
        <w:t xml:space="preserve"> for the estimated burden</w:t>
      </w:r>
      <w:r w:rsidR="007754DF">
        <w:t>, ranging from 4</w:t>
      </w:r>
      <w:r w:rsidR="00D43730">
        <w:t>0</w:t>
      </w:r>
      <w:r>
        <w:t xml:space="preserve"> minutes to </w:t>
      </w:r>
      <w:r w:rsidR="007754DF">
        <w:t>5</w:t>
      </w:r>
      <w:r w:rsidR="00D43730">
        <w:t>0</w:t>
      </w:r>
      <w:r>
        <w:t xml:space="preserve"> minutes,</w:t>
      </w:r>
      <w:r w:rsidRPr="004B77EA">
        <w:t xml:space="preserve"> on WIC participants.  The proposed incentive of $25 for each survey completed is slightly higher than the </w:t>
      </w:r>
      <w:r w:rsidR="004F22A0">
        <w:t>$20 incentive used for the NSWP-</w:t>
      </w:r>
      <w:r w:rsidRPr="004B77EA">
        <w:t>II in-person survey</w:t>
      </w:r>
      <w:r w:rsidR="00D43730">
        <w:t>s</w:t>
      </w:r>
      <w:r w:rsidRPr="004B77EA">
        <w:t>,</w:t>
      </w:r>
      <w:r w:rsidR="00D43730">
        <w:t xml:space="preserve"> however</w:t>
      </w:r>
      <w:r w:rsidRPr="004B77EA">
        <w:t xml:space="preserve"> </w:t>
      </w:r>
      <w:r>
        <w:t>the research team</w:t>
      </w:r>
      <w:r w:rsidRPr="004B77EA">
        <w:t xml:space="preserve"> believe</w:t>
      </w:r>
      <w:r>
        <w:t>s</w:t>
      </w:r>
      <w:r w:rsidRPr="004B77EA">
        <w:t xml:space="preserve"> this is an appropriate incentive value g</w:t>
      </w:r>
      <w:r>
        <w:t xml:space="preserve">iven </w:t>
      </w:r>
      <w:r>
        <w:lastRenderedPageBreak/>
        <w:t>previous</w:t>
      </w:r>
      <w:r w:rsidRPr="004B77EA">
        <w:t xml:space="preserve"> </w:t>
      </w:r>
      <w:r>
        <w:t>experience with this population and the sensitive nature of the questions</w:t>
      </w:r>
      <w:proofErr w:type="gramStart"/>
      <w:r>
        <w:t xml:space="preserve">. </w:t>
      </w:r>
      <w:proofErr w:type="gramEnd"/>
      <w:r w:rsidR="008A2C2E">
        <w:t>NSWP-</w:t>
      </w:r>
      <w:r w:rsidR="008A2C2E" w:rsidRPr="004B77EA">
        <w:t>II</w:t>
      </w:r>
      <w:r w:rsidR="008A2C2E">
        <w:t xml:space="preserve"> obtained complete data for approximately 81 percent of participants in the in-person</w:t>
      </w:r>
    </w:p>
    <w:p w:rsidR="008A2C2E" w:rsidRDefault="008A2C2E" w:rsidP="008A2C2E">
      <w:proofErr w:type="gramStart"/>
      <w:r>
        <w:t>interview</w:t>
      </w:r>
      <w:r w:rsidR="00417959">
        <w:t>s</w:t>
      </w:r>
      <w:proofErr w:type="gramEnd"/>
      <w:r>
        <w:t xml:space="preserve"> (WIC rates by category ranged from 79.3 percent for infants to 84.9 percent for breastfeeding women), however, experienced a low response rate for the telephone survey (an overall 51.3 percent).</w:t>
      </w:r>
      <w:r w:rsidRPr="00D97F5D">
        <w:rPr>
          <w:rStyle w:val="FootnoteReference"/>
        </w:rPr>
        <w:footnoteReference w:id="5"/>
      </w:r>
    </w:p>
    <w:p w:rsidR="004B77EA" w:rsidRDefault="004B77EA" w:rsidP="00DF7E22"/>
    <w:p w:rsidR="00A24A05" w:rsidRDefault="004B77EA" w:rsidP="00DF7E22">
      <w:r>
        <w:t>S</w:t>
      </w:r>
      <w:r w:rsidRPr="004B77EA">
        <w:t>imilar incentive plans</w:t>
      </w:r>
      <w:r>
        <w:t xml:space="preserve"> have been approved</w:t>
      </w:r>
      <w:r w:rsidRPr="004B77EA">
        <w:t xml:space="preserve"> in the past.  For example, in the OMB-approved Impact of Housing and Services Interventions for Homeless Families study (OMB No: 2528-0259), respondents received up to a maximum of $240 in incentives, including $35 for a baseline survey, and $50 each for two different follow-up surveys.  For the WIC Peer Counseling study OMB approved a $20 incentive for WIC participants who completed a Baseline Survey and an additional $20 incentive for those who also completed a Follow-up survey (OMB No: 0584-0548)</w:t>
      </w:r>
      <w:proofErr w:type="gramStart"/>
      <w:r w:rsidRPr="004B77EA">
        <w:t xml:space="preserve">. </w:t>
      </w:r>
      <w:proofErr w:type="gramEnd"/>
      <w:r w:rsidRPr="004B77EA">
        <w:t>These surveys, however, were 15 to 20 minutes in duration when administered in 2012 and thus were shorter than the e</w:t>
      </w:r>
      <w:r w:rsidR="00D43730">
        <w:t>stimated duration of the participant and denied applicant s</w:t>
      </w:r>
      <w:r w:rsidRPr="004B77EA">
        <w:t xml:space="preserve">urveys proposed for NSWP-III. </w:t>
      </w:r>
    </w:p>
    <w:p w:rsidR="00391FA8" w:rsidRDefault="00391FA8" w:rsidP="00DF7E22"/>
    <w:p w:rsidR="004B77EA" w:rsidRDefault="00FF0287" w:rsidP="00DF7E22">
      <w:r>
        <w:t>Accurate estimation of certification errors and improper payments in WIC depends on participation in the Certification</w:t>
      </w:r>
      <w:r w:rsidR="00C85291">
        <w:t xml:space="preserve"> and Denied Applicant Surveys</w:t>
      </w:r>
      <w:proofErr w:type="gramStart"/>
      <w:r w:rsidR="00C85291">
        <w:t xml:space="preserve">. </w:t>
      </w:r>
      <w:proofErr w:type="gramEnd"/>
      <w:r w:rsidR="00C85291">
        <w:t xml:space="preserve">The validity of responses to the </w:t>
      </w:r>
      <w:r>
        <w:t>Program Experiences Surveys</w:t>
      </w:r>
      <w:r w:rsidR="00D75384">
        <w:t xml:space="preserve">, and to a lesser extent, the </w:t>
      </w:r>
      <w:r w:rsidR="00A03F42" w:rsidRPr="00A03F42">
        <w:t>Former WIC Participant Case Study</w:t>
      </w:r>
      <w:r w:rsidR="00D75384">
        <w:t xml:space="preserve">, </w:t>
      </w:r>
      <w:r w:rsidR="00C23096">
        <w:t xml:space="preserve">depend on a </w:t>
      </w:r>
      <w:r w:rsidR="00806164">
        <w:t>sufficient response rate</w:t>
      </w:r>
      <w:proofErr w:type="gramStart"/>
      <w:r w:rsidR="00806164">
        <w:t>.</w:t>
      </w:r>
      <w:r>
        <w:t xml:space="preserve"> </w:t>
      </w:r>
      <w:proofErr w:type="gramEnd"/>
      <w:r w:rsidR="007E0370">
        <w:t>While pretesting will take place on a small number of respondents</w:t>
      </w:r>
      <w:r w:rsidR="002B6A2B">
        <w:t>, the quality of</w:t>
      </w:r>
      <w:r w:rsidR="007E0370" w:rsidRPr="007E0370">
        <w:t xml:space="preserve"> pretesting </w:t>
      </w:r>
      <w:r w:rsidR="002B6A2B">
        <w:t xml:space="preserve">based on participation </w:t>
      </w:r>
      <w:r w:rsidR="007E0370" w:rsidRPr="007E0370">
        <w:t xml:space="preserve">will allow the survey instruments to be </w:t>
      </w:r>
      <w:r w:rsidR="00B40C35">
        <w:t>refined</w:t>
      </w:r>
      <w:r w:rsidR="009A61DB" w:rsidRPr="007C5A72">
        <w:t xml:space="preserve"> </w:t>
      </w:r>
      <w:r w:rsidR="009A61DB" w:rsidRPr="007C5A72">
        <w:rPr>
          <w:bCs/>
        </w:rPr>
        <w:t xml:space="preserve">to modify the flow, order and timing of questions, </w:t>
      </w:r>
      <w:r w:rsidR="00CB3EBA">
        <w:rPr>
          <w:bCs/>
        </w:rPr>
        <w:t xml:space="preserve">clarify </w:t>
      </w:r>
      <w:r w:rsidR="009A61DB" w:rsidRPr="007C5A72">
        <w:rPr>
          <w:bCs/>
        </w:rPr>
        <w:t>questions asked</w:t>
      </w:r>
      <w:r w:rsidR="009A61DB">
        <w:rPr>
          <w:bCs/>
        </w:rPr>
        <w:t>, and revis</w:t>
      </w:r>
      <w:r w:rsidR="00CB3EBA">
        <w:rPr>
          <w:bCs/>
        </w:rPr>
        <w:t xml:space="preserve">e </w:t>
      </w:r>
      <w:r w:rsidR="009A61DB">
        <w:rPr>
          <w:bCs/>
        </w:rPr>
        <w:t>or omi</w:t>
      </w:r>
      <w:r w:rsidR="00CB3EBA">
        <w:rPr>
          <w:bCs/>
        </w:rPr>
        <w:t xml:space="preserve">t </w:t>
      </w:r>
      <w:r w:rsidR="009A61DB">
        <w:rPr>
          <w:bCs/>
        </w:rPr>
        <w:t xml:space="preserve">items that yield </w:t>
      </w:r>
      <w:r w:rsidR="009A61DB" w:rsidRPr="007C5A72">
        <w:t>high item nonresponse rates</w:t>
      </w:r>
      <w:r w:rsidR="009D679B">
        <w:t>.</w:t>
      </w:r>
      <w:r w:rsidR="007E0370">
        <w:t xml:space="preserve"> </w:t>
      </w:r>
    </w:p>
    <w:p w:rsidR="004B77EA" w:rsidRDefault="004B77EA" w:rsidP="00DF7E22"/>
    <w:p w:rsidR="00DF7E22" w:rsidRPr="007C5A72" w:rsidRDefault="00DF7E22" w:rsidP="00DF7E22">
      <w:r w:rsidRPr="007C5A72">
        <w:t>Incentives will be used for the following instruments</w:t>
      </w:r>
      <w:r w:rsidR="00FF0287">
        <w:t xml:space="preserve"> during pretesting</w:t>
      </w:r>
      <w:r w:rsidR="004B3FEB">
        <w:t xml:space="preserve"> (no incentives </w:t>
      </w:r>
      <w:r w:rsidR="007F73B0">
        <w:t xml:space="preserve">will be provided for </w:t>
      </w:r>
      <w:r w:rsidR="004B3FEB">
        <w:t>S</w:t>
      </w:r>
      <w:r w:rsidR="00001F65">
        <w:t>As or LAs</w:t>
      </w:r>
      <w:r w:rsidR="004B3FEB">
        <w:t>)</w:t>
      </w:r>
      <w:r w:rsidRPr="007C5A72">
        <w:t>:</w:t>
      </w:r>
      <w:r w:rsidR="00A1460D">
        <w:br/>
      </w:r>
    </w:p>
    <w:p w:rsidR="00DF7E22" w:rsidRPr="00486E76" w:rsidRDefault="00DF7E22" w:rsidP="000E1784">
      <w:pPr>
        <w:pStyle w:val="Heading2"/>
      </w:pPr>
      <w:r w:rsidRPr="00486E76">
        <w:t>Certification Survey</w:t>
      </w:r>
    </w:p>
    <w:p w:rsidR="00435BD7" w:rsidRDefault="007F73B0" w:rsidP="000E1784">
      <w:r w:rsidRPr="007C5A72">
        <w:t>T</w:t>
      </w:r>
      <w:r w:rsidR="00CB3EBA">
        <w:t>he research team proposes</w:t>
      </w:r>
      <w:r w:rsidRPr="007C5A72">
        <w:t xml:space="preserve"> an incentive of $25 in the form of a gift card for completing </w:t>
      </w:r>
      <w:r>
        <w:t xml:space="preserve">the </w:t>
      </w:r>
      <w:r w:rsidR="00DF7E22" w:rsidRPr="007C5A72">
        <w:t>Certification Survey</w:t>
      </w:r>
      <w:proofErr w:type="gramStart"/>
      <w:r w:rsidR="00DF7E22" w:rsidRPr="007C5A72">
        <w:t xml:space="preserve">. </w:t>
      </w:r>
      <w:proofErr w:type="gramEnd"/>
      <w:r w:rsidR="00FF0287">
        <w:t xml:space="preserve">The justification for providing this level of incentive is to help mitigate the </w:t>
      </w:r>
      <w:r w:rsidR="004B3FEB">
        <w:t xml:space="preserve">potential for </w:t>
      </w:r>
      <w:r w:rsidR="00FF0287">
        <w:t>nonresponse bias and to enhance the quality of the data collected</w:t>
      </w:r>
      <w:proofErr w:type="gramStart"/>
      <w:r w:rsidR="00FF0287">
        <w:t xml:space="preserve">. </w:t>
      </w:r>
      <w:proofErr w:type="gramEnd"/>
      <w:r w:rsidR="00945774">
        <w:t xml:space="preserve">There is burden on the respondent to </w:t>
      </w:r>
      <w:r w:rsidR="004B3FEB">
        <w:t xml:space="preserve">provide </w:t>
      </w:r>
      <w:r w:rsidR="00945774">
        <w:t xml:space="preserve">sensitive information </w:t>
      </w:r>
      <w:r w:rsidR="004B3FEB">
        <w:t xml:space="preserve">and </w:t>
      </w:r>
      <w:r w:rsidR="00945774">
        <w:t>documentation about their income</w:t>
      </w:r>
      <w:r w:rsidR="004B3FEB">
        <w:t xml:space="preserve"> and other eligibility factors</w:t>
      </w:r>
      <w:proofErr w:type="gramStart"/>
      <w:r w:rsidR="00CB3EBA">
        <w:t xml:space="preserve">. </w:t>
      </w:r>
      <w:proofErr w:type="gramEnd"/>
      <w:r w:rsidR="00CB3EBA">
        <w:t>T</w:t>
      </w:r>
      <w:r w:rsidR="00945774">
        <w:t xml:space="preserve">he incentive will be used to </w:t>
      </w:r>
      <w:r w:rsidR="00F76725">
        <w:t xml:space="preserve">compensate </w:t>
      </w:r>
      <w:r w:rsidR="00945774">
        <w:t>the respondent for this unusual reporting burden</w:t>
      </w:r>
      <w:proofErr w:type="gramStart"/>
      <w:r w:rsidR="00945774">
        <w:t xml:space="preserve">. </w:t>
      </w:r>
      <w:proofErr w:type="gramEnd"/>
      <w:r w:rsidR="00CB3EBA" w:rsidRPr="00CB3EBA">
        <w:t xml:space="preserve">The incentive </w:t>
      </w:r>
      <w:r w:rsidR="00C42336">
        <w:t xml:space="preserve">will also mitigate some expenses related to </w:t>
      </w:r>
      <w:r w:rsidR="00F76725">
        <w:t xml:space="preserve">child </w:t>
      </w:r>
      <w:r w:rsidR="00C42336">
        <w:t>care or travel</w:t>
      </w:r>
      <w:r w:rsidR="004B3FEB">
        <w:t xml:space="preserve"> (in the event that the interview cannot be conducted at the participant’s home)</w:t>
      </w:r>
      <w:r w:rsidR="00C42336">
        <w:t xml:space="preserve">. </w:t>
      </w:r>
    </w:p>
    <w:p w:rsidR="00435BD7" w:rsidRDefault="00435BD7" w:rsidP="000E1784"/>
    <w:p w:rsidR="00435BD7" w:rsidRPr="00486E76" w:rsidRDefault="00435BD7" w:rsidP="00435BD7">
      <w:pPr>
        <w:pStyle w:val="Heading2"/>
      </w:pPr>
      <w:r>
        <w:t>Denied Applicant</w:t>
      </w:r>
      <w:r w:rsidRPr="00486E76">
        <w:t xml:space="preserve"> Survey</w:t>
      </w:r>
    </w:p>
    <w:p w:rsidR="00DF7E22" w:rsidRPr="007C5A72" w:rsidRDefault="004B3D99" w:rsidP="000E1784">
      <w:pPr>
        <w:rPr>
          <w:rFonts w:eastAsiaTheme="minorEastAsia"/>
          <w:bCs/>
          <w:color w:val="000000"/>
        </w:rPr>
      </w:pPr>
      <w:r>
        <w:t>T</w:t>
      </w:r>
      <w:r w:rsidR="00435BD7">
        <w:t>he research team proposes</w:t>
      </w:r>
      <w:r w:rsidR="00435BD7" w:rsidRPr="007C5A72">
        <w:t xml:space="preserve"> an incentive of $25 in the form of a gift card for completing </w:t>
      </w:r>
      <w:r w:rsidR="00435BD7">
        <w:t>the Denied Applicant</w:t>
      </w:r>
      <w:r w:rsidR="00435BD7" w:rsidRPr="007C5A72">
        <w:t xml:space="preserve"> Survey</w:t>
      </w:r>
      <w:proofErr w:type="gramStart"/>
      <w:r w:rsidR="00435BD7" w:rsidRPr="007C5A72">
        <w:t xml:space="preserve">. </w:t>
      </w:r>
      <w:proofErr w:type="gramEnd"/>
      <w:r w:rsidR="00435BD7">
        <w:t>Similar to the Certification Survey, the justification for providing this level of incentive is to help mitigate the potential for nonresponse bias and to enhance the quality of the data collected</w:t>
      </w:r>
      <w:proofErr w:type="gramStart"/>
      <w:r w:rsidR="00435BD7">
        <w:t xml:space="preserve">. </w:t>
      </w:r>
      <w:proofErr w:type="gramEnd"/>
      <w:r w:rsidR="00435BD7">
        <w:t xml:space="preserve">There is burden on the respondent to provide sensitive information and </w:t>
      </w:r>
      <w:r w:rsidR="00435BD7">
        <w:lastRenderedPageBreak/>
        <w:t>documentation about their income and other eligibility factors</w:t>
      </w:r>
      <w:proofErr w:type="gramStart"/>
      <w:r w:rsidR="00435BD7">
        <w:t xml:space="preserve">. </w:t>
      </w:r>
      <w:proofErr w:type="gramEnd"/>
      <w:r w:rsidR="00435BD7">
        <w:t>The incentive will be used to compensate the respondent for this unusual reporting burden</w:t>
      </w:r>
      <w:proofErr w:type="gramStart"/>
      <w:r w:rsidR="00435BD7">
        <w:t xml:space="preserve">. </w:t>
      </w:r>
      <w:proofErr w:type="gramEnd"/>
      <w:r w:rsidR="00435BD7" w:rsidRPr="00CB3EBA">
        <w:t xml:space="preserve">The incentive </w:t>
      </w:r>
      <w:r w:rsidR="00435BD7">
        <w:t>will also mitigate some expenses related to child care or travel (in the event that the interview cannot be conducted at the participant’s home)</w:t>
      </w:r>
      <w:proofErr w:type="gramStart"/>
      <w:r w:rsidR="00435BD7">
        <w:t xml:space="preserve">. </w:t>
      </w:r>
      <w:proofErr w:type="gramEnd"/>
      <w:r w:rsidR="00DF7E22" w:rsidRPr="007C5A72">
        <w:br/>
      </w:r>
    </w:p>
    <w:p w:rsidR="00DF7E22" w:rsidRPr="00486E76" w:rsidRDefault="00DF7E22" w:rsidP="000E1784">
      <w:pPr>
        <w:pStyle w:val="Heading2"/>
      </w:pPr>
      <w:r w:rsidRPr="00486E76">
        <w:t xml:space="preserve">Program Experiences Survey </w:t>
      </w:r>
    </w:p>
    <w:p w:rsidR="00DF7E22" w:rsidRDefault="00DF7E22" w:rsidP="00DF7E22">
      <w:r w:rsidRPr="007C5A72">
        <w:t>T</w:t>
      </w:r>
      <w:r w:rsidR="00CB3EBA" w:rsidRPr="00CB3EBA">
        <w:t xml:space="preserve">he research team proposes </w:t>
      </w:r>
      <w:r w:rsidRPr="007C5A72">
        <w:t xml:space="preserve">an incentive of $25 in the form of a gift card for completing the Program Experience </w:t>
      </w:r>
      <w:r w:rsidR="00A03F42">
        <w:t>S</w:t>
      </w:r>
      <w:r w:rsidRPr="007C5A72">
        <w:t>urvey</w:t>
      </w:r>
      <w:proofErr w:type="gramStart"/>
      <w:r w:rsidRPr="007C5A72">
        <w:t>.</w:t>
      </w:r>
      <w:r w:rsidR="00BE0706">
        <w:t xml:space="preserve"> </w:t>
      </w:r>
      <w:proofErr w:type="gramEnd"/>
      <w:r w:rsidR="00BE0706">
        <w:t>The justification for providing this level of incentive is to help mitigate the impact of nonresponse bias and to enhance the quality of the data collected</w:t>
      </w:r>
      <w:proofErr w:type="gramStart"/>
      <w:r w:rsidR="00BE0706">
        <w:t xml:space="preserve">. </w:t>
      </w:r>
      <w:proofErr w:type="gramEnd"/>
      <w:r w:rsidR="00BE0706">
        <w:t>There is burden on the respondent to</w:t>
      </w:r>
      <w:r w:rsidR="00F76725">
        <w:t xml:space="preserve"> respond to this survey</w:t>
      </w:r>
      <w:proofErr w:type="gramStart"/>
      <w:r w:rsidR="00CB3EBA">
        <w:t xml:space="preserve">. </w:t>
      </w:r>
      <w:proofErr w:type="gramEnd"/>
      <w:r w:rsidR="00CB3EBA">
        <w:t>T</w:t>
      </w:r>
      <w:r w:rsidR="00BE0706">
        <w:t xml:space="preserve">he incentive will be used to </w:t>
      </w:r>
      <w:r w:rsidR="00F76725">
        <w:t xml:space="preserve">compensate </w:t>
      </w:r>
      <w:r w:rsidR="00BE0706">
        <w:t>the respondent for this reporting burden.</w:t>
      </w:r>
    </w:p>
    <w:p w:rsidR="00064E72" w:rsidRDefault="00064E72" w:rsidP="00DF7E22"/>
    <w:p w:rsidR="00A03F42" w:rsidRDefault="00A03F42" w:rsidP="00A03F42">
      <w:pPr>
        <w:pStyle w:val="Heading2"/>
      </w:pPr>
      <w:r w:rsidRPr="00A03F42">
        <w:t xml:space="preserve">Former WIC Participant Case Study </w:t>
      </w:r>
    </w:p>
    <w:p w:rsidR="005E15FF" w:rsidRDefault="00A03F42" w:rsidP="005E15FF">
      <w:pPr>
        <w:rPr>
          <w:rFonts w:eastAsiaTheme="minorEastAsia"/>
        </w:rPr>
      </w:pPr>
      <w:r w:rsidRPr="007C5A72">
        <w:t>T</w:t>
      </w:r>
      <w:r w:rsidR="00CB3EBA" w:rsidRPr="00CB3EBA">
        <w:t xml:space="preserve">he research team proposes </w:t>
      </w:r>
      <w:r w:rsidRPr="007C5A72">
        <w:t xml:space="preserve">an incentive of $25 in the form of a gift card for completing the </w:t>
      </w:r>
      <w:r>
        <w:t>Former WIC Participant Case Study interview</w:t>
      </w:r>
      <w:proofErr w:type="gramStart"/>
      <w:r>
        <w:t xml:space="preserve">. </w:t>
      </w:r>
      <w:proofErr w:type="gramEnd"/>
      <w:r>
        <w:t>The justification for providing this level of incentive is to help mitigate the impact of nonresponse bias and to enhance the quality of the data collected</w:t>
      </w:r>
      <w:proofErr w:type="gramStart"/>
      <w:r>
        <w:t xml:space="preserve">. </w:t>
      </w:r>
      <w:proofErr w:type="gramEnd"/>
      <w:r>
        <w:t xml:space="preserve">There is burden on the respondent to identify sensitive information about their </w:t>
      </w:r>
      <w:r w:rsidR="00F113F7">
        <w:t>experiences</w:t>
      </w:r>
      <w:proofErr w:type="gramStart"/>
      <w:r w:rsidR="00CB3EBA">
        <w:t xml:space="preserve">. </w:t>
      </w:r>
      <w:proofErr w:type="gramEnd"/>
      <w:r w:rsidR="00CB3EBA">
        <w:t xml:space="preserve">The </w:t>
      </w:r>
      <w:r>
        <w:t xml:space="preserve">incentive will be used to </w:t>
      </w:r>
      <w:r w:rsidR="00F76725">
        <w:t>compensate</w:t>
      </w:r>
      <w:r>
        <w:t xml:space="preserve"> the respondent for this unusual reporting burden.</w:t>
      </w:r>
    </w:p>
    <w:p w:rsidR="00112850" w:rsidRPr="007C5A72" w:rsidRDefault="00112850" w:rsidP="005E15FF"/>
    <w:p w:rsidR="005E15FF" w:rsidRPr="007C5A72" w:rsidRDefault="005E15FF" w:rsidP="005E15FF">
      <w:pPr>
        <w:outlineLvl w:val="0"/>
        <w:rPr>
          <w:color w:val="000000"/>
        </w:rPr>
      </w:pPr>
      <w:r w:rsidRPr="007C5A72">
        <w:rPr>
          <w:u w:val="single"/>
        </w:rPr>
        <w:t>Data Analysis</w:t>
      </w:r>
    </w:p>
    <w:p w:rsidR="00B85E9C" w:rsidRPr="006205A8" w:rsidRDefault="00855D6B" w:rsidP="00B85E9C">
      <w:pPr>
        <w:rPr>
          <w:i/>
          <w:color w:val="000000"/>
          <w:highlight w:val="yellow"/>
        </w:rPr>
      </w:pPr>
      <w:r>
        <w:t xml:space="preserve">Analyses </w:t>
      </w:r>
      <w:r w:rsidR="004B3FEB">
        <w:t xml:space="preserve">of the pretest data </w:t>
      </w:r>
      <w:r>
        <w:t>will include calculation of the average, median</w:t>
      </w:r>
      <w:r w:rsidR="00001F65">
        <w:t>,</w:t>
      </w:r>
      <w:r>
        <w:t xml:space="preserve"> and maximum duration of each survey (to provide an empirical estimate of burden</w:t>
      </w:r>
      <w:r w:rsidR="00A740EF">
        <w:t xml:space="preserve">); </w:t>
      </w:r>
      <w:r>
        <w:t xml:space="preserve">identification of items with high nonresponse and/or frequent indications by respondents during debriefing </w:t>
      </w:r>
      <w:r w:rsidR="00CB3EBA">
        <w:t>of</w:t>
      </w:r>
      <w:r w:rsidR="00DD0CD1">
        <w:t xml:space="preserve"> questions</w:t>
      </w:r>
      <w:r w:rsidR="00CB3EBA">
        <w:t xml:space="preserve"> being</w:t>
      </w:r>
      <w:r>
        <w:t xml:space="preserve"> unclear; and qualitative review of suggestions received during debriefing for modifying the order, flow, or wording of items</w:t>
      </w:r>
      <w:proofErr w:type="gramStart"/>
      <w:r>
        <w:t xml:space="preserve">. </w:t>
      </w:r>
      <w:proofErr w:type="gramEnd"/>
      <w:r w:rsidR="00B85E9C" w:rsidRPr="00C86943">
        <w:t xml:space="preserve">Data collection instruments will be revised as needed based on </w:t>
      </w:r>
      <w:r w:rsidR="00B85E9C">
        <w:t>these sources of data.</w:t>
      </w:r>
    </w:p>
    <w:p w:rsidR="00B85E9C" w:rsidRPr="007C5A72" w:rsidRDefault="00B85E9C" w:rsidP="005E15FF">
      <w:pPr>
        <w:pStyle w:val="BodyTextIndent3"/>
        <w:spacing w:after="0"/>
        <w:ind w:left="0"/>
        <w:rPr>
          <w:sz w:val="24"/>
          <w:szCs w:val="24"/>
        </w:rPr>
      </w:pPr>
    </w:p>
    <w:p w:rsidR="005E15FF" w:rsidRPr="007C5A72" w:rsidRDefault="005E15FF" w:rsidP="005E15FF">
      <w:pPr>
        <w:pStyle w:val="ListParagraph"/>
        <w:numPr>
          <w:ilvl w:val="0"/>
          <w:numId w:val="2"/>
        </w:numPr>
        <w:rPr>
          <w:b/>
        </w:rPr>
      </w:pPr>
      <w:r w:rsidRPr="007C5A72">
        <w:rPr>
          <w:b/>
        </w:rPr>
        <w:t>Confidentiality:</w:t>
      </w:r>
    </w:p>
    <w:p w:rsidR="00081B71" w:rsidRDefault="00081B71" w:rsidP="007D67BA">
      <w:r>
        <w:t>FNS complies with the Privacy Act of 1974</w:t>
      </w:r>
      <w:proofErr w:type="gramStart"/>
      <w:r>
        <w:t xml:space="preserve">. </w:t>
      </w:r>
      <w:proofErr w:type="gramEnd"/>
      <w:r>
        <w:t xml:space="preserve">All information gathered from SA </w:t>
      </w:r>
      <w:r w:rsidR="009155F9">
        <w:t xml:space="preserve">and </w:t>
      </w:r>
      <w:r w:rsidR="00314272">
        <w:t>LA</w:t>
      </w:r>
      <w:r w:rsidR="009155F9">
        <w:t xml:space="preserve"> </w:t>
      </w:r>
      <w:r>
        <w:t xml:space="preserve">directors, </w:t>
      </w:r>
      <w:r w:rsidR="009155F9">
        <w:t xml:space="preserve">current and former WIC participants, and denied applicants who </w:t>
      </w:r>
      <w:r>
        <w:t>participat</w:t>
      </w:r>
      <w:r w:rsidR="009155F9">
        <w:t>e</w:t>
      </w:r>
      <w:r>
        <w:t xml:space="preserve"> in this study</w:t>
      </w:r>
      <w:r w:rsidR="00314272">
        <w:t>,</w:t>
      </w:r>
      <w:r>
        <w:t xml:space="preserve"> is for research purposes only and will be kept private to the full extent allowed by law</w:t>
      </w:r>
      <w:proofErr w:type="gramStart"/>
      <w:r>
        <w:t xml:space="preserve">. </w:t>
      </w:r>
      <w:proofErr w:type="gramEnd"/>
      <w:r>
        <w:t>Data from the data collection efforts will be presented in aggregate form</w:t>
      </w:r>
      <w:r w:rsidR="009155F9">
        <w:t>,</w:t>
      </w:r>
      <w:r>
        <w:t xml:space="preserve"> and therefore cannot be linked back to the response of any individual</w:t>
      </w:r>
      <w:proofErr w:type="gramStart"/>
      <w:r>
        <w:t xml:space="preserve">. </w:t>
      </w:r>
      <w:proofErr w:type="gramEnd"/>
      <w:r>
        <w:t>All respondents will be given consent forms that state their personal information will be kept private</w:t>
      </w:r>
      <w:r w:rsidR="009155F9">
        <w:t>,</w:t>
      </w:r>
      <w:r>
        <w:t xml:space="preserve"> and that their responses will only be used for summary tabulations and statements of best practices</w:t>
      </w:r>
      <w:proofErr w:type="gramStart"/>
      <w:r>
        <w:t xml:space="preserve">. </w:t>
      </w:r>
      <w:proofErr w:type="gramEnd"/>
      <w:r>
        <w:t xml:space="preserve">FNS published a system of record notice (SORN) titled FNS-8 USDA/FNS Studies and Reports in the </w:t>
      </w:r>
      <w:r w:rsidRPr="007D67BA">
        <w:rPr>
          <w:i/>
          <w:iCs/>
        </w:rPr>
        <w:t>Federal Register</w:t>
      </w:r>
      <w:r>
        <w:t xml:space="preserve"> on April 25, 1991, volume 56, pages 19078–19080, that discusses the terms of protections that will be provided to respondents</w:t>
      </w:r>
      <w:proofErr w:type="gramStart"/>
      <w:r>
        <w:t xml:space="preserve">. </w:t>
      </w:r>
      <w:proofErr w:type="gramEnd"/>
      <w:r>
        <w:t xml:space="preserve">To ensure that personal information remains private, the contract executed between FNS and </w:t>
      </w:r>
      <w:r w:rsidR="009155F9">
        <w:t>C</w:t>
      </w:r>
      <w:r w:rsidR="00DD0CD1">
        <w:t xml:space="preserve">apital </w:t>
      </w:r>
      <w:r w:rsidR="009155F9">
        <w:t>C</w:t>
      </w:r>
      <w:r w:rsidR="00DD0CD1">
        <w:t xml:space="preserve">onsulting </w:t>
      </w:r>
      <w:r>
        <w:t>C</w:t>
      </w:r>
      <w:r w:rsidR="00DD0CD1">
        <w:t>orporation (CCC)</w:t>
      </w:r>
      <w:r>
        <w:t xml:space="preserve"> requires that</w:t>
      </w:r>
      <w:r w:rsidR="00DD0CD1">
        <w:t xml:space="preserve"> CCC </w:t>
      </w:r>
      <w:r>
        <w:t>create and keep data on secure networks</w:t>
      </w:r>
      <w:r w:rsidR="009155F9">
        <w:t>,</w:t>
      </w:r>
      <w:r>
        <w:t xml:space="preserve"> and utilize data collectors </w:t>
      </w:r>
      <w:r w:rsidR="009155F9">
        <w:t>who</w:t>
      </w:r>
      <w:r>
        <w:t xml:space="preserve"> sign confidentiality agreements binding them to protect private information</w:t>
      </w:r>
      <w:proofErr w:type="gramStart"/>
      <w:r>
        <w:t xml:space="preserve">. </w:t>
      </w:r>
      <w:proofErr w:type="gramEnd"/>
      <w:r>
        <w:t>The Contractor will assign a unique ID number to each respondent</w:t>
      </w:r>
      <w:proofErr w:type="gramStart"/>
      <w:r w:rsidR="004D0967">
        <w:t xml:space="preserve">. </w:t>
      </w:r>
      <w:proofErr w:type="gramEnd"/>
      <w:r w:rsidR="004D0967">
        <w:t>A data file (called the “master key file”) will contain each respondent’s ID number, name</w:t>
      </w:r>
      <w:r w:rsidR="0092397E">
        <w:t>,</w:t>
      </w:r>
      <w:r w:rsidR="004D0967">
        <w:t xml:space="preserve"> and contact information</w:t>
      </w:r>
      <w:proofErr w:type="gramStart"/>
      <w:r w:rsidR="004D0967">
        <w:t xml:space="preserve">. </w:t>
      </w:r>
      <w:proofErr w:type="gramEnd"/>
      <w:r w:rsidR="004D0967">
        <w:t xml:space="preserve">This file will be encrypted and retained by CCC and its subcontractors, </w:t>
      </w:r>
      <w:proofErr w:type="spellStart"/>
      <w:r w:rsidR="004D0967">
        <w:t>Abt</w:t>
      </w:r>
      <w:proofErr w:type="spellEnd"/>
      <w:r w:rsidR="004D0967">
        <w:t xml:space="preserve"> Associates Inc., </w:t>
      </w:r>
      <w:proofErr w:type="spellStart"/>
      <w:r w:rsidR="004D0967">
        <w:t>Abt</w:t>
      </w:r>
      <w:proofErr w:type="spellEnd"/>
      <w:r w:rsidR="004D0967">
        <w:t xml:space="preserve"> SRBI, and 2M </w:t>
      </w:r>
      <w:r w:rsidR="00D75B02">
        <w:t xml:space="preserve">Research Services </w:t>
      </w:r>
      <w:r w:rsidR="004D0967">
        <w:t>separate from data files containing respondent responses to data collection</w:t>
      </w:r>
      <w:proofErr w:type="gramStart"/>
      <w:r w:rsidR="004D0967">
        <w:t xml:space="preserve">. </w:t>
      </w:r>
      <w:proofErr w:type="gramEnd"/>
      <w:r w:rsidR="004D0967">
        <w:t xml:space="preserve">Data files used to analyze pretesting of the instruments </w:t>
      </w:r>
      <w:r w:rsidR="004D0967">
        <w:lastRenderedPageBreak/>
        <w:t>will not include the name or other personally identifiable information (PII) of any respondent</w:t>
      </w:r>
      <w:proofErr w:type="gramStart"/>
      <w:r w:rsidR="004D0967">
        <w:t xml:space="preserve">. </w:t>
      </w:r>
      <w:proofErr w:type="gramEnd"/>
      <w:r w:rsidR="004D0967">
        <w:t>Such PII will be replaced with the respondent ID number in analysis data files</w:t>
      </w:r>
      <w:proofErr w:type="gramStart"/>
      <w:r w:rsidR="004D0967">
        <w:t>.</w:t>
      </w:r>
      <w:r>
        <w:t xml:space="preserve"> </w:t>
      </w:r>
      <w:proofErr w:type="gramEnd"/>
      <w:r>
        <w:t xml:space="preserve">Once the contract is over, the Contractor will destroy the </w:t>
      </w:r>
      <w:r w:rsidR="004D0967">
        <w:t xml:space="preserve">master key </w:t>
      </w:r>
      <w:r w:rsidR="00524A55">
        <w:t>file</w:t>
      </w:r>
      <w:r>
        <w:t xml:space="preserve"> with private information. </w:t>
      </w:r>
    </w:p>
    <w:p w:rsidR="00EB30EE" w:rsidRDefault="00EB30EE" w:rsidP="007D67BA"/>
    <w:p w:rsidR="00261C2F" w:rsidRPr="00261C2F" w:rsidRDefault="005E15FF" w:rsidP="00EB30EE">
      <w:pPr>
        <w:pStyle w:val="ListParagraph"/>
        <w:numPr>
          <w:ilvl w:val="0"/>
          <w:numId w:val="2"/>
        </w:numPr>
        <w:rPr>
          <w:sz w:val="20"/>
          <w:szCs w:val="20"/>
        </w:rPr>
      </w:pPr>
      <w:r w:rsidRPr="007C5A72">
        <w:rPr>
          <w:b/>
        </w:rPr>
        <w:t>Federal Costs</w:t>
      </w:r>
      <w:r w:rsidR="00261C2F">
        <w:t>:</w:t>
      </w:r>
    </w:p>
    <w:p w:rsidR="00284C6A" w:rsidRPr="00261C2F" w:rsidRDefault="00261C2F" w:rsidP="00284C6A">
      <w:pPr>
        <w:rPr>
          <w:szCs w:val="20"/>
        </w:rPr>
        <w:sectPr w:rsidR="00284C6A" w:rsidRPr="00261C2F" w:rsidSect="004A5728">
          <w:headerReference w:type="first" r:id="rId18"/>
          <w:pgSz w:w="12240" w:h="15840"/>
          <w:pgMar w:top="1440" w:right="1440" w:bottom="1440" w:left="1440" w:header="720" w:footer="720" w:gutter="0"/>
          <w:cols w:space="720"/>
          <w:titlePg/>
          <w:docGrid w:linePitch="360"/>
        </w:sectPr>
      </w:pPr>
      <w:r w:rsidRPr="007C087C">
        <w:rPr>
          <w:szCs w:val="20"/>
        </w:rPr>
        <w:t>The total cost to the Federal Government is</w:t>
      </w:r>
      <w:r w:rsidR="008E6949" w:rsidRPr="007C087C">
        <w:rPr>
          <w:szCs w:val="20"/>
        </w:rPr>
        <w:t xml:space="preserve"> $</w:t>
      </w:r>
      <w:r w:rsidR="00284C6A" w:rsidRPr="007C087C">
        <w:rPr>
          <w:szCs w:val="20"/>
        </w:rPr>
        <w:t>157,998.01</w:t>
      </w:r>
      <w:r w:rsidR="00314272">
        <w:rPr>
          <w:szCs w:val="20"/>
        </w:rPr>
        <w:t>,</w:t>
      </w:r>
      <w:r w:rsidR="00284C6A" w:rsidRPr="007C087C">
        <w:rPr>
          <w:szCs w:val="20"/>
        </w:rPr>
        <w:t xml:space="preserve"> </w:t>
      </w:r>
      <w:r w:rsidRPr="007C087C">
        <w:rPr>
          <w:szCs w:val="20"/>
        </w:rPr>
        <w:t xml:space="preserve">which </w:t>
      </w:r>
      <w:r w:rsidR="00284C6A" w:rsidRPr="007C087C">
        <w:rPr>
          <w:szCs w:val="20"/>
        </w:rPr>
        <w:t>include</w:t>
      </w:r>
      <w:r w:rsidRPr="007C087C">
        <w:rPr>
          <w:szCs w:val="20"/>
        </w:rPr>
        <w:t xml:space="preserve">s the </w:t>
      </w:r>
      <w:r w:rsidR="00284C6A" w:rsidRPr="007C087C">
        <w:rPr>
          <w:szCs w:val="20"/>
        </w:rPr>
        <w:t xml:space="preserve">total cost for </w:t>
      </w:r>
      <w:r w:rsidRPr="007C087C">
        <w:rPr>
          <w:szCs w:val="20"/>
        </w:rPr>
        <w:t xml:space="preserve">Contractor </w:t>
      </w:r>
      <w:r w:rsidR="009155F9" w:rsidRPr="007C087C">
        <w:rPr>
          <w:szCs w:val="20"/>
        </w:rPr>
        <w:t xml:space="preserve">and Federal Staff </w:t>
      </w:r>
      <w:r w:rsidR="00284C6A" w:rsidRPr="007C087C">
        <w:rPr>
          <w:szCs w:val="20"/>
        </w:rPr>
        <w:t>costs for the abbreviated supporting statement, developing the instruments, and the collection of pretesting information</w:t>
      </w:r>
      <w:proofErr w:type="gramStart"/>
      <w:r w:rsidRPr="007C087C">
        <w:rPr>
          <w:szCs w:val="20"/>
        </w:rPr>
        <w:t xml:space="preserve">. </w:t>
      </w:r>
      <w:proofErr w:type="gramEnd"/>
      <w:r w:rsidR="00284C6A" w:rsidRPr="007C087C">
        <w:rPr>
          <w:szCs w:val="20"/>
        </w:rPr>
        <w:t xml:space="preserve">The </w:t>
      </w:r>
      <w:r w:rsidR="00314272">
        <w:rPr>
          <w:szCs w:val="20"/>
        </w:rPr>
        <w:t>C</w:t>
      </w:r>
      <w:r w:rsidR="00284C6A" w:rsidRPr="007C087C">
        <w:rPr>
          <w:szCs w:val="20"/>
        </w:rPr>
        <w:t>ontractor cost is estimated at $157,044.97</w:t>
      </w:r>
      <w:proofErr w:type="gramStart"/>
      <w:r w:rsidR="00284C6A" w:rsidRPr="007C087C">
        <w:rPr>
          <w:szCs w:val="20"/>
        </w:rPr>
        <w:t xml:space="preserve">. </w:t>
      </w:r>
      <w:proofErr w:type="gramEnd"/>
      <w:r w:rsidRPr="007C087C">
        <w:rPr>
          <w:szCs w:val="20"/>
        </w:rPr>
        <w:t xml:space="preserve">This is based on an estimate of </w:t>
      </w:r>
      <w:r w:rsidR="00284C6A" w:rsidRPr="007C087C">
        <w:rPr>
          <w:szCs w:val="20"/>
        </w:rPr>
        <w:t>1005</w:t>
      </w:r>
      <w:r w:rsidR="008E6949" w:rsidRPr="007C087C">
        <w:rPr>
          <w:szCs w:val="20"/>
        </w:rPr>
        <w:t xml:space="preserve"> </w:t>
      </w:r>
      <w:r w:rsidRPr="007C087C">
        <w:rPr>
          <w:szCs w:val="20"/>
        </w:rPr>
        <w:t>hours, with a salary range of $5</w:t>
      </w:r>
      <w:r w:rsidR="00284C6A" w:rsidRPr="007C087C">
        <w:rPr>
          <w:szCs w:val="20"/>
        </w:rPr>
        <w:t>4</w:t>
      </w:r>
      <w:r w:rsidRPr="007C087C">
        <w:rPr>
          <w:szCs w:val="20"/>
        </w:rPr>
        <w:t>.</w:t>
      </w:r>
      <w:r w:rsidR="00284C6A" w:rsidRPr="007C087C">
        <w:rPr>
          <w:szCs w:val="20"/>
        </w:rPr>
        <w:t>3</w:t>
      </w:r>
      <w:r w:rsidRPr="007C087C">
        <w:rPr>
          <w:szCs w:val="20"/>
        </w:rPr>
        <w:t>3–$</w:t>
      </w:r>
      <w:r w:rsidR="00284C6A" w:rsidRPr="007C087C">
        <w:rPr>
          <w:szCs w:val="20"/>
        </w:rPr>
        <w:t>220.75</w:t>
      </w:r>
      <w:r w:rsidRPr="007C087C">
        <w:rPr>
          <w:szCs w:val="20"/>
        </w:rPr>
        <w:t>/hour</w:t>
      </w:r>
      <w:r w:rsidR="00284C6A" w:rsidRPr="007C087C">
        <w:rPr>
          <w:szCs w:val="20"/>
        </w:rPr>
        <w:t>, and includes overhead costs</w:t>
      </w:r>
      <w:proofErr w:type="gramStart"/>
      <w:r w:rsidRPr="007C087C">
        <w:rPr>
          <w:szCs w:val="20"/>
        </w:rPr>
        <w:t xml:space="preserve">. </w:t>
      </w:r>
      <w:proofErr w:type="gramEnd"/>
      <w:r w:rsidRPr="007C087C">
        <w:rPr>
          <w:szCs w:val="20"/>
        </w:rPr>
        <w:t xml:space="preserve">This information collection also assumes a total of </w:t>
      </w:r>
      <w:r w:rsidR="00284C6A" w:rsidRPr="007C087C">
        <w:rPr>
          <w:szCs w:val="20"/>
        </w:rPr>
        <w:t>22 hours of Federal employee time: for GS-12, step 6 at $43.32 per hour, for a total of $953.04 on an annual basis</w:t>
      </w:r>
      <w:proofErr w:type="gramStart"/>
      <w:r w:rsidR="00284C6A" w:rsidRPr="007C087C">
        <w:rPr>
          <w:szCs w:val="20"/>
        </w:rPr>
        <w:t xml:space="preserve">. </w:t>
      </w:r>
      <w:proofErr w:type="gramEnd"/>
      <w:r w:rsidR="00284C6A" w:rsidRPr="007C087C">
        <w:rPr>
          <w:szCs w:val="20"/>
        </w:rPr>
        <w:t xml:space="preserve">Federal employee pay rates are based on the General Schedule of the Office of Personnel Management (OPM) for 2016.  </w:t>
      </w:r>
    </w:p>
    <w:p w:rsidR="005E15FF" w:rsidRPr="007C5A72" w:rsidRDefault="005E15FF" w:rsidP="00CF5D72">
      <w:pPr>
        <w:pStyle w:val="ListParagraph"/>
        <w:ind w:left="360"/>
        <w:rPr>
          <w:sz w:val="20"/>
          <w:szCs w:val="20"/>
        </w:rPr>
      </w:pPr>
    </w:p>
    <w:p w:rsidR="005E15FF" w:rsidRPr="007C5A72" w:rsidRDefault="005E15FF" w:rsidP="005E15FF">
      <w:pPr>
        <w:pStyle w:val="ListParagraph"/>
        <w:ind w:left="360"/>
      </w:pPr>
    </w:p>
    <w:p w:rsidR="005E15FF" w:rsidRPr="007C5A72" w:rsidRDefault="005E15FF" w:rsidP="005E15FF">
      <w:pPr>
        <w:pStyle w:val="ListParagraph"/>
        <w:numPr>
          <w:ilvl w:val="0"/>
          <w:numId w:val="2"/>
        </w:numPr>
        <w:rPr>
          <w:b/>
        </w:rPr>
      </w:pPr>
      <w:r w:rsidRPr="007C5A72">
        <w:rPr>
          <w:b/>
        </w:rPr>
        <w:t>Research Tools/Instruments:</w:t>
      </w:r>
    </w:p>
    <w:p w:rsidR="00CF5D72" w:rsidRDefault="00CF5D72" w:rsidP="00CF5D72">
      <w:pPr>
        <w:rPr>
          <w:highlight w:val="yellow"/>
        </w:rPr>
      </w:pPr>
    </w:p>
    <w:p w:rsidR="00CC6783" w:rsidRPr="00CC6783" w:rsidRDefault="00CF5D72" w:rsidP="00CC6783">
      <w:r w:rsidRPr="00CF5D72">
        <w:t>A</w:t>
      </w:r>
      <w:r w:rsidR="00264E1D" w:rsidRPr="00CF5D72">
        <w:t xml:space="preserve">ll instruments being </w:t>
      </w:r>
      <w:r w:rsidR="00C86943">
        <w:t xml:space="preserve">pretested in the field and recruitment materials being pretested in the </w:t>
      </w:r>
      <w:r w:rsidR="00B95F3F">
        <w:t>research lab</w:t>
      </w:r>
      <w:r w:rsidR="00264E1D" w:rsidRPr="00CF5D72">
        <w:t xml:space="preserve"> </w:t>
      </w:r>
      <w:r w:rsidR="00B95F3F">
        <w:t>are listed below</w:t>
      </w:r>
      <w:proofErr w:type="gramStart"/>
      <w:r w:rsidR="00B95F3F">
        <w:t xml:space="preserve">. </w:t>
      </w:r>
      <w:proofErr w:type="gramEnd"/>
      <w:r w:rsidR="00B95F3F">
        <w:t xml:space="preserve">Instruments are </w:t>
      </w:r>
      <w:r w:rsidRPr="00CF5D72">
        <w:t>included</w:t>
      </w:r>
      <w:r w:rsidR="00264E1D" w:rsidRPr="00CF5D72">
        <w:t xml:space="preserve"> as appendices.</w:t>
      </w:r>
    </w:p>
    <w:p w:rsidR="005516A5" w:rsidRPr="005516A5" w:rsidRDefault="005516A5" w:rsidP="005516A5">
      <w:pPr>
        <w:rPr>
          <w:highlight w:val="yellow"/>
        </w:rPr>
      </w:pPr>
    </w:p>
    <w:p w:rsidR="00755C61" w:rsidRPr="00042FF4" w:rsidRDefault="00042FF4" w:rsidP="00042FF4">
      <w:pPr>
        <w:shd w:val="clear" w:color="auto" w:fill="FFFFFF" w:themeFill="background1"/>
        <w:spacing w:line="276" w:lineRule="auto"/>
        <w:rPr>
          <w:i/>
        </w:rPr>
      </w:pPr>
      <w:r>
        <w:rPr>
          <w:rStyle w:val="IntenseEmphasis"/>
          <w:color w:val="auto"/>
        </w:rPr>
        <w:t xml:space="preserve">Table </w:t>
      </w:r>
      <w:r w:rsidR="00B777EA">
        <w:rPr>
          <w:rStyle w:val="IntenseEmphasis"/>
          <w:color w:val="auto"/>
        </w:rPr>
        <w:t>4</w:t>
      </w:r>
      <w:proofErr w:type="gramStart"/>
      <w:r>
        <w:rPr>
          <w:rStyle w:val="IntenseEmphasis"/>
          <w:color w:val="auto"/>
        </w:rPr>
        <w:t xml:space="preserve">. </w:t>
      </w:r>
      <w:proofErr w:type="gramEnd"/>
      <w:r w:rsidR="00B777EA">
        <w:rPr>
          <w:rStyle w:val="IntenseEmphasis"/>
          <w:color w:val="auto"/>
        </w:rPr>
        <w:t>NSWP-III Pretest Instruments and Materials</w:t>
      </w:r>
    </w:p>
    <w:tbl>
      <w:tblPr>
        <w:tblW w:w="13878" w:type="dxa"/>
        <w:jc w:val="center"/>
        <w:tblLook w:val="04A0" w:firstRow="1" w:lastRow="0" w:firstColumn="1" w:lastColumn="0" w:noHBand="0" w:noVBand="1"/>
      </w:tblPr>
      <w:tblGrid>
        <w:gridCol w:w="3510"/>
        <w:gridCol w:w="1018"/>
        <w:gridCol w:w="5822"/>
        <w:gridCol w:w="1388"/>
        <w:gridCol w:w="2140"/>
      </w:tblGrid>
      <w:tr w:rsidR="000E1784" w:rsidRPr="00D03F9C" w:rsidTr="006A525F">
        <w:trPr>
          <w:trHeight w:val="300"/>
          <w:jc w:val="center"/>
        </w:trPr>
        <w:tc>
          <w:tcPr>
            <w:tcW w:w="3510" w:type="dxa"/>
            <w:tcBorders>
              <w:top w:val="nil"/>
              <w:left w:val="nil"/>
              <w:bottom w:val="nil"/>
              <w:right w:val="nil"/>
            </w:tcBorders>
            <w:shd w:val="clear" w:color="000000" w:fill="C5D9F1"/>
            <w:noWrap/>
            <w:vAlign w:val="center"/>
            <w:hideMark/>
          </w:tcPr>
          <w:p w:rsidR="000E1784" w:rsidRPr="00D03F9C" w:rsidRDefault="000E1784" w:rsidP="00C10CCF">
            <w:pPr>
              <w:rPr>
                <w:rFonts w:ascii="Arial Narrow" w:hAnsi="Arial Narrow"/>
                <w:b/>
                <w:bCs/>
                <w:color w:val="000000"/>
                <w:sz w:val="20"/>
                <w:szCs w:val="20"/>
              </w:rPr>
            </w:pPr>
            <w:r w:rsidRPr="00D03F9C">
              <w:rPr>
                <w:rFonts w:ascii="Arial Narrow" w:hAnsi="Arial Narrow"/>
                <w:b/>
                <w:bCs/>
                <w:color w:val="000000"/>
                <w:sz w:val="20"/>
                <w:szCs w:val="20"/>
              </w:rPr>
              <w:t>Data Collection Activity</w:t>
            </w:r>
          </w:p>
        </w:tc>
        <w:tc>
          <w:tcPr>
            <w:tcW w:w="1018" w:type="dxa"/>
            <w:tcBorders>
              <w:top w:val="nil"/>
              <w:left w:val="nil"/>
              <w:bottom w:val="nil"/>
              <w:right w:val="nil"/>
            </w:tcBorders>
            <w:shd w:val="clear" w:color="000000" w:fill="C5D9F1"/>
            <w:noWrap/>
            <w:vAlign w:val="center"/>
            <w:hideMark/>
          </w:tcPr>
          <w:p w:rsidR="000E1784" w:rsidRPr="00D03F9C" w:rsidRDefault="000E1784" w:rsidP="00C10CCF">
            <w:pPr>
              <w:rPr>
                <w:rFonts w:ascii="Arial Narrow" w:hAnsi="Arial Narrow"/>
                <w:b/>
                <w:bCs/>
                <w:color w:val="000000"/>
                <w:sz w:val="20"/>
                <w:szCs w:val="20"/>
              </w:rPr>
            </w:pPr>
            <w:r>
              <w:rPr>
                <w:rFonts w:ascii="Arial Narrow" w:hAnsi="Arial Narrow"/>
                <w:b/>
                <w:bCs/>
                <w:color w:val="000000"/>
                <w:sz w:val="20"/>
                <w:szCs w:val="20"/>
              </w:rPr>
              <w:t>Appendix</w:t>
            </w:r>
          </w:p>
        </w:tc>
        <w:tc>
          <w:tcPr>
            <w:tcW w:w="5822" w:type="dxa"/>
            <w:tcBorders>
              <w:top w:val="nil"/>
              <w:left w:val="nil"/>
              <w:bottom w:val="nil"/>
              <w:right w:val="nil"/>
            </w:tcBorders>
            <w:shd w:val="clear" w:color="000000" w:fill="C5D9F1"/>
            <w:noWrap/>
            <w:vAlign w:val="center"/>
            <w:hideMark/>
          </w:tcPr>
          <w:p w:rsidR="000E1784" w:rsidRPr="00D03F9C" w:rsidRDefault="000E1784" w:rsidP="00C10CCF">
            <w:pPr>
              <w:rPr>
                <w:rFonts w:ascii="Arial Narrow" w:hAnsi="Arial Narrow"/>
                <w:b/>
                <w:bCs/>
                <w:color w:val="000000"/>
                <w:sz w:val="20"/>
                <w:szCs w:val="20"/>
              </w:rPr>
            </w:pPr>
            <w:r w:rsidRPr="00D03F9C">
              <w:rPr>
                <w:rFonts w:ascii="Arial Narrow" w:hAnsi="Arial Narrow"/>
                <w:b/>
                <w:bCs/>
                <w:color w:val="000000"/>
                <w:sz w:val="20"/>
                <w:szCs w:val="20"/>
              </w:rPr>
              <w:t>Document Name</w:t>
            </w:r>
          </w:p>
        </w:tc>
        <w:tc>
          <w:tcPr>
            <w:tcW w:w="1388" w:type="dxa"/>
            <w:tcBorders>
              <w:top w:val="nil"/>
              <w:left w:val="nil"/>
              <w:bottom w:val="nil"/>
              <w:right w:val="nil"/>
            </w:tcBorders>
            <w:shd w:val="clear" w:color="000000" w:fill="C5D9F1"/>
            <w:noWrap/>
            <w:vAlign w:val="center"/>
            <w:hideMark/>
          </w:tcPr>
          <w:p w:rsidR="000E1784" w:rsidRPr="00D03F9C" w:rsidRDefault="00C86943" w:rsidP="00C10CCF">
            <w:pPr>
              <w:rPr>
                <w:rFonts w:ascii="Arial Narrow" w:hAnsi="Arial Narrow"/>
                <w:b/>
                <w:bCs/>
                <w:color w:val="000000"/>
                <w:sz w:val="20"/>
                <w:szCs w:val="20"/>
              </w:rPr>
            </w:pPr>
            <w:r>
              <w:rPr>
                <w:rFonts w:ascii="Arial Narrow" w:hAnsi="Arial Narrow"/>
                <w:b/>
                <w:bCs/>
                <w:color w:val="000000"/>
                <w:sz w:val="20"/>
                <w:szCs w:val="20"/>
              </w:rPr>
              <w:t>Pretest</w:t>
            </w:r>
            <w:r>
              <w:rPr>
                <w:rFonts w:ascii="Arial Narrow" w:hAnsi="Arial Narrow"/>
                <w:b/>
                <w:bCs/>
                <w:color w:val="000000"/>
                <w:sz w:val="20"/>
                <w:szCs w:val="20"/>
              </w:rPr>
              <w:br/>
              <w:t>Method</w:t>
            </w:r>
          </w:p>
        </w:tc>
        <w:tc>
          <w:tcPr>
            <w:tcW w:w="2140" w:type="dxa"/>
            <w:tcBorders>
              <w:top w:val="nil"/>
              <w:left w:val="nil"/>
              <w:bottom w:val="nil"/>
              <w:right w:val="nil"/>
            </w:tcBorders>
            <w:shd w:val="clear" w:color="000000" w:fill="C5D9F1"/>
            <w:noWrap/>
            <w:vAlign w:val="center"/>
            <w:hideMark/>
          </w:tcPr>
          <w:p w:rsidR="000E1784" w:rsidRPr="00D03F9C" w:rsidRDefault="000E1784" w:rsidP="00C10CCF">
            <w:pPr>
              <w:rPr>
                <w:rFonts w:ascii="Arial Narrow" w:hAnsi="Arial Narrow"/>
                <w:b/>
                <w:bCs/>
                <w:color w:val="000000"/>
                <w:sz w:val="20"/>
                <w:szCs w:val="20"/>
              </w:rPr>
            </w:pPr>
            <w:r w:rsidRPr="00D03F9C">
              <w:rPr>
                <w:rFonts w:ascii="Arial Narrow" w:hAnsi="Arial Narrow"/>
                <w:b/>
                <w:bCs/>
                <w:color w:val="000000"/>
                <w:sz w:val="20"/>
                <w:szCs w:val="20"/>
              </w:rPr>
              <w:t>Document Type</w:t>
            </w:r>
          </w:p>
        </w:tc>
      </w:tr>
      <w:tr w:rsidR="000E1784" w:rsidRPr="00D03F9C" w:rsidTr="006A525F">
        <w:trPr>
          <w:trHeight w:val="80"/>
          <w:jc w:val="center"/>
        </w:trPr>
        <w:tc>
          <w:tcPr>
            <w:tcW w:w="3510" w:type="dxa"/>
            <w:tcBorders>
              <w:top w:val="nil"/>
              <w:left w:val="nil"/>
              <w:bottom w:val="single" w:sz="8" w:space="0" w:color="666666"/>
              <w:right w:val="nil"/>
            </w:tcBorders>
            <w:shd w:val="clear" w:color="000000" w:fill="C5D9F1"/>
            <w:noWrap/>
            <w:hideMark/>
          </w:tcPr>
          <w:p w:rsidR="000E1784" w:rsidRPr="00D03F9C" w:rsidRDefault="000E1784" w:rsidP="00C10CCF">
            <w:pPr>
              <w:rPr>
                <w:rFonts w:ascii="Calibri" w:hAnsi="Calibri"/>
                <w:color w:val="000000"/>
              </w:rPr>
            </w:pPr>
          </w:p>
        </w:tc>
        <w:tc>
          <w:tcPr>
            <w:tcW w:w="1018" w:type="dxa"/>
            <w:tcBorders>
              <w:top w:val="nil"/>
              <w:left w:val="nil"/>
              <w:bottom w:val="single" w:sz="8" w:space="0" w:color="666666"/>
              <w:right w:val="nil"/>
            </w:tcBorders>
            <w:shd w:val="clear" w:color="000000" w:fill="C5D9F1"/>
            <w:noWrap/>
          </w:tcPr>
          <w:p w:rsidR="000E1784" w:rsidRPr="00D03F9C" w:rsidRDefault="000E1784" w:rsidP="006205A8">
            <w:pPr>
              <w:rPr>
                <w:rFonts w:ascii="Calibri" w:hAnsi="Calibri"/>
                <w:color w:val="000000"/>
              </w:rPr>
            </w:pPr>
          </w:p>
        </w:tc>
        <w:tc>
          <w:tcPr>
            <w:tcW w:w="5822" w:type="dxa"/>
            <w:tcBorders>
              <w:top w:val="nil"/>
              <w:left w:val="nil"/>
              <w:bottom w:val="single" w:sz="8" w:space="0" w:color="666666"/>
              <w:right w:val="nil"/>
            </w:tcBorders>
            <w:shd w:val="clear" w:color="000000" w:fill="C5D9F1"/>
            <w:noWrap/>
            <w:hideMark/>
          </w:tcPr>
          <w:p w:rsidR="000E1784" w:rsidRPr="00D03F9C" w:rsidRDefault="000E1784" w:rsidP="00C10CCF">
            <w:pPr>
              <w:rPr>
                <w:rFonts w:ascii="Calibri" w:hAnsi="Calibri"/>
                <w:color w:val="000000"/>
              </w:rPr>
            </w:pPr>
          </w:p>
        </w:tc>
        <w:tc>
          <w:tcPr>
            <w:tcW w:w="1388" w:type="dxa"/>
            <w:tcBorders>
              <w:top w:val="nil"/>
              <w:left w:val="nil"/>
              <w:bottom w:val="single" w:sz="8" w:space="0" w:color="666666"/>
              <w:right w:val="nil"/>
            </w:tcBorders>
            <w:shd w:val="clear" w:color="000000" w:fill="C5D9F1"/>
            <w:noWrap/>
            <w:hideMark/>
          </w:tcPr>
          <w:p w:rsidR="000E1784" w:rsidRPr="00D03F9C" w:rsidRDefault="000E1784" w:rsidP="00C10CCF">
            <w:pPr>
              <w:rPr>
                <w:rFonts w:ascii="Calibri" w:hAnsi="Calibri"/>
                <w:color w:val="000000"/>
              </w:rPr>
            </w:pPr>
          </w:p>
        </w:tc>
        <w:tc>
          <w:tcPr>
            <w:tcW w:w="2140" w:type="dxa"/>
            <w:tcBorders>
              <w:top w:val="nil"/>
              <w:left w:val="nil"/>
              <w:bottom w:val="single" w:sz="8" w:space="0" w:color="666666"/>
              <w:right w:val="nil"/>
            </w:tcBorders>
            <w:shd w:val="clear" w:color="000000" w:fill="C5D9F1"/>
            <w:noWrap/>
            <w:hideMark/>
          </w:tcPr>
          <w:p w:rsidR="000E1784" w:rsidRPr="00D03F9C" w:rsidRDefault="000E1784" w:rsidP="00C10CCF">
            <w:pPr>
              <w:rPr>
                <w:rFonts w:ascii="Calibri" w:hAnsi="Calibri"/>
                <w:color w:val="000000"/>
              </w:rPr>
            </w:pPr>
          </w:p>
        </w:tc>
      </w:tr>
      <w:tr w:rsidR="000E1784" w:rsidRPr="00D03F9C" w:rsidTr="00D5762D">
        <w:trPr>
          <w:trHeight w:val="315"/>
          <w:jc w:val="center"/>
        </w:trPr>
        <w:tc>
          <w:tcPr>
            <w:tcW w:w="3510" w:type="dxa"/>
            <w:vMerge w:val="restart"/>
            <w:tcBorders>
              <w:top w:val="nil"/>
              <w:left w:val="nil"/>
              <w:bottom w:val="single" w:sz="8" w:space="0" w:color="666666"/>
              <w:right w:val="nil"/>
            </w:tcBorders>
            <w:shd w:val="clear" w:color="000000" w:fill="D9D9D9"/>
            <w:noWrap/>
            <w:vAlign w:val="center"/>
            <w:hideMark/>
          </w:tcPr>
          <w:p w:rsidR="000E1784" w:rsidRPr="00D03F9C" w:rsidRDefault="000E1784" w:rsidP="00C10CCF">
            <w:pPr>
              <w:rPr>
                <w:rFonts w:ascii="Arial Narrow" w:hAnsi="Arial Narrow"/>
                <w:b/>
                <w:bCs/>
                <w:color w:val="000000"/>
                <w:sz w:val="20"/>
                <w:szCs w:val="20"/>
              </w:rPr>
            </w:pPr>
            <w:r w:rsidRPr="00D03F9C">
              <w:rPr>
                <w:rFonts w:ascii="Arial Narrow" w:hAnsi="Arial Narrow"/>
                <w:b/>
                <w:bCs/>
                <w:color w:val="000000"/>
                <w:sz w:val="20"/>
                <w:szCs w:val="20"/>
              </w:rPr>
              <w:t>State Agency Survey</w:t>
            </w:r>
          </w:p>
        </w:tc>
        <w:tc>
          <w:tcPr>
            <w:tcW w:w="1018" w:type="dxa"/>
            <w:tcBorders>
              <w:top w:val="nil"/>
              <w:left w:val="nil"/>
              <w:bottom w:val="single" w:sz="8" w:space="0" w:color="666666"/>
              <w:right w:val="nil"/>
            </w:tcBorders>
            <w:shd w:val="clear" w:color="000000" w:fill="D9D9D9"/>
            <w:noWrap/>
            <w:vAlign w:val="center"/>
          </w:tcPr>
          <w:p w:rsidR="000E1784" w:rsidRPr="00D03F9C" w:rsidRDefault="00A74D40" w:rsidP="00C10CCF">
            <w:pPr>
              <w:jc w:val="center"/>
              <w:rPr>
                <w:rFonts w:ascii="Arial Narrow" w:hAnsi="Arial Narrow"/>
                <w:color w:val="000000"/>
                <w:sz w:val="20"/>
                <w:szCs w:val="20"/>
              </w:rPr>
            </w:pPr>
            <w:r>
              <w:rPr>
                <w:rFonts w:ascii="Arial Narrow" w:hAnsi="Arial Narrow"/>
                <w:color w:val="000000"/>
                <w:sz w:val="20"/>
                <w:szCs w:val="20"/>
              </w:rPr>
              <w:t>A</w:t>
            </w:r>
            <w:r w:rsidR="006A525F" w:rsidRPr="00D03F9C">
              <w:rPr>
                <w:rFonts w:ascii="Arial Narrow" w:hAnsi="Arial Narrow"/>
                <w:color w:val="000000"/>
                <w:sz w:val="20"/>
                <w:szCs w:val="20"/>
              </w:rPr>
              <w:t>1</w:t>
            </w:r>
          </w:p>
        </w:tc>
        <w:tc>
          <w:tcPr>
            <w:tcW w:w="5822" w:type="dxa"/>
            <w:tcBorders>
              <w:top w:val="nil"/>
              <w:left w:val="nil"/>
              <w:bottom w:val="single" w:sz="8" w:space="0" w:color="666666"/>
              <w:right w:val="nil"/>
            </w:tcBorders>
            <w:shd w:val="clear" w:color="000000" w:fill="D9D9D9"/>
            <w:noWrap/>
            <w:vAlign w:val="center"/>
          </w:tcPr>
          <w:p w:rsidR="000E1784" w:rsidRPr="00D03F9C" w:rsidRDefault="006A525F" w:rsidP="00C10CCF">
            <w:pPr>
              <w:rPr>
                <w:rFonts w:ascii="Arial Narrow" w:hAnsi="Arial Narrow"/>
                <w:color w:val="000000"/>
                <w:sz w:val="20"/>
                <w:szCs w:val="20"/>
              </w:rPr>
            </w:pPr>
            <w:r w:rsidRPr="00D03F9C">
              <w:rPr>
                <w:rFonts w:ascii="Arial Narrow" w:hAnsi="Arial Narrow"/>
                <w:color w:val="000000"/>
                <w:sz w:val="20"/>
                <w:szCs w:val="20"/>
              </w:rPr>
              <w:t>State Agency Survey</w:t>
            </w:r>
          </w:p>
        </w:tc>
        <w:tc>
          <w:tcPr>
            <w:tcW w:w="1388" w:type="dxa"/>
            <w:tcBorders>
              <w:top w:val="nil"/>
              <w:left w:val="nil"/>
              <w:bottom w:val="single" w:sz="8" w:space="0" w:color="666666"/>
              <w:right w:val="nil"/>
            </w:tcBorders>
            <w:shd w:val="clear" w:color="000000" w:fill="D9D9D9"/>
            <w:noWrap/>
            <w:vAlign w:val="center"/>
          </w:tcPr>
          <w:p w:rsidR="000E1784" w:rsidRPr="00D03F9C" w:rsidRDefault="006A525F"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0E1784" w:rsidRPr="00D03F9C" w:rsidRDefault="006A525F" w:rsidP="00C10CCF">
            <w:pPr>
              <w:rPr>
                <w:rFonts w:ascii="Arial Narrow" w:hAnsi="Arial Narrow"/>
                <w:color w:val="000000"/>
                <w:sz w:val="20"/>
                <w:szCs w:val="20"/>
              </w:rPr>
            </w:pPr>
            <w:r w:rsidRPr="00D03F9C">
              <w:rPr>
                <w:rFonts w:ascii="Arial Narrow" w:hAnsi="Arial Narrow"/>
                <w:color w:val="000000"/>
                <w:sz w:val="20"/>
                <w:szCs w:val="20"/>
              </w:rPr>
              <w:t>instrument</w:t>
            </w:r>
          </w:p>
        </w:tc>
      </w:tr>
      <w:tr w:rsidR="006A525F" w:rsidRPr="00D03F9C" w:rsidTr="00D5762D">
        <w:trPr>
          <w:trHeight w:val="315"/>
          <w:jc w:val="center"/>
        </w:trPr>
        <w:tc>
          <w:tcPr>
            <w:tcW w:w="3510" w:type="dxa"/>
            <w:vMerge/>
            <w:tcBorders>
              <w:top w:val="nil"/>
              <w:left w:val="nil"/>
              <w:bottom w:val="single" w:sz="8" w:space="0" w:color="666666"/>
              <w:right w:val="nil"/>
            </w:tcBorders>
            <w:vAlign w:val="center"/>
          </w:tcPr>
          <w:p w:rsidR="006A525F" w:rsidRPr="00D03F9C" w:rsidRDefault="006A525F" w:rsidP="006A525F">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6A525F" w:rsidRPr="00D03F9C" w:rsidRDefault="00A74D40" w:rsidP="006A525F">
            <w:pPr>
              <w:jc w:val="center"/>
              <w:rPr>
                <w:rFonts w:ascii="Arial Narrow" w:hAnsi="Arial Narrow"/>
                <w:color w:val="000000"/>
                <w:sz w:val="20"/>
                <w:szCs w:val="20"/>
              </w:rPr>
            </w:pPr>
            <w:r>
              <w:rPr>
                <w:rFonts w:ascii="Arial Narrow" w:hAnsi="Arial Narrow"/>
                <w:color w:val="000000"/>
                <w:sz w:val="20"/>
                <w:szCs w:val="20"/>
              </w:rPr>
              <w:t>B1</w:t>
            </w:r>
          </w:p>
        </w:tc>
        <w:tc>
          <w:tcPr>
            <w:tcW w:w="5822" w:type="dxa"/>
            <w:tcBorders>
              <w:top w:val="nil"/>
              <w:left w:val="nil"/>
              <w:bottom w:val="single" w:sz="8" w:space="0" w:color="666666"/>
              <w:right w:val="nil"/>
            </w:tcBorders>
            <w:shd w:val="clear" w:color="000000" w:fill="D9D9D9"/>
            <w:noWrap/>
            <w:vAlign w:val="center"/>
          </w:tcPr>
          <w:p w:rsidR="006A525F" w:rsidRPr="00D03F9C" w:rsidRDefault="006A525F" w:rsidP="006A525F">
            <w:pPr>
              <w:rPr>
                <w:rFonts w:ascii="Arial Narrow" w:hAnsi="Arial Narrow"/>
                <w:color w:val="000000"/>
                <w:sz w:val="20"/>
                <w:szCs w:val="20"/>
              </w:rPr>
            </w:pPr>
            <w:r w:rsidRPr="00D03F9C">
              <w:rPr>
                <w:rFonts w:ascii="Arial Narrow" w:hAnsi="Arial Narrow"/>
                <w:color w:val="000000"/>
                <w:sz w:val="20"/>
                <w:szCs w:val="20"/>
              </w:rPr>
              <w:t>Notification Email to Regional and State Offices</w:t>
            </w:r>
          </w:p>
        </w:tc>
        <w:tc>
          <w:tcPr>
            <w:tcW w:w="1388" w:type="dxa"/>
            <w:tcBorders>
              <w:top w:val="nil"/>
              <w:left w:val="nil"/>
              <w:bottom w:val="single" w:sz="8" w:space="0" w:color="666666"/>
              <w:right w:val="nil"/>
            </w:tcBorders>
            <w:shd w:val="clear" w:color="000000" w:fill="D9D9D9"/>
            <w:noWrap/>
            <w:vAlign w:val="center"/>
          </w:tcPr>
          <w:p w:rsidR="006A525F" w:rsidRDefault="006A525F"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D9D9D9"/>
            <w:noWrap/>
            <w:vAlign w:val="center"/>
          </w:tcPr>
          <w:p w:rsidR="006A525F" w:rsidRPr="00D03F9C" w:rsidRDefault="006A525F" w:rsidP="006A525F">
            <w:pPr>
              <w:rPr>
                <w:rFonts w:ascii="Arial Narrow" w:hAnsi="Arial Narrow"/>
                <w:color w:val="000000"/>
                <w:sz w:val="20"/>
                <w:szCs w:val="20"/>
              </w:rPr>
            </w:pPr>
            <w:r w:rsidRPr="00D03F9C">
              <w:rPr>
                <w:rFonts w:ascii="Arial Narrow" w:hAnsi="Arial Narrow"/>
                <w:color w:val="000000"/>
                <w:sz w:val="20"/>
                <w:szCs w:val="20"/>
              </w:rPr>
              <w:t>recruitment materials</w:t>
            </w:r>
          </w:p>
        </w:tc>
      </w:tr>
      <w:tr w:rsidR="000E1784" w:rsidRPr="00D03F9C" w:rsidTr="00D5762D">
        <w:trPr>
          <w:trHeight w:val="315"/>
          <w:jc w:val="center"/>
        </w:trPr>
        <w:tc>
          <w:tcPr>
            <w:tcW w:w="3510" w:type="dxa"/>
            <w:vMerge/>
            <w:tcBorders>
              <w:top w:val="nil"/>
              <w:left w:val="nil"/>
              <w:bottom w:val="single" w:sz="8" w:space="0" w:color="666666"/>
              <w:right w:val="nil"/>
            </w:tcBorders>
            <w:vAlign w:val="center"/>
            <w:hideMark/>
          </w:tcPr>
          <w:p w:rsidR="000E1784" w:rsidRPr="00D03F9C" w:rsidRDefault="000E1784" w:rsidP="00C10CCF">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0E1784" w:rsidRPr="00D03F9C" w:rsidRDefault="00A74D40" w:rsidP="00C10CCF">
            <w:pPr>
              <w:jc w:val="center"/>
              <w:rPr>
                <w:rFonts w:ascii="Arial Narrow" w:hAnsi="Arial Narrow"/>
                <w:color w:val="000000"/>
                <w:sz w:val="20"/>
                <w:szCs w:val="20"/>
              </w:rPr>
            </w:pPr>
            <w:r>
              <w:rPr>
                <w:rFonts w:ascii="Arial Narrow" w:hAnsi="Arial Narrow"/>
                <w:color w:val="000000"/>
                <w:sz w:val="20"/>
                <w:szCs w:val="20"/>
              </w:rPr>
              <w:t>B2</w:t>
            </w:r>
          </w:p>
        </w:tc>
        <w:tc>
          <w:tcPr>
            <w:tcW w:w="5822" w:type="dxa"/>
            <w:tcBorders>
              <w:top w:val="nil"/>
              <w:left w:val="nil"/>
              <w:bottom w:val="single" w:sz="8" w:space="0" w:color="666666"/>
              <w:right w:val="nil"/>
            </w:tcBorders>
            <w:shd w:val="clear" w:color="000000" w:fill="D9D9D9"/>
            <w:noWrap/>
            <w:vAlign w:val="center"/>
            <w:hideMark/>
          </w:tcPr>
          <w:p w:rsidR="000E1784" w:rsidRPr="00D03F9C" w:rsidRDefault="000E1784" w:rsidP="00C10CCF">
            <w:pPr>
              <w:rPr>
                <w:rFonts w:ascii="Arial Narrow" w:hAnsi="Arial Narrow"/>
                <w:color w:val="000000"/>
                <w:sz w:val="20"/>
                <w:szCs w:val="20"/>
              </w:rPr>
            </w:pPr>
            <w:r w:rsidRPr="00D03F9C">
              <w:rPr>
                <w:rFonts w:ascii="Arial Narrow" w:hAnsi="Arial Narrow"/>
                <w:color w:val="000000"/>
                <w:sz w:val="20"/>
                <w:szCs w:val="20"/>
              </w:rPr>
              <w:t>Letter to State Agencies</w:t>
            </w:r>
            <w:r>
              <w:rPr>
                <w:rFonts w:ascii="Arial Narrow" w:hAnsi="Arial Narrow"/>
                <w:color w:val="000000"/>
                <w:sz w:val="20"/>
                <w:szCs w:val="20"/>
              </w:rPr>
              <w:t xml:space="preserve"> from Regional Offices</w:t>
            </w:r>
          </w:p>
        </w:tc>
        <w:tc>
          <w:tcPr>
            <w:tcW w:w="1388" w:type="dxa"/>
            <w:tcBorders>
              <w:top w:val="nil"/>
              <w:left w:val="nil"/>
              <w:bottom w:val="single" w:sz="8" w:space="0" w:color="666666"/>
              <w:right w:val="nil"/>
            </w:tcBorders>
            <w:shd w:val="clear" w:color="000000" w:fill="D9D9D9"/>
            <w:noWrap/>
            <w:vAlign w:val="center"/>
            <w:hideMark/>
          </w:tcPr>
          <w:p w:rsidR="000E1784" w:rsidRPr="00D03F9C" w:rsidRDefault="00C86943"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D9D9D9"/>
            <w:noWrap/>
            <w:vAlign w:val="center"/>
            <w:hideMark/>
          </w:tcPr>
          <w:p w:rsidR="000E1784" w:rsidRPr="00D03F9C" w:rsidRDefault="000E1784" w:rsidP="00C10CCF">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9D679B" w:rsidRDefault="00D33848" w:rsidP="009D679B">
            <w:pPr>
              <w:jc w:val="center"/>
              <w:rPr>
                <w:rFonts w:ascii="Arial Narrow" w:hAnsi="Arial Narrow"/>
                <w:color w:val="000000"/>
                <w:sz w:val="20"/>
                <w:szCs w:val="20"/>
              </w:rPr>
            </w:pPr>
            <w:r>
              <w:rPr>
                <w:rFonts w:ascii="Arial Narrow" w:hAnsi="Arial Narrow"/>
                <w:color w:val="000000"/>
                <w:sz w:val="20"/>
                <w:szCs w:val="20"/>
              </w:rPr>
              <w:t>B3</w:t>
            </w:r>
          </w:p>
        </w:tc>
        <w:tc>
          <w:tcPr>
            <w:tcW w:w="5822" w:type="dxa"/>
            <w:tcBorders>
              <w:top w:val="nil"/>
              <w:left w:val="nil"/>
              <w:bottom w:val="single" w:sz="8" w:space="0" w:color="666666"/>
              <w:right w:val="nil"/>
            </w:tcBorders>
            <w:shd w:val="clear" w:color="000000" w:fill="D9D9D9"/>
            <w:noWrap/>
            <w:vAlign w:val="center"/>
          </w:tcPr>
          <w:p w:rsidR="009D679B" w:rsidRPr="00D03F9C" w:rsidDel="003142F6" w:rsidRDefault="009D679B" w:rsidP="009D679B">
            <w:pPr>
              <w:rPr>
                <w:rFonts w:ascii="Arial Narrow" w:hAnsi="Arial Narrow"/>
                <w:color w:val="000000"/>
                <w:sz w:val="20"/>
                <w:szCs w:val="20"/>
              </w:rPr>
            </w:pPr>
            <w:r w:rsidRPr="00D03F9C">
              <w:rPr>
                <w:rFonts w:ascii="Arial Narrow" w:hAnsi="Arial Narrow"/>
                <w:color w:val="000000"/>
                <w:sz w:val="20"/>
                <w:szCs w:val="20"/>
              </w:rPr>
              <w:t>State Agency Survey Invitation Email</w:t>
            </w:r>
          </w:p>
        </w:tc>
        <w:tc>
          <w:tcPr>
            <w:tcW w:w="1388" w:type="dxa"/>
            <w:tcBorders>
              <w:top w:val="nil"/>
              <w:left w:val="nil"/>
              <w:bottom w:val="single" w:sz="8" w:space="0" w:color="666666"/>
              <w:right w:val="nil"/>
            </w:tcBorders>
            <w:shd w:val="clear" w:color="000000" w:fill="D9D9D9"/>
            <w:noWrap/>
            <w:vAlign w:val="center"/>
          </w:tcPr>
          <w:p w:rsidR="009D679B" w:rsidRDefault="00D5762D" w:rsidP="00D5762D">
            <w:pPr>
              <w:rPr>
                <w:rFonts w:ascii="Arial Narrow" w:hAnsi="Arial Narrow"/>
                <w:color w:val="000000"/>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D9D9D9"/>
            <w:noWrap/>
            <w:vAlign w:val="center"/>
          </w:tcPr>
          <w:p w:rsidR="009D679B" w:rsidRDefault="006A525F" w:rsidP="009D679B">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9D679B" w:rsidRDefault="00D33848" w:rsidP="009D679B">
            <w:pPr>
              <w:jc w:val="center"/>
              <w:rPr>
                <w:rFonts w:ascii="Arial Narrow" w:hAnsi="Arial Narrow"/>
                <w:color w:val="000000"/>
                <w:sz w:val="20"/>
                <w:szCs w:val="20"/>
              </w:rPr>
            </w:pPr>
            <w:r>
              <w:rPr>
                <w:rFonts w:ascii="Arial Narrow" w:hAnsi="Arial Narrow"/>
                <w:color w:val="000000"/>
                <w:sz w:val="20"/>
                <w:szCs w:val="20"/>
              </w:rPr>
              <w:t>B4</w:t>
            </w:r>
          </w:p>
        </w:tc>
        <w:tc>
          <w:tcPr>
            <w:tcW w:w="5822" w:type="dxa"/>
            <w:tcBorders>
              <w:top w:val="nil"/>
              <w:left w:val="nil"/>
              <w:bottom w:val="single" w:sz="8" w:space="0" w:color="666666"/>
              <w:right w:val="nil"/>
            </w:tcBorders>
            <w:shd w:val="clear" w:color="000000" w:fill="D9D9D9"/>
            <w:noWrap/>
            <w:vAlign w:val="center"/>
          </w:tcPr>
          <w:p w:rsidR="009D679B" w:rsidRPr="00D03F9C" w:rsidDel="003142F6" w:rsidRDefault="009D679B" w:rsidP="009D679B">
            <w:pPr>
              <w:rPr>
                <w:rFonts w:ascii="Arial Narrow" w:hAnsi="Arial Narrow"/>
                <w:color w:val="000000"/>
                <w:sz w:val="20"/>
                <w:szCs w:val="20"/>
              </w:rPr>
            </w:pPr>
            <w:r w:rsidRPr="00D03F9C">
              <w:rPr>
                <w:rFonts w:ascii="Arial Narrow" w:hAnsi="Arial Narrow"/>
                <w:color w:val="000000"/>
                <w:sz w:val="20"/>
                <w:szCs w:val="20"/>
              </w:rPr>
              <w:t>State Agency Survey Invitation Letter with Instrument</w:t>
            </w:r>
          </w:p>
        </w:tc>
        <w:tc>
          <w:tcPr>
            <w:tcW w:w="1388" w:type="dxa"/>
            <w:tcBorders>
              <w:top w:val="nil"/>
              <w:left w:val="nil"/>
              <w:bottom w:val="single" w:sz="8" w:space="0" w:color="666666"/>
              <w:right w:val="nil"/>
            </w:tcBorders>
            <w:shd w:val="clear" w:color="000000" w:fill="D9D9D9"/>
            <w:noWrap/>
            <w:vAlign w:val="center"/>
          </w:tcPr>
          <w:p w:rsidR="009D679B" w:rsidRDefault="009D679B" w:rsidP="00D5762D">
            <w:pPr>
              <w:rPr>
                <w:rFonts w:ascii="Arial Narrow" w:hAnsi="Arial Narrow"/>
                <w:color w:val="000000"/>
                <w:sz w:val="20"/>
                <w:szCs w:val="20"/>
              </w:rPr>
            </w:pPr>
            <w:r w:rsidRPr="0059240E">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D9D9D9"/>
            <w:noWrap/>
            <w:vAlign w:val="center"/>
          </w:tcPr>
          <w:p w:rsidR="009D679B" w:rsidRDefault="006A525F" w:rsidP="009D679B">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9D679B" w:rsidRPr="00D03F9C" w:rsidRDefault="00D33848" w:rsidP="009D679B">
            <w:pPr>
              <w:jc w:val="center"/>
              <w:rPr>
                <w:rFonts w:ascii="Arial Narrow" w:hAnsi="Arial Narrow"/>
                <w:color w:val="000000"/>
                <w:sz w:val="20"/>
                <w:szCs w:val="20"/>
              </w:rPr>
            </w:pPr>
            <w:r>
              <w:rPr>
                <w:rFonts w:ascii="Arial Narrow" w:hAnsi="Arial Narrow"/>
                <w:color w:val="000000"/>
                <w:sz w:val="20"/>
                <w:szCs w:val="20"/>
              </w:rPr>
              <w:t>B5</w:t>
            </w:r>
          </w:p>
        </w:tc>
        <w:tc>
          <w:tcPr>
            <w:tcW w:w="5822" w:type="dxa"/>
            <w:tcBorders>
              <w:top w:val="nil"/>
              <w:left w:val="nil"/>
              <w:bottom w:val="single" w:sz="8" w:space="0" w:color="666666"/>
              <w:right w:val="nil"/>
            </w:tcBorders>
            <w:shd w:val="clear" w:color="000000" w:fill="D9D9D9"/>
            <w:noWrap/>
            <w:vAlign w:val="center"/>
          </w:tcPr>
          <w:p w:rsidR="009D679B" w:rsidRPr="00D03F9C" w:rsidDel="003142F6" w:rsidRDefault="009D679B" w:rsidP="009D679B">
            <w:pPr>
              <w:rPr>
                <w:rFonts w:ascii="Arial Narrow" w:hAnsi="Arial Narrow"/>
                <w:color w:val="000000"/>
                <w:sz w:val="20"/>
                <w:szCs w:val="20"/>
              </w:rPr>
            </w:pPr>
            <w:r w:rsidRPr="00D03F9C">
              <w:rPr>
                <w:rFonts w:ascii="Arial Narrow" w:hAnsi="Arial Narrow"/>
                <w:color w:val="000000"/>
                <w:sz w:val="20"/>
                <w:szCs w:val="20"/>
              </w:rPr>
              <w:t>State Agency Survey Reminder Email</w:t>
            </w:r>
          </w:p>
        </w:tc>
        <w:tc>
          <w:tcPr>
            <w:tcW w:w="1388" w:type="dxa"/>
            <w:tcBorders>
              <w:top w:val="nil"/>
              <w:left w:val="nil"/>
              <w:bottom w:val="single" w:sz="8" w:space="0" w:color="666666"/>
              <w:right w:val="nil"/>
            </w:tcBorders>
            <w:shd w:val="clear" w:color="000000" w:fill="D9D9D9"/>
            <w:noWrap/>
            <w:vAlign w:val="center"/>
          </w:tcPr>
          <w:p w:rsidR="009D679B" w:rsidRDefault="009D679B" w:rsidP="00D5762D">
            <w:pPr>
              <w:rPr>
                <w:rFonts w:ascii="Arial Narrow" w:hAnsi="Arial Narrow"/>
                <w:color w:val="000000"/>
                <w:sz w:val="20"/>
                <w:szCs w:val="20"/>
              </w:rPr>
            </w:pPr>
            <w:r w:rsidRPr="0059240E">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D9D9D9"/>
            <w:noWrap/>
            <w:vAlign w:val="center"/>
          </w:tcPr>
          <w:p w:rsidR="009D679B" w:rsidRPr="00D03F9C" w:rsidRDefault="00D33848" w:rsidP="009D679B">
            <w:pPr>
              <w:rPr>
                <w:rFonts w:ascii="Arial Narrow" w:hAnsi="Arial Narrow"/>
                <w:color w:val="000000"/>
                <w:sz w:val="20"/>
                <w:szCs w:val="20"/>
              </w:rPr>
            </w:pPr>
            <w:r w:rsidRPr="00D03F9C">
              <w:rPr>
                <w:rFonts w:ascii="Arial Narrow" w:hAnsi="Arial Narrow"/>
                <w:color w:val="000000"/>
                <w:sz w:val="20"/>
                <w:szCs w:val="20"/>
              </w:rPr>
              <w:t>recruitment</w:t>
            </w:r>
            <w:r w:rsidR="006A525F" w:rsidRPr="00D03F9C">
              <w:rPr>
                <w:rFonts w:ascii="Arial Narrow" w:hAnsi="Arial Narrow"/>
                <w:color w:val="000000"/>
                <w:sz w:val="20"/>
                <w:szCs w:val="20"/>
              </w:rPr>
              <w:t xml:space="preserve">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hideMark/>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9D679B" w:rsidRPr="00D03F9C" w:rsidRDefault="00D33848" w:rsidP="009D679B">
            <w:pPr>
              <w:jc w:val="center"/>
              <w:rPr>
                <w:rFonts w:ascii="Arial Narrow" w:hAnsi="Arial Narrow"/>
                <w:color w:val="000000"/>
                <w:sz w:val="20"/>
                <w:szCs w:val="20"/>
              </w:rPr>
            </w:pPr>
            <w:r>
              <w:rPr>
                <w:rFonts w:ascii="Arial Narrow" w:hAnsi="Arial Narrow"/>
                <w:color w:val="000000"/>
                <w:sz w:val="20"/>
                <w:szCs w:val="20"/>
              </w:rPr>
              <w:t>B6</w:t>
            </w:r>
          </w:p>
        </w:tc>
        <w:tc>
          <w:tcPr>
            <w:tcW w:w="5822" w:type="dxa"/>
            <w:tcBorders>
              <w:top w:val="nil"/>
              <w:left w:val="nil"/>
              <w:bottom w:val="single" w:sz="8" w:space="0" w:color="666666"/>
              <w:right w:val="nil"/>
            </w:tcBorders>
            <w:shd w:val="clear" w:color="000000" w:fill="D9D9D9"/>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State Agency Survey Reminder Phone Script</w:t>
            </w:r>
            <w:r w:rsidRPr="00D03F9C" w:rsidDel="003142F6">
              <w:rPr>
                <w:rFonts w:ascii="Arial Narrow" w:hAnsi="Arial Narrow"/>
                <w:color w:val="000000"/>
                <w:sz w:val="20"/>
                <w:szCs w:val="20"/>
              </w:rPr>
              <w:t xml:space="preserve"> </w:t>
            </w:r>
          </w:p>
        </w:tc>
        <w:tc>
          <w:tcPr>
            <w:tcW w:w="1388" w:type="dxa"/>
            <w:tcBorders>
              <w:top w:val="nil"/>
              <w:left w:val="nil"/>
              <w:bottom w:val="single" w:sz="8" w:space="0" w:color="666666"/>
              <w:right w:val="nil"/>
            </w:tcBorders>
            <w:shd w:val="clear" w:color="000000" w:fill="D9D9D9"/>
            <w:noWrap/>
            <w:vAlign w:val="center"/>
            <w:hideMark/>
          </w:tcPr>
          <w:p w:rsidR="009D679B" w:rsidRPr="00D03F9C" w:rsidRDefault="009D679B"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D9D9D9"/>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recruitment materials</w:t>
            </w:r>
          </w:p>
        </w:tc>
      </w:tr>
      <w:tr w:rsidR="006A525F" w:rsidRPr="00D03F9C" w:rsidTr="00D5762D">
        <w:trPr>
          <w:trHeight w:val="315"/>
          <w:jc w:val="center"/>
        </w:trPr>
        <w:tc>
          <w:tcPr>
            <w:tcW w:w="3510" w:type="dxa"/>
            <w:vMerge/>
            <w:tcBorders>
              <w:top w:val="nil"/>
              <w:left w:val="nil"/>
              <w:bottom w:val="single" w:sz="8" w:space="0" w:color="666666"/>
              <w:right w:val="nil"/>
            </w:tcBorders>
            <w:vAlign w:val="center"/>
          </w:tcPr>
          <w:p w:rsidR="006A525F" w:rsidRPr="00D03F9C" w:rsidRDefault="006A525F" w:rsidP="006A525F">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D9D9D9"/>
            <w:noWrap/>
            <w:vAlign w:val="center"/>
          </w:tcPr>
          <w:p w:rsidR="006A525F" w:rsidRPr="00D03F9C" w:rsidRDefault="00D33848" w:rsidP="006A525F">
            <w:pPr>
              <w:jc w:val="center"/>
              <w:rPr>
                <w:rFonts w:ascii="Arial Narrow" w:hAnsi="Arial Narrow"/>
                <w:color w:val="000000"/>
                <w:sz w:val="20"/>
                <w:szCs w:val="20"/>
              </w:rPr>
            </w:pPr>
            <w:r>
              <w:rPr>
                <w:rFonts w:ascii="Arial Narrow" w:hAnsi="Arial Narrow"/>
                <w:color w:val="000000"/>
                <w:sz w:val="20"/>
                <w:szCs w:val="20"/>
              </w:rPr>
              <w:t>C</w:t>
            </w:r>
            <w:r w:rsidR="00D5762D">
              <w:rPr>
                <w:rFonts w:ascii="Arial Narrow" w:hAnsi="Arial Narrow"/>
                <w:color w:val="000000"/>
                <w:sz w:val="20"/>
                <w:szCs w:val="20"/>
              </w:rPr>
              <w:t>3</w:t>
            </w:r>
          </w:p>
        </w:tc>
        <w:tc>
          <w:tcPr>
            <w:tcW w:w="5822" w:type="dxa"/>
            <w:tcBorders>
              <w:top w:val="nil"/>
              <w:left w:val="nil"/>
              <w:bottom w:val="single" w:sz="8" w:space="0" w:color="666666"/>
              <w:right w:val="nil"/>
            </w:tcBorders>
            <w:shd w:val="clear" w:color="000000" w:fill="D9D9D9"/>
            <w:noWrap/>
            <w:vAlign w:val="center"/>
          </w:tcPr>
          <w:p w:rsidR="006A525F" w:rsidRPr="00BD4756" w:rsidRDefault="006A525F" w:rsidP="006A525F">
            <w:pPr>
              <w:rPr>
                <w:rFonts w:ascii="Arial Narrow" w:hAnsi="Arial Narrow"/>
                <w:color w:val="000000"/>
                <w:sz w:val="20"/>
                <w:szCs w:val="20"/>
              </w:rPr>
            </w:pPr>
            <w:r w:rsidRPr="00BD4756">
              <w:rPr>
                <w:rFonts w:ascii="Arial Narrow" w:hAnsi="Arial Narrow"/>
                <w:color w:val="000000"/>
                <w:sz w:val="20"/>
                <w:szCs w:val="20"/>
              </w:rPr>
              <w:t>State Agency Survey Thank You Letter</w:t>
            </w:r>
          </w:p>
        </w:tc>
        <w:tc>
          <w:tcPr>
            <w:tcW w:w="1388" w:type="dxa"/>
            <w:tcBorders>
              <w:top w:val="nil"/>
              <w:left w:val="nil"/>
              <w:bottom w:val="single" w:sz="8" w:space="0" w:color="666666"/>
              <w:right w:val="nil"/>
            </w:tcBorders>
            <w:shd w:val="clear" w:color="000000" w:fill="D9D9D9"/>
            <w:noWrap/>
            <w:vAlign w:val="center"/>
          </w:tcPr>
          <w:p w:rsidR="006A525F" w:rsidRDefault="006A525F"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D9D9D9"/>
            <w:noWrap/>
            <w:vAlign w:val="center"/>
          </w:tcPr>
          <w:p w:rsidR="006A525F" w:rsidRPr="00D03F9C" w:rsidRDefault="006A525F" w:rsidP="006A525F">
            <w:pPr>
              <w:rPr>
                <w:rFonts w:ascii="Arial Narrow" w:hAnsi="Arial Narrow"/>
                <w:color w:val="000000"/>
                <w:sz w:val="20"/>
                <w:szCs w:val="20"/>
              </w:rPr>
            </w:pPr>
            <w:r>
              <w:rPr>
                <w:rFonts w:ascii="Arial Narrow" w:hAnsi="Arial Narrow"/>
                <w:color w:val="000000"/>
                <w:sz w:val="20"/>
                <w:szCs w:val="20"/>
              </w:rPr>
              <w:t>communication</w:t>
            </w:r>
            <w:r w:rsidRPr="00D03F9C">
              <w:rPr>
                <w:rFonts w:ascii="Arial Narrow" w:hAnsi="Arial Narrow"/>
                <w:color w:val="000000"/>
                <w:sz w:val="20"/>
                <w:szCs w:val="20"/>
              </w:rPr>
              <w:t xml:space="preserve"> materials</w:t>
            </w:r>
          </w:p>
        </w:tc>
      </w:tr>
      <w:tr w:rsidR="006A525F" w:rsidRPr="00D03F9C" w:rsidTr="00D5762D">
        <w:trPr>
          <w:trHeight w:val="315"/>
          <w:jc w:val="center"/>
        </w:trPr>
        <w:tc>
          <w:tcPr>
            <w:tcW w:w="3510" w:type="dxa"/>
            <w:vMerge w:val="restart"/>
            <w:tcBorders>
              <w:top w:val="nil"/>
              <w:left w:val="nil"/>
              <w:bottom w:val="single" w:sz="8" w:space="0" w:color="666666"/>
              <w:right w:val="nil"/>
            </w:tcBorders>
            <w:vAlign w:val="center"/>
          </w:tcPr>
          <w:p w:rsidR="006A525F" w:rsidRPr="00D03F9C" w:rsidRDefault="006A525F" w:rsidP="006A525F">
            <w:pPr>
              <w:rPr>
                <w:rFonts w:ascii="Arial Narrow" w:hAnsi="Arial Narrow"/>
                <w:b/>
                <w:bCs/>
                <w:color w:val="000000"/>
                <w:sz w:val="20"/>
                <w:szCs w:val="20"/>
              </w:rPr>
            </w:pPr>
            <w:r w:rsidRPr="00D03F9C">
              <w:rPr>
                <w:rFonts w:ascii="Arial Narrow" w:hAnsi="Arial Narrow"/>
                <w:b/>
                <w:bCs/>
                <w:color w:val="000000"/>
                <w:sz w:val="20"/>
                <w:szCs w:val="20"/>
              </w:rPr>
              <w:t>Local WIC Agency Survey</w:t>
            </w:r>
          </w:p>
        </w:tc>
        <w:tc>
          <w:tcPr>
            <w:tcW w:w="1018" w:type="dxa"/>
            <w:tcBorders>
              <w:top w:val="nil"/>
              <w:left w:val="nil"/>
              <w:bottom w:val="single" w:sz="8" w:space="0" w:color="666666"/>
              <w:right w:val="nil"/>
            </w:tcBorders>
            <w:shd w:val="clear" w:color="000000" w:fill="FFFFFF"/>
            <w:noWrap/>
            <w:vAlign w:val="center"/>
          </w:tcPr>
          <w:p w:rsidR="006A525F" w:rsidRDefault="00A74D40" w:rsidP="006A525F">
            <w:pPr>
              <w:jc w:val="center"/>
              <w:rPr>
                <w:rFonts w:ascii="Arial Narrow" w:hAnsi="Arial Narrow"/>
                <w:color w:val="000000"/>
                <w:sz w:val="20"/>
                <w:szCs w:val="20"/>
              </w:rPr>
            </w:pPr>
            <w:r>
              <w:rPr>
                <w:rFonts w:ascii="Arial Narrow" w:hAnsi="Arial Narrow"/>
                <w:color w:val="000000"/>
                <w:sz w:val="20"/>
                <w:szCs w:val="20"/>
              </w:rPr>
              <w:t>A</w:t>
            </w:r>
            <w:r w:rsidR="006A525F" w:rsidRPr="00D03F9C">
              <w:rPr>
                <w:rFonts w:ascii="Arial Narrow" w:hAnsi="Arial Narrow"/>
                <w:color w:val="000000"/>
                <w:sz w:val="20"/>
                <w:szCs w:val="20"/>
              </w:rPr>
              <w:t>2</w:t>
            </w:r>
          </w:p>
        </w:tc>
        <w:tc>
          <w:tcPr>
            <w:tcW w:w="5822" w:type="dxa"/>
            <w:tcBorders>
              <w:top w:val="nil"/>
              <w:left w:val="nil"/>
              <w:bottom w:val="single" w:sz="8" w:space="0" w:color="666666"/>
              <w:right w:val="nil"/>
            </w:tcBorders>
            <w:shd w:val="clear" w:color="000000" w:fill="FFFFFF"/>
            <w:noWrap/>
            <w:vAlign w:val="center"/>
          </w:tcPr>
          <w:p w:rsidR="006A525F" w:rsidRPr="009D679B" w:rsidRDefault="006A525F" w:rsidP="006A525F">
            <w:pPr>
              <w:rPr>
                <w:rFonts w:ascii="Arial Narrow" w:hAnsi="Arial Narrow"/>
                <w:color w:val="000000"/>
                <w:sz w:val="20"/>
                <w:szCs w:val="20"/>
              </w:rPr>
            </w:pPr>
            <w:r w:rsidRPr="00D03F9C">
              <w:rPr>
                <w:rFonts w:ascii="Arial Narrow" w:hAnsi="Arial Narrow"/>
                <w:color w:val="000000"/>
                <w:sz w:val="20"/>
                <w:szCs w:val="20"/>
              </w:rPr>
              <w:t>Local WIC Agency Survey</w:t>
            </w:r>
          </w:p>
        </w:tc>
        <w:tc>
          <w:tcPr>
            <w:tcW w:w="1388" w:type="dxa"/>
            <w:tcBorders>
              <w:top w:val="nil"/>
              <w:left w:val="nil"/>
              <w:bottom w:val="single" w:sz="8" w:space="0" w:color="666666"/>
              <w:right w:val="nil"/>
            </w:tcBorders>
            <w:shd w:val="clear" w:color="000000" w:fill="FFFFFF"/>
            <w:noWrap/>
            <w:vAlign w:val="center"/>
          </w:tcPr>
          <w:p w:rsidR="006A525F" w:rsidRDefault="006A525F"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6A525F" w:rsidRPr="00D03F9C" w:rsidRDefault="006A525F" w:rsidP="006A525F">
            <w:pPr>
              <w:rPr>
                <w:rFonts w:ascii="Arial Narrow" w:hAnsi="Arial Narrow"/>
                <w:color w:val="000000"/>
                <w:sz w:val="20"/>
                <w:szCs w:val="20"/>
              </w:rPr>
            </w:pPr>
            <w:r w:rsidRPr="00D03F9C">
              <w:rPr>
                <w:rFonts w:ascii="Arial Narrow" w:hAnsi="Arial Narrow"/>
                <w:color w:val="000000"/>
                <w:sz w:val="20"/>
                <w:szCs w:val="20"/>
              </w:rPr>
              <w:t>instrument</w:t>
            </w:r>
          </w:p>
        </w:tc>
      </w:tr>
      <w:tr w:rsidR="006A525F" w:rsidRPr="00D03F9C" w:rsidTr="00D5762D">
        <w:trPr>
          <w:trHeight w:val="315"/>
          <w:jc w:val="center"/>
        </w:trPr>
        <w:tc>
          <w:tcPr>
            <w:tcW w:w="3510" w:type="dxa"/>
            <w:vMerge/>
            <w:tcBorders>
              <w:top w:val="nil"/>
              <w:left w:val="nil"/>
              <w:bottom w:val="single" w:sz="8" w:space="0" w:color="666666"/>
              <w:right w:val="nil"/>
            </w:tcBorders>
            <w:vAlign w:val="center"/>
          </w:tcPr>
          <w:p w:rsidR="006A525F" w:rsidRPr="00D03F9C" w:rsidRDefault="006A525F" w:rsidP="006A525F">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6A525F" w:rsidRDefault="00D33848" w:rsidP="006A525F">
            <w:pPr>
              <w:jc w:val="center"/>
              <w:rPr>
                <w:rFonts w:ascii="Arial Narrow" w:hAnsi="Arial Narrow"/>
                <w:color w:val="000000"/>
                <w:sz w:val="20"/>
                <w:szCs w:val="20"/>
              </w:rPr>
            </w:pPr>
            <w:r>
              <w:rPr>
                <w:rFonts w:ascii="Arial Narrow" w:hAnsi="Arial Narrow"/>
                <w:color w:val="000000"/>
                <w:sz w:val="20"/>
                <w:szCs w:val="20"/>
              </w:rPr>
              <w:t>B7</w:t>
            </w:r>
          </w:p>
        </w:tc>
        <w:tc>
          <w:tcPr>
            <w:tcW w:w="5822" w:type="dxa"/>
            <w:tcBorders>
              <w:top w:val="nil"/>
              <w:left w:val="nil"/>
              <w:bottom w:val="single" w:sz="8" w:space="0" w:color="666666"/>
              <w:right w:val="nil"/>
            </w:tcBorders>
            <w:shd w:val="clear" w:color="000000" w:fill="FFFFFF"/>
            <w:noWrap/>
            <w:vAlign w:val="center"/>
          </w:tcPr>
          <w:p w:rsidR="006A525F" w:rsidRPr="000D3C74" w:rsidRDefault="006A525F" w:rsidP="006A525F">
            <w:pPr>
              <w:rPr>
                <w:rFonts w:ascii="Arial Narrow" w:hAnsi="Arial Narrow"/>
                <w:sz w:val="20"/>
                <w:szCs w:val="20"/>
              </w:rPr>
            </w:pPr>
            <w:r w:rsidRPr="000D3C74">
              <w:rPr>
                <w:rFonts w:ascii="Arial Narrow" w:hAnsi="Arial Narrow"/>
                <w:sz w:val="20"/>
                <w:szCs w:val="20"/>
              </w:rPr>
              <w:t>Local WIC Agency Survey Invitation Email</w:t>
            </w:r>
          </w:p>
        </w:tc>
        <w:tc>
          <w:tcPr>
            <w:tcW w:w="1388" w:type="dxa"/>
            <w:tcBorders>
              <w:top w:val="nil"/>
              <w:left w:val="nil"/>
              <w:bottom w:val="single" w:sz="8" w:space="0" w:color="666666"/>
              <w:right w:val="nil"/>
            </w:tcBorders>
            <w:shd w:val="clear" w:color="000000" w:fill="FFFFFF"/>
            <w:noWrap/>
            <w:vAlign w:val="center"/>
          </w:tcPr>
          <w:p w:rsidR="006A525F"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FFFFFF"/>
            <w:noWrap/>
            <w:vAlign w:val="center"/>
          </w:tcPr>
          <w:p w:rsidR="006A525F" w:rsidRPr="00D03F9C" w:rsidRDefault="006A525F" w:rsidP="006A525F">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hideMark/>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9D679B" w:rsidRPr="00D03F9C" w:rsidRDefault="00D33848" w:rsidP="009D679B">
            <w:pPr>
              <w:jc w:val="center"/>
              <w:rPr>
                <w:rFonts w:ascii="Arial Narrow" w:hAnsi="Arial Narrow"/>
                <w:color w:val="000000"/>
                <w:sz w:val="20"/>
                <w:szCs w:val="20"/>
              </w:rPr>
            </w:pPr>
            <w:r>
              <w:rPr>
                <w:rFonts w:ascii="Arial Narrow" w:hAnsi="Arial Narrow"/>
                <w:color w:val="000000"/>
                <w:sz w:val="20"/>
                <w:szCs w:val="20"/>
              </w:rPr>
              <w:t>B8</w:t>
            </w:r>
          </w:p>
        </w:tc>
        <w:tc>
          <w:tcPr>
            <w:tcW w:w="5822" w:type="dxa"/>
            <w:tcBorders>
              <w:top w:val="nil"/>
              <w:left w:val="nil"/>
              <w:bottom w:val="single" w:sz="8" w:space="0" w:color="666666"/>
              <w:right w:val="nil"/>
            </w:tcBorders>
            <w:shd w:val="clear" w:color="000000" w:fill="FFFFFF"/>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Local WIC Agency Survey Invitation Letter with Instrument</w:t>
            </w:r>
          </w:p>
        </w:tc>
        <w:tc>
          <w:tcPr>
            <w:tcW w:w="1388" w:type="dxa"/>
            <w:tcBorders>
              <w:top w:val="nil"/>
              <w:left w:val="nil"/>
              <w:bottom w:val="single" w:sz="8" w:space="0" w:color="666666"/>
              <w:right w:val="nil"/>
            </w:tcBorders>
            <w:shd w:val="clear" w:color="000000" w:fill="FFFFFF"/>
            <w:noWrap/>
            <w:vAlign w:val="center"/>
            <w:hideMark/>
          </w:tcPr>
          <w:p w:rsidR="009D679B" w:rsidRPr="00D03F9C" w:rsidRDefault="009D679B"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FFFFFF"/>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hideMark/>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9D679B" w:rsidRPr="00D03F9C" w:rsidRDefault="00D33848" w:rsidP="009D679B">
            <w:pPr>
              <w:jc w:val="center"/>
              <w:rPr>
                <w:rFonts w:ascii="Arial Narrow" w:hAnsi="Arial Narrow"/>
                <w:color w:val="000000"/>
                <w:sz w:val="20"/>
                <w:szCs w:val="20"/>
              </w:rPr>
            </w:pPr>
            <w:r>
              <w:rPr>
                <w:rFonts w:ascii="Arial Narrow" w:hAnsi="Arial Narrow"/>
                <w:color w:val="000000"/>
                <w:sz w:val="20"/>
                <w:szCs w:val="20"/>
              </w:rPr>
              <w:t>B9</w:t>
            </w:r>
          </w:p>
        </w:tc>
        <w:tc>
          <w:tcPr>
            <w:tcW w:w="5822" w:type="dxa"/>
            <w:tcBorders>
              <w:top w:val="nil"/>
              <w:left w:val="nil"/>
              <w:bottom w:val="single" w:sz="8" w:space="0" w:color="666666"/>
              <w:right w:val="nil"/>
            </w:tcBorders>
            <w:shd w:val="clear" w:color="000000" w:fill="FFFFFF"/>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Local WIC Agency Survey Reminder Email</w:t>
            </w:r>
          </w:p>
        </w:tc>
        <w:tc>
          <w:tcPr>
            <w:tcW w:w="1388" w:type="dxa"/>
            <w:tcBorders>
              <w:top w:val="nil"/>
              <w:left w:val="nil"/>
              <w:bottom w:val="single" w:sz="8" w:space="0" w:color="666666"/>
              <w:right w:val="nil"/>
            </w:tcBorders>
            <w:shd w:val="clear" w:color="000000" w:fill="FFFFFF"/>
            <w:noWrap/>
            <w:vAlign w:val="center"/>
            <w:hideMark/>
          </w:tcPr>
          <w:p w:rsidR="009D679B" w:rsidRPr="00D03F9C" w:rsidRDefault="009D679B"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FFFFFF"/>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hideMark/>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9D679B" w:rsidRPr="00D03F9C" w:rsidRDefault="00D33848" w:rsidP="009D679B">
            <w:pPr>
              <w:jc w:val="center"/>
              <w:rPr>
                <w:rFonts w:ascii="Arial Narrow" w:hAnsi="Arial Narrow"/>
                <w:color w:val="000000"/>
                <w:sz w:val="20"/>
                <w:szCs w:val="20"/>
              </w:rPr>
            </w:pPr>
            <w:r>
              <w:rPr>
                <w:rFonts w:ascii="Arial Narrow" w:hAnsi="Arial Narrow"/>
                <w:color w:val="000000"/>
                <w:sz w:val="20"/>
                <w:szCs w:val="20"/>
              </w:rPr>
              <w:t>B10</w:t>
            </w:r>
          </w:p>
        </w:tc>
        <w:tc>
          <w:tcPr>
            <w:tcW w:w="5822" w:type="dxa"/>
            <w:tcBorders>
              <w:top w:val="nil"/>
              <w:left w:val="nil"/>
              <w:bottom w:val="single" w:sz="8" w:space="0" w:color="666666"/>
              <w:right w:val="nil"/>
            </w:tcBorders>
            <w:shd w:val="clear" w:color="000000" w:fill="FFFFFF"/>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Local WIC Agency Survey Reminder Phone Script</w:t>
            </w:r>
          </w:p>
        </w:tc>
        <w:tc>
          <w:tcPr>
            <w:tcW w:w="1388" w:type="dxa"/>
            <w:tcBorders>
              <w:top w:val="nil"/>
              <w:left w:val="nil"/>
              <w:bottom w:val="single" w:sz="8" w:space="0" w:color="666666"/>
              <w:right w:val="nil"/>
            </w:tcBorders>
            <w:shd w:val="clear" w:color="000000" w:fill="FFFFFF"/>
            <w:noWrap/>
            <w:vAlign w:val="center"/>
            <w:hideMark/>
          </w:tcPr>
          <w:p w:rsidR="009D679B" w:rsidRPr="00D03F9C" w:rsidRDefault="009D679B"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FFFFFF"/>
            <w:noWrap/>
            <w:vAlign w:val="center"/>
            <w:hideMark/>
          </w:tcPr>
          <w:p w:rsidR="009D679B" w:rsidRPr="00D03F9C" w:rsidRDefault="009D679B" w:rsidP="009D679B">
            <w:pPr>
              <w:rPr>
                <w:rFonts w:ascii="Arial Narrow" w:hAnsi="Arial Narrow"/>
                <w:color w:val="000000"/>
                <w:sz w:val="20"/>
                <w:szCs w:val="20"/>
              </w:rPr>
            </w:pPr>
            <w:r w:rsidRPr="00D03F9C">
              <w:rPr>
                <w:rFonts w:ascii="Arial Narrow" w:hAnsi="Arial Narrow"/>
                <w:color w:val="000000"/>
                <w:sz w:val="20"/>
                <w:szCs w:val="20"/>
              </w:rPr>
              <w:t>recruitment materials</w:t>
            </w:r>
          </w:p>
        </w:tc>
      </w:tr>
      <w:tr w:rsidR="009D679B" w:rsidRPr="00D03F9C" w:rsidTr="00D5762D">
        <w:trPr>
          <w:trHeight w:val="315"/>
          <w:jc w:val="center"/>
        </w:trPr>
        <w:tc>
          <w:tcPr>
            <w:tcW w:w="3510" w:type="dxa"/>
            <w:vMerge/>
            <w:tcBorders>
              <w:top w:val="nil"/>
              <w:left w:val="nil"/>
              <w:bottom w:val="single" w:sz="8" w:space="0" w:color="666666"/>
              <w:right w:val="nil"/>
            </w:tcBorders>
            <w:vAlign w:val="center"/>
            <w:hideMark/>
          </w:tcPr>
          <w:p w:rsidR="009D679B" w:rsidRPr="00D03F9C" w:rsidRDefault="009D679B" w:rsidP="009D679B">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9D679B" w:rsidRPr="00D03F9C" w:rsidRDefault="00D33848" w:rsidP="009D679B">
            <w:pPr>
              <w:jc w:val="center"/>
              <w:rPr>
                <w:rFonts w:ascii="Arial Narrow" w:hAnsi="Arial Narrow"/>
                <w:color w:val="000000"/>
                <w:sz w:val="20"/>
                <w:szCs w:val="20"/>
              </w:rPr>
            </w:pPr>
            <w:r>
              <w:rPr>
                <w:rFonts w:ascii="Arial Narrow" w:hAnsi="Arial Narrow"/>
                <w:color w:val="000000"/>
                <w:sz w:val="20"/>
                <w:szCs w:val="20"/>
              </w:rPr>
              <w:t>C</w:t>
            </w:r>
            <w:r w:rsidR="00D5762D">
              <w:rPr>
                <w:rFonts w:ascii="Arial Narrow" w:hAnsi="Arial Narrow"/>
                <w:color w:val="000000"/>
                <w:sz w:val="20"/>
                <w:szCs w:val="20"/>
              </w:rPr>
              <w:t>4</w:t>
            </w:r>
          </w:p>
        </w:tc>
        <w:tc>
          <w:tcPr>
            <w:tcW w:w="5822" w:type="dxa"/>
            <w:tcBorders>
              <w:top w:val="nil"/>
              <w:left w:val="nil"/>
              <w:bottom w:val="single" w:sz="8" w:space="0" w:color="666666"/>
              <w:right w:val="nil"/>
            </w:tcBorders>
            <w:shd w:val="clear" w:color="000000" w:fill="FFFFFF"/>
            <w:noWrap/>
            <w:vAlign w:val="center"/>
          </w:tcPr>
          <w:p w:rsidR="009D679B" w:rsidRPr="00D03F9C" w:rsidRDefault="006A525F" w:rsidP="009D679B">
            <w:pPr>
              <w:rPr>
                <w:rFonts w:ascii="Arial Narrow" w:hAnsi="Arial Narrow"/>
                <w:color w:val="000000"/>
                <w:sz w:val="20"/>
                <w:szCs w:val="20"/>
              </w:rPr>
            </w:pPr>
            <w:r w:rsidRPr="006A525F">
              <w:rPr>
                <w:rFonts w:ascii="Arial Narrow" w:hAnsi="Arial Narrow"/>
                <w:color w:val="000000"/>
                <w:sz w:val="20"/>
                <w:szCs w:val="20"/>
              </w:rPr>
              <w:t>Local WIC Agency Survey Thank You Letter</w:t>
            </w:r>
            <w:r w:rsidRPr="006A525F" w:rsidDel="006A525F">
              <w:rPr>
                <w:rFonts w:ascii="Arial Narrow" w:hAnsi="Arial Narrow"/>
                <w:color w:val="000000"/>
                <w:sz w:val="20"/>
                <w:szCs w:val="20"/>
              </w:rPr>
              <w:t xml:space="preserve"> </w:t>
            </w:r>
          </w:p>
        </w:tc>
        <w:tc>
          <w:tcPr>
            <w:tcW w:w="1388" w:type="dxa"/>
            <w:tcBorders>
              <w:top w:val="nil"/>
              <w:left w:val="nil"/>
              <w:bottom w:val="single" w:sz="8" w:space="0" w:color="666666"/>
              <w:right w:val="nil"/>
            </w:tcBorders>
            <w:shd w:val="clear" w:color="000000" w:fill="FFFFFF"/>
            <w:noWrap/>
            <w:vAlign w:val="center"/>
          </w:tcPr>
          <w:p w:rsidR="009D679B" w:rsidRPr="00D03F9C" w:rsidRDefault="006A525F" w:rsidP="00D5762D">
            <w:pPr>
              <w:rPr>
                <w:rFonts w:ascii="Arial Narrow" w:hAnsi="Arial Narrow"/>
                <w:color w:val="000000"/>
                <w:sz w:val="20"/>
                <w:szCs w:val="20"/>
              </w:rPr>
            </w:pPr>
            <w:r>
              <w:rPr>
                <w:rFonts w:ascii="Arial Narrow" w:hAnsi="Arial Narrow"/>
                <w:color w:val="000000"/>
                <w:sz w:val="20"/>
                <w:szCs w:val="20"/>
              </w:rPr>
              <w:t>Lab</w:t>
            </w:r>
          </w:p>
        </w:tc>
        <w:tc>
          <w:tcPr>
            <w:tcW w:w="2140" w:type="dxa"/>
            <w:tcBorders>
              <w:top w:val="nil"/>
              <w:left w:val="nil"/>
              <w:bottom w:val="single" w:sz="8" w:space="0" w:color="666666"/>
              <w:right w:val="nil"/>
            </w:tcBorders>
            <w:shd w:val="clear" w:color="000000" w:fill="FFFFFF"/>
            <w:noWrap/>
            <w:vAlign w:val="center"/>
          </w:tcPr>
          <w:p w:rsidR="009D679B" w:rsidRPr="00D03F9C" w:rsidRDefault="006A525F" w:rsidP="009D679B">
            <w:pPr>
              <w:rPr>
                <w:rFonts w:ascii="Arial Narrow" w:hAnsi="Arial Narrow"/>
                <w:color w:val="000000"/>
                <w:sz w:val="20"/>
                <w:szCs w:val="20"/>
              </w:rPr>
            </w:pPr>
            <w:r>
              <w:rPr>
                <w:rFonts w:ascii="Arial Narrow" w:hAnsi="Arial Narrow"/>
                <w:color w:val="000000"/>
                <w:sz w:val="20"/>
                <w:szCs w:val="20"/>
              </w:rPr>
              <w:t>communication</w:t>
            </w:r>
            <w:r w:rsidRPr="00D03F9C">
              <w:rPr>
                <w:rFonts w:ascii="Arial Narrow" w:hAnsi="Arial Narrow"/>
                <w:color w:val="000000"/>
                <w:sz w:val="20"/>
                <w:szCs w:val="20"/>
              </w:rPr>
              <w:t xml:space="preserve"> materials</w:t>
            </w:r>
          </w:p>
        </w:tc>
      </w:tr>
      <w:tr w:rsidR="009D679B" w:rsidRPr="00D03F9C" w:rsidTr="00D5762D">
        <w:trPr>
          <w:trHeight w:val="315"/>
          <w:jc w:val="center"/>
        </w:trPr>
        <w:tc>
          <w:tcPr>
            <w:tcW w:w="3510" w:type="dxa"/>
            <w:vMerge w:val="restart"/>
            <w:tcBorders>
              <w:top w:val="nil"/>
              <w:left w:val="nil"/>
              <w:bottom w:val="single" w:sz="8" w:space="0" w:color="666666"/>
              <w:right w:val="nil"/>
            </w:tcBorders>
            <w:shd w:val="clear" w:color="000000" w:fill="D9D9D9"/>
            <w:noWrap/>
            <w:vAlign w:val="center"/>
            <w:hideMark/>
          </w:tcPr>
          <w:p w:rsidR="009D679B" w:rsidRPr="00D03F9C" w:rsidRDefault="009D679B" w:rsidP="009D679B">
            <w:pPr>
              <w:rPr>
                <w:rFonts w:ascii="Arial Narrow" w:hAnsi="Arial Narrow"/>
                <w:b/>
                <w:bCs/>
                <w:sz w:val="20"/>
                <w:szCs w:val="20"/>
              </w:rPr>
            </w:pPr>
            <w:r w:rsidRPr="00D03F9C">
              <w:rPr>
                <w:rFonts w:ascii="Arial Narrow" w:hAnsi="Arial Narrow"/>
                <w:b/>
                <w:bCs/>
                <w:sz w:val="20"/>
                <w:szCs w:val="20"/>
              </w:rPr>
              <w:t>Certification Survey</w:t>
            </w:r>
          </w:p>
        </w:tc>
        <w:tc>
          <w:tcPr>
            <w:tcW w:w="1018" w:type="dxa"/>
            <w:tcBorders>
              <w:top w:val="nil"/>
              <w:left w:val="nil"/>
              <w:bottom w:val="single" w:sz="8" w:space="0" w:color="666666"/>
              <w:right w:val="nil"/>
            </w:tcBorders>
            <w:shd w:val="clear" w:color="000000" w:fill="D9D9D9"/>
            <w:noWrap/>
            <w:vAlign w:val="center"/>
          </w:tcPr>
          <w:p w:rsidR="009D679B" w:rsidRPr="00D03F9C" w:rsidRDefault="00A74D40" w:rsidP="009D679B">
            <w:pPr>
              <w:jc w:val="center"/>
              <w:rPr>
                <w:rFonts w:ascii="Arial Narrow" w:hAnsi="Arial Narrow"/>
                <w:color w:val="000000"/>
                <w:sz w:val="20"/>
                <w:szCs w:val="20"/>
              </w:rPr>
            </w:pPr>
            <w:r>
              <w:rPr>
                <w:rFonts w:ascii="Arial Narrow" w:hAnsi="Arial Narrow"/>
                <w:color w:val="000000"/>
                <w:sz w:val="20"/>
                <w:szCs w:val="20"/>
              </w:rPr>
              <w:t>A</w:t>
            </w:r>
            <w:r w:rsidR="006A525F" w:rsidRPr="004208BC">
              <w:rPr>
                <w:rFonts w:ascii="Arial Narrow" w:hAnsi="Arial Narrow"/>
                <w:color w:val="000000"/>
                <w:sz w:val="20"/>
                <w:szCs w:val="20"/>
              </w:rPr>
              <w:t>3a</w:t>
            </w:r>
          </w:p>
        </w:tc>
        <w:tc>
          <w:tcPr>
            <w:tcW w:w="5822" w:type="dxa"/>
            <w:tcBorders>
              <w:top w:val="nil"/>
              <w:left w:val="nil"/>
              <w:bottom w:val="single" w:sz="8" w:space="0" w:color="666666"/>
              <w:right w:val="nil"/>
            </w:tcBorders>
            <w:shd w:val="clear" w:color="000000" w:fill="D9D9D9"/>
            <w:noWrap/>
            <w:vAlign w:val="center"/>
          </w:tcPr>
          <w:p w:rsidR="009D679B" w:rsidRPr="00D03F9C" w:rsidRDefault="009D679B" w:rsidP="00DD0CD1">
            <w:pPr>
              <w:rPr>
                <w:rFonts w:ascii="Arial Narrow" w:hAnsi="Arial Narrow"/>
                <w:color w:val="000000"/>
                <w:sz w:val="20"/>
                <w:szCs w:val="20"/>
              </w:rPr>
            </w:pPr>
            <w:r w:rsidRPr="00517898">
              <w:rPr>
                <w:rFonts w:ascii="Arial Narrow" w:hAnsi="Arial Narrow"/>
                <w:color w:val="000000"/>
                <w:sz w:val="20"/>
                <w:szCs w:val="20"/>
              </w:rPr>
              <w:t>Certification Survey</w:t>
            </w:r>
            <w:r w:rsidR="006A525F" w:rsidRPr="00517898">
              <w:rPr>
                <w:rFonts w:ascii="Arial Narrow" w:hAnsi="Arial Narrow"/>
                <w:color w:val="000000"/>
                <w:sz w:val="20"/>
                <w:szCs w:val="20"/>
              </w:rPr>
              <w:t>: Version A (</w:t>
            </w:r>
            <w:r w:rsidR="00DD0CD1">
              <w:rPr>
                <w:rFonts w:ascii="Arial Narrow" w:hAnsi="Arial Narrow"/>
                <w:color w:val="000000"/>
                <w:sz w:val="20"/>
                <w:szCs w:val="20"/>
              </w:rPr>
              <w:t>Adult</w:t>
            </w:r>
            <w:r w:rsidR="006A525F" w:rsidRPr="00517898">
              <w:rPr>
                <w:rFonts w:ascii="Arial Narrow" w:hAnsi="Arial Narrow"/>
                <w:color w:val="000000"/>
                <w:sz w:val="20"/>
                <w:szCs w:val="20"/>
              </w:rPr>
              <w:t>)</w:t>
            </w:r>
            <w:r w:rsidR="00335A67">
              <w:rPr>
                <w:rFonts w:ascii="Arial Narrow" w:hAnsi="Arial Narrow"/>
                <w:color w:val="000000"/>
                <w:sz w:val="20"/>
                <w:szCs w:val="20"/>
              </w:rPr>
              <w:t>-</w:t>
            </w:r>
            <w:r w:rsidR="00B32BD4">
              <w:rPr>
                <w:rFonts w:ascii="Arial Narrow" w:hAnsi="Arial Narrow"/>
                <w:color w:val="000000"/>
                <w:sz w:val="20"/>
                <w:szCs w:val="20"/>
              </w:rPr>
              <w:t>English</w:t>
            </w:r>
          </w:p>
        </w:tc>
        <w:tc>
          <w:tcPr>
            <w:tcW w:w="1388" w:type="dxa"/>
            <w:tcBorders>
              <w:top w:val="nil"/>
              <w:left w:val="nil"/>
              <w:bottom w:val="single" w:sz="8" w:space="0" w:color="666666"/>
              <w:right w:val="nil"/>
            </w:tcBorders>
            <w:shd w:val="clear" w:color="000000" w:fill="D9D9D9"/>
            <w:noWrap/>
            <w:vAlign w:val="center"/>
          </w:tcPr>
          <w:p w:rsidR="009D679B" w:rsidRPr="00D03F9C" w:rsidRDefault="006A525F"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9D679B" w:rsidRPr="00D03F9C" w:rsidRDefault="006A525F" w:rsidP="009D679B">
            <w:pPr>
              <w:rPr>
                <w:rFonts w:ascii="Arial Narrow" w:hAnsi="Arial Narrow"/>
                <w:color w:val="000000"/>
                <w:sz w:val="20"/>
                <w:szCs w:val="20"/>
              </w:rPr>
            </w:pPr>
            <w:r w:rsidRPr="00517898">
              <w:rPr>
                <w:rFonts w:ascii="Arial Narrow" w:hAnsi="Arial Narrow"/>
                <w:color w:val="000000"/>
                <w:sz w:val="20"/>
                <w:szCs w:val="20"/>
              </w:rPr>
              <w:t>instrument</w:t>
            </w:r>
          </w:p>
        </w:tc>
      </w:tr>
      <w:tr w:rsidR="009D026C" w:rsidRPr="00517898" w:rsidTr="00D5762D">
        <w:trPr>
          <w:trHeight w:val="315"/>
          <w:jc w:val="center"/>
        </w:trPr>
        <w:tc>
          <w:tcPr>
            <w:tcW w:w="3510" w:type="dxa"/>
            <w:vMerge/>
            <w:tcBorders>
              <w:top w:val="nil"/>
              <w:left w:val="nil"/>
              <w:bottom w:val="single" w:sz="8" w:space="0" w:color="666666"/>
              <w:right w:val="nil"/>
            </w:tcBorders>
            <w:vAlign w:val="center"/>
          </w:tcPr>
          <w:p w:rsidR="009D026C" w:rsidRPr="00D03F9C" w:rsidRDefault="009D026C" w:rsidP="009D026C">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9D026C" w:rsidRDefault="009D026C" w:rsidP="009D026C">
            <w:pPr>
              <w:jc w:val="center"/>
              <w:rPr>
                <w:rFonts w:ascii="Arial Narrow" w:hAnsi="Arial Narrow"/>
                <w:color w:val="000000"/>
                <w:sz w:val="20"/>
                <w:szCs w:val="20"/>
              </w:rPr>
            </w:pPr>
            <w:r>
              <w:rPr>
                <w:rFonts w:ascii="Arial Narrow" w:hAnsi="Arial Narrow"/>
                <w:color w:val="000000"/>
                <w:sz w:val="20"/>
                <w:szCs w:val="20"/>
              </w:rPr>
              <w:t>A3b</w:t>
            </w:r>
          </w:p>
        </w:tc>
        <w:tc>
          <w:tcPr>
            <w:tcW w:w="5822" w:type="dxa"/>
            <w:tcBorders>
              <w:top w:val="nil"/>
              <w:left w:val="nil"/>
              <w:bottom w:val="single" w:sz="8" w:space="0" w:color="666666"/>
              <w:right w:val="nil"/>
            </w:tcBorders>
            <w:shd w:val="clear" w:color="000000" w:fill="D9D9D9"/>
            <w:noWrap/>
            <w:vAlign w:val="center"/>
          </w:tcPr>
          <w:p w:rsidR="009D026C" w:rsidRPr="00517898" w:rsidRDefault="009D026C" w:rsidP="009D026C">
            <w:pPr>
              <w:rPr>
                <w:rFonts w:ascii="Arial Narrow" w:hAnsi="Arial Narrow"/>
                <w:color w:val="000000"/>
                <w:sz w:val="20"/>
                <w:szCs w:val="20"/>
              </w:rPr>
            </w:pPr>
            <w:r w:rsidRPr="00517898">
              <w:rPr>
                <w:rFonts w:ascii="Arial Narrow" w:hAnsi="Arial Narrow"/>
                <w:color w:val="000000"/>
                <w:sz w:val="20"/>
                <w:szCs w:val="20"/>
              </w:rPr>
              <w:t>Certification Survey: Version B (Infant/Child)</w:t>
            </w:r>
            <w:r>
              <w:rPr>
                <w:rFonts w:ascii="Arial Narrow" w:hAnsi="Arial Narrow"/>
                <w:color w:val="000000"/>
                <w:sz w:val="20"/>
                <w:szCs w:val="20"/>
              </w:rPr>
              <w:t>-English</w:t>
            </w:r>
          </w:p>
        </w:tc>
        <w:tc>
          <w:tcPr>
            <w:tcW w:w="1388" w:type="dxa"/>
            <w:tcBorders>
              <w:top w:val="nil"/>
              <w:left w:val="nil"/>
              <w:bottom w:val="single" w:sz="8" w:space="0" w:color="666666"/>
              <w:right w:val="nil"/>
            </w:tcBorders>
            <w:shd w:val="clear" w:color="000000" w:fill="D9D9D9"/>
            <w:noWrap/>
            <w:vAlign w:val="center"/>
          </w:tcPr>
          <w:p w:rsidR="009D026C" w:rsidRDefault="009D026C"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9D026C" w:rsidRPr="00517898" w:rsidRDefault="009D026C" w:rsidP="009D026C">
            <w:pPr>
              <w:rPr>
                <w:rFonts w:ascii="Arial Narrow" w:hAnsi="Arial Narrow"/>
                <w:color w:val="000000"/>
                <w:sz w:val="20"/>
                <w:szCs w:val="20"/>
              </w:rPr>
            </w:pPr>
            <w:r w:rsidRPr="00517898">
              <w:rPr>
                <w:rFonts w:ascii="Arial Narrow" w:hAnsi="Arial Narrow"/>
                <w:color w:val="000000"/>
                <w:sz w:val="20"/>
                <w:szCs w:val="20"/>
              </w:rPr>
              <w:t>instrument</w:t>
            </w:r>
          </w:p>
        </w:tc>
      </w:tr>
      <w:tr w:rsidR="00B32BD4" w:rsidRPr="00517898" w:rsidTr="00D5762D">
        <w:trPr>
          <w:trHeight w:val="315"/>
          <w:jc w:val="center"/>
        </w:trPr>
        <w:tc>
          <w:tcPr>
            <w:tcW w:w="3510" w:type="dxa"/>
            <w:vMerge/>
            <w:tcBorders>
              <w:top w:val="nil"/>
              <w:left w:val="nil"/>
              <w:bottom w:val="single" w:sz="8" w:space="0" w:color="666666"/>
              <w:right w:val="nil"/>
            </w:tcBorders>
            <w:vAlign w:val="center"/>
          </w:tcPr>
          <w:p w:rsidR="00B32BD4" w:rsidRPr="00D03F9C" w:rsidRDefault="00B32BD4" w:rsidP="00B32BD4">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B32BD4" w:rsidRPr="00B32BD4" w:rsidRDefault="00335A67" w:rsidP="00B32BD4">
            <w:pPr>
              <w:jc w:val="center"/>
              <w:rPr>
                <w:rFonts w:ascii="Arial Narrow" w:hAnsi="Arial Narrow"/>
                <w:color w:val="000000"/>
                <w:sz w:val="20"/>
                <w:szCs w:val="20"/>
                <w:highlight w:val="yellow"/>
              </w:rPr>
            </w:pPr>
            <w:r>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D9D9D9"/>
            <w:noWrap/>
            <w:vAlign w:val="center"/>
          </w:tcPr>
          <w:p w:rsidR="00B32BD4" w:rsidRPr="00517898" w:rsidRDefault="00B32BD4" w:rsidP="00B32BD4">
            <w:pPr>
              <w:rPr>
                <w:rFonts w:ascii="Arial Narrow" w:hAnsi="Arial Narrow"/>
                <w:color w:val="000000"/>
                <w:sz w:val="20"/>
                <w:szCs w:val="20"/>
              </w:rPr>
            </w:pPr>
            <w:r w:rsidRPr="00517898">
              <w:rPr>
                <w:rFonts w:ascii="Arial Narrow" w:hAnsi="Arial Narrow"/>
                <w:color w:val="000000"/>
                <w:sz w:val="20"/>
                <w:szCs w:val="20"/>
              </w:rPr>
              <w:t>Certification Survey: Version A (</w:t>
            </w:r>
            <w:r w:rsidR="00DD0CD1">
              <w:rPr>
                <w:rFonts w:ascii="Arial Narrow" w:hAnsi="Arial Narrow"/>
                <w:color w:val="000000"/>
                <w:sz w:val="20"/>
                <w:szCs w:val="20"/>
              </w:rPr>
              <w:t>Adult</w:t>
            </w:r>
            <w:r w:rsidRPr="00517898">
              <w:rPr>
                <w:rFonts w:ascii="Arial Narrow" w:hAnsi="Arial Narrow"/>
                <w:color w:val="000000"/>
                <w:sz w:val="20"/>
                <w:szCs w:val="20"/>
              </w:rPr>
              <w:t>)</w:t>
            </w:r>
            <w:r w:rsidR="00335A67">
              <w:rPr>
                <w:rFonts w:ascii="Arial Narrow" w:hAnsi="Arial Narrow"/>
                <w:color w:val="000000"/>
                <w:sz w:val="20"/>
                <w:szCs w:val="20"/>
              </w:rPr>
              <w:t>-</w:t>
            </w:r>
            <w:r>
              <w:rPr>
                <w:rFonts w:ascii="Arial Narrow" w:hAnsi="Arial Narrow"/>
                <w:color w:val="000000"/>
                <w:sz w:val="20"/>
                <w:szCs w:val="20"/>
              </w:rPr>
              <w:t>Spanish</w:t>
            </w:r>
          </w:p>
        </w:tc>
        <w:tc>
          <w:tcPr>
            <w:tcW w:w="1388" w:type="dxa"/>
            <w:tcBorders>
              <w:top w:val="nil"/>
              <w:left w:val="nil"/>
              <w:bottom w:val="single" w:sz="8" w:space="0" w:color="666666"/>
              <w:right w:val="nil"/>
            </w:tcBorders>
            <w:shd w:val="clear" w:color="000000" w:fill="D9D9D9"/>
            <w:noWrap/>
            <w:vAlign w:val="center"/>
          </w:tcPr>
          <w:p w:rsidR="00B32BD4" w:rsidRDefault="00B32BD4"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B32BD4" w:rsidRDefault="00B32BD4" w:rsidP="00B32BD4">
            <w:pPr>
              <w:rPr>
                <w:rFonts w:ascii="Arial Narrow" w:hAnsi="Arial Narrow"/>
                <w:color w:val="000000"/>
                <w:sz w:val="20"/>
                <w:szCs w:val="20"/>
              </w:rPr>
            </w:pPr>
            <w:r w:rsidRPr="00517898">
              <w:rPr>
                <w:rFonts w:ascii="Arial Narrow" w:hAnsi="Arial Narrow"/>
                <w:color w:val="000000"/>
                <w:sz w:val="20"/>
                <w:szCs w:val="20"/>
              </w:rPr>
              <w:t>instrument</w:t>
            </w:r>
          </w:p>
        </w:tc>
      </w:tr>
      <w:tr w:rsidR="00B32BD4" w:rsidRPr="00517898" w:rsidTr="00D5762D">
        <w:trPr>
          <w:trHeight w:val="315"/>
          <w:jc w:val="center"/>
        </w:trPr>
        <w:tc>
          <w:tcPr>
            <w:tcW w:w="3510" w:type="dxa"/>
            <w:vMerge/>
            <w:tcBorders>
              <w:top w:val="nil"/>
              <w:left w:val="nil"/>
              <w:bottom w:val="single" w:sz="8" w:space="0" w:color="666666"/>
              <w:right w:val="nil"/>
            </w:tcBorders>
            <w:vAlign w:val="center"/>
          </w:tcPr>
          <w:p w:rsidR="00B32BD4" w:rsidRPr="00D03F9C" w:rsidRDefault="00B32BD4" w:rsidP="00B32BD4">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B32BD4" w:rsidRDefault="00335A67" w:rsidP="00B32BD4">
            <w:pPr>
              <w:jc w:val="center"/>
              <w:rPr>
                <w:rFonts w:ascii="Arial Narrow" w:hAnsi="Arial Narrow"/>
                <w:color w:val="000000"/>
                <w:sz w:val="20"/>
                <w:szCs w:val="20"/>
              </w:rPr>
            </w:pPr>
            <w:r>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D9D9D9"/>
            <w:noWrap/>
            <w:vAlign w:val="center"/>
          </w:tcPr>
          <w:p w:rsidR="00B32BD4" w:rsidRPr="006A525F" w:rsidRDefault="00B32BD4" w:rsidP="00B32BD4">
            <w:pPr>
              <w:rPr>
                <w:rFonts w:ascii="Arial Narrow" w:hAnsi="Arial Narrow"/>
                <w:sz w:val="20"/>
                <w:szCs w:val="20"/>
              </w:rPr>
            </w:pPr>
            <w:r w:rsidRPr="00517898">
              <w:rPr>
                <w:rFonts w:ascii="Arial Narrow" w:hAnsi="Arial Narrow"/>
                <w:color w:val="000000"/>
                <w:sz w:val="20"/>
                <w:szCs w:val="20"/>
              </w:rPr>
              <w:t>Certification Survey: Version B (Infant/Child)</w:t>
            </w:r>
            <w:r w:rsidR="00335A67">
              <w:rPr>
                <w:rFonts w:ascii="Arial Narrow" w:hAnsi="Arial Narrow"/>
                <w:color w:val="000000"/>
                <w:sz w:val="20"/>
                <w:szCs w:val="20"/>
              </w:rPr>
              <w:t>-</w:t>
            </w:r>
            <w:r>
              <w:rPr>
                <w:rFonts w:ascii="Arial Narrow" w:hAnsi="Arial Narrow"/>
                <w:color w:val="000000"/>
                <w:sz w:val="20"/>
                <w:szCs w:val="20"/>
              </w:rPr>
              <w:t>Spanish</w:t>
            </w:r>
          </w:p>
        </w:tc>
        <w:tc>
          <w:tcPr>
            <w:tcW w:w="1388" w:type="dxa"/>
            <w:tcBorders>
              <w:top w:val="nil"/>
              <w:left w:val="nil"/>
              <w:bottom w:val="single" w:sz="8" w:space="0" w:color="666666"/>
              <w:right w:val="nil"/>
            </w:tcBorders>
            <w:shd w:val="clear" w:color="000000" w:fill="D9D9D9"/>
            <w:noWrap/>
            <w:vAlign w:val="center"/>
          </w:tcPr>
          <w:p w:rsidR="00B32BD4" w:rsidRPr="004F72E4" w:rsidRDefault="00B32BD4"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B32BD4" w:rsidRPr="00B32BD4" w:rsidRDefault="00B32BD4" w:rsidP="00B32BD4">
            <w:pPr>
              <w:rPr>
                <w:rFonts w:ascii="Arial Narrow" w:hAnsi="Arial Narrow"/>
                <w:color w:val="000000"/>
                <w:sz w:val="20"/>
                <w:szCs w:val="20"/>
              </w:rPr>
            </w:pPr>
            <w:r w:rsidRPr="00517898">
              <w:rPr>
                <w:rFonts w:ascii="Arial Narrow" w:hAnsi="Arial Narrow"/>
                <w:color w:val="000000"/>
                <w:sz w:val="20"/>
                <w:szCs w:val="20"/>
              </w:rPr>
              <w:t>instrument</w:t>
            </w:r>
          </w:p>
        </w:tc>
      </w:tr>
      <w:tr w:rsidR="00B32BD4" w:rsidRPr="00517898" w:rsidTr="00D5762D">
        <w:trPr>
          <w:trHeight w:val="315"/>
          <w:jc w:val="center"/>
        </w:trPr>
        <w:tc>
          <w:tcPr>
            <w:tcW w:w="3510" w:type="dxa"/>
            <w:vMerge/>
            <w:tcBorders>
              <w:top w:val="nil"/>
              <w:left w:val="nil"/>
              <w:bottom w:val="single" w:sz="8" w:space="0" w:color="666666"/>
              <w:right w:val="nil"/>
            </w:tcBorders>
            <w:vAlign w:val="center"/>
          </w:tcPr>
          <w:p w:rsidR="00B32BD4" w:rsidRPr="00D03F9C" w:rsidRDefault="00B32BD4" w:rsidP="00B32BD4">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B32BD4" w:rsidRDefault="00D33848" w:rsidP="00B32BD4">
            <w:pPr>
              <w:jc w:val="center"/>
              <w:rPr>
                <w:rFonts w:ascii="Arial Narrow" w:hAnsi="Arial Narrow"/>
                <w:color w:val="000000"/>
                <w:sz w:val="20"/>
                <w:szCs w:val="20"/>
              </w:rPr>
            </w:pPr>
            <w:r>
              <w:rPr>
                <w:rFonts w:ascii="Arial Narrow" w:hAnsi="Arial Narrow"/>
                <w:color w:val="000000"/>
                <w:sz w:val="20"/>
                <w:szCs w:val="20"/>
              </w:rPr>
              <w:t>B11</w:t>
            </w:r>
          </w:p>
        </w:tc>
        <w:tc>
          <w:tcPr>
            <w:tcW w:w="5822" w:type="dxa"/>
            <w:tcBorders>
              <w:top w:val="nil"/>
              <w:left w:val="nil"/>
              <w:bottom w:val="single" w:sz="8" w:space="0" w:color="666666"/>
              <w:right w:val="nil"/>
            </w:tcBorders>
            <w:shd w:val="clear" w:color="000000" w:fill="D9D9D9"/>
            <w:noWrap/>
            <w:vAlign w:val="center"/>
          </w:tcPr>
          <w:p w:rsidR="00B32BD4" w:rsidRPr="00C954C1" w:rsidRDefault="00B32BD4" w:rsidP="00B32BD4">
            <w:pPr>
              <w:rPr>
                <w:rFonts w:ascii="Arial Narrow" w:hAnsi="Arial Narrow"/>
                <w:sz w:val="20"/>
                <w:szCs w:val="20"/>
              </w:rPr>
            </w:pPr>
            <w:r w:rsidRPr="00C954C1">
              <w:rPr>
                <w:rFonts w:ascii="Arial Narrow" w:hAnsi="Arial Narrow"/>
                <w:sz w:val="20"/>
                <w:szCs w:val="20"/>
              </w:rPr>
              <w:t xml:space="preserve">Certification Survey Recruitment </w:t>
            </w:r>
            <w:r w:rsidR="00D33848">
              <w:rPr>
                <w:rFonts w:ascii="Arial Narrow" w:hAnsi="Arial Narrow"/>
                <w:sz w:val="20"/>
                <w:szCs w:val="20"/>
              </w:rPr>
              <w:t>Phone</w:t>
            </w:r>
            <w:r w:rsidRPr="00C954C1">
              <w:rPr>
                <w:rFonts w:ascii="Arial Narrow" w:hAnsi="Arial Narrow"/>
                <w:sz w:val="20"/>
                <w:szCs w:val="20"/>
              </w:rPr>
              <w:t xml:space="preserve"> Script</w:t>
            </w:r>
          </w:p>
        </w:tc>
        <w:tc>
          <w:tcPr>
            <w:tcW w:w="1388" w:type="dxa"/>
            <w:tcBorders>
              <w:top w:val="nil"/>
              <w:left w:val="nil"/>
              <w:bottom w:val="single" w:sz="8" w:space="0" w:color="666666"/>
              <w:right w:val="nil"/>
            </w:tcBorders>
            <w:shd w:val="clear" w:color="000000" w:fill="D9D9D9"/>
            <w:noWrap/>
            <w:vAlign w:val="center"/>
          </w:tcPr>
          <w:p w:rsidR="00B32BD4" w:rsidRPr="004F72E4" w:rsidRDefault="00D5762D" w:rsidP="00D5762D">
            <w:pPr>
              <w:rPr>
                <w:rFonts w:ascii="Arial Narrow" w:hAnsi="Arial Narrow"/>
                <w:color w:val="000000"/>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D9D9D9"/>
            <w:noWrap/>
            <w:vAlign w:val="center"/>
          </w:tcPr>
          <w:p w:rsidR="00B32BD4" w:rsidRPr="00517898" w:rsidRDefault="00B32BD4" w:rsidP="00B32BD4">
            <w:pPr>
              <w:rPr>
                <w:rFonts w:ascii="Arial Narrow" w:hAnsi="Arial Narrow"/>
                <w:color w:val="000000"/>
                <w:sz w:val="20"/>
                <w:szCs w:val="20"/>
              </w:rPr>
            </w:pPr>
            <w:r w:rsidRPr="00517898">
              <w:rPr>
                <w:rFonts w:ascii="Arial Narrow" w:hAnsi="Arial Narrow"/>
                <w:color w:val="000000"/>
                <w:sz w:val="20"/>
                <w:szCs w:val="20"/>
              </w:rPr>
              <w:t>recruitment materials</w:t>
            </w:r>
          </w:p>
        </w:tc>
      </w:tr>
      <w:tr w:rsidR="009D679B" w:rsidRPr="00517898" w:rsidTr="006A525F">
        <w:trPr>
          <w:trHeight w:val="315"/>
          <w:jc w:val="center"/>
        </w:trPr>
        <w:tc>
          <w:tcPr>
            <w:tcW w:w="3510" w:type="dxa"/>
            <w:vMerge/>
            <w:tcBorders>
              <w:top w:val="nil"/>
              <w:left w:val="nil"/>
              <w:bottom w:val="single" w:sz="8" w:space="0" w:color="666666"/>
              <w:right w:val="nil"/>
            </w:tcBorders>
            <w:vAlign w:val="center"/>
          </w:tcPr>
          <w:p w:rsidR="009D679B" w:rsidRPr="00D03F9C" w:rsidRDefault="009D679B" w:rsidP="009D679B">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9D679B" w:rsidRPr="00517898" w:rsidRDefault="00D33848" w:rsidP="009D679B">
            <w:pPr>
              <w:jc w:val="center"/>
              <w:rPr>
                <w:rFonts w:ascii="Arial Narrow" w:hAnsi="Arial Narrow"/>
                <w:color w:val="000000"/>
                <w:sz w:val="20"/>
                <w:szCs w:val="20"/>
              </w:rPr>
            </w:pPr>
            <w:r>
              <w:rPr>
                <w:rFonts w:ascii="Arial Narrow" w:hAnsi="Arial Narrow"/>
                <w:color w:val="000000"/>
                <w:sz w:val="20"/>
                <w:szCs w:val="20"/>
              </w:rPr>
              <w:t>B12</w:t>
            </w:r>
          </w:p>
        </w:tc>
        <w:tc>
          <w:tcPr>
            <w:tcW w:w="5822" w:type="dxa"/>
            <w:tcBorders>
              <w:top w:val="nil"/>
              <w:left w:val="nil"/>
              <w:bottom w:val="single" w:sz="8" w:space="0" w:color="666666"/>
              <w:right w:val="nil"/>
            </w:tcBorders>
            <w:shd w:val="clear" w:color="000000" w:fill="D9D9D9"/>
            <w:noWrap/>
            <w:vAlign w:val="center"/>
          </w:tcPr>
          <w:p w:rsidR="009D679B" w:rsidRPr="004208BC" w:rsidRDefault="00022398" w:rsidP="009D679B">
            <w:pPr>
              <w:rPr>
                <w:rFonts w:ascii="Arial Narrow" w:hAnsi="Arial Narrow"/>
                <w:color w:val="000000"/>
                <w:sz w:val="20"/>
                <w:szCs w:val="20"/>
              </w:rPr>
            </w:pPr>
            <w:r w:rsidRPr="0097073D">
              <w:rPr>
                <w:rFonts w:ascii="Arial Narrow" w:hAnsi="Arial Narrow"/>
                <w:sz w:val="20"/>
                <w:szCs w:val="20"/>
              </w:rPr>
              <w:t>Text Message Reminder for Scheduled Certification Survey</w:t>
            </w:r>
          </w:p>
        </w:tc>
        <w:tc>
          <w:tcPr>
            <w:tcW w:w="1388" w:type="dxa"/>
            <w:tcBorders>
              <w:top w:val="nil"/>
              <w:left w:val="nil"/>
              <w:bottom w:val="single" w:sz="8" w:space="0" w:color="666666"/>
              <w:right w:val="nil"/>
            </w:tcBorders>
            <w:shd w:val="clear" w:color="000000" w:fill="D9D9D9"/>
            <w:noWrap/>
            <w:vAlign w:val="center"/>
          </w:tcPr>
          <w:p w:rsidR="009D679B" w:rsidRPr="000D3C74" w:rsidRDefault="00D5762D" w:rsidP="009D679B">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D9D9D9"/>
            <w:noWrap/>
            <w:vAlign w:val="center"/>
          </w:tcPr>
          <w:p w:rsidR="009D679B" w:rsidRPr="00517898" w:rsidRDefault="00D33848" w:rsidP="009D679B">
            <w:pPr>
              <w:rPr>
                <w:rFonts w:ascii="Arial Narrow" w:hAnsi="Arial Narrow"/>
                <w:color w:val="000000"/>
                <w:sz w:val="20"/>
                <w:szCs w:val="20"/>
              </w:rPr>
            </w:pPr>
            <w:r w:rsidRPr="00517898">
              <w:rPr>
                <w:rFonts w:ascii="Arial Narrow" w:hAnsi="Arial Narrow"/>
                <w:color w:val="000000"/>
                <w:sz w:val="20"/>
                <w:szCs w:val="20"/>
              </w:rPr>
              <w:t xml:space="preserve">recruitment materials </w:t>
            </w:r>
          </w:p>
        </w:tc>
      </w:tr>
      <w:tr w:rsidR="00D5762D" w:rsidRPr="00517898" w:rsidTr="00F113F7">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B13</w:t>
            </w:r>
          </w:p>
        </w:tc>
        <w:tc>
          <w:tcPr>
            <w:tcW w:w="5822" w:type="dxa"/>
            <w:tcBorders>
              <w:top w:val="nil"/>
              <w:left w:val="nil"/>
              <w:bottom w:val="single" w:sz="8" w:space="0" w:color="666666"/>
              <w:right w:val="nil"/>
            </w:tcBorders>
            <w:shd w:val="clear" w:color="000000" w:fill="D9D9D9"/>
            <w:noWrap/>
            <w:vAlign w:val="center"/>
          </w:tcPr>
          <w:p w:rsidR="00D5762D" w:rsidRDefault="00D5762D" w:rsidP="00D5762D">
            <w:pPr>
              <w:rPr>
                <w:rFonts w:ascii="Arial Narrow" w:hAnsi="Arial Narrow"/>
                <w:sz w:val="20"/>
                <w:szCs w:val="20"/>
              </w:rPr>
            </w:pPr>
            <w:r>
              <w:rPr>
                <w:rFonts w:ascii="Arial Narrow" w:hAnsi="Arial Narrow"/>
                <w:sz w:val="20"/>
                <w:szCs w:val="20"/>
              </w:rPr>
              <w:t>Scheduled Certification</w:t>
            </w:r>
            <w:r w:rsidRPr="00022398">
              <w:rPr>
                <w:rFonts w:ascii="Arial Narrow" w:hAnsi="Arial Narrow"/>
                <w:sz w:val="20"/>
                <w:szCs w:val="20"/>
              </w:rPr>
              <w:t xml:space="preserve"> Survey Reminder Phone Script</w:t>
            </w:r>
            <w:r w:rsidRPr="00022398" w:rsidDel="00022398">
              <w:rPr>
                <w:rFonts w:ascii="Arial Narrow" w:hAnsi="Arial Narrow"/>
                <w:sz w:val="20"/>
                <w:szCs w:val="20"/>
              </w:rPr>
              <w:t xml:space="preserve"> </w:t>
            </w:r>
          </w:p>
        </w:tc>
        <w:tc>
          <w:tcPr>
            <w:tcW w:w="1388" w:type="dxa"/>
            <w:tcBorders>
              <w:top w:val="nil"/>
              <w:left w:val="nil"/>
              <w:bottom w:val="single" w:sz="8" w:space="0" w:color="666666"/>
              <w:right w:val="nil"/>
            </w:tcBorders>
            <w:shd w:val="clear" w:color="000000" w:fill="D9D9D9"/>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D9D9D9"/>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recruitment</w:t>
            </w:r>
            <w:r w:rsidRPr="00B32BD4">
              <w:rPr>
                <w:rFonts w:ascii="Arial Narrow" w:hAnsi="Arial Narrow"/>
                <w:color w:val="000000"/>
                <w:sz w:val="20"/>
                <w:szCs w:val="20"/>
              </w:rPr>
              <w:t xml:space="preserve"> materials</w:t>
            </w:r>
          </w:p>
        </w:tc>
      </w:tr>
      <w:tr w:rsidR="00D5762D" w:rsidRPr="00517898" w:rsidTr="00F113F7">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D5762D" w:rsidRPr="004208BC" w:rsidRDefault="00D5762D" w:rsidP="00D5762D">
            <w:pPr>
              <w:jc w:val="center"/>
              <w:rPr>
                <w:rFonts w:ascii="Arial Narrow" w:hAnsi="Arial Narrow"/>
                <w:color w:val="000000"/>
                <w:sz w:val="20"/>
                <w:szCs w:val="20"/>
              </w:rPr>
            </w:pPr>
            <w:r>
              <w:rPr>
                <w:rFonts w:ascii="Arial Narrow" w:hAnsi="Arial Narrow"/>
                <w:color w:val="000000"/>
                <w:sz w:val="20"/>
                <w:szCs w:val="20"/>
              </w:rPr>
              <w:t>C1</w:t>
            </w:r>
          </w:p>
        </w:tc>
        <w:tc>
          <w:tcPr>
            <w:tcW w:w="5822" w:type="dxa"/>
            <w:tcBorders>
              <w:top w:val="nil"/>
              <w:left w:val="nil"/>
              <w:bottom w:val="single" w:sz="8" w:space="0" w:color="666666"/>
              <w:right w:val="nil"/>
            </w:tcBorders>
            <w:shd w:val="clear" w:color="000000" w:fill="D9D9D9"/>
            <w:noWrap/>
            <w:vAlign w:val="center"/>
          </w:tcPr>
          <w:p w:rsidR="00D5762D" w:rsidRPr="006A525F" w:rsidRDefault="00D5762D" w:rsidP="00D5762D">
            <w:pPr>
              <w:rPr>
                <w:rFonts w:ascii="Arial Narrow" w:hAnsi="Arial Narrow"/>
                <w:sz w:val="20"/>
                <w:szCs w:val="20"/>
              </w:rPr>
            </w:pPr>
            <w:r w:rsidRPr="00D5762D">
              <w:rPr>
                <w:rFonts w:ascii="Arial Narrow" w:hAnsi="Arial Narrow"/>
                <w:sz w:val="20"/>
                <w:szCs w:val="20"/>
              </w:rPr>
              <w:t>Informed Consent Form Certification Survey</w:t>
            </w:r>
          </w:p>
        </w:tc>
        <w:tc>
          <w:tcPr>
            <w:tcW w:w="1388" w:type="dxa"/>
            <w:tcBorders>
              <w:top w:val="nil"/>
              <w:left w:val="nil"/>
              <w:bottom w:val="single" w:sz="8" w:space="0" w:color="666666"/>
              <w:right w:val="nil"/>
            </w:tcBorders>
            <w:shd w:val="clear" w:color="000000" w:fill="D9D9D9"/>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D9D9D9"/>
            <w:noWrap/>
            <w:vAlign w:val="center"/>
          </w:tcPr>
          <w:p w:rsidR="00D5762D" w:rsidRPr="00B32BD4" w:rsidRDefault="00D5762D" w:rsidP="00D5762D">
            <w:pPr>
              <w:rPr>
                <w:rFonts w:ascii="Arial Narrow" w:hAnsi="Arial Narrow"/>
                <w:color w:val="000000"/>
                <w:sz w:val="20"/>
                <w:szCs w:val="20"/>
              </w:rPr>
            </w:pPr>
            <w:r>
              <w:rPr>
                <w:rFonts w:ascii="Arial Narrow" w:hAnsi="Arial Narrow"/>
                <w:color w:val="000000"/>
                <w:sz w:val="20"/>
                <w:szCs w:val="20"/>
              </w:rPr>
              <w:t>communication materials</w:t>
            </w:r>
          </w:p>
        </w:tc>
      </w:tr>
      <w:tr w:rsidR="00D5762D" w:rsidRPr="00517898" w:rsidTr="00B32BD4">
        <w:trPr>
          <w:trHeight w:val="315"/>
          <w:jc w:val="center"/>
        </w:trPr>
        <w:tc>
          <w:tcPr>
            <w:tcW w:w="3510" w:type="dxa"/>
            <w:vMerge w:val="restart"/>
            <w:tcBorders>
              <w:top w:val="nil"/>
              <w:left w:val="nil"/>
              <w:bottom w:val="single" w:sz="8" w:space="0" w:color="666666"/>
              <w:right w:val="nil"/>
            </w:tcBorders>
            <w:shd w:val="clear" w:color="auto" w:fill="auto"/>
            <w:noWrap/>
            <w:vAlign w:val="center"/>
            <w:hideMark/>
          </w:tcPr>
          <w:p w:rsidR="00D5762D" w:rsidRPr="00D03F9C" w:rsidRDefault="00D5762D" w:rsidP="00D5762D">
            <w:pPr>
              <w:rPr>
                <w:rFonts w:ascii="Arial Narrow" w:hAnsi="Arial Narrow"/>
                <w:b/>
                <w:bCs/>
                <w:sz w:val="20"/>
                <w:szCs w:val="20"/>
              </w:rPr>
            </w:pPr>
            <w:r w:rsidRPr="00D03F9C">
              <w:rPr>
                <w:rFonts w:ascii="Arial Narrow" w:hAnsi="Arial Narrow"/>
                <w:b/>
                <w:bCs/>
                <w:sz w:val="20"/>
                <w:szCs w:val="20"/>
              </w:rPr>
              <w:t>Denied Applicant Survey</w:t>
            </w:r>
          </w:p>
        </w:tc>
        <w:tc>
          <w:tcPr>
            <w:tcW w:w="1018" w:type="dxa"/>
            <w:tcBorders>
              <w:top w:val="nil"/>
              <w:left w:val="nil"/>
              <w:bottom w:val="single" w:sz="8" w:space="0" w:color="666666"/>
              <w:right w:val="nil"/>
            </w:tcBorders>
            <w:shd w:val="clear" w:color="000000" w:fill="FFFFFF"/>
            <w:noWrap/>
            <w:vAlign w:val="center"/>
          </w:tcPr>
          <w:p w:rsidR="00D5762D" w:rsidRPr="004208BC" w:rsidRDefault="00D5762D" w:rsidP="00D5762D">
            <w:pPr>
              <w:jc w:val="center"/>
              <w:rPr>
                <w:rFonts w:ascii="Arial Narrow" w:hAnsi="Arial Narrow"/>
                <w:color w:val="000000"/>
                <w:sz w:val="20"/>
                <w:szCs w:val="20"/>
              </w:rPr>
            </w:pPr>
            <w:r>
              <w:rPr>
                <w:rFonts w:ascii="Arial Narrow" w:hAnsi="Arial Narrow"/>
                <w:color w:val="000000"/>
                <w:sz w:val="20"/>
                <w:szCs w:val="20"/>
              </w:rPr>
              <w:t>A</w:t>
            </w:r>
            <w:r w:rsidRPr="004208BC">
              <w:rPr>
                <w:rFonts w:ascii="Arial Narrow" w:hAnsi="Arial Narrow"/>
                <w:color w:val="000000"/>
                <w:sz w:val="20"/>
                <w:szCs w:val="20"/>
              </w:rPr>
              <w:t>4a</w:t>
            </w:r>
          </w:p>
        </w:tc>
        <w:tc>
          <w:tcPr>
            <w:tcW w:w="5822"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Denied Applicant Survey: Version A (</w:t>
            </w:r>
            <w:r>
              <w:rPr>
                <w:rFonts w:ascii="Arial Narrow" w:hAnsi="Arial Narrow"/>
                <w:color w:val="000000"/>
                <w:sz w:val="20"/>
                <w:szCs w:val="20"/>
              </w:rPr>
              <w:t>Adult</w:t>
            </w:r>
            <w:r w:rsidRPr="00517898">
              <w:rPr>
                <w:rFonts w:ascii="Arial Narrow" w:hAnsi="Arial Narrow"/>
                <w:color w:val="000000"/>
                <w:sz w:val="20"/>
                <w:szCs w:val="20"/>
              </w:rPr>
              <w:t>)</w:t>
            </w:r>
            <w:r>
              <w:rPr>
                <w:rFonts w:ascii="Arial Narrow" w:hAnsi="Arial Narrow"/>
                <w:color w:val="000000"/>
                <w:sz w:val="20"/>
                <w:szCs w:val="20"/>
              </w:rPr>
              <w:t>-English</w:t>
            </w:r>
          </w:p>
        </w:tc>
        <w:tc>
          <w:tcPr>
            <w:tcW w:w="1388"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instrument</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Pr="00335A67" w:rsidRDefault="00D5762D" w:rsidP="00D5762D">
            <w:pPr>
              <w:jc w:val="center"/>
              <w:rPr>
                <w:rFonts w:ascii="Arial Narrow" w:hAnsi="Arial Narrow"/>
                <w:color w:val="000000"/>
                <w:sz w:val="20"/>
                <w:szCs w:val="20"/>
              </w:rPr>
            </w:pPr>
            <w:r>
              <w:rPr>
                <w:rFonts w:ascii="Arial Narrow" w:hAnsi="Arial Narrow"/>
                <w:color w:val="000000"/>
                <w:sz w:val="20"/>
                <w:szCs w:val="20"/>
              </w:rPr>
              <w:t>A</w:t>
            </w:r>
            <w:r w:rsidRPr="004208BC">
              <w:rPr>
                <w:rFonts w:ascii="Arial Narrow" w:hAnsi="Arial Narrow"/>
                <w:color w:val="000000"/>
                <w:sz w:val="20"/>
                <w:szCs w:val="20"/>
              </w:rPr>
              <w:t>4</w:t>
            </w:r>
            <w:r>
              <w:rPr>
                <w:rFonts w:ascii="Arial Narrow" w:hAnsi="Arial Narrow"/>
                <w:color w:val="000000"/>
                <w:sz w:val="20"/>
                <w:szCs w:val="20"/>
              </w:rPr>
              <w:t>b</w:t>
            </w:r>
          </w:p>
        </w:tc>
        <w:tc>
          <w:tcPr>
            <w:tcW w:w="5822"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Denied Applicant Survey: Version B (Infant/Child)</w:t>
            </w:r>
            <w:r>
              <w:rPr>
                <w:rFonts w:ascii="Arial Narrow" w:hAnsi="Arial Narrow"/>
                <w:color w:val="000000"/>
                <w:sz w:val="20"/>
                <w:szCs w:val="20"/>
              </w:rPr>
              <w:t>-English</w:t>
            </w:r>
          </w:p>
        </w:tc>
        <w:tc>
          <w:tcPr>
            <w:tcW w:w="1388" w:type="dxa"/>
            <w:tcBorders>
              <w:top w:val="nil"/>
              <w:left w:val="nil"/>
              <w:bottom w:val="single" w:sz="8" w:space="0" w:color="666666"/>
              <w:right w:val="nil"/>
            </w:tcBorders>
            <w:shd w:val="clear" w:color="000000" w:fill="FFFFFF"/>
            <w:noWrap/>
            <w:vAlign w:val="center"/>
          </w:tcPr>
          <w:p w:rsidR="00D5762D"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instrument</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Pr="00B32BD4" w:rsidRDefault="00D5762D" w:rsidP="00D5762D">
            <w:pPr>
              <w:jc w:val="center"/>
              <w:rPr>
                <w:rFonts w:ascii="Arial Narrow" w:hAnsi="Arial Narrow"/>
                <w:color w:val="000000"/>
                <w:sz w:val="20"/>
                <w:szCs w:val="20"/>
                <w:highlight w:val="yellow"/>
              </w:rPr>
            </w:pPr>
            <w:r w:rsidRPr="00335A67">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Denied Applicant Survey: Version A (</w:t>
            </w:r>
            <w:r>
              <w:rPr>
                <w:rFonts w:ascii="Arial Narrow" w:hAnsi="Arial Narrow"/>
                <w:color w:val="000000"/>
                <w:sz w:val="20"/>
                <w:szCs w:val="20"/>
              </w:rPr>
              <w:t>Adult</w:t>
            </w:r>
            <w:r w:rsidRPr="00517898">
              <w:rPr>
                <w:rFonts w:ascii="Arial Narrow" w:hAnsi="Arial Narrow"/>
                <w:color w:val="000000"/>
                <w:sz w:val="20"/>
                <w:szCs w:val="20"/>
              </w:rPr>
              <w:t>)</w:t>
            </w:r>
            <w:r>
              <w:rPr>
                <w:rFonts w:ascii="Arial Narrow" w:hAnsi="Arial Narrow"/>
                <w:color w:val="000000"/>
                <w:sz w:val="20"/>
                <w:szCs w:val="20"/>
              </w:rPr>
              <w:t>-Spanish</w:t>
            </w:r>
          </w:p>
        </w:tc>
        <w:tc>
          <w:tcPr>
            <w:tcW w:w="1388" w:type="dxa"/>
            <w:tcBorders>
              <w:top w:val="nil"/>
              <w:left w:val="nil"/>
              <w:bottom w:val="single" w:sz="8" w:space="0" w:color="666666"/>
              <w:right w:val="nil"/>
            </w:tcBorders>
            <w:shd w:val="clear" w:color="000000" w:fill="FFFFFF"/>
            <w:noWrap/>
            <w:vAlign w:val="center"/>
          </w:tcPr>
          <w:p w:rsidR="00D5762D"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instrument</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FFFFFF"/>
            <w:noWrap/>
            <w:vAlign w:val="center"/>
          </w:tcPr>
          <w:p w:rsidR="00D5762D" w:rsidRPr="00C954C1" w:rsidRDefault="00D5762D" w:rsidP="00D5762D">
            <w:pPr>
              <w:rPr>
                <w:rFonts w:ascii="Arial Narrow" w:hAnsi="Arial Narrow"/>
                <w:sz w:val="20"/>
                <w:szCs w:val="20"/>
              </w:rPr>
            </w:pPr>
            <w:r w:rsidRPr="00517898">
              <w:rPr>
                <w:rFonts w:ascii="Arial Narrow" w:hAnsi="Arial Narrow"/>
                <w:color w:val="000000"/>
                <w:sz w:val="20"/>
                <w:szCs w:val="20"/>
              </w:rPr>
              <w:t>Denied Applicant Survey: Version B (Infant/Child)</w:t>
            </w:r>
            <w:r>
              <w:rPr>
                <w:rFonts w:ascii="Arial Narrow" w:hAnsi="Arial Narrow"/>
                <w:color w:val="000000"/>
                <w:sz w:val="20"/>
                <w:szCs w:val="20"/>
              </w:rPr>
              <w:t>-Spanish</w:t>
            </w:r>
          </w:p>
        </w:tc>
        <w:tc>
          <w:tcPr>
            <w:tcW w:w="1388" w:type="dxa"/>
            <w:tcBorders>
              <w:top w:val="nil"/>
              <w:left w:val="nil"/>
              <w:bottom w:val="single" w:sz="8" w:space="0" w:color="666666"/>
              <w:right w:val="nil"/>
            </w:tcBorders>
            <w:shd w:val="clear" w:color="000000" w:fill="FFFFFF"/>
            <w:noWrap/>
            <w:vAlign w:val="center"/>
          </w:tcPr>
          <w:p w:rsidR="00D5762D" w:rsidRPr="00233873"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instrument</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B14</w:t>
            </w:r>
          </w:p>
        </w:tc>
        <w:tc>
          <w:tcPr>
            <w:tcW w:w="5822" w:type="dxa"/>
            <w:tcBorders>
              <w:top w:val="nil"/>
              <w:left w:val="nil"/>
              <w:bottom w:val="single" w:sz="8" w:space="0" w:color="666666"/>
              <w:right w:val="nil"/>
            </w:tcBorders>
            <w:shd w:val="clear" w:color="000000" w:fill="FFFFFF"/>
            <w:noWrap/>
            <w:vAlign w:val="center"/>
          </w:tcPr>
          <w:p w:rsidR="00D5762D" w:rsidRPr="00C954C1" w:rsidRDefault="00D5762D" w:rsidP="00D5762D">
            <w:pPr>
              <w:rPr>
                <w:rFonts w:ascii="Arial Narrow" w:hAnsi="Arial Narrow"/>
                <w:sz w:val="20"/>
                <w:szCs w:val="20"/>
              </w:rPr>
            </w:pPr>
            <w:r w:rsidRPr="00C954C1">
              <w:rPr>
                <w:rFonts w:ascii="Arial Narrow" w:hAnsi="Arial Narrow"/>
                <w:sz w:val="20"/>
                <w:szCs w:val="20"/>
              </w:rPr>
              <w:t>Denied WIC Applicant Survey Recruitment Telephone Script</w:t>
            </w:r>
          </w:p>
        </w:tc>
        <w:tc>
          <w:tcPr>
            <w:tcW w:w="1388" w:type="dxa"/>
            <w:tcBorders>
              <w:top w:val="nil"/>
              <w:left w:val="nil"/>
              <w:bottom w:val="single" w:sz="8" w:space="0" w:color="666666"/>
              <w:right w:val="nil"/>
            </w:tcBorders>
            <w:shd w:val="clear" w:color="000000" w:fill="FFFFFF"/>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recruitment materials</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B15</w:t>
            </w:r>
          </w:p>
        </w:tc>
        <w:tc>
          <w:tcPr>
            <w:tcW w:w="5822" w:type="dxa"/>
            <w:tcBorders>
              <w:top w:val="nil"/>
              <w:left w:val="nil"/>
              <w:bottom w:val="single" w:sz="8" w:space="0" w:color="666666"/>
              <w:right w:val="nil"/>
            </w:tcBorders>
            <w:shd w:val="clear" w:color="000000" w:fill="FFFFFF"/>
            <w:noWrap/>
            <w:vAlign w:val="center"/>
          </w:tcPr>
          <w:p w:rsidR="00D5762D" w:rsidRPr="0097073D" w:rsidRDefault="00D5762D" w:rsidP="00D5762D">
            <w:pPr>
              <w:rPr>
                <w:rFonts w:ascii="Arial Narrow" w:hAnsi="Arial Narrow"/>
                <w:sz w:val="20"/>
                <w:szCs w:val="20"/>
              </w:rPr>
            </w:pPr>
            <w:r w:rsidRPr="0097073D">
              <w:rPr>
                <w:rFonts w:ascii="Arial Narrow" w:hAnsi="Arial Narrow"/>
                <w:sz w:val="20"/>
                <w:szCs w:val="20"/>
              </w:rPr>
              <w:t>Text Message Reminder for Scheduled Denied Applicant Survey</w:t>
            </w:r>
          </w:p>
        </w:tc>
        <w:tc>
          <w:tcPr>
            <w:tcW w:w="1388" w:type="dxa"/>
            <w:tcBorders>
              <w:top w:val="nil"/>
              <w:left w:val="nil"/>
              <w:bottom w:val="single" w:sz="8" w:space="0" w:color="666666"/>
              <w:right w:val="nil"/>
            </w:tcBorders>
            <w:shd w:val="clear" w:color="000000" w:fill="FFFFFF"/>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recruitment</w:t>
            </w:r>
            <w:r w:rsidRPr="00B32BD4">
              <w:rPr>
                <w:rFonts w:ascii="Arial Narrow" w:hAnsi="Arial Narrow"/>
                <w:color w:val="000000"/>
                <w:sz w:val="20"/>
                <w:szCs w:val="20"/>
              </w:rPr>
              <w:t xml:space="preserve"> materials</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B16</w:t>
            </w:r>
          </w:p>
        </w:tc>
        <w:tc>
          <w:tcPr>
            <w:tcW w:w="5822" w:type="dxa"/>
            <w:tcBorders>
              <w:top w:val="nil"/>
              <w:left w:val="nil"/>
              <w:bottom w:val="single" w:sz="8" w:space="0" w:color="666666"/>
              <w:right w:val="nil"/>
            </w:tcBorders>
            <w:shd w:val="clear" w:color="000000" w:fill="FFFFFF"/>
            <w:noWrap/>
            <w:vAlign w:val="center"/>
          </w:tcPr>
          <w:p w:rsidR="00D5762D" w:rsidRDefault="00D5762D" w:rsidP="00D5762D">
            <w:pPr>
              <w:rPr>
                <w:rFonts w:ascii="Arial Narrow" w:hAnsi="Arial Narrow"/>
                <w:sz w:val="20"/>
                <w:szCs w:val="20"/>
              </w:rPr>
            </w:pPr>
            <w:r>
              <w:rPr>
                <w:rFonts w:ascii="Arial Narrow" w:hAnsi="Arial Narrow"/>
                <w:sz w:val="20"/>
                <w:szCs w:val="20"/>
              </w:rPr>
              <w:t xml:space="preserve">Scheduled </w:t>
            </w:r>
            <w:r w:rsidRPr="00022398">
              <w:rPr>
                <w:rFonts w:ascii="Arial Narrow" w:hAnsi="Arial Narrow"/>
                <w:sz w:val="20"/>
                <w:szCs w:val="20"/>
              </w:rPr>
              <w:t>Denied Applicant Survey Reminder Phone Script</w:t>
            </w:r>
            <w:r w:rsidRPr="00022398" w:rsidDel="00022398">
              <w:rPr>
                <w:rFonts w:ascii="Arial Narrow" w:hAnsi="Arial Narrow"/>
                <w:sz w:val="20"/>
                <w:szCs w:val="20"/>
              </w:rPr>
              <w:t xml:space="preserve"> </w:t>
            </w:r>
          </w:p>
        </w:tc>
        <w:tc>
          <w:tcPr>
            <w:tcW w:w="1388" w:type="dxa"/>
            <w:tcBorders>
              <w:top w:val="nil"/>
              <w:left w:val="nil"/>
              <w:bottom w:val="single" w:sz="8" w:space="0" w:color="666666"/>
              <w:right w:val="nil"/>
            </w:tcBorders>
            <w:shd w:val="clear" w:color="000000" w:fill="FFFFFF"/>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sidRPr="00517898">
              <w:rPr>
                <w:rFonts w:ascii="Arial Narrow" w:hAnsi="Arial Narrow"/>
                <w:color w:val="000000"/>
                <w:sz w:val="20"/>
                <w:szCs w:val="20"/>
              </w:rPr>
              <w:t>recruitment materials</w:t>
            </w:r>
          </w:p>
        </w:tc>
      </w:tr>
      <w:tr w:rsidR="00D5762D" w:rsidRPr="00517898" w:rsidTr="006A525F">
        <w:trPr>
          <w:trHeight w:val="315"/>
          <w:jc w:val="center"/>
        </w:trPr>
        <w:tc>
          <w:tcPr>
            <w:tcW w:w="3510" w:type="dxa"/>
            <w:vMerge/>
            <w:tcBorders>
              <w:top w:val="nil"/>
              <w:left w:val="nil"/>
              <w:bottom w:val="single" w:sz="8" w:space="0" w:color="666666"/>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FFFFFF"/>
            <w:noWrap/>
            <w:vAlign w:val="center"/>
          </w:tcPr>
          <w:p w:rsidR="00D5762D" w:rsidRPr="00517898" w:rsidRDefault="00D5762D" w:rsidP="00D5762D">
            <w:pPr>
              <w:jc w:val="center"/>
              <w:rPr>
                <w:rFonts w:ascii="Arial Narrow" w:hAnsi="Arial Narrow"/>
                <w:color w:val="000000"/>
                <w:sz w:val="20"/>
                <w:szCs w:val="20"/>
              </w:rPr>
            </w:pPr>
            <w:r>
              <w:rPr>
                <w:rFonts w:ascii="Arial Narrow" w:hAnsi="Arial Narrow"/>
                <w:color w:val="000000"/>
                <w:sz w:val="20"/>
                <w:szCs w:val="20"/>
              </w:rPr>
              <w:t>C2</w:t>
            </w:r>
          </w:p>
        </w:tc>
        <w:tc>
          <w:tcPr>
            <w:tcW w:w="5822" w:type="dxa"/>
            <w:tcBorders>
              <w:top w:val="nil"/>
              <w:left w:val="nil"/>
              <w:bottom w:val="single" w:sz="8" w:space="0" w:color="666666"/>
              <w:right w:val="nil"/>
            </w:tcBorders>
            <w:shd w:val="clear" w:color="000000" w:fill="FFFFFF"/>
            <w:noWrap/>
            <w:vAlign w:val="center"/>
          </w:tcPr>
          <w:p w:rsidR="00D5762D" w:rsidRPr="004208BC" w:rsidRDefault="00D5762D" w:rsidP="00D5762D">
            <w:pPr>
              <w:rPr>
                <w:rFonts w:ascii="Arial Narrow" w:hAnsi="Arial Narrow"/>
                <w:color w:val="000000"/>
                <w:sz w:val="20"/>
                <w:szCs w:val="20"/>
              </w:rPr>
            </w:pPr>
            <w:r w:rsidRPr="00D5762D">
              <w:rPr>
                <w:rFonts w:ascii="Arial Narrow" w:hAnsi="Arial Narrow"/>
                <w:color w:val="000000"/>
                <w:sz w:val="20"/>
                <w:szCs w:val="20"/>
              </w:rPr>
              <w:t>Inf</w:t>
            </w:r>
            <w:r>
              <w:rPr>
                <w:rFonts w:ascii="Arial Narrow" w:hAnsi="Arial Narrow"/>
                <w:color w:val="000000"/>
                <w:sz w:val="20"/>
                <w:szCs w:val="20"/>
              </w:rPr>
              <w:t>ormed Consent Form Denied Applicant</w:t>
            </w:r>
            <w:r w:rsidRPr="00D5762D">
              <w:rPr>
                <w:rFonts w:ascii="Arial Narrow" w:hAnsi="Arial Narrow"/>
                <w:color w:val="000000"/>
                <w:sz w:val="20"/>
                <w:szCs w:val="20"/>
              </w:rPr>
              <w:t xml:space="preserve"> Survey</w:t>
            </w:r>
          </w:p>
        </w:tc>
        <w:tc>
          <w:tcPr>
            <w:tcW w:w="1388" w:type="dxa"/>
            <w:tcBorders>
              <w:top w:val="nil"/>
              <w:left w:val="nil"/>
              <w:bottom w:val="single" w:sz="8" w:space="0" w:color="666666"/>
              <w:right w:val="nil"/>
            </w:tcBorders>
            <w:shd w:val="clear" w:color="000000" w:fill="FFFFFF"/>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517898" w:rsidRDefault="00D5762D" w:rsidP="00D5762D">
            <w:pPr>
              <w:rPr>
                <w:rFonts w:ascii="Arial Narrow" w:hAnsi="Arial Narrow"/>
                <w:color w:val="000000"/>
                <w:sz w:val="20"/>
                <w:szCs w:val="20"/>
              </w:rPr>
            </w:pPr>
            <w:r>
              <w:rPr>
                <w:rFonts w:ascii="Arial Narrow" w:hAnsi="Arial Narrow"/>
                <w:color w:val="000000"/>
                <w:sz w:val="20"/>
                <w:szCs w:val="20"/>
              </w:rPr>
              <w:t>communication materials</w:t>
            </w:r>
          </w:p>
        </w:tc>
      </w:tr>
      <w:tr w:rsidR="00D5762D" w:rsidRPr="00D03F9C" w:rsidTr="006A525F">
        <w:trPr>
          <w:trHeight w:val="315"/>
          <w:jc w:val="center"/>
        </w:trPr>
        <w:tc>
          <w:tcPr>
            <w:tcW w:w="3510" w:type="dxa"/>
            <w:vMerge w:val="restart"/>
            <w:tcBorders>
              <w:top w:val="nil"/>
              <w:left w:val="nil"/>
              <w:bottom w:val="nil"/>
              <w:right w:val="nil"/>
            </w:tcBorders>
            <w:shd w:val="clear" w:color="000000" w:fill="D9D9D9"/>
            <w:noWrap/>
            <w:vAlign w:val="center"/>
            <w:hideMark/>
          </w:tcPr>
          <w:p w:rsidR="00D5762D" w:rsidRPr="00D03F9C" w:rsidRDefault="00D5762D" w:rsidP="00D5762D">
            <w:pPr>
              <w:rPr>
                <w:rFonts w:ascii="Arial Narrow" w:hAnsi="Arial Narrow"/>
                <w:b/>
                <w:bCs/>
                <w:sz w:val="20"/>
                <w:szCs w:val="20"/>
              </w:rPr>
            </w:pPr>
            <w:r w:rsidRPr="00D03F9C">
              <w:rPr>
                <w:rFonts w:ascii="Arial Narrow" w:hAnsi="Arial Narrow"/>
                <w:b/>
                <w:bCs/>
                <w:sz w:val="20"/>
                <w:szCs w:val="20"/>
              </w:rPr>
              <w:t>Program Experiences Survey</w:t>
            </w:r>
          </w:p>
        </w:tc>
        <w:tc>
          <w:tcPr>
            <w:tcW w:w="1018" w:type="dxa"/>
            <w:tcBorders>
              <w:top w:val="nil"/>
              <w:left w:val="nil"/>
              <w:bottom w:val="single" w:sz="8" w:space="0" w:color="666666"/>
              <w:right w:val="nil"/>
            </w:tcBorders>
            <w:shd w:val="clear" w:color="000000" w:fill="D9D9D9"/>
            <w:noWrap/>
            <w:vAlign w:val="center"/>
          </w:tcPr>
          <w:p w:rsidR="00D5762D" w:rsidRPr="00D03F9C" w:rsidRDefault="00D5762D" w:rsidP="00D5762D">
            <w:pPr>
              <w:jc w:val="center"/>
              <w:rPr>
                <w:rFonts w:ascii="Arial Narrow" w:hAnsi="Arial Narrow"/>
                <w:color w:val="000000"/>
                <w:sz w:val="20"/>
                <w:szCs w:val="20"/>
              </w:rPr>
            </w:pPr>
            <w:r>
              <w:rPr>
                <w:rFonts w:ascii="Arial Narrow" w:hAnsi="Arial Narrow"/>
                <w:color w:val="000000"/>
                <w:sz w:val="20"/>
                <w:szCs w:val="20"/>
              </w:rPr>
              <w:t>A</w:t>
            </w:r>
            <w:r w:rsidRPr="00D03F9C">
              <w:rPr>
                <w:rFonts w:ascii="Arial Narrow" w:hAnsi="Arial Narrow"/>
                <w:color w:val="000000"/>
                <w:sz w:val="20"/>
                <w:szCs w:val="20"/>
              </w:rPr>
              <w:t>5a</w:t>
            </w:r>
          </w:p>
        </w:tc>
        <w:tc>
          <w:tcPr>
            <w:tcW w:w="5822" w:type="dxa"/>
            <w:tcBorders>
              <w:top w:val="nil"/>
              <w:left w:val="nil"/>
              <w:bottom w:val="single" w:sz="8" w:space="0" w:color="666666"/>
              <w:right w:val="nil"/>
            </w:tcBorders>
            <w:shd w:val="clear" w:color="000000" w:fill="D9D9D9"/>
            <w:noWrap/>
            <w:vAlign w:val="center"/>
            <w:hideMark/>
          </w:tcPr>
          <w:p w:rsidR="00D5762D" w:rsidRPr="00D03F9C" w:rsidRDefault="00D5762D" w:rsidP="00D5762D">
            <w:pPr>
              <w:rPr>
                <w:rFonts w:ascii="Arial Narrow" w:hAnsi="Arial Narrow"/>
                <w:color w:val="000000"/>
                <w:sz w:val="20"/>
                <w:szCs w:val="20"/>
              </w:rPr>
            </w:pPr>
            <w:r w:rsidRPr="00D03F9C">
              <w:rPr>
                <w:rFonts w:ascii="Arial Narrow" w:hAnsi="Arial Narrow"/>
                <w:sz w:val="20"/>
                <w:szCs w:val="20"/>
              </w:rPr>
              <w:t>Program Experiences Survey: Version A (</w:t>
            </w:r>
            <w:r>
              <w:rPr>
                <w:rFonts w:ascii="Arial Narrow" w:hAnsi="Arial Narrow"/>
                <w:sz w:val="20"/>
                <w:szCs w:val="20"/>
              </w:rPr>
              <w:t>Adult</w:t>
            </w:r>
            <w:r w:rsidRPr="00D03F9C">
              <w:rPr>
                <w:rFonts w:ascii="Arial Narrow" w:hAnsi="Arial Narrow"/>
                <w:sz w:val="20"/>
                <w:szCs w:val="20"/>
              </w:rPr>
              <w:t>)</w:t>
            </w:r>
            <w:r>
              <w:rPr>
                <w:rFonts w:ascii="Arial Narrow" w:hAnsi="Arial Narrow"/>
                <w:sz w:val="20"/>
                <w:szCs w:val="20"/>
              </w:rPr>
              <w:t>-English</w:t>
            </w:r>
          </w:p>
        </w:tc>
        <w:tc>
          <w:tcPr>
            <w:tcW w:w="1388" w:type="dxa"/>
            <w:tcBorders>
              <w:top w:val="nil"/>
              <w:left w:val="nil"/>
              <w:bottom w:val="single" w:sz="8" w:space="0" w:color="666666"/>
              <w:right w:val="nil"/>
            </w:tcBorders>
            <w:shd w:val="clear" w:color="000000" w:fill="D9D9D9"/>
            <w:noWrap/>
            <w:vAlign w:val="center"/>
            <w:hideMark/>
          </w:tcPr>
          <w:p w:rsidR="00D5762D" w:rsidRPr="00D03F9C"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hideMark/>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instrument</w:t>
            </w:r>
          </w:p>
        </w:tc>
      </w:tr>
      <w:tr w:rsidR="00D5762D" w:rsidRPr="00D03F9C" w:rsidTr="006A525F">
        <w:trPr>
          <w:trHeight w:val="315"/>
          <w:jc w:val="center"/>
        </w:trPr>
        <w:tc>
          <w:tcPr>
            <w:tcW w:w="3510" w:type="dxa"/>
            <w:vMerge/>
            <w:tcBorders>
              <w:top w:val="nil"/>
              <w:left w:val="nil"/>
              <w:bottom w:val="nil"/>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A</w:t>
            </w:r>
            <w:r w:rsidRPr="00D03F9C">
              <w:rPr>
                <w:rFonts w:ascii="Arial Narrow" w:hAnsi="Arial Narrow"/>
                <w:color w:val="000000"/>
                <w:sz w:val="20"/>
                <w:szCs w:val="20"/>
              </w:rPr>
              <w:t>5</w:t>
            </w:r>
            <w:r>
              <w:rPr>
                <w:rFonts w:ascii="Arial Narrow" w:hAnsi="Arial Narrow"/>
                <w:color w:val="000000"/>
                <w:sz w:val="20"/>
                <w:szCs w:val="20"/>
              </w:rPr>
              <w:t>b</w:t>
            </w:r>
          </w:p>
        </w:tc>
        <w:tc>
          <w:tcPr>
            <w:tcW w:w="5822" w:type="dxa"/>
            <w:tcBorders>
              <w:top w:val="nil"/>
              <w:left w:val="nil"/>
              <w:bottom w:val="single" w:sz="8" w:space="0" w:color="666666"/>
              <w:right w:val="nil"/>
            </w:tcBorders>
            <w:shd w:val="clear" w:color="000000" w:fill="D9D9D9"/>
            <w:noWrap/>
            <w:vAlign w:val="center"/>
          </w:tcPr>
          <w:p w:rsidR="00D5762D" w:rsidRPr="00D03F9C" w:rsidRDefault="00D5762D" w:rsidP="00D5762D">
            <w:pPr>
              <w:rPr>
                <w:rFonts w:ascii="Arial Narrow" w:hAnsi="Arial Narrow"/>
                <w:sz w:val="20"/>
                <w:szCs w:val="20"/>
              </w:rPr>
            </w:pPr>
            <w:r w:rsidRPr="00D03F9C">
              <w:rPr>
                <w:rFonts w:ascii="Arial Narrow" w:hAnsi="Arial Narrow"/>
                <w:color w:val="000000"/>
                <w:sz w:val="20"/>
                <w:szCs w:val="20"/>
              </w:rPr>
              <w:t>Program Experiences Survey: Version B (Infant/Child)</w:t>
            </w:r>
            <w:r>
              <w:rPr>
                <w:rFonts w:ascii="Arial Narrow" w:hAnsi="Arial Narrow"/>
                <w:color w:val="000000"/>
                <w:sz w:val="20"/>
                <w:szCs w:val="20"/>
              </w:rPr>
              <w:t>-English</w:t>
            </w:r>
          </w:p>
        </w:tc>
        <w:tc>
          <w:tcPr>
            <w:tcW w:w="1388" w:type="dxa"/>
            <w:tcBorders>
              <w:top w:val="nil"/>
              <w:left w:val="nil"/>
              <w:bottom w:val="single" w:sz="8" w:space="0" w:color="666666"/>
              <w:right w:val="nil"/>
            </w:tcBorders>
            <w:shd w:val="clear" w:color="000000" w:fill="D9D9D9"/>
            <w:noWrap/>
            <w:vAlign w:val="center"/>
          </w:tcPr>
          <w:p w:rsidR="00D5762D"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instrument</w:t>
            </w:r>
          </w:p>
        </w:tc>
      </w:tr>
      <w:tr w:rsidR="00D5762D" w:rsidRPr="00D03F9C" w:rsidTr="006A525F">
        <w:trPr>
          <w:trHeight w:val="315"/>
          <w:jc w:val="center"/>
        </w:trPr>
        <w:tc>
          <w:tcPr>
            <w:tcW w:w="3510" w:type="dxa"/>
            <w:vMerge/>
            <w:tcBorders>
              <w:top w:val="nil"/>
              <w:left w:val="nil"/>
              <w:bottom w:val="nil"/>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D9D9D9"/>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sz w:val="20"/>
                <w:szCs w:val="20"/>
              </w:rPr>
              <w:t>Program Experiences Survey: Version A (</w:t>
            </w:r>
            <w:r>
              <w:rPr>
                <w:rFonts w:ascii="Arial Narrow" w:hAnsi="Arial Narrow"/>
                <w:sz w:val="20"/>
                <w:szCs w:val="20"/>
              </w:rPr>
              <w:t>Adult</w:t>
            </w:r>
            <w:r w:rsidRPr="00D03F9C">
              <w:rPr>
                <w:rFonts w:ascii="Arial Narrow" w:hAnsi="Arial Narrow"/>
                <w:sz w:val="20"/>
                <w:szCs w:val="20"/>
              </w:rPr>
              <w:t>)</w:t>
            </w:r>
            <w:r>
              <w:rPr>
                <w:rFonts w:ascii="Arial Narrow" w:hAnsi="Arial Narrow"/>
                <w:sz w:val="20"/>
                <w:szCs w:val="20"/>
              </w:rPr>
              <w:t>-Spanish</w:t>
            </w:r>
          </w:p>
        </w:tc>
        <w:tc>
          <w:tcPr>
            <w:tcW w:w="1388" w:type="dxa"/>
            <w:tcBorders>
              <w:top w:val="nil"/>
              <w:left w:val="nil"/>
              <w:bottom w:val="single" w:sz="8" w:space="0" w:color="666666"/>
              <w:right w:val="nil"/>
            </w:tcBorders>
            <w:shd w:val="clear" w:color="000000" w:fill="D9D9D9"/>
            <w:noWrap/>
            <w:vAlign w:val="center"/>
          </w:tcPr>
          <w:p w:rsidR="00D5762D"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D5762D" w:rsidRDefault="00D5762D" w:rsidP="00D5762D">
            <w:pPr>
              <w:rPr>
                <w:rFonts w:ascii="Arial Narrow" w:hAnsi="Arial Narrow"/>
                <w:color w:val="000000"/>
                <w:sz w:val="20"/>
                <w:szCs w:val="20"/>
              </w:rPr>
            </w:pPr>
            <w:r w:rsidRPr="00D03F9C">
              <w:rPr>
                <w:rFonts w:ascii="Arial Narrow" w:hAnsi="Arial Narrow"/>
                <w:color w:val="000000"/>
                <w:sz w:val="20"/>
                <w:szCs w:val="20"/>
              </w:rPr>
              <w:t>instrument</w:t>
            </w:r>
          </w:p>
        </w:tc>
      </w:tr>
      <w:tr w:rsidR="00D5762D" w:rsidRPr="00D03F9C" w:rsidTr="006A525F">
        <w:trPr>
          <w:trHeight w:val="315"/>
          <w:jc w:val="center"/>
        </w:trPr>
        <w:tc>
          <w:tcPr>
            <w:tcW w:w="3510" w:type="dxa"/>
            <w:vMerge/>
            <w:tcBorders>
              <w:top w:val="nil"/>
              <w:left w:val="nil"/>
              <w:bottom w:val="nil"/>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D9D9D9"/>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Program Experiences Survey: Version B (Infant/Child)</w:t>
            </w:r>
            <w:r>
              <w:rPr>
                <w:rFonts w:ascii="Arial Narrow" w:hAnsi="Arial Narrow"/>
                <w:color w:val="000000"/>
                <w:sz w:val="20"/>
                <w:szCs w:val="20"/>
              </w:rPr>
              <w:t>-Spanish</w:t>
            </w:r>
          </w:p>
        </w:tc>
        <w:tc>
          <w:tcPr>
            <w:tcW w:w="1388" w:type="dxa"/>
            <w:tcBorders>
              <w:top w:val="nil"/>
              <w:left w:val="nil"/>
              <w:bottom w:val="single" w:sz="8" w:space="0" w:color="666666"/>
              <w:right w:val="nil"/>
            </w:tcBorders>
            <w:shd w:val="clear" w:color="000000" w:fill="D9D9D9"/>
            <w:noWrap/>
            <w:vAlign w:val="center"/>
          </w:tcPr>
          <w:p w:rsidR="00D5762D" w:rsidRPr="00010154"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D9D9D9"/>
            <w:noWrap/>
            <w:vAlign w:val="center"/>
          </w:tcPr>
          <w:p w:rsidR="00D5762D" w:rsidRDefault="00D5762D" w:rsidP="00D5762D">
            <w:pPr>
              <w:rPr>
                <w:rFonts w:ascii="Arial Narrow" w:hAnsi="Arial Narrow"/>
                <w:color w:val="000000"/>
                <w:sz w:val="20"/>
                <w:szCs w:val="20"/>
              </w:rPr>
            </w:pPr>
            <w:r w:rsidRPr="00D03F9C">
              <w:rPr>
                <w:rFonts w:ascii="Arial Narrow" w:hAnsi="Arial Narrow"/>
                <w:color w:val="000000"/>
                <w:sz w:val="20"/>
                <w:szCs w:val="20"/>
              </w:rPr>
              <w:t>instrument</w:t>
            </w:r>
          </w:p>
        </w:tc>
      </w:tr>
      <w:tr w:rsidR="00D5762D" w:rsidRPr="00D03F9C" w:rsidTr="006A525F">
        <w:trPr>
          <w:trHeight w:val="315"/>
          <w:jc w:val="center"/>
        </w:trPr>
        <w:tc>
          <w:tcPr>
            <w:tcW w:w="3510" w:type="dxa"/>
            <w:vMerge/>
            <w:tcBorders>
              <w:top w:val="nil"/>
              <w:left w:val="nil"/>
              <w:bottom w:val="nil"/>
              <w:right w:val="nil"/>
            </w:tcBorders>
            <w:vAlign w:val="center"/>
          </w:tcPr>
          <w:p w:rsidR="00D5762D" w:rsidRPr="00D03F9C" w:rsidRDefault="00D5762D" w:rsidP="00D5762D">
            <w:pPr>
              <w:rPr>
                <w:rFonts w:ascii="Arial Narrow" w:hAnsi="Arial Narrow"/>
                <w:b/>
                <w:bCs/>
                <w:sz w:val="20"/>
                <w:szCs w:val="20"/>
              </w:rPr>
            </w:pPr>
          </w:p>
        </w:tc>
        <w:tc>
          <w:tcPr>
            <w:tcW w:w="1018" w:type="dxa"/>
            <w:tcBorders>
              <w:top w:val="nil"/>
              <w:left w:val="nil"/>
              <w:bottom w:val="single" w:sz="8" w:space="0" w:color="666666"/>
              <w:right w:val="nil"/>
            </w:tcBorders>
            <w:shd w:val="clear" w:color="000000" w:fill="D9D9D9"/>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B17</w:t>
            </w:r>
          </w:p>
        </w:tc>
        <w:tc>
          <w:tcPr>
            <w:tcW w:w="5822" w:type="dxa"/>
            <w:tcBorders>
              <w:top w:val="nil"/>
              <w:left w:val="nil"/>
              <w:bottom w:val="single" w:sz="8" w:space="0" w:color="666666"/>
              <w:right w:val="nil"/>
            </w:tcBorders>
            <w:shd w:val="clear" w:color="000000" w:fill="D9D9D9"/>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Program Experiences Survey Invitation Phone Script</w:t>
            </w:r>
          </w:p>
        </w:tc>
        <w:tc>
          <w:tcPr>
            <w:tcW w:w="1388" w:type="dxa"/>
            <w:tcBorders>
              <w:top w:val="nil"/>
              <w:left w:val="nil"/>
              <w:bottom w:val="single" w:sz="8" w:space="0" w:color="666666"/>
              <w:right w:val="nil"/>
            </w:tcBorders>
            <w:shd w:val="clear" w:color="000000" w:fill="D9D9D9"/>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D9D9D9"/>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recruitment materials</w:t>
            </w:r>
          </w:p>
        </w:tc>
      </w:tr>
      <w:tr w:rsidR="00D5762D" w:rsidRPr="00D03F9C" w:rsidTr="00881587">
        <w:trPr>
          <w:trHeight w:val="315"/>
          <w:jc w:val="center"/>
        </w:trPr>
        <w:tc>
          <w:tcPr>
            <w:tcW w:w="3510" w:type="dxa"/>
            <w:vMerge w:val="restart"/>
            <w:tcBorders>
              <w:top w:val="single" w:sz="8" w:space="0" w:color="666666"/>
              <w:left w:val="nil"/>
              <w:right w:val="nil"/>
            </w:tcBorders>
            <w:shd w:val="clear" w:color="auto" w:fill="auto"/>
            <w:noWrap/>
            <w:vAlign w:val="center"/>
            <w:hideMark/>
          </w:tcPr>
          <w:p w:rsidR="00D5762D" w:rsidRPr="00D03F9C" w:rsidRDefault="00D5762D" w:rsidP="00D5762D">
            <w:pPr>
              <w:rPr>
                <w:rFonts w:ascii="Arial Narrow" w:hAnsi="Arial Narrow"/>
                <w:b/>
                <w:bCs/>
                <w:color w:val="000000"/>
                <w:sz w:val="20"/>
                <w:szCs w:val="20"/>
              </w:rPr>
            </w:pPr>
            <w:r w:rsidRPr="00D03F9C">
              <w:rPr>
                <w:rFonts w:ascii="Arial Narrow" w:hAnsi="Arial Narrow"/>
                <w:b/>
                <w:bCs/>
                <w:color w:val="000000"/>
                <w:sz w:val="20"/>
                <w:szCs w:val="20"/>
              </w:rPr>
              <w:t>Former WIC Participant Case Study</w:t>
            </w:r>
          </w:p>
        </w:tc>
        <w:tc>
          <w:tcPr>
            <w:tcW w:w="1018" w:type="dxa"/>
            <w:tcBorders>
              <w:top w:val="nil"/>
              <w:left w:val="nil"/>
              <w:bottom w:val="single" w:sz="8" w:space="0" w:color="666666"/>
              <w:right w:val="nil"/>
            </w:tcBorders>
            <w:shd w:val="clear" w:color="000000" w:fill="FFFFFF"/>
            <w:noWrap/>
            <w:vAlign w:val="center"/>
          </w:tcPr>
          <w:p w:rsidR="00D5762D" w:rsidRPr="00D03F9C" w:rsidRDefault="00D5762D" w:rsidP="00D5762D">
            <w:pPr>
              <w:jc w:val="center"/>
              <w:rPr>
                <w:rFonts w:ascii="Arial Narrow" w:hAnsi="Arial Narrow"/>
                <w:color w:val="000000"/>
                <w:sz w:val="20"/>
                <w:szCs w:val="20"/>
              </w:rPr>
            </w:pPr>
            <w:r>
              <w:rPr>
                <w:rFonts w:ascii="Arial Narrow" w:hAnsi="Arial Narrow"/>
                <w:color w:val="000000"/>
                <w:sz w:val="20"/>
                <w:szCs w:val="20"/>
              </w:rPr>
              <w:t>A</w:t>
            </w:r>
            <w:r w:rsidRPr="00D03F9C">
              <w:rPr>
                <w:rFonts w:ascii="Arial Narrow" w:hAnsi="Arial Narrow"/>
                <w:color w:val="000000"/>
                <w:sz w:val="20"/>
                <w:szCs w:val="20"/>
              </w:rPr>
              <w:t>6</w:t>
            </w:r>
            <w:r>
              <w:rPr>
                <w:rFonts w:ascii="Arial Narrow" w:hAnsi="Arial Narrow"/>
                <w:color w:val="000000"/>
                <w:sz w:val="20"/>
                <w:szCs w:val="20"/>
              </w:rPr>
              <w:t>a</w:t>
            </w:r>
          </w:p>
        </w:tc>
        <w:tc>
          <w:tcPr>
            <w:tcW w:w="5822" w:type="dxa"/>
            <w:tcBorders>
              <w:top w:val="nil"/>
              <w:left w:val="nil"/>
              <w:bottom w:val="single" w:sz="8" w:space="0" w:color="666666"/>
              <w:right w:val="nil"/>
            </w:tcBorders>
            <w:shd w:val="clear" w:color="000000" w:fill="FFFFFF"/>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Former WIC Participant Interview Guide</w:t>
            </w:r>
            <w:r>
              <w:rPr>
                <w:rFonts w:ascii="Arial Narrow" w:hAnsi="Arial Narrow"/>
                <w:color w:val="000000"/>
                <w:sz w:val="20"/>
                <w:szCs w:val="20"/>
              </w:rPr>
              <w:t>-English</w:t>
            </w:r>
          </w:p>
        </w:tc>
        <w:tc>
          <w:tcPr>
            <w:tcW w:w="1388" w:type="dxa"/>
            <w:tcBorders>
              <w:top w:val="nil"/>
              <w:left w:val="nil"/>
              <w:bottom w:val="single" w:sz="8" w:space="0" w:color="666666"/>
              <w:right w:val="nil"/>
            </w:tcBorders>
            <w:shd w:val="clear" w:color="000000" w:fill="FFFFFF"/>
            <w:noWrap/>
            <w:vAlign w:val="center"/>
          </w:tcPr>
          <w:p w:rsidR="00D5762D" w:rsidRPr="00D03F9C"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instrument</w:t>
            </w:r>
          </w:p>
        </w:tc>
      </w:tr>
      <w:tr w:rsidR="00D5762D" w:rsidRPr="00D03F9C" w:rsidTr="00335A67">
        <w:trPr>
          <w:trHeight w:val="315"/>
          <w:jc w:val="center"/>
        </w:trPr>
        <w:tc>
          <w:tcPr>
            <w:tcW w:w="3510" w:type="dxa"/>
            <w:vMerge/>
            <w:tcBorders>
              <w:left w:val="nil"/>
              <w:right w:val="nil"/>
            </w:tcBorders>
            <w:shd w:val="clear" w:color="auto" w:fill="auto"/>
            <w:noWrap/>
            <w:vAlign w:val="center"/>
          </w:tcPr>
          <w:p w:rsidR="00D5762D" w:rsidRPr="00D03F9C" w:rsidDel="00881587" w:rsidRDefault="00D5762D" w:rsidP="00D5762D">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D5762D" w:rsidRPr="00881587" w:rsidRDefault="00D5762D" w:rsidP="00D5762D">
            <w:pPr>
              <w:jc w:val="center"/>
              <w:rPr>
                <w:rFonts w:ascii="Arial Narrow" w:hAnsi="Arial Narrow"/>
                <w:color w:val="000000"/>
                <w:sz w:val="20"/>
                <w:szCs w:val="20"/>
                <w:highlight w:val="yellow"/>
              </w:rPr>
            </w:pPr>
            <w:r w:rsidRPr="00335A67">
              <w:rPr>
                <w:rFonts w:ascii="Arial Narrow" w:hAnsi="Arial Narrow"/>
                <w:color w:val="000000"/>
                <w:sz w:val="20"/>
                <w:szCs w:val="20"/>
              </w:rPr>
              <w:t>N/A</w:t>
            </w:r>
          </w:p>
        </w:tc>
        <w:tc>
          <w:tcPr>
            <w:tcW w:w="5822" w:type="dxa"/>
            <w:tcBorders>
              <w:top w:val="nil"/>
              <w:left w:val="nil"/>
              <w:bottom w:val="single" w:sz="8" w:space="0" w:color="666666"/>
              <w:right w:val="nil"/>
            </w:tcBorders>
            <w:shd w:val="clear" w:color="000000" w:fill="FFFFFF"/>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Former WIC Participant Interview Guide</w:t>
            </w:r>
            <w:r>
              <w:rPr>
                <w:rFonts w:ascii="Arial Narrow" w:hAnsi="Arial Narrow"/>
                <w:color w:val="000000"/>
                <w:sz w:val="20"/>
                <w:szCs w:val="20"/>
              </w:rPr>
              <w:t>-Spanish</w:t>
            </w:r>
          </w:p>
        </w:tc>
        <w:tc>
          <w:tcPr>
            <w:tcW w:w="1388" w:type="dxa"/>
            <w:tcBorders>
              <w:top w:val="nil"/>
              <w:left w:val="nil"/>
              <w:bottom w:val="single" w:sz="8" w:space="0" w:color="666666"/>
              <w:right w:val="nil"/>
            </w:tcBorders>
            <w:shd w:val="clear" w:color="000000" w:fill="FFFFFF"/>
            <w:noWrap/>
            <w:vAlign w:val="center"/>
          </w:tcPr>
          <w:p w:rsidR="00D5762D" w:rsidRDefault="00D5762D" w:rsidP="00D5762D">
            <w:pPr>
              <w:rPr>
                <w:rFonts w:ascii="Arial Narrow" w:hAnsi="Arial Narrow"/>
                <w:color w:val="000000"/>
                <w:sz w:val="20"/>
                <w:szCs w:val="20"/>
              </w:rPr>
            </w:pPr>
            <w:r>
              <w:rPr>
                <w:rFonts w:ascii="Arial Narrow" w:hAnsi="Arial Narrow"/>
                <w:color w:val="000000"/>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instrument</w:t>
            </w:r>
          </w:p>
        </w:tc>
      </w:tr>
      <w:tr w:rsidR="00D5762D" w:rsidRPr="00D03F9C" w:rsidTr="00335A67">
        <w:trPr>
          <w:trHeight w:val="315"/>
          <w:jc w:val="center"/>
        </w:trPr>
        <w:tc>
          <w:tcPr>
            <w:tcW w:w="3510" w:type="dxa"/>
            <w:vMerge/>
            <w:tcBorders>
              <w:left w:val="nil"/>
              <w:right w:val="nil"/>
            </w:tcBorders>
            <w:vAlign w:val="center"/>
          </w:tcPr>
          <w:p w:rsidR="00D5762D" w:rsidRPr="00D03F9C" w:rsidRDefault="00D5762D" w:rsidP="00D5762D">
            <w:pPr>
              <w:rPr>
                <w:rFonts w:ascii="Arial Narrow" w:hAnsi="Arial Narrow"/>
                <w:b/>
                <w:bCs/>
                <w:color w:val="000000"/>
                <w:sz w:val="20"/>
                <w:szCs w:val="20"/>
              </w:rPr>
            </w:pPr>
          </w:p>
        </w:tc>
        <w:tc>
          <w:tcPr>
            <w:tcW w:w="1018" w:type="dxa"/>
            <w:tcBorders>
              <w:top w:val="nil"/>
              <w:left w:val="nil"/>
              <w:bottom w:val="single" w:sz="8" w:space="0" w:color="666666"/>
              <w:right w:val="nil"/>
            </w:tcBorders>
            <w:shd w:val="clear" w:color="000000" w:fill="FFFFFF"/>
            <w:noWrap/>
            <w:vAlign w:val="center"/>
          </w:tcPr>
          <w:p w:rsidR="00D5762D" w:rsidRDefault="00D5762D" w:rsidP="00D5762D">
            <w:pPr>
              <w:jc w:val="center"/>
              <w:rPr>
                <w:rFonts w:ascii="Arial Narrow" w:hAnsi="Arial Narrow"/>
                <w:color w:val="000000"/>
                <w:sz w:val="20"/>
                <w:szCs w:val="20"/>
              </w:rPr>
            </w:pPr>
            <w:r>
              <w:rPr>
                <w:rFonts w:ascii="Arial Narrow" w:hAnsi="Arial Narrow"/>
                <w:color w:val="000000"/>
                <w:sz w:val="20"/>
                <w:szCs w:val="20"/>
              </w:rPr>
              <w:t>B18</w:t>
            </w:r>
          </w:p>
        </w:tc>
        <w:tc>
          <w:tcPr>
            <w:tcW w:w="5822" w:type="dxa"/>
            <w:tcBorders>
              <w:top w:val="nil"/>
              <w:left w:val="nil"/>
              <w:bottom w:val="single" w:sz="8" w:space="0" w:color="666666"/>
              <w:right w:val="nil"/>
            </w:tcBorders>
            <w:shd w:val="clear" w:color="000000" w:fill="FFFFFF"/>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Former WIC Participant Survey Invitation Phone Script</w:t>
            </w:r>
          </w:p>
        </w:tc>
        <w:tc>
          <w:tcPr>
            <w:tcW w:w="1388" w:type="dxa"/>
            <w:tcBorders>
              <w:top w:val="nil"/>
              <w:left w:val="nil"/>
              <w:bottom w:val="single" w:sz="8" w:space="0" w:color="666666"/>
              <w:right w:val="nil"/>
            </w:tcBorders>
            <w:shd w:val="clear" w:color="000000" w:fill="FFFFFF"/>
            <w:noWrap/>
            <w:vAlign w:val="center"/>
          </w:tcPr>
          <w:p w:rsidR="00D5762D" w:rsidRPr="000D3C74" w:rsidRDefault="00D5762D" w:rsidP="00D5762D">
            <w:pPr>
              <w:rPr>
                <w:rFonts w:ascii="Arial Narrow" w:hAnsi="Arial Narrow"/>
                <w:sz w:val="20"/>
                <w:szCs w:val="20"/>
              </w:rPr>
            </w:pPr>
            <w:r w:rsidRPr="000D3C74">
              <w:rPr>
                <w:rFonts w:ascii="Arial Narrow" w:hAnsi="Arial Narrow"/>
                <w:sz w:val="20"/>
                <w:szCs w:val="20"/>
              </w:rPr>
              <w:t>Field</w:t>
            </w:r>
          </w:p>
        </w:tc>
        <w:tc>
          <w:tcPr>
            <w:tcW w:w="2140" w:type="dxa"/>
            <w:tcBorders>
              <w:top w:val="nil"/>
              <w:left w:val="nil"/>
              <w:bottom w:val="single" w:sz="8" w:space="0" w:color="666666"/>
              <w:right w:val="nil"/>
            </w:tcBorders>
            <w:shd w:val="clear" w:color="000000" w:fill="FFFFFF"/>
            <w:noWrap/>
            <w:vAlign w:val="center"/>
          </w:tcPr>
          <w:p w:rsidR="00D5762D" w:rsidRPr="00D03F9C" w:rsidRDefault="00D5762D" w:rsidP="00D5762D">
            <w:pPr>
              <w:rPr>
                <w:rFonts w:ascii="Arial Narrow" w:hAnsi="Arial Narrow"/>
                <w:color w:val="000000"/>
                <w:sz w:val="20"/>
                <w:szCs w:val="20"/>
              </w:rPr>
            </w:pPr>
            <w:r w:rsidRPr="00D03F9C">
              <w:rPr>
                <w:rFonts w:ascii="Arial Narrow" w:hAnsi="Arial Narrow"/>
                <w:color w:val="000000"/>
                <w:sz w:val="20"/>
                <w:szCs w:val="20"/>
              </w:rPr>
              <w:t>recruitment materials</w:t>
            </w:r>
          </w:p>
        </w:tc>
      </w:tr>
    </w:tbl>
    <w:p w:rsidR="00765770" w:rsidRPr="007C5A72" w:rsidRDefault="00765770" w:rsidP="004A5CBB"/>
    <w:sectPr w:rsidR="00765770" w:rsidRPr="007C5A72" w:rsidSect="00DD0CD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66" w:rsidRDefault="004F5E66">
      <w:r>
        <w:separator/>
      </w:r>
    </w:p>
  </w:endnote>
  <w:endnote w:type="continuationSeparator" w:id="0">
    <w:p w:rsidR="004F5E66" w:rsidRDefault="004F5E66">
      <w:r>
        <w:continuationSeparator/>
      </w:r>
    </w:p>
  </w:endnote>
  <w:endnote w:type="continuationNotice" w:id="1">
    <w:p w:rsidR="004F5E66" w:rsidRDefault="004F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AAB" w:rsidRDefault="00E83AAB"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83AAB" w:rsidRDefault="00E83AAB" w:rsidP="004A57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424258"/>
      <w:docPartObj>
        <w:docPartGallery w:val="Page Numbers (Bottom of Page)"/>
        <w:docPartUnique/>
      </w:docPartObj>
    </w:sdtPr>
    <w:sdtEndPr>
      <w:rPr>
        <w:noProof/>
        <w:sz w:val="20"/>
        <w:szCs w:val="20"/>
      </w:rPr>
    </w:sdtEndPr>
    <w:sdtContent>
      <w:p w:rsidR="00E83AAB" w:rsidRPr="00B9505C" w:rsidRDefault="00E83AAB" w:rsidP="00B9505C">
        <w:pPr>
          <w:pStyle w:val="Footer"/>
          <w:jc w:val="right"/>
          <w:rPr>
            <w:sz w:val="20"/>
            <w:szCs w:val="20"/>
          </w:rPr>
        </w:pPr>
        <w:r w:rsidRPr="00B9505C">
          <w:rPr>
            <w:sz w:val="20"/>
            <w:szCs w:val="20"/>
          </w:rPr>
          <w:fldChar w:fldCharType="begin"/>
        </w:r>
        <w:r w:rsidRPr="00B9505C">
          <w:rPr>
            <w:sz w:val="20"/>
            <w:szCs w:val="20"/>
          </w:rPr>
          <w:instrText xml:space="preserve"> PAGE   \* MERGEFORMAT </w:instrText>
        </w:r>
        <w:r w:rsidRPr="00B9505C">
          <w:rPr>
            <w:sz w:val="20"/>
            <w:szCs w:val="20"/>
          </w:rPr>
          <w:fldChar w:fldCharType="separate"/>
        </w:r>
        <w:r w:rsidR="00FC08F5">
          <w:rPr>
            <w:noProof/>
            <w:sz w:val="20"/>
            <w:szCs w:val="20"/>
          </w:rPr>
          <w:t>18</w:t>
        </w:r>
        <w:r w:rsidRPr="00B9505C">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151170"/>
      <w:docPartObj>
        <w:docPartGallery w:val="Page Numbers (Bottom of Page)"/>
        <w:docPartUnique/>
      </w:docPartObj>
    </w:sdtPr>
    <w:sdtEndPr>
      <w:rPr>
        <w:noProof/>
        <w:sz w:val="20"/>
        <w:szCs w:val="20"/>
      </w:rPr>
    </w:sdtEndPr>
    <w:sdtContent>
      <w:p w:rsidR="00E83AAB" w:rsidRPr="00B9505C" w:rsidRDefault="00E83AAB" w:rsidP="00B9505C">
        <w:pPr>
          <w:pStyle w:val="Footer"/>
          <w:jc w:val="right"/>
          <w:rPr>
            <w:sz w:val="20"/>
            <w:szCs w:val="20"/>
          </w:rPr>
        </w:pPr>
        <w:r w:rsidRPr="00B9505C">
          <w:rPr>
            <w:sz w:val="20"/>
            <w:szCs w:val="20"/>
          </w:rPr>
          <w:fldChar w:fldCharType="begin"/>
        </w:r>
        <w:r w:rsidRPr="00B9505C">
          <w:rPr>
            <w:sz w:val="20"/>
            <w:szCs w:val="20"/>
          </w:rPr>
          <w:instrText xml:space="preserve"> PAGE   \* MERGEFORMAT </w:instrText>
        </w:r>
        <w:r w:rsidRPr="00B9505C">
          <w:rPr>
            <w:sz w:val="20"/>
            <w:szCs w:val="20"/>
          </w:rPr>
          <w:fldChar w:fldCharType="separate"/>
        </w:r>
        <w:r w:rsidR="00FC08F5">
          <w:rPr>
            <w:noProof/>
            <w:sz w:val="20"/>
            <w:szCs w:val="20"/>
          </w:rPr>
          <w:t>17</w:t>
        </w:r>
        <w:r w:rsidRPr="00B9505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66" w:rsidRDefault="004F5E66">
      <w:r>
        <w:separator/>
      </w:r>
    </w:p>
  </w:footnote>
  <w:footnote w:type="continuationSeparator" w:id="0">
    <w:p w:rsidR="004F5E66" w:rsidRDefault="004F5E66">
      <w:r>
        <w:continuationSeparator/>
      </w:r>
    </w:p>
  </w:footnote>
  <w:footnote w:type="continuationNotice" w:id="1">
    <w:p w:rsidR="004F5E66" w:rsidRDefault="004F5E66"/>
  </w:footnote>
  <w:footnote w:id="2">
    <w:p w:rsidR="00E83AAB" w:rsidRPr="002970DE" w:rsidRDefault="00E83AAB" w:rsidP="002970DE">
      <w:pPr>
        <w:ind w:left="144" w:hanging="144"/>
        <w:contextualSpacing/>
        <w:rPr>
          <w:sz w:val="18"/>
          <w:szCs w:val="18"/>
        </w:rPr>
      </w:pPr>
      <w:r w:rsidRPr="00855B9A">
        <w:rPr>
          <w:rStyle w:val="FootnoteReference"/>
          <w:sz w:val="18"/>
          <w:szCs w:val="18"/>
        </w:rPr>
        <w:footnoteRef/>
      </w:r>
      <w:r w:rsidRPr="00855B9A">
        <w:rPr>
          <w:sz w:val="18"/>
          <w:szCs w:val="18"/>
        </w:rPr>
        <w:t xml:space="preserve"> </w:t>
      </w:r>
      <w:r>
        <w:rPr>
          <w:sz w:val="18"/>
          <w:szCs w:val="18"/>
        </w:rPr>
        <w:t xml:space="preserve"> </w:t>
      </w:r>
      <w:r w:rsidRPr="00855B9A">
        <w:rPr>
          <w:sz w:val="18"/>
          <w:szCs w:val="18"/>
        </w:rPr>
        <w:t>Singer</w:t>
      </w:r>
      <w:r w:rsidRPr="002970DE">
        <w:rPr>
          <w:sz w:val="18"/>
          <w:szCs w:val="18"/>
        </w:rPr>
        <w:t xml:space="preserve"> E. (2002)</w:t>
      </w:r>
      <w:proofErr w:type="gramStart"/>
      <w:r w:rsidRPr="002970DE">
        <w:rPr>
          <w:sz w:val="18"/>
          <w:szCs w:val="18"/>
        </w:rPr>
        <w:t xml:space="preserve">. </w:t>
      </w:r>
      <w:proofErr w:type="gramEnd"/>
      <w:r w:rsidRPr="002970DE">
        <w:rPr>
          <w:sz w:val="18"/>
          <w:szCs w:val="18"/>
        </w:rPr>
        <w:t>The use of incentives to reduce non response in households surveys</w:t>
      </w:r>
      <w:proofErr w:type="gramStart"/>
      <w:r w:rsidRPr="002970DE">
        <w:rPr>
          <w:sz w:val="18"/>
          <w:szCs w:val="18"/>
        </w:rPr>
        <w:t xml:space="preserve">. </w:t>
      </w:r>
      <w:proofErr w:type="gramEnd"/>
      <w:r w:rsidRPr="002970DE">
        <w:rPr>
          <w:sz w:val="18"/>
          <w:szCs w:val="18"/>
        </w:rPr>
        <w:t xml:space="preserve">In Groves R, </w:t>
      </w:r>
      <w:proofErr w:type="spellStart"/>
      <w:r w:rsidRPr="002970DE">
        <w:rPr>
          <w:sz w:val="18"/>
          <w:szCs w:val="18"/>
        </w:rPr>
        <w:t>Dillman</w:t>
      </w:r>
      <w:proofErr w:type="spellEnd"/>
      <w:r w:rsidRPr="002970DE">
        <w:rPr>
          <w:sz w:val="18"/>
          <w:szCs w:val="18"/>
        </w:rPr>
        <w:t xml:space="preserve"> D, </w:t>
      </w:r>
      <w:proofErr w:type="spellStart"/>
      <w:r w:rsidRPr="002970DE">
        <w:rPr>
          <w:sz w:val="18"/>
          <w:szCs w:val="18"/>
        </w:rPr>
        <w:t>Eltinge</w:t>
      </w:r>
      <w:proofErr w:type="spellEnd"/>
      <w:r w:rsidRPr="002970DE">
        <w:rPr>
          <w:sz w:val="18"/>
          <w:szCs w:val="18"/>
        </w:rPr>
        <w:t xml:space="preserve"> J, Little R (eds.), Survey non response</w:t>
      </w:r>
      <w:proofErr w:type="gramStart"/>
      <w:r w:rsidRPr="002970DE">
        <w:rPr>
          <w:sz w:val="18"/>
          <w:szCs w:val="18"/>
        </w:rPr>
        <w:t xml:space="preserve">. </w:t>
      </w:r>
      <w:proofErr w:type="gramEnd"/>
      <w:r w:rsidRPr="002970DE">
        <w:rPr>
          <w:sz w:val="18"/>
          <w:szCs w:val="18"/>
        </w:rPr>
        <w:t>New York: Wiley, pp 163-177.</w:t>
      </w:r>
    </w:p>
  </w:footnote>
  <w:footnote w:id="3">
    <w:p w:rsidR="00E83AAB" w:rsidRPr="002970DE" w:rsidRDefault="00E83AAB" w:rsidP="002970DE">
      <w:pPr>
        <w:ind w:left="144" w:hanging="144"/>
        <w:contextualSpacing/>
        <w:rPr>
          <w:sz w:val="18"/>
          <w:szCs w:val="18"/>
        </w:rPr>
      </w:pPr>
      <w:r w:rsidRPr="002970DE">
        <w:rPr>
          <w:rStyle w:val="FootnoteReference"/>
          <w:sz w:val="18"/>
          <w:szCs w:val="18"/>
        </w:rPr>
        <w:footnoteRef/>
      </w:r>
      <w:r w:rsidRPr="002970DE">
        <w:rPr>
          <w:sz w:val="18"/>
          <w:szCs w:val="18"/>
        </w:rPr>
        <w:t xml:space="preserve"> </w:t>
      </w:r>
      <w:r>
        <w:rPr>
          <w:sz w:val="18"/>
          <w:szCs w:val="18"/>
        </w:rPr>
        <w:t xml:space="preserve"> </w:t>
      </w:r>
      <w:r w:rsidRPr="002970DE">
        <w:rPr>
          <w:sz w:val="18"/>
          <w:szCs w:val="18"/>
        </w:rPr>
        <w:t>James T. (1996)</w:t>
      </w:r>
      <w:proofErr w:type="gramStart"/>
      <w:r w:rsidRPr="002970DE">
        <w:rPr>
          <w:sz w:val="18"/>
          <w:szCs w:val="18"/>
        </w:rPr>
        <w:t xml:space="preserve">. </w:t>
      </w:r>
      <w:proofErr w:type="gramEnd"/>
      <w:r w:rsidRPr="002970DE">
        <w:rPr>
          <w:sz w:val="18"/>
          <w:szCs w:val="18"/>
        </w:rPr>
        <w:t>Results of wave 1 incentive experiment in the 1996 survey of income and program participation</w:t>
      </w:r>
      <w:proofErr w:type="gramStart"/>
      <w:r w:rsidRPr="002970DE">
        <w:rPr>
          <w:sz w:val="18"/>
          <w:szCs w:val="18"/>
        </w:rPr>
        <w:t xml:space="preserve">. </w:t>
      </w:r>
      <w:proofErr w:type="gramEnd"/>
      <w:r w:rsidRPr="002970DE">
        <w:rPr>
          <w:sz w:val="18"/>
          <w:szCs w:val="18"/>
        </w:rPr>
        <w:t>Proceedings of the Survey Research Section, American Statistical Association, 834–839.</w:t>
      </w:r>
    </w:p>
  </w:footnote>
  <w:footnote w:id="4">
    <w:p w:rsidR="00E83AAB" w:rsidRPr="008A2C2E" w:rsidRDefault="00E83AAB" w:rsidP="008A2C2E">
      <w:pPr>
        <w:ind w:left="144" w:hanging="144"/>
        <w:contextualSpacing/>
        <w:rPr>
          <w:sz w:val="18"/>
          <w:szCs w:val="18"/>
        </w:rPr>
      </w:pPr>
      <w:r w:rsidRPr="002970DE">
        <w:rPr>
          <w:rStyle w:val="FootnoteReference"/>
          <w:sz w:val="18"/>
          <w:szCs w:val="18"/>
        </w:rPr>
        <w:footnoteRef/>
      </w:r>
      <w:r w:rsidRPr="002970DE">
        <w:rPr>
          <w:sz w:val="18"/>
          <w:szCs w:val="18"/>
        </w:rPr>
        <w:t xml:space="preserve"> </w:t>
      </w:r>
      <w:r>
        <w:rPr>
          <w:sz w:val="18"/>
          <w:szCs w:val="18"/>
        </w:rPr>
        <w:t xml:space="preserve"> </w:t>
      </w:r>
      <w:r w:rsidRPr="002970DE">
        <w:rPr>
          <w:sz w:val="18"/>
          <w:szCs w:val="18"/>
        </w:rPr>
        <w:t xml:space="preserve">Groves, R., Fowler, F., </w:t>
      </w:r>
      <w:proofErr w:type="spellStart"/>
      <w:r w:rsidRPr="002970DE">
        <w:rPr>
          <w:sz w:val="18"/>
          <w:szCs w:val="18"/>
        </w:rPr>
        <w:t>Couper</w:t>
      </w:r>
      <w:proofErr w:type="spellEnd"/>
      <w:r w:rsidRPr="002970DE">
        <w:rPr>
          <w:sz w:val="18"/>
          <w:szCs w:val="18"/>
        </w:rPr>
        <w:t xml:space="preserve">, M., </w:t>
      </w:r>
      <w:proofErr w:type="spellStart"/>
      <w:r w:rsidRPr="002970DE">
        <w:rPr>
          <w:sz w:val="18"/>
          <w:szCs w:val="18"/>
        </w:rPr>
        <w:t>Lepkowski</w:t>
      </w:r>
      <w:proofErr w:type="spellEnd"/>
      <w:r w:rsidRPr="002970DE">
        <w:rPr>
          <w:sz w:val="18"/>
          <w:szCs w:val="18"/>
        </w:rPr>
        <w:t>, J., &amp; Singer, E. (2009)</w:t>
      </w:r>
      <w:proofErr w:type="gramStart"/>
      <w:r w:rsidRPr="002970DE">
        <w:rPr>
          <w:sz w:val="18"/>
          <w:szCs w:val="18"/>
        </w:rPr>
        <w:t xml:space="preserve">. </w:t>
      </w:r>
      <w:proofErr w:type="gramEnd"/>
      <w:r w:rsidRPr="002970DE">
        <w:rPr>
          <w:sz w:val="18"/>
          <w:szCs w:val="18"/>
        </w:rPr>
        <w:t>Survey methodology</w:t>
      </w:r>
      <w:proofErr w:type="gramStart"/>
      <w:r w:rsidRPr="002970DE">
        <w:rPr>
          <w:sz w:val="18"/>
          <w:szCs w:val="18"/>
        </w:rPr>
        <w:t xml:space="preserve">. </w:t>
      </w:r>
      <w:proofErr w:type="gramEnd"/>
      <w:r w:rsidRPr="002970DE">
        <w:rPr>
          <w:sz w:val="18"/>
          <w:szCs w:val="18"/>
        </w:rPr>
        <w:t>New York: Wiley, pp 205-206.</w:t>
      </w:r>
    </w:p>
  </w:footnote>
  <w:footnote w:id="5">
    <w:p w:rsidR="00E83AAB" w:rsidRPr="008A2C2E" w:rsidRDefault="00E83AAB" w:rsidP="008A2C2E">
      <w:pPr>
        <w:ind w:left="144" w:hanging="144"/>
        <w:contextualSpacing/>
        <w:rPr>
          <w:sz w:val="18"/>
          <w:szCs w:val="18"/>
        </w:rPr>
      </w:pPr>
      <w:r w:rsidRPr="002970DE">
        <w:rPr>
          <w:rStyle w:val="FootnoteReference"/>
          <w:sz w:val="18"/>
          <w:szCs w:val="18"/>
        </w:rPr>
        <w:footnoteRef/>
      </w:r>
      <w:r w:rsidRPr="002970DE">
        <w:rPr>
          <w:sz w:val="18"/>
          <w:szCs w:val="18"/>
        </w:rPr>
        <w:t xml:space="preserve"> </w:t>
      </w:r>
      <w:r>
        <w:rPr>
          <w:sz w:val="18"/>
          <w:szCs w:val="18"/>
        </w:rPr>
        <w:t xml:space="preserve"> </w:t>
      </w:r>
      <w:r w:rsidRPr="008A2C2E">
        <w:rPr>
          <w:sz w:val="18"/>
          <w:szCs w:val="18"/>
        </w:rPr>
        <w:t>U.S. Department of Agriculture, Food and Nutrition Service, Office of Research and Analysis, National Survey of</w:t>
      </w:r>
    </w:p>
    <w:p w:rsidR="00E83AAB" w:rsidRPr="008A2C2E" w:rsidRDefault="00E83AAB" w:rsidP="008A2C2E">
      <w:pPr>
        <w:ind w:left="144" w:hanging="144"/>
        <w:contextualSpacing/>
        <w:rPr>
          <w:sz w:val="18"/>
          <w:szCs w:val="18"/>
        </w:rPr>
      </w:pPr>
      <w:r>
        <w:rPr>
          <w:sz w:val="18"/>
          <w:szCs w:val="18"/>
        </w:rPr>
        <w:t xml:space="preserve">   </w:t>
      </w:r>
      <w:r w:rsidRPr="008A2C2E">
        <w:rPr>
          <w:sz w:val="18"/>
          <w:szCs w:val="18"/>
        </w:rPr>
        <w:t xml:space="preserve">WIC Participants II: Improper Payments Report, by Gary Huang, et al. Project Officer: </w:t>
      </w:r>
      <w:proofErr w:type="spellStart"/>
      <w:r w:rsidRPr="008A2C2E">
        <w:rPr>
          <w:sz w:val="18"/>
          <w:szCs w:val="18"/>
        </w:rPr>
        <w:t>Sheku</w:t>
      </w:r>
      <w:proofErr w:type="spellEnd"/>
      <w:r w:rsidRPr="008A2C2E">
        <w:rPr>
          <w:sz w:val="18"/>
          <w:szCs w:val="18"/>
        </w:rPr>
        <w:t xml:space="preserve"> G. Kamara, Karen-</w:t>
      </w:r>
    </w:p>
    <w:p w:rsidR="00E83AAB" w:rsidRPr="002970DE" w:rsidRDefault="00E83AAB" w:rsidP="008A2C2E">
      <w:pPr>
        <w:ind w:left="144" w:hanging="144"/>
        <w:contextualSpacing/>
        <w:rPr>
          <w:sz w:val="18"/>
          <w:szCs w:val="18"/>
        </w:rPr>
      </w:pPr>
      <w:r>
        <w:rPr>
          <w:sz w:val="18"/>
          <w:szCs w:val="18"/>
        </w:rPr>
        <w:t xml:space="preserve">   </w:t>
      </w:r>
      <w:r w:rsidRPr="008A2C2E">
        <w:rPr>
          <w:sz w:val="18"/>
          <w:szCs w:val="18"/>
        </w:rPr>
        <w:t>Castellanos-Brown, Alexandria, VA: 2012.</w:t>
      </w:r>
    </w:p>
    <w:p w:rsidR="00E83AAB" w:rsidRDefault="00E83AAB" w:rsidP="008A2C2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AAB" w:rsidRDefault="00E83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AAB" w:rsidRDefault="00E83AAB" w:rsidP="006363C9">
    <w:pPr>
      <w:pStyle w:val="Header"/>
      <w:rPr>
        <w:b/>
      </w:rPr>
    </w:pPr>
  </w:p>
  <w:p w:rsidR="00E83AAB" w:rsidRDefault="00E83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92400CE4"/>
    <w:lvl w:ilvl="0" w:tplc="F4F615F0">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914C45"/>
    <w:multiLevelType w:val="hybridMultilevel"/>
    <w:tmpl w:val="A5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97FA6"/>
    <w:multiLevelType w:val="hybridMultilevel"/>
    <w:tmpl w:val="BB20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F436B"/>
    <w:multiLevelType w:val="hybridMultilevel"/>
    <w:tmpl w:val="645A6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0C3DB9"/>
    <w:multiLevelType w:val="hybridMultilevel"/>
    <w:tmpl w:val="588E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C04920"/>
    <w:multiLevelType w:val="hybridMultilevel"/>
    <w:tmpl w:val="86F02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1"/>
  </w:num>
  <w:num w:numId="4">
    <w:abstractNumId w:val="8"/>
  </w:num>
  <w:num w:numId="5">
    <w:abstractNumId w:val="10"/>
  </w:num>
  <w:num w:numId="6">
    <w:abstractNumId w:val="2"/>
  </w:num>
  <w:num w:numId="7">
    <w:abstractNumId w:val="5"/>
  </w:num>
  <w:num w:numId="8">
    <w:abstractNumId w:val="9"/>
  </w:num>
  <w:num w:numId="9">
    <w:abstractNumId w:val="6"/>
  </w:num>
  <w:num w:numId="10">
    <w:abstractNumId w:val="4"/>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Paul Ruggiere, PhD">
    <w15:presenceInfo w15:providerId="AD" w15:userId="S-1-5-21-2530180562-2284943630-2546815069-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efaultTableStyle w:val="LightList-Accent11"/>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2NrA0sTCyNLYwNDdU0lEKTi0uzszPAykwrAUAMsy7JCwAAAA="/>
  </w:docVars>
  <w:rsids>
    <w:rsidRoot w:val="005E15FF"/>
    <w:rsid w:val="00000AEF"/>
    <w:rsid w:val="00001F65"/>
    <w:rsid w:val="00004277"/>
    <w:rsid w:val="00004FC1"/>
    <w:rsid w:val="000074D2"/>
    <w:rsid w:val="000121C0"/>
    <w:rsid w:val="00016175"/>
    <w:rsid w:val="00017EA9"/>
    <w:rsid w:val="00020C17"/>
    <w:rsid w:val="0002114F"/>
    <w:rsid w:val="000217F9"/>
    <w:rsid w:val="00022398"/>
    <w:rsid w:val="00023BB3"/>
    <w:rsid w:val="00027E50"/>
    <w:rsid w:val="000303FE"/>
    <w:rsid w:val="0003062D"/>
    <w:rsid w:val="00030DA9"/>
    <w:rsid w:val="00034878"/>
    <w:rsid w:val="000376F2"/>
    <w:rsid w:val="00041036"/>
    <w:rsid w:val="00042CBF"/>
    <w:rsid w:val="00042FF4"/>
    <w:rsid w:val="00043707"/>
    <w:rsid w:val="00045072"/>
    <w:rsid w:val="000465D1"/>
    <w:rsid w:val="000469EC"/>
    <w:rsid w:val="00047007"/>
    <w:rsid w:val="00047E53"/>
    <w:rsid w:val="000509FB"/>
    <w:rsid w:val="000519B1"/>
    <w:rsid w:val="00055692"/>
    <w:rsid w:val="00055BB2"/>
    <w:rsid w:val="00056F85"/>
    <w:rsid w:val="00060977"/>
    <w:rsid w:val="000614CE"/>
    <w:rsid w:val="000638B3"/>
    <w:rsid w:val="00064AEC"/>
    <w:rsid w:val="00064B18"/>
    <w:rsid w:val="00064E72"/>
    <w:rsid w:val="00067953"/>
    <w:rsid w:val="000724DA"/>
    <w:rsid w:val="00074AE1"/>
    <w:rsid w:val="00075A71"/>
    <w:rsid w:val="00076340"/>
    <w:rsid w:val="00076C24"/>
    <w:rsid w:val="00080182"/>
    <w:rsid w:val="00081B71"/>
    <w:rsid w:val="00083066"/>
    <w:rsid w:val="00083154"/>
    <w:rsid w:val="00087801"/>
    <w:rsid w:val="00087E34"/>
    <w:rsid w:val="00090E60"/>
    <w:rsid w:val="00095E8F"/>
    <w:rsid w:val="000A0398"/>
    <w:rsid w:val="000A1735"/>
    <w:rsid w:val="000A5799"/>
    <w:rsid w:val="000A697B"/>
    <w:rsid w:val="000A7CAC"/>
    <w:rsid w:val="000B1EC9"/>
    <w:rsid w:val="000B253A"/>
    <w:rsid w:val="000B3C89"/>
    <w:rsid w:val="000B750D"/>
    <w:rsid w:val="000B76E2"/>
    <w:rsid w:val="000B78B6"/>
    <w:rsid w:val="000C1FE6"/>
    <w:rsid w:val="000C3ADF"/>
    <w:rsid w:val="000C5AF5"/>
    <w:rsid w:val="000C5E64"/>
    <w:rsid w:val="000C5EDA"/>
    <w:rsid w:val="000C6DB2"/>
    <w:rsid w:val="000C74D9"/>
    <w:rsid w:val="000C76A9"/>
    <w:rsid w:val="000C79B3"/>
    <w:rsid w:val="000D026A"/>
    <w:rsid w:val="000D3C74"/>
    <w:rsid w:val="000D6574"/>
    <w:rsid w:val="000D6945"/>
    <w:rsid w:val="000D740B"/>
    <w:rsid w:val="000E1267"/>
    <w:rsid w:val="000E1784"/>
    <w:rsid w:val="000E2F0B"/>
    <w:rsid w:val="000E3225"/>
    <w:rsid w:val="000E46E0"/>
    <w:rsid w:val="000E56EE"/>
    <w:rsid w:val="000E6AB3"/>
    <w:rsid w:val="000F2604"/>
    <w:rsid w:val="000F28CB"/>
    <w:rsid w:val="000F537C"/>
    <w:rsid w:val="00100249"/>
    <w:rsid w:val="001040C3"/>
    <w:rsid w:val="00110D07"/>
    <w:rsid w:val="00112850"/>
    <w:rsid w:val="00114074"/>
    <w:rsid w:val="00121ACF"/>
    <w:rsid w:val="001239D0"/>
    <w:rsid w:val="00125CDD"/>
    <w:rsid w:val="00126756"/>
    <w:rsid w:val="001271AB"/>
    <w:rsid w:val="00127FE0"/>
    <w:rsid w:val="00133D57"/>
    <w:rsid w:val="0013414F"/>
    <w:rsid w:val="0013689D"/>
    <w:rsid w:val="00136A15"/>
    <w:rsid w:val="00136C1D"/>
    <w:rsid w:val="00140070"/>
    <w:rsid w:val="001406F5"/>
    <w:rsid w:val="001418E1"/>
    <w:rsid w:val="001422CF"/>
    <w:rsid w:val="00142877"/>
    <w:rsid w:val="00143A54"/>
    <w:rsid w:val="0014642D"/>
    <w:rsid w:val="00146586"/>
    <w:rsid w:val="00146790"/>
    <w:rsid w:val="00146F25"/>
    <w:rsid w:val="001475C0"/>
    <w:rsid w:val="00153406"/>
    <w:rsid w:val="0016041C"/>
    <w:rsid w:val="0016333A"/>
    <w:rsid w:val="00163BA4"/>
    <w:rsid w:val="00166AA9"/>
    <w:rsid w:val="001709D5"/>
    <w:rsid w:val="001721C7"/>
    <w:rsid w:val="00180A78"/>
    <w:rsid w:val="001812FE"/>
    <w:rsid w:val="001827A3"/>
    <w:rsid w:val="0018705C"/>
    <w:rsid w:val="0018781B"/>
    <w:rsid w:val="00190B85"/>
    <w:rsid w:val="001913DA"/>
    <w:rsid w:val="0019243E"/>
    <w:rsid w:val="00193532"/>
    <w:rsid w:val="0019471A"/>
    <w:rsid w:val="001974C9"/>
    <w:rsid w:val="00197601"/>
    <w:rsid w:val="001A075D"/>
    <w:rsid w:val="001A6AAE"/>
    <w:rsid w:val="001A7461"/>
    <w:rsid w:val="001B182C"/>
    <w:rsid w:val="001B2D24"/>
    <w:rsid w:val="001B3CA0"/>
    <w:rsid w:val="001B6C9B"/>
    <w:rsid w:val="001B7D9F"/>
    <w:rsid w:val="001C0898"/>
    <w:rsid w:val="001C2791"/>
    <w:rsid w:val="001C33B1"/>
    <w:rsid w:val="001C53B6"/>
    <w:rsid w:val="001C5793"/>
    <w:rsid w:val="001C5AC5"/>
    <w:rsid w:val="001D4CDB"/>
    <w:rsid w:val="001E4A40"/>
    <w:rsid w:val="001E5C6A"/>
    <w:rsid w:val="001E68EF"/>
    <w:rsid w:val="001F1361"/>
    <w:rsid w:val="001F34C0"/>
    <w:rsid w:val="001F44E5"/>
    <w:rsid w:val="001F636B"/>
    <w:rsid w:val="001F68E2"/>
    <w:rsid w:val="00202ADE"/>
    <w:rsid w:val="002056BB"/>
    <w:rsid w:val="002076C0"/>
    <w:rsid w:val="00210148"/>
    <w:rsid w:val="00211720"/>
    <w:rsid w:val="0021433C"/>
    <w:rsid w:val="00214390"/>
    <w:rsid w:val="00214564"/>
    <w:rsid w:val="002165B2"/>
    <w:rsid w:val="002176E0"/>
    <w:rsid w:val="00221413"/>
    <w:rsid w:val="00223AB8"/>
    <w:rsid w:val="002267D1"/>
    <w:rsid w:val="00226B4F"/>
    <w:rsid w:val="002273C3"/>
    <w:rsid w:val="002307CB"/>
    <w:rsid w:val="00231360"/>
    <w:rsid w:val="00236D2F"/>
    <w:rsid w:val="002379CB"/>
    <w:rsid w:val="00241DB7"/>
    <w:rsid w:val="00241E1E"/>
    <w:rsid w:val="0024360C"/>
    <w:rsid w:val="00243B68"/>
    <w:rsid w:val="002445C3"/>
    <w:rsid w:val="00245BEF"/>
    <w:rsid w:val="00246224"/>
    <w:rsid w:val="002474B4"/>
    <w:rsid w:val="002527A6"/>
    <w:rsid w:val="00253598"/>
    <w:rsid w:val="00253AA9"/>
    <w:rsid w:val="00261C2F"/>
    <w:rsid w:val="002625E8"/>
    <w:rsid w:val="00264E1D"/>
    <w:rsid w:val="00267BB0"/>
    <w:rsid w:val="002701CD"/>
    <w:rsid w:val="00270BED"/>
    <w:rsid w:val="00270E6A"/>
    <w:rsid w:val="00271C72"/>
    <w:rsid w:val="00272FEB"/>
    <w:rsid w:val="0027338A"/>
    <w:rsid w:val="00275B55"/>
    <w:rsid w:val="00275E56"/>
    <w:rsid w:val="00281058"/>
    <w:rsid w:val="002815E0"/>
    <w:rsid w:val="002838D3"/>
    <w:rsid w:val="00284C6A"/>
    <w:rsid w:val="002854DF"/>
    <w:rsid w:val="00286984"/>
    <w:rsid w:val="00286C8F"/>
    <w:rsid w:val="00291D97"/>
    <w:rsid w:val="00292725"/>
    <w:rsid w:val="00292728"/>
    <w:rsid w:val="00292C30"/>
    <w:rsid w:val="00293D5B"/>
    <w:rsid w:val="00294825"/>
    <w:rsid w:val="00297011"/>
    <w:rsid w:val="002970DE"/>
    <w:rsid w:val="0029772E"/>
    <w:rsid w:val="002A0C00"/>
    <w:rsid w:val="002A66D8"/>
    <w:rsid w:val="002A6CA6"/>
    <w:rsid w:val="002B6A2B"/>
    <w:rsid w:val="002C4AF8"/>
    <w:rsid w:val="002C656D"/>
    <w:rsid w:val="002C7065"/>
    <w:rsid w:val="002C7A38"/>
    <w:rsid w:val="002D058E"/>
    <w:rsid w:val="002D39E9"/>
    <w:rsid w:val="002D5560"/>
    <w:rsid w:val="002D5C58"/>
    <w:rsid w:val="002D6E32"/>
    <w:rsid w:val="002E0E32"/>
    <w:rsid w:val="002E2DDA"/>
    <w:rsid w:val="002F30E1"/>
    <w:rsid w:val="002F4388"/>
    <w:rsid w:val="002F5BDF"/>
    <w:rsid w:val="002F64C5"/>
    <w:rsid w:val="002F66D2"/>
    <w:rsid w:val="00311100"/>
    <w:rsid w:val="003128C6"/>
    <w:rsid w:val="00314272"/>
    <w:rsid w:val="003142F6"/>
    <w:rsid w:val="00314A71"/>
    <w:rsid w:val="003158C0"/>
    <w:rsid w:val="003166CD"/>
    <w:rsid w:val="00316AA1"/>
    <w:rsid w:val="0032057F"/>
    <w:rsid w:val="00322A69"/>
    <w:rsid w:val="00323285"/>
    <w:rsid w:val="00323B28"/>
    <w:rsid w:val="00323CDA"/>
    <w:rsid w:val="003252D3"/>
    <w:rsid w:val="0032735E"/>
    <w:rsid w:val="0033092A"/>
    <w:rsid w:val="00331520"/>
    <w:rsid w:val="0033560C"/>
    <w:rsid w:val="00335A67"/>
    <w:rsid w:val="003379F2"/>
    <w:rsid w:val="00342E6E"/>
    <w:rsid w:val="003432EC"/>
    <w:rsid w:val="00343597"/>
    <w:rsid w:val="00344556"/>
    <w:rsid w:val="0034730F"/>
    <w:rsid w:val="0035359C"/>
    <w:rsid w:val="00355D35"/>
    <w:rsid w:val="0035644F"/>
    <w:rsid w:val="0035748D"/>
    <w:rsid w:val="003606F4"/>
    <w:rsid w:val="00362A7F"/>
    <w:rsid w:val="00371241"/>
    <w:rsid w:val="00374294"/>
    <w:rsid w:val="00376B2F"/>
    <w:rsid w:val="00377B23"/>
    <w:rsid w:val="0038086A"/>
    <w:rsid w:val="00381A4C"/>
    <w:rsid w:val="00390D3D"/>
    <w:rsid w:val="00391065"/>
    <w:rsid w:val="00391095"/>
    <w:rsid w:val="00391FA8"/>
    <w:rsid w:val="003A023F"/>
    <w:rsid w:val="003A26FB"/>
    <w:rsid w:val="003A36E3"/>
    <w:rsid w:val="003A4D14"/>
    <w:rsid w:val="003A4DFA"/>
    <w:rsid w:val="003B15A6"/>
    <w:rsid w:val="003B1DC0"/>
    <w:rsid w:val="003B27FE"/>
    <w:rsid w:val="003B3361"/>
    <w:rsid w:val="003B3745"/>
    <w:rsid w:val="003B4D27"/>
    <w:rsid w:val="003B5E7A"/>
    <w:rsid w:val="003B7E0D"/>
    <w:rsid w:val="003C0881"/>
    <w:rsid w:val="003C1AD6"/>
    <w:rsid w:val="003C2E95"/>
    <w:rsid w:val="003C5A61"/>
    <w:rsid w:val="003C6C72"/>
    <w:rsid w:val="003C7CE1"/>
    <w:rsid w:val="003D1BE1"/>
    <w:rsid w:val="003D327F"/>
    <w:rsid w:val="003D41F2"/>
    <w:rsid w:val="003D4FEA"/>
    <w:rsid w:val="003D61D9"/>
    <w:rsid w:val="003D697E"/>
    <w:rsid w:val="003D6FF6"/>
    <w:rsid w:val="003E1141"/>
    <w:rsid w:val="003E3917"/>
    <w:rsid w:val="003E60D3"/>
    <w:rsid w:val="003E760C"/>
    <w:rsid w:val="003F1362"/>
    <w:rsid w:val="003F1B0A"/>
    <w:rsid w:val="003F1B90"/>
    <w:rsid w:val="003F2DB8"/>
    <w:rsid w:val="003F323B"/>
    <w:rsid w:val="003F469A"/>
    <w:rsid w:val="003F50B3"/>
    <w:rsid w:val="003F5EDF"/>
    <w:rsid w:val="004020D5"/>
    <w:rsid w:val="00402F39"/>
    <w:rsid w:val="0040452B"/>
    <w:rsid w:val="004045EB"/>
    <w:rsid w:val="00404FA5"/>
    <w:rsid w:val="00412219"/>
    <w:rsid w:val="004135C5"/>
    <w:rsid w:val="00417959"/>
    <w:rsid w:val="0042259C"/>
    <w:rsid w:val="00422A92"/>
    <w:rsid w:val="00427799"/>
    <w:rsid w:val="00430B65"/>
    <w:rsid w:val="004327F3"/>
    <w:rsid w:val="004329E9"/>
    <w:rsid w:val="00432C2D"/>
    <w:rsid w:val="0043370B"/>
    <w:rsid w:val="004340DC"/>
    <w:rsid w:val="00435BD7"/>
    <w:rsid w:val="00437B70"/>
    <w:rsid w:val="00443766"/>
    <w:rsid w:val="0044564F"/>
    <w:rsid w:val="00445964"/>
    <w:rsid w:val="00445AD9"/>
    <w:rsid w:val="00452347"/>
    <w:rsid w:val="00455A18"/>
    <w:rsid w:val="00455EAE"/>
    <w:rsid w:val="004561BF"/>
    <w:rsid w:val="004611BE"/>
    <w:rsid w:val="00462B4F"/>
    <w:rsid w:val="00463764"/>
    <w:rsid w:val="004661A3"/>
    <w:rsid w:val="00466AE8"/>
    <w:rsid w:val="004671CB"/>
    <w:rsid w:val="004734F0"/>
    <w:rsid w:val="00475636"/>
    <w:rsid w:val="004757FE"/>
    <w:rsid w:val="00480AC2"/>
    <w:rsid w:val="004823FB"/>
    <w:rsid w:val="00483F6A"/>
    <w:rsid w:val="00484674"/>
    <w:rsid w:val="004861E9"/>
    <w:rsid w:val="00486E76"/>
    <w:rsid w:val="0049256C"/>
    <w:rsid w:val="00495517"/>
    <w:rsid w:val="004964E2"/>
    <w:rsid w:val="0049657B"/>
    <w:rsid w:val="00497C19"/>
    <w:rsid w:val="004A0ACE"/>
    <w:rsid w:val="004A0B0C"/>
    <w:rsid w:val="004A3EFA"/>
    <w:rsid w:val="004A5197"/>
    <w:rsid w:val="004A5728"/>
    <w:rsid w:val="004A5CBB"/>
    <w:rsid w:val="004A6682"/>
    <w:rsid w:val="004A677E"/>
    <w:rsid w:val="004B0A89"/>
    <w:rsid w:val="004B12E6"/>
    <w:rsid w:val="004B1F37"/>
    <w:rsid w:val="004B3D99"/>
    <w:rsid w:val="004B3FEB"/>
    <w:rsid w:val="004B40C1"/>
    <w:rsid w:val="004B4F4A"/>
    <w:rsid w:val="004B564E"/>
    <w:rsid w:val="004B77EA"/>
    <w:rsid w:val="004C0B59"/>
    <w:rsid w:val="004C0D69"/>
    <w:rsid w:val="004C3F25"/>
    <w:rsid w:val="004C5265"/>
    <w:rsid w:val="004C54E3"/>
    <w:rsid w:val="004D0967"/>
    <w:rsid w:val="004D28E3"/>
    <w:rsid w:val="004D2EB9"/>
    <w:rsid w:val="004D35C0"/>
    <w:rsid w:val="004D399F"/>
    <w:rsid w:val="004D44B0"/>
    <w:rsid w:val="004D4DDF"/>
    <w:rsid w:val="004E1BA4"/>
    <w:rsid w:val="004E1E4B"/>
    <w:rsid w:val="004E32C5"/>
    <w:rsid w:val="004E4DBE"/>
    <w:rsid w:val="004F22A0"/>
    <w:rsid w:val="004F5354"/>
    <w:rsid w:val="004F56B2"/>
    <w:rsid w:val="004F5E66"/>
    <w:rsid w:val="00500E32"/>
    <w:rsid w:val="0050313D"/>
    <w:rsid w:val="005052ED"/>
    <w:rsid w:val="0050546E"/>
    <w:rsid w:val="0050767B"/>
    <w:rsid w:val="0051348B"/>
    <w:rsid w:val="00514467"/>
    <w:rsid w:val="00522BC4"/>
    <w:rsid w:val="00523471"/>
    <w:rsid w:val="005238AC"/>
    <w:rsid w:val="00524A55"/>
    <w:rsid w:val="00530DDB"/>
    <w:rsid w:val="005316DA"/>
    <w:rsid w:val="005358A6"/>
    <w:rsid w:val="0053612E"/>
    <w:rsid w:val="00537283"/>
    <w:rsid w:val="00537B38"/>
    <w:rsid w:val="00537B53"/>
    <w:rsid w:val="00545489"/>
    <w:rsid w:val="005467D8"/>
    <w:rsid w:val="00546E98"/>
    <w:rsid w:val="005477EC"/>
    <w:rsid w:val="00547B7C"/>
    <w:rsid w:val="00550CB8"/>
    <w:rsid w:val="005516A5"/>
    <w:rsid w:val="00552A57"/>
    <w:rsid w:val="005537C2"/>
    <w:rsid w:val="00553FB1"/>
    <w:rsid w:val="00554295"/>
    <w:rsid w:val="005543C3"/>
    <w:rsid w:val="00555D07"/>
    <w:rsid w:val="00556A39"/>
    <w:rsid w:val="005603FC"/>
    <w:rsid w:val="0056066C"/>
    <w:rsid w:val="0056092B"/>
    <w:rsid w:val="005616F4"/>
    <w:rsid w:val="00561880"/>
    <w:rsid w:val="00566CF4"/>
    <w:rsid w:val="00566F90"/>
    <w:rsid w:val="005701F9"/>
    <w:rsid w:val="00570B85"/>
    <w:rsid w:val="005715A4"/>
    <w:rsid w:val="0058043A"/>
    <w:rsid w:val="00586805"/>
    <w:rsid w:val="00594920"/>
    <w:rsid w:val="0059643A"/>
    <w:rsid w:val="005A2D82"/>
    <w:rsid w:val="005A2EFC"/>
    <w:rsid w:val="005A47E3"/>
    <w:rsid w:val="005A6A3F"/>
    <w:rsid w:val="005B2CB7"/>
    <w:rsid w:val="005C00CD"/>
    <w:rsid w:val="005C14BD"/>
    <w:rsid w:val="005C1D04"/>
    <w:rsid w:val="005C646F"/>
    <w:rsid w:val="005C6A37"/>
    <w:rsid w:val="005D1900"/>
    <w:rsid w:val="005D1DFD"/>
    <w:rsid w:val="005D388F"/>
    <w:rsid w:val="005D4C06"/>
    <w:rsid w:val="005D5059"/>
    <w:rsid w:val="005D5694"/>
    <w:rsid w:val="005D5A57"/>
    <w:rsid w:val="005E15FF"/>
    <w:rsid w:val="005E1BBB"/>
    <w:rsid w:val="005E33E4"/>
    <w:rsid w:val="005E4A11"/>
    <w:rsid w:val="005E7AB4"/>
    <w:rsid w:val="005F66E1"/>
    <w:rsid w:val="005F711B"/>
    <w:rsid w:val="005F7347"/>
    <w:rsid w:val="00601411"/>
    <w:rsid w:val="00602412"/>
    <w:rsid w:val="00602B18"/>
    <w:rsid w:val="0060325B"/>
    <w:rsid w:val="00603BEB"/>
    <w:rsid w:val="00605201"/>
    <w:rsid w:val="00606E56"/>
    <w:rsid w:val="0060766F"/>
    <w:rsid w:val="006102D4"/>
    <w:rsid w:val="00612ADC"/>
    <w:rsid w:val="006130BF"/>
    <w:rsid w:val="0061376B"/>
    <w:rsid w:val="00614F9A"/>
    <w:rsid w:val="0061624C"/>
    <w:rsid w:val="0062031E"/>
    <w:rsid w:val="006205A8"/>
    <w:rsid w:val="006213C2"/>
    <w:rsid w:val="006216F2"/>
    <w:rsid w:val="00630373"/>
    <w:rsid w:val="00632FAC"/>
    <w:rsid w:val="006344A2"/>
    <w:rsid w:val="00635D0C"/>
    <w:rsid w:val="006363C9"/>
    <w:rsid w:val="00636FBC"/>
    <w:rsid w:val="006444E4"/>
    <w:rsid w:val="00647BB6"/>
    <w:rsid w:val="006531D0"/>
    <w:rsid w:val="0065414E"/>
    <w:rsid w:val="00654B96"/>
    <w:rsid w:val="006557F8"/>
    <w:rsid w:val="00657312"/>
    <w:rsid w:val="00663152"/>
    <w:rsid w:val="00665164"/>
    <w:rsid w:val="00673178"/>
    <w:rsid w:val="00675E39"/>
    <w:rsid w:val="00676556"/>
    <w:rsid w:val="006850FC"/>
    <w:rsid w:val="006920D6"/>
    <w:rsid w:val="00694E66"/>
    <w:rsid w:val="0069643C"/>
    <w:rsid w:val="006A1B12"/>
    <w:rsid w:val="006A25C5"/>
    <w:rsid w:val="006A4C9E"/>
    <w:rsid w:val="006A525F"/>
    <w:rsid w:val="006A6928"/>
    <w:rsid w:val="006A7EC9"/>
    <w:rsid w:val="006B19A0"/>
    <w:rsid w:val="006B3132"/>
    <w:rsid w:val="006B342E"/>
    <w:rsid w:val="006B3709"/>
    <w:rsid w:val="006C244C"/>
    <w:rsid w:val="006C52E6"/>
    <w:rsid w:val="006C7DDE"/>
    <w:rsid w:val="006D25D9"/>
    <w:rsid w:val="006D3CB5"/>
    <w:rsid w:val="006E1FE8"/>
    <w:rsid w:val="006E203B"/>
    <w:rsid w:val="006E29DE"/>
    <w:rsid w:val="006E46EB"/>
    <w:rsid w:val="006E4A84"/>
    <w:rsid w:val="006E67FD"/>
    <w:rsid w:val="006E75F8"/>
    <w:rsid w:val="006F0EB7"/>
    <w:rsid w:val="006F6002"/>
    <w:rsid w:val="006F677E"/>
    <w:rsid w:val="00701339"/>
    <w:rsid w:val="007108FD"/>
    <w:rsid w:val="00710D46"/>
    <w:rsid w:val="00710D65"/>
    <w:rsid w:val="0071152F"/>
    <w:rsid w:val="00714488"/>
    <w:rsid w:val="007148E4"/>
    <w:rsid w:val="00721C75"/>
    <w:rsid w:val="00726AE4"/>
    <w:rsid w:val="00730DE7"/>
    <w:rsid w:val="007343A1"/>
    <w:rsid w:val="007433FC"/>
    <w:rsid w:val="007501E7"/>
    <w:rsid w:val="00750B2A"/>
    <w:rsid w:val="00751318"/>
    <w:rsid w:val="0075226B"/>
    <w:rsid w:val="0075246C"/>
    <w:rsid w:val="007541FB"/>
    <w:rsid w:val="00755C61"/>
    <w:rsid w:val="00755FF0"/>
    <w:rsid w:val="00756150"/>
    <w:rsid w:val="007570A3"/>
    <w:rsid w:val="00757484"/>
    <w:rsid w:val="007578F1"/>
    <w:rsid w:val="00760B77"/>
    <w:rsid w:val="00765770"/>
    <w:rsid w:val="007707B0"/>
    <w:rsid w:val="007720B7"/>
    <w:rsid w:val="0077255F"/>
    <w:rsid w:val="007739CA"/>
    <w:rsid w:val="007754DF"/>
    <w:rsid w:val="00775528"/>
    <w:rsid w:val="007760EE"/>
    <w:rsid w:val="00776CE8"/>
    <w:rsid w:val="00777AD1"/>
    <w:rsid w:val="00780D87"/>
    <w:rsid w:val="007818EA"/>
    <w:rsid w:val="007821A5"/>
    <w:rsid w:val="007858D2"/>
    <w:rsid w:val="00790D13"/>
    <w:rsid w:val="00794379"/>
    <w:rsid w:val="007A1016"/>
    <w:rsid w:val="007A23A2"/>
    <w:rsid w:val="007A2F2A"/>
    <w:rsid w:val="007A4D7F"/>
    <w:rsid w:val="007A5078"/>
    <w:rsid w:val="007B04B8"/>
    <w:rsid w:val="007B08A6"/>
    <w:rsid w:val="007B0BBB"/>
    <w:rsid w:val="007B2A54"/>
    <w:rsid w:val="007B45EF"/>
    <w:rsid w:val="007B5477"/>
    <w:rsid w:val="007B7A40"/>
    <w:rsid w:val="007C087C"/>
    <w:rsid w:val="007C22D4"/>
    <w:rsid w:val="007C3372"/>
    <w:rsid w:val="007C4E99"/>
    <w:rsid w:val="007C5A72"/>
    <w:rsid w:val="007D425C"/>
    <w:rsid w:val="007D5E1D"/>
    <w:rsid w:val="007D67BA"/>
    <w:rsid w:val="007E0370"/>
    <w:rsid w:val="007E2551"/>
    <w:rsid w:val="007E4A57"/>
    <w:rsid w:val="007E62AB"/>
    <w:rsid w:val="007F07D4"/>
    <w:rsid w:val="007F15DE"/>
    <w:rsid w:val="007F2C17"/>
    <w:rsid w:val="007F32E4"/>
    <w:rsid w:val="007F5F33"/>
    <w:rsid w:val="007F6D25"/>
    <w:rsid w:val="007F73B0"/>
    <w:rsid w:val="008001E3"/>
    <w:rsid w:val="00801495"/>
    <w:rsid w:val="00802A65"/>
    <w:rsid w:val="0080386F"/>
    <w:rsid w:val="0080461E"/>
    <w:rsid w:val="00805788"/>
    <w:rsid w:val="00806138"/>
    <w:rsid w:val="00806164"/>
    <w:rsid w:val="00812CB1"/>
    <w:rsid w:val="00816103"/>
    <w:rsid w:val="00823C02"/>
    <w:rsid w:val="00823F5B"/>
    <w:rsid w:val="00824223"/>
    <w:rsid w:val="00824BB9"/>
    <w:rsid w:val="0082675E"/>
    <w:rsid w:val="00827D27"/>
    <w:rsid w:val="00830FB2"/>
    <w:rsid w:val="00833916"/>
    <w:rsid w:val="008342AB"/>
    <w:rsid w:val="00836120"/>
    <w:rsid w:val="00836354"/>
    <w:rsid w:val="00840EB6"/>
    <w:rsid w:val="00841ADC"/>
    <w:rsid w:val="008459BB"/>
    <w:rsid w:val="0084611A"/>
    <w:rsid w:val="008465D8"/>
    <w:rsid w:val="00846778"/>
    <w:rsid w:val="0084720A"/>
    <w:rsid w:val="00852FDF"/>
    <w:rsid w:val="00853010"/>
    <w:rsid w:val="0085371F"/>
    <w:rsid w:val="00855B9A"/>
    <w:rsid w:val="00855D6B"/>
    <w:rsid w:val="00855F86"/>
    <w:rsid w:val="00856D4D"/>
    <w:rsid w:val="00857751"/>
    <w:rsid w:val="00860CBE"/>
    <w:rsid w:val="00862562"/>
    <w:rsid w:val="008631E1"/>
    <w:rsid w:val="00865879"/>
    <w:rsid w:val="00870492"/>
    <w:rsid w:val="00872847"/>
    <w:rsid w:val="008740F5"/>
    <w:rsid w:val="00877F8E"/>
    <w:rsid w:val="00881587"/>
    <w:rsid w:val="0088323F"/>
    <w:rsid w:val="008844B7"/>
    <w:rsid w:val="008862F8"/>
    <w:rsid w:val="00890630"/>
    <w:rsid w:val="00892211"/>
    <w:rsid w:val="00892A6E"/>
    <w:rsid w:val="008935AF"/>
    <w:rsid w:val="00894E80"/>
    <w:rsid w:val="0089595F"/>
    <w:rsid w:val="00897A5F"/>
    <w:rsid w:val="00897B31"/>
    <w:rsid w:val="00897E04"/>
    <w:rsid w:val="00897E55"/>
    <w:rsid w:val="008A0C89"/>
    <w:rsid w:val="008A2B7A"/>
    <w:rsid w:val="008A2C2E"/>
    <w:rsid w:val="008A55BB"/>
    <w:rsid w:val="008B18E8"/>
    <w:rsid w:val="008B1BB0"/>
    <w:rsid w:val="008B255A"/>
    <w:rsid w:val="008B2B23"/>
    <w:rsid w:val="008B4AF9"/>
    <w:rsid w:val="008B548C"/>
    <w:rsid w:val="008B6050"/>
    <w:rsid w:val="008C0088"/>
    <w:rsid w:val="008C08BD"/>
    <w:rsid w:val="008C0BB7"/>
    <w:rsid w:val="008C125A"/>
    <w:rsid w:val="008C5557"/>
    <w:rsid w:val="008C6F24"/>
    <w:rsid w:val="008D06A3"/>
    <w:rsid w:val="008D21C2"/>
    <w:rsid w:val="008D3FA8"/>
    <w:rsid w:val="008D5ED6"/>
    <w:rsid w:val="008D6A71"/>
    <w:rsid w:val="008D7555"/>
    <w:rsid w:val="008D7D97"/>
    <w:rsid w:val="008E17F8"/>
    <w:rsid w:val="008E1D93"/>
    <w:rsid w:val="008E3F5F"/>
    <w:rsid w:val="008E4A5C"/>
    <w:rsid w:val="008E6949"/>
    <w:rsid w:val="008F2367"/>
    <w:rsid w:val="008F3157"/>
    <w:rsid w:val="008F3411"/>
    <w:rsid w:val="008F4BA6"/>
    <w:rsid w:val="008F4F50"/>
    <w:rsid w:val="008F5554"/>
    <w:rsid w:val="008F755C"/>
    <w:rsid w:val="008F7D69"/>
    <w:rsid w:val="00900ED3"/>
    <w:rsid w:val="009012AD"/>
    <w:rsid w:val="0090208D"/>
    <w:rsid w:val="009050DB"/>
    <w:rsid w:val="00905764"/>
    <w:rsid w:val="00906F01"/>
    <w:rsid w:val="009078FD"/>
    <w:rsid w:val="00907CE1"/>
    <w:rsid w:val="00911462"/>
    <w:rsid w:val="009128A3"/>
    <w:rsid w:val="009155F9"/>
    <w:rsid w:val="0091760B"/>
    <w:rsid w:val="00920095"/>
    <w:rsid w:val="009202E9"/>
    <w:rsid w:val="009212A8"/>
    <w:rsid w:val="0092181E"/>
    <w:rsid w:val="00922EC7"/>
    <w:rsid w:val="0092397E"/>
    <w:rsid w:val="00924E21"/>
    <w:rsid w:val="00926D0E"/>
    <w:rsid w:val="00927CE3"/>
    <w:rsid w:val="00930690"/>
    <w:rsid w:val="00931BED"/>
    <w:rsid w:val="009323A8"/>
    <w:rsid w:val="00932513"/>
    <w:rsid w:val="009339A6"/>
    <w:rsid w:val="00933D3C"/>
    <w:rsid w:val="00935309"/>
    <w:rsid w:val="0093770F"/>
    <w:rsid w:val="00937B23"/>
    <w:rsid w:val="00940C2F"/>
    <w:rsid w:val="00941351"/>
    <w:rsid w:val="00941BD7"/>
    <w:rsid w:val="00945774"/>
    <w:rsid w:val="00946CA6"/>
    <w:rsid w:val="009471E9"/>
    <w:rsid w:val="00947940"/>
    <w:rsid w:val="00952661"/>
    <w:rsid w:val="0095467B"/>
    <w:rsid w:val="009608B2"/>
    <w:rsid w:val="00963679"/>
    <w:rsid w:val="0097073D"/>
    <w:rsid w:val="00974FF0"/>
    <w:rsid w:val="00980E08"/>
    <w:rsid w:val="009814DC"/>
    <w:rsid w:val="00986EC8"/>
    <w:rsid w:val="00987EBF"/>
    <w:rsid w:val="009905B4"/>
    <w:rsid w:val="0099239F"/>
    <w:rsid w:val="00994FDB"/>
    <w:rsid w:val="009962BB"/>
    <w:rsid w:val="0099652A"/>
    <w:rsid w:val="009965FF"/>
    <w:rsid w:val="009A0567"/>
    <w:rsid w:val="009A1A85"/>
    <w:rsid w:val="009A61DB"/>
    <w:rsid w:val="009A66B9"/>
    <w:rsid w:val="009A7FC9"/>
    <w:rsid w:val="009B53EE"/>
    <w:rsid w:val="009B6123"/>
    <w:rsid w:val="009B67CB"/>
    <w:rsid w:val="009B75AE"/>
    <w:rsid w:val="009C0464"/>
    <w:rsid w:val="009C2141"/>
    <w:rsid w:val="009C24C6"/>
    <w:rsid w:val="009C333D"/>
    <w:rsid w:val="009D0117"/>
    <w:rsid w:val="009D026C"/>
    <w:rsid w:val="009D0A34"/>
    <w:rsid w:val="009D0CA3"/>
    <w:rsid w:val="009D0DF9"/>
    <w:rsid w:val="009D1393"/>
    <w:rsid w:val="009D218E"/>
    <w:rsid w:val="009D48E7"/>
    <w:rsid w:val="009D62AD"/>
    <w:rsid w:val="009D679B"/>
    <w:rsid w:val="009D7D53"/>
    <w:rsid w:val="009E2932"/>
    <w:rsid w:val="009E35D4"/>
    <w:rsid w:val="009E6FA8"/>
    <w:rsid w:val="009F195B"/>
    <w:rsid w:val="009F7121"/>
    <w:rsid w:val="00A002C5"/>
    <w:rsid w:val="00A0105E"/>
    <w:rsid w:val="00A0105F"/>
    <w:rsid w:val="00A018FD"/>
    <w:rsid w:val="00A03F42"/>
    <w:rsid w:val="00A1070F"/>
    <w:rsid w:val="00A13D09"/>
    <w:rsid w:val="00A1460D"/>
    <w:rsid w:val="00A149C3"/>
    <w:rsid w:val="00A155C4"/>
    <w:rsid w:val="00A24A05"/>
    <w:rsid w:val="00A27274"/>
    <w:rsid w:val="00A308F1"/>
    <w:rsid w:val="00A34033"/>
    <w:rsid w:val="00A36B53"/>
    <w:rsid w:val="00A370B7"/>
    <w:rsid w:val="00A41577"/>
    <w:rsid w:val="00A43C48"/>
    <w:rsid w:val="00A447DE"/>
    <w:rsid w:val="00A44977"/>
    <w:rsid w:val="00A457DC"/>
    <w:rsid w:val="00A46389"/>
    <w:rsid w:val="00A511B7"/>
    <w:rsid w:val="00A515DB"/>
    <w:rsid w:val="00A52C1A"/>
    <w:rsid w:val="00A54FD4"/>
    <w:rsid w:val="00A551AE"/>
    <w:rsid w:val="00A629E9"/>
    <w:rsid w:val="00A643F0"/>
    <w:rsid w:val="00A66AB4"/>
    <w:rsid w:val="00A66D81"/>
    <w:rsid w:val="00A740EF"/>
    <w:rsid w:val="00A74D40"/>
    <w:rsid w:val="00A7710E"/>
    <w:rsid w:val="00A808E1"/>
    <w:rsid w:val="00A81D8E"/>
    <w:rsid w:val="00A86244"/>
    <w:rsid w:val="00A871B0"/>
    <w:rsid w:val="00A87393"/>
    <w:rsid w:val="00A96770"/>
    <w:rsid w:val="00A97654"/>
    <w:rsid w:val="00A97DB6"/>
    <w:rsid w:val="00AA0E09"/>
    <w:rsid w:val="00AA0EA5"/>
    <w:rsid w:val="00AA2D94"/>
    <w:rsid w:val="00AA6CB9"/>
    <w:rsid w:val="00AB0CED"/>
    <w:rsid w:val="00AB1020"/>
    <w:rsid w:val="00AB3369"/>
    <w:rsid w:val="00AB35A7"/>
    <w:rsid w:val="00AB3F69"/>
    <w:rsid w:val="00AB7905"/>
    <w:rsid w:val="00AB7F5E"/>
    <w:rsid w:val="00AC1341"/>
    <w:rsid w:val="00AC165F"/>
    <w:rsid w:val="00AC195D"/>
    <w:rsid w:val="00AC2296"/>
    <w:rsid w:val="00AC41AB"/>
    <w:rsid w:val="00AC79AA"/>
    <w:rsid w:val="00AD1A41"/>
    <w:rsid w:val="00AD2C12"/>
    <w:rsid w:val="00AD3161"/>
    <w:rsid w:val="00AD6B56"/>
    <w:rsid w:val="00AD7FEB"/>
    <w:rsid w:val="00AE0BFC"/>
    <w:rsid w:val="00AE323E"/>
    <w:rsid w:val="00AE34B9"/>
    <w:rsid w:val="00AE376B"/>
    <w:rsid w:val="00AE5D63"/>
    <w:rsid w:val="00AE7F77"/>
    <w:rsid w:val="00AF37C8"/>
    <w:rsid w:val="00AF3CC6"/>
    <w:rsid w:val="00AF3E72"/>
    <w:rsid w:val="00AF4951"/>
    <w:rsid w:val="00AF5450"/>
    <w:rsid w:val="00B007CC"/>
    <w:rsid w:val="00B008DD"/>
    <w:rsid w:val="00B01380"/>
    <w:rsid w:val="00B03B54"/>
    <w:rsid w:val="00B0503D"/>
    <w:rsid w:val="00B0688A"/>
    <w:rsid w:val="00B07CC9"/>
    <w:rsid w:val="00B11C02"/>
    <w:rsid w:val="00B17C79"/>
    <w:rsid w:val="00B21C56"/>
    <w:rsid w:val="00B22274"/>
    <w:rsid w:val="00B26B57"/>
    <w:rsid w:val="00B3098B"/>
    <w:rsid w:val="00B32BD4"/>
    <w:rsid w:val="00B36FC2"/>
    <w:rsid w:val="00B4014F"/>
    <w:rsid w:val="00B40C35"/>
    <w:rsid w:val="00B419E0"/>
    <w:rsid w:val="00B437DE"/>
    <w:rsid w:val="00B448A8"/>
    <w:rsid w:val="00B45EDE"/>
    <w:rsid w:val="00B46350"/>
    <w:rsid w:val="00B46E4A"/>
    <w:rsid w:val="00B47CC3"/>
    <w:rsid w:val="00B514FA"/>
    <w:rsid w:val="00B53A3A"/>
    <w:rsid w:val="00B57D1B"/>
    <w:rsid w:val="00B603CB"/>
    <w:rsid w:val="00B62E04"/>
    <w:rsid w:val="00B6334B"/>
    <w:rsid w:val="00B73AAA"/>
    <w:rsid w:val="00B73EC9"/>
    <w:rsid w:val="00B759FC"/>
    <w:rsid w:val="00B777EA"/>
    <w:rsid w:val="00B815C3"/>
    <w:rsid w:val="00B852A9"/>
    <w:rsid w:val="00B85E9C"/>
    <w:rsid w:val="00B86C19"/>
    <w:rsid w:val="00B92603"/>
    <w:rsid w:val="00B92BE8"/>
    <w:rsid w:val="00B92E5F"/>
    <w:rsid w:val="00B92F34"/>
    <w:rsid w:val="00B94171"/>
    <w:rsid w:val="00B9505C"/>
    <w:rsid w:val="00B9575F"/>
    <w:rsid w:val="00B95F3F"/>
    <w:rsid w:val="00BA1B2B"/>
    <w:rsid w:val="00BA2067"/>
    <w:rsid w:val="00BA54E7"/>
    <w:rsid w:val="00BA6EBE"/>
    <w:rsid w:val="00BB0952"/>
    <w:rsid w:val="00BB24EB"/>
    <w:rsid w:val="00BB2843"/>
    <w:rsid w:val="00BB316E"/>
    <w:rsid w:val="00BB6B3F"/>
    <w:rsid w:val="00BB7B1D"/>
    <w:rsid w:val="00BC03DC"/>
    <w:rsid w:val="00BC1790"/>
    <w:rsid w:val="00BC1890"/>
    <w:rsid w:val="00BC4817"/>
    <w:rsid w:val="00BC6640"/>
    <w:rsid w:val="00BC6766"/>
    <w:rsid w:val="00BC75E4"/>
    <w:rsid w:val="00BD0412"/>
    <w:rsid w:val="00BD4756"/>
    <w:rsid w:val="00BD7818"/>
    <w:rsid w:val="00BE0706"/>
    <w:rsid w:val="00BE0DE4"/>
    <w:rsid w:val="00BE4943"/>
    <w:rsid w:val="00BF2BD3"/>
    <w:rsid w:val="00BF2EA6"/>
    <w:rsid w:val="00BF2F8B"/>
    <w:rsid w:val="00BF4A7D"/>
    <w:rsid w:val="00BF5805"/>
    <w:rsid w:val="00BF6D49"/>
    <w:rsid w:val="00C01E8F"/>
    <w:rsid w:val="00C03665"/>
    <w:rsid w:val="00C102B6"/>
    <w:rsid w:val="00C10CCF"/>
    <w:rsid w:val="00C12609"/>
    <w:rsid w:val="00C134D1"/>
    <w:rsid w:val="00C14616"/>
    <w:rsid w:val="00C14C35"/>
    <w:rsid w:val="00C17031"/>
    <w:rsid w:val="00C173FE"/>
    <w:rsid w:val="00C209AC"/>
    <w:rsid w:val="00C23096"/>
    <w:rsid w:val="00C246BC"/>
    <w:rsid w:val="00C24E00"/>
    <w:rsid w:val="00C24F5F"/>
    <w:rsid w:val="00C257B7"/>
    <w:rsid w:val="00C263EB"/>
    <w:rsid w:val="00C27013"/>
    <w:rsid w:val="00C27D0C"/>
    <w:rsid w:val="00C34484"/>
    <w:rsid w:val="00C36350"/>
    <w:rsid w:val="00C37199"/>
    <w:rsid w:val="00C405EE"/>
    <w:rsid w:val="00C42336"/>
    <w:rsid w:val="00C44BCE"/>
    <w:rsid w:val="00C456B7"/>
    <w:rsid w:val="00C46F95"/>
    <w:rsid w:val="00C4706A"/>
    <w:rsid w:val="00C47DB6"/>
    <w:rsid w:val="00C5261B"/>
    <w:rsid w:val="00C67A3C"/>
    <w:rsid w:val="00C67AFE"/>
    <w:rsid w:val="00C7101E"/>
    <w:rsid w:val="00C71982"/>
    <w:rsid w:val="00C74BA0"/>
    <w:rsid w:val="00C82AC9"/>
    <w:rsid w:val="00C85254"/>
    <w:rsid w:val="00C85291"/>
    <w:rsid w:val="00C86943"/>
    <w:rsid w:val="00C91A36"/>
    <w:rsid w:val="00C92805"/>
    <w:rsid w:val="00C95A11"/>
    <w:rsid w:val="00C96E58"/>
    <w:rsid w:val="00CA2A51"/>
    <w:rsid w:val="00CA3141"/>
    <w:rsid w:val="00CA62B0"/>
    <w:rsid w:val="00CB355B"/>
    <w:rsid w:val="00CB36C5"/>
    <w:rsid w:val="00CB3EBA"/>
    <w:rsid w:val="00CB56E3"/>
    <w:rsid w:val="00CC1A0F"/>
    <w:rsid w:val="00CC1C01"/>
    <w:rsid w:val="00CC2F1A"/>
    <w:rsid w:val="00CC3611"/>
    <w:rsid w:val="00CC51AA"/>
    <w:rsid w:val="00CC6783"/>
    <w:rsid w:val="00CD1E71"/>
    <w:rsid w:val="00CD217F"/>
    <w:rsid w:val="00CD6A04"/>
    <w:rsid w:val="00CD7AEE"/>
    <w:rsid w:val="00CE1FAE"/>
    <w:rsid w:val="00CE5C1E"/>
    <w:rsid w:val="00CF0640"/>
    <w:rsid w:val="00CF2402"/>
    <w:rsid w:val="00CF498A"/>
    <w:rsid w:val="00CF4D74"/>
    <w:rsid w:val="00CF5D72"/>
    <w:rsid w:val="00CF6002"/>
    <w:rsid w:val="00D02B00"/>
    <w:rsid w:val="00D06E90"/>
    <w:rsid w:val="00D112E5"/>
    <w:rsid w:val="00D11D61"/>
    <w:rsid w:val="00D1746A"/>
    <w:rsid w:val="00D20063"/>
    <w:rsid w:val="00D2146D"/>
    <w:rsid w:val="00D27893"/>
    <w:rsid w:val="00D30483"/>
    <w:rsid w:val="00D313BD"/>
    <w:rsid w:val="00D33848"/>
    <w:rsid w:val="00D339EB"/>
    <w:rsid w:val="00D37C47"/>
    <w:rsid w:val="00D43730"/>
    <w:rsid w:val="00D43B3A"/>
    <w:rsid w:val="00D464F5"/>
    <w:rsid w:val="00D46EA1"/>
    <w:rsid w:val="00D47433"/>
    <w:rsid w:val="00D57602"/>
    <w:rsid w:val="00D5762D"/>
    <w:rsid w:val="00D61782"/>
    <w:rsid w:val="00D61B27"/>
    <w:rsid w:val="00D61ED3"/>
    <w:rsid w:val="00D62EDE"/>
    <w:rsid w:val="00D64CC4"/>
    <w:rsid w:val="00D72ECF"/>
    <w:rsid w:val="00D739F9"/>
    <w:rsid w:val="00D7408C"/>
    <w:rsid w:val="00D746B2"/>
    <w:rsid w:val="00D74BC9"/>
    <w:rsid w:val="00D75384"/>
    <w:rsid w:val="00D75B02"/>
    <w:rsid w:val="00D77787"/>
    <w:rsid w:val="00D802EB"/>
    <w:rsid w:val="00D8241A"/>
    <w:rsid w:val="00D83789"/>
    <w:rsid w:val="00D83FF2"/>
    <w:rsid w:val="00D84C19"/>
    <w:rsid w:val="00D866C2"/>
    <w:rsid w:val="00D877FF"/>
    <w:rsid w:val="00D87B89"/>
    <w:rsid w:val="00D9114B"/>
    <w:rsid w:val="00D9160B"/>
    <w:rsid w:val="00D93991"/>
    <w:rsid w:val="00D94502"/>
    <w:rsid w:val="00D95206"/>
    <w:rsid w:val="00D969FB"/>
    <w:rsid w:val="00D97AC8"/>
    <w:rsid w:val="00DA2A3B"/>
    <w:rsid w:val="00DA7C4C"/>
    <w:rsid w:val="00DB24CB"/>
    <w:rsid w:val="00DB792D"/>
    <w:rsid w:val="00DC121C"/>
    <w:rsid w:val="00DC210F"/>
    <w:rsid w:val="00DC3562"/>
    <w:rsid w:val="00DC4408"/>
    <w:rsid w:val="00DC453C"/>
    <w:rsid w:val="00DC6C2D"/>
    <w:rsid w:val="00DD0CD1"/>
    <w:rsid w:val="00DD0FCC"/>
    <w:rsid w:val="00DD2C53"/>
    <w:rsid w:val="00DD4A88"/>
    <w:rsid w:val="00DD5D19"/>
    <w:rsid w:val="00DD6B9A"/>
    <w:rsid w:val="00DD76D1"/>
    <w:rsid w:val="00DE3A83"/>
    <w:rsid w:val="00DF31EF"/>
    <w:rsid w:val="00DF7E22"/>
    <w:rsid w:val="00E04F25"/>
    <w:rsid w:val="00E05609"/>
    <w:rsid w:val="00E16499"/>
    <w:rsid w:val="00E1721F"/>
    <w:rsid w:val="00E23F65"/>
    <w:rsid w:val="00E245CC"/>
    <w:rsid w:val="00E26191"/>
    <w:rsid w:val="00E26D62"/>
    <w:rsid w:val="00E3262D"/>
    <w:rsid w:val="00E33A52"/>
    <w:rsid w:val="00E354E1"/>
    <w:rsid w:val="00E37135"/>
    <w:rsid w:val="00E3726C"/>
    <w:rsid w:val="00E44F7D"/>
    <w:rsid w:val="00E463AC"/>
    <w:rsid w:val="00E5135B"/>
    <w:rsid w:val="00E517AD"/>
    <w:rsid w:val="00E52622"/>
    <w:rsid w:val="00E536BF"/>
    <w:rsid w:val="00E54841"/>
    <w:rsid w:val="00E6352D"/>
    <w:rsid w:val="00E636D9"/>
    <w:rsid w:val="00E63B89"/>
    <w:rsid w:val="00E6538C"/>
    <w:rsid w:val="00E65ED7"/>
    <w:rsid w:val="00E668FD"/>
    <w:rsid w:val="00E70507"/>
    <w:rsid w:val="00E70B79"/>
    <w:rsid w:val="00E75DB4"/>
    <w:rsid w:val="00E772B5"/>
    <w:rsid w:val="00E80676"/>
    <w:rsid w:val="00E83AAB"/>
    <w:rsid w:val="00E87270"/>
    <w:rsid w:val="00E90604"/>
    <w:rsid w:val="00E93E2F"/>
    <w:rsid w:val="00E9782A"/>
    <w:rsid w:val="00EA2A35"/>
    <w:rsid w:val="00EA428D"/>
    <w:rsid w:val="00EA70B9"/>
    <w:rsid w:val="00EA7478"/>
    <w:rsid w:val="00EB18EB"/>
    <w:rsid w:val="00EB1E58"/>
    <w:rsid w:val="00EB30EE"/>
    <w:rsid w:val="00EB4B27"/>
    <w:rsid w:val="00EC0E63"/>
    <w:rsid w:val="00EC0F72"/>
    <w:rsid w:val="00ED195F"/>
    <w:rsid w:val="00ED26DB"/>
    <w:rsid w:val="00ED2A59"/>
    <w:rsid w:val="00ED4A6B"/>
    <w:rsid w:val="00ED746C"/>
    <w:rsid w:val="00EE45DE"/>
    <w:rsid w:val="00EE4E90"/>
    <w:rsid w:val="00EE65E9"/>
    <w:rsid w:val="00EF1FC3"/>
    <w:rsid w:val="00EF34C4"/>
    <w:rsid w:val="00EF7FBC"/>
    <w:rsid w:val="00F0479B"/>
    <w:rsid w:val="00F06C78"/>
    <w:rsid w:val="00F07B7E"/>
    <w:rsid w:val="00F10354"/>
    <w:rsid w:val="00F113F7"/>
    <w:rsid w:val="00F133F8"/>
    <w:rsid w:val="00F173E5"/>
    <w:rsid w:val="00F20B0C"/>
    <w:rsid w:val="00F222B7"/>
    <w:rsid w:val="00F23538"/>
    <w:rsid w:val="00F25038"/>
    <w:rsid w:val="00F25240"/>
    <w:rsid w:val="00F256C9"/>
    <w:rsid w:val="00F26C99"/>
    <w:rsid w:val="00F2736A"/>
    <w:rsid w:val="00F3040B"/>
    <w:rsid w:val="00F322E4"/>
    <w:rsid w:val="00F32E31"/>
    <w:rsid w:val="00F36583"/>
    <w:rsid w:val="00F37AAC"/>
    <w:rsid w:val="00F40860"/>
    <w:rsid w:val="00F42BDB"/>
    <w:rsid w:val="00F47C07"/>
    <w:rsid w:val="00F5046A"/>
    <w:rsid w:val="00F54366"/>
    <w:rsid w:val="00F55E67"/>
    <w:rsid w:val="00F56778"/>
    <w:rsid w:val="00F62884"/>
    <w:rsid w:val="00F6394A"/>
    <w:rsid w:val="00F63F13"/>
    <w:rsid w:val="00F64795"/>
    <w:rsid w:val="00F65381"/>
    <w:rsid w:val="00F65E90"/>
    <w:rsid w:val="00F66014"/>
    <w:rsid w:val="00F662F6"/>
    <w:rsid w:val="00F71DD3"/>
    <w:rsid w:val="00F73045"/>
    <w:rsid w:val="00F7402F"/>
    <w:rsid w:val="00F76725"/>
    <w:rsid w:val="00F7766B"/>
    <w:rsid w:val="00F8164E"/>
    <w:rsid w:val="00F84663"/>
    <w:rsid w:val="00F84F05"/>
    <w:rsid w:val="00F85179"/>
    <w:rsid w:val="00F8575B"/>
    <w:rsid w:val="00F86A7C"/>
    <w:rsid w:val="00F9265C"/>
    <w:rsid w:val="00FA36F7"/>
    <w:rsid w:val="00FA40BD"/>
    <w:rsid w:val="00FA578F"/>
    <w:rsid w:val="00FA6EBE"/>
    <w:rsid w:val="00FA7107"/>
    <w:rsid w:val="00FB125A"/>
    <w:rsid w:val="00FB1D0D"/>
    <w:rsid w:val="00FB4313"/>
    <w:rsid w:val="00FB5A00"/>
    <w:rsid w:val="00FB662D"/>
    <w:rsid w:val="00FB70AC"/>
    <w:rsid w:val="00FC08F5"/>
    <w:rsid w:val="00FC1FC3"/>
    <w:rsid w:val="00FC261A"/>
    <w:rsid w:val="00FC5631"/>
    <w:rsid w:val="00FD5AF6"/>
    <w:rsid w:val="00FD6500"/>
    <w:rsid w:val="00FD79E8"/>
    <w:rsid w:val="00FD7B8C"/>
    <w:rsid w:val="00FE3FE3"/>
    <w:rsid w:val="00FE4699"/>
    <w:rsid w:val="00FE4ADD"/>
    <w:rsid w:val="00FE52D6"/>
    <w:rsid w:val="00FF0287"/>
    <w:rsid w:val="00FF1FDF"/>
    <w:rsid w:val="00FF2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basedOn w:val="Normal"/>
    <w:next w:val="Normal"/>
    <w:link w:val="Heading1Char"/>
    <w:uiPriority w:val="9"/>
    <w:qFormat/>
    <w:rsid w:val="006D3C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60D"/>
    <w:pPr>
      <w:keepNext/>
      <w:keepLines/>
      <w:spacing w:before="4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iPriority w:val="99"/>
    <w:unhideWhenUsed/>
    <w:rsid w:val="00E6538C"/>
  </w:style>
  <w:style w:type="character" w:customStyle="1" w:styleId="FootnoteTextChar">
    <w:name w:val="Footnote Text Char"/>
    <w:aliases w:val="F1 Char,Footnote Text2 Char,F Char"/>
    <w:basedOn w:val="DefaultParagraphFont"/>
    <w:link w:val="FootnoteText"/>
    <w:uiPriority w:val="99"/>
    <w:rsid w:val="00E6538C"/>
    <w:rPr>
      <w:rFonts w:ascii="Times New Roman" w:eastAsia="Times New Roman" w:hAnsi="Times New Roman" w:cs="Times New Roman"/>
    </w:rPr>
  </w:style>
  <w:style w:type="character" w:styleId="FootnoteReference">
    <w:name w:val="footnote reference"/>
    <w:basedOn w:val="DefaultParagraphFont"/>
    <w:unhideWhenUsed/>
    <w:rsid w:val="00E6538C"/>
    <w:rPr>
      <w:vertAlign w:val="superscript"/>
    </w:rPr>
  </w:style>
  <w:style w:type="table" w:styleId="MediumShading1-Accent1">
    <w:name w:val="Medium Shading 1 Accent 1"/>
    <w:basedOn w:val="TableNormal"/>
    <w:uiPriority w:val="63"/>
    <w:rsid w:val="001475C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2Style">
    <w:name w:val="Heading 2 Style"/>
    <w:basedOn w:val="Normal"/>
    <w:next w:val="Heading2"/>
    <w:link w:val="Heading2StyleChar"/>
    <w:qFormat/>
    <w:rsid w:val="00A1460D"/>
    <w:pPr>
      <w:outlineLvl w:val="0"/>
    </w:pPr>
    <w:rPr>
      <w:rFonts w:eastAsiaTheme="minorEastAsia"/>
      <w:bCs/>
      <w:i/>
      <w:color w:val="000000"/>
    </w:rPr>
  </w:style>
  <w:style w:type="character" w:customStyle="1" w:styleId="CommentTextChar1">
    <w:name w:val="Comment Text Char1"/>
    <w:basedOn w:val="DefaultParagraphFont"/>
    <w:uiPriority w:val="99"/>
    <w:semiHidden/>
    <w:rsid w:val="000E1784"/>
    <w:rPr>
      <w:sz w:val="20"/>
      <w:szCs w:val="20"/>
    </w:rPr>
  </w:style>
  <w:style w:type="character" w:customStyle="1" w:styleId="Heading2Char">
    <w:name w:val="Heading 2 Char"/>
    <w:basedOn w:val="DefaultParagraphFont"/>
    <w:link w:val="Heading2"/>
    <w:uiPriority w:val="9"/>
    <w:rsid w:val="00A1460D"/>
    <w:rPr>
      <w:rFonts w:ascii="Times New Roman" w:eastAsiaTheme="majorEastAsia" w:hAnsi="Times New Roman" w:cstheme="majorBidi"/>
      <w:i/>
      <w:szCs w:val="26"/>
    </w:rPr>
  </w:style>
  <w:style w:type="character" w:customStyle="1" w:styleId="Heading2StyleChar">
    <w:name w:val="Heading 2 Style Char"/>
    <w:basedOn w:val="DefaultParagraphFont"/>
    <w:link w:val="Heading2Style"/>
    <w:rsid w:val="00A1460D"/>
    <w:rPr>
      <w:rFonts w:ascii="Times New Roman" w:hAnsi="Times New Roman" w:cs="Times New Roman"/>
      <w:bCs/>
      <w:i/>
      <w:color w:val="000000"/>
    </w:rPr>
  </w:style>
  <w:style w:type="paragraph" w:styleId="BodyText">
    <w:name w:val="Body Text"/>
    <w:basedOn w:val="Normal"/>
    <w:link w:val="BodyTextChar"/>
    <w:uiPriority w:val="99"/>
    <w:unhideWhenUsed/>
    <w:rsid w:val="00B57D1B"/>
    <w:pPr>
      <w:spacing w:after="120"/>
    </w:pPr>
  </w:style>
  <w:style w:type="character" w:customStyle="1" w:styleId="BodyTextChar">
    <w:name w:val="Body Text Char"/>
    <w:basedOn w:val="DefaultParagraphFont"/>
    <w:link w:val="BodyText"/>
    <w:uiPriority w:val="1"/>
    <w:rsid w:val="00B57D1B"/>
    <w:rPr>
      <w:rFonts w:ascii="Times New Roman" w:eastAsia="Times New Roman" w:hAnsi="Times New Roman" w:cs="Times New Roman"/>
    </w:rPr>
  </w:style>
  <w:style w:type="paragraph" w:styleId="Revision">
    <w:name w:val="Revision"/>
    <w:hidden/>
    <w:uiPriority w:val="99"/>
    <w:semiHidden/>
    <w:rsid w:val="00074AE1"/>
    <w:rPr>
      <w:rFonts w:ascii="Times New Roman" w:eastAsia="Times New Roman" w:hAnsi="Times New Roman" w:cs="Times New Roman"/>
    </w:rPr>
  </w:style>
  <w:style w:type="paragraph" w:styleId="Header">
    <w:name w:val="header"/>
    <w:basedOn w:val="Normal"/>
    <w:link w:val="HeaderChar"/>
    <w:uiPriority w:val="99"/>
    <w:unhideWhenUsed/>
    <w:rsid w:val="006205A8"/>
    <w:pPr>
      <w:tabs>
        <w:tab w:val="center" w:pos="4680"/>
        <w:tab w:val="right" w:pos="9360"/>
      </w:tabs>
    </w:pPr>
  </w:style>
  <w:style w:type="character" w:customStyle="1" w:styleId="HeaderChar">
    <w:name w:val="Header Char"/>
    <w:basedOn w:val="DefaultParagraphFont"/>
    <w:link w:val="Header"/>
    <w:uiPriority w:val="99"/>
    <w:rsid w:val="006205A8"/>
    <w:rPr>
      <w:rFonts w:ascii="Times New Roman" w:eastAsia="Times New Roman" w:hAnsi="Times New Roman" w:cs="Times New Roman"/>
    </w:rPr>
  </w:style>
  <w:style w:type="character" w:styleId="IntenseEmphasis">
    <w:name w:val="Intense Emphasis"/>
    <w:basedOn w:val="DefaultParagraphFont"/>
    <w:uiPriority w:val="21"/>
    <w:qFormat/>
    <w:rsid w:val="00CA3141"/>
    <w:rPr>
      <w:i/>
      <w:iCs/>
      <w:color w:val="4F81BD" w:themeColor="accent1"/>
    </w:rPr>
  </w:style>
  <w:style w:type="character" w:customStyle="1" w:styleId="Heading1Char">
    <w:name w:val="Heading 1 Char"/>
    <w:basedOn w:val="DefaultParagraphFont"/>
    <w:link w:val="Heading1"/>
    <w:uiPriority w:val="9"/>
    <w:rsid w:val="006D3CB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9239F"/>
    <w:rPr>
      <w:color w:val="800080"/>
      <w:u w:val="single"/>
    </w:rPr>
  </w:style>
  <w:style w:type="paragraph" w:customStyle="1" w:styleId="msonormal0">
    <w:name w:val="msonormal"/>
    <w:basedOn w:val="Normal"/>
    <w:rsid w:val="0099239F"/>
    <w:pPr>
      <w:spacing w:before="100" w:beforeAutospacing="1" w:after="100" w:afterAutospacing="1"/>
    </w:pPr>
  </w:style>
  <w:style w:type="paragraph" w:customStyle="1" w:styleId="font5">
    <w:name w:val="font5"/>
    <w:basedOn w:val="Normal"/>
    <w:rsid w:val="0099239F"/>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9239F"/>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66">
    <w:name w:val="xl66"/>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67">
    <w:name w:val="xl67"/>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68">
    <w:name w:val="xl68"/>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19"/>
      <w:szCs w:val="19"/>
    </w:rPr>
  </w:style>
  <w:style w:type="paragraph" w:customStyle="1" w:styleId="xl69">
    <w:name w:val="xl6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70">
    <w:name w:val="xl7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71">
    <w:name w:val="xl7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72">
    <w:name w:val="xl7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73">
    <w:name w:val="xl7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74">
    <w:name w:val="xl74"/>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sz w:val="19"/>
      <w:szCs w:val="19"/>
    </w:rPr>
  </w:style>
  <w:style w:type="paragraph" w:customStyle="1" w:styleId="xl75">
    <w:name w:val="xl75"/>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9"/>
      <w:szCs w:val="19"/>
    </w:rPr>
  </w:style>
  <w:style w:type="paragraph" w:customStyle="1" w:styleId="xl76">
    <w:name w:val="xl76"/>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9"/>
      <w:szCs w:val="19"/>
    </w:rPr>
  </w:style>
  <w:style w:type="paragraph" w:customStyle="1" w:styleId="xl77">
    <w:name w:val="xl77"/>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9"/>
      <w:szCs w:val="19"/>
    </w:rPr>
  </w:style>
  <w:style w:type="paragraph" w:customStyle="1" w:styleId="xl78">
    <w:name w:val="xl78"/>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9"/>
      <w:szCs w:val="19"/>
    </w:rPr>
  </w:style>
  <w:style w:type="paragraph" w:customStyle="1" w:styleId="xl79">
    <w:name w:val="xl7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80">
    <w:name w:val="xl8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81">
    <w:name w:val="xl81"/>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82">
    <w:name w:val="xl8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83">
    <w:name w:val="xl83"/>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color w:val="000000"/>
      <w:sz w:val="19"/>
      <w:szCs w:val="19"/>
    </w:rPr>
  </w:style>
  <w:style w:type="paragraph" w:customStyle="1" w:styleId="xl84">
    <w:name w:val="xl84"/>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color w:val="000000"/>
      <w:sz w:val="19"/>
      <w:szCs w:val="19"/>
    </w:rPr>
  </w:style>
  <w:style w:type="paragraph" w:customStyle="1" w:styleId="xl85">
    <w:name w:val="xl85"/>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86">
    <w:name w:val="xl86"/>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87">
    <w:name w:val="xl8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sz w:val="19"/>
      <w:szCs w:val="19"/>
    </w:rPr>
  </w:style>
  <w:style w:type="paragraph" w:customStyle="1" w:styleId="xl88">
    <w:name w:val="xl88"/>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89">
    <w:name w:val="xl89"/>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90">
    <w:name w:val="xl90"/>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91">
    <w:name w:val="xl91"/>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color w:val="000000"/>
      <w:sz w:val="19"/>
      <w:szCs w:val="19"/>
    </w:rPr>
  </w:style>
  <w:style w:type="paragraph" w:customStyle="1" w:styleId="xl92">
    <w:name w:val="xl92"/>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color w:val="000000"/>
      <w:sz w:val="19"/>
      <w:szCs w:val="19"/>
    </w:rPr>
  </w:style>
  <w:style w:type="paragraph" w:customStyle="1" w:styleId="xl93">
    <w:name w:val="xl9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 w:val="19"/>
      <w:szCs w:val="19"/>
    </w:rPr>
  </w:style>
  <w:style w:type="paragraph" w:customStyle="1" w:styleId="xl94">
    <w:name w:val="xl9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b/>
      <w:bCs/>
      <w:sz w:val="19"/>
      <w:szCs w:val="19"/>
    </w:rPr>
  </w:style>
  <w:style w:type="paragraph" w:customStyle="1" w:styleId="xl95">
    <w:name w:val="xl9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96">
    <w:name w:val="xl96"/>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97">
    <w:name w:val="xl97"/>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98">
    <w:name w:val="xl98"/>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99">
    <w:name w:val="xl9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9"/>
      <w:szCs w:val="19"/>
    </w:rPr>
  </w:style>
  <w:style w:type="paragraph" w:customStyle="1" w:styleId="xl100">
    <w:name w:val="xl10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01">
    <w:name w:val="xl10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102">
    <w:name w:val="xl102"/>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19"/>
      <w:szCs w:val="19"/>
    </w:rPr>
  </w:style>
  <w:style w:type="paragraph" w:customStyle="1" w:styleId="xl103">
    <w:name w:val="xl10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104">
    <w:name w:val="xl10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105">
    <w:name w:val="xl105"/>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106">
    <w:name w:val="xl106"/>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07">
    <w:name w:val="xl10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08">
    <w:name w:val="xl108"/>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09">
    <w:name w:val="xl109"/>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10">
    <w:name w:val="xl11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1">
    <w:name w:val="xl11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2">
    <w:name w:val="xl11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3">
    <w:name w:val="xl11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4">
    <w:name w:val="xl11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5">
    <w:name w:val="xl11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6">
    <w:name w:val="xl116"/>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sz w:val="19"/>
      <w:szCs w:val="19"/>
    </w:rPr>
  </w:style>
  <w:style w:type="paragraph" w:customStyle="1" w:styleId="xl117">
    <w:name w:val="xl11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18">
    <w:name w:val="xl118"/>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19">
    <w:name w:val="xl119"/>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20">
    <w:name w:val="xl120"/>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sz w:val="19"/>
      <w:szCs w:val="19"/>
    </w:rPr>
  </w:style>
  <w:style w:type="paragraph" w:customStyle="1" w:styleId="xl121">
    <w:name w:val="xl121"/>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sz w:val="19"/>
      <w:szCs w:val="19"/>
    </w:rPr>
  </w:style>
  <w:style w:type="paragraph" w:customStyle="1" w:styleId="xl122">
    <w:name w:val="xl122"/>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23">
    <w:name w:val="xl123"/>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24">
    <w:name w:val="xl124"/>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25">
    <w:name w:val="xl12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 w:val="19"/>
      <w:szCs w:val="19"/>
    </w:rPr>
  </w:style>
  <w:style w:type="paragraph" w:customStyle="1" w:styleId="xl126">
    <w:name w:val="xl126"/>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 w:val="19"/>
      <w:szCs w:val="19"/>
    </w:rPr>
  </w:style>
  <w:style w:type="paragraph" w:customStyle="1" w:styleId="xl127">
    <w:name w:val="xl12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28">
    <w:name w:val="xl128"/>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sz w:val="19"/>
      <w:szCs w:val="19"/>
    </w:rPr>
  </w:style>
  <w:style w:type="paragraph" w:customStyle="1" w:styleId="xl129">
    <w:name w:val="xl12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9"/>
      <w:szCs w:val="19"/>
    </w:rPr>
  </w:style>
  <w:style w:type="paragraph" w:customStyle="1" w:styleId="xl130">
    <w:name w:val="xl130"/>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sz w:val="19"/>
      <w:szCs w:val="19"/>
    </w:rPr>
  </w:style>
  <w:style w:type="paragraph" w:customStyle="1" w:styleId="xl131">
    <w:name w:val="xl131"/>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sz w:val="19"/>
      <w:szCs w:val="19"/>
    </w:rPr>
  </w:style>
  <w:style w:type="paragraph" w:customStyle="1" w:styleId="xl132">
    <w:name w:val="xl132"/>
    <w:basedOn w:val="Normal"/>
    <w:rsid w:val="0099239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133">
    <w:name w:val="xl133"/>
    <w:basedOn w:val="Normal"/>
    <w:rsid w:val="0099239F"/>
    <w:pPr>
      <w:pBdr>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134">
    <w:name w:val="xl134"/>
    <w:basedOn w:val="Normal"/>
    <w:rsid w:val="0099239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135">
    <w:name w:val="xl135"/>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36">
    <w:name w:val="xl136"/>
    <w:basedOn w:val="Normal"/>
    <w:rsid w:val="0099239F"/>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37">
    <w:name w:val="xl137"/>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38">
    <w:name w:val="xl138"/>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Narrow" w:hAnsi="Arial Narrow"/>
      <w:b/>
      <w:bCs/>
      <w:sz w:val="19"/>
      <w:szCs w:val="19"/>
    </w:rPr>
  </w:style>
  <w:style w:type="paragraph" w:customStyle="1" w:styleId="xl139">
    <w:name w:val="xl139"/>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b/>
      <w:bCs/>
      <w:color w:val="000000"/>
      <w:sz w:val="19"/>
      <w:szCs w:val="19"/>
    </w:rPr>
  </w:style>
  <w:style w:type="paragraph" w:customStyle="1" w:styleId="xl140">
    <w:name w:val="xl140"/>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141">
    <w:name w:val="xl14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142">
    <w:name w:val="xl14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143">
    <w:name w:val="xl14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b/>
      <w:bCs/>
      <w:sz w:val="19"/>
      <w:szCs w:val="19"/>
    </w:rPr>
  </w:style>
  <w:style w:type="paragraph" w:customStyle="1" w:styleId="xl144">
    <w:name w:val="xl144"/>
    <w:basedOn w:val="Normal"/>
    <w:rsid w:val="0099239F"/>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right"/>
      <w:textAlignment w:val="center"/>
    </w:pPr>
    <w:rPr>
      <w:rFonts w:ascii="Arial Narrow" w:hAnsi="Arial Narrow"/>
      <w:b/>
      <w:bCs/>
      <w:color w:val="000000"/>
      <w:sz w:val="19"/>
      <w:szCs w:val="19"/>
    </w:rPr>
  </w:style>
  <w:style w:type="paragraph" w:customStyle="1" w:styleId="xl145">
    <w:name w:val="xl145"/>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Narrow" w:hAnsi="Arial Narrow"/>
      <w:b/>
      <w:bCs/>
      <w:color w:val="000000"/>
      <w:sz w:val="19"/>
      <w:szCs w:val="19"/>
    </w:rPr>
  </w:style>
  <w:style w:type="paragraph" w:customStyle="1" w:styleId="xl146">
    <w:name w:val="xl146"/>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47">
    <w:name w:val="xl147"/>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48">
    <w:name w:val="xl148"/>
    <w:basedOn w:val="Normal"/>
    <w:rsid w:val="0099239F"/>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49">
    <w:name w:val="xl149"/>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50">
    <w:name w:val="xl150"/>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51">
    <w:name w:val="xl151"/>
    <w:basedOn w:val="Normal"/>
    <w:rsid w:val="0099239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2">
    <w:name w:val="xl152"/>
    <w:basedOn w:val="Normal"/>
    <w:rsid w:val="0099239F"/>
    <w:pPr>
      <w:pBdr>
        <w:left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3">
    <w:name w:val="xl153"/>
    <w:basedOn w:val="Normal"/>
    <w:rsid w:val="0099239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4">
    <w:name w:val="xl15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5">
    <w:name w:val="xl155"/>
    <w:basedOn w:val="Normal"/>
    <w:rsid w:val="0099239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Narrow" w:hAnsi="Arial Narrow"/>
      <w:sz w:val="19"/>
      <w:szCs w:val="19"/>
    </w:rPr>
  </w:style>
  <w:style w:type="paragraph" w:customStyle="1" w:styleId="xl156">
    <w:name w:val="xl156"/>
    <w:basedOn w:val="Normal"/>
    <w:rsid w:val="0099239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Narrow" w:hAnsi="Arial Narrow"/>
      <w:sz w:val="19"/>
      <w:szCs w:val="19"/>
    </w:rPr>
  </w:style>
  <w:style w:type="paragraph" w:customStyle="1" w:styleId="xl157">
    <w:name w:val="xl157"/>
    <w:basedOn w:val="Normal"/>
    <w:rsid w:val="0099239F"/>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TableHeaderRow">
    <w:name w:val="Table Header Row"/>
    <w:link w:val="TableHeaderRowChar"/>
    <w:qFormat/>
    <w:rsid w:val="00391FA8"/>
    <w:pPr>
      <w:keepNext/>
      <w:keepLines/>
    </w:pPr>
    <w:rPr>
      <w:rFonts w:asciiTheme="majorHAnsi" w:eastAsiaTheme="minorHAnsi" w:hAnsiTheme="majorHAnsi"/>
      <w:i/>
      <w:color w:val="365F91" w:themeColor="accent1" w:themeShade="BF"/>
      <w:sz w:val="22"/>
      <w:szCs w:val="18"/>
    </w:rPr>
  </w:style>
  <w:style w:type="character" w:customStyle="1" w:styleId="TableHeaderRowChar">
    <w:name w:val="Table Header Row Char"/>
    <w:basedOn w:val="DefaultParagraphFont"/>
    <w:link w:val="TableHeaderRow"/>
    <w:rsid w:val="00391FA8"/>
    <w:rPr>
      <w:rFonts w:asciiTheme="majorHAnsi" w:eastAsiaTheme="minorHAnsi" w:hAnsiTheme="majorHAnsi"/>
      <w:i/>
      <w:color w:val="365F91" w:themeColor="accent1" w:themeShade="BF"/>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basedOn w:val="Normal"/>
    <w:next w:val="Normal"/>
    <w:link w:val="Heading1Char"/>
    <w:uiPriority w:val="9"/>
    <w:qFormat/>
    <w:rsid w:val="006D3C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60D"/>
    <w:pPr>
      <w:keepNext/>
      <w:keepLines/>
      <w:spacing w:before="4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iPriority w:val="99"/>
    <w:unhideWhenUsed/>
    <w:rsid w:val="00E6538C"/>
  </w:style>
  <w:style w:type="character" w:customStyle="1" w:styleId="FootnoteTextChar">
    <w:name w:val="Footnote Text Char"/>
    <w:aliases w:val="F1 Char,Footnote Text2 Char,F Char"/>
    <w:basedOn w:val="DefaultParagraphFont"/>
    <w:link w:val="FootnoteText"/>
    <w:uiPriority w:val="99"/>
    <w:rsid w:val="00E6538C"/>
    <w:rPr>
      <w:rFonts w:ascii="Times New Roman" w:eastAsia="Times New Roman" w:hAnsi="Times New Roman" w:cs="Times New Roman"/>
    </w:rPr>
  </w:style>
  <w:style w:type="character" w:styleId="FootnoteReference">
    <w:name w:val="footnote reference"/>
    <w:basedOn w:val="DefaultParagraphFont"/>
    <w:unhideWhenUsed/>
    <w:rsid w:val="00E6538C"/>
    <w:rPr>
      <w:vertAlign w:val="superscript"/>
    </w:rPr>
  </w:style>
  <w:style w:type="table" w:styleId="MediumShading1-Accent1">
    <w:name w:val="Medium Shading 1 Accent 1"/>
    <w:basedOn w:val="TableNormal"/>
    <w:uiPriority w:val="63"/>
    <w:rsid w:val="001475C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2Style">
    <w:name w:val="Heading 2 Style"/>
    <w:basedOn w:val="Normal"/>
    <w:next w:val="Heading2"/>
    <w:link w:val="Heading2StyleChar"/>
    <w:qFormat/>
    <w:rsid w:val="00A1460D"/>
    <w:pPr>
      <w:outlineLvl w:val="0"/>
    </w:pPr>
    <w:rPr>
      <w:rFonts w:eastAsiaTheme="minorEastAsia"/>
      <w:bCs/>
      <w:i/>
      <w:color w:val="000000"/>
    </w:rPr>
  </w:style>
  <w:style w:type="character" w:customStyle="1" w:styleId="CommentTextChar1">
    <w:name w:val="Comment Text Char1"/>
    <w:basedOn w:val="DefaultParagraphFont"/>
    <w:uiPriority w:val="99"/>
    <w:semiHidden/>
    <w:rsid w:val="000E1784"/>
    <w:rPr>
      <w:sz w:val="20"/>
      <w:szCs w:val="20"/>
    </w:rPr>
  </w:style>
  <w:style w:type="character" w:customStyle="1" w:styleId="Heading2Char">
    <w:name w:val="Heading 2 Char"/>
    <w:basedOn w:val="DefaultParagraphFont"/>
    <w:link w:val="Heading2"/>
    <w:uiPriority w:val="9"/>
    <w:rsid w:val="00A1460D"/>
    <w:rPr>
      <w:rFonts w:ascii="Times New Roman" w:eastAsiaTheme="majorEastAsia" w:hAnsi="Times New Roman" w:cstheme="majorBidi"/>
      <w:i/>
      <w:szCs w:val="26"/>
    </w:rPr>
  </w:style>
  <w:style w:type="character" w:customStyle="1" w:styleId="Heading2StyleChar">
    <w:name w:val="Heading 2 Style Char"/>
    <w:basedOn w:val="DefaultParagraphFont"/>
    <w:link w:val="Heading2Style"/>
    <w:rsid w:val="00A1460D"/>
    <w:rPr>
      <w:rFonts w:ascii="Times New Roman" w:hAnsi="Times New Roman" w:cs="Times New Roman"/>
      <w:bCs/>
      <w:i/>
      <w:color w:val="000000"/>
    </w:rPr>
  </w:style>
  <w:style w:type="paragraph" w:styleId="BodyText">
    <w:name w:val="Body Text"/>
    <w:basedOn w:val="Normal"/>
    <w:link w:val="BodyTextChar"/>
    <w:uiPriority w:val="99"/>
    <w:unhideWhenUsed/>
    <w:rsid w:val="00B57D1B"/>
    <w:pPr>
      <w:spacing w:after="120"/>
    </w:pPr>
  </w:style>
  <w:style w:type="character" w:customStyle="1" w:styleId="BodyTextChar">
    <w:name w:val="Body Text Char"/>
    <w:basedOn w:val="DefaultParagraphFont"/>
    <w:link w:val="BodyText"/>
    <w:uiPriority w:val="1"/>
    <w:rsid w:val="00B57D1B"/>
    <w:rPr>
      <w:rFonts w:ascii="Times New Roman" w:eastAsia="Times New Roman" w:hAnsi="Times New Roman" w:cs="Times New Roman"/>
    </w:rPr>
  </w:style>
  <w:style w:type="paragraph" w:styleId="Revision">
    <w:name w:val="Revision"/>
    <w:hidden/>
    <w:uiPriority w:val="99"/>
    <w:semiHidden/>
    <w:rsid w:val="00074AE1"/>
    <w:rPr>
      <w:rFonts w:ascii="Times New Roman" w:eastAsia="Times New Roman" w:hAnsi="Times New Roman" w:cs="Times New Roman"/>
    </w:rPr>
  </w:style>
  <w:style w:type="paragraph" w:styleId="Header">
    <w:name w:val="header"/>
    <w:basedOn w:val="Normal"/>
    <w:link w:val="HeaderChar"/>
    <w:uiPriority w:val="99"/>
    <w:unhideWhenUsed/>
    <w:rsid w:val="006205A8"/>
    <w:pPr>
      <w:tabs>
        <w:tab w:val="center" w:pos="4680"/>
        <w:tab w:val="right" w:pos="9360"/>
      </w:tabs>
    </w:pPr>
  </w:style>
  <w:style w:type="character" w:customStyle="1" w:styleId="HeaderChar">
    <w:name w:val="Header Char"/>
    <w:basedOn w:val="DefaultParagraphFont"/>
    <w:link w:val="Header"/>
    <w:uiPriority w:val="99"/>
    <w:rsid w:val="006205A8"/>
    <w:rPr>
      <w:rFonts w:ascii="Times New Roman" w:eastAsia="Times New Roman" w:hAnsi="Times New Roman" w:cs="Times New Roman"/>
    </w:rPr>
  </w:style>
  <w:style w:type="character" w:styleId="IntenseEmphasis">
    <w:name w:val="Intense Emphasis"/>
    <w:basedOn w:val="DefaultParagraphFont"/>
    <w:uiPriority w:val="21"/>
    <w:qFormat/>
    <w:rsid w:val="00CA3141"/>
    <w:rPr>
      <w:i/>
      <w:iCs/>
      <w:color w:val="4F81BD" w:themeColor="accent1"/>
    </w:rPr>
  </w:style>
  <w:style w:type="character" w:customStyle="1" w:styleId="Heading1Char">
    <w:name w:val="Heading 1 Char"/>
    <w:basedOn w:val="DefaultParagraphFont"/>
    <w:link w:val="Heading1"/>
    <w:uiPriority w:val="9"/>
    <w:rsid w:val="006D3CB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9239F"/>
    <w:rPr>
      <w:color w:val="800080"/>
      <w:u w:val="single"/>
    </w:rPr>
  </w:style>
  <w:style w:type="paragraph" w:customStyle="1" w:styleId="msonormal0">
    <w:name w:val="msonormal"/>
    <w:basedOn w:val="Normal"/>
    <w:rsid w:val="0099239F"/>
    <w:pPr>
      <w:spacing w:before="100" w:beforeAutospacing="1" w:after="100" w:afterAutospacing="1"/>
    </w:pPr>
  </w:style>
  <w:style w:type="paragraph" w:customStyle="1" w:styleId="font5">
    <w:name w:val="font5"/>
    <w:basedOn w:val="Normal"/>
    <w:rsid w:val="0099239F"/>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9239F"/>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66">
    <w:name w:val="xl66"/>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67">
    <w:name w:val="xl67"/>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68">
    <w:name w:val="xl68"/>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19"/>
      <w:szCs w:val="19"/>
    </w:rPr>
  </w:style>
  <w:style w:type="paragraph" w:customStyle="1" w:styleId="xl69">
    <w:name w:val="xl6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70">
    <w:name w:val="xl7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71">
    <w:name w:val="xl7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72">
    <w:name w:val="xl7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73">
    <w:name w:val="xl7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74">
    <w:name w:val="xl74"/>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sz w:val="19"/>
      <w:szCs w:val="19"/>
    </w:rPr>
  </w:style>
  <w:style w:type="paragraph" w:customStyle="1" w:styleId="xl75">
    <w:name w:val="xl75"/>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9"/>
      <w:szCs w:val="19"/>
    </w:rPr>
  </w:style>
  <w:style w:type="paragraph" w:customStyle="1" w:styleId="xl76">
    <w:name w:val="xl76"/>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9"/>
      <w:szCs w:val="19"/>
    </w:rPr>
  </w:style>
  <w:style w:type="paragraph" w:customStyle="1" w:styleId="xl77">
    <w:name w:val="xl77"/>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9"/>
      <w:szCs w:val="19"/>
    </w:rPr>
  </w:style>
  <w:style w:type="paragraph" w:customStyle="1" w:styleId="xl78">
    <w:name w:val="xl78"/>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9"/>
      <w:szCs w:val="19"/>
    </w:rPr>
  </w:style>
  <w:style w:type="paragraph" w:customStyle="1" w:styleId="xl79">
    <w:name w:val="xl7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80">
    <w:name w:val="xl8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81">
    <w:name w:val="xl81"/>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82">
    <w:name w:val="xl8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83">
    <w:name w:val="xl83"/>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color w:val="000000"/>
      <w:sz w:val="19"/>
      <w:szCs w:val="19"/>
    </w:rPr>
  </w:style>
  <w:style w:type="paragraph" w:customStyle="1" w:styleId="xl84">
    <w:name w:val="xl84"/>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color w:val="000000"/>
      <w:sz w:val="19"/>
      <w:szCs w:val="19"/>
    </w:rPr>
  </w:style>
  <w:style w:type="paragraph" w:customStyle="1" w:styleId="xl85">
    <w:name w:val="xl85"/>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86">
    <w:name w:val="xl86"/>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87">
    <w:name w:val="xl8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sz w:val="19"/>
      <w:szCs w:val="19"/>
    </w:rPr>
  </w:style>
  <w:style w:type="paragraph" w:customStyle="1" w:styleId="xl88">
    <w:name w:val="xl88"/>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89">
    <w:name w:val="xl89"/>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90">
    <w:name w:val="xl90"/>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91">
    <w:name w:val="xl91"/>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color w:val="000000"/>
      <w:sz w:val="19"/>
      <w:szCs w:val="19"/>
    </w:rPr>
  </w:style>
  <w:style w:type="paragraph" w:customStyle="1" w:styleId="xl92">
    <w:name w:val="xl92"/>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color w:val="000000"/>
      <w:sz w:val="19"/>
      <w:szCs w:val="19"/>
    </w:rPr>
  </w:style>
  <w:style w:type="paragraph" w:customStyle="1" w:styleId="xl93">
    <w:name w:val="xl9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 w:val="19"/>
      <w:szCs w:val="19"/>
    </w:rPr>
  </w:style>
  <w:style w:type="paragraph" w:customStyle="1" w:styleId="xl94">
    <w:name w:val="xl9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b/>
      <w:bCs/>
      <w:sz w:val="19"/>
      <w:szCs w:val="19"/>
    </w:rPr>
  </w:style>
  <w:style w:type="paragraph" w:customStyle="1" w:styleId="xl95">
    <w:name w:val="xl9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96">
    <w:name w:val="xl96"/>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97">
    <w:name w:val="xl97"/>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98">
    <w:name w:val="xl98"/>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99">
    <w:name w:val="xl9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9"/>
      <w:szCs w:val="19"/>
    </w:rPr>
  </w:style>
  <w:style w:type="paragraph" w:customStyle="1" w:styleId="xl100">
    <w:name w:val="xl10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01">
    <w:name w:val="xl10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102">
    <w:name w:val="xl102"/>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19"/>
      <w:szCs w:val="19"/>
    </w:rPr>
  </w:style>
  <w:style w:type="paragraph" w:customStyle="1" w:styleId="xl103">
    <w:name w:val="xl10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9"/>
      <w:szCs w:val="19"/>
    </w:rPr>
  </w:style>
  <w:style w:type="paragraph" w:customStyle="1" w:styleId="xl104">
    <w:name w:val="xl10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105">
    <w:name w:val="xl105"/>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106">
    <w:name w:val="xl106"/>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07">
    <w:name w:val="xl10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08">
    <w:name w:val="xl108"/>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09">
    <w:name w:val="xl109"/>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10">
    <w:name w:val="xl110"/>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1">
    <w:name w:val="xl11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2">
    <w:name w:val="xl11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3">
    <w:name w:val="xl11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4">
    <w:name w:val="xl11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5">
    <w:name w:val="xl11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16">
    <w:name w:val="xl116"/>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sz w:val="19"/>
      <w:szCs w:val="19"/>
    </w:rPr>
  </w:style>
  <w:style w:type="paragraph" w:customStyle="1" w:styleId="xl117">
    <w:name w:val="xl11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18">
    <w:name w:val="xl118"/>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19">
    <w:name w:val="xl119"/>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20">
    <w:name w:val="xl120"/>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sz w:val="19"/>
      <w:szCs w:val="19"/>
    </w:rPr>
  </w:style>
  <w:style w:type="paragraph" w:customStyle="1" w:styleId="xl121">
    <w:name w:val="xl121"/>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sz w:val="19"/>
      <w:szCs w:val="19"/>
    </w:rPr>
  </w:style>
  <w:style w:type="paragraph" w:customStyle="1" w:styleId="xl122">
    <w:name w:val="xl122"/>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23">
    <w:name w:val="xl123"/>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24">
    <w:name w:val="xl124"/>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25">
    <w:name w:val="xl125"/>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 w:val="19"/>
      <w:szCs w:val="19"/>
    </w:rPr>
  </w:style>
  <w:style w:type="paragraph" w:customStyle="1" w:styleId="xl126">
    <w:name w:val="xl126"/>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 w:val="19"/>
      <w:szCs w:val="19"/>
    </w:rPr>
  </w:style>
  <w:style w:type="paragraph" w:customStyle="1" w:styleId="xl127">
    <w:name w:val="xl127"/>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9"/>
      <w:szCs w:val="19"/>
    </w:rPr>
  </w:style>
  <w:style w:type="paragraph" w:customStyle="1" w:styleId="xl128">
    <w:name w:val="xl128"/>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sz w:val="19"/>
      <w:szCs w:val="19"/>
    </w:rPr>
  </w:style>
  <w:style w:type="paragraph" w:customStyle="1" w:styleId="xl129">
    <w:name w:val="xl129"/>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9"/>
      <w:szCs w:val="19"/>
    </w:rPr>
  </w:style>
  <w:style w:type="paragraph" w:customStyle="1" w:styleId="xl130">
    <w:name w:val="xl130"/>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b/>
      <w:bCs/>
      <w:sz w:val="19"/>
      <w:szCs w:val="19"/>
    </w:rPr>
  </w:style>
  <w:style w:type="paragraph" w:customStyle="1" w:styleId="xl131">
    <w:name w:val="xl131"/>
    <w:basedOn w:val="Normal"/>
    <w:rsid w:val="0099239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Narrow" w:hAnsi="Arial Narrow"/>
      <w:sz w:val="19"/>
      <w:szCs w:val="19"/>
    </w:rPr>
  </w:style>
  <w:style w:type="paragraph" w:customStyle="1" w:styleId="xl132">
    <w:name w:val="xl132"/>
    <w:basedOn w:val="Normal"/>
    <w:rsid w:val="0099239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133">
    <w:name w:val="xl133"/>
    <w:basedOn w:val="Normal"/>
    <w:rsid w:val="0099239F"/>
    <w:pPr>
      <w:pBdr>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134">
    <w:name w:val="xl134"/>
    <w:basedOn w:val="Normal"/>
    <w:rsid w:val="0099239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9"/>
      <w:szCs w:val="19"/>
    </w:rPr>
  </w:style>
  <w:style w:type="paragraph" w:customStyle="1" w:styleId="xl135">
    <w:name w:val="xl135"/>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36">
    <w:name w:val="xl136"/>
    <w:basedOn w:val="Normal"/>
    <w:rsid w:val="0099239F"/>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37">
    <w:name w:val="xl137"/>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38">
    <w:name w:val="xl138"/>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Narrow" w:hAnsi="Arial Narrow"/>
      <w:b/>
      <w:bCs/>
      <w:sz w:val="19"/>
      <w:szCs w:val="19"/>
    </w:rPr>
  </w:style>
  <w:style w:type="paragraph" w:customStyle="1" w:styleId="xl139">
    <w:name w:val="xl139"/>
    <w:basedOn w:val="Normal"/>
    <w:rsid w:val="00992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b/>
      <w:bCs/>
      <w:color w:val="000000"/>
      <w:sz w:val="19"/>
      <w:szCs w:val="19"/>
    </w:rPr>
  </w:style>
  <w:style w:type="paragraph" w:customStyle="1" w:styleId="xl140">
    <w:name w:val="xl140"/>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color w:val="000000"/>
      <w:sz w:val="19"/>
      <w:szCs w:val="19"/>
    </w:rPr>
  </w:style>
  <w:style w:type="paragraph" w:customStyle="1" w:styleId="xl141">
    <w:name w:val="xl141"/>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142">
    <w:name w:val="xl142"/>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9"/>
      <w:szCs w:val="19"/>
    </w:rPr>
  </w:style>
  <w:style w:type="paragraph" w:customStyle="1" w:styleId="xl143">
    <w:name w:val="xl143"/>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b/>
      <w:bCs/>
      <w:sz w:val="19"/>
      <w:szCs w:val="19"/>
    </w:rPr>
  </w:style>
  <w:style w:type="paragraph" w:customStyle="1" w:styleId="xl144">
    <w:name w:val="xl144"/>
    <w:basedOn w:val="Normal"/>
    <w:rsid w:val="0099239F"/>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right"/>
      <w:textAlignment w:val="center"/>
    </w:pPr>
    <w:rPr>
      <w:rFonts w:ascii="Arial Narrow" w:hAnsi="Arial Narrow"/>
      <w:b/>
      <w:bCs/>
      <w:color w:val="000000"/>
      <w:sz w:val="19"/>
      <w:szCs w:val="19"/>
    </w:rPr>
  </w:style>
  <w:style w:type="paragraph" w:customStyle="1" w:styleId="xl145">
    <w:name w:val="xl145"/>
    <w:basedOn w:val="Normal"/>
    <w:rsid w:val="0099239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Narrow" w:hAnsi="Arial Narrow"/>
      <w:b/>
      <w:bCs/>
      <w:color w:val="000000"/>
      <w:sz w:val="19"/>
      <w:szCs w:val="19"/>
    </w:rPr>
  </w:style>
  <w:style w:type="paragraph" w:customStyle="1" w:styleId="xl146">
    <w:name w:val="xl146"/>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47">
    <w:name w:val="xl147"/>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48">
    <w:name w:val="xl148"/>
    <w:basedOn w:val="Normal"/>
    <w:rsid w:val="0099239F"/>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9"/>
      <w:szCs w:val="19"/>
    </w:rPr>
  </w:style>
  <w:style w:type="paragraph" w:customStyle="1" w:styleId="xl149">
    <w:name w:val="xl149"/>
    <w:basedOn w:val="Normal"/>
    <w:rsid w:val="0099239F"/>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50">
    <w:name w:val="xl150"/>
    <w:basedOn w:val="Normal"/>
    <w:rsid w:val="0099239F"/>
    <w:pPr>
      <w:pBdr>
        <w:left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xl151">
    <w:name w:val="xl151"/>
    <w:basedOn w:val="Normal"/>
    <w:rsid w:val="0099239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2">
    <w:name w:val="xl152"/>
    <w:basedOn w:val="Normal"/>
    <w:rsid w:val="0099239F"/>
    <w:pPr>
      <w:pBdr>
        <w:left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3">
    <w:name w:val="xl153"/>
    <w:basedOn w:val="Normal"/>
    <w:rsid w:val="0099239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4">
    <w:name w:val="xl154"/>
    <w:basedOn w:val="Normal"/>
    <w:rsid w:val="009923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9"/>
      <w:szCs w:val="19"/>
    </w:rPr>
  </w:style>
  <w:style w:type="paragraph" w:customStyle="1" w:styleId="xl155">
    <w:name w:val="xl155"/>
    <w:basedOn w:val="Normal"/>
    <w:rsid w:val="0099239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Narrow" w:hAnsi="Arial Narrow"/>
      <w:sz w:val="19"/>
      <w:szCs w:val="19"/>
    </w:rPr>
  </w:style>
  <w:style w:type="paragraph" w:customStyle="1" w:styleId="xl156">
    <w:name w:val="xl156"/>
    <w:basedOn w:val="Normal"/>
    <w:rsid w:val="0099239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Narrow" w:hAnsi="Arial Narrow"/>
      <w:sz w:val="19"/>
      <w:szCs w:val="19"/>
    </w:rPr>
  </w:style>
  <w:style w:type="paragraph" w:customStyle="1" w:styleId="xl157">
    <w:name w:val="xl157"/>
    <w:basedOn w:val="Normal"/>
    <w:rsid w:val="0099239F"/>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9"/>
      <w:szCs w:val="19"/>
    </w:rPr>
  </w:style>
  <w:style w:type="paragraph" w:customStyle="1" w:styleId="TableHeaderRow">
    <w:name w:val="Table Header Row"/>
    <w:link w:val="TableHeaderRowChar"/>
    <w:qFormat/>
    <w:rsid w:val="00391FA8"/>
    <w:pPr>
      <w:keepNext/>
      <w:keepLines/>
    </w:pPr>
    <w:rPr>
      <w:rFonts w:asciiTheme="majorHAnsi" w:eastAsiaTheme="minorHAnsi" w:hAnsiTheme="majorHAnsi"/>
      <w:i/>
      <w:color w:val="365F91" w:themeColor="accent1" w:themeShade="BF"/>
      <w:sz w:val="22"/>
      <w:szCs w:val="18"/>
    </w:rPr>
  </w:style>
  <w:style w:type="character" w:customStyle="1" w:styleId="TableHeaderRowChar">
    <w:name w:val="Table Header Row Char"/>
    <w:basedOn w:val="DefaultParagraphFont"/>
    <w:link w:val="TableHeaderRow"/>
    <w:rsid w:val="00391FA8"/>
    <w:rPr>
      <w:rFonts w:asciiTheme="majorHAnsi" w:eastAsiaTheme="minorHAnsi" w:hAnsiTheme="majorHAnsi"/>
      <w:i/>
      <w:color w:val="365F91" w:themeColor="accent1" w:themeShade="BF"/>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4118">
      <w:bodyDiv w:val="1"/>
      <w:marLeft w:val="0"/>
      <w:marRight w:val="0"/>
      <w:marTop w:val="0"/>
      <w:marBottom w:val="0"/>
      <w:divBdr>
        <w:top w:val="none" w:sz="0" w:space="0" w:color="auto"/>
        <w:left w:val="none" w:sz="0" w:space="0" w:color="auto"/>
        <w:bottom w:val="none" w:sz="0" w:space="0" w:color="auto"/>
        <w:right w:val="none" w:sz="0" w:space="0" w:color="auto"/>
      </w:divBdr>
    </w:div>
    <w:div w:id="440803670">
      <w:bodyDiv w:val="1"/>
      <w:marLeft w:val="0"/>
      <w:marRight w:val="0"/>
      <w:marTop w:val="0"/>
      <w:marBottom w:val="0"/>
      <w:divBdr>
        <w:top w:val="none" w:sz="0" w:space="0" w:color="auto"/>
        <w:left w:val="none" w:sz="0" w:space="0" w:color="auto"/>
        <w:bottom w:val="none" w:sz="0" w:space="0" w:color="auto"/>
        <w:right w:val="none" w:sz="0" w:space="0" w:color="auto"/>
      </w:divBdr>
    </w:div>
    <w:div w:id="479079146">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611128567">
      <w:bodyDiv w:val="1"/>
      <w:marLeft w:val="0"/>
      <w:marRight w:val="0"/>
      <w:marTop w:val="0"/>
      <w:marBottom w:val="0"/>
      <w:divBdr>
        <w:top w:val="none" w:sz="0" w:space="0" w:color="auto"/>
        <w:left w:val="none" w:sz="0" w:space="0" w:color="auto"/>
        <w:bottom w:val="none" w:sz="0" w:space="0" w:color="auto"/>
        <w:right w:val="none" w:sz="0" w:space="0" w:color="auto"/>
      </w:divBdr>
    </w:div>
    <w:div w:id="639727708">
      <w:bodyDiv w:val="1"/>
      <w:marLeft w:val="0"/>
      <w:marRight w:val="0"/>
      <w:marTop w:val="0"/>
      <w:marBottom w:val="0"/>
      <w:divBdr>
        <w:top w:val="none" w:sz="0" w:space="0" w:color="auto"/>
        <w:left w:val="none" w:sz="0" w:space="0" w:color="auto"/>
        <w:bottom w:val="none" w:sz="0" w:space="0" w:color="auto"/>
        <w:right w:val="none" w:sz="0" w:space="0" w:color="auto"/>
      </w:divBdr>
    </w:div>
    <w:div w:id="1090350444">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169520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144e9c-ff06-4bcc-b725-f6568fe3790f">
      <UserInfo>
        <DisplayName>Amy Wieczorek, MPH</DisplayName>
        <AccountId>49</AccountId>
        <AccountType/>
      </UserInfo>
      <UserInfo>
        <DisplayName>Molly Matthews-Ewald, PhD, MS</DisplayName>
        <AccountId>56</AccountId>
        <AccountType/>
      </UserInfo>
      <UserInfo>
        <DisplayName>Steven Garasky, PhD</DisplayName>
        <AccountId>90</AccountId>
        <AccountType/>
      </UserInfo>
      <UserInfo>
        <DisplayName>Roderick Harrison, PhD</DisplayName>
        <AccountId>35</AccountId>
        <AccountType/>
      </UserInfo>
      <UserInfo>
        <DisplayName>Cindy Romero, MS</DisplayName>
        <AccountId>62</AccountId>
        <AccountType/>
      </UserInfo>
      <UserInfo>
        <DisplayName>Gail Clark</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2" ma:contentTypeDescription="Create a new document." ma:contentTypeScope="" ma:versionID="19d82535f4654e9c68831f72d1b4ad0e">
  <xsd:schema xmlns:xsd="http://www.w3.org/2001/XMLSchema" xmlns:xs="http://www.w3.org/2001/XMLSchema" xmlns:p="http://schemas.microsoft.com/office/2006/metadata/properties" xmlns:ns2="a2144e9c-ff06-4bcc-b725-f6568fe3790f" targetNamespace="http://schemas.microsoft.com/office/2006/metadata/properties" ma:root="true" ma:fieldsID="44df73d9028c0966f5ea762b1527e654" ns2:_="">
    <xsd:import namespace="a2144e9c-ff06-4bcc-b725-f6568fe3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38C4-8661-4CC4-BC96-864505E60DCA}">
  <ds:schemaRefs>
    <ds:schemaRef ds:uri="http://schemas.microsoft.com/office/2006/documentManagement/types"/>
    <ds:schemaRef ds:uri="http://www.w3.org/XML/1998/namespace"/>
    <ds:schemaRef ds:uri="http://purl.org/dc/dcmitype/"/>
    <ds:schemaRef ds:uri="http://schemas.openxmlformats.org/package/2006/metadata/core-properties"/>
    <ds:schemaRef ds:uri="a2144e9c-ff06-4bcc-b725-f6568fe3790f"/>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CBF68D0-4E5F-4AAC-9A07-6E9C0EBF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D6242-F87B-4E5E-A0D0-E3238F373CD7}">
  <ds:schemaRefs>
    <ds:schemaRef ds:uri="http://schemas.microsoft.com/sharepoint/v3/contenttype/forms"/>
  </ds:schemaRefs>
</ds:datastoreItem>
</file>

<file path=customXml/itemProps4.xml><?xml version="1.0" encoding="utf-8"?>
<ds:datastoreItem xmlns:ds="http://schemas.openxmlformats.org/officeDocument/2006/customXml" ds:itemID="{C8603F29-4695-4550-BA73-5A178145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Lynnette Thomas</cp:lastModifiedBy>
  <cp:revision>3</cp:revision>
  <cp:lastPrinted>2016-07-19T19:08:00Z</cp:lastPrinted>
  <dcterms:created xsi:type="dcterms:W3CDTF">2016-09-20T15:11:00Z</dcterms:created>
  <dcterms:modified xsi:type="dcterms:W3CDTF">2016-09-20T15:12:00Z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