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1B06D" w14:textId="77777777" w:rsidR="00970E52" w:rsidRDefault="00970E52" w:rsidP="00970E52">
      <w:pPr>
        <w:spacing w:before="100" w:beforeAutospacing="1" w:after="100" w:afterAutospacing="1"/>
        <w:jc w:val="center"/>
        <w:rPr>
          <w:rFonts w:asciiTheme="minorHAnsi" w:hAnsiTheme="minorHAnsi"/>
          <w:b/>
          <w:sz w:val="22"/>
          <w:szCs w:val="22"/>
          <w:u w:val="single"/>
        </w:rPr>
      </w:pPr>
      <w:r>
        <w:rPr>
          <w:rFonts w:asciiTheme="minorHAnsi" w:hAnsiTheme="minorHAnsi"/>
          <w:b/>
          <w:sz w:val="22"/>
          <w:szCs w:val="22"/>
          <w:u w:val="single"/>
        </w:rPr>
        <w:t xml:space="preserve">2015 </w:t>
      </w:r>
      <w:r w:rsidRPr="00970E52">
        <w:rPr>
          <w:rFonts w:asciiTheme="minorHAnsi" w:hAnsiTheme="minorHAnsi"/>
          <w:b/>
          <w:sz w:val="22"/>
          <w:szCs w:val="22"/>
          <w:u w:val="single"/>
        </w:rPr>
        <w:t>NHIS Incentives Test</w:t>
      </w:r>
    </w:p>
    <w:p w14:paraId="0FDA1673" w14:textId="2A201BD4" w:rsidR="00BF6E66" w:rsidRDefault="00165259" w:rsidP="00F72501">
      <w:pPr>
        <w:spacing w:before="100" w:beforeAutospacing="1" w:after="100" w:afterAutospacing="1"/>
        <w:rPr>
          <w:rFonts w:asciiTheme="minorHAnsi" w:hAnsiTheme="minorHAnsi"/>
          <w:sz w:val="22"/>
          <w:szCs w:val="22"/>
        </w:rPr>
      </w:pPr>
      <w:r w:rsidRPr="00C0105F">
        <w:rPr>
          <w:rFonts w:asciiTheme="minorHAnsi" w:hAnsiTheme="minorHAnsi"/>
          <w:sz w:val="22"/>
          <w:szCs w:val="22"/>
        </w:rPr>
        <w:t>The</w:t>
      </w:r>
      <w:r w:rsidR="00BF6E66">
        <w:rPr>
          <w:rFonts w:asciiTheme="minorHAnsi" w:hAnsiTheme="minorHAnsi"/>
          <w:sz w:val="22"/>
          <w:szCs w:val="22"/>
        </w:rPr>
        <w:t xml:space="preserve"> </w:t>
      </w:r>
      <w:r w:rsidR="008A22EE">
        <w:rPr>
          <w:rFonts w:asciiTheme="minorHAnsi" w:hAnsiTheme="minorHAnsi"/>
          <w:sz w:val="22"/>
          <w:szCs w:val="22"/>
        </w:rPr>
        <w:t>National Health Interview Survey (</w:t>
      </w:r>
      <w:r w:rsidRPr="00C0105F">
        <w:rPr>
          <w:rFonts w:asciiTheme="minorHAnsi" w:hAnsiTheme="minorHAnsi"/>
          <w:sz w:val="22"/>
          <w:szCs w:val="22"/>
        </w:rPr>
        <w:t>NHIS</w:t>
      </w:r>
      <w:r w:rsidR="008A22EE">
        <w:rPr>
          <w:rFonts w:asciiTheme="minorHAnsi" w:hAnsiTheme="minorHAnsi"/>
          <w:sz w:val="22"/>
          <w:szCs w:val="22"/>
        </w:rPr>
        <w:t>)</w:t>
      </w:r>
      <w:r w:rsidRPr="00C0105F">
        <w:rPr>
          <w:rFonts w:asciiTheme="minorHAnsi" w:hAnsiTheme="minorHAnsi"/>
          <w:sz w:val="22"/>
          <w:szCs w:val="22"/>
        </w:rPr>
        <w:t xml:space="preserve"> has, like all surveys, experienced declining response rates. </w:t>
      </w:r>
      <w:r w:rsidR="008A22EE">
        <w:rPr>
          <w:rFonts w:asciiTheme="minorHAnsi" w:hAnsiTheme="minorHAnsi"/>
          <w:sz w:val="22"/>
          <w:szCs w:val="22"/>
        </w:rPr>
        <w:t>E</w:t>
      </w:r>
      <w:r w:rsidR="003C4D81">
        <w:rPr>
          <w:rFonts w:asciiTheme="minorHAnsi" w:hAnsiTheme="minorHAnsi"/>
          <w:sz w:val="22"/>
          <w:szCs w:val="22"/>
        </w:rPr>
        <w:t xml:space="preserve">xamination of response rates </w:t>
      </w:r>
      <w:r w:rsidR="00C42DBC">
        <w:rPr>
          <w:rFonts w:asciiTheme="minorHAnsi" w:hAnsiTheme="minorHAnsi"/>
          <w:sz w:val="22"/>
          <w:szCs w:val="22"/>
        </w:rPr>
        <w:t xml:space="preserve">over the past </w:t>
      </w:r>
      <w:r w:rsidR="003B24DF">
        <w:rPr>
          <w:rFonts w:asciiTheme="minorHAnsi" w:hAnsiTheme="minorHAnsi"/>
          <w:sz w:val="22"/>
          <w:szCs w:val="22"/>
        </w:rPr>
        <w:t>ten</w:t>
      </w:r>
      <w:r w:rsidR="00C42DBC">
        <w:rPr>
          <w:rFonts w:asciiTheme="minorHAnsi" w:hAnsiTheme="minorHAnsi"/>
          <w:sz w:val="22"/>
          <w:szCs w:val="22"/>
        </w:rPr>
        <w:t xml:space="preserve"> years </w:t>
      </w:r>
      <w:r w:rsidR="003C4D81">
        <w:rPr>
          <w:rFonts w:asciiTheme="minorHAnsi" w:hAnsiTheme="minorHAnsi"/>
          <w:sz w:val="22"/>
          <w:szCs w:val="22"/>
        </w:rPr>
        <w:t>shows that</w:t>
      </w:r>
      <w:r w:rsidR="00982B07">
        <w:rPr>
          <w:rFonts w:asciiTheme="minorHAnsi" w:hAnsiTheme="minorHAnsi"/>
          <w:sz w:val="22"/>
          <w:szCs w:val="22"/>
        </w:rPr>
        <w:t xml:space="preserve"> the</w:t>
      </w:r>
      <w:r w:rsidR="003C4D81">
        <w:rPr>
          <w:rFonts w:asciiTheme="minorHAnsi" w:hAnsiTheme="minorHAnsi"/>
          <w:sz w:val="22"/>
          <w:szCs w:val="22"/>
        </w:rPr>
        <w:t xml:space="preserve"> </w:t>
      </w:r>
      <w:r w:rsidR="00885F7E">
        <w:rPr>
          <w:rFonts w:asciiTheme="minorHAnsi" w:hAnsiTheme="minorHAnsi"/>
          <w:sz w:val="22"/>
          <w:szCs w:val="22"/>
        </w:rPr>
        <w:t>overall</w:t>
      </w:r>
      <w:r w:rsidR="003C4D81">
        <w:rPr>
          <w:rFonts w:asciiTheme="minorHAnsi" w:hAnsiTheme="minorHAnsi"/>
          <w:sz w:val="22"/>
          <w:szCs w:val="22"/>
        </w:rPr>
        <w:t xml:space="preserve"> response rate </w:t>
      </w:r>
      <w:r w:rsidR="003C34F5">
        <w:rPr>
          <w:rFonts w:asciiTheme="minorHAnsi" w:hAnsiTheme="minorHAnsi"/>
          <w:sz w:val="22"/>
          <w:szCs w:val="22"/>
        </w:rPr>
        <w:t>decreased</w:t>
      </w:r>
      <w:r w:rsidR="003C4D81">
        <w:rPr>
          <w:rFonts w:asciiTheme="minorHAnsi" w:hAnsiTheme="minorHAnsi"/>
          <w:sz w:val="22"/>
          <w:szCs w:val="22"/>
        </w:rPr>
        <w:t xml:space="preserve"> by </w:t>
      </w:r>
      <w:r w:rsidR="003B24DF">
        <w:rPr>
          <w:rFonts w:asciiTheme="minorHAnsi" w:hAnsiTheme="minorHAnsi"/>
          <w:sz w:val="22"/>
          <w:szCs w:val="22"/>
        </w:rPr>
        <w:t>more than ten percentage points between 2004 and 2013</w:t>
      </w:r>
      <w:r w:rsidR="009B45B9">
        <w:rPr>
          <w:rFonts w:asciiTheme="minorHAnsi" w:hAnsiTheme="minorHAnsi"/>
          <w:sz w:val="22"/>
          <w:szCs w:val="22"/>
        </w:rPr>
        <w:t>,</w:t>
      </w:r>
      <w:r w:rsidR="00982B07">
        <w:rPr>
          <w:rFonts w:asciiTheme="minorHAnsi" w:hAnsiTheme="minorHAnsi"/>
          <w:sz w:val="22"/>
          <w:szCs w:val="22"/>
        </w:rPr>
        <w:t xml:space="preserve"> from </w:t>
      </w:r>
      <w:r w:rsidR="003C4D81">
        <w:rPr>
          <w:rFonts w:asciiTheme="minorHAnsi" w:hAnsiTheme="minorHAnsi"/>
          <w:sz w:val="22"/>
          <w:szCs w:val="22"/>
        </w:rPr>
        <w:t>8</w:t>
      </w:r>
      <w:r w:rsidR="003B24DF">
        <w:rPr>
          <w:rFonts w:asciiTheme="minorHAnsi" w:hAnsiTheme="minorHAnsi"/>
          <w:sz w:val="22"/>
          <w:szCs w:val="22"/>
        </w:rPr>
        <w:t>6</w:t>
      </w:r>
      <w:r w:rsidR="003C4D81">
        <w:rPr>
          <w:rFonts w:asciiTheme="minorHAnsi" w:hAnsiTheme="minorHAnsi"/>
          <w:sz w:val="22"/>
          <w:szCs w:val="22"/>
        </w:rPr>
        <w:t>.</w:t>
      </w:r>
      <w:r w:rsidR="009B45B9">
        <w:rPr>
          <w:rFonts w:asciiTheme="minorHAnsi" w:hAnsiTheme="minorHAnsi"/>
          <w:sz w:val="22"/>
          <w:szCs w:val="22"/>
        </w:rPr>
        <w:t>9</w:t>
      </w:r>
      <w:r w:rsidR="003C4D81">
        <w:rPr>
          <w:rFonts w:asciiTheme="minorHAnsi" w:hAnsiTheme="minorHAnsi"/>
          <w:sz w:val="22"/>
          <w:szCs w:val="22"/>
        </w:rPr>
        <w:t xml:space="preserve">% to </w:t>
      </w:r>
      <w:r w:rsidR="009B45B9">
        <w:rPr>
          <w:rFonts w:asciiTheme="minorHAnsi" w:hAnsiTheme="minorHAnsi"/>
          <w:sz w:val="22"/>
          <w:szCs w:val="22"/>
        </w:rPr>
        <w:t>75.7</w:t>
      </w:r>
      <w:r w:rsidR="003C4D81">
        <w:rPr>
          <w:rFonts w:asciiTheme="minorHAnsi" w:hAnsiTheme="minorHAnsi"/>
          <w:sz w:val="22"/>
          <w:szCs w:val="22"/>
        </w:rPr>
        <w:t>%</w:t>
      </w:r>
      <w:r w:rsidR="00982B07">
        <w:rPr>
          <w:rFonts w:asciiTheme="minorHAnsi" w:hAnsiTheme="minorHAnsi"/>
          <w:sz w:val="22"/>
          <w:szCs w:val="22"/>
        </w:rPr>
        <w:t xml:space="preserve"> </w:t>
      </w:r>
      <w:r w:rsidR="003E0F3A">
        <w:rPr>
          <w:rFonts w:asciiTheme="minorHAnsi" w:hAnsiTheme="minorHAnsi"/>
          <w:sz w:val="22"/>
          <w:szCs w:val="22"/>
        </w:rPr>
        <w:t>(</w:t>
      </w:r>
      <w:r w:rsidR="00A27916">
        <w:rPr>
          <w:rFonts w:asciiTheme="minorHAnsi" w:hAnsiTheme="minorHAnsi"/>
          <w:sz w:val="22"/>
          <w:szCs w:val="22"/>
        </w:rPr>
        <w:t>National Center for Health Statistics, 2004-2013</w:t>
      </w:r>
      <w:r w:rsidR="003E0F3A">
        <w:rPr>
          <w:rFonts w:asciiTheme="minorHAnsi" w:hAnsiTheme="minorHAnsi"/>
          <w:sz w:val="22"/>
          <w:szCs w:val="22"/>
        </w:rPr>
        <w:t xml:space="preserve">). </w:t>
      </w:r>
      <w:r w:rsidRPr="00C0105F">
        <w:rPr>
          <w:rFonts w:asciiTheme="minorHAnsi" w:hAnsiTheme="minorHAnsi"/>
          <w:sz w:val="22"/>
          <w:szCs w:val="22"/>
        </w:rPr>
        <w:t>As the gold standard for many health measures, it is</w:t>
      </w:r>
      <w:r w:rsidR="00BF6E66">
        <w:rPr>
          <w:rFonts w:asciiTheme="minorHAnsi" w:hAnsiTheme="minorHAnsi"/>
          <w:sz w:val="22"/>
          <w:szCs w:val="22"/>
        </w:rPr>
        <w:t xml:space="preserve"> </w:t>
      </w:r>
      <w:r w:rsidRPr="00C0105F">
        <w:rPr>
          <w:rFonts w:asciiTheme="minorHAnsi" w:hAnsiTheme="minorHAnsi"/>
          <w:sz w:val="22"/>
          <w:szCs w:val="22"/>
        </w:rPr>
        <w:t xml:space="preserve">incumbent upon </w:t>
      </w:r>
      <w:r w:rsidR="00BF6E66">
        <w:rPr>
          <w:rFonts w:asciiTheme="minorHAnsi" w:hAnsiTheme="minorHAnsi"/>
          <w:sz w:val="22"/>
          <w:szCs w:val="22"/>
        </w:rPr>
        <w:t>the National Center for Health Statistics (</w:t>
      </w:r>
      <w:r w:rsidRPr="00C0105F">
        <w:rPr>
          <w:rFonts w:asciiTheme="minorHAnsi" w:hAnsiTheme="minorHAnsi"/>
          <w:sz w:val="22"/>
          <w:szCs w:val="22"/>
        </w:rPr>
        <w:t>NCHS</w:t>
      </w:r>
      <w:r w:rsidR="00BF6E66">
        <w:rPr>
          <w:rFonts w:asciiTheme="minorHAnsi" w:hAnsiTheme="minorHAnsi"/>
          <w:sz w:val="22"/>
          <w:szCs w:val="22"/>
        </w:rPr>
        <w:t>)</w:t>
      </w:r>
      <w:r w:rsidRPr="00C0105F">
        <w:rPr>
          <w:rFonts w:asciiTheme="minorHAnsi" w:hAnsiTheme="minorHAnsi"/>
          <w:sz w:val="22"/>
          <w:szCs w:val="22"/>
        </w:rPr>
        <w:t xml:space="preserve"> to try proven techniques to ensure the resulting data are of the highest possible quality.</w:t>
      </w:r>
      <w:r w:rsidR="00571D21">
        <w:rPr>
          <w:rFonts w:asciiTheme="minorHAnsi" w:hAnsiTheme="minorHAnsi"/>
          <w:sz w:val="22"/>
          <w:szCs w:val="22"/>
        </w:rPr>
        <w:t xml:space="preserve"> </w:t>
      </w:r>
      <w:r w:rsidR="00AB211F">
        <w:rPr>
          <w:rFonts w:asciiTheme="minorHAnsi" w:hAnsiTheme="minorHAnsi"/>
          <w:sz w:val="22"/>
          <w:szCs w:val="22"/>
        </w:rPr>
        <w:t>A</w:t>
      </w:r>
      <w:r w:rsidRPr="00C0105F">
        <w:rPr>
          <w:rFonts w:asciiTheme="minorHAnsi" w:hAnsiTheme="minorHAnsi"/>
          <w:sz w:val="22"/>
          <w:szCs w:val="22"/>
        </w:rPr>
        <w:t xml:space="preserve"> series of activities intended to improve response rates and </w:t>
      </w:r>
      <w:r w:rsidR="008A22EE">
        <w:rPr>
          <w:rFonts w:asciiTheme="minorHAnsi" w:hAnsiTheme="minorHAnsi"/>
          <w:sz w:val="22"/>
          <w:szCs w:val="22"/>
        </w:rPr>
        <w:t xml:space="preserve">maintain </w:t>
      </w:r>
      <w:r w:rsidR="00944022">
        <w:rPr>
          <w:rFonts w:asciiTheme="minorHAnsi" w:hAnsiTheme="minorHAnsi"/>
          <w:sz w:val="22"/>
          <w:szCs w:val="22"/>
        </w:rPr>
        <w:t xml:space="preserve">data </w:t>
      </w:r>
      <w:r w:rsidRPr="00C0105F">
        <w:rPr>
          <w:rFonts w:asciiTheme="minorHAnsi" w:hAnsiTheme="minorHAnsi"/>
          <w:sz w:val="22"/>
          <w:szCs w:val="22"/>
        </w:rPr>
        <w:t>quality</w:t>
      </w:r>
      <w:r w:rsidR="00AB211F">
        <w:rPr>
          <w:rFonts w:asciiTheme="minorHAnsi" w:hAnsiTheme="minorHAnsi"/>
          <w:sz w:val="22"/>
          <w:szCs w:val="22"/>
        </w:rPr>
        <w:t>—with additional consideration for</w:t>
      </w:r>
      <w:r w:rsidR="00944022">
        <w:rPr>
          <w:rFonts w:asciiTheme="minorHAnsi" w:hAnsiTheme="minorHAnsi"/>
          <w:sz w:val="22"/>
          <w:szCs w:val="22"/>
        </w:rPr>
        <w:t xml:space="preserve"> reducing survey costs</w:t>
      </w:r>
      <w:r w:rsidR="00AB211F">
        <w:rPr>
          <w:rFonts w:asciiTheme="minorHAnsi" w:hAnsiTheme="minorHAnsi"/>
          <w:sz w:val="22"/>
          <w:szCs w:val="22"/>
        </w:rPr>
        <w:t>—</w:t>
      </w:r>
      <w:r w:rsidRPr="00C0105F">
        <w:rPr>
          <w:rFonts w:asciiTheme="minorHAnsi" w:hAnsiTheme="minorHAnsi"/>
          <w:sz w:val="22"/>
          <w:szCs w:val="22"/>
        </w:rPr>
        <w:t xml:space="preserve">will be </w:t>
      </w:r>
      <w:r w:rsidR="008A22EE">
        <w:rPr>
          <w:rFonts w:asciiTheme="minorHAnsi" w:hAnsiTheme="minorHAnsi"/>
          <w:sz w:val="22"/>
          <w:szCs w:val="22"/>
        </w:rPr>
        <w:t xml:space="preserve">implemented </w:t>
      </w:r>
      <w:r w:rsidR="00AB211F">
        <w:rPr>
          <w:rFonts w:asciiTheme="minorHAnsi" w:hAnsiTheme="minorHAnsi"/>
          <w:sz w:val="22"/>
          <w:szCs w:val="22"/>
        </w:rPr>
        <w:t>this year.</w:t>
      </w:r>
      <w:r w:rsidR="007F17AF">
        <w:rPr>
          <w:rFonts w:asciiTheme="minorHAnsi" w:hAnsiTheme="minorHAnsi"/>
          <w:sz w:val="22"/>
          <w:szCs w:val="22"/>
        </w:rPr>
        <w:t xml:space="preserve"> </w:t>
      </w:r>
      <w:r w:rsidR="00414EEE">
        <w:rPr>
          <w:rFonts w:asciiTheme="minorHAnsi" w:hAnsiTheme="minorHAnsi"/>
          <w:sz w:val="22"/>
          <w:szCs w:val="22"/>
        </w:rPr>
        <w:t>As one of these activities, f</w:t>
      </w:r>
      <w:r w:rsidR="004E78F1" w:rsidRPr="00C0105F">
        <w:rPr>
          <w:rFonts w:asciiTheme="minorHAnsi" w:hAnsiTheme="minorHAnsi"/>
          <w:sz w:val="22"/>
          <w:szCs w:val="22"/>
        </w:rPr>
        <w:t xml:space="preserve">or the first time, the </w:t>
      </w:r>
      <w:r w:rsidR="00AB211F">
        <w:rPr>
          <w:rFonts w:asciiTheme="minorHAnsi" w:hAnsiTheme="minorHAnsi"/>
          <w:sz w:val="22"/>
          <w:szCs w:val="22"/>
        </w:rPr>
        <w:t>NHIS</w:t>
      </w:r>
      <w:r w:rsidR="007F17AF">
        <w:rPr>
          <w:rFonts w:asciiTheme="minorHAnsi" w:hAnsiTheme="minorHAnsi"/>
          <w:sz w:val="22"/>
          <w:szCs w:val="22"/>
        </w:rPr>
        <w:t xml:space="preserve"> will include a </w:t>
      </w:r>
      <w:r w:rsidR="008A22EE">
        <w:rPr>
          <w:rFonts w:asciiTheme="minorHAnsi" w:hAnsiTheme="minorHAnsi"/>
          <w:sz w:val="22"/>
          <w:szCs w:val="22"/>
        </w:rPr>
        <w:t xml:space="preserve">test of the use of respondent </w:t>
      </w:r>
      <w:r w:rsidR="00E2323F">
        <w:rPr>
          <w:rFonts w:asciiTheme="minorHAnsi" w:hAnsiTheme="minorHAnsi"/>
          <w:sz w:val="22"/>
          <w:szCs w:val="22"/>
        </w:rPr>
        <w:t>incentives</w:t>
      </w:r>
      <w:r w:rsidR="004E78F1" w:rsidRPr="00C0105F">
        <w:rPr>
          <w:rFonts w:asciiTheme="minorHAnsi" w:hAnsiTheme="minorHAnsi"/>
          <w:sz w:val="22"/>
          <w:szCs w:val="22"/>
        </w:rPr>
        <w:t>.</w:t>
      </w:r>
      <w:r w:rsidR="00A93051">
        <w:rPr>
          <w:rFonts w:asciiTheme="minorHAnsi" w:hAnsiTheme="minorHAnsi"/>
          <w:sz w:val="22"/>
          <w:szCs w:val="22"/>
        </w:rPr>
        <w:t xml:space="preserve"> </w:t>
      </w:r>
      <w:r w:rsidR="00A93051" w:rsidRPr="00C0105F">
        <w:rPr>
          <w:rFonts w:asciiTheme="minorHAnsi" w:hAnsiTheme="minorHAnsi"/>
          <w:sz w:val="22"/>
          <w:szCs w:val="22"/>
        </w:rPr>
        <w:t xml:space="preserve">The </w:t>
      </w:r>
      <w:r w:rsidR="00A93051">
        <w:rPr>
          <w:rFonts w:asciiTheme="minorHAnsi" w:hAnsiTheme="minorHAnsi"/>
          <w:sz w:val="22"/>
          <w:szCs w:val="22"/>
        </w:rPr>
        <w:t xml:space="preserve">primary </w:t>
      </w:r>
      <w:r w:rsidR="00A93051" w:rsidRPr="00C0105F">
        <w:rPr>
          <w:rFonts w:asciiTheme="minorHAnsi" w:hAnsiTheme="minorHAnsi"/>
          <w:sz w:val="22"/>
          <w:szCs w:val="22"/>
        </w:rPr>
        <w:t xml:space="preserve">purpose of the </w:t>
      </w:r>
      <w:r w:rsidR="00A93051">
        <w:rPr>
          <w:rFonts w:asciiTheme="minorHAnsi" w:hAnsiTheme="minorHAnsi"/>
          <w:sz w:val="22"/>
          <w:szCs w:val="22"/>
        </w:rPr>
        <w:t>planned test</w:t>
      </w:r>
      <w:r w:rsidR="00A93051" w:rsidRPr="00C0105F">
        <w:rPr>
          <w:rFonts w:asciiTheme="minorHAnsi" w:hAnsiTheme="minorHAnsi"/>
          <w:sz w:val="22"/>
          <w:szCs w:val="22"/>
        </w:rPr>
        <w:t xml:space="preserve"> is to examine the impact </w:t>
      </w:r>
      <w:r w:rsidR="00A93051">
        <w:rPr>
          <w:rFonts w:asciiTheme="minorHAnsi" w:hAnsiTheme="minorHAnsi"/>
          <w:sz w:val="22"/>
          <w:szCs w:val="22"/>
        </w:rPr>
        <w:t xml:space="preserve">of incentives </w:t>
      </w:r>
      <w:r w:rsidR="00A93051" w:rsidRPr="00C0105F">
        <w:rPr>
          <w:rFonts w:asciiTheme="minorHAnsi" w:hAnsiTheme="minorHAnsi"/>
          <w:sz w:val="22"/>
          <w:szCs w:val="22"/>
        </w:rPr>
        <w:t>on</w:t>
      </w:r>
      <w:r w:rsidR="00A93051">
        <w:rPr>
          <w:rFonts w:asciiTheme="minorHAnsi" w:hAnsiTheme="minorHAnsi"/>
          <w:sz w:val="22"/>
          <w:szCs w:val="22"/>
        </w:rPr>
        <w:t xml:space="preserve"> response rates. We will also examine the impact of incentives on reducing any potential nonresponse bias and survey costs.</w:t>
      </w:r>
    </w:p>
    <w:p w14:paraId="3C9BECE1" w14:textId="012747D2" w:rsidR="003236CD" w:rsidRDefault="00BF6E66" w:rsidP="003236CD">
      <w:pPr>
        <w:spacing w:before="100" w:beforeAutospacing="1" w:after="100" w:afterAutospacing="1"/>
        <w:rPr>
          <w:rFonts w:asciiTheme="minorHAnsi" w:hAnsiTheme="minorHAnsi"/>
          <w:sz w:val="22"/>
          <w:szCs w:val="22"/>
        </w:rPr>
      </w:pPr>
      <w:r>
        <w:rPr>
          <w:rFonts w:asciiTheme="minorHAnsi" w:hAnsiTheme="minorHAnsi"/>
          <w:sz w:val="22"/>
          <w:szCs w:val="22"/>
        </w:rPr>
        <w:t>Employing a randomized controlled experimental design</w:t>
      </w:r>
      <w:r w:rsidR="00FA1C90">
        <w:rPr>
          <w:rFonts w:asciiTheme="minorHAnsi" w:hAnsiTheme="minorHAnsi"/>
          <w:sz w:val="22"/>
          <w:szCs w:val="22"/>
        </w:rPr>
        <w:t xml:space="preserve">, we will send </w:t>
      </w:r>
      <w:r>
        <w:rPr>
          <w:rFonts w:asciiTheme="minorHAnsi" w:hAnsiTheme="minorHAnsi"/>
          <w:sz w:val="22"/>
          <w:szCs w:val="22"/>
        </w:rPr>
        <w:t xml:space="preserve">some </w:t>
      </w:r>
      <w:r w:rsidR="00F86A93">
        <w:rPr>
          <w:rFonts w:asciiTheme="minorHAnsi" w:hAnsiTheme="minorHAnsi"/>
          <w:sz w:val="22"/>
          <w:szCs w:val="22"/>
        </w:rPr>
        <w:t xml:space="preserve">families </w:t>
      </w:r>
      <w:r w:rsidR="00FA1C90">
        <w:rPr>
          <w:rFonts w:asciiTheme="minorHAnsi" w:hAnsiTheme="minorHAnsi"/>
          <w:sz w:val="22"/>
          <w:szCs w:val="22"/>
        </w:rPr>
        <w:t>a</w:t>
      </w:r>
      <w:r w:rsidR="0027241C">
        <w:rPr>
          <w:rFonts w:asciiTheme="minorHAnsi" w:hAnsiTheme="minorHAnsi"/>
          <w:sz w:val="22"/>
          <w:szCs w:val="22"/>
        </w:rPr>
        <w:t xml:space="preserve"> $5 </w:t>
      </w:r>
      <w:r w:rsidR="007F17AF">
        <w:rPr>
          <w:rFonts w:asciiTheme="minorHAnsi" w:hAnsiTheme="minorHAnsi"/>
          <w:sz w:val="22"/>
          <w:szCs w:val="22"/>
        </w:rPr>
        <w:t xml:space="preserve">unconditional </w:t>
      </w:r>
      <w:r w:rsidR="00E2323F">
        <w:rPr>
          <w:rFonts w:asciiTheme="minorHAnsi" w:hAnsiTheme="minorHAnsi"/>
          <w:sz w:val="22"/>
          <w:szCs w:val="22"/>
        </w:rPr>
        <w:t xml:space="preserve">advance </w:t>
      </w:r>
      <w:r w:rsidR="007F17AF">
        <w:rPr>
          <w:rFonts w:asciiTheme="minorHAnsi" w:hAnsiTheme="minorHAnsi"/>
          <w:sz w:val="22"/>
          <w:szCs w:val="22"/>
        </w:rPr>
        <w:t>token</w:t>
      </w:r>
      <w:r w:rsidR="0027241C">
        <w:rPr>
          <w:rFonts w:asciiTheme="minorHAnsi" w:hAnsiTheme="minorHAnsi"/>
          <w:sz w:val="22"/>
          <w:szCs w:val="22"/>
        </w:rPr>
        <w:t xml:space="preserve"> incentive</w:t>
      </w:r>
      <w:r w:rsidR="00FA1C90">
        <w:rPr>
          <w:rFonts w:asciiTheme="minorHAnsi" w:hAnsiTheme="minorHAnsi"/>
          <w:sz w:val="22"/>
          <w:szCs w:val="22"/>
        </w:rPr>
        <w:t xml:space="preserve"> with the introductory letter</w:t>
      </w:r>
      <w:r w:rsidR="00E9628D" w:rsidRPr="00C0105F">
        <w:rPr>
          <w:rFonts w:asciiTheme="minorHAnsi" w:hAnsiTheme="minorHAnsi"/>
          <w:sz w:val="22"/>
          <w:szCs w:val="22"/>
        </w:rPr>
        <w:t>.</w:t>
      </w:r>
      <w:r w:rsidR="007D5BE6">
        <w:rPr>
          <w:rFonts w:asciiTheme="minorHAnsi" w:hAnsiTheme="minorHAnsi"/>
          <w:sz w:val="22"/>
          <w:szCs w:val="22"/>
        </w:rPr>
        <w:t xml:space="preserve"> </w:t>
      </w:r>
      <w:r w:rsidR="003236CD">
        <w:rPr>
          <w:rFonts w:asciiTheme="minorHAnsi" w:hAnsiTheme="minorHAnsi"/>
          <w:sz w:val="22"/>
          <w:szCs w:val="22"/>
        </w:rPr>
        <w:t xml:space="preserve">Further, a random half of </w:t>
      </w:r>
      <w:r w:rsidR="00C475E8">
        <w:rPr>
          <w:rFonts w:asciiTheme="minorHAnsi" w:hAnsiTheme="minorHAnsi"/>
          <w:sz w:val="22"/>
          <w:szCs w:val="22"/>
        </w:rPr>
        <w:t xml:space="preserve">families </w:t>
      </w:r>
      <w:r w:rsidR="00FA1C90">
        <w:rPr>
          <w:rFonts w:asciiTheme="minorHAnsi" w:hAnsiTheme="minorHAnsi"/>
          <w:sz w:val="22"/>
          <w:szCs w:val="22"/>
        </w:rPr>
        <w:t xml:space="preserve">will be provided </w:t>
      </w:r>
      <w:r w:rsidR="003236CD">
        <w:rPr>
          <w:rFonts w:asciiTheme="minorHAnsi" w:hAnsiTheme="minorHAnsi"/>
          <w:sz w:val="22"/>
          <w:szCs w:val="22"/>
        </w:rPr>
        <w:t xml:space="preserve">a $20 incentive </w:t>
      </w:r>
      <w:r w:rsidR="00FA1C90">
        <w:rPr>
          <w:rFonts w:asciiTheme="minorHAnsi" w:hAnsiTheme="minorHAnsi"/>
          <w:sz w:val="22"/>
          <w:szCs w:val="22"/>
        </w:rPr>
        <w:t xml:space="preserve">for completion of </w:t>
      </w:r>
      <w:r w:rsidR="00C475E8">
        <w:rPr>
          <w:rFonts w:asciiTheme="minorHAnsi" w:hAnsiTheme="minorHAnsi"/>
          <w:sz w:val="22"/>
          <w:szCs w:val="22"/>
        </w:rPr>
        <w:t xml:space="preserve">both </w:t>
      </w:r>
      <w:r w:rsidR="00FA1C90">
        <w:rPr>
          <w:rFonts w:asciiTheme="minorHAnsi" w:hAnsiTheme="minorHAnsi"/>
          <w:sz w:val="22"/>
          <w:szCs w:val="22"/>
        </w:rPr>
        <w:t xml:space="preserve">the Family </w:t>
      </w:r>
      <w:r w:rsidR="00C475E8">
        <w:rPr>
          <w:rFonts w:asciiTheme="minorHAnsi" w:hAnsiTheme="minorHAnsi"/>
          <w:sz w:val="22"/>
          <w:szCs w:val="22"/>
        </w:rPr>
        <w:t xml:space="preserve">component as well as </w:t>
      </w:r>
      <w:r w:rsidR="00FA1C90">
        <w:rPr>
          <w:rFonts w:asciiTheme="minorHAnsi" w:hAnsiTheme="minorHAnsi"/>
          <w:sz w:val="22"/>
          <w:szCs w:val="22"/>
        </w:rPr>
        <w:t xml:space="preserve">the Sample Adult component of the interview. </w:t>
      </w:r>
      <w:r w:rsidR="0059544C">
        <w:rPr>
          <w:rFonts w:asciiTheme="minorHAnsi" w:hAnsiTheme="minorHAnsi"/>
          <w:sz w:val="22"/>
          <w:szCs w:val="22"/>
        </w:rPr>
        <w:t>B</w:t>
      </w:r>
      <w:r>
        <w:rPr>
          <w:rFonts w:asciiTheme="minorHAnsi" w:hAnsiTheme="minorHAnsi"/>
          <w:sz w:val="22"/>
          <w:szCs w:val="22"/>
        </w:rPr>
        <w:t xml:space="preserve">ecause </w:t>
      </w:r>
      <w:r w:rsidR="00FA1C90">
        <w:rPr>
          <w:rFonts w:asciiTheme="minorHAnsi" w:hAnsiTheme="minorHAnsi"/>
          <w:sz w:val="22"/>
          <w:szCs w:val="22"/>
        </w:rPr>
        <w:t>the Sample Adult cannot be contacted until the Family component has been completed</w:t>
      </w:r>
      <w:r>
        <w:rPr>
          <w:rFonts w:asciiTheme="minorHAnsi" w:hAnsiTheme="minorHAnsi"/>
          <w:sz w:val="22"/>
          <w:szCs w:val="22"/>
        </w:rPr>
        <w:t xml:space="preserve">, </w:t>
      </w:r>
      <w:r w:rsidR="003236CD">
        <w:rPr>
          <w:rFonts w:asciiTheme="minorHAnsi" w:hAnsiTheme="minorHAnsi"/>
          <w:sz w:val="22"/>
          <w:szCs w:val="22"/>
        </w:rPr>
        <w:t xml:space="preserve">two separate $20 incentives are being offered </w:t>
      </w:r>
      <w:r>
        <w:rPr>
          <w:rFonts w:asciiTheme="minorHAnsi" w:hAnsiTheme="minorHAnsi"/>
          <w:sz w:val="22"/>
          <w:szCs w:val="22"/>
        </w:rPr>
        <w:t xml:space="preserve">for parity in the response task of the two components. </w:t>
      </w:r>
    </w:p>
    <w:p w14:paraId="2B89C075" w14:textId="41F3FF90" w:rsidR="00D76BA8" w:rsidRDefault="00182E97" w:rsidP="00F86A93">
      <w:pPr>
        <w:spacing w:before="100" w:beforeAutospacing="1" w:after="100" w:afterAutospacing="1"/>
        <w:rPr>
          <w:rFonts w:asciiTheme="minorHAnsi" w:hAnsiTheme="minorHAnsi"/>
          <w:sz w:val="22"/>
          <w:szCs w:val="22"/>
        </w:rPr>
      </w:pPr>
      <w:r>
        <w:rPr>
          <w:rFonts w:asciiTheme="minorHAnsi" w:hAnsiTheme="minorHAnsi"/>
          <w:sz w:val="22"/>
          <w:szCs w:val="22"/>
        </w:rPr>
        <w:t>Support exists in the literature for</w:t>
      </w:r>
      <w:r w:rsidR="006051D1">
        <w:rPr>
          <w:rFonts w:asciiTheme="minorHAnsi" w:hAnsiTheme="minorHAnsi"/>
          <w:sz w:val="22"/>
          <w:szCs w:val="22"/>
        </w:rPr>
        <w:t xml:space="preserve"> both</w:t>
      </w:r>
      <w:r>
        <w:rPr>
          <w:rFonts w:asciiTheme="minorHAnsi" w:hAnsiTheme="minorHAnsi"/>
          <w:sz w:val="22"/>
          <w:szCs w:val="22"/>
        </w:rPr>
        <w:t xml:space="preserve"> the planned $5 unconditional advance token incentive</w:t>
      </w:r>
      <w:r w:rsidR="006051D1">
        <w:rPr>
          <w:rFonts w:asciiTheme="minorHAnsi" w:hAnsiTheme="minorHAnsi"/>
          <w:sz w:val="22"/>
          <w:szCs w:val="22"/>
        </w:rPr>
        <w:t xml:space="preserve"> and the $20 completion incentive</w:t>
      </w:r>
      <w:r>
        <w:rPr>
          <w:rFonts w:asciiTheme="minorHAnsi" w:hAnsiTheme="minorHAnsi"/>
          <w:sz w:val="22"/>
          <w:szCs w:val="22"/>
        </w:rPr>
        <w:t>. In general, a</w:t>
      </w:r>
      <w:r w:rsidR="003236CD">
        <w:rPr>
          <w:rFonts w:asciiTheme="minorHAnsi" w:hAnsiTheme="minorHAnsi"/>
          <w:sz w:val="22"/>
          <w:szCs w:val="22"/>
        </w:rPr>
        <w:t xml:space="preserve">dvance token incentives </w:t>
      </w:r>
      <w:r>
        <w:rPr>
          <w:rFonts w:asciiTheme="minorHAnsi" w:hAnsiTheme="minorHAnsi"/>
          <w:sz w:val="22"/>
          <w:szCs w:val="22"/>
        </w:rPr>
        <w:t xml:space="preserve">of varying amounts </w:t>
      </w:r>
      <w:r w:rsidR="003236CD" w:rsidRPr="00D76BA8">
        <w:rPr>
          <w:rFonts w:asciiTheme="minorHAnsi" w:hAnsiTheme="minorHAnsi"/>
          <w:sz w:val="22"/>
          <w:szCs w:val="22"/>
        </w:rPr>
        <w:t>are a well-known tool to boost response rates</w:t>
      </w:r>
      <w:r w:rsidR="003236CD">
        <w:rPr>
          <w:rFonts w:asciiTheme="minorHAnsi" w:hAnsiTheme="minorHAnsi"/>
          <w:sz w:val="22"/>
          <w:szCs w:val="22"/>
        </w:rPr>
        <w:t xml:space="preserve">. Although </w:t>
      </w:r>
      <w:r w:rsidR="003236CD" w:rsidRPr="00457E85">
        <w:rPr>
          <w:rFonts w:asciiTheme="minorHAnsi" w:hAnsiTheme="minorHAnsi"/>
          <w:sz w:val="22"/>
          <w:szCs w:val="22"/>
        </w:rPr>
        <w:t>lower</w:t>
      </w:r>
      <w:r w:rsidR="003236CD">
        <w:rPr>
          <w:rFonts w:asciiTheme="minorHAnsi" w:hAnsiTheme="minorHAnsi"/>
          <w:sz w:val="22"/>
          <w:szCs w:val="22"/>
        </w:rPr>
        <w:t xml:space="preserve"> unconditional advance </w:t>
      </w:r>
      <w:r w:rsidR="003236CD" w:rsidRPr="00457E85">
        <w:rPr>
          <w:rFonts w:asciiTheme="minorHAnsi" w:hAnsiTheme="minorHAnsi"/>
          <w:sz w:val="22"/>
          <w:szCs w:val="22"/>
        </w:rPr>
        <w:t xml:space="preserve">incentive amounts (e.g. </w:t>
      </w:r>
      <w:r w:rsidR="003236CD">
        <w:rPr>
          <w:rFonts w:asciiTheme="minorHAnsi" w:hAnsiTheme="minorHAnsi"/>
          <w:sz w:val="22"/>
          <w:szCs w:val="22"/>
        </w:rPr>
        <w:t>$1 or $2</w:t>
      </w:r>
      <w:r w:rsidR="003236CD" w:rsidRPr="00457E85">
        <w:rPr>
          <w:rFonts w:asciiTheme="minorHAnsi" w:hAnsiTheme="minorHAnsi"/>
          <w:sz w:val="22"/>
          <w:szCs w:val="22"/>
        </w:rPr>
        <w:t>) have been successful in increasing the likelihood</w:t>
      </w:r>
      <w:r w:rsidR="003236CD">
        <w:rPr>
          <w:rFonts w:asciiTheme="minorHAnsi" w:hAnsiTheme="minorHAnsi"/>
          <w:sz w:val="22"/>
          <w:szCs w:val="22"/>
        </w:rPr>
        <w:t xml:space="preserve"> of</w:t>
      </w:r>
      <w:r w:rsidR="003236CD" w:rsidRPr="00457E85">
        <w:rPr>
          <w:rFonts w:asciiTheme="minorHAnsi" w:hAnsiTheme="minorHAnsi"/>
          <w:sz w:val="22"/>
          <w:szCs w:val="22"/>
        </w:rPr>
        <w:t xml:space="preserve"> participation</w:t>
      </w:r>
      <w:r w:rsidR="003236CD">
        <w:rPr>
          <w:rFonts w:asciiTheme="minorHAnsi" w:hAnsiTheme="minorHAnsi"/>
          <w:sz w:val="22"/>
          <w:szCs w:val="22"/>
        </w:rPr>
        <w:t xml:space="preserve"> in very short, low-burden surveys</w:t>
      </w:r>
      <w:r w:rsidR="003236CD" w:rsidRPr="00457E85">
        <w:rPr>
          <w:rFonts w:asciiTheme="minorHAnsi" w:hAnsiTheme="minorHAnsi"/>
          <w:sz w:val="22"/>
          <w:szCs w:val="22"/>
        </w:rPr>
        <w:t xml:space="preserve"> (</w:t>
      </w:r>
      <w:r w:rsidR="003236CD" w:rsidRPr="003236CD">
        <w:rPr>
          <w:rFonts w:asciiTheme="minorHAnsi" w:hAnsiTheme="minorHAnsi"/>
          <w:i/>
          <w:sz w:val="22"/>
          <w:szCs w:val="22"/>
        </w:rPr>
        <w:t>e.g.,</w:t>
      </w:r>
      <w:r w:rsidR="003236CD" w:rsidRPr="00457E85">
        <w:rPr>
          <w:rFonts w:asciiTheme="minorHAnsi" w:hAnsiTheme="minorHAnsi"/>
          <w:sz w:val="22"/>
          <w:szCs w:val="22"/>
        </w:rPr>
        <w:t xml:space="preserve"> parents asked to provide their chi</w:t>
      </w:r>
      <w:r w:rsidR="003236CD">
        <w:rPr>
          <w:rFonts w:asciiTheme="minorHAnsi" w:hAnsiTheme="minorHAnsi"/>
          <w:sz w:val="22"/>
          <w:szCs w:val="22"/>
        </w:rPr>
        <w:t xml:space="preserve">ldren’s addresses) (Mann, Lynn &amp; </w:t>
      </w:r>
      <w:r w:rsidR="003236CD" w:rsidRPr="00457E85">
        <w:rPr>
          <w:rFonts w:asciiTheme="minorHAnsi" w:hAnsiTheme="minorHAnsi"/>
          <w:sz w:val="22"/>
          <w:szCs w:val="22"/>
        </w:rPr>
        <w:t>Peterson</w:t>
      </w:r>
      <w:r w:rsidR="003236CD">
        <w:rPr>
          <w:rFonts w:asciiTheme="minorHAnsi" w:hAnsiTheme="minorHAnsi"/>
          <w:sz w:val="22"/>
          <w:szCs w:val="22"/>
        </w:rPr>
        <w:t xml:space="preserve">, </w:t>
      </w:r>
      <w:r w:rsidR="003236CD" w:rsidRPr="00457E85">
        <w:rPr>
          <w:rFonts w:asciiTheme="minorHAnsi" w:hAnsiTheme="minorHAnsi"/>
          <w:sz w:val="22"/>
          <w:szCs w:val="22"/>
        </w:rPr>
        <w:t>2008)</w:t>
      </w:r>
      <w:r w:rsidR="003236CD">
        <w:rPr>
          <w:rFonts w:asciiTheme="minorHAnsi" w:hAnsiTheme="minorHAnsi"/>
          <w:sz w:val="22"/>
          <w:szCs w:val="22"/>
        </w:rPr>
        <w:t xml:space="preserve">, </w:t>
      </w:r>
      <w:r w:rsidR="003236CD" w:rsidRPr="00457E85">
        <w:rPr>
          <w:rFonts w:asciiTheme="minorHAnsi" w:hAnsiTheme="minorHAnsi"/>
          <w:sz w:val="22"/>
          <w:szCs w:val="22"/>
        </w:rPr>
        <w:t xml:space="preserve">most studies </w:t>
      </w:r>
      <w:r w:rsidR="003236CD">
        <w:rPr>
          <w:rFonts w:asciiTheme="minorHAnsi" w:hAnsiTheme="minorHAnsi"/>
          <w:sz w:val="22"/>
          <w:szCs w:val="22"/>
        </w:rPr>
        <w:t xml:space="preserve">with greater respondent burden </w:t>
      </w:r>
      <w:r w:rsidR="003236CD" w:rsidRPr="00457E85">
        <w:rPr>
          <w:rFonts w:asciiTheme="minorHAnsi" w:hAnsiTheme="minorHAnsi"/>
          <w:sz w:val="22"/>
          <w:szCs w:val="22"/>
        </w:rPr>
        <w:t xml:space="preserve">(particularly relatively long in-person surveys) have not </w:t>
      </w:r>
      <w:r w:rsidR="003236CD">
        <w:rPr>
          <w:rFonts w:asciiTheme="minorHAnsi" w:hAnsiTheme="minorHAnsi"/>
          <w:sz w:val="22"/>
          <w:szCs w:val="22"/>
        </w:rPr>
        <w:t>used</w:t>
      </w:r>
      <w:r w:rsidR="003236CD" w:rsidRPr="00457E85">
        <w:rPr>
          <w:rFonts w:asciiTheme="minorHAnsi" w:hAnsiTheme="minorHAnsi"/>
          <w:sz w:val="22"/>
          <w:szCs w:val="22"/>
        </w:rPr>
        <w:t xml:space="preserve"> such low incentives. </w:t>
      </w:r>
      <w:r w:rsidR="00A9175E">
        <w:rPr>
          <w:rFonts w:asciiTheme="minorHAnsi" w:hAnsiTheme="minorHAnsi"/>
          <w:sz w:val="22"/>
          <w:szCs w:val="22"/>
        </w:rPr>
        <w:t>A</w:t>
      </w:r>
      <w:r w:rsidR="003236CD" w:rsidRPr="00457E85">
        <w:rPr>
          <w:rFonts w:asciiTheme="minorHAnsi" w:hAnsiTheme="minorHAnsi"/>
          <w:sz w:val="22"/>
          <w:szCs w:val="22"/>
        </w:rPr>
        <w:t xml:space="preserve"> study that tested </w:t>
      </w:r>
      <w:r w:rsidR="003236CD">
        <w:rPr>
          <w:rFonts w:asciiTheme="minorHAnsi" w:hAnsiTheme="minorHAnsi"/>
          <w:sz w:val="22"/>
          <w:szCs w:val="22"/>
        </w:rPr>
        <w:t xml:space="preserve">the impact of increasing prepaid </w:t>
      </w:r>
      <w:r w:rsidR="003236CD" w:rsidRPr="00457E85">
        <w:rPr>
          <w:rFonts w:asciiTheme="minorHAnsi" w:hAnsiTheme="minorHAnsi"/>
          <w:sz w:val="22"/>
          <w:szCs w:val="22"/>
        </w:rPr>
        <w:t xml:space="preserve">incentives in single dollar increments </w:t>
      </w:r>
      <w:r w:rsidR="003236CD">
        <w:rPr>
          <w:rFonts w:asciiTheme="minorHAnsi" w:hAnsiTheme="minorHAnsi"/>
          <w:sz w:val="22"/>
          <w:szCs w:val="22"/>
        </w:rPr>
        <w:t>on response rates in</w:t>
      </w:r>
      <w:r w:rsidR="003236CD" w:rsidRPr="00457E85">
        <w:rPr>
          <w:rFonts w:asciiTheme="minorHAnsi" w:hAnsiTheme="minorHAnsi"/>
          <w:sz w:val="22"/>
          <w:szCs w:val="22"/>
        </w:rPr>
        <w:t xml:space="preserve"> a large national mail survey</w:t>
      </w:r>
      <w:r w:rsidR="00A9175E">
        <w:rPr>
          <w:rFonts w:asciiTheme="minorHAnsi" w:hAnsiTheme="minorHAnsi"/>
          <w:sz w:val="22"/>
          <w:szCs w:val="22"/>
        </w:rPr>
        <w:t xml:space="preserve"> identified</w:t>
      </w:r>
      <w:r w:rsidR="003236CD" w:rsidRPr="00457E85">
        <w:rPr>
          <w:rFonts w:asciiTheme="minorHAnsi" w:hAnsiTheme="minorHAnsi"/>
          <w:sz w:val="22"/>
          <w:szCs w:val="22"/>
        </w:rPr>
        <w:t xml:space="preserve"> </w:t>
      </w:r>
      <w:r w:rsidR="003236CD">
        <w:rPr>
          <w:rFonts w:asciiTheme="minorHAnsi" w:hAnsiTheme="minorHAnsi"/>
          <w:sz w:val="22"/>
          <w:szCs w:val="22"/>
        </w:rPr>
        <w:t xml:space="preserve">a </w:t>
      </w:r>
      <w:r w:rsidR="003236CD" w:rsidRPr="00457E85">
        <w:rPr>
          <w:rFonts w:asciiTheme="minorHAnsi" w:hAnsiTheme="minorHAnsi"/>
          <w:sz w:val="22"/>
          <w:szCs w:val="22"/>
        </w:rPr>
        <w:t>$5</w:t>
      </w:r>
      <w:r w:rsidR="003236CD">
        <w:rPr>
          <w:rFonts w:asciiTheme="minorHAnsi" w:hAnsiTheme="minorHAnsi"/>
          <w:sz w:val="22"/>
          <w:szCs w:val="22"/>
        </w:rPr>
        <w:t xml:space="preserve"> unconditional incentive</w:t>
      </w:r>
      <w:r w:rsidR="003236CD" w:rsidRPr="00457E85">
        <w:rPr>
          <w:rFonts w:asciiTheme="minorHAnsi" w:hAnsiTheme="minorHAnsi"/>
          <w:sz w:val="22"/>
          <w:szCs w:val="22"/>
        </w:rPr>
        <w:t xml:space="preserve"> </w:t>
      </w:r>
      <w:r w:rsidR="003236CD">
        <w:rPr>
          <w:rFonts w:asciiTheme="minorHAnsi" w:hAnsiTheme="minorHAnsi"/>
          <w:sz w:val="22"/>
          <w:szCs w:val="22"/>
        </w:rPr>
        <w:t>was the threshold at which the return rate was not only maximized but also plateaued compared to higher advance incentives (of $6-$10)</w:t>
      </w:r>
      <w:r w:rsidR="00A9175E" w:rsidRPr="00A9175E">
        <w:rPr>
          <w:rFonts w:asciiTheme="minorHAnsi" w:hAnsiTheme="minorHAnsi"/>
          <w:sz w:val="22"/>
          <w:szCs w:val="22"/>
        </w:rPr>
        <w:t xml:space="preserve"> </w:t>
      </w:r>
      <w:r w:rsidR="00A9175E" w:rsidRPr="00457E85">
        <w:rPr>
          <w:rFonts w:asciiTheme="minorHAnsi" w:hAnsiTheme="minorHAnsi"/>
          <w:sz w:val="22"/>
          <w:szCs w:val="22"/>
        </w:rPr>
        <w:t>(</w:t>
      </w:r>
      <w:r w:rsidR="00A9175E" w:rsidRPr="00457E85">
        <w:rPr>
          <w:rFonts w:asciiTheme="minorHAnsi" w:hAnsiTheme="minorHAnsi"/>
          <w:color w:val="000000"/>
          <w:sz w:val="22"/>
          <w:szCs w:val="22"/>
        </w:rPr>
        <w:t>Trussell &amp; Lavrakas, 2004</w:t>
      </w:r>
      <w:r w:rsidR="00A9175E" w:rsidRPr="00457E85">
        <w:rPr>
          <w:rFonts w:asciiTheme="minorHAnsi" w:hAnsiTheme="minorHAnsi"/>
          <w:sz w:val="22"/>
          <w:szCs w:val="22"/>
        </w:rPr>
        <w:t>)</w:t>
      </w:r>
      <w:r w:rsidR="003236CD">
        <w:rPr>
          <w:rFonts w:asciiTheme="minorHAnsi" w:hAnsiTheme="minorHAnsi"/>
          <w:sz w:val="22"/>
          <w:szCs w:val="22"/>
        </w:rPr>
        <w:t>.</w:t>
      </w:r>
      <w:r w:rsidR="006051D1">
        <w:rPr>
          <w:rFonts w:asciiTheme="minorHAnsi" w:hAnsiTheme="minorHAnsi"/>
          <w:sz w:val="22"/>
          <w:szCs w:val="22"/>
        </w:rPr>
        <w:t xml:space="preserve"> </w:t>
      </w:r>
      <w:bookmarkStart w:id="0" w:name="_GoBack"/>
      <w:bookmarkEnd w:id="0"/>
      <w:r w:rsidR="002728CD">
        <w:rPr>
          <w:rFonts w:asciiTheme="minorHAnsi" w:hAnsiTheme="minorHAnsi"/>
          <w:sz w:val="22"/>
          <w:szCs w:val="22"/>
        </w:rPr>
        <w:t>Most of the r</w:t>
      </w:r>
      <w:r w:rsidR="00A93051">
        <w:rPr>
          <w:rFonts w:asciiTheme="minorHAnsi" w:hAnsiTheme="minorHAnsi"/>
          <w:sz w:val="22"/>
          <w:szCs w:val="22"/>
        </w:rPr>
        <w:t xml:space="preserve">ecent </w:t>
      </w:r>
      <w:r w:rsidR="00F86A93">
        <w:rPr>
          <w:rFonts w:asciiTheme="minorHAnsi" w:hAnsiTheme="minorHAnsi"/>
          <w:sz w:val="22"/>
          <w:szCs w:val="22"/>
        </w:rPr>
        <w:t xml:space="preserve">literature on completion incentives supports the $20 incentive amount, but is based on telephone, not face-to-face surveys. </w:t>
      </w:r>
      <w:r w:rsidR="00AD61FC">
        <w:rPr>
          <w:rFonts w:asciiTheme="minorHAnsi" w:hAnsiTheme="minorHAnsi"/>
          <w:sz w:val="22"/>
          <w:szCs w:val="22"/>
        </w:rPr>
        <w:t>The one study examining completion incentives</w:t>
      </w:r>
      <w:r w:rsidR="00236FEA">
        <w:rPr>
          <w:rFonts w:asciiTheme="minorHAnsi" w:hAnsiTheme="minorHAnsi"/>
          <w:sz w:val="22"/>
          <w:szCs w:val="22"/>
        </w:rPr>
        <w:t xml:space="preserve"> in a face-to-face survey</w:t>
      </w:r>
      <w:r w:rsidR="00AD61FC">
        <w:rPr>
          <w:rFonts w:asciiTheme="minorHAnsi" w:hAnsiTheme="minorHAnsi"/>
          <w:sz w:val="22"/>
          <w:szCs w:val="22"/>
        </w:rPr>
        <w:t xml:space="preserve"> was carried out as part of the in-home National Survey on Drug Use and Health. Results from that test indicated that a $20 incentive was associated with both an increase in response rates and a decrease in cost per case in a split sample experiment (Eyerman, Bowman, Butler &amp; Wright, 2005).</w:t>
      </w:r>
      <w:r w:rsidR="00D76BA8" w:rsidRPr="00457E85">
        <w:rPr>
          <w:rFonts w:asciiTheme="minorHAnsi" w:hAnsiTheme="minorHAnsi"/>
          <w:sz w:val="22"/>
          <w:szCs w:val="22"/>
        </w:rPr>
        <w:t> </w:t>
      </w:r>
      <w:r w:rsidR="0059544C">
        <w:rPr>
          <w:rFonts w:asciiTheme="minorHAnsi" w:hAnsiTheme="minorHAnsi"/>
          <w:sz w:val="22"/>
          <w:szCs w:val="22"/>
        </w:rPr>
        <w:t xml:space="preserve">Thus, although </w:t>
      </w:r>
      <w:r w:rsidR="00402328">
        <w:rPr>
          <w:rFonts w:asciiTheme="minorHAnsi" w:hAnsiTheme="minorHAnsi"/>
          <w:sz w:val="22"/>
          <w:szCs w:val="22"/>
        </w:rPr>
        <w:t xml:space="preserve">literature on </w:t>
      </w:r>
      <w:r w:rsidR="0059544C">
        <w:rPr>
          <w:rFonts w:asciiTheme="minorHAnsi" w:hAnsiTheme="minorHAnsi"/>
          <w:sz w:val="22"/>
          <w:szCs w:val="22"/>
        </w:rPr>
        <w:t xml:space="preserve">completion </w:t>
      </w:r>
      <w:r w:rsidR="00402328">
        <w:rPr>
          <w:rFonts w:asciiTheme="minorHAnsi" w:hAnsiTheme="minorHAnsi"/>
          <w:sz w:val="22"/>
          <w:szCs w:val="22"/>
        </w:rPr>
        <w:t>incentives used in comparable surveys is scarce, it appears that a $20 completion incentive may be the most effective</w:t>
      </w:r>
      <w:r w:rsidR="0059544C">
        <w:rPr>
          <w:rFonts w:asciiTheme="minorHAnsi" w:hAnsiTheme="minorHAnsi"/>
          <w:sz w:val="22"/>
          <w:szCs w:val="22"/>
        </w:rPr>
        <w:t xml:space="preserve"> strategy for</w:t>
      </w:r>
      <w:r w:rsidR="00402328">
        <w:rPr>
          <w:rFonts w:asciiTheme="minorHAnsi" w:hAnsiTheme="minorHAnsi"/>
          <w:sz w:val="22"/>
          <w:szCs w:val="22"/>
        </w:rPr>
        <w:t xml:space="preserve"> increasing response rates in the NHIS.</w:t>
      </w:r>
    </w:p>
    <w:p w14:paraId="1791F2EC" w14:textId="37386FA9" w:rsidR="006E2338" w:rsidRDefault="00206666" w:rsidP="00BF6E66">
      <w:pPr>
        <w:spacing w:before="100" w:beforeAutospacing="1" w:after="100" w:afterAutospacing="1"/>
        <w:rPr>
          <w:rFonts w:asciiTheme="minorHAnsi" w:hAnsiTheme="minorHAnsi"/>
          <w:sz w:val="22"/>
          <w:szCs w:val="22"/>
        </w:rPr>
      </w:pPr>
      <w:r>
        <w:rPr>
          <w:rFonts w:asciiTheme="minorHAnsi" w:hAnsiTheme="minorHAnsi"/>
          <w:sz w:val="22"/>
          <w:szCs w:val="22"/>
        </w:rPr>
        <w:t xml:space="preserve">The planned incentive experiment </w:t>
      </w:r>
      <w:r w:rsidR="00474367">
        <w:rPr>
          <w:rFonts w:asciiTheme="minorHAnsi" w:hAnsiTheme="minorHAnsi"/>
          <w:sz w:val="22"/>
          <w:szCs w:val="22"/>
        </w:rPr>
        <w:t>will be carried out</w:t>
      </w:r>
      <w:r w:rsidR="00474367" w:rsidRPr="00474367">
        <w:rPr>
          <w:rFonts w:asciiTheme="minorHAnsi" w:hAnsiTheme="minorHAnsi"/>
          <w:sz w:val="22"/>
          <w:szCs w:val="22"/>
        </w:rPr>
        <w:t xml:space="preserve"> </w:t>
      </w:r>
      <w:r w:rsidR="00AE27CC">
        <w:rPr>
          <w:rFonts w:asciiTheme="minorHAnsi" w:hAnsiTheme="minorHAnsi"/>
          <w:sz w:val="22"/>
          <w:szCs w:val="22"/>
        </w:rPr>
        <w:t>in the</w:t>
      </w:r>
      <w:r w:rsidR="00725F92">
        <w:rPr>
          <w:rFonts w:asciiTheme="minorHAnsi" w:hAnsiTheme="minorHAnsi"/>
          <w:sz w:val="22"/>
          <w:szCs w:val="22"/>
        </w:rPr>
        <w:t xml:space="preserve"> Census</w:t>
      </w:r>
      <w:r w:rsidR="00AE27CC">
        <w:rPr>
          <w:rFonts w:asciiTheme="minorHAnsi" w:hAnsiTheme="minorHAnsi"/>
          <w:sz w:val="22"/>
          <w:szCs w:val="22"/>
        </w:rPr>
        <w:t xml:space="preserve"> </w:t>
      </w:r>
      <w:r w:rsidR="00725F92">
        <w:rPr>
          <w:rFonts w:asciiTheme="minorHAnsi" w:hAnsiTheme="minorHAnsi"/>
          <w:sz w:val="22"/>
          <w:szCs w:val="22"/>
        </w:rPr>
        <w:t xml:space="preserve">regions overseen by the </w:t>
      </w:r>
      <w:r w:rsidR="00AE27CC">
        <w:rPr>
          <w:rFonts w:asciiTheme="minorHAnsi" w:hAnsiTheme="minorHAnsi"/>
          <w:sz w:val="22"/>
          <w:szCs w:val="22"/>
        </w:rPr>
        <w:t xml:space="preserve">Denver, </w:t>
      </w:r>
      <w:r w:rsidR="00474367" w:rsidRPr="00C0105F">
        <w:rPr>
          <w:rFonts w:asciiTheme="minorHAnsi" w:hAnsiTheme="minorHAnsi"/>
          <w:sz w:val="22"/>
          <w:szCs w:val="22"/>
        </w:rPr>
        <w:t>New York</w:t>
      </w:r>
      <w:r w:rsidR="00AE27CC">
        <w:rPr>
          <w:rFonts w:asciiTheme="minorHAnsi" w:hAnsiTheme="minorHAnsi"/>
          <w:sz w:val="22"/>
          <w:szCs w:val="22"/>
        </w:rPr>
        <w:t>, and Philadelphia</w:t>
      </w:r>
      <w:r w:rsidR="00474367" w:rsidRPr="00C0105F">
        <w:rPr>
          <w:rFonts w:asciiTheme="minorHAnsi" w:hAnsiTheme="minorHAnsi"/>
          <w:sz w:val="22"/>
          <w:szCs w:val="22"/>
        </w:rPr>
        <w:t xml:space="preserve"> </w:t>
      </w:r>
      <w:r w:rsidR="00474367">
        <w:rPr>
          <w:rFonts w:asciiTheme="minorHAnsi" w:hAnsiTheme="minorHAnsi"/>
          <w:sz w:val="22"/>
          <w:szCs w:val="22"/>
        </w:rPr>
        <w:t>Census Regional Offices (</w:t>
      </w:r>
      <w:r w:rsidR="00474367" w:rsidRPr="00C0105F">
        <w:rPr>
          <w:rFonts w:asciiTheme="minorHAnsi" w:hAnsiTheme="minorHAnsi"/>
          <w:sz w:val="22"/>
          <w:szCs w:val="22"/>
        </w:rPr>
        <w:t>RO</w:t>
      </w:r>
      <w:r w:rsidR="00474367">
        <w:rPr>
          <w:rFonts w:asciiTheme="minorHAnsi" w:hAnsiTheme="minorHAnsi"/>
          <w:sz w:val="22"/>
          <w:szCs w:val="22"/>
        </w:rPr>
        <w:t>) d</w:t>
      </w:r>
      <w:r w:rsidR="00474367" w:rsidRPr="00C0105F">
        <w:rPr>
          <w:rFonts w:asciiTheme="minorHAnsi" w:hAnsiTheme="minorHAnsi"/>
          <w:sz w:val="22"/>
          <w:szCs w:val="22"/>
        </w:rPr>
        <w:t xml:space="preserve">uring </w:t>
      </w:r>
      <w:r w:rsidR="00474367">
        <w:rPr>
          <w:rFonts w:asciiTheme="minorHAnsi" w:hAnsiTheme="minorHAnsi"/>
          <w:sz w:val="22"/>
          <w:szCs w:val="22"/>
        </w:rPr>
        <w:t>the</w:t>
      </w:r>
      <w:r w:rsidR="00474367" w:rsidRPr="00C0105F">
        <w:rPr>
          <w:rFonts w:asciiTheme="minorHAnsi" w:hAnsiTheme="minorHAnsi"/>
          <w:sz w:val="22"/>
          <w:szCs w:val="22"/>
        </w:rPr>
        <w:t xml:space="preserve"> three month</w:t>
      </w:r>
      <w:r w:rsidR="00DE1B75">
        <w:rPr>
          <w:rFonts w:asciiTheme="minorHAnsi" w:hAnsiTheme="minorHAnsi"/>
          <w:sz w:val="22"/>
          <w:szCs w:val="22"/>
        </w:rPr>
        <w:t>s of</w:t>
      </w:r>
      <w:r w:rsidR="00474367" w:rsidRPr="00C0105F">
        <w:rPr>
          <w:rFonts w:asciiTheme="minorHAnsi" w:hAnsiTheme="minorHAnsi"/>
          <w:sz w:val="22"/>
          <w:szCs w:val="22"/>
        </w:rPr>
        <w:t xml:space="preserve"> May, June, and July</w:t>
      </w:r>
      <w:r w:rsidR="004648CF">
        <w:rPr>
          <w:rFonts w:asciiTheme="minorHAnsi" w:hAnsiTheme="minorHAnsi"/>
          <w:sz w:val="22"/>
          <w:szCs w:val="22"/>
        </w:rPr>
        <w:t>, and</w:t>
      </w:r>
      <w:r w:rsidR="00474367">
        <w:rPr>
          <w:rFonts w:asciiTheme="minorHAnsi" w:hAnsiTheme="minorHAnsi"/>
          <w:sz w:val="22"/>
          <w:szCs w:val="22"/>
        </w:rPr>
        <w:t xml:space="preserve"> </w:t>
      </w:r>
      <w:r>
        <w:rPr>
          <w:rFonts w:asciiTheme="minorHAnsi" w:hAnsiTheme="minorHAnsi"/>
          <w:sz w:val="22"/>
          <w:szCs w:val="22"/>
        </w:rPr>
        <w:t>involves two components. The first</w:t>
      </w:r>
      <w:r w:rsidR="00A072C7">
        <w:rPr>
          <w:rFonts w:asciiTheme="minorHAnsi" w:hAnsiTheme="minorHAnsi"/>
          <w:sz w:val="22"/>
          <w:szCs w:val="22"/>
        </w:rPr>
        <w:t xml:space="preserve"> component</w:t>
      </w:r>
      <w:r>
        <w:rPr>
          <w:rFonts w:asciiTheme="minorHAnsi" w:hAnsiTheme="minorHAnsi"/>
          <w:sz w:val="22"/>
          <w:szCs w:val="22"/>
        </w:rPr>
        <w:t xml:space="preserve"> is a</w:t>
      </w:r>
      <w:r w:rsidR="00474367">
        <w:rPr>
          <w:rFonts w:asciiTheme="minorHAnsi" w:hAnsiTheme="minorHAnsi"/>
          <w:sz w:val="22"/>
          <w:szCs w:val="22"/>
        </w:rPr>
        <w:t xml:space="preserve"> test of the impact of</w:t>
      </w:r>
      <w:r>
        <w:rPr>
          <w:rFonts w:asciiTheme="minorHAnsi" w:hAnsiTheme="minorHAnsi"/>
          <w:sz w:val="22"/>
          <w:szCs w:val="22"/>
        </w:rPr>
        <w:t xml:space="preserve"> </w:t>
      </w:r>
      <w:r w:rsidR="00474367">
        <w:rPr>
          <w:rFonts w:asciiTheme="minorHAnsi" w:hAnsiTheme="minorHAnsi"/>
          <w:sz w:val="22"/>
          <w:szCs w:val="22"/>
        </w:rPr>
        <w:t xml:space="preserve">an </w:t>
      </w:r>
      <w:r w:rsidR="00A072C7">
        <w:rPr>
          <w:rFonts w:asciiTheme="minorHAnsi" w:hAnsiTheme="minorHAnsi"/>
          <w:sz w:val="22"/>
          <w:szCs w:val="22"/>
        </w:rPr>
        <w:t xml:space="preserve">unconditional </w:t>
      </w:r>
      <w:r>
        <w:rPr>
          <w:rFonts w:asciiTheme="minorHAnsi" w:hAnsiTheme="minorHAnsi"/>
          <w:sz w:val="22"/>
          <w:szCs w:val="22"/>
        </w:rPr>
        <w:t xml:space="preserve">advance cash </w:t>
      </w:r>
      <w:r w:rsidR="00474367">
        <w:rPr>
          <w:rFonts w:asciiTheme="minorHAnsi" w:hAnsiTheme="minorHAnsi"/>
          <w:sz w:val="22"/>
          <w:szCs w:val="22"/>
        </w:rPr>
        <w:t>mailing</w:t>
      </w:r>
      <w:r w:rsidR="009C592E">
        <w:rPr>
          <w:rFonts w:asciiTheme="minorHAnsi" w:hAnsiTheme="minorHAnsi"/>
          <w:sz w:val="22"/>
          <w:szCs w:val="22"/>
        </w:rPr>
        <w:t xml:space="preserve">. The </w:t>
      </w:r>
      <w:r w:rsidR="0059290A">
        <w:rPr>
          <w:rFonts w:asciiTheme="minorHAnsi" w:hAnsiTheme="minorHAnsi"/>
          <w:sz w:val="22"/>
          <w:szCs w:val="22"/>
        </w:rPr>
        <w:t>second</w:t>
      </w:r>
      <w:r w:rsidR="009C592E">
        <w:rPr>
          <w:rFonts w:asciiTheme="minorHAnsi" w:hAnsiTheme="minorHAnsi"/>
          <w:sz w:val="22"/>
          <w:szCs w:val="22"/>
        </w:rPr>
        <w:t xml:space="preserve"> component</w:t>
      </w:r>
      <w:r w:rsidR="0059290A">
        <w:rPr>
          <w:rFonts w:asciiTheme="minorHAnsi" w:hAnsiTheme="minorHAnsi"/>
          <w:sz w:val="22"/>
          <w:szCs w:val="22"/>
        </w:rPr>
        <w:t xml:space="preserve"> </w:t>
      </w:r>
      <w:r w:rsidR="00725F92">
        <w:rPr>
          <w:rFonts w:asciiTheme="minorHAnsi" w:hAnsiTheme="minorHAnsi"/>
          <w:sz w:val="22"/>
          <w:szCs w:val="22"/>
        </w:rPr>
        <w:t xml:space="preserve">is </w:t>
      </w:r>
      <w:r w:rsidR="0059290A">
        <w:rPr>
          <w:rFonts w:asciiTheme="minorHAnsi" w:hAnsiTheme="minorHAnsi"/>
          <w:sz w:val="22"/>
          <w:szCs w:val="22"/>
        </w:rPr>
        <w:t xml:space="preserve">a test </w:t>
      </w:r>
      <w:r w:rsidR="0059290A">
        <w:rPr>
          <w:rFonts w:asciiTheme="minorHAnsi" w:hAnsiTheme="minorHAnsi" w:cs="Courier New"/>
          <w:sz w:val="22"/>
          <w:szCs w:val="22"/>
        </w:rPr>
        <w:t xml:space="preserve">of the impact of a </w:t>
      </w:r>
      <w:r w:rsidR="00DE1B75">
        <w:rPr>
          <w:rFonts w:asciiTheme="minorHAnsi" w:hAnsiTheme="minorHAnsi" w:cs="Courier New"/>
          <w:sz w:val="22"/>
          <w:szCs w:val="22"/>
        </w:rPr>
        <w:t xml:space="preserve">promised </w:t>
      </w:r>
      <w:r w:rsidR="0059290A">
        <w:rPr>
          <w:rFonts w:asciiTheme="minorHAnsi" w:hAnsiTheme="minorHAnsi" w:cs="Courier New"/>
          <w:sz w:val="22"/>
          <w:szCs w:val="22"/>
        </w:rPr>
        <w:t>completion incentive.</w:t>
      </w:r>
      <w:r w:rsidR="00797DED">
        <w:rPr>
          <w:rFonts w:asciiTheme="minorHAnsi" w:hAnsiTheme="minorHAnsi" w:cs="Courier New"/>
          <w:sz w:val="22"/>
          <w:szCs w:val="22"/>
        </w:rPr>
        <w:t xml:space="preserve"> Random assignm</w:t>
      </w:r>
      <w:r w:rsidR="00BC49DE">
        <w:rPr>
          <w:rFonts w:asciiTheme="minorHAnsi" w:hAnsiTheme="minorHAnsi" w:cs="Courier New"/>
          <w:sz w:val="22"/>
          <w:szCs w:val="22"/>
        </w:rPr>
        <w:t xml:space="preserve">ent will occur independently to (and within) </w:t>
      </w:r>
      <w:r w:rsidR="00797DED">
        <w:rPr>
          <w:rFonts w:asciiTheme="minorHAnsi" w:hAnsiTheme="minorHAnsi" w:cs="Courier New"/>
          <w:sz w:val="22"/>
          <w:szCs w:val="22"/>
        </w:rPr>
        <w:t>each of the two components, for a two-by-two factorial research design.</w:t>
      </w:r>
      <w:r w:rsidR="00666312">
        <w:rPr>
          <w:rFonts w:asciiTheme="minorHAnsi" w:hAnsiTheme="minorHAnsi" w:cs="Courier New"/>
          <w:sz w:val="22"/>
          <w:szCs w:val="22"/>
        </w:rPr>
        <w:t xml:space="preserve"> </w:t>
      </w:r>
      <w:r w:rsidR="0059290A">
        <w:rPr>
          <w:rFonts w:asciiTheme="minorHAnsi" w:hAnsiTheme="minorHAnsi" w:cs="Courier New"/>
          <w:sz w:val="22"/>
          <w:szCs w:val="22"/>
        </w:rPr>
        <w:t xml:space="preserve"> For the first component testing the impact of an unconditional advance incentive, </w:t>
      </w:r>
      <w:r w:rsidR="00A076A1">
        <w:rPr>
          <w:rFonts w:asciiTheme="minorHAnsi" w:hAnsiTheme="minorHAnsi"/>
          <w:sz w:val="22"/>
          <w:szCs w:val="22"/>
        </w:rPr>
        <w:t>a</w:t>
      </w:r>
      <w:r>
        <w:rPr>
          <w:rFonts w:asciiTheme="minorHAnsi" w:hAnsiTheme="minorHAnsi"/>
          <w:sz w:val="22"/>
          <w:szCs w:val="22"/>
        </w:rPr>
        <w:t xml:space="preserve"> random </w:t>
      </w:r>
      <w:r w:rsidR="0039674B">
        <w:rPr>
          <w:rFonts w:asciiTheme="minorHAnsi" w:hAnsiTheme="minorHAnsi"/>
          <w:sz w:val="22"/>
          <w:szCs w:val="22"/>
        </w:rPr>
        <w:t xml:space="preserve">half of families </w:t>
      </w:r>
      <w:r w:rsidR="00474367">
        <w:rPr>
          <w:rFonts w:asciiTheme="minorHAnsi" w:hAnsiTheme="minorHAnsi"/>
          <w:sz w:val="22"/>
          <w:szCs w:val="22"/>
        </w:rPr>
        <w:t xml:space="preserve">included in the experiment </w:t>
      </w:r>
      <w:r w:rsidR="00165259" w:rsidRPr="00C0105F">
        <w:rPr>
          <w:rFonts w:asciiTheme="minorHAnsi" w:hAnsiTheme="minorHAnsi"/>
          <w:sz w:val="22"/>
          <w:szCs w:val="22"/>
        </w:rPr>
        <w:t xml:space="preserve">will </w:t>
      </w:r>
      <w:r>
        <w:rPr>
          <w:rFonts w:asciiTheme="minorHAnsi" w:hAnsiTheme="minorHAnsi"/>
          <w:sz w:val="22"/>
          <w:szCs w:val="22"/>
        </w:rPr>
        <w:t xml:space="preserve">be </w:t>
      </w:r>
      <w:r w:rsidR="00A1716E">
        <w:rPr>
          <w:rFonts w:asciiTheme="minorHAnsi" w:hAnsiTheme="minorHAnsi"/>
          <w:sz w:val="22"/>
          <w:szCs w:val="22"/>
        </w:rPr>
        <w:t>sent</w:t>
      </w:r>
      <w:r w:rsidR="00165259" w:rsidRPr="00C0105F">
        <w:rPr>
          <w:rFonts w:asciiTheme="minorHAnsi" w:hAnsiTheme="minorHAnsi"/>
          <w:sz w:val="22"/>
          <w:szCs w:val="22"/>
        </w:rPr>
        <w:t xml:space="preserve"> a $5 </w:t>
      </w:r>
      <w:r w:rsidR="00DE1B75">
        <w:rPr>
          <w:rFonts w:asciiTheme="minorHAnsi" w:hAnsiTheme="minorHAnsi"/>
          <w:sz w:val="22"/>
          <w:szCs w:val="22"/>
        </w:rPr>
        <w:t xml:space="preserve">bill </w:t>
      </w:r>
      <w:r w:rsidR="00165259" w:rsidRPr="00C0105F">
        <w:rPr>
          <w:rFonts w:asciiTheme="minorHAnsi" w:hAnsiTheme="minorHAnsi"/>
          <w:sz w:val="22"/>
          <w:szCs w:val="22"/>
        </w:rPr>
        <w:t xml:space="preserve">with the advance letter. </w:t>
      </w:r>
      <w:r w:rsidR="0059290A">
        <w:rPr>
          <w:rFonts w:asciiTheme="minorHAnsi" w:hAnsiTheme="minorHAnsi"/>
          <w:sz w:val="22"/>
          <w:szCs w:val="22"/>
        </w:rPr>
        <w:t>For t</w:t>
      </w:r>
      <w:r w:rsidR="00F5364D">
        <w:rPr>
          <w:rFonts w:asciiTheme="minorHAnsi" w:hAnsiTheme="minorHAnsi" w:cs="Courier New"/>
          <w:sz w:val="22"/>
          <w:szCs w:val="22"/>
        </w:rPr>
        <w:t>he second component</w:t>
      </w:r>
      <w:r w:rsidR="00A072C7">
        <w:rPr>
          <w:rFonts w:asciiTheme="minorHAnsi" w:hAnsiTheme="minorHAnsi" w:cs="Courier New"/>
          <w:sz w:val="22"/>
          <w:szCs w:val="22"/>
        </w:rPr>
        <w:t xml:space="preserve"> </w:t>
      </w:r>
      <w:r w:rsidR="00666312">
        <w:rPr>
          <w:rFonts w:asciiTheme="minorHAnsi" w:hAnsiTheme="minorHAnsi" w:cs="Courier New"/>
          <w:sz w:val="22"/>
          <w:szCs w:val="22"/>
        </w:rPr>
        <w:t>testing</w:t>
      </w:r>
      <w:r w:rsidR="00F5364D">
        <w:rPr>
          <w:rFonts w:asciiTheme="minorHAnsi" w:hAnsiTheme="minorHAnsi" w:cs="Courier New"/>
          <w:sz w:val="22"/>
          <w:szCs w:val="22"/>
        </w:rPr>
        <w:t xml:space="preserve"> the impact of a completion incentive</w:t>
      </w:r>
      <w:r w:rsidR="0059290A">
        <w:rPr>
          <w:rFonts w:asciiTheme="minorHAnsi" w:hAnsiTheme="minorHAnsi" w:cs="Courier New"/>
          <w:sz w:val="22"/>
          <w:szCs w:val="22"/>
        </w:rPr>
        <w:t>, a</w:t>
      </w:r>
      <w:r w:rsidR="00AE27CC">
        <w:rPr>
          <w:rFonts w:asciiTheme="minorHAnsi" w:hAnsiTheme="minorHAnsi" w:cs="Courier New"/>
          <w:sz w:val="22"/>
          <w:szCs w:val="22"/>
        </w:rPr>
        <w:t xml:space="preserve"> random half of </w:t>
      </w:r>
      <w:r w:rsidR="0039674B">
        <w:rPr>
          <w:rFonts w:asciiTheme="minorHAnsi" w:hAnsiTheme="minorHAnsi" w:cs="Courier New"/>
          <w:sz w:val="22"/>
          <w:szCs w:val="22"/>
        </w:rPr>
        <w:t>families</w:t>
      </w:r>
      <w:r w:rsidR="00AE27CC">
        <w:rPr>
          <w:rFonts w:asciiTheme="minorHAnsi" w:hAnsiTheme="minorHAnsi" w:cs="Courier New"/>
          <w:sz w:val="22"/>
          <w:szCs w:val="22"/>
        </w:rPr>
        <w:t xml:space="preserve"> will </w:t>
      </w:r>
      <w:r w:rsidR="00C675D7">
        <w:rPr>
          <w:rFonts w:asciiTheme="minorHAnsi" w:hAnsiTheme="minorHAnsi" w:cs="Courier New"/>
          <w:sz w:val="22"/>
          <w:szCs w:val="22"/>
        </w:rPr>
        <w:t xml:space="preserve">receive $20 each for </w:t>
      </w:r>
      <w:r w:rsidR="00797DED">
        <w:rPr>
          <w:rFonts w:asciiTheme="minorHAnsi" w:hAnsiTheme="minorHAnsi" w:cs="Courier New"/>
          <w:sz w:val="22"/>
          <w:szCs w:val="22"/>
        </w:rPr>
        <w:t>participation in</w:t>
      </w:r>
      <w:r w:rsidR="00C675D7">
        <w:rPr>
          <w:rFonts w:asciiTheme="minorHAnsi" w:hAnsiTheme="minorHAnsi" w:cs="Courier New"/>
          <w:sz w:val="22"/>
          <w:szCs w:val="22"/>
        </w:rPr>
        <w:t xml:space="preserve"> the family and the sample adult modules</w:t>
      </w:r>
      <w:r w:rsidR="00495DA0">
        <w:rPr>
          <w:rFonts w:asciiTheme="minorHAnsi" w:hAnsiTheme="minorHAnsi" w:cs="Courier New"/>
          <w:sz w:val="22"/>
          <w:szCs w:val="22"/>
        </w:rPr>
        <w:t xml:space="preserve"> for a maximum of $40</w:t>
      </w:r>
      <w:r w:rsidR="007A7A1B">
        <w:rPr>
          <w:rFonts w:asciiTheme="minorHAnsi" w:hAnsiTheme="minorHAnsi" w:cs="Courier New"/>
          <w:sz w:val="22"/>
          <w:szCs w:val="22"/>
        </w:rPr>
        <w:t xml:space="preserve">. </w:t>
      </w:r>
      <w:r w:rsidR="00666312">
        <w:rPr>
          <w:rFonts w:asciiTheme="minorHAnsi" w:hAnsiTheme="minorHAnsi" w:cs="Courier New"/>
          <w:sz w:val="22"/>
          <w:szCs w:val="22"/>
        </w:rPr>
        <w:t xml:space="preserve">Note: </w:t>
      </w:r>
      <w:r w:rsidR="00DE1B75">
        <w:rPr>
          <w:rFonts w:asciiTheme="minorHAnsi" w:hAnsiTheme="minorHAnsi" w:cs="Courier New"/>
          <w:sz w:val="22"/>
          <w:szCs w:val="22"/>
        </w:rPr>
        <w:t xml:space="preserve">the sample adult module cannot be </w:t>
      </w:r>
      <w:r w:rsidR="00797DED">
        <w:rPr>
          <w:rFonts w:asciiTheme="minorHAnsi" w:hAnsiTheme="minorHAnsi" w:cs="Courier New"/>
          <w:sz w:val="22"/>
          <w:szCs w:val="22"/>
        </w:rPr>
        <w:t xml:space="preserve">commenced </w:t>
      </w:r>
      <w:r w:rsidR="00DE1B75">
        <w:rPr>
          <w:rFonts w:asciiTheme="minorHAnsi" w:hAnsiTheme="minorHAnsi" w:cs="Courier New"/>
          <w:sz w:val="22"/>
          <w:szCs w:val="22"/>
        </w:rPr>
        <w:t>unless the family module is first completed</w:t>
      </w:r>
      <w:r w:rsidR="00666312">
        <w:rPr>
          <w:rFonts w:asciiTheme="minorHAnsi" w:hAnsiTheme="minorHAnsi" w:cs="Courier New"/>
          <w:sz w:val="22"/>
          <w:szCs w:val="22"/>
        </w:rPr>
        <w:t>.</w:t>
      </w:r>
      <w:r w:rsidR="00DE1B75">
        <w:rPr>
          <w:rFonts w:asciiTheme="minorHAnsi" w:hAnsiTheme="minorHAnsi" w:cs="Courier New"/>
          <w:sz w:val="22"/>
          <w:szCs w:val="22"/>
        </w:rPr>
        <w:t>)</w:t>
      </w:r>
      <w:r w:rsidR="007A7A1B">
        <w:rPr>
          <w:rFonts w:asciiTheme="minorHAnsi" w:hAnsiTheme="minorHAnsi" w:cs="Courier New"/>
          <w:sz w:val="22"/>
          <w:szCs w:val="22"/>
        </w:rPr>
        <w:t xml:space="preserve"> </w:t>
      </w:r>
      <w:r w:rsidR="0039674B">
        <w:rPr>
          <w:rFonts w:asciiTheme="minorHAnsi" w:hAnsiTheme="minorHAnsi" w:cs="Courier New"/>
          <w:sz w:val="22"/>
          <w:szCs w:val="22"/>
        </w:rPr>
        <w:t>Families</w:t>
      </w:r>
      <w:r w:rsidR="00C675D7">
        <w:rPr>
          <w:rFonts w:asciiTheme="minorHAnsi" w:hAnsiTheme="minorHAnsi" w:cs="Courier New"/>
          <w:sz w:val="22"/>
          <w:szCs w:val="22"/>
        </w:rPr>
        <w:t xml:space="preserve"> will be informed of the incentive in the advance letter, and will receive </w:t>
      </w:r>
      <w:r w:rsidR="00FB7F99">
        <w:rPr>
          <w:rFonts w:asciiTheme="minorHAnsi" w:hAnsiTheme="minorHAnsi" w:cs="Courier New"/>
          <w:sz w:val="22"/>
          <w:szCs w:val="22"/>
        </w:rPr>
        <w:t xml:space="preserve">a </w:t>
      </w:r>
      <w:r w:rsidR="00C675D7">
        <w:rPr>
          <w:rFonts w:asciiTheme="minorHAnsi" w:hAnsiTheme="minorHAnsi" w:cs="Courier New"/>
          <w:sz w:val="22"/>
          <w:szCs w:val="22"/>
        </w:rPr>
        <w:t xml:space="preserve">$20 or $40 </w:t>
      </w:r>
      <w:r w:rsidR="00FB7F99">
        <w:rPr>
          <w:rFonts w:asciiTheme="minorHAnsi" w:hAnsiTheme="minorHAnsi" w:cs="Courier New"/>
          <w:sz w:val="22"/>
          <w:szCs w:val="22"/>
        </w:rPr>
        <w:t xml:space="preserve">debit card </w:t>
      </w:r>
      <w:r w:rsidR="00C675D7">
        <w:rPr>
          <w:rFonts w:asciiTheme="minorHAnsi" w:hAnsiTheme="minorHAnsi" w:cs="Courier New"/>
          <w:sz w:val="22"/>
          <w:szCs w:val="22"/>
        </w:rPr>
        <w:t>mailed to them following in the thank you letter.</w:t>
      </w:r>
      <w:r w:rsidR="00DA028B">
        <w:rPr>
          <w:rFonts w:asciiTheme="minorHAnsi" w:hAnsiTheme="minorHAnsi" w:cs="Courier New"/>
          <w:sz w:val="22"/>
          <w:szCs w:val="22"/>
        </w:rPr>
        <w:t xml:space="preserve"> </w:t>
      </w:r>
      <w:r w:rsidR="00180FE4">
        <w:rPr>
          <w:rFonts w:asciiTheme="minorHAnsi" w:hAnsiTheme="minorHAnsi" w:cs="Courier New"/>
          <w:sz w:val="22"/>
          <w:szCs w:val="22"/>
        </w:rPr>
        <w:t>[</w:t>
      </w:r>
      <w:r w:rsidR="00797DED">
        <w:rPr>
          <w:rFonts w:asciiTheme="minorHAnsi" w:hAnsiTheme="minorHAnsi" w:cs="Courier New"/>
          <w:sz w:val="22"/>
          <w:szCs w:val="22"/>
        </w:rPr>
        <w:t xml:space="preserve">Completion incentives (to be paid out after the interview) were selected over prepaid incentives (to be paid out before the interview begins) </w:t>
      </w:r>
      <w:r w:rsidR="00797DED">
        <w:rPr>
          <w:rFonts w:asciiTheme="minorHAnsi" w:hAnsiTheme="minorHAnsi" w:cs="Courier New"/>
          <w:sz w:val="22"/>
          <w:szCs w:val="22"/>
        </w:rPr>
        <w:lastRenderedPageBreak/>
        <w:t>because Census-internal restrictions around interviewers carrying money preclude prepayment at the start of the interview.</w:t>
      </w:r>
      <w:r w:rsidR="00180FE4">
        <w:rPr>
          <w:rFonts w:asciiTheme="minorHAnsi" w:hAnsiTheme="minorHAnsi" w:cs="Courier New"/>
          <w:sz w:val="22"/>
          <w:szCs w:val="22"/>
        </w:rPr>
        <w:t>]</w:t>
      </w:r>
      <w:r w:rsidR="007E40C4">
        <w:rPr>
          <w:rFonts w:asciiTheme="minorHAnsi" w:hAnsiTheme="minorHAnsi" w:cs="Courier New"/>
          <w:sz w:val="22"/>
          <w:szCs w:val="22"/>
        </w:rPr>
        <w:t xml:space="preserve"> </w:t>
      </w:r>
      <w:r w:rsidR="00FB7F99">
        <w:rPr>
          <w:rFonts w:asciiTheme="minorHAnsi" w:hAnsiTheme="minorHAnsi"/>
          <w:sz w:val="22"/>
          <w:szCs w:val="22"/>
        </w:rPr>
        <w:t>T</w:t>
      </w:r>
      <w:r w:rsidR="0059290A">
        <w:rPr>
          <w:rFonts w:asciiTheme="minorHAnsi" w:hAnsiTheme="minorHAnsi"/>
          <w:sz w:val="22"/>
          <w:szCs w:val="22"/>
        </w:rPr>
        <w:t>he maximum total incentive amount paid to any one</w:t>
      </w:r>
      <w:r w:rsidR="00797DED">
        <w:rPr>
          <w:rFonts w:asciiTheme="minorHAnsi" w:hAnsiTheme="minorHAnsi"/>
          <w:sz w:val="22"/>
          <w:szCs w:val="22"/>
        </w:rPr>
        <w:t xml:space="preserve"> </w:t>
      </w:r>
      <w:r w:rsidR="00FB7F99">
        <w:rPr>
          <w:rFonts w:asciiTheme="minorHAnsi" w:hAnsiTheme="minorHAnsi"/>
          <w:sz w:val="22"/>
          <w:szCs w:val="22"/>
        </w:rPr>
        <w:t xml:space="preserve">family </w:t>
      </w:r>
      <w:r w:rsidR="0059290A">
        <w:rPr>
          <w:rFonts w:asciiTheme="minorHAnsi" w:hAnsiTheme="minorHAnsi"/>
          <w:sz w:val="22"/>
          <w:szCs w:val="22"/>
        </w:rPr>
        <w:t>is $45</w:t>
      </w:r>
      <w:r w:rsidR="00FB7F99">
        <w:rPr>
          <w:rFonts w:asciiTheme="minorHAnsi" w:hAnsiTheme="minorHAnsi"/>
          <w:sz w:val="22"/>
          <w:szCs w:val="22"/>
        </w:rPr>
        <w:t xml:space="preserve">: $5 prepaid, $20 for the family section and $20 for the adult section. </w:t>
      </w:r>
      <w:r w:rsidR="00180FE4">
        <w:rPr>
          <w:rFonts w:asciiTheme="minorHAnsi" w:hAnsiTheme="minorHAnsi"/>
          <w:sz w:val="22"/>
          <w:szCs w:val="22"/>
        </w:rPr>
        <w:t>N</w:t>
      </w:r>
      <w:r w:rsidR="008F7CBA" w:rsidRPr="008F7CBA">
        <w:rPr>
          <w:rFonts w:asciiTheme="minorHAnsi" w:hAnsiTheme="minorHAnsi"/>
          <w:sz w:val="22"/>
          <w:szCs w:val="22"/>
        </w:rPr>
        <w:t>o experimental design</w:t>
      </w:r>
      <w:r w:rsidR="00180FE4">
        <w:rPr>
          <w:rFonts w:asciiTheme="minorHAnsi" w:hAnsiTheme="minorHAnsi"/>
          <w:sz w:val="22"/>
          <w:szCs w:val="22"/>
        </w:rPr>
        <w:t xml:space="preserve"> is</w:t>
      </w:r>
      <w:r w:rsidR="008F7CBA" w:rsidRPr="008F7CBA">
        <w:rPr>
          <w:rFonts w:asciiTheme="minorHAnsi" w:hAnsiTheme="minorHAnsi"/>
          <w:sz w:val="22"/>
          <w:szCs w:val="22"/>
        </w:rPr>
        <w:t xml:space="preserve"> attached to the sample child </w:t>
      </w:r>
      <w:r w:rsidR="00783415">
        <w:rPr>
          <w:rFonts w:asciiTheme="minorHAnsi" w:hAnsiTheme="minorHAnsi"/>
          <w:sz w:val="22"/>
          <w:szCs w:val="22"/>
        </w:rPr>
        <w:t>section</w:t>
      </w:r>
      <w:r w:rsidR="00180FE4">
        <w:rPr>
          <w:rFonts w:asciiTheme="minorHAnsi" w:hAnsiTheme="minorHAnsi"/>
          <w:sz w:val="22"/>
          <w:szCs w:val="22"/>
        </w:rPr>
        <w:t xml:space="preserve"> in this test, as the family and sample adult sections are of unique interest</w:t>
      </w:r>
      <w:r w:rsidR="008F7CBA" w:rsidRPr="008F7CBA">
        <w:rPr>
          <w:rFonts w:asciiTheme="minorHAnsi" w:hAnsiTheme="minorHAnsi"/>
          <w:sz w:val="22"/>
          <w:szCs w:val="22"/>
        </w:rPr>
        <w:t xml:space="preserve">. </w:t>
      </w:r>
      <w:r w:rsidR="00180FE4">
        <w:rPr>
          <w:rFonts w:asciiTheme="minorHAnsi" w:hAnsiTheme="minorHAnsi"/>
          <w:sz w:val="22"/>
          <w:szCs w:val="22"/>
        </w:rPr>
        <w:t>Thus, t</w:t>
      </w:r>
      <w:r w:rsidR="00180FE4" w:rsidRPr="008F7CBA">
        <w:rPr>
          <w:rFonts w:asciiTheme="minorHAnsi" w:hAnsiTheme="minorHAnsi"/>
          <w:sz w:val="22"/>
          <w:szCs w:val="22"/>
        </w:rPr>
        <w:t>he decision to restrict the experimental design was made to ensure that the other components have sufficient power.</w:t>
      </w:r>
      <w:r w:rsidR="00180FE4">
        <w:rPr>
          <w:rFonts w:asciiTheme="minorHAnsi" w:hAnsiTheme="minorHAnsi"/>
          <w:sz w:val="22"/>
          <w:szCs w:val="22"/>
        </w:rPr>
        <w:t xml:space="preserve"> </w:t>
      </w:r>
      <w:r w:rsidR="008F7CBA" w:rsidRPr="008F7CBA">
        <w:rPr>
          <w:rFonts w:asciiTheme="minorHAnsi" w:hAnsiTheme="minorHAnsi"/>
          <w:sz w:val="22"/>
          <w:szCs w:val="22"/>
        </w:rPr>
        <w:t xml:space="preserve">Depending on the outcome of this </w:t>
      </w:r>
      <w:r w:rsidR="000C10A7">
        <w:rPr>
          <w:rFonts w:asciiTheme="minorHAnsi" w:hAnsiTheme="minorHAnsi"/>
          <w:sz w:val="22"/>
          <w:szCs w:val="22"/>
        </w:rPr>
        <w:t>experiment</w:t>
      </w:r>
      <w:r w:rsidR="008F7CBA" w:rsidRPr="008F7CBA">
        <w:rPr>
          <w:rFonts w:asciiTheme="minorHAnsi" w:hAnsiTheme="minorHAnsi"/>
          <w:sz w:val="22"/>
          <w:szCs w:val="22"/>
        </w:rPr>
        <w:t>, future testing may include incentivizing r</w:t>
      </w:r>
      <w:r w:rsidR="00834FE9">
        <w:rPr>
          <w:rFonts w:asciiTheme="minorHAnsi" w:hAnsiTheme="minorHAnsi"/>
          <w:sz w:val="22"/>
          <w:szCs w:val="22"/>
        </w:rPr>
        <w:t>esponse to the child section.</w:t>
      </w:r>
    </w:p>
    <w:p w14:paraId="552107A6" w14:textId="77777777" w:rsidR="00C675D7" w:rsidRPr="006E2338" w:rsidRDefault="00C675D7" w:rsidP="00BF6E66">
      <w:pPr>
        <w:spacing w:before="100" w:beforeAutospacing="1" w:after="100" w:afterAutospacing="1"/>
        <w:rPr>
          <w:rFonts w:asciiTheme="minorHAnsi" w:hAnsiTheme="minorHAnsi" w:cs="Courier New"/>
          <w:sz w:val="22"/>
          <w:szCs w:val="22"/>
        </w:rPr>
      </w:pPr>
      <w:r>
        <w:rPr>
          <w:rFonts w:asciiTheme="minorHAnsi" w:hAnsiTheme="minorHAnsi"/>
          <w:sz w:val="22"/>
          <w:szCs w:val="22"/>
        </w:rPr>
        <w:t>For both components of the planned incentive experiment, a</w:t>
      </w:r>
      <w:r w:rsidRPr="00C0105F">
        <w:rPr>
          <w:rFonts w:asciiTheme="minorHAnsi" w:hAnsiTheme="minorHAnsi" w:cs="Courier New"/>
          <w:sz w:val="22"/>
          <w:szCs w:val="22"/>
        </w:rPr>
        <w:t xml:space="preserve">ssignment to </w:t>
      </w:r>
      <w:r>
        <w:rPr>
          <w:rFonts w:asciiTheme="minorHAnsi" w:hAnsiTheme="minorHAnsi" w:cs="Courier New"/>
          <w:sz w:val="22"/>
          <w:szCs w:val="22"/>
        </w:rPr>
        <w:t>the</w:t>
      </w:r>
      <w:r w:rsidRPr="00C0105F">
        <w:rPr>
          <w:rFonts w:asciiTheme="minorHAnsi" w:hAnsiTheme="minorHAnsi" w:cs="Courier New"/>
          <w:sz w:val="22"/>
          <w:szCs w:val="22"/>
        </w:rPr>
        <w:t xml:space="preserve"> </w:t>
      </w:r>
      <w:r>
        <w:rPr>
          <w:rFonts w:asciiTheme="minorHAnsi" w:hAnsiTheme="minorHAnsi" w:cs="Courier New"/>
          <w:sz w:val="22"/>
          <w:szCs w:val="22"/>
        </w:rPr>
        <w:t>test and control groups</w:t>
      </w:r>
      <w:r w:rsidRPr="00C0105F">
        <w:rPr>
          <w:rFonts w:asciiTheme="minorHAnsi" w:hAnsiTheme="minorHAnsi" w:cs="Courier New"/>
          <w:sz w:val="22"/>
          <w:szCs w:val="22"/>
        </w:rPr>
        <w:t xml:space="preserve"> will </w:t>
      </w:r>
      <w:r>
        <w:rPr>
          <w:rFonts w:asciiTheme="minorHAnsi" w:hAnsiTheme="minorHAnsi" w:cs="Courier New"/>
          <w:sz w:val="22"/>
          <w:szCs w:val="22"/>
        </w:rPr>
        <w:t>be made</w:t>
      </w:r>
      <w:r w:rsidRPr="00C0105F">
        <w:rPr>
          <w:rFonts w:asciiTheme="minorHAnsi" w:hAnsiTheme="minorHAnsi" w:cs="Courier New"/>
          <w:sz w:val="22"/>
          <w:szCs w:val="22"/>
        </w:rPr>
        <w:t xml:space="preserve"> via a software-generated pre-assigned table of random numbers, and will occur independently within each </w:t>
      </w:r>
      <w:r>
        <w:rPr>
          <w:rFonts w:asciiTheme="minorHAnsi" w:hAnsiTheme="minorHAnsi" w:cs="Courier New"/>
          <w:sz w:val="22"/>
          <w:szCs w:val="22"/>
        </w:rPr>
        <w:t>RO</w:t>
      </w:r>
      <w:r w:rsidRPr="00C0105F">
        <w:rPr>
          <w:rFonts w:asciiTheme="minorHAnsi" w:hAnsiTheme="minorHAnsi" w:cs="Courier New"/>
          <w:sz w:val="22"/>
          <w:szCs w:val="22"/>
        </w:rPr>
        <w:t>.</w:t>
      </w:r>
      <w:r>
        <w:rPr>
          <w:rFonts w:asciiTheme="minorHAnsi" w:hAnsiTheme="minorHAnsi" w:cs="Courier New"/>
          <w:sz w:val="22"/>
          <w:szCs w:val="22"/>
        </w:rPr>
        <w:t xml:space="preserve"> To avoid scenarios in which next-door neighbors are assigned to different treatment groups (thus potentially complicating matters for the interviewers and leading to discontent among respondents), </w:t>
      </w:r>
      <w:r w:rsidR="000726B2">
        <w:rPr>
          <w:rFonts w:asciiTheme="minorHAnsi" w:hAnsiTheme="minorHAnsi" w:cs="Courier New"/>
          <w:sz w:val="22"/>
          <w:szCs w:val="22"/>
        </w:rPr>
        <w:t>assignment to the different experimental conditions will occur</w:t>
      </w:r>
      <w:r>
        <w:rPr>
          <w:rFonts w:asciiTheme="minorHAnsi" w:hAnsiTheme="minorHAnsi" w:cs="Courier New"/>
          <w:sz w:val="22"/>
          <w:szCs w:val="22"/>
        </w:rPr>
        <w:t xml:space="preserve"> at the segment level (which is typically equivalent to the block level). </w:t>
      </w:r>
      <w:r w:rsidRPr="006E2338">
        <w:rPr>
          <w:rFonts w:asciiTheme="minorHAnsi" w:hAnsiTheme="minorHAnsi" w:cs="Courier New"/>
          <w:sz w:val="22"/>
          <w:szCs w:val="22"/>
        </w:rPr>
        <w:t xml:space="preserve">This </w:t>
      </w:r>
      <w:r w:rsidR="000726B2">
        <w:rPr>
          <w:rFonts w:asciiTheme="minorHAnsi" w:hAnsiTheme="minorHAnsi" w:cs="Courier New"/>
          <w:sz w:val="22"/>
          <w:szCs w:val="22"/>
        </w:rPr>
        <w:t xml:space="preserve">minimizes the likelihood that participants living in close proximity will be assigned to different treatment conditions while </w:t>
      </w:r>
      <w:r w:rsidRPr="006E2338">
        <w:rPr>
          <w:rFonts w:asciiTheme="minorHAnsi" w:hAnsiTheme="minorHAnsi" w:cs="Courier New"/>
          <w:sz w:val="22"/>
          <w:szCs w:val="22"/>
        </w:rPr>
        <w:t>maintai</w:t>
      </w:r>
      <w:r w:rsidR="000726B2">
        <w:rPr>
          <w:rFonts w:asciiTheme="minorHAnsi" w:hAnsiTheme="minorHAnsi" w:cs="Courier New"/>
          <w:sz w:val="22"/>
          <w:szCs w:val="22"/>
        </w:rPr>
        <w:t>ning</w:t>
      </w:r>
      <w:r w:rsidRPr="006E2338">
        <w:rPr>
          <w:rFonts w:asciiTheme="minorHAnsi" w:hAnsiTheme="minorHAnsi" w:cs="Courier New"/>
          <w:sz w:val="22"/>
          <w:szCs w:val="22"/>
        </w:rPr>
        <w:t xml:space="preserve"> the representativeness of the sample at the </w:t>
      </w:r>
      <w:r w:rsidR="00990D71">
        <w:rPr>
          <w:rFonts w:asciiTheme="minorHAnsi" w:hAnsiTheme="minorHAnsi" w:cs="Courier New"/>
          <w:sz w:val="22"/>
          <w:szCs w:val="22"/>
        </w:rPr>
        <w:t xml:space="preserve">Regional Office and county levels. </w:t>
      </w:r>
    </w:p>
    <w:p w14:paraId="6F2F42D2" w14:textId="77777777" w:rsidR="00C11D58" w:rsidRPr="00C7147A" w:rsidRDefault="00E87ACD" w:rsidP="00BF6E66">
      <w:pPr>
        <w:spacing w:before="100" w:beforeAutospacing="1"/>
        <w:rPr>
          <w:rFonts w:ascii="Calibri" w:hAnsi="Calibri"/>
          <w:sz w:val="22"/>
          <w:szCs w:val="22"/>
        </w:rPr>
      </w:pPr>
      <w:r>
        <w:rPr>
          <w:rFonts w:ascii="Calibri" w:hAnsi="Calibri"/>
          <w:sz w:val="22"/>
          <w:szCs w:val="22"/>
        </w:rPr>
        <w:t xml:space="preserve">Random assignment to the two components of the incentive experiment and to the treatment conditions within each component results </w:t>
      </w:r>
      <w:r>
        <w:rPr>
          <w:rFonts w:asciiTheme="minorHAnsi" w:hAnsiTheme="minorHAnsi" w:cs="Courier New"/>
          <w:sz w:val="22"/>
          <w:szCs w:val="22"/>
        </w:rPr>
        <w:t>in a clean 2x2 factorial design that maximizes analytic power and allows comparison between each of the four cells on a number of indicators and outcomes</w:t>
      </w:r>
      <w:r w:rsidRPr="00E87ACD">
        <w:rPr>
          <w:rFonts w:asciiTheme="minorHAnsi" w:hAnsiTheme="minorHAnsi" w:cs="Courier New"/>
          <w:sz w:val="22"/>
          <w:szCs w:val="22"/>
        </w:rPr>
        <w:t xml:space="preserve">. </w:t>
      </w:r>
      <w:r w:rsidR="00457E85" w:rsidRPr="00BE7FC7">
        <w:rPr>
          <w:rFonts w:ascii="Calibri" w:hAnsi="Calibri"/>
          <w:i/>
          <w:sz w:val="22"/>
          <w:szCs w:val="22"/>
        </w:rPr>
        <w:t>Response rate indicators</w:t>
      </w:r>
      <w:r w:rsidR="00457E85" w:rsidRPr="00E87ACD">
        <w:rPr>
          <w:rFonts w:ascii="Calibri" w:hAnsi="Calibri"/>
          <w:sz w:val="22"/>
          <w:szCs w:val="22"/>
        </w:rPr>
        <w:t xml:space="preserve"> we will examine include</w:t>
      </w:r>
      <w:r w:rsidR="00BE7FC7">
        <w:rPr>
          <w:rFonts w:ascii="Calibri" w:hAnsi="Calibri"/>
          <w:sz w:val="22"/>
          <w:szCs w:val="22"/>
        </w:rPr>
        <w:t xml:space="preserve"> differences between the </w:t>
      </w:r>
      <w:r w:rsidR="00A232F3">
        <w:rPr>
          <w:rFonts w:ascii="Calibri" w:hAnsi="Calibri"/>
          <w:sz w:val="22"/>
          <w:szCs w:val="22"/>
        </w:rPr>
        <w:t xml:space="preserve">three </w:t>
      </w:r>
      <w:r w:rsidR="00BE7FC7">
        <w:rPr>
          <w:rFonts w:ascii="Calibri" w:hAnsi="Calibri"/>
          <w:sz w:val="22"/>
          <w:szCs w:val="22"/>
        </w:rPr>
        <w:t>treatment conditions</w:t>
      </w:r>
      <w:r w:rsidR="00A232F3">
        <w:rPr>
          <w:rFonts w:ascii="Calibri" w:hAnsi="Calibri"/>
          <w:sz w:val="22"/>
          <w:szCs w:val="22"/>
        </w:rPr>
        <w:t xml:space="preserve"> and the control group</w:t>
      </w:r>
      <w:r w:rsidR="00BE7FC7">
        <w:rPr>
          <w:rFonts w:ascii="Calibri" w:hAnsi="Calibri"/>
          <w:sz w:val="22"/>
          <w:szCs w:val="22"/>
        </w:rPr>
        <w:t xml:space="preserve"> in:</w:t>
      </w:r>
      <w:r w:rsidR="00457E85" w:rsidRPr="00E87ACD">
        <w:rPr>
          <w:rFonts w:ascii="Calibri" w:hAnsi="Calibri"/>
          <w:i/>
          <w:sz w:val="22"/>
          <w:szCs w:val="22"/>
        </w:rPr>
        <w:t xml:space="preserve"> </w:t>
      </w:r>
      <w:r w:rsidR="00BE7FC7">
        <w:rPr>
          <w:rFonts w:ascii="Calibri" w:hAnsi="Calibri"/>
          <w:sz w:val="22"/>
          <w:szCs w:val="22"/>
        </w:rPr>
        <w:t>o</w:t>
      </w:r>
      <w:r w:rsidR="00457E85" w:rsidRPr="00E87ACD">
        <w:rPr>
          <w:rFonts w:ascii="Calibri" w:hAnsi="Calibri"/>
          <w:sz w:val="22"/>
          <w:szCs w:val="22"/>
        </w:rPr>
        <w:t xml:space="preserve">verall </w:t>
      </w:r>
      <w:r w:rsidR="00B72CA8">
        <w:rPr>
          <w:rFonts w:ascii="Calibri" w:hAnsi="Calibri"/>
          <w:sz w:val="22"/>
          <w:szCs w:val="22"/>
        </w:rPr>
        <w:t>and module-spe</w:t>
      </w:r>
      <w:r w:rsidR="005E6418">
        <w:rPr>
          <w:rFonts w:ascii="Calibri" w:hAnsi="Calibri"/>
          <w:sz w:val="22"/>
          <w:szCs w:val="22"/>
        </w:rPr>
        <w:t xml:space="preserve">cific </w:t>
      </w:r>
      <w:r w:rsidR="00457E85" w:rsidRPr="00E87ACD">
        <w:rPr>
          <w:rFonts w:ascii="Calibri" w:hAnsi="Calibri"/>
          <w:sz w:val="22"/>
          <w:szCs w:val="22"/>
        </w:rPr>
        <w:t>response rate</w:t>
      </w:r>
      <w:r w:rsidR="00BE7FC7">
        <w:rPr>
          <w:rFonts w:ascii="Calibri" w:hAnsi="Calibri"/>
          <w:sz w:val="22"/>
          <w:szCs w:val="22"/>
        </w:rPr>
        <w:t>, c</w:t>
      </w:r>
      <w:r w:rsidR="00457E85" w:rsidRPr="00E87ACD">
        <w:rPr>
          <w:rFonts w:ascii="Calibri" w:hAnsi="Calibri"/>
          <w:sz w:val="22"/>
          <w:szCs w:val="22"/>
        </w:rPr>
        <w:t>ompleted interview rate</w:t>
      </w:r>
      <w:r w:rsidR="00BE7FC7">
        <w:rPr>
          <w:rFonts w:ascii="Calibri" w:hAnsi="Calibri"/>
          <w:sz w:val="22"/>
          <w:szCs w:val="22"/>
        </w:rPr>
        <w:t>, s</w:t>
      </w:r>
      <w:r w:rsidR="00457E85" w:rsidRPr="00E87ACD">
        <w:rPr>
          <w:rFonts w:ascii="Calibri" w:hAnsi="Calibri"/>
          <w:sz w:val="22"/>
          <w:szCs w:val="22"/>
        </w:rPr>
        <w:t>ufficient partial interview rate</w:t>
      </w:r>
      <w:r w:rsidR="00BE7FC7">
        <w:rPr>
          <w:rFonts w:ascii="Calibri" w:hAnsi="Calibri"/>
          <w:sz w:val="22"/>
          <w:szCs w:val="22"/>
        </w:rPr>
        <w:t xml:space="preserve">, and refusal rate. </w:t>
      </w:r>
      <w:r w:rsidR="00457E85">
        <w:rPr>
          <w:rFonts w:ascii="Calibri" w:hAnsi="Calibri"/>
          <w:i/>
          <w:sz w:val="22"/>
          <w:szCs w:val="22"/>
        </w:rPr>
        <w:t xml:space="preserve">Data quality indicators </w:t>
      </w:r>
      <w:r w:rsidR="00457E85" w:rsidRPr="00BE7FC7">
        <w:rPr>
          <w:rFonts w:ascii="Calibri" w:hAnsi="Calibri"/>
          <w:sz w:val="22"/>
          <w:szCs w:val="22"/>
        </w:rPr>
        <w:t>we will examine include</w:t>
      </w:r>
      <w:r w:rsidR="00C7147A">
        <w:rPr>
          <w:rFonts w:ascii="Calibri" w:hAnsi="Calibri"/>
          <w:sz w:val="22"/>
          <w:szCs w:val="22"/>
        </w:rPr>
        <w:t xml:space="preserve"> differences between the </w:t>
      </w:r>
      <w:r w:rsidR="00A232F3">
        <w:rPr>
          <w:rFonts w:ascii="Calibri" w:hAnsi="Calibri"/>
          <w:sz w:val="22"/>
          <w:szCs w:val="22"/>
        </w:rPr>
        <w:t xml:space="preserve">three </w:t>
      </w:r>
      <w:r w:rsidR="00C7147A">
        <w:rPr>
          <w:rFonts w:ascii="Calibri" w:hAnsi="Calibri"/>
          <w:sz w:val="22"/>
          <w:szCs w:val="22"/>
        </w:rPr>
        <w:t>treatment conditions</w:t>
      </w:r>
      <w:r w:rsidR="00A232F3">
        <w:rPr>
          <w:rFonts w:ascii="Calibri" w:hAnsi="Calibri"/>
          <w:sz w:val="22"/>
          <w:szCs w:val="22"/>
        </w:rPr>
        <w:t xml:space="preserve"> and the control group</w:t>
      </w:r>
      <w:r w:rsidR="00C7147A">
        <w:rPr>
          <w:rFonts w:ascii="Calibri" w:hAnsi="Calibri"/>
          <w:sz w:val="22"/>
          <w:szCs w:val="22"/>
        </w:rPr>
        <w:t xml:space="preserve"> in r</w:t>
      </w:r>
      <w:r w:rsidR="00457E85">
        <w:rPr>
          <w:rFonts w:ascii="Calibri" w:hAnsi="Calibri"/>
          <w:sz w:val="22"/>
          <w:szCs w:val="22"/>
        </w:rPr>
        <w:t xml:space="preserve">ates of </w:t>
      </w:r>
      <w:r w:rsidR="00457E85" w:rsidRPr="009005E8">
        <w:rPr>
          <w:rFonts w:ascii="Calibri" w:hAnsi="Calibri"/>
          <w:sz w:val="22"/>
          <w:szCs w:val="22"/>
        </w:rPr>
        <w:t>“don’t know” and “refused” response</w:t>
      </w:r>
      <w:r w:rsidR="00457E85">
        <w:rPr>
          <w:rFonts w:ascii="Calibri" w:hAnsi="Calibri"/>
          <w:sz w:val="22"/>
          <w:szCs w:val="22"/>
        </w:rPr>
        <w:t>s</w:t>
      </w:r>
      <w:r w:rsidR="00C7147A">
        <w:rPr>
          <w:rFonts w:ascii="Calibri" w:hAnsi="Calibri"/>
          <w:sz w:val="22"/>
          <w:szCs w:val="22"/>
        </w:rPr>
        <w:t xml:space="preserve">, and in </w:t>
      </w:r>
      <w:r w:rsidR="00457E85" w:rsidRPr="00265E39">
        <w:rPr>
          <w:rFonts w:ascii="Calibri" w:hAnsi="Calibri"/>
          <w:sz w:val="22"/>
          <w:szCs w:val="22"/>
        </w:rPr>
        <w:t>population estimates of select outcome variables included in NCHS’ key indicator reports (e.g., health insurance coverage, failure to obtain needed medical care, cigarette smoking and alcohol consumption, and general health status)</w:t>
      </w:r>
      <w:r w:rsidR="00C7147A">
        <w:rPr>
          <w:rFonts w:ascii="Calibri" w:hAnsi="Calibri"/>
          <w:sz w:val="22"/>
          <w:szCs w:val="22"/>
        </w:rPr>
        <w:t>. To assess the impact of incentives on sample composition,</w:t>
      </w:r>
      <w:r w:rsidR="00C7147A" w:rsidRPr="00C7147A">
        <w:rPr>
          <w:rFonts w:ascii="Calibri" w:hAnsi="Calibri"/>
          <w:sz w:val="22"/>
          <w:szCs w:val="22"/>
        </w:rPr>
        <w:t xml:space="preserve"> we will test for differences not only between the experimental groups described above, but also between survey completers and survey breakoffs, and between survey completers and national census data. </w:t>
      </w:r>
      <w:r w:rsidR="00A232F3">
        <w:rPr>
          <w:rFonts w:ascii="Calibri" w:hAnsi="Calibri"/>
          <w:sz w:val="22"/>
          <w:szCs w:val="22"/>
        </w:rPr>
        <w:t>D</w:t>
      </w:r>
      <w:r w:rsidR="00C7147A">
        <w:rPr>
          <w:rFonts w:ascii="Calibri" w:hAnsi="Calibri"/>
          <w:sz w:val="22"/>
          <w:szCs w:val="22"/>
        </w:rPr>
        <w:t>emographic characteristics</w:t>
      </w:r>
      <w:r w:rsidR="00A232F3">
        <w:rPr>
          <w:rFonts w:ascii="Calibri" w:hAnsi="Calibri"/>
          <w:sz w:val="22"/>
          <w:szCs w:val="22"/>
        </w:rPr>
        <w:t xml:space="preserve"> of interest include </w:t>
      </w:r>
      <w:r w:rsidR="00C7147A">
        <w:rPr>
          <w:rFonts w:ascii="Calibri" w:hAnsi="Calibri"/>
          <w:sz w:val="22"/>
          <w:szCs w:val="22"/>
        </w:rPr>
        <w:t>a</w:t>
      </w:r>
      <w:r w:rsidR="00C7147A" w:rsidRPr="00C7147A">
        <w:rPr>
          <w:rFonts w:ascii="Calibri" w:hAnsi="Calibri"/>
          <w:sz w:val="22"/>
          <w:szCs w:val="22"/>
        </w:rPr>
        <w:t>ge</w:t>
      </w:r>
      <w:r w:rsidR="00C7147A">
        <w:rPr>
          <w:rFonts w:ascii="Calibri" w:hAnsi="Calibri"/>
          <w:sz w:val="22"/>
          <w:szCs w:val="22"/>
        </w:rPr>
        <w:t xml:space="preserve">, race/ethnicity, </w:t>
      </w:r>
      <w:r w:rsidR="00B72CA8">
        <w:rPr>
          <w:rFonts w:ascii="Calibri" w:hAnsi="Calibri"/>
          <w:sz w:val="22"/>
          <w:szCs w:val="22"/>
        </w:rPr>
        <w:t xml:space="preserve">and </w:t>
      </w:r>
      <w:r w:rsidR="00C7147A">
        <w:rPr>
          <w:rFonts w:ascii="Calibri" w:hAnsi="Calibri"/>
          <w:sz w:val="22"/>
          <w:szCs w:val="22"/>
        </w:rPr>
        <w:t>e</w:t>
      </w:r>
      <w:r w:rsidR="00C7147A" w:rsidRPr="00C7147A">
        <w:rPr>
          <w:rFonts w:ascii="Calibri" w:hAnsi="Calibri"/>
          <w:sz w:val="22"/>
          <w:szCs w:val="22"/>
        </w:rPr>
        <w:t>ducation level</w:t>
      </w:r>
      <w:r w:rsidR="00C7147A">
        <w:rPr>
          <w:rFonts w:ascii="Calibri" w:hAnsi="Calibri"/>
          <w:sz w:val="22"/>
          <w:szCs w:val="22"/>
        </w:rPr>
        <w:t xml:space="preserve">. Lastly, the primary </w:t>
      </w:r>
      <w:r w:rsidR="00C7147A" w:rsidRPr="00C7147A">
        <w:rPr>
          <w:rFonts w:ascii="Calibri" w:hAnsi="Calibri"/>
          <w:i/>
          <w:sz w:val="22"/>
          <w:szCs w:val="22"/>
        </w:rPr>
        <w:t>c</w:t>
      </w:r>
      <w:r w:rsidR="00C22217" w:rsidRPr="009005E8">
        <w:rPr>
          <w:rFonts w:ascii="Calibri" w:hAnsi="Calibri"/>
          <w:i/>
          <w:sz w:val="22"/>
          <w:szCs w:val="22"/>
        </w:rPr>
        <w:t>ost indicator</w:t>
      </w:r>
      <w:r w:rsidR="00C22217" w:rsidRPr="009005E8">
        <w:rPr>
          <w:rFonts w:ascii="Calibri" w:hAnsi="Calibri"/>
          <w:sz w:val="22"/>
          <w:szCs w:val="22"/>
        </w:rPr>
        <w:t xml:space="preserve"> we will examine </w:t>
      </w:r>
      <w:r w:rsidR="00C7147A">
        <w:rPr>
          <w:rFonts w:ascii="Calibri" w:hAnsi="Calibri"/>
          <w:sz w:val="22"/>
          <w:szCs w:val="22"/>
        </w:rPr>
        <w:t xml:space="preserve">is </w:t>
      </w:r>
      <w:r w:rsidR="00C22217" w:rsidRPr="009005E8">
        <w:rPr>
          <w:rFonts w:ascii="Calibri" w:hAnsi="Calibri"/>
          <w:sz w:val="22"/>
          <w:szCs w:val="22"/>
        </w:rPr>
        <w:t>the number of attempts (</w:t>
      </w:r>
      <w:r w:rsidR="00064C46">
        <w:rPr>
          <w:rFonts w:ascii="Calibri" w:hAnsi="Calibri"/>
          <w:sz w:val="22"/>
          <w:szCs w:val="22"/>
        </w:rPr>
        <w:t>in-person</w:t>
      </w:r>
      <w:r w:rsidR="00C22217" w:rsidRPr="009005E8">
        <w:rPr>
          <w:rFonts w:ascii="Calibri" w:hAnsi="Calibri"/>
          <w:sz w:val="22"/>
          <w:szCs w:val="22"/>
        </w:rPr>
        <w:t xml:space="preserve"> visits and phone calls) required to obtain a completed interview</w:t>
      </w:r>
      <w:r w:rsidR="00571D21">
        <w:rPr>
          <w:rFonts w:ascii="Calibri" w:hAnsi="Calibri"/>
          <w:sz w:val="22"/>
          <w:szCs w:val="22"/>
        </w:rPr>
        <w:t xml:space="preserve"> (</w:t>
      </w:r>
      <w:r w:rsidR="00571D21" w:rsidRPr="009005E8">
        <w:rPr>
          <w:rFonts w:ascii="Calibri" w:hAnsi="Calibri"/>
          <w:sz w:val="22"/>
          <w:szCs w:val="22"/>
        </w:rPr>
        <w:t>ascertainable using paradata</w:t>
      </w:r>
      <w:r w:rsidR="00571D21">
        <w:rPr>
          <w:rFonts w:ascii="Calibri" w:hAnsi="Calibri"/>
          <w:sz w:val="22"/>
          <w:szCs w:val="22"/>
        </w:rPr>
        <w:t xml:space="preserve">) </w:t>
      </w:r>
      <w:r w:rsidR="00C7147A">
        <w:rPr>
          <w:rFonts w:ascii="Calibri" w:hAnsi="Calibri"/>
          <w:sz w:val="22"/>
          <w:szCs w:val="22"/>
        </w:rPr>
        <w:t xml:space="preserve">in each of the </w:t>
      </w:r>
      <w:r w:rsidR="00A232F3">
        <w:rPr>
          <w:rFonts w:ascii="Calibri" w:hAnsi="Calibri"/>
          <w:sz w:val="22"/>
          <w:szCs w:val="22"/>
        </w:rPr>
        <w:t xml:space="preserve">three </w:t>
      </w:r>
      <w:r w:rsidR="00C7147A">
        <w:rPr>
          <w:rFonts w:ascii="Calibri" w:hAnsi="Calibri"/>
          <w:sz w:val="22"/>
          <w:szCs w:val="22"/>
        </w:rPr>
        <w:t xml:space="preserve">treatment conditions </w:t>
      </w:r>
      <w:r w:rsidR="00A232F3">
        <w:rPr>
          <w:rFonts w:ascii="Calibri" w:hAnsi="Calibri"/>
          <w:sz w:val="22"/>
          <w:szCs w:val="22"/>
        </w:rPr>
        <w:t>and the control group</w:t>
      </w:r>
      <w:r w:rsidR="00C22217" w:rsidRPr="009005E8">
        <w:rPr>
          <w:rFonts w:ascii="Calibri" w:hAnsi="Calibri"/>
          <w:sz w:val="22"/>
          <w:szCs w:val="22"/>
        </w:rPr>
        <w:t>.</w:t>
      </w:r>
      <w:r w:rsidR="00C7147A">
        <w:rPr>
          <w:rFonts w:ascii="Calibri" w:hAnsi="Calibri"/>
          <w:sz w:val="22"/>
          <w:szCs w:val="22"/>
        </w:rPr>
        <w:t xml:space="preserve"> </w:t>
      </w:r>
    </w:p>
    <w:p w14:paraId="03235220" w14:textId="77777777" w:rsidR="00457E85" w:rsidRPr="001562F9" w:rsidRDefault="00265E39" w:rsidP="00BF6E66">
      <w:pPr>
        <w:spacing w:before="100" w:beforeAutospacing="1" w:after="100" w:afterAutospacing="1"/>
        <w:rPr>
          <w:rFonts w:asciiTheme="minorHAnsi" w:hAnsiTheme="minorHAnsi"/>
          <w:sz w:val="22"/>
          <w:szCs w:val="22"/>
        </w:rPr>
      </w:pPr>
      <w:r w:rsidRPr="00C0105F">
        <w:rPr>
          <w:rFonts w:asciiTheme="minorHAnsi" w:hAnsiTheme="minorHAnsi"/>
          <w:sz w:val="22"/>
          <w:szCs w:val="22"/>
        </w:rPr>
        <w:t xml:space="preserve">The </w:t>
      </w:r>
      <w:r w:rsidR="00DB084D">
        <w:rPr>
          <w:rFonts w:asciiTheme="minorHAnsi" w:hAnsiTheme="minorHAnsi"/>
          <w:sz w:val="22"/>
          <w:szCs w:val="22"/>
        </w:rPr>
        <w:t xml:space="preserve">approximate </w:t>
      </w:r>
      <w:r w:rsidRPr="00C0105F">
        <w:rPr>
          <w:rFonts w:asciiTheme="minorHAnsi" w:hAnsiTheme="minorHAnsi"/>
          <w:sz w:val="22"/>
          <w:szCs w:val="22"/>
        </w:rPr>
        <w:t xml:space="preserve">total sample size for the incentives </w:t>
      </w:r>
      <w:r>
        <w:rPr>
          <w:rFonts w:asciiTheme="minorHAnsi" w:hAnsiTheme="minorHAnsi"/>
          <w:sz w:val="22"/>
          <w:szCs w:val="22"/>
        </w:rPr>
        <w:t>experiment</w:t>
      </w:r>
      <w:r w:rsidRPr="00C0105F">
        <w:rPr>
          <w:rFonts w:asciiTheme="minorHAnsi" w:hAnsiTheme="minorHAnsi"/>
          <w:sz w:val="22"/>
          <w:szCs w:val="22"/>
        </w:rPr>
        <w:t xml:space="preserve"> is </w:t>
      </w:r>
      <w:r w:rsidR="00DB084D">
        <w:rPr>
          <w:rFonts w:asciiTheme="minorHAnsi" w:hAnsiTheme="minorHAnsi"/>
          <w:sz w:val="22"/>
          <w:szCs w:val="22"/>
        </w:rPr>
        <w:t>12,200</w:t>
      </w:r>
      <w:r w:rsidRPr="00C0105F">
        <w:rPr>
          <w:rFonts w:asciiTheme="minorHAnsi" w:hAnsiTheme="minorHAnsi"/>
          <w:sz w:val="22"/>
          <w:szCs w:val="22"/>
        </w:rPr>
        <w:t xml:space="preserve"> </w:t>
      </w:r>
      <w:r w:rsidR="00064C46">
        <w:rPr>
          <w:rFonts w:asciiTheme="minorHAnsi" w:hAnsiTheme="minorHAnsi"/>
          <w:sz w:val="22"/>
          <w:szCs w:val="22"/>
        </w:rPr>
        <w:t>families</w:t>
      </w:r>
      <w:r w:rsidRPr="00C0105F">
        <w:rPr>
          <w:rFonts w:asciiTheme="minorHAnsi" w:hAnsiTheme="minorHAnsi"/>
          <w:sz w:val="22"/>
          <w:szCs w:val="22"/>
        </w:rPr>
        <w:t xml:space="preserve">, whereby </w:t>
      </w:r>
      <w:r w:rsidR="00DB084D">
        <w:rPr>
          <w:rFonts w:asciiTheme="minorHAnsi" w:hAnsiTheme="minorHAnsi"/>
          <w:sz w:val="22"/>
          <w:szCs w:val="22"/>
        </w:rPr>
        <w:t>roughly</w:t>
      </w:r>
      <w:r w:rsidRPr="00C0105F">
        <w:rPr>
          <w:rFonts w:asciiTheme="minorHAnsi" w:hAnsiTheme="minorHAnsi"/>
          <w:sz w:val="22"/>
          <w:szCs w:val="22"/>
        </w:rPr>
        <w:t xml:space="preserve"> </w:t>
      </w:r>
      <w:r w:rsidR="00DB084D">
        <w:rPr>
          <w:rFonts w:asciiTheme="minorHAnsi" w:hAnsiTheme="minorHAnsi"/>
          <w:sz w:val="22"/>
          <w:szCs w:val="22"/>
        </w:rPr>
        <w:t>4</w:t>
      </w:r>
      <w:r w:rsidRPr="00C0105F">
        <w:rPr>
          <w:rFonts w:asciiTheme="minorHAnsi" w:hAnsiTheme="minorHAnsi"/>
          <w:sz w:val="22"/>
          <w:szCs w:val="22"/>
        </w:rPr>
        <w:t xml:space="preserve">0% of cases will be located in the Denver </w:t>
      </w:r>
      <w:r>
        <w:rPr>
          <w:rFonts w:asciiTheme="minorHAnsi" w:hAnsiTheme="minorHAnsi"/>
          <w:sz w:val="22"/>
          <w:szCs w:val="22"/>
        </w:rPr>
        <w:t>RO</w:t>
      </w:r>
      <w:r w:rsidRPr="00C0105F">
        <w:rPr>
          <w:rFonts w:asciiTheme="minorHAnsi" w:hAnsiTheme="minorHAnsi"/>
          <w:sz w:val="22"/>
          <w:szCs w:val="22"/>
        </w:rPr>
        <w:t xml:space="preserve"> and </w:t>
      </w:r>
      <w:r w:rsidR="00B72CA8">
        <w:rPr>
          <w:rFonts w:asciiTheme="minorHAnsi" w:hAnsiTheme="minorHAnsi"/>
          <w:sz w:val="22"/>
          <w:szCs w:val="22"/>
        </w:rPr>
        <w:t>3</w:t>
      </w:r>
      <w:r w:rsidRPr="00C0105F">
        <w:rPr>
          <w:rFonts w:asciiTheme="minorHAnsi" w:hAnsiTheme="minorHAnsi"/>
          <w:sz w:val="22"/>
          <w:szCs w:val="22"/>
        </w:rPr>
        <w:t xml:space="preserve">0% of cases in the New York </w:t>
      </w:r>
      <w:r w:rsidR="00DB084D">
        <w:rPr>
          <w:rFonts w:asciiTheme="minorHAnsi" w:hAnsiTheme="minorHAnsi"/>
          <w:sz w:val="22"/>
          <w:szCs w:val="22"/>
        </w:rPr>
        <w:t xml:space="preserve">and Philadelphia </w:t>
      </w:r>
      <w:r w:rsidRPr="00C0105F">
        <w:rPr>
          <w:rFonts w:asciiTheme="minorHAnsi" w:hAnsiTheme="minorHAnsi"/>
          <w:sz w:val="22"/>
          <w:szCs w:val="22"/>
        </w:rPr>
        <w:t>RO</w:t>
      </w:r>
      <w:r w:rsidR="00DB084D">
        <w:rPr>
          <w:rFonts w:asciiTheme="minorHAnsi" w:hAnsiTheme="minorHAnsi"/>
          <w:sz w:val="22"/>
          <w:szCs w:val="22"/>
        </w:rPr>
        <w:t>, respectively</w:t>
      </w:r>
      <w:r w:rsidRPr="00C0105F">
        <w:rPr>
          <w:rFonts w:asciiTheme="minorHAnsi" w:hAnsiTheme="minorHAnsi"/>
          <w:sz w:val="22"/>
          <w:szCs w:val="22"/>
        </w:rPr>
        <w:t xml:space="preserve">. We anticipate a </w:t>
      </w:r>
      <w:r w:rsidR="00064C46">
        <w:rPr>
          <w:rFonts w:asciiTheme="minorHAnsi" w:hAnsiTheme="minorHAnsi"/>
          <w:sz w:val="22"/>
          <w:szCs w:val="22"/>
        </w:rPr>
        <w:t>family</w:t>
      </w:r>
      <w:r w:rsidR="00990D71">
        <w:rPr>
          <w:rFonts w:asciiTheme="minorHAnsi" w:hAnsiTheme="minorHAnsi"/>
          <w:sz w:val="22"/>
          <w:szCs w:val="22"/>
        </w:rPr>
        <w:t xml:space="preserve"> </w:t>
      </w:r>
      <w:r w:rsidRPr="00C0105F">
        <w:rPr>
          <w:rFonts w:asciiTheme="minorHAnsi" w:hAnsiTheme="minorHAnsi"/>
          <w:sz w:val="22"/>
          <w:szCs w:val="22"/>
        </w:rPr>
        <w:t>response rate around 7</w:t>
      </w:r>
      <w:r w:rsidR="00CC537B">
        <w:rPr>
          <w:rFonts w:asciiTheme="minorHAnsi" w:hAnsiTheme="minorHAnsi"/>
          <w:sz w:val="22"/>
          <w:szCs w:val="22"/>
        </w:rPr>
        <w:t>0</w:t>
      </w:r>
      <w:r w:rsidRPr="00C0105F">
        <w:rPr>
          <w:rFonts w:asciiTheme="minorHAnsi" w:hAnsiTheme="minorHAnsi"/>
          <w:sz w:val="22"/>
          <w:szCs w:val="22"/>
        </w:rPr>
        <w:t xml:space="preserve">%, which will result in approximately </w:t>
      </w:r>
      <w:r w:rsidR="00DB084D">
        <w:rPr>
          <w:rFonts w:asciiTheme="minorHAnsi" w:hAnsiTheme="minorHAnsi"/>
          <w:sz w:val="22"/>
          <w:szCs w:val="22"/>
        </w:rPr>
        <w:t>8,500</w:t>
      </w:r>
      <w:r w:rsidRPr="00C0105F">
        <w:rPr>
          <w:rFonts w:asciiTheme="minorHAnsi" w:hAnsiTheme="minorHAnsi"/>
          <w:sz w:val="22"/>
          <w:szCs w:val="22"/>
        </w:rPr>
        <w:t xml:space="preserve"> completed interviews.</w:t>
      </w:r>
      <w:r>
        <w:rPr>
          <w:rFonts w:asciiTheme="minorHAnsi" w:hAnsiTheme="minorHAnsi"/>
          <w:sz w:val="22"/>
          <w:szCs w:val="22"/>
        </w:rPr>
        <w:t xml:space="preserve"> </w:t>
      </w:r>
      <w:r w:rsidR="00E9628D" w:rsidRPr="00C0105F">
        <w:rPr>
          <w:rFonts w:asciiTheme="minorHAnsi" w:hAnsiTheme="minorHAnsi"/>
          <w:sz w:val="22"/>
          <w:szCs w:val="22"/>
        </w:rPr>
        <w:t xml:space="preserve">Assuming 80% power, an alpha level = 0.05, and a design effect = 1, an </w:t>
      </w:r>
      <w:r w:rsidR="002218D7">
        <w:rPr>
          <w:rFonts w:asciiTheme="minorHAnsi" w:hAnsiTheme="minorHAnsi"/>
          <w:sz w:val="22"/>
          <w:szCs w:val="22"/>
        </w:rPr>
        <w:t>n</w:t>
      </w:r>
      <w:r w:rsidR="00E9628D" w:rsidRPr="00C0105F">
        <w:rPr>
          <w:rFonts w:asciiTheme="minorHAnsi" w:hAnsiTheme="minorHAnsi"/>
          <w:sz w:val="22"/>
          <w:szCs w:val="22"/>
        </w:rPr>
        <w:t xml:space="preserve">= </w:t>
      </w:r>
      <w:r w:rsidR="00DB084D">
        <w:rPr>
          <w:rFonts w:asciiTheme="minorHAnsi" w:hAnsiTheme="minorHAnsi"/>
          <w:sz w:val="22"/>
          <w:szCs w:val="22"/>
        </w:rPr>
        <w:t>8,500</w:t>
      </w:r>
      <w:r w:rsidR="00E9628D" w:rsidRPr="00C0105F">
        <w:rPr>
          <w:rFonts w:asciiTheme="minorHAnsi" w:hAnsiTheme="minorHAnsi"/>
          <w:sz w:val="22"/>
          <w:szCs w:val="22"/>
        </w:rPr>
        <w:t xml:space="preserve"> cases allows detection of a change in response rates as low as 2</w:t>
      </w:r>
      <w:r w:rsidR="007E40C4">
        <w:rPr>
          <w:rFonts w:asciiTheme="minorHAnsi" w:hAnsiTheme="minorHAnsi"/>
          <w:sz w:val="22"/>
          <w:szCs w:val="22"/>
        </w:rPr>
        <w:t xml:space="preserve"> percentage points</w:t>
      </w:r>
      <w:r w:rsidR="00FC3371">
        <w:rPr>
          <w:rFonts w:asciiTheme="minorHAnsi" w:hAnsiTheme="minorHAnsi"/>
          <w:sz w:val="22"/>
          <w:szCs w:val="22"/>
        </w:rPr>
        <w:t xml:space="preserve"> for the completion incentive component of the experiment</w:t>
      </w:r>
      <w:r w:rsidR="00CD5A39">
        <w:rPr>
          <w:rFonts w:asciiTheme="minorHAnsi" w:hAnsiTheme="minorHAnsi"/>
          <w:sz w:val="22"/>
          <w:szCs w:val="22"/>
        </w:rPr>
        <w:t>.</w:t>
      </w:r>
      <w:r w:rsidR="00FC3371">
        <w:rPr>
          <w:rFonts w:asciiTheme="minorHAnsi" w:hAnsiTheme="minorHAnsi"/>
          <w:sz w:val="22"/>
          <w:szCs w:val="22"/>
        </w:rPr>
        <w:t xml:space="preserve"> For the unconditional advance incentive component, the number of completed cases in the treatment and control groups is roughly </w:t>
      </w:r>
      <w:r w:rsidR="00DB084D">
        <w:rPr>
          <w:rFonts w:asciiTheme="minorHAnsi" w:hAnsiTheme="minorHAnsi"/>
          <w:sz w:val="22"/>
          <w:szCs w:val="22"/>
        </w:rPr>
        <w:t>4,250</w:t>
      </w:r>
      <w:r w:rsidR="00FC3371">
        <w:rPr>
          <w:rFonts w:asciiTheme="minorHAnsi" w:hAnsiTheme="minorHAnsi"/>
          <w:sz w:val="22"/>
          <w:szCs w:val="22"/>
        </w:rPr>
        <w:t xml:space="preserve">, which results in sufficient statistical power to detect differences in response rates around </w:t>
      </w:r>
      <w:r w:rsidR="00DB084D">
        <w:rPr>
          <w:rFonts w:asciiTheme="minorHAnsi" w:hAnsiTheme="minorHAnsi"/>
          <w:sz w:val="22"/>
          <w:szCs w:val="22"/>
        </w:rPr>
        <w:t>2.9</w:t>
      </w:r>
      <w:r w:rsidR="007E40C4" w:rsidRPr="007E40C4">
        <w:rPr>
          <w:rFonts w:asciiTheme="minorHAnsi" w:hAnsiTheme="minorHAnsi"/>
          <w:sz w:val="22"/>
          <w:szCs w:val="22"/>
        </w:rPr>
        <w:t xml:space="preserve"> </w:t>
      </w:r>
      <w:r w:rsidR="007E40C4">
        <w:rPr>
          <w:rFonts w:asciiTheme="minorHAnsi" w:hAnsiTheme="minorHAnsi"/>
          <w:sz w:val="22"/>
          <w:szCs w:val="22"/>
        </w:rPr>
        <w:t>percentage points</w:t>
      </w:r>
      <w:r w:rsidR="00D93F55">
        <w:rPr>
          <w:rFonts w:asciiTheme="minorHAnsi" w:hAnsiTheme="minorHAnsi"/>
          <w:sz w:val="22"/>
          <w:szCs w:val="22"/>
        </w:rPr>
        <w:t xml:space="preserve"> given the same assumptions</w:t>
      </w:r>
      <w:r w:rsidR="00FC3371">
        <w:rPr>
          <w:rFonts w:asciiTheme="minorHAnsi" w:hAnsiTheme="minorHAnsi"/>
          <w:sz w:val="22"/>
          <w:szCs w:val="22"/>
        </w:rPr>
        <w:t>.</w:t>
      </w:r>
      <w:r w:rsidR="00E9628D" w:rsidRPr="00C0105F">
        <w:rPr>
          <w:rFonts w:asciiTheme="minorHAnsi" w:hAnsiTheme="minorHAnsi"/>
          <w:sz w:val="22"/>
          <w:szCs w:val="22"/>
        </w:rPr>
        <w:t xml:space="preserve"> For key substantive variables, we </w:t>
      </w:r>
      <w:r w:rsidR="00D93F55">
        <w:rPr>
          <w:rFonts w:asciiTheme="minorHAnsi" w:hAnsiTheme="minorHAnsi"/>
          <w:sz w:val="22"/>
          <w:szCs w:val="22"/>
        </w:rPr>
        <w:t>factored</w:t>
      </w:r>
      <w:r w:rsidR="00E9628D" w:rsidRPr="00C0105F">
        <w:rPr>
          <w:rFonts w:asciiTheme="minorHAnsi" w:hAnsiTheme="minorHAnsi"/>
          <w:sz w:val="22"/>
          <w:szCs w:val="22"/>
        </w:rPr>
        <w:t xml:space="preserve"> a design effect of 2.5 into the power calculations. Thus, for outcomes with prevalence rates of 10%, we will be able to detect changes in estimates as low as 2.</w:t>
      </w:r>
      <w:r w:rsidR="00DB084D">
        <w:rPr>
          <w:rFonts w:asciiTheme="minorHAnsi" w:hAnsiTheme="minorHAnsi"/>
          <w:sz w:val="22"/>
          <w:szCs w:val="22"/>
        </w:rPr>
        <w:t>5</w:t>
      </w:r>
      <w:r w:rsidR="007E40C4" w:rsidRPr="007E40C4">
        <w:rPr>
          <w:rFonts w:asciiTheme="minorHAnsi" w:hAnsiTheme="minorHAnsi"/>
          <w:sz w:val="22"/>
          <w:szCs w:val="22"/>
        </w:rPr>
        <w:t xml:space="preserve"> </w:t>
      </w:r>
      <w:r w:rsidR="007E40C4">
        <w:rPr>
          <w:rFonts w:asciiTheme="minorHAnsi" w:hAnsiTheme="minorHAnsi"/>
          <w:sz w:val="22"/>
          <w:szCs w:val="22"/>
        </w:rPr>
        <w:t>percentage points</w:t>
      </w:r>
      <w:r w:rsidR="00E9628D" w:rsidRPr="00C0105F">
        <w:rPr>
          <w:rFonts w:asciiTheme="minorHAnsi" w:hAnsiTheme="minorHAnsi"/>
          <w:sz w:val="22"/>
          <w:szCs w:val="22"/>
        </w:rPr>
        <w:t xml:space="preserve">; for more prevalent </w:t>
      </w:r>
      <w:r w:rsidR="00D93F55">
        <w:rPr>
          <w:rFonts w:asciiTheme="minorHAnsi" w:hAnsiTheme="minorHAnsi"/>
          <w:szCs w:val="22"/>
        </w:rPr>
        <w:t xml:space="preserve">health </w:t>
      </w:r>
      <w:r w:rsidR="00E9628D" w:rsidRPr="00C0105F">
        <w:rPr>
          <w:rFonts w:asciiTheme="minorHAnsi" w:hAnsiTheme="minorHAnsi"/>
          <w:sz w:val="22"/>
          <w:szCs w:val="22"/>
        </w:rPr>
        <w:t xml:space="preserve">conditions or outcomes, we will be able to detect changes in rates between 3 and 4 percentage points. </w:t>
      </w:r>
      <w:r w:rsidR="00D93F55">
        <w:rPr>
          <w:rFonts w:asciiTheme="minorHAnsi" w:hAnsiTheme="minorHAnsi"/>
          <w:sz w:val="22"/>
          <w:szCs w:val="22"/>
        </w:rPr>
        <w:t xml:space="preserve">For more rare outcomes, such as rates of “don’t know” or “refused” responses, </w:t>
      </w:r>
      <w:r w:rsidR="00D93F55" w:rsidRPr="00E0487D">
        <w:rPr>
          <w:rFonts w:asciiTheme="minorHAnsi" w:hAnsiTheme="minorHAnsi"/>
          <w:sz w:val="22"/>
          <w:szCs w:val="22"/>
        </w:rPr>
        <w:t xml:space="preserve">we will be able to detect even smaller changes, </w:t>
      </w:r>
      <w:r w:rsidR="00D93F55">
        <w:rPr>
          <w:rFonts w:asciiTheme="minorHAnsi" w:hAnsiTheme="minorHAnsi"/>
          <w:sz w:val="22"/>
          <w:szCs w:val="22"/>
        </w:rPr>
        <w:t xml:space="preserve">given that </w:t>
      </w:r>
      <w:r w:rsidR="00D93F55" w:rsidRPr="00E0487D">
        <w:rPr>
          <w:rFonts w:asciiTheme="minorHAnsi" w:hAnsiTheme="minorHAnsi"/>
          <w:sz w:val="22"/>
          <w:szCs w:val="22"/>
        </w:rPr>
        <w:t>the variance is maximized at 0.5, or 50% and moving away from 0.5 means a lower variance.</w:t>
      </w:r>
    </w:p>
    <w:p w14:paraId="7D125563" w14:textId="77777777" w:rsidR="00FA06CB" w:rsidRDefault="00FA06CB">
      <w:pPr>
        <w:spacing w:after="200" w:line="276" w:lineRule="auto"/>
        <w:rPr>
          <w:rFonts w:ascii="Calibri" w:hAnsi="Calibri"/>
          <w:b/>
          <w:sz w:val="22"/>
          <w:szCs w:val="22"/>
        </w:rPr>
      </w:pPr>
      <w:r>
        <w:rPr>
          <w:rFonts w:ascii="Calibri" w:hAnsi="Calibri"/>
          <w:b/>
          <w:sz w:val="22"/>
          <w:szCs w:val="22"/>
        </w:rPr>
        <w:br w:type="page"/>
      </w:r>
    </w:p>
    <w:p w14:paraId="4362A6E9" w14:textId="77777777" w:rsidR="00457E85" w:rsidRPr="00FA06CB" w:rsidRDefault="00FA06CB" w:rsidP="00BB1B16">
      <w:pPr>
        <w:spacing w:before="100" w:beforeAutospacing="1" w:after="100" w:afterAutospacing="1"/>
        <w:rPr>
          <w:rFonts w:ascii="Calibri" w:hAnsi="Calibri"/>
          <w:b/>
          <w:sz w:val="22"/>
          <w:szCs w:val="22"/>
        </w:rPr>
      </w:pPr>
      <w:r w:rsidRPr="00FA06CB">
        <w:rPr>
          <w:rFonts w:ascii="Calibri" w:hAnsi="Calibri"/>
          <w:b/>
          <w:sz w:val="22"/>
          <w:szCs w:val="22"/>
        </w:rPr>
        <w:lastRenderedPageBreak/>
        <w:t>References</w:t>
      </w:r>
    </w:p>
    <w:p w14:paraId="3AAA116F" w14:textId="77777777" w:rsidR="006B3505" w:rsidRPr="006B3505" w:rsidRDefault="006B3505" w:rsidP="006B3505">
      <w:pPr>
        <w:pStyle w:val="ListParagraph"/>
        <w:numPr>
          <w:ilvl w:val="0"/>
          <w:numId w:val="3"/>
        </w:numPr>
        <w:autoSpaceDE w:val="0"/>
        <w:autoSpaceDN w:val="0"/>
        <w:ind w:left="0" w:firstLine="720"/>
        <w:rPr>
          <w:rFonts w:ascii="Calibri" w:hAnsi="Calibri" w:cs="Calibri"/>
          <w:color w:val="000000"/>
          <w:sz w:val="22"/>
          <w:szCs w:val="22"/>
        </w:rPr>
      </w:pPr>
      <w:r w:rsidRPr="006B3505">
        <w:rPr>
          <w:rFonts w:asciiTheme="minorHAnsi" w:hAnsiTheme="minorHAnsi"/>
          <w:sz w:val="22"/>
          <w:szCs w:val="22"/>
        </w:rPr>
        <w:t>National</w:t>
      </w:r>
      <w:r w:rsidRPr="006B3505">
        <w:rPr>
          <w:rFonts w:ascii="Calibri" w:hAnsi="Calibri" w:cs="Calibri"/>
          <w:color w:val="000000"/>
          <w:sz w:val="22"/>
          <w:szCs w:val="22"/>
        </w:rPr>
        <w:t xml:space="preserve"> Center for Health Statistics. Survey Description, National Health Interview Survey, </w:t>
      </w:r>
      <w:r>
        <w:rPr>
          <w:rFonts w:ascii="Calibri" w:hAnsi="Calibri" w:cs="Calibri"/>
          <w:color w:val="000000"/>
          <w:sz w:val="22"/>
          <w:szCs w:val="22"/>
        </w:rPr>
        <w:t>2004-2013</w:t>
      </w:r>
      <w:r w:rsidRPr="006B3505">
        <w:rPr>
          <w:rFonts w:ascii="Calibri" w:hAnsi="Calibri" w:cs="Calibri"/>
          <w:color w:val="000000"/>
          <w:sz w:val="22"/>
          <w:szCs w:val="22"/>
        </w:rPr>
        <w:t xml:space="preserve">. Hyattsville, Maryland. </w:t>
      </w:r>
      <w:r>
        <w:rPr>
          <w:rFonts w:ascii="Calibri" w:hAnsi="Calibri" w:cs="Calibri"/>
          <w:color w:val="000000"/>
          <w:sz w:val="22"/>
          <w:szCs w:val="22"/>
        </w:rPr>
        <w:t>2004-2013</w:t>
      </w:r>
      <w:r w:rsidRPr="006B3505">
        <w:rPr>
          <w:rFonts w:ascii="Calibri" w:hAnsi="Calibri" w:cs="Calibri"/>
          <w:color w:val="000000"/>
          <w:sz w:val="22"/>
          <w:szCs w:val="22"/>
        </w:rPr>
        <w:t xml:space="preserve">. </w:t>
      </w:r>
    </w:p>
    <w:p w14:paraId="296BB288" w14:textId="77777777" w:rsidR="00F92F0E" w:rsidRPr="00F92F0E" w:rsidRDefault="00457E85" w:rsidP="00F92F0E">
      <w:pPr>
        <w:pStyle w:val="ListParagraph"/>
        <w:numPr>
          <w:ilvl w:val="0"/>
          <w:numId w:val="3"/>
        </w:numPr>
        <w:autoSpaceDE w:val="0"/>
        <w:autoSpaceDN w:val="0"/>
        <w:ind w:left="0" w:firstLine="720"/>
        <w:rPr>
          <w:rFonts w:asciiTheme="minorHAnsi" w:hAnsiTheme="minorHAnsi" w:cs="LLFBI O+ Helvetica"/>
          <w:color w:val="000000"/>
          <w:sz w:val="22"/>
          <w:szCs w:val="22"/>
        </w:rPr>
      </w:pPr>
      <w:r w:rsidRPr="00F92F0E">
        <w:rPr>
          <w:rFonts w:asciiTheme="minorHAnsi" w:hAnsiTheme="minorHAnsi"/>
          <w:sz w:val="22"/>
          <w:szCs w:val="22"/>
        </w:rPr>
        <w:t>Davern M, Rockwood TH, Sherrod R, Campbell S. Prepaid monetary incentives and data quality in face-to-face interviews: Data from the 1996 survey of income and program participation incentive experiment. Public Opinion Quarterly 2003;67(1):139-147.</w:t>
      </w:r>
    </w:p>
    <w:p w14:paraId="23ACD1C4" w14:textId="77777777" w:rsidR="00F92F0E" w:rsidRPr="00F92F0E" w:rsidRDefault="00457E85" w:rsidP="00F92F0E">
      <w:pPr>
        <w:pStyle w:val="ListParagraph"/>
        <w:numPr>
          <w:ilvl w:val="0"/>
          <w:numId w:val="3"/>
        </w:numPr>
        <w:autoSpaceDE w:val="0"/>
        <w:autoSpaceDN w:val="0"/>
        <w:ind w:left="0" w:firstLine="720"/>
        <w:rPr>
          <w:rFonts w:asciiTheme="minorHAnsi" w:hAnsiTheme="minorHAnsi" w:cs="LLFBI O+ Helvetica"/>
          <w:color w:val="000000"/>
          <w:sz w:val="22"/>
          <w:szCs w:val="22"/>
        </w:rPr>
      </w:pPr>
      <w:r w:rsidRPr="00F92F0E">
        <w:rPr>
          <w:rFonts w:asciiTheme="minorHAnsi" w:hAnsiTheme="minorHAnsi"/>
          <w:sz w:val="22"/>
          <w:szCs w:val="22"/>
        </w:rPr>
        <w:t>Eyerman J, Bowman K, Butler D, Wright D. The differential impact of incentives on refusals: Results from the 2001 national household survey on drug abuse incentive experiment. Journal of Economic and Social Measurement 2005;30(2-3):157-169.</w:t>
      </w:r>
    </w:p>
    <w:p w14:paraId="37F8152F" w14:textId="77777777" w:rsidR="00F92F0E" w:rsidRPr="00F92F0E" w:rsidRDefault="00457E85" w:rsidP="00F92F0E">
      <w:pPr>
        <w:pStyle w:val="ListParagraph"/>
        <w:numPr>
          <w:ilvl w:val="0"/>
          <w:numId w:val="3"/>
        </w:numPr>
        <w:autoSpaceDE w:val="0"/>
        <w:autoSpaceDN w:val="0"/>
        <w:ind w:left="0" w:firstLine="720"/>
        <w:rPr>
          <w:rFonts w:asciiTheme="minorHAnsi" w:hAnsiTheme="minorHAnsi" w:cs="LLFBI O+ Helvetica"/>
          <w:color w:val="000000"/>
          <w:sz w:val="22"/>
          <w:szCs w:val="22"/>
        </w:rPr>
      </w:pPr>
      <w:r w:rsidRPr="00F92F0E">
        <w:rPr>
          <w:rFonts w:asciiTheme="minorHAnsi" w:hAnsiTheme="minorHAnsi"/>
          <w:sz w:val="22"/>
          <w:szCs w:val="22"/>
        </w:rPr>
        <w:t>Gelman A, Stevens M, Chan V. Regression modeling and meta-analysis for decision making: A cost-benefit analysis of incentives in telephone surveys. Journal of Business and Economi</w:t>
      </w:r>
      <w:r w:rsidR="00F92F0E">
        <w:rPr>
          <w:rFonts w:asciiTheme="minorHAnsi" w:hAnsiTheme="minorHAnsi"/>
          <w:sz w:val="22"/>
          <w:szCs w:val="22"/>
        </w:rPr>
        <w:t>c Statistics 2003;21(2):213-225.</w:t>
      </w:r>
    </w:p>
    <w:p w14:paraId="435182C4" w14:textId="77777777" w:rsidR="00F92F0E" w:rsidRPr="00F92F0E" w:rsidRDefault="00457E85" w:rsidP="00F92F0E">
      <w:pPr>
        <w:pStyle w:val="ListParagraph"/>
        <w:numPr>
          <w:ilvl w:val="0"/>
          <w:numId w:val="3"/>
        </w:numPr>
        <w:autoSpaceDE w:val="0"/>
        <w:autoSpaceDN w:val="0"/>
        <w:ind w:left="0" w:firstLine="720"/>
        <w:rPr>
          <w:rFonts w:asciiTheme="minorHAnsi" w:hAnsiTheme="minorHAnsi" w:cs="LLFBI O+ Helvetica"/>
          <w:color w:val="000000"/>
          <w:sz w:val="22"/>
          <w:szCs w:val="22"/>
        </w:rPr>
      </w:pPr>
      <w:r w:rsidRPr="00F92F0E">
        <w:rPr>
          <w:rFonts w:asciiTheme="minorHAnsi" w:hAnsiTheme="minorHAnsi"/>
          <w:sz w:val="22"/>
          <w:szCs w:val="22"/>
        </w:rPr>
        <w:t>Lepkowski JM, Mosher WD, Groves RM, West BT, Wagner J, Gu H. Responsive design, weighting, and variance estimation in the 2006-2010 national survey of family growth. In: Vital and Health Statistics, Series 2: Data Evaluation and Methods Research; 2013.</w:t>
      </w:r>
    </w:p>
    <w:p w14:paraId="2912791D" w14:textId="77777777" w:rsidR="00F92F0E" w:rsidRDefault="0062269C" w:rsidP="00F92F0E">
      <w:pPr>
        <w:pStyle w:val="ListParagraph"/>
        <w:numPr>
          <w:ilvl w:val="0"/>
          <w:numId w:val="3"/>
        </w:numPr>
        <w:autoSpaceDE w:val="0"/>
        <w:autoSpaceDN w:val="0"/>
        <w:ind w:left="0" w:firstLine="720"/>
        <w:rPr>
          <w:rFonts w:asciiTheme="minorHAnsi" w:hAnsiTheme="minorHAnsi" w:cs="LLFBI O+ Helvetica"/>
          <w:color w:val="000000"/>
          <w:sz w:val="22"/>
          <w:szCs w:val="22"/>
        </w:rPr>
      </w:pPr>
      <w:r w:rsidRPr="00F92F0E">
        <w:rPr>
          <w:rFonts w:asciiTheme="minorHAnsi" w:hAnsiTheme="minorHAnsi" w:cs="LLFBI O+ Helvetica"/>
          <w:color w:val="000000"/>
          <w:sz w:val="22"/>
          <w:szCs w:val="22"/>
        </w:rPr>
        <w:t xml:space="preserve">Lynn, P. The impact of incentives on response rates to personal interview surveys: Role and perceptions of </w:t>
      </w:r>
      <w:r w:rsidRPr="00F92F0E">
        <w:rPr>
          <w:rFonts w:asciiTheme="minorHAnsi" w:hAnsiTheme="minorHAnsi"/>
          <w:sz w:val="22"/>
          <w:szCs w:val="22"/>
        </w:rPr>
        <w:t>interviewers</w:t>
      </w:r>
      <w:r w:rsidRPr="00F92F0E">
        <w:rPr>
          <w:rFonts w:asciiTheme="minorHAnsi" w:hAnsiTheme="minorHAnsi" w:cs="LLFBI O+ Helvetica"/>
          <w:color w:val="000000"/>
          <w:sz w:val="22"/>
          <w:szCs w:val="22"/>
        </w:rPr>
        <w:t>. International Journal of Public Opinion Research 2001.</w:t>
      </w:r>
      <w:r w:rsidR="0027241C">
        <w:rPr>
          <w:rFonts w:asciiTheme="minorHAnsi" w:hAnsiTheme="minorHAnsi" w:cs="LLFBI O+ Helvetica"/>
          <w:color w:val="000000"/>
          <w:sz w:val="22"/>
          <w:szCs w:val="22"/>
        </w:rPr>
        <w:t xml:space="preserve"> </w:t>
      </w:r>
      <w:r w:rsidRPr="00F92F0E">
        <w:rPr>
          <w:rFonts w:asciiTheme="minorHAnsi" w:hAnsiTheme="minorHAnsi" w:cs="LLFBI O+ Helvetica"/>
          <w:color w:val="000000"/>
          <w:sz w:val="22"/>
          <w:szCs w:val="22"/>
        </w:rPr>
        <w:t xml:space="preserve">13(3): 326-336. </w:t>
      </w:r>
    </w:p>
    <w:p w14:paraId="44BD1431" w14:textId="77777777" w:rsidR="00F92F0E" w:rsidRPr="00F92F0E" w:rsidRDefault="00457E85" w:rsidP="00F92F0E">
      <w:pPr>
        <w:pStyle w:val="ListParagraph"/>
        <w:numPr>
          <w:ilvl w:val="0"/>
          <w:numId w:val="3"/>
        </w:numPr>
        <w:autoSpaceDE w:val="0"/>
        <w:autoSpaceDN w:val="0"/>
        <w:ind w:left="0" w:firstLine="720"/>
        <w:rPr>
          <w:rFonts w:asciiTheme="minorHAnsi" w:hAnsiTheme="minorHAnsi" w:cs="LLFBI O+ Helvetica"/>
          <w:color w:val="000000"/>
          <w:sz w:val="22"/>
          <w:szCs w:val="22"/>
        </w:rPr>
      </w:pPr>
      <w:r w:rsidRPr="00F92F0E">
        <w:rPr>
          <w:rFonts w:asciiTheme="minorHAnsi" w:hAnsiTheme="minorHAnsi"/>
          <w:sz w:val="22"/>
          <w:szCs w:val="22"/>
        </w:rPr>
        <w:t>Mann SL, Lynn DJ, Peterson AV. The "downstream" effect of token prepaid cash incentives to parents on their young adult children's survey participation. Public Opinion Quarterly 2008;72(3):487-501.</w:t>
      </w:r>
    </w:p>
    <w:p w14:paraId="24BC80A8" w14:textId="77777777" w:rsidR="00F92F0E" w:rsidRPr="00F92F0E" w:rsidRDefault="00457E85" w:rsidP="00F92F0E">
      <w:pPr>
        <w:pStyle w:val="ListParagraph"/>
        <w:numPr>
          <w:ilvl w:val="0"/>
          <w:numId w:val="3"/>
        </w:numPr>
        <w:autoSpaceDE w:val="0"/>
        <w:autoSpaceDN w:val="0"/>
        <w:ind w:left="0" w:firstLine="720"/>
        <w:rPr>
          <w:rFonts w:asciiTheme="minorHAnsi" w:hAnsiTheme="minorHAnsi" w:cs="LLFBI O+ Helvetica"/>
          <w:color w:val="000000"/>
          <w:sz w:val="22"/>
          <w:szCs w:val="22"/>
        </w:rPr>
      </w:pPr>
      <w:r w:rsidRPr="00F92F0E">
        <w:rPr>
          <w:rFonts w:asciiTheme="minorHAnsi" w:hAnsiTheme="minorHAnsi"/>
          <w:sz w:val="22"/>
          <w:szCs w:val="22"/>
        </w:rPr>
        <w:t>Singer E, Kulka RA. Paying respondents for survey participation. Studies of Welfare Populations: Data Collection and Research Issues 2002:105-128.</w:t>
      </w:r>
    </w:p>
    <w:p w14:paraId="6EA0733D" w14:textId="77777777" w:rsidR="00F92F0E" w:rsidRPr="00F92F0E" w:rsidRDefault="00457E85" w:rsidP="00F92F0E">
      <w:pPr>
        <w:pStyle w:val="ListParagraph"/>
        <w:numPr>
          <w:ilvl w:val="0"/>
          <w:numId w:val="3"/>
        </w:numPr>
        <w:autoSpaceDE w:val="0"/>
        <w:autoSpaceDN w:val="0"/>
        <w:ind w:left="0" w:firstLine="720"/>
        <w:rPr>
          <w:rFonts w:asciiTheme="minorHAnsi" w:hAnsiTheme="minorHAnsi" w:cs="LLFBI O+ Helvetica"/>
          <w:color w:val="000000"/>
          <w:sz w:val="22"/>
          <w:szCs w:val="22"/>
        </w:rPr>
      </w:pPr>
      <w:r w:rsidRPr="00F92F0E">
        <w:rPr>
          <w:rFonts w:asciiTheme="minorHAnsi" w:hAnsiTheme="minorHAnsi"/>
          <w:sz w:val="22"/>
          <w:szCs w:val="22"/>
        </w:rPr>
        <w:t>Singer E, Ye C. The Use and Effects of Incentives in Surveys. Annals of the American Academy of Political and Social Science 2013;645(1):112-141.</w:t>
      </w:r>
    </w:p>
    <w:p w14:paraId="1C71CC92" w14:textId="77777777" w:rsidR="00F92F0E" w:rsidRPr="00F92F0E" w:rsidRDefault="00457E85" w:rsidP="00F92F0E">
      <w:pPr>
        <w:pStyle w:val="ListParagraph"/>
        <w:numPr>
          <w:ilvl w:val="0"/>
          <w:numId w:val="3"/>
        </w:numPr>
        <w:autoSpaceDE w:val="0"/>
        <w:autoSpaceDN w:val="0"/>
        <w:ind w:left="0" w:firstLine="720"/>
        <w:rPr>
          <w:rFonts w:asciiTheme="minorHAnsi" w:hAnsiTheme="minorHAnsi" w:cs="LLFBI O+ Helvetica"/>
          <w:color w:val="000000"/>
          <w:sz w:val="22"/>
          <w:szCs w:val="22"/>
        </w:rPr>
      </w:pPr>
      <w:r w:rsidRPr="00F92F0E">
        <w:rPr>
          <w:rFonts w:asciiTheme="minorHAnsi" w:hAnsiTheme="minorHAnsi"/>
          <w:sz w:val="22"/>
          <w:szCs w:val="22"/>
        </w:rPr>
        <w:t>Trussell N, Lavrakas PJ. The influence of incremental increases in token cash incentives on mail survey response: Is there an optimal amount? Public Opinion Quarterly 2004;68(3):349-367.</w:t>
      </w:r>
    </w:p>
    <w:p w14:paraId="54C1B59C" w14:textId="77777777" w:rsidR="00457E85" w:rsidRPr="00F92F0E" w:rsidRDefault="00457E85" w:rsidP="006051D1">
      <w:pPr>
        <w:pStyle w:val="ListParagraph"/>
        <w:autoSpaceDE w:val="0"/>
        <w:autoSpaceDN w:val="0"/>
        <w:rPr>
          <w:rFonts w:asciiTheme="minorHAnsi" w:hAnsiTheme="minorHAnsi" w:cs="LLFBI O+ Helvetica"/>
          <w:color w:val="000000"/>
          <w:sz w:val="22"/>
          <w:szCs w:val="22"/>
        </w:rPr>
      </w:pPr>
    </w:p>
    <w:sectPr w:rsidR="00457E85" w:rsidRPr="00F92F0E" w:rsidSect="00B55735">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65301" w14:textId="77777777" w:rsidR="00B505D4" w:rsidRDefault="00B505D4" w:rsidP="00FF76D1">
      <w:r>
        <w:separator/>
      </w:r>
    </w:p>
  </w:endnote>
  <w:endnote w:type="continuationSeparator" w:id="0">
    <w:p w14:paraId="748E3574" w14:textId="77777777" w:rsidR="00B505D4" w:rsidRDefault="00B505D4" w:rsidP="00FF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NEBJ A+ Times">
    <w:altName w:val="Times New Roman"/>
    <w:panose1 w:val="00000000000000000000"/>
    <w:charset w:val="00"/>
    <w:family w:val="roman"/>
    <w:notTrueType/>
    <w:pitch w:val="default"/>
    <w:sig w:usb0="00000003" w:usb1="00000000" w:usb2="00000000" w:usb3="00000000" w:csb0="00000001" w:csb1="00000000"/>
  </w:font>
  <w:font w:name="LLFBI O+ Helvetica">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E1BF7" w14:textId="77777777" w:rsidR="00B505D4" w:rsidRDefault="00B505D4" w:rsidP="00FF76D1">
      <w:r>
        <w:separator/>
      </w:r>
    </w:p>
  </w:footnote>
  <w:footnote w:type="continuationSeparator" w:id="0">
    <w:p w14:paraId="4B2F14D8" w14:textId="77777777" w:rsidR="00B505D4" w:rsidRDefault="00B505D4" w:rsidP="00FF7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33BD3" w14:textId="7A515F0B" w:rsidR="00FF76D1" w:rsidRPr="00FF76D1" w:rsidRDefault="00A9175E" w:rsidP="00833386">
    <w:pPr>
      <w:pStyle w:val="Header"/>
      <w:jc w:val="right"/>
      <w:rPr>
        <w:rFonts w:asciiTheme="minorHAnsi" w:hAnsiTheme="minorHAnsi"/>
        <w:i/>
        <w:sz w:val="22"/>
        <w:szCs w:val="22"/>
      </w:rPr>
    </w:pPr>
    <w:r>
      <w:rPr>
        <w:rFonts w:asciiTheme="minorHAnsi" w:hAnsiTheme="minorHAnsi"/>
        <w:i/>
        <w:sz w:val="22"/>
        <w:szCs w:val="22"/>
      </w:rPr>
      <w:t>v</w:t>
    </w:r>
    <w:r w:rsidR="00B853D3">
      <w:rPr>
        <w:rFonts w:asciiTheme="minorHAnsi" w:hAnsiTheme="minorHAnsi"/>
        <w:i/>
        <w:sz w:val="22"/>
        <w:szCs w:val="22"/>
      </w:rPr>
      <w:t>4</w:t>
    </w:r>
  </w:p>
  <w:p w14:paraId="5F8AB776" w14:textId="77777777" w:rsidR="00FF76D1" w:rsidRDefault="00FF76D1" w:rsidP="00833386">
    <w:pPr>
      <w:pStyle w:val="Header"/>
      <w:jc w:val="right"/>
      <w:rPr>
        <w:rFonts w:asciiTheme="minorHAnsi" w:hAnsiTheme="minorHAnsi"/>
        <w:i/>
        <w:sz w:val="22"/>
        <w:szCs w:val="22"/>
      </w:rPr>
    </w:pPr>
    <w:r w:rsidRPr="00FF76D1">
      <w:rPr>
        <w:rFonts w:asciiTheme="minorHAnsi" w:hAnsiTheme="minorHAnsi"/>
        <w:i/>
        <w:sz w:val="22"/>
        <w:szCs w:val="22"/>
      </w:rPr>
      <w:t>April 23, 2015</w:t>
    </w:r>
  </w:p>
  <w:p w14:paraId="67AD1158" w14:textId="77777777" w:rsidR="00AA7C27" w:rsidRPr="00FF76D1" w:rsidRDefault="00AA7C27" w:rsidP="00833386">
    <w:pPr>
      <w:pStyle w:val="Header"/>
      <w:jc w:val="right"/>
      <w:rPr>
        <w:rFonts w:asciiTheme="minorHAnsi" w:hAnsiTheme="minorHAnsi"/>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9827E0"/>
    <w:multiLevelType w:val="hybridMultilevel"/>
    <w:tmpl w:val="E958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9B0E58"/>
    <w:multiLevelType w:val="hybridMultilevel"/>
    <w:tmpl w:val="8DB03202"/>
    <w:lvl w:ilvl="0" w:tplc="207488A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5A6F8D"/>
    <w:multiLevelType w:val="hybridMultilevel"/>
    <w:tmpl w:val="168A1510"/>
    <w:lvl w:ilvl="0" w:tplc="CE32E524">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59"/>
    <w:rsid w:val="00004849"/>
    <w:rsid w:val="00011DE5"/>
    <w:rsid w:val="000464DD"/>
    <w:rsid w:val="00064C46"/>
    <w:rsid w:val="000726B2"/>
    <w:rsid w:val="000824C0"/>
    <w:rsid w:val="000A0C42"/>
    <w:rsid w:val="000A288E"/>
    <w:rsid w:val="000B186C"/>
    <w:rsid w:val="000C10A7"/>
    <w:rsid w:val="000D4926"/>
    <w:rsid w:val="000F1572"/>
    <w:rsid w:val="00116C71"/>
    <w:rsid w:val="001307F4"/>
    <w:rsid w:val="00150182"/>
    <w:rsid w:val="001562F9"/>
    <w:rsid w:val="00165259"/>
    <w:rsid w:val="00175405"/>
    <w:rsid w:val="001767D8"/>
    <w:rsid w:val="00180FE4"/>
    <w:rsid w:val="00182E97"/>
    <w:rsid w:val="001A271F"/>
    <w:rsid w:val="001B5F2B"/>
    <w:rsid w:val="001D1B69"/>
    <w:rsid w:val="001E0C92"/>
    <w:rsid w:val="001F0FC1"/>
    <w:rsid w:val="00206666"/>
    <w:rsid w:val="002102A2"/>
    <w:rsid w:val="00215037"/>
    <w:rsid w:val="002218D7"/>
    <w:rsid w:val="00236FEA"/>
    <w:rsid w:val="00253E3A"/>
    <w:rsid w:val="002544E3"/>
    <w:rsid w:val="00265E39"/>
    <w:rsid w:val="0027241C"/>
    <w:rsid w:val="002728CD"/>
    <w:rsid w:val="00282006"/>
    <w:rsid w:val="002B6560"/>
    <w:rsid w:val="003236CD"/>
    <w:rsid w:val="00376498"/>
    <w:rsid w:val="00394146"/>
    <w:rsid w:val="0039674B"/>
    <w:rsid w:val="003B24DF"/>
    <w:rsid w:val="003C34F5"/>
    <w:rsid w:val="003C4D81"/>
    <w:rsid w:val="003C5F60"/>
    <w:rsid w:val="003D468D"/>
    <w:rsid w:val="003D603F"/>
    <w:rsid w:val="003E0F3A"/>
    <w:rsid w:val="003E144B"/>
    <w:rsid w:val="003F6863"/>
    <w:rsid w:val="003F7228"/>
    <w:rsid w:val="00401433"/>
    <w:rsid w:val="00402328"/>
    <w:rsid w:val="00406996"/>
    <w:rsid w:val="00406AD3"/>
    <w:rsid w:val="00414EEE"/>
    <w:rsid w:val="004425F0"/>
    <w:rsid w:val="00457E85"/>
    <w:rsid w:val="004645F4"/>
    <w:rsid w:val="004648CF"/>
    <w:rsid w:val="00470E26"/>
    <w:rsid w:val="00474367"/>
    <w:rsid w:val="00484085"/>
    <w:rsid w:val="00495393"/>
    <w:rsid w:val="00495DA0"/>
    <w:rsid w:val="00497797"/>
    <w:rsid w:val="004A0973"/>
    <w:rsid w:val="004B2374"/>
    <w:rsid w:val="004C753F"/>
    <w:rsid w:val="004D1682"/>
    <w:rsid w:val="004D3B5E"/>
    <w:rsid w:val="004E5436"/>
    <w:rsid w:val="004E78F1"/>
    <w:rsid w:val="00517131"/>
    <w:rsid w:val="005250E5"/>
    <w:rsid w:val="00532CA9"/>
    <w:rsid w:val="005546DE"/>
    <w:rsid w:val="005715D5"/>
    <w:rsid w:val="00571D21"/>
    <w:rsid w:val="005725B6"/>
    <w:rsid w:val="00581E2E"/>
    <w:rsid w:val="00587F10"/>
    <w:rsid w:val="0059290A"/>
    <w:rsid w:val="0059544C"/>
    <w:rsid w:val="005A20FE"/>
    <w:rsid w:val="005D2410"/>
    <w:rsid w:val="005E6418"/>
    <w:rsid w:val="006051D1"/>
    <w:rsid w:val="00614C77"/>
    <w:rsid w:val="0062269C"/>
    <w:rsid w:val="00622761"/>
    <w:rsid w:val="00657CBC"/>
    <w:rsid w:val="00666312"/>
    <w:rsid w:val="00677A3D"/>
    <w:rsid w:val="006B3505"/>
    <w:rsid w:val="006D271B"/>
    <w:rsid w:val="006D620C"/>
    <w:rsid w:val="006D636C"/>
    <w:rsid w:val="006E1152"/>
    <w:rsid w:val="006E2338"/>
    <w:rsid w:val="006F3135"/>
    <w:rsid w:val="006F63DD"/>
    <w:rsid w:val="007053D6"/>
    <w:rsid w:val="00725F92"/>
    <w:rsid w:val="0073603A"/>
    <w:rsid w:val="00743472"/>
    <w:rsid w:val="00746398"/>
    <w:rsid w:val="00750CF2"/>
    <w:rsid w:val="00783415"/>
    <w:rsid w:val="00787D92"/>
    <w:rsid w:val="007906AE"/>
    <w:rsid w:val="00797DED"/>
    <w:rsid w:val="007A7A1B"/>
    <w:rsid w:val="007D5BE6"/>
    <w:rsid w:val="007E40C4"/>
    <w:rsid w:val="007E5E98"/>
    <w:rsid w:val="007F17AF"/>
    <w:rsid w:val="00833386"/>
    <w:rsid w:val="00834FE9"/>
    <w:rsid w:val="00844E56"/>
    <w:rsid w:val="008626A5"/>
    <w:rsid w:val="008675D5"/>
    <w:rsid w:val="00885F7E"/>
    <w:rsid w:val="00891AD3"/>
    <w:rsid w:val="00895DF8"/>
    <w:rsid w:val="008A0422"/>
    <w:rsid w:val="008A1D63"/>
    <w:rsid w:val="008A22EE"/>
    <w:rsid w:val="008A2BB9"/>
    <w:rsid w:val="008A6DBB"/>
    <w:rsid w:val="008B4D02"/>
    <w:rsid w:val="008E2A4F"/>
    <w:rsid w:val="008F7CBA"/>
    <w:rsid w:val="009005E8"/>
    <w:rsid w:val="00901E3D"/>
    <w:rsid w:val="009025E9"/>
    <w:rsid w:val="00902CB6"/>
    <w:rsid w:val="00944022"/>
    <w:rsid w:val="00970E52"/>
    <w:rsid w:val="00972D10"/>
    <w:rsid w:val="00982B07"/>
    <w:rsid w:val="00990D71"/>
    <w:rsid w:val="00990E84"/>
    <w:rsid w:val="00991765"/>
    <w:rsid w:val="009B45B9"/>
    <w:rsid w:val="009B523C"/>
    <w:rsid w:val="009C592E"/>
    <w:rsid w:val="009D5292"/>
    <w:rsid w:val="009E6745"/>
    <w:rsid w:val="00A072C7"/>
    <w:rsid w:val="00A076A1"/>
    <w:rsid w:val="00A1716E"/>
    <w:rsid w:val="00A232F3"/>
    <w:rsid w:val="00A2428A"/>
    <w:rsid w:val="00A27916"/>
    <w:rsid w:val="00A62294"/>
    <w:rsid w:val="00A80ACA"/>
    <w:rsid w:val="00A81F3C"/>
    <w:rsid w:val="00A9106E"/>
    <w:rsid w:val="00A9175E"/>
    <w:rsid w:val="00A91D57"/>
    <w:rsid w:val="00A93051"/>
    <w:rsid w:val="00AA7C27"/>
    <w:rsid w:val="00AB211F"/>
    <w:rsid w:val="00AD0A75"/>
    <w:rsid w:val="00AD61FC"/>
    <w:rsid w:val="00AE27CC"/>
    <w:rsid w:val="00B23488"/>
    <w:rsid w:val="00B34035"/>
    <w:rsid w:val="00B505D4"/>
    <w:rsid w:val="00B525F6"/>
    <w:rsid w:val="00B55735"/>
    <w:rsid w:val="00B72CA8"/>
    <w:rsid w:val="00B83E75"/>
    <w:rsid w:val="00B853D3"/>
    <w:rsid w:val="00B946F9"/>
    <w:rsid w:val="00BB1B16"/>
    <w:rsid w:val="00BB690B"/>
    <w:rsid w:val="00BC49DE"/>
    <w:rsid w:val="00BE7FC7"/>
    <w:rsid w:val="00BF6E66"/>
    <w:rsid w:val="00C0105F"/>
    <w:rsid w:val="00C0709A"/>
    <w:rsid w:val="00C11D58"/>
    <w:rsid w:val="00C16795"/>
    <w:rsid w:val="00C22217"/>
    <w:rsid w:val="00C333DD"/>
    <w:rsid w:val="00C42DBC"/>
    <w:rsid w:val="00C475E8"/>
    <w:rsid w:val="00C54930"/>
    <w:rsid w:val="00C63483"/>
    <w:rsid w:val="00C639D8"/>
    <w:rsid w:val="00C675D7"/>
    <w:rsid w:val="00C7147A"/>
    <w:rsid w:val="00CA1EE7"/>
    <w:rsid w:val="00CB675C"/>
    <w:rsid w:val="00CC2607"/>
    <w:rsid w:val="00CC524E"/>
    <w:rsid w:val="00CC537B"/>
    <w:rsid w:val="00CD5A39"/>
    <w:rsid w:val="00CF1148"/>
    <w:rsid w:val="00CF362D"/>
    <w:rsid w:val="00CF6BF7"/>
    <w:rsid w:val="00D148FC"/>
    <w:rsid w:val="00D23732"/>
    <w:rsid w:val="00D76BA8"/>
    <w:rsid w:val="00D90E46"/>
    <w:rsid w:val="00D93F55"/>
    <w:rsid w:val="00DA028B"/>
    <w:rsid w:val="00DA1F00"/>
    <w:rsid w:val="00DA3848"/>
    <w:rsid w:val="00DA71AC"/>
    <w:rsid w:val="00DB084D"/>
    <w:rsid w:val="00DB3443"/>
    <w:rsid w:val="00DB65AE"/>
    <w:rsid w:val="00DC57CC"/>
    <w:rsid w:val="00DD6DA7"/>
    <w:rsid w:val="00DE1B75"/>
    <w:rsid w:val="00DF3186"/>
    <w:rsid w:val="00DF77FC"/>
    <w:rsid w:val="00E01697"/>
    <w:rsid w:val="00E0487D"/>
    <w:rsid w:val="00E20EF7"/>
    <w:rsid w:val="00E2323F"/>
    <w:rsid w:val="00E64170"/>
    <w:rsid w:val="00E65FE3"/>
    <w:rsid w:val="00E87ACD"/>
    <w:rsid w:val="00E932D2"/>
    <w:rsid w:val="00E9628D"/>
    <w:rsid w:val="00E97F12"/>
    <w:rsid w:val="00EC1A90"/>
    <w:rsid w:val="00EE07F8"/>
    <w:rsid w:val="00EE18D9"/>
    <w:rsid w:val="00F2599B"/>
    <w:rsid w:val="00F27E21"/>
    <w:rsid w:val="00F30B9F"/>
    <w:rsid w:val="00F34087"/>
    <w:rsid w:val="00F3419F"/>
    <w:rsid w:val="00F37582"/>
    <w:rsid w:val="00F5364D"/>
    <w:rsid w:val="00F7222C"/>
    <w:rsid w:val="00F72501"/>
    <w:rsid w:val="00F86A93"/>
    <w:rsid w:val="00F92F0E"/>
    <w:rsid w:val="00FA06CB"/>
    <w:rsid w:val="00FA1C90"/>
    <w:rsid w:val="00FA3285"/>
    <w:rsid w:val="00FB7F99"/>
    <w:rsid w:val="00FC3371"/>
    <w:rsid w:val="00FD4B9C"/>
    <w:rsid w:val="00FF6967"/>
    <w:rsid w:val="00FF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339D"/>
  <w15:docId w15:val="{AFD129C1-28C4-49F3-A0FB-038834F6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25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6863"/>
    <w:rPr>
      <w:sz w:val="16"/>
      <w:szCs w:val="16"/>
    </w:rPr>
  </w:style>
  <w:style w:type="paragraph" w:styleId="CommentText">
    <w:name w:val="annotation text"/>
    <w:basedOn w:val="Normal"/>
    <w:link w:val="CommentTextChar"/>
    <w:uiPriority w:val="99"/>
    <w:semiHidden/>
    <w:unhideWhenUsed/>
    <w:rsid w:val="003F6863"/>
    <w:rPr>
      <w:sz w:val="20"/>
      <w:szCs w:val="20"/>
    </w:rPr>
  </w:style>
  <w:style w:type="character" w:customStyle="1" w:styleId="CommentTextChar">
    <w:name w:val="Comment Text Char"/>
    <w:basedOn w:val="DefaultParagraphFont"/>
    <w:link w:val="CommentText"/>
    <w:uiPriority w:val="99"/>
    <w:semiHidden/>
    <w:rsid w:val="003F686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F6863"/>
    <w:rPr>
      <w:rFonts w:ascii="Tahoma" w:hAnsi="Tahoma" w:cs="Tahoma"/>
      <w:sz w:val="16"/>
      <w:szCs w:val="16"/>
    </w:rPr>
  </w:style>
  <w:style w:type="character" w:customStyle="1" w:styleId="BalloonTextChar">
    <w:name w:val="Balloon Text Char"/>
    <w:basedOn w:val="DefaultParagraphFont"/>
    <w:link w:val="BalloonText"/>
    <w:uiPriority w:val="99"/>
    <w:semiHidden/>
    <w:rsid w:val="003F6863"/>
    <w:rPr>
      <w:rFonts w:ascii="Tahoma" w:hAnsi="Tahoma" w:cs="Tahoma"/>
      <w:sz w:val="16"/>
      <w:szCs w:val="16"/>
    </w:rPr>
  </w:style>
  <w:style w:type="paragraph" w:styleId="ListParagraph">
    <w:name w:val="List Paragraph"/>
    <w:basedOn w:val="Normal"/>
    <w:uiPriority w:val="34"/>
    <w:qFormat/>
    <w:rsid w:val="00990E84"/>
    <w:pPr>
      <w:ind w:left="720"/>
      <w:contextualSpacing/>
    </w:pPr>
  </w:style>
  <w:style w:type="paragraph" w:styleId="PlainText">
    <w:name w:val="Plain Text"/>
    <w:basedOn w:val="Normal"/>
    <w:link w:val="PlainTextChar"/>
    <w:uiPriority w:val="99"/>
    <w:semiHidden/>
    <w:unhideWhenUsed/>
    <w:rsid w:val="00D93F55"/>
    <w:rPr>
      <w:rFonts w:ascii="Calibri" w:hAnsi="Calibri" w:cstheme="minorBidi"/>
      <w:sz w:val="22"/>
      <w:szCs w:val="21"/>
    </w:rPr>
  </w:style>
  <w:style w:type="character" w:customStyle="1" w:styleId="PlainTextChar">
    <w:name w:val="Plain Text Char"/>
    <w:basedOn w:val="DefaultParagraphFont"/>
    <w:link w:val="PlainText"/>
    <w:uiPriority w:val="99"/>
    <w:semiHidden/>
    <w:rsid w:val="00D93F55"/>
    <w:rPr>
      <w:rFonts w:ascii="Calibri" w:hAnsi="Calibri"/>
      <w:szCs w:val="21"/>
    </w:rPr>
  </w:style>
  <w:style w:type="paragraph" w:styleId="CommentSubject">
    <w:name w:val="annotation subject"/>
    <w:basedOn w:val="CommentText"/>
    <w:next w:val="CommentText"/>
    <w:link w:val="CommentSubjectChar"/>
    <w:uiPriority w:val="99"/>
    <w:semiHidden/>
    <w:unhideWhenUsed/>
    <w:rsid w:val="00E0487D"/>
    <w:rPr>
      <w:b/>
      <w:bCs/>
    </w:rPr>
  </w:style>
  <w:style w:type="character" w:customStyle="1" w:styleId="CommentSubjectChar">
    <w:name w:val="Comment Subject Char"/>
    <w:basedOn w:val="CommentTextChar"/>
    <w:link w:val="CommentSubject"/>
    <w:uiPriority w:val="99"/>
    <w:semiHidden/>
    <w:rsid w:val="00E0487D"/>
    <w:rPr>
      <w:rFonts w:ascii="Times New Roman" w:hAnsi="Times New Roman" w:cs="Times New Roman"/>
      <w:b/>
      <w:bCs/>
      <w:sz w:val="20"/>
      <w:szCs w:val="20"/>
    </w:rPr>
  </w:style>
  <w:style w:type="character" w:styleId="Hyperlink">
    <w:name w:val="Hyperlink"/>
    <w:basedOn w:val="DefaultParagraphFont"/>
    <w:uiPriority w:val="99"/>
    <w:unhideWhenUsed/>
    <w:rsid w:val="00D23732"/>
    <w:rPr>
      <w:color w:val="0000FF"/>
      <w:u w:val="single"/>
    </w:rPr>
  </w:style>
  <w:style w:type="paragraph" w:customStyle="1" w:styleId="Default">
    <w:name w:val="Default"/>
    <w:rsid w:val="001D1B69"/>
    <w:pPr>
      <w:autoSpaceDE w:val="0"/>
      <w:autoSpaceDN w:val="0"/>
      <w:adjustRightInd w:val="0"/>
      <w:spacing w:after="0" w:line="240" w:lineRule="auto"/>
    </w:pPr>
    <w:rPr>
      <w:rFonts w:ascii="CNEBJ A+ Times" w:hAnsi="CNEBJ A+ Times" w:cs="CNEBJ A+ Times"/>
      <w:color w:val="000000"/>
      <w:sz w:val="24"/>
      <w:szCs w:val="24"/>
    </w:rPr>
  </w:style>
  <w:style w:type="character" w:styleId="FollowedHyperlink">
    <w:name w:val="FollowedHyperlink"/>
    <w:basedOn w:val="DefaultParagraphFont"/>
    <w:uiPriority w:val="99"/>
    <w:semiHidden/>
    <w:unhideWhenUsed/>
    <w:rsid w:val="00116C71"/>
    <w:rPr>
      <w:color w:val="800080" w:themeColor="followedHyperlink"/>
      <w:u w:val="single"/>
    </w:rPr>
  </w:style>
  <w:style w:type="paragraph" w:styleId="Header">
    <w:name w:val="header"/>
    <w:basedOn w:val="Normal"/>
    <w:link w:val="HeaderChar"/>
    <w:uiPriority w:val="99"/>
    <w:unhideWhenUsed/>
    <w:rsid w:val="00FF76D1"/>
    <w:pPr>
      <w:tabs>
        <w:tab w:val="center" w:pos="4680"/>
        <w:tab w:val="right" w:pos="9360"/>
      </w:tabs>
    </w:pPr>
  </w:style>
  <w:style w:type="character" w:customStyle="1" w:styleId="HeaderChar">
    <w:name w:val="Header Char"/>
    <w:basedOn w:val="DefaultParagraphFont"/>
    <w:link w:val="Header"/>
    <w:uiPriority w:val="99"/>
    <w:rsid w:val="00FF76D1"/>
    <w:rPr>
      <w:rFonts w:ascii="Times New Roman" w:hAnsi="Times New Roman" w:cs="Times New Roman"/>
      <w:sz w:val="24"/>
      <w:szCs w:val="24"/>
    </w:rPr>
  </w:style>
  <w:style w:type="paragraph" w:styleId="Footer">
    <w:name w:val="footer"/>
    <w:basedOn w:val="Normal"/>
    <w:link w:val="FooterChar"/>
    <w:uiPriority w:val="99"/>
    <w:unhideWhenUsed/>
    <w:rsid w:val="00FF76D1"/>
    <w:pPr>
      <w:tabs>
        <w:tab w:val="center" w:pos="4680"/>
        <w:tab w:val="right" w:pos="9360"/>
      </w:tabs>
    </w:pPr>
  </w:style>
  <w:style w:type="character" w:customStyle="1" w:styleId="FooterChar">
    <w:name w:val="Footer Char"/>
    <w:basedOn w:val="DefaultParagraphFont"/>
    <w:link w:val="Footer"/>
    <w:uiPriority w:val="99"/>
    <w:rsid w:val="00FF76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317113">
      <w:bodyDiv w:val="1"/>
      <w:marLeft w:val="0"/>
      <w:marRight w:val="0"/>
      <w:marTop w:val="0"/>
      <w:marBottom w:val="0"/>
      <w:divBdr>
        <w:top w:val="none" w:sz="0" w:space="0" w:color="auto"/>
        <w:left w:val="none" w:sz="0" w:space="0" w:color="auto"/>
        <w:bottom w:val="none" w:sz="0" w:space="0" w:color="auto"/>
        <w:right w:val="none" w:sz="0" w:space="0" w:color="auto"/>
      </w:divBdr>
    </w:div>
    <w:div w:id="1103379291">
      <w:bodyDiv w:val="1"/>
      <w:marLeft w:val="0"/>
      <w:marRight w:val="0"/>
      <w:marTop w:val="0"/>
      <w:marBottom w:val="0"/>
      <w:divBdr>
        <w:top w:val="none" w:sz="0" w:space="0" w:color="auto"/>
        <w:left w:val="none" w:sz="0" w:space="0" w:color="auto"/>
        <w:bottom w:val="none" w:sz="0" w:space="0" w:color="auto"/>
        <w:right w:val="none" w:sz="0" w:space="0" w:color="auto"/>
      </w:divBdr>
    </w:div>
    <w:div w:id="1553691346">
      <w:bodyDiv w:val="1"/>
      <w:marLeft w:val="0"/>
      <w:marRight w:val="0"/>
      <w:marTop w:val="0"/>
      <w:marBottom w:val="0"/>
      <w:divBdr>
        <w:top w:val="none" w:sz="0" w:space="0" w:color="auto"/>
        <w:left w:val="none" w:sz="0" w:space="0" w:color="auto"/>
        <w:bottom w:val="none" w:sz="0" w:space="0" w:color="auto"/>
        <w:right w:val="none" w:sz="0" w:space="0" w:color="auto"/>
      </w:divBdr>
    </w:div>
    <w:div w:id="175801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F4731-B288-4C85-81D7-CE0317FC4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 Joestl</dc:creator>
  <cp:lastModifiedBy>Joestl, Sarah S. (CDC/OPHSS/NCHS)</cp:lastModifiedBy>
  <cp:revision>4</cp:revision>
  <dcterms:created xsi:type="dcterms:W3CDTF">2015-04-23T21:57:00Z</dcterms:created>
  <dcterms:modified xsi:type="dcterms:W3CDTF">2015-04-23T21:58:00Z</dcterms:modified>
</cp:coreProperties>
</file>