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589EF9" w14:textId="77777777" w:rsidR="00BB7754" w:rsidRPr="00B03E67" w:rsidRDefault="00BB7754" w:rsidP="00B03E67">
      <w:pPr>
        <w:spacing w:line="276" w:lineRule="auto"/>
        <w:rPr>
          <w:smallCaps/>
          <w:sz w:val="24"/>
          <w:szCs w:val="24"/>
        </w:rPr>
      </w:pPr>
      <w:r w:rsidRPr="00B03E67">
        <w:rPr>
          <w:b/>
          <w:bCs/>
          <w:smallCaps/>
          <w:sz w:val="24"/>
          <w:szCs w:val="24"/>
        </w:rPr>
        <w:t>to:</w:t>
      </w:r>
      <w:r w:rsidRPr="00B03E67">
        <w:rPr>
          <w:smallCaps/>
          <w:sz w:val="24"/>
          <w:szCs w:val="24"/>
        </w:rPr>
        <w:tab/>
      </w:r>
      <w:r w:rsidRPr="00B03E67">
        <w:rPr>
          <w:smallCaps/>
          <w:sz w:val="24"/>
          <w:szCs w:val="24"/>
        </w:rPr>
        <w:tab/>
        <w:t xml:space="preserve">Jerry Lee, Jim </w:t>
      </w:r>
      <w:proofErr w:type="gramStart"/>
      <w:r w:rsidRPr="00B03E67">
        <w:rPr>
          <w:smallCaps/>
          <w:sz w:val="24"/>
          <w:szCs w:val="24"/>
        </w:rPr>
        <w:t>Corrigan ,</w:t>
      </w:r>
      <w:proofErr w:type="gramEnd"/>
      <w:r w:rsidRPr="00B03E67">
        <w:rPr>
          <w:smallCaps/>
          <w:sz w:val="24"/>
          <w:szCs w:val="24"/>
        </w:rPr>
        <w:t xml:space="preserve"> NCI</w:t>
      </w:r>
    </w:p>
    <w:p w14:paraId="19D7806A" w14:textId="77777777" w:rsidR="00BB7754" w:rsidRPr="00B03E67" w:rsidRDefault="00BB7754" w:rsidP="00B03E67">
      <w:pPr>
        <w:spacing w:line="276" w:lineRule="auto"/>
        <w:rPr>
          <w:smallCaps/>
          <w:sz w:val="24"/>
          <w:szCs w:val="24"/>
        </w:rPr>
      </w:pPr>
      <w:r w:rsidRPr="00B03E67">
        <w:rPr>
          <w:b/>
          <w:bCs/>
          <w:smallCaps/>
          <w:sz w:val="24"/>
          <w:szCs w:val="24"/>
        </w:rPr>
        <w:t>From:</w:t>
      </w:r>
      <w:r w:rsidRPr="00B03E67">
        <w:rPr>
          <w:b/>
          <w:bCs/>
          <w:smallCaps/>
          <w:sz w:val="24"/>
          <w:szCs w:val="24"/>
        </w:rPr>
        <w:tab/>
      </w:r>
      <w:r w:rsidRPr="00B03E67">
        <w:rPr>
          <w:smallCaps/>
          <w:sz w:val="24"/>
          <w:szCs w:val="24"/>
        </w:rPr>
        <w:tab/>
        <w:t>Brian Zuckerman, STPI</w:t>
      </w:r>
    </w:p>
    <w:p w14:paraId="7B6620B2" w14:textId="77777777" w:rsidR="00BB7754" w:rsidRPr="00B03E67" w:rsidRDefault="00BB7754" w:rsidP="00B03E67">
      <w:pPr>
        <w:spacing w:line="276" w:lineRule="auto"/>
        <w:rPr>
          <w:smallCaps/>
          <w:sz w:val="24"/>
          <w:szCs w:val="24"/>
        </w:rPr>
      </w:pPr>
      <w:r w:rsidRPr="00B03E67">
        <w:rPr>
          <w:smallCaps/>
          <w:sz w:val="24"/>
          <w:szCs w:val="24"/>
        </w:rPr>
        <w:t xml:space="preserve">CC: </w:t>
      </w:r>
      <w:r w:rsidRPr="00B03E67">
        <w:rPr>
          <w:smallCaps/>
          <w:sz w:val="24"/>
          <w:szCs w:val="24"/>
        </w:rPr>
        <w:tab/>
      </w:r>
      <w:r w:rsidRPr="00B03E67">
        <w:rPr>
          <w:smallCaps/>
          <w:sz w:val="24"/>
          <w:szCs w:val="24"/>
        </w:rPr>
        <w:tab/>
        <w:t xml:space="preserve">Christina Viola </w:t>
      </w:r>
      <w:proofErr w:type="spellStart"/>
      <w:r w:rsidRPr="00B03E67">
        <w:rPr>
          <w:smallCaps/>
          <w:sz w:val="24"/>
          <w:szCs w:val="24"/>
        </w:rPr>
        <w:t>Srivastava</w:t>
      </w:r>
      <w:proofErr w:type="spellEnd"/>
      <w:r w:rsidRPr="00B03E67">
        <w:rPr>
          <w:smallCaps/>
          <w:sz w:val="24"/>
          <w:szCs w:val="24"/>
        </w:rPr>
        <w:t>, Mary Beth Hughes</w:t>
      </w:r>
    </w:p>
    <w:p w14:paraId="180143BA" w14:textId="77777777" w:rsidR="00BB7754" w:rsidRPr="00B03E67" w:rsidRDefault="00BB7754" w:rsidP="00B03E67">
      <w:pPr>
        <w:spacing w:line="276" w:lineRule="auto"/>
        <w:ind w:left="1440" w:hanging="1440"/>
        <w:rPr>
          <w:smallCaps/>
          <w:sz w:val="24"/>
          <w:szCs w:val="24"/>
        </w:rPr>
      </w:pPr>
      <w:r w:rsidRPr="00B03E67">
        <w:rPr>
          <w:b/>
          <w:bCs/>
          <w:smallCaps/>
          <w:sz w:val="24"/>
          <w:szCs w:val="24"/>
        </w:rPr>
        <w:t>Subject:</w:t>
      </w:r>
      <w:r w:rsidRPr="00B03E67">
        <w:rPr>
          <w:b/>
          <w:bCs/>
          <w:smallCaps/>
          <w:sz w:val="24"/>
          <w:szCs w:val="24"/>
        </w:rPr>
        <w:tab/>
      </w:r>
      <w:r w:rsidRPr="00B03E67">
        <w:rPr>
          <w:smallCaps/>
          <w:sz w:val="24"/>
          <w:szCs w:val="24"/>
        </w:rPr>
        <w:t>Draft Plan for an Outcome Evaluation of the NCI’s Physical Science in Oncology Centers (PS-OC) Program</w:t>
      </w:r>
    </w:p>
    <w:p w14:paraId="0390022D" w14:textId="77777777" w:rsidR="00BB7754" w:rsidRPr="00B03E67" w:rsidRDefault="00BB7754" w:rsidP="00B03E67">
      <w:pPr>
        <w:pBdr>
          <w:bottom w:val="single" w:sz="6" w:space="1" w:color="auto"/>
        </w:pBdr>
        <w:spacing w:line="276" w:lineRule="auto"/>
        <w:rPr>
          <w:smallCaps/>
          <w:sz w:val="24"/>
          <w:szCs w:val="24"/>
        </w:rPr>
      </w:pPr>
      <w:r w:rsidRPr="00B03E67">
        <w:rPr>
          <w:b/>
          <w:bCs/>
          <w:smallCaps/>
          <w:sz w:val="24"/>
          <w:szCs w:val="24"/>
        </w:rPr>
        <w:t>Date:</w:t>
      </w:r>
      <w:r w:rsidRPr="00B03E67">
        <w:rPr>
          <w:b/>
          <w:bCs/>
          <w:smallCaps/>
          <w:sz w:val="24"/>
          <w:szCs w:val="24"/>
        </w:rPr>
        <w:tab/>
      </w:r>
      <w:r w:rsidRPr="00B03E67">
        <w:rPr>
          <w:smallCaps/>
          <w:sz w:val="24"/>
          <w:szCs w:val="24"/>
        </w:rPr>
        <w:tab/>
      </w:r>
      <w:r>
        <w:rPr>
          <w:smallCaps/>
          <w:sz w:val="24"/>
          <w:szCs w:val="24"/>
        </w:rPr>
        <w:t xml:space="preserve">March </w:t>
      </w:r>
      <w:r w:rsidR="00936772">
        <w:rPr>
          <w:smallCaps/>
          <w:sz w:val="24"/>
          <w:szCs w:val="24"/>
        </w:rPr>
        <w:t>4</w:t>
      </w:r>
      <w:r>
        <w:rPr>
          <w:smallCaps/>
          <w:sz w:val="24"/>
          <w:szCs w:val="24"/>
        </w:rPr>
        <w:t>, 2010</w:t>
      </w:r>
    </w:p>
    <w:p w14:paraId="46B03663" w14:textId="77777777" w:rsidR="00BB7754" w:rsidRDefault="00BB7754" w:rsidP="00364252">
      <w:pPr>
        <w:jc w:val="center"/>
        <w:rPr>
          <w:b/>
          <w:bCs/>
        </w:rPr>
      </w:pPr>
    </w:p>
    <w:p w14:paraId="71235D16" w14:textId="77777777" w:rsidR="00BB7754" w:rsidRDefault="00BB7754" w:rsidP="000F4E85">
      <w:pPr>
        <w:spacing w:after="240" w:line="276" w:lineRule="auto"/>
      </w:pPr>
      <w:r w:rsidRPr="00FA66B1">
        <w:t xml:space="preserve">The National Cancer Institute (NCI) of the National Institutes of Health (NIH) recently launched </w:t>
      </w:r>
      <w:r>
        <w:t>the Physical Sciences in Oncology</w:t>
      </w:r>
      <w:r w:rsidRPr="00FA66B1">
        <w:t xml:space="preserve"> </w:t>
      </w:r>
      <w:r>
        <w:t>C</w:t>
      </w:r>
      <w:r w:rsidRPr="00FA66B1">
        <w:t xml:space="preserve">enters </w:t>
      </w:r>
      <w:r>
        <w:t xml:space="preserve">(PS-OC), a </w:t>
      </w:r>
      <w:r w:rsidRPr="00FA66B1">
        <w:t xml:space="preserve">program aimed at bridging the gap between the physical sciences and oncology/cancer biology. </w:t>
      </w:r>
      <w:r>
        <w:t>The Science and Technology Policy Institute (STPI) has been tasked with proposing an evaluation plan for the Centers that will meet the needs of the NCI Executive Committee at Program Year 5 while informing ongoing program management. In preparation for the design task, STPI engaged in the following activities:</w:t>
      </w:r>
    </w:p>
    <w:p w14:paraId="74B70F1F" w14:textId="77777777" w:rsidR="008317C5" w:rsidRDefault="008317C5" w:rsidP="008E40D6">
      <w:pPr>
        <w:numPr>
          <w:ilvl w:val="0"/>
          <w:numId w:val="10"/>
        </w:numPr>
        <w:spacing w:line="276" w:lineRule="auto"/>
      </w:pPr>
      <w:r>
        <w:t xml:space="preserve">Discussions with PS-OC </w:t>
      </w:r>
      <w:r w:rsidR="00A5131D">
        <w:t>p</w:t>
      </w:r>
      <w:r>
        <w:t xml:space="preserve">rogram </w:t>
      </w:r>
      <w:r w:rsidR="00A5131D">
        <w:t>s</w:t>
      </w:r>
      <w:r>
        <w:t>taff</w:t>
      </w:r>
      <w:r w:rsidR="00A5131D">
        <w:t xml:space="preserve"> members</w:t>
      </w:r>
      <w:r>
        <w:t>;</w:t>
      </w:r>
    </w:p>
    <w:p w14:paraId="2DCC1B76" w14:textId="77777777" w:rsidR="00BB7754" w:rsidRDefault="00BB7754" w:rsidP="008E40D6">
      <w:pPr>
        <w:numPr>
          <w:ilvl w:val="0"/>
          <w:numId w:val="10"/>
        </w:numPr>
        <w:spacing w:line="276" w:lineRule="auto"/>
      </w:pPr>
      <w:r>
        <w:t xml:space="preserve">Review of available program </w:t>
      </w:r>
      <w:r w:rsidRPr="00D108CF">
        <w:t xml:space="preserve">documents including the pre-announcement workshop materials, RFA, </w:t>
      </w:r>
      <w:r>
        <w:t xml:space="preserve">summary statements, </w:t>
      </w:r>
      <w:r w:rsidRPr="00D108CF">
        <w:t>applications</w:t>
      </w:r>
      <w:r w:rsidR="00A74B79">
        <w:t xml:space="preserve">, and selected progress reports </w:t>
      </w:r>
      <w:r w:rsidRPr="00D108CF">
        <w:t xml:space="preserve">from the newly awarded centers; </w:t>
      </w:r>
    </w:p>
    <w:p w14:paraId="0A4659CF" w14:textId="77777777" w:rsidR="00BB7754" w:rsidRDefault="00BB7754" w:rsidP="008E40D6">
      <w:pPr>
        <w:numPr>
          <w:ilvl w:val="0"/>
          <w:numId w:val="10"/>
        </w:numPr>
        <w:spacing w:line="276" w:lineRule="auto"/>
      </w:pPr>
      <w:r>
        <w:t xml:space="preserve">Interviews </w:t>
      </w:r>
      <w:r w:rsidRPr="00D108CF">
        <w:t xml:space="preserve">with </w:t>
      </w:r>
      <w:r w:rsidR="003A1F15">
        <w:t>five</w:t>
      </w:r>
      <w:r w:rsidRPr="00D108CF">
        <w:t xml:space="preserve"> </w:t>
      </w:r>
      <w:r>
        <w:t>researcher</w:t>
      </w:r>
      <w:r w:rsidRPr="00D108CF">
        <w:t xml:space="preserve">s </w:t>
      </w:r>
      <w:r>
        <w:t xml:space="preserve">who are </w:t>
      </w:r>
      <w:r w:rsidRPr="00D108CF">
        <w:t xml:space="preserve">currently </w:t>
      </w:r>
      <w:r>
        <w:t xml:space="preserve">conducting cancer research involving </w:t>
      </w:r>
      <w:r w:rsidRPr="00D108CF">
        <w:t>the physical science</w:t>
      </w:r>
      <w:r>
        <w:t>s in order to gain insight on the current state of the field</w:t>
      </w:r>
      <w:r w:rsidRPr="00D108CF">
        <w:t xml:space="preserve">; </w:t>
      </w:r>
    </w:p>
    <w:p w14:paraId="47F008CE" w14:textId="77777777" w:rsidR="00BB7754" w:rsidRDefault="00BB7754" w:rsidP="008912DC">
      <w:pPr>
        <w:numPr>
          <w:ilvl w:val="0"/>
          <w:numId w:val="10"/>
        </w:numPr>
        <w:spacing w:line="276" w:lineRule="auto"/>
      </w:pPr>
      <w:r>
        <w:t>I</w:t>
      </w:r>
      <w:r w:rsidRPr="00D108CF">
        <w:t xml:space="preserve">nterviews with </w:t>
      </w:r>
      <w:r>
        <w:t>eight</w:t>
      </w:r>
      <w:r w:rsidRPr="00D108CF">
        <w:t xml:space="preserve"> of the 12 PS-OC senior management teams</w:t>
      </w:r>
      <w:r>
        <w:t xml:space="preserve"> (PI and co-PI)</w:t>
      </w:r>
      <w:r w:rsidR="008912DC">
        <w:t>;</w:t>
      </w:r>
    </w:p>
    <w:p w14:paraId="5E8E9FED" w14:textId="77777777" w:rsidR="008912DC" w:rsidRDefault="008912DC" w:rsidP="008E40D6">
      <w:pPr>
        <w:numPr>
          <w:ilvl w:val="0"/>
          <w:numId w:val="10"/>
        </w:numPr>
        <w:spacing w:after="240" w:line="276" w:lineRule="auto"/>
      </w:pPr>
      <w:r>
        <w:t>Develop</w:t>
      </w:r>
      <w:r w:rsidR="00A74B79">
        <w:t>ing</w:t>
      </w:r>
      <w:r>
        <w:t xml:space="preserve"> a draft program logic model for the PS-OCs (attached as Appendix A).</w:t>
      </w:r>
    </w:p>
    <w:p w14:paraId="209A1FD1" w14:textId="77777777" w:rsidR="00BB7754" w:rsidRDefault="00A74B79" w:rsidP="000F4E85">
      <w:pPr>
        <w:spacing w:after="240" w:line="276" w:lineRule="auto"/>
      </w:pPr>
      <w:r>
        <w:t>Based on what STPI has learned to date about the program, we recommend that NCI’s evaluation needs</w:t>
      </w:r>
      <w:r w:rsidR="001C625F">
        <w:t xml:space="preserve"> for PS-OC</w:t>
      </w:r>
      <w:r w:rsidR="00E04E22">
        <w:t xml:space="preserve"> can best be met through </w:t>
      </w:r>
      <w:r w:rsidR="00C958D5">
        <w:t xml:space="preserve">three </w:t>
      </w:r>
      <w:r w:rsidR="00177896">
        <w:t xml:space="preserve">separate but interdependent </w:t>
      </w:r>
      <w:r w:rsidR="00E04E22">
        <w:t xml:space="preserve">evaluation </w:t>
      </w:r>
      <w:r w:rsidR="00177896">
        <w:t>components</w:t>
      </w:r>
      <w:r w:rsidR="00E04E22">
        <w:t xml:space="preserve">. </w:t>
      </w:r>
      <w:r w:rsidR="001C625F">
        <w:t xml:space="preserve">Specifically, STPI recommends </w:t>
      </w:r>
      <w:r w:rsidR="003A2AFA">
        <w:t>the following:</w:t>
      </w:r>
    </w:p>
    <w:p w14:paraId="53C34ACC" w14:textId="77777777" w:rsidR="00BB7754" w:rsidRPr="007E16F8" w:rsidRDefault="003A2AFA" w:rsidP="007E16F8">
      <w:pPr>
        <w:pStyle w:val="ListParagraph"/>
        <w:numPr>
          <w:ilvl w:val="0"/>
          <w:numId w:val="11"/>
        </w:numPr>
        <w:spacing w:after="240" w:line="276" w:lineRule="auto"/>
      </w:pPr>
      <w:r w:rsidRPr="007E16F8">
        <w:rPr>
          <w:iCs/>
        </w:rPr>
        <w:t xml:space="preserve">Prospective data collection on supported activities and </w:t>
      </w:r>
      <w:r w:rsidR="00C958D5">
        <w:rPr>
          <w:iCs/>
        </w:rPr>
        <w:t xml:space="preserve">key </w:t>
      </w:r>
      <w:r w:rsidRPr="007E16F8">
        <w:rPr>
          <w:iCs/>
        </w:rPr>
        <w:t>outputs</w:t>
      </w:r>
      <w:r w:rsidR="007E16F8">
        <w:rPr>
          <w:iCs/>
        </w:rPr>
        <w:t xml:space="preserve"> to inform program management as well as future evaluation efforts</w:t>
      </w:r>
      <w:r w:rsidR="00C958D5">
        <w:rPr>
          <w:iCs/>
        </w:rPr>
        <w:t>;</w:t>
      </w:r>
    </w:p>
    <w:p w14:paraId="061964F5" w14:textId="77777777" w:rsidR="00BB7754" w:rsidRDefault="00264A90" w:rsidP="007E16F8">
      <w:pPr>
        <w:pStyle w:val="ListParagraph"/>
        <w:numPr>
          <w:ilvl w:val="0"/>
          <w:numId w:val="11"/>
        </w:numPr>
        <w:spacing w:after="240" w:line="276" w:lineRule="auto"/>
      </w:pPr>
      <w:r>
        <w:rPr>
          <w:iCs/>
        </w:rPr>
        <w:t>Structured eva</w:t>
      </w:r>
      <w:r w:rsidR="003A2AFA" w:rsidRPr="007E16F8">
        <w:rPr>
          <w:iCs/>
        </w:rPr>
        <w:t>luation of program design, implementation, and preliminary outcomes by an expert panel at program year</w:t>
      </w:r>
      <w:r w:rsidR="00C958D5">
        <w:rPr>
          <w:iCs/>
        </w:rPr>
        <w:t xml:space="preserve"> 4-5 (prior to concept renewal);</w:t>
      </w:r>
    </w:p>
    <w:p w14:paraId="1742AD40" w14:textId="77777777" w:rsidR="007E16F8" w:rsidRDefault="00C958D5" w:rsidP="007E16F8">
      <w:pPr>
        <w:pStyle w:val="ListParagraph"/>
        <w:numPr>
          <w:ilvl w:val="0"/>
          <w:numId w:val="11"/>
        </w:numPr>
        <w:spacing w:after="240" w:line="276" w:lineRule="auto"/>
      </w:pPr>
      <w:r>
        <w:t>Summative</w:t>
      </w:r>
      <w:r w:rsidR="007E16F8">
        <w:t xml:space="preserve"> evaluation </w:t>
      </w:r>
      <w:r>
        <w:t>of program outcomes at year 10</w:t>
      </w:r>
      <w:r w:rsidR="00A74B79">
        <w:t xml:space="preserve"> or later</w:t>
      </w:r>
      <w:r>
        <w:t>.</w:t>
      </w:r>
    </w:p>
    <w:p w14:paraId="73FD2419" w14:textId="77777777" w:rsidR="00BB7754" w:rsidRDefault="00177896" w:rsidP="00C958D5">
      <w:pPr>
        <w:pStyle w:val="ListParagraph"/>
        <w:spacing w:after="240" w:line="276" w:lineRule="auto"/>
        <w:ind w:left="0"/>
      </w:pPr>
      <w:r>
        <w:t>Preliminary design recommendations for each component are described below.</w:t>
      </w:r>
    </w:p>
    <w:p w14:paraId="515EC798" w14:textId="77777777" w:rsidR="00264A90" w:rsidRPr="002341DD" w:rsidRDefault="00264A90" w:rsidP="007B17EE">
      <w:pPr>
        <w:spacing w:after="240" w:line="276" w:lineRule="auto"/>
        <w:rPr>
          <w:b/>
          <w:u w:val="single"/>
        </w:rPr>
      </w:pPr>
      <w:r w:rsidRPr="002341DD">
        <w:rPr>
          <w:b/>
          <w:u w:val="single"/>
        </w:rPr>
        <w:t>Component 1: Prospective Data Collection on Supported Activities and Key Outputs</w:t>
      </w:r>
      <w:r w:rsidR="00D5769A">
        <w:rPr>
          <w:b/>
          <w:u w:val="single"/>
        </w:rPr>
        <w:t>/Outcomes</w:t>
      </w:r>
    </w:p>
    <w:p w14:paraId="3C1BFD71" w14:textId="77777777" w:rsidR="0028245D" w:rsidRDefault="0028245D" w:rsidP="0028245D">
      <w:pPr>
        <w:pStyle w:val="ListParagraph"/>
        <w:spacing w:after="240" w:line="276" w:lineRule="auto"/>
        <w:ind w:left="0"/>
        <w:rPr>
          <w:iCs/>
        </w:rPr>
      </w:pPr>
      <w:r w:rsidRPr="0028245D">
        <w:rPr>
          <w:iCs/>
        </w:rPr>
        <w:t>The first recommended evaluation component is prospective data collection on activities and key outputs</w:t>
      </w:r>
      <w:r w:rsidR="00D5769A">
        <w:rPr>
          <w:iCs/>
        </w:rPr>
        <w:t>/outcomes</w:t>
      </w:r>
      <w:r w:rsidR="008C5101">
        <w:rPr>
          <w:iCs/>
        </w:rPr>
        <w:t xml:space="preserve">. </w:t>
      </w:r>
      <w:r>
        <w:rPr>
          <w:iCs/>
        </w:rPr>
        <w:t xml:space="preserve">Collecting data on program activities and outputs </w:t>
      </w:r>
      <w:r w:rsidR="00034FDC">
        <w:rPr>
          <w:iCs/>
        </w:rPr>
        <w:t>prospectively</w:t>
      </w:r>
      <w:r>
        <w:rPr>
          <w:iCs/>
        </w:rPr>
        <w:t xml:space="preserve"> serves several purposes: 1) activities and outputs can be monitored by program managers</w:t>
      </w:r>
      <w:r w:rsidR="00A74B79">
        <w:rPr>
          <w:iCs/>
        </w:rPr>
        <w:t xml:space="preserve"> so that</w:t>
      </w:r>
      <w:r>
        <w:rPr>
          <w:iCs/>
        </w:rPr>
        <w:t xml:space="preserve"> changes can be made as needed; </w:t>
      </w:r>
      <w:r w:rsidR="005A3302">
        <w:rPr>
          <w:iCs/>
        </w:rPr>
        <w:t xml:space="preserve">and </w:t>
      </w:r>
      <w:r>
        <w:rPr>
          <w:iCs/>
        </w:rPr>
        <w:t xml:space="preserve">2) any errors or inadequacies that are detected in the data can be addressed </w:t>
      </w:r>
      <w:r>
        <w:rPr>
          <w:iCs/>
        </w:rPr>
        <w:lastRenderedPageBreak/>
        <w:t>sooner rather than later.</w:t>
      </w:r>
      <w:r w:rsidR="005A3302">
        <w:rPr>
          <w:iCs/>
        </w:rPr>
        <w:t xml:space="preserve"> </w:t>
      </w:r>
      <w:r w:rsidR="00D5769A">
        <w:rPr>
          <w:iCs/>
        </w:rPr>
        <w:t xml:space="preserve">These advantages must be balanced against the </w:t>
      </w:r>
      <w:r w:rsidR="00034FDC">
        <w:rPr>
          <w:iCs/>
        </w:rPr>
        <w:t xml:space="preserve">inefficiency of collecting and analyzing information as it becomes available relative to a single retrospective data collection effort. For this reason, </w:t>
      </w:r>
      <w:r w:rsidR="00D5769A">
        <w:rPr>
          <w:iCs/>
        </w:rPr>
        <w:t xml:space="preserve">STPI is recommending </w:t>
      </w:r>
      <w:r w:rsidR="00034FDC">
        <w:rPr>
          <w:iCs/>
        </w:rPr>
        <w:t>prospective data collection for the PS-OC activities and outputs/outcomes for which data are most readily available.</w:t>
      </w:r>
    </w:p>
    <w:p w14:paraId="18D6AF1F" w14:textId="77777777" w:rsidR="008C5101" w:rsidRDefault="008C5101" w:rsidP="0028245D">
      <w:pPr>
        <w:pStyle w:val="ListParagraph"/>
        <w:spacing w:after="240" w:line="276" w:lineRule="auto"/>
        <w:ind w:left="0"/>
        <w:rPr>
          <w:iCs/>
        </w:rPr>
      </w:pPr>
      <w:r>
        <w:rPr>
          <w:iCs/>
        </w:rPr>
        <w:t xml:space="preserve">Specifically, STPI recommends that information on key variables be extracted from the semi-annual </w:t>
      </w:r>
      <w:r w:rsidR="005A3302">
        <w:rPr>
          <w:iCs/>
        </w:rPr>
        <w:t xml:space="preserve">Center </w:t>
      </w:r>
      <w:r>
        <w:rPr>
          <w:iCs/>
        </w:rPr>
        <w:t>progress reports into a more structured format as they become available</w:t>
      </w:r>
      <w:r w:rsidRPr="0028245D">
        <w:rPr>
          <w:iCs/>
        </w:rPr>
        <w:t xml:space="preserve">. </w:t>
      </w:r>
      <w:r>
        <w:rPr>
          <w:iCs/>
        </w:rPr>
        <w:t xml:space="preserve">Supplementary and correlative information should also be extracted from supplementary sources (e.g. </w:t>
      </w:r>
      <w:proofErr w:type="spellStart"/>
      <w:r>
        <w:rPr>
          <w:iCs/>
        </w:rPr>
        <w:t>bibliometric</w:t>
      </w:r>
      <w:proofErr w:type="spellEnd"/>
      <w:r>
        <w:rPr>
          <w:iCs/>
        </w:rPr>
        <w:t xml:space="preserve"> databases)</w:t>
      </w:r>
      <w:r w:rsidR="005A3302">
        <w:rPr>
          <w:iCs/>
        </w:rPr>
        <w:t xml:space="preserve"> at </w:t>
      </w:r>
      <w:r>
        <w:rPr>
          <w:iCs/>
        </w:rPr>
        <w:t>regular</w:t>
      </w:r>
      <w:r w:rsidR="005A3302">
        <w:rPr>
          <w:iCs/>
        </w:rPr>
        <w:t xml:space="preserve"> intervals</w:t>
      </w:r>
      <w:r>
        <w:rPr>
          <w:iCs/>
        </w:rPr>
        <w:t xml:space="preserve">. The variables for which STPI recommends that data be collected prospectively are summarized in Table 1, as are the sources from which data should be extracted. These activity and output variables </w:t>
      </w:r>
      <w:r w:rsidR="005A3302">
        <w:rPr>
          <w:iCs/>
        </w:rPr>
        <w:t xml:space="preserve">fall into four broad categories (knowledge generation; </w:t>
      </w:r>
      <w:r w:rsidR="00034FDC">
        <w:rPr>
          <w:iCs/>
        </w:rPr>
        <w:t>practice of</w:t>
      </w:r>
      <w:r w:rsidR="005A3302">
        <w:rPr>
          <w:iCs/>
        </w:rPr>
        <w:t xml:space="preserve"> research </w:t>
      </w:r>
      <w:r w:rsidR="00034FDC">
        <w:rPr>
          <w:iCs/>
        </w:rPr>
        <w:t>and collaboration;</w:t>
      </w:r>
      <w:r w:rsidR="005A3302">
        <w:rPr>
          <w:iCs/>
        </w:rPr>
        <w:t xml:space="preserve"> training</w:t>
      </w:r>
      <w:r w:rsidR="00034FDC">
        <w:rPr>
          <w:iCs/>
        </w:rPr>
        <w:t>; broader impacts</w:t>
      </w:r>
      <w:r w:rsidR="005A3302">
        <w:rPr>
          <w:iCs/>
        </w:rPr>
        <w:t xml:space="preserve">) </w:t>
      </w:r>
      <w:r>
        <w:rPr>
          <w:iCs/>
        </w:rPr>
        <w:t xml:space="preserve">derived from the </w:t>
      </w:r>
      <w:r w:rsidR="005A3302">
        <w:rPr>
          <w:iCs/>
        </w:rPr>
        <w:t>pr</w:t>
      </w:r>
      <w:r>
        <w:rPr>
          <w:iCs/>
        </w:rPr>
        <w:t xml:space="preserve">ogram </w:t>
      </w:r>
      <w:r w:rsidR="005A3302">
        <w:rPr>
          <w:iCs/>
        </w:rPr>
        <w:t xml:space="preserve">goals </w:t>
      </w:r>
      <w:r w:rsidR="004E4CD7">
        <w:rPr>
          <w:iCs/>
        </w:rPr>
        <w:t>and program logic (see A</w:t>
      </w:r>
      <w:r>
        <w:rPr>
          <w:iCs/>
        </w:rPr>
        <w:t>ppendix A).</w:t>
      </w:r>
    </w:p>
    <w:p w14:paraId="7F08EE48" w14:textId="77777777" w:rsidR="004E4CD7" w:rsidRPr="004E4CD7" w:rsidRDefault="004E4CD7" w:rsidP="004E4CD7">
      <w:pPr>
        <w:pStyle w:val="ListParagraph"/>
        <w:spacing w:after="240" w:line="276" w:lineRule="auto"/>
        <w:ind w:left="0"/>
        <w:rPr>
          <w:bCs/>
        </w:rPr>
      </w:pPr>
      <w:r w:rsidRPr="004E4CD7">
        <w:t>Table 1: Activity/Output/Outcome Variables for which data should be collected prospectively.</w:t>
      </w:r>
    </w:p>
    <w:tbl>
      <w:tblPr>
        <w:tblW w:w="9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48"/>
        <w:gridCol w:w="4180"/>
        <w:gridCol w:w="3740"/>
      </w:tblGrid>
      <w:tr w:rsidR="004E4CD7" w:rsidRPr="004E4CD7" w14:paraId="5CF2698B" w14:textId="77777777">
        <w:trPr>
          <w:trHeight w:val="315"/>
        </w:trPr>
        <w:tc>
          <w:tcPr>
            <w:tcW w:w="1648" w:type="dxa"/>
            <w:tcBorders>
              <w:top w:val="single" w:sz="4" w:space="0" w:color="000000"/>
              <w:left w:val="single" w:sz="4" w:space="0" w:color="000000"/>
              <w:bottom w:val="single" w:sz="4" w:space="0" w:color="000000"/>
              <w:right w:val="single" w:sz="4" w:space="0" w:color="000000"/>
            </w:tcBorders>
          </w:tcPr>
          <w:p w14:paraId="14AA3EF0" w14:textId="77777777" w:rsidR="004E4CD7" w:rsidRPr="004E4CD7" w:rsidRDefault="004E4CD7" w:rsidP="004E4CD7">
            <w:pPr>
              <w:jc w:val="center"/>
              <w:rPr>
                <w:b/>
                <w:noProof/>
              </w:rPr>
            </w:pPr>
            <w:r w:rsidRPr="004E4CD7">
              <w:rPr>
                <w:b/>
                <w:noProof/>
              </w:rPr>
              <w:t>Category</w:t>
            </w:r>
          </w:p>
        </w:tc>
        <w:tc>
          <w:tcPr>
            <w:tcW w:w="4180" w:type="dxa"/>
            <w:tcBorders>
              <w:top w:val="single" w:sz="4" w:space="0" w:color="000000"/>
              <w:left w:val="single" w:sz="4" w:space="0" w:color="000000"/>
              <w:bottom w:val="single" w:sz="4" w:space="0" w:color="000000"/>
              <w:right w:val="single" w:sz="4" w:space="0" w:color="000000"/>
            </w:tcBorders>
            <w:noWrap/>
          </w:tcPr>
          <w:p w14:paraId="623D3D8D" w14:textId="77777777" w:rsidR="004E4CD7" w:rsidRPr="004E4CD7" w:rsidRDefault="004E4CD7" w:rsidP="004E4CD7">
            <w:pPr>
              <w:jc w:val="center"/>
              <w:rPr>
                <w:b/>
                <w:noProof/>
              </w:rPr>
            </w:pPr>
            <w:r w:rsidRPr="004E4CD7">
              <w:rPr>
                <w:b/>
                <w:noProof/>
              </w:rPr>
              <w:t>Activity/Output/Outcome Variable</w:t>
            </w:r>
          </w:p>
        </w:tc>
        <w:tc>
          <w:tcPr>
            <w:tcW w:w="3740" w:type="dxa"/>
            <w:tcBorders>
              <w:top w:val="single" w:sz="4" w:space="0" w:color="000000"/>
              <w:left w:val="single" w:sz="4" w:space="0" w:color="000000"/>
              <w:bottom w:val="single" w:sz="4" w:space="0" w:color="000000"/>
              <w:right w:val="single" w:sz="4" w:space="0" w:color="000000"/>
            </w:tcBorders>
          </w:tcPr>
          <w:p w14:paraId="626F252F" w14:textId="77777777" w:rsidR="004E4CD7" w:rsidRPr="004E4CD7" w:rsidRDefault="004E4CD7" w:rsidP="004E4CD7">
            <w:pPr>
              <w:jc w:val="center"/>
              <w:rPr>
                <w:b/>
                <w:noProof/>
              </w:rPr>
            </w:pPr>
            <w:r w:rsidRPr="004E4CD7">
              <w:rPr>
                <w:b/>
                <w:noProof/>
              </w:rPr>
              <w:t>Data Source</w:t>
            </w:r>
            <w:r w:rsidR="00D60387">
              <w:rPr>
                <w:b/>
                <w:noProof/>
              </w:rPr>
              <w:t>(s)</w:t>
            </w:r>
          </w:p>
        </w:tc>
      </w:tr>
      <w:tr w:rsidR="004E4CD7" w:rsidRPr="00277FC6" w14:paraId="6D9A0369" w14:textId="77777777">
        <w:trPr>
          <w:trHeight w:val="197"/>
        </w:trPr>
        <w:tc>
          <w:tcPr>
            <w:tcW w:w="1648" w:type="dxa"/>
            <w:vMerge w:val="restart"/>
            <w:tcBorders>
              <w:top w:val="single" w:sz="4" w:space="0" w:color="000000"/>
              <w:left w:val="single" w:sz="4" w:space="0" w:color="000000"/>
              <w:bottom w:val="single" w:sz="4" w:space="0" w:color="000000"/>
              <w:right w:val="single" w:sz="4" w:space="0" w:color="000000"/>
            </w:tcBorders>
          </w:tcPr>
          <w:p w14:paraId="5AC7E1CC" w14:textId="77777777" w:rsidR="004E4CD7" w:rsidRPr="00277FC6" w:rsidRDefault="004E4CD7" w:rsidP="002341DD">
            <w:pPr>
              <w:rPr>
                <w:noProof/>
              </w:rPr>
            </w:pPr>
            <w:r>
              <w:rPr>
                <w:noProof/>
              </w:rPr>
              <w:t>1. Knowledge Generation</w:t>
            </w:r>
          </w:p>
        </w:tc>
        <w:tc>
          <w:tcPr>
            <w:tcW w:w="4180" w:type="dxa"/>
            <w:tcBorders>
              <w:top w:val="single" w:sz="4" w:space="0" w:color="000000"/>
              <w:left w:val="single" w:sz="4" w:space="0" w:color="000000"/>
              <w:bottom w:val="single" w:sz="4" w:space="0" w:color="000000"/>
              <w:right w:val="single" w:sz="4" w:space="0" w:color="000000"/>
            </w:tcBorders>
          </w:tcPr>
          <w:p w14:paraId="412E22F4" w14:textId="77777777" w:rsidR="004E4CD7" w:rsidRPr="00277FC6" w:rsidRDefault="00D60387" w:rsidP="002341DD">
            <w:pPr>
              <w:rPr>
                <w:noProof/>
              </w:rPr>
            </w:pPr>
            <w:r>
              <w:rPr>
                <w:noProof/>
              </w:rPr>
              <w:t>Funded research projects</w:t>
            </w:r>
            <w:r w:rsidR="008714DA">
              <w:rPr>
                <w:noProof/>
              </w:rPr>
              <w:t xml:space="preserve"> by type and objectives</w:t>
            </w:r>
          </w:p>
        </w:tc>
        <w:tc>
          <w:tcPr>
            <w:tcW w:w="3740" w:type="dxa"/>
            <w:tcBorders>
              <w:top w:val="single" w:sz="4" w:space="0" w:color="000000"/>
              <w:left w:val="single" w:sz="4" w:space="0" w:color="000000"/>
              <w:bottom w:val="single" w:sz="4" w:space="0" w:color="000000"/>
              <w:right w:val="single" w:sz="4" w:space="0" w:color="000000"/>
            </w:tcBorders>
          </w:tcPr>
          <w:p w14:paraId="21FFCE4C" w14:textId="77777777" w:rsidR="004E4CD7" w:rsidRPr="00277FC6" w:rsidRDefault="00D60387" w:rsidP="002341DD">
            <w:pPr>
              <w:rPr>
                <w:noProof/>
              </w:rPr>
            </w:pPr>
            <w:r>
              <w:rPr>
                <w:noProof/>
              </w:rPr>
              <w:t>Progress reports</w:t>
            </w:r>
          </w:p>
        </w:tc>
      </w:tr>
      <w:tr w:rsidR="00D60387" w:rsidRPr="00277FC6" w14:paraId="7E5D6B9E" w14:textId="77777777">
        <w:trPr>
          <w:trHeight w:val="197"/>
        </w:trPr>
        <w:tc>
          <w:tcPr>
            <w:tcW w:w="1648" w:type="dxa"/>
            <w:vMerge/>
            <w:tcBorders>
              <w:top w:val="single" w:sz="4" w:space="0" w:color="000000"/>
              <w:left w:val="single" w:sz="4" w:space="0" w:color="000000"/>
              <w:bottom w:val="single" w:sz="4" w:space="0" w:color="000000"/>
              <w:right w:val="single" w:sz="4" w:space="0" w:color="000000"/>
            </w:tcBorders>
          </w:tcPr>
          <w:p w14:paraId="4881D020" w14:textId="77777777" w:rsidR="00D60387" w:rsidRDefault="00D60387" w:rsidP="002341DD">
            <w:pPr>
              <w:rPr>
                <w:noProof/>
              </w:rPr>
            </w:pPr>
          </w:p>
        </w:tc>
        <w:tc>
          <w:tcPr>
            <w:tcW w:w="4180" w:type="dxa"/>
            <w:tcBorders>
              <w:top w:val="single" w:sz="4" w:space="0" w:color="000000"/>
              <w:left w:val="single" w:sz="4" w:space="0" w:color="000000"/>
              <w:bottom w:val="single" w:sz="4" w:space="0" w:color="000000"/>
              <w:right w:val="single" w:sz="4" w:space="0" w:color="000000"/>
            </w:tcBorders>
          </w:tcPr>
          <w:p w14:paraId="371A3491" w14:textId="77777777" w:rsidR="00D60387" w:rsidRPr="00277FC6" w:rsidRDefault="00D60387" w:rsidP="002341DD">
            <w:pPr>
              <w:rPr>
                <w:noProof/>
              </w:rPr>
            </w:pPr>
            <w:r>
              <w:rPr>
                <w:noProof/>
              </w:rPr>
              <w:t>Center publications</w:t>
            </w:r>
          </w:p>
        </w:tc>
        <w:tc>
          <w:tcPr>
            <w:tcW w:w="3740" w:type="dxa"/>
            <w:tcBorders>
              <w:top w:val="single" w:sz="4" w:space="0" w:color="000000"/>
              <w:left w:val="single" w:sz="4" w:space="0" w:color="000000"/>
              <w:bottom w:val="single" w:sz="4" w:space="0" w:color="000000"/>
              <w:right w:val="single" w:sz="4" w:space="0" w:color="000000"/>
            </w:tcBorders>
          </w:tcPr>
          <w:p w14:paraId="035F6975" w14:textId="77777777" w:rsidR="00D60387" w:rsidRPr="00277FC6" w:rsidRDefault="00D60387" w:rsidP="002341DD">
            <w:pPr>
              <w:rPr>
                <w:noProof/>
              </w:rPr>
            </w:pPr>
            <w:r>
              <w:rPr>
                <w:noProof/>
              </w:rPr>
              <w:t>Progress</w:t>
            </w:r>
            <w:r w:rsidRPr="00277FC6">
              <w:rPr>
                <w:noProof/>
              </w:rPr>
              <w:t xml:space="preserve"> reports</w:t>
            </w:r>
            <w:r>
              <w:rPr>
                <w:noProof/>
              </w:rPr>
              <w:t>; SPIRES</w:t>
            </w:r>
          </w:p>
        </w:tc>
      </w:tr>
      <w:tr w:rsidR="00D60387" w:rsidRPr="00277FC6" w14:paraId="2EACEF2A" w14:textId="77777777">
        <w:trPr>
          <w:trHeight w:val="197"/>
        </w:trPr>
        <w:tc>
          <w:tcPr>
            <w:tcW w:w="1648" w:type="dxa"/>
            <w:vMerge/>
            <w:tcBorders>
              <w:top w:val="single" w:sz="4" w:space="0" w:color="000000"/>
              <w:left w:val="single" w:sz="4" w:space="0" w:color="000000"/>
              <w:bottom w:val="single" w:sz="4" w:space="0" w:color="000000"/>
              <w:right w:val="single" w:sz="4" w:space="0" w:color="000000"/>
            </w:tcBorders>
          </w:tcPr>
          <w:p w14:paraId="60F67C7D" w14:textId="77777777" w:rsidR="00D60387" w:rsidRDefault="00D60387" w:rsidP="002341DD">
            <w:pPr>
              <w:rPr>
                <w:noProof/>
              </w:rPr>
            </w:pPr>
          </w:p>
        </w:tc>
        <w:tc>
          <w:tcPr>
            <w:tcW w:w="4180" w:type="dxa"/>
            <w:tcBorders>
              <w:top w:val="single" w:sz="4" w:space="0" w:color="000000"/>
              <w:left w:val="single" w:sz="4" w:space="0" w:color="000000"/>
              <w:bottom w:val="single" w:sz="4" w:space="0" w:color="000000"/>
              <w:right w:val="single" w:sz="4" w:space="0" w:color="000000"/>
            </w:tcBorders>
          </w:tcPr>
          <w:p w14:paraId="6B12BD6B" w14:textId="77777777" w:rsidR="00D60387" w:rsidRDefault="00D60387" w:rsidP="002341DD">
            <w:pPr>
              <w:rPr>
                <w:noProof/>
              </w:rPr>
            </w:pPr>
            <w:r>
              <w:rPr>
                <w:noProof/>
              </w:rPr>
              <w:t>Bibliometric data on center publications</w:t>
            </w:r>
          </w:p>
        </w:tc>
        <w:tc>
          <w:tcPr>
            <w:tcW w:w="3740" w:type="dxa"/>
            <w:tcBorders>
              <w:top w:val="single" w:sz="4" w:space="0" w:color="000000"/>
              <w:left w:val="single" w:sz="4" w:space="0" w:color="000000"/>
              <w:bottom w:val="single" w:sz="4" w:space="0" w:color="000000"/>
              <w:right w:val="single" w:sz="4" w:space="0" w:color="000000"/>
            </w:tcBorders>
          </w:tcPr>
          <w:p w14:paraId="48F9B54C" w14:textId="77777777" w:rsidR="00D60387" w:rsidRDefault="00D60387" w:rsidP="002341DD">
            <w:pPr>
              <w:rPr>
                <w:noProof/>
              </w:rPr>
            </w:pPr>
            <w:r>
              <w:rPr>
                <w:noProof/>
              </w:rPr>
              <w:t>Bibliometric databases</w:t>
            </w:r>
          </w:p>
        </w:tc>
      </w:tr>
      <w:tr w:rsidR="00D60387" w:rsidRPr="00277FC6" w14:paraId="5DA4B04F" w14:textId="77777777">
        <w:trPr>
          <w:trHeight w:val="278"/>
        </w:trPr>
        <w:tc>
          <w:tcPr>
            <w:tcW w:w="1648" w:type="dxa"/>
            <w:vMerge/>
            <w:tcBorders>
              <w:top w:val="single" w:sz="4" w:space="0" w:color="000000"/>
              <w:left w:val="single" w:sz="4" w:space="0" w:color="000000"/>
              <w:bottom w:val="single" w:sz="4" w:space="0" w:color="000000"/>
              <w:right w:val="single" w:sz="4" w:space="0" w:color="000000"/>
            </w:tcBorders>
          </w:tcPr>
          <w:p w14:paraId="3B5FEDD5" w14:textId="77777777" w:rsidR="00D60387" w:rsidRPr="00277FC6" w:rsidRDefault="00D60387" w:rsidP="002341DD">
            <w:pPr>
              <w:rPr>
                <w:noProof/>
              </w:rPr>
            </w:pPr>
          </w:p>
        </w:tc>
        <w:tc>
          <w:tcPr>
            <w:tcW w:w="4180" w:type="dxa"/>
            <w:tcBorders>
              <w:top w:val="single" w:sz="4" w:space="0" w:color="000000"/>
              <w:left w:val="single" w:sz="4" w:space="0" w:color="000000"/>
              <w:bottom w:val="single" w:sz="4" w:space="0" w:color="000000"/>
              <w:right w:val="single" w:sz="4" w:space="0" w:color="000000"/>
            </w:tcBorders>
          </w:tcPr>
          <w:p w14:paraId="6A33DA78" w14:textId="77777777" w:rsidR="00D60387" w:rsidRPr="00277FC6" w:rsidRDefault="00D60387" w:rsidP="002341DD">
            <w:pPr>
              <w:rPr>
                <w:noProof/>
              </w:rPr>
            </w:pPr>
            <w:r>
              <w:rPr>
                <w:noProof/>
              </w:rPr>
              <w:t>Key discoveries/key findings</w:t>
            </w:r>
          </w:p>
        </w:tc>
        <w:tc>
          <w:tcPr>
            <w:tcW w:w="3740" w:type="dxa"/>
            <w:tcBorders>
              <w:top w:val="single" w:sz="4" w:space="0" w:color="000000"/>
              <w:left w:val="single" w:sz="4" w:space="0" w:color="000000"/>
              <w:bottom w:val="single" w:sz="4" w:space="0" w:color="000000"/>
              <w:right w:val="single" w:sz="4" w:space="0" w:color="000000"/>
            </w:tcBorders>
          </w:tcPr>
          <w:p w14:paraId="6251227B" w14:textId="77777777" w:rsidR="00D60387" w:rsidRPr="00277FC6" w:rsidRDefault="00D60387" w:rsidP="002341DD">
            <w:pPr>
              <w:rPr>
                <w:noProof/>
              </w:rPr>
            </w:pPr>
            <w:r>
              <w:rPr>
                <w:noProof/>
              </w:rPr>
              <w:t>Progress reports</w:t>
            </w:r>
          </w:p>
        </w:tc>
      </w:tr>
      <w:tr w:rsidR="00D60387" w:rsidRPr="00277FC6" w14:paraId="387BB3FE" w14:textId="77777777">
        <w:trPr>
          <w:trHeight w:val="242"/>
        </w:trPr>
        <w:tc>
          <w:tcPr>
            <w:tcW w:w="1648" w:type="dxa"/>
            <w:vMerge/>
            <w:tcBorders>
              <w:top w:val="single" w:sz="4" w:space="0" w:color="000000"/>
              <w:left w:val="single" w:sz="4" w:space="0" w:color="000000"/>
              <w:bottom w:val="single" w:sz="4" w:space="0" w:color="000000"/>
              <w:right w:val="single" w:sz="4" w:space="0" w:color="000000"/>
            </w:tcBorders>
          </w:tcPr>
          <w:p w14:paraId="120CA88F" w14:textId="77777777" w:rsidR="00D60387" w:rsidRPr="00277FC6" w:rsidRDefault="00D60387" w:rsidP="002341DD">
            <w:pPr>
              <w:rPr>
                <w:noProof/>
              </w:rPr>
            </w:pPr>
          </w:p>
        </w:tc>
        <w:tc>
          <w:tcPr>
            <w:tcW w:w="4180" w:type="dxa"/>
            <w:tcBorders>
              <w:top w:val="single" w:sz="4" w:space="0" w:color="000000"/>
              <w:left w:val="single" w:sz="4" w:space="0" w:color="000000"/>
              <w:bottom w:val="single" w:sz="4" w:space="0" w:color="000000"/>
              <w:right w:val="single" w:sz="4" w:space="0" w:color="000000"/>
            </w:tcBorders>
          </w:tcPr>
          <w:p w14:paraId="0AAB31F8" w14:textId="77777777" w:rsidR="00D60387" w:rsidRDefault="00D60387" w:rsidP="002341DD">
            <w:pPr>
              <w:rPr>
                <w:noProof/>
              </w:rPr>
            </w:pPr>
            <w:r>
              <w:rPr>
                <w:noProof/>
              </w:rPr>
              <w:t>Invention disclosures, patent applications, and patents</w:t>
            </w:r>
          </w:p>
        </w:tc>
        <w:tc>
          <w:tcPr>
            <w:tcW w:w="3740" w:type="dxa"/>
            <w:tcBorders>
              <w:top w:val="single" w:sz="4" w:space="0" w:color="000000"/>
              <w:left w:val="single" w:sz="4" w:space="0" w:color="000000"/>
              <w:bottom w:val="single" w:sz="4" w:space="0" w:color="000000"/>
              <w:right w:val="single" w:sz="4" w:space="0" w:color="000000"/>
            </w:tcBorders>
          </w:tcPr>
          <w:p w14:paraId="64A8BD86" w14:textId="77777777" w:rsidR="00D60387" w:rsidRPr="00277FC6" w:rsidRDefault="00D60387" w:rsidP="002341DD">
            <w:pPr>
              <w:rPr>
                <w:noProof/>
              </w:rPr>
            </w:pPr>
            <w:r>
              <w:rPr>
                <w:noProof/>
              </w:rPr>
              <w:t>Progress</w:t>
            </w:r>
            <w:r w:rsidRPr="00277FC6">
              <w:rPr>
                <w:noProof/>
              </w:rPr>
              <w:t xml:space="preserve"> reports</w:t>
            </w:r>
            <w:r>
              <w:rPr>
                <w:noProof/>
              </w:rPr>
              <w:t>; IP databases</w:t>
            </w:r>
          </w:p>
        </w:tc>
      </w:tr>
      <w:tr w:rsidR="00D60387" w:rsidRPr="00277FC6" w14:paraId="7914155E" w14:textId="77777777">
        <w:trPr>
          <w:trHeight w:val="152"/>
        </w:trPr>
        <w:tc>
          <w:tcPr>
            <w:tcW w:w="1648" w:type="dxa"/>
            <w:vMerge/>
            <w:tcBorders>
              <w:top w:val="single" w:sz="4" w:space="0" w:color="000000"/>
              <w:left w:val="single" w:sz="4" w:space="0" w:color="000000"/>
              <w:bottom w:val="single" w:sz="4" w:space="0" w:color="000000"/>
              <w:right w:val="single" w:sz="4" w:space="0" w:color="000000"/>
            </w:tcBorders>
          </w:tcPr>
          <w:p w14:paraId="7CB4E9D7" w14:textId="77777777" w:rsidR="00D60387" w:rsidRPr="00277FC6" w:rsidRDefault="00D60387" w:rsidP="002341DD">
            <w:pPr>
              <w:rPr>
                <w:noProof/>
              </w:rPr>
            </w:pPr>
          </w:p>
        </w:tc>
        <w:tc>
          <w:tcPr>
            <w:tcW w:w="4180" w:type="dxa"/>
            <w:tcBorders>
              <w:top w:val="single" w:sz="4" w:space="0" w:color="000000"/>
              <w:left w:val="single" w:sz="4" w:space="0" w:color="000000"/>
              <w:bottom w:val="single" w:sz="4" w:space="0" w:color="000000"/>
              <w:right w:val="single" w:sz="4" w:space="0" w:color="000000"/>
            </w:tcBorders>
          </w:tcPr>
          <w:p w14:paraId="437BE3C0" w14:textId="77777777" w:rsidR="00D60387" w:rsidRPr="00277FC6" w:rsidRDefault="00D60387" w:rsidP="002341DD">
            <w:pPr>
              <w:rPr>
                <w:noProof/>
              </w:rPr>
            </w:pPr>
            <w:r>
              <w:rPr>
                <w:noProof/>
              </w:rPr>
              <w:t>New datasets developed</w:t>
            </w:r>
          </w:p>
        </w:tc>
        <w:tc>
          <w:tcPr>
            <w:tcW w:w="3740" w:type="dxa"/>
            <w:tcBorders>
              <w:top w:val="single" w:sz="4" w:space="0" w:color="000000"/>
              <w:left w:val="single" w:sz="4" w:space="0" w:color="000000"/>
              <w:bottom w:val="single" w:sz="4" w:space="0" w:color="000000"/>
              <w:right w:val="single" w:sz="4" w:space="0" w:color="000000"/>
            </w:tcBorders>
          </w:tcPr>
          <w:p w14:paraId="02DD2654" w14:textId="77777777" w:rsidR="00D60387" w:rsidRPr="00277FC6" w:rsidRDefault="00D60387" w:rsidP="002341DD">
            <w:pPr>
              <w:rPr>
                <w:noProof/>
              </w:rPr>
            </w:pPr>
            <w:r>
              <w:rPr>
                <w:noProof/>
              </w:rPr>
              <w:t>Progress reports</w:t>
            </w:r>
          </w:p>
        </w:tc>
      </w:tr>
      <w:tr w:rsidR="00D60387" w:rsidRPr="00277FC6" w14:paraId="3496A196" w14:textId="77777777">
        <w:trPr>
          <w:trHeight w:val="503"/>
        </w:trPr>
        <w:tc>
          <w:tcPr>
            <w:tcW w:w="1648" w:type="dxa"/>
            <w:vMerge/>
            <w:tcBorders>
              <w:top w:val="single" w:sz="4" w:space="0" w:color="000000"/>
              <w:left w:val="single" w:sz="4" w:space="0" w:color="000000"/>
              <w:bottom w:val="single" w:sz="4" w:space="0" w:color="000000"/>
              <w:right w:val="single" w:sz="4" w:space="0" w:color="000000"/>
            </w:tcBorders>
          </w:tcPr>
          <w:p w14:paraId="1284A17A" w14:textId="77777777" w:rsidR="00D60387" w:rsidRPr="00277FC6" w:rsidRDefault="00D60387" w:rsidP="002341DD">
            <w:pPr>
              <w:rPr>
                <w:noProof/>
              </w:rPr>
            </w:pPr>
          </w:p>
        </w:tc>
        <w:tc>
          <w:tcPr>
            <w:tcW w:w="4180" w:type="dxa"/>
            <w:tcBorders>
              <w:top w:val="single" w:sz="4" w:space="0" w:color="000000"/>
              <w:left w:val="single" w:sz="4" w:space="0" w:color="000000"/>
              <w:bottom w:val="single" w:sz="4" w:space="0" w:color="000000"/>
              <w:right w:val="single" w:sz="4" w:space="0" w:color="000000"/>
            </w:tcBorders>
          </w:tcPr>
          <w:p w14:paraId="05338623" w14:textId="77777777" w:rsidR="00D60387" w:rsidRPr="00277FC6" w:rsidRDefault="00D60387" w:rsidP="002341DD">
            <w:pPr>
              <w:rPr>
                <w:noProof/>
              </w:rPr>
            </w:pPr>
            <w:r>
              <w:rPr>
                <w:noProof/>
              </w:rPr>
              <w:t>Other notable research outputs (e.g. datasets, software, protocols, models, etc.)</w:t>
            </w:r>
          </w:p>
        </w:tc>
        <w:tc>
          <w:tcPr>
            <w:tcW w:w="3740" w:type="dxa"/>
            <w:tcBorders>
              <w:top w:val="single" w:sz="4" w:space="0" w:color="000000"/>
              <w:left w:val="single" w:sz="4" w:space="0" w:color="000000"/>
              <w:bottom w:val="single" w:sz="4" w:space="0" w:color="000000"/>
              <w:right w:val="single" w:sz="4" w:space="0" w:color="000000"/>
            </w:tcBorders>
          </w:tcPr>
          <w:p w14:paraId="24ADA4C3" w14:textId="77777777" w:rsidR="00D60387" w:rsidRPr="00277FC6" w:rsidRDefault="00D60387" w:rsidP="002341DD">
            <w:pPr>
              <w:rPr>
                <w:noProof/>
              </w:rPr>
            </w:pPr>
            <w:r>
              <w:rPr>
                <w:noProof/>
              </w:rPr>
              <w:t>Progress reports</w:t>
            </w:r>
          </w:p>
        </w:tc>
      </w:tr>
      <w:tr w:rsidR="00D60387" w:rsidRPr="00277FC6" w14:paraId="66692FA9" w14:textId="77777777">
        <w:trPr>
          <w:trHeight w:val="323"/>
        </w:trPr>
        <w:tc>
          <w:tcPr>
            <w:tcW w:w="1648" w:type="dxa"/>
            <w:vMerge/>
            <w:tcBorders>
              <w:top w:val="single" w:sz="4" w:space="0" w:color="000000"/>
              <w:left w:val="single" w:sz="4" w:space="0" w:color="000000"/>
              <w:bottom w:val="single" w:sz="4" w:space="0" w:color="000000"/>
              <w:right w:val="single" w:sz="4" w:space="0" w:color="000000"/>
            </w:tcBorders>
          </w:tcPr>
          <w:p w14:paraId="11C1BBAE" w14:textId="77777777" w:rsidR="00D60387" w:rsidRPr="00277FC6" w:rsidRDefault="00D60387" w:rsidP="002341DD">
            <w:pPr>
              <w:rPr>
                <w:noProof/>
              </w:rPr>
            </w:pPr>
          </w:p>
        </w:tc>
        <w:tc>
          <w:tcPr>
            <w:tcW w:w="4180" w:type="dxa"/>
            <w:tcBorders>
              <w:top w:val="single" w:sz="4" w:space="0" w:color="000000"/>
              <w:left w:val="single" w:sz="4" w:space="0" w:color="000000"/>
              <w:bottom w:val="single" w:sz="4" w:space="0" w:color="000000"/>
              <w:right w:val="single" w:sz="4" w:space="0" w:color="000000"/>
            </w:tcBorders>
          </w:tcPr>
          <w:p w14:paraId="5049C0ED" w14:textId="77777777" w:rsidR="00D60387" w:rsidRPr="00277FC6" w:rsidRDefault="00D60387" w:rsidP="002341DD">
            <w:pPr>
              <w:rPr>
                <w:noProof/>
              </w:rPr>
            </w:pPr>
            <w:r>
              <w:rPr>
                <w:noProof/>
              </w:rPr>
              <w:t>C</w:t>
            </w:r>
            <w:r w:rsidRPr="00277FC6">
              <w:rPr>
                <w:noProof/>
              </w:rPr>
              <w:t xml:space="preserve">linical </w:t>
            </w:r>
            <w:r>
              <w:rPr>
                <w:noProof/>
              </w:rPr>
              <w:t>studies</w:t>
            </w:r>
            <w:r w:rsidRPr="00277FC6">
              <w:rPr>
                <w:noProof/>
              </w:rPr>
              <w:t xml:space="preserve"> (if any) building upon advances</w:t>
            </w:r>
          </w:p>
        </w:tc>
        <w:tc>
          <w:tcPr>
            <w:tcW w:w="3740" w:type="dxa"/>
            <w:tcBorders>
              <w:top w:val="single" w:sz="4" w:space="0" w:color="000000"/>
              <w:left w:val="single" w:sz="4" w:space="0" w:color="000000"/>
              <w:bottom w:val="single" w:sz="4" w:space="0" w:color="000000"/>
              <w:right w:val="single" w:sz="4" w:space="0" w:color="000000"/>
            </w:tcBorders>
          </w:tcPr>
          <w:p w14:paraId="387B1F36" w14:textId="77777777" w:rsidR="00D60387" w:rsidRPr="00277FC6" w:rsidRDefault="00D60387" w:rsidP="002341DD">
            <w:pPr>
              <w:rPr>
                <w:noProof/>
              </w:rPr>
            </w:pPr>
            <w:r>
              <w:rPr>
                <w:noProof/>
              </w:rPr>
              <w:t>Progress reports; clinicaltrials.gov</w:t>
            </w:r>
          </w:p>
        </w:tc>
      </w:tr>
      <w:tr w:rsidR="00144170" w:rsidRPr="00277FC6" w14:paraId="29403D79" w14:textId="77777777">
        <w:trPr>
          <w:trHeight w:val="575"/>
        </w:trPr>
        <w:tc>
          <w:tcPr>
            <w:tcW w:w="1648" w:type="dxa"/>
            <w:vMerge w:val="restart"/>
            <w:tcBorders>
              <w:top w:val="single" w:sz="4" w:space="0" w:color="000000"/>
              <w:left w:val="single" w:sz="4" w:space="0" w:color="000000"/>
              <w:right w:val="single" w:sz="4" w:space="0" w:color="000000"/>
            </w:tcBorders>
          </w:tcPr>
          <w:p w14:paraId="6C564673" w14:textId="77777777" w:rsidR="00144170" w:rsidRPr="00277FC6" w:rsidRDefault="00144170" w:rsidP="002341DD">
            <w:pPr>
              <w:rPr>
                <w:noProof/>
              </w:rPr>
            </w:pPr>
            <w:r>
              <w:rPr>
                <w:noProof/>
              </w:rPr>
              <w:t>2. Practice of research and collaboration</w:t>
            </w:r>
          </w:p>
        </w:tc>
        <w:tc>
          <w:tcPr>
            <w:tcW w:w="4180" w:type="dxa"/>
            <w:tcBorders>
              <w:top w:val="single" w:sz="4" w:space="0" w:color="000000"/>
              <w:left w:val="single" w:sz="4" w:space="0" w:color="000000"/>
              <w:bottom w:val="single" w:sz="4" w:space="0" w:color="000000"/>
              <w:right w:val="single" w:sz="4" w:space="0" w:color="000000"/>
            </w:tcBorders>
          </w:tcPr>
          <w:p w14:paraId="44D9A4BC" w14:textId="77777777" w:rsidR="00144170" w:rsidRPr="00277FC6" w:rsidRDefault="00144170" w:rsidP="002341DD">
            <w:pPr>
              <w:rPr>
                <w:noProof/>
              </w:rPr>
            </w:pPr>
            <w:r>
              <w:rPr>
                <w:noProof/>
              </w:rPr>
              <w:t>Center activities aimed at promoting collaboration between physical scienctists and cancer researchers</w:t>
            </w:r>
          </w:p>
        </w:tc>
        <w:tc>
          <w:tcPr>
            <w:tcW w:w="3740" w:type="dxa"/>
            <w:tcBorders>
              <w:top w:val="single" w:sz="4" w:space="0" w:color="000000"/>
              <w:left w:val="single" w:sz="4" w:space="0" w:color="000000"/>
              <w:bottom w:val="single" w:sz="4" w:space="0" w:color="000000"/>
              <w:right w:val="single" w:sz="4" w:space="0" w:color="000000"/>
            </w:tcBorders>
          </w:tcPr>
          <w:p w14:paraId="6C919CFB" w14:textId="77777777" w:rsidR="00144170" w:rsidRPr="00277FC6" w:rsidRDefault="00144170" w:rsidP="002341DD">
            <w:pPr>
              <w:rPr>
                <w:noProof/>
              </w:rPr>
            </w:pPr>
            <w:r>
              <w:rPr>
                <w:noProof/>
              </w:rPr>
              <w:t>Progress reports</w:t>
            </w:r>
          </w:p>
        </w:tc>
      </w:tr>
      <w:tr w:rsidR="00144170" w:rsidRPr="00277FC6" w14:paraId="335149DA" w14:textId="77777777">
        <w:trPr>
          <w:trHeight w:val="332"/>
        </w:trPr>
        <w:tc>
          <w:tcPr>
            <w:tcW w:w="1648" w:type="dxa"/>
            <w:vMerge/>
            <w:tcBorders>
              <w:left w:val="single" w:sz="4" w:space="0" w:color="000000"/>
              <w:right w:val="single" w:sz="4" w:space="0" w:color="000000"/>
            </w:tcBorders>
          </w:tcPr>
          <w:p w14:paraId="20832134" w14:textId="77777777" w:rsidR="00144170" w:rsidRDefault="00144170" w:rsidP="002341DD">
            <w:pPr>
              <w:rPr>
                <w:noProof/>
              </w:rPr>
            </w:pPr>
          </w:p>
        </w:tc>
        <w:tc>
          <w:tcPr>
            <w:tcW w:w="4180" w:type="dxa"/>
            <w:tcBorders>
              <w:top w:val="single" w:sz="4" w:space="0" w:color="000000"/>
              <w:left w:val="single" w:sz="4" w:space="0" w:color="000000"/>
              <w:bottom w:val="single" w:sz="4" w:space="0" w:color="000000"/>
              <w:right w:val="single" w:sz="4" w:space="0" w:color="000000"/>
            </w:tcBorders>
          </w:tcPr>
          <w:p w14:paraId="619D7DFD" w14:textId="77777777" w:rsidR="00144170" w:rsidRDefault="00144170" w:rsidP="002341DD">
            <w:pPr>
              <w:rPr>
                <w:noProof/>
              </w:rPr>
            </w:pPr>
            <w:r>
              <w:rPr>
                <w:noProof/>
              </w:rPr>
              <w:t>Participating institutions</w:t>
            </w:r>
          </w:p>
        </w:tc>
        <w:tc>
          <w:tcPr>
            <w:tcW w:w="3740" w:type="dxa"/>
            <w:tcBorders>
              <w:top w:val="single" w:sz="4" w:space="0" w:color="000000"/>
              <w:left w:val="single" w:sz="4" w:space="0" w:color="000000"/>
              <w:bottom w:val="single" w:sz="4" w:space="0" w:color="000000"/>
              <w:right w:val="single" w:sz="4" w:space="0" w:color="000000"/>
            </w:tcBorders>
          </w:tcPr>
          <w:p w14:paraId="71F7324B" w14:textId="77777777" w:rsidR="00144170" w:rsidRPr="00277FC6" w:rsidRDefault="00144170" w:rsidP="002341DD">
            <w:pPr>
              <w:rPr>
                <w:noProof/>
              </w:rPr>
            </w:pPr>
            <w:r>
              <w:rPr>
                <w:noProof/>
              </w:rPr>
              <w:t>Progress reports</w:t>
            </w:r>
          </w:p>
        </w:tc>
      </w:tr>
      <w:tr w:rsidR="00144170" w:rsidRPr="00277FC6" w14:paraId="7C1CB9D4" w14:textId="77777777">
        <w:trPr>
          <w:trHeight w:val="575"/>
        </w:trPr>
        <w:tc>
          <w:tcPr>
            <w:tcW w:w="1648" w:type="dxa"/>
            <w:vMerge/>
            <w:tcBorders>
              <w:left w:val="single" w:sz="4" w:space="0" w:color="000000"/>
              <w:right w:val="single" w:sz="4" w:space="0" w:color="000000"/>
            </w:tcBorders>
          </w:tcPr>
          <w:p w14:paraId="508B0B88" w14:textId="77777777" w:rsidR="00144170" w:rsidRDefault="00144170" w:rsidP="002341DD">
            <w:pPr>
              <w:rPr>
                <w:noProof/>
              </w:rPr>
            </w:pPr>
          </w:p>
        </w:tc>
        <w:tc>
          <w:tcPr>
            <w:tcW w:w="4180" w:type="dxa"/>
            <w:tcBorders>
              <w:top w:val="single" w:sz="4" w:space="0" w:color="000000"/>
              <w:left w:val="single" w:sz="4" w:space="0" w:color="000000"/>
              <w:bottom w:val="single" w:sz="4" w:space="0" w:color="000000"/>
              <w:right w:val="single" w:sz="4" w:space="0" w:color="000000"/>
            </w:tcBorders>
          </w:tcPr>
          <w:p w14:paraId="01464A5C" w14:textId="77777777" w:rsidR="00144170" w:rsidRPr="00277FC6" w:rsidRDefault="00144170" w:rsidP="002341DD">
            <w:pPr>
              <w:rPr>
                <w:noProof/>
              </w:rPr>
            </w:pPr>
            <w:r>
              <w:rPr>
                <w:noProof/>
              </w:rPr>
              <w:t>Participating investigators, by institution, research project, and discipline/training</w:t>
            </w:r>
          </w:p>
        </w:tc>
        <w:tc>
          <w:tcPr>
            <w:tcW w:w="3740" w:type="dxa"/>
            <w:tcBorders>
              <w:top w:val="single" w:sz="4" w:space="0" w:color="000000"/>
              <w:left w:val="single" w:sz="4" w:space="0" w:color="000000"/>
              <w:bottom w:val="single" w:sz="4" w:space="0" w:color="000000"/>
              <w:right w:val="single" w:sz="4" w:space="0" w:color="000000"/>
            </w:tcBorders>
          </w:tcPr>
          <w:p w14:paraId="009F58C2" w14:textId="77777777" w:rsidR="00144170" w:rsidRPr="00277FC6" w:rsidRDefault="00144170" w:rsidP="002341DD">
            <w:pPr>
              <w:rPr>
                <w:noProof/>
              </w:rPr>
            </w:pPr>
            <w:r>
              <w:rPr>
                <w:noProof/>
              </w:rPr>
              <w:t>Progress reports</w:t>
            </w:r>
          </w:p>
        </w:tc>
      </w:tr>
      <w:tr w:rsidR="00144170" w:rsidRPr="00277FC6" w14:paraId="6321791D" w14:textId="77777777">
        <w:trPr>
          <w:trHeight w:val="440"/>
        </w:trPr>
        <w:tc>
          <w:tcPr>
            <w:tcW w:w="1648" w:type="dxa"/>
            <w:vMerge/>
            <w:tcBorders>
              <w:left w:val="single" w:sz="4" w:space="0" w:color="000000"/>
              <w:right w:val="single" w:sz="4" w:space="0" w:color="000000"/>
            </w:tcBorders>
          </w:tcPr>
          <w:p w14:paraId="7511FDEC" w14:textId="77777777" w:rsidR="00144170" w:rsidRPr="00277FC6" w:rsidRDefault="00144170" w:rsidP="002341DD">
            <w:pPr>
              <w:rPr>
                <w:noProof/>
              </w:rPr>
            </w:pPr>
          </w:p>
        </w:tc>
        <w:tc>
          <w:tcPr>
            <w:tcW w:w="4180" w:type="dxa"/>
            <w:tcBorders>
              <w:top w:val="single" w:sz="4" w:space="0" w:color="000000"/>
              <w:left w:val="single" w:sz="4" w:space="0" w:color="000000"/>
              <w:bottom w:val="single" w:sz="4" w:space="0" w:color="000000"/>
              <w:right w:val="single" w:sz="4" w:space="0" w:color="000000"/>
            </w:tcBorders>
          </w:tcPr>
          <w:p w14:paraId="4E473AA6" w14:textId="77777777" w:rsidR="00144170" w:rsidRPr="00277FC6" w:rsidRDefault="00144170" w:rsidP="002341DD">
            <w:pPr>
              <w:rPr>
                <w:noProof/>
              </w:rPr>
            </w:pPr>
            <w:r>
              <w:rPr>
                <w:noProof/>
              </w:rPr>
              <w:t>Formal collaborations between Center investigators</w:t>
            </w:r>
          </w:p>
        </w:tc>
        <w:tc>
          <w:tcPr>
            <w:tcW w:w="3740" w:type="dxa"/>
            <w:tcBorders>
              <w:top w:val="single" w:sz="4" w:space="0" w:color="000000"/>
              <w:left w:val="single" w:sz="4" w:space="0" w:color="000000"/>
              <w:bottom w:val="single" w:sz="4" w:space="0" w:color="000000"/>
              <w:right w:val="single" w:sz="4" w:space="0" w:color="000000"/>
            </w:tcBorders>
          </w:tcPr>
          <w:p w14:paraId="1DA1CC25" w14:textId="77777777" w:rsidR="00144170" w:rsidRPr="00277FC6" w:rsidRDefault="00144170" w:rsidP="002341DD">
            <w:pPr>
              <w:rPr>
                <w:noProof/>
              </w:rPr>
            </w:pPr>
            <w:r>
              <w:rPr>
                <w:noProof/>
              </w:rPr>
              <w:t>Derive from project lists and publications</w:t>
            </w:r>
          </w:p>
        </w:tc>
      </w:tr>
      <w:tr w:rsidR="00144170" w:rsidRPr="00277FC6" w14:paraId="44371F42" w14:textId="77777777">
        <w:trPr>
          <w:trHeight w:val="377"/>
        </w:trPr>
        <w:tc>
          <w:tcPr>
            <w:tcW w:w="1648" w:type="dxa"/>
            <w:vMerge/>
            <w:tcBorders>
              <w:left w:val="single" w:sz="4" w:space="0" w:color="000000"/>
              <w:right w:val="single" w:sz="4" w:space="0" w:color="000000"/>
            </w:tcBorders>
          </w:tcPr>
          <w:p w14:paraId="163026ED" w14:textId="77777777" w:rsidR="00144170" w:rsidRPr="00277FC6" w:rsidRDefault="00144170" w:rsidP="002341DD">
            <w:pPr>
              <w:rPr>
                <w:noProof/>
              </w:rPr>
            </w:pPr>
          </w:p>
        </w:tc>
        <w:tc>
          <w:tcPr>
            <w:tcW w:w="4180" w:type="dxa"/>
            <w:tcBorders>
              <w:top w:val="single" w:sz="4" w:space="0" w:color="000000"/>
              <w:left w:val="single" w:sz="4" w:space="0" w:color="000000"/>
              <w:bottom w:val="single" w:sz="4" w:space="0" w:color="000000"/>
              <w:right w:val="single" w:sz="4" w:space="0" w:color="000000"/>
            </w:tcBorders>
          </w:tcPr>
          <w:p w14:paraId="50522052" w14:textId="77777777" w:rsidR="00144170" w:rsidRPr="00277FC6" w:rsidRDefault="00144170" w:rsidP="002341DD">
            <w:pPr>
              <w:rPr>
                <w:noProof/>
              </w:rPr>
            </w:pPr>
            <w:r>
              <w:rPr>
                <w:noProof/>
              </w:rPr>
              <w:t>I</w:t>
            </w:r>
            <w:r w:rsidRPr="00277FC6">
              <w:rPr>
                <w:noProof/>
              </w:rPr>
              <w:t>nformal collaborations</w:t>
            </w:r>
            <w:r>
              <w:rPr>
                <w:noProof/>
              </w:rPr>
              <w:t xml:space="preserve"> between Center investigators</w:t>
            </w:r>
          </w:p>
        </w:tc>
        <w:tc>
          <w:tcPr>
            <w:tcW w:w="3740" w:type="dxa"/>
            <w:tcBorders>
              <w:top w:val="single" w:sz="4" w:space="0" w:color="000000"/>
              <w:left w:val="single" w:sz="4" w:space="0" w:color="000000"/>
              <w:bottom w:val="single" w:sz="4" w:space="0" w:color="000000"/>
              <w:right w:val="single" w:sz="4" w:space="0" w:color="000000"/>
            </w:tcBorders>
          </w:tcPr>
          <w:p w14:paraId="79AEDBE7" w14:textId="77777777" w:rsidR="00144170" w:rsidRPr="00277FC6" w:rsidRDefault="00144170" w:rsidP="002341DD">
            <w:pPr>
              <w:rPr>
                <w:noProof/>
              </w:rPr>
            </w:pPr>
            <w:r>
              <w:rPr>
                <w:noProof/>
              </w:rPr>
              <w:t>Progress reports</w:t>
            </w:r>
          </w:p>
        </w:tc>
      </w:tr>
      <w:tr w:rsidR="00144170" w:rsidRPr="00277FC6" w14:paraId="5C449B25" w14:textId="77777777">
        <w:trPr>
          <w:trHeight w:val="377"/>
        </w:trPr>
        <w:tc>
          <w:tcPr>
            <w:tcW w:w="1648" w:type="dxa"/>
            <w:vMerge/>
            <w:tcBorders>
              <w:left w:val="single" w:sz="4" w:space="0" w:color="000000"/>
              <w:right w:val="single" w:sz="4" w:space="0" w:color="000000"/>
            </w:tcBorders>
          </w:tcPr>
          <w:p w14:paraId="11B70803" w14:textId="77777777" w:rsidR="00144170" w:rsidRPr="00277FC6" w:rsidRDefault="00144170" w:rsidP="002341DD">
            <w:pPr>
              <w:rPr>
                <w:noProof/>
              </w:rPr>
            </w:pPr>
          </w:p>
        </w:tc>
        <w:tc>
          <w:tcPr>
            <w:tcW w:w="4180" w:type="dxa"/>
            <w:tcBorders>
              <w:top w:val="single" w:sz="4" w:space="0" w:color="000000"/>
              <w:left w:val="single" w:sz="4" w:space="0" w:color="000000"/>
              <w:bottom w:val="single" w:sz="4" w:space="0" w:color="000000"/>
              <w:right w:val="single" w:sz="4" w:space="0" w:color="000000"/>
            </w:tcBorders>
          </w:tcPr>
          <w:p w14:paraId="35BB172F" w14:textId="77777777" w:rsidR="00144170" w:rsidRDefault="00144170" w:rsidP="002341DD">
            <w:pPr>
              <w:rPr>
                <w:noProof/>
              </w:rPr>
            </w:pPr>
            <w:r>
              <w:rPr>
                <w:noProof/>
              </w:rPr>
              <w:t>Cross-Center collaborations</w:t>
            </w:r>
          </w:p>
        </w:tc>
        <w:tc>
          <w:tcPr>
            <w:tcW w:w="3740" w:type="dxa"/>
            <w:tcBorders>
              <w:top w:val="single" w:sz="4" w:space="0" w:color="000000"/>
              <w:left w:val="single" w:sz="4" w:space="0" w:color="000000"/>
              <w:bottom w:val="single" w:sz="4" w:space="0" w:color="000000"/>
              <w:right w:val="single" w:sz="4" w:space="0" w:color="000000"/>
            </w:tcBorders>
          </w:tcPr>
          <w:p w14:paraId="65753379" w14:textId="77777777" w:rsidR="00144170" w:rsidRPr="00277FC6" w:rsidRDefault="00144170" w:rsidP="002341DD">
            <w:pPr>
              <w:rPr>
                <w:noProof/>
              </w:rPr>
            </w:pPr>
            <w:r>
              <w:rPr>
                <w:noProof/>
              </w:rPr>
              <w:t>Progress reports</w:t>
            </w:r>
          </w:p>
        </w:tc>
      </w:tr>
      <w:tr w:rsidR="00144170" w:rsidRPr="00277FC6" w14:paraId="4E94963E" w14:textId="77777777">
        <w:trPr>
          <w:trHeight w:val="377"/>
        </w:trPr>
        <w:tc>
          <w:tcPr>
            <w:tcW w:w="1648" w:type="dxa"/>
            <w:vMerge/>
            <w:tcBorders>
              <w:left w:val="single" w:sz="4" w:space="0" w:color="000000"/>
              <w:right w:val="single" w:sz="4" w:space="0" w:color="000000"/>
            </w:tcBorders>
          </w:tcPr>
          <w:p w14:paraId="4F00D3C0" w14:textId="77777777" w:rsidR="00144170" w:rsidRPr="00277FC6" w:rsidRDefault="00144170" w:rsidP="002341DD">
            <w:pPr>
              <w:rPr>
                <w:noProof/>
              </w:rPr>
            </w:pPr>
          </w:p>
        </w:tc>
        <w:tc>
          <w:tcPr>
            <w:tcW w:w="4180" w:type="dxa"/>
            <w:tcBorders>
              <w:top w:val="single" w:sz="4" w:space="0" w:color="000000"/>
              <w:left w:val="single" w:sz="4" w:space="0" w:color="000000"/>
              <w:bottom w:val="single" w:sz="4" w:space="0" w:color="000000"/>
              <w:right w:val="single" w:sz="4" w:space="0" w:color="000000"/>
            </w:tcBorders>
          </w:tcPr>
          <w:p w14:paraId="6DC84982" w14:textId="77777777" w:rsidR="00144170" w:rsidRDefault="00144170" w:rsidP="002341DD">
            <w:pPr>
              <w:rPr>
                <w:noProof/>
              </w:rPr>
            </w:pPr>
            <w:r>
              <w:rPr>
                <w:noProof/>
              </w:rPr>
              <w:t>Collaborations between Center investigators and others</w:t>
            </w:r>
          </w:p>
        </w:tc>
        <w:tc>
          <w:tcPr>
            <w:tcW w:w="3740" w:type="dxa"/>
            <w:tcBorders>
              <w:top w:val="single" w:sz="4" w:space="0" w:color="000000"/>
              <w:left w:val="single" w:sz="4" w:space="0" w:color="000000"/>
              <w:bottom w:val="single" w:sz="4" w:space="0" w:color="000000"/>
              <w:right w:val="single" w:sz="4" w:space="0" w:color="000000"/>
            </w:tcBorders>
          </w:tcPr>
          <w:p w14:paraId="37B8FB7C" w14:textId="77777777" w:rsidR="00144170" w:rsidRPr="00277FC6" w:rsidRDefault="00144170" w:rsidP="002341DD">
            <w:pPr>
              <w:rPr>
                <w:noProof/>
              </w:rPr>
            </w:pPr>
            <w:r>
              <w:rPr>
                <w:noProof/>
              </w:rPr>
              <w:t>Progress reports</w:t>
            </w:r>
          </w:p>
        </w:tc>
      </w:tr>
      <w:tr w:rsidR="00144170" w:rsidRPr="00277FC6" w14:paraId="64F9BA62" w14:textId="77777777">
        <w:trPr>
          <w:trHeight w:val="377"/>
        </w:trPr>
        <w:tc>
          <w:tcPr>
            <w:tcW w:w="1648" w:type="dxa"/>
            <w:vMerge/>
            <w:tcBorders>
              <w:left w:val="single" w:sz="4" w:space="0" w:color="000000"/>
              <w:right w:val="single" w:sz="4" w:space="0" w:color="000000"/>
            </w:tcBorders>
          </w:tcPr>
          <w:p w14:paraId="3554AC54" w14:textId="77777777" w:rsidR="00144170" w:rsidRPr="00277FC6" w:rsidRDefault="00144170" w:rsidP="002341DD">
            <w:pPr>
              <w:rPr>
                <w:noProof/>
              </w:rPr>
            </w:pPr>
          </w:p>
        </w:tc>
        <w:tc>
          <w:tcPr>
            <w:tcW w:w="4180" w:type="dxa"/>
            <w:tcBorders>
              <w:top w:val="single" w:sz="4" w:space="0" w:color="000000"/>
              <w:left w:val="single" w:sz="4" w:space="0" w:color="000000"/>
              <w:bottom w:val="single" w:sz="4" w:space="0" w:color="000000"/>
              <w:right w:val="single" w:sz="4" w:space="0" w:color="000000"/>
            </w:tcBorders>
          </w:tcPr>
          <w:p w14:paraId="0C63EA43" w14:textId="77777777" w:rsidR="00144170" w:rsidRDefault="00144170" w:rsidP="002341DD">
            <w:pPr>
              <w:rPr>
                <w:noProof/>
              </w:rPr>
            </w:pPr>
            <w:r>
              <w:rPr>
                <w:noProof/>
              </w:rPr>
              <w:t>Core resources supported, by type</w:t>
            </w:r>
          </w:p>
        </w:tc>
        <w:tc>
          <w:tcPr>
            <w:tcW w:w="3740" w:type="dxa"/>
            <w:tcBorders>
              <w:top w:val="single" w:sz="4" w:space="0" w:color="000000"/>
              <w:left w:val="single" w:sz="4" w:space="0" w:color="000000"/>
              <w:bottom w:val="single" w:sz="4" w:space="0" w:color="000000"/>
              <w:right w:val="single" w:sz="4" w:space="0" w:color="000000"/>
            </w:tcBorders>
          </w:tcPr>
          <w:p w14:paraId="701EB459" w14:textId="77777777" w:rsidR="00144170" w:rsidRPr="00277FC6" w:rsidRDefault="00144170" w:rsidP="002341DD">
            <w:pPr>
              <w:rPr>
                <w:noProof/>
              </w:rPr>
            </w:pPr>
            <w:r>
              <w:rPr>
                <w:noProof/>
              </w:rPr>
              <w:t>Progress reports</w:t>
            </w:r>
          </w:p>
        </w:tc>
      </w:tr>
      <w:tr w:rsidR="00144170" w:rsidRPr="00277FC6" w14:paraId="6DED5915" w14:textId="77777777">
        <w:trPr>
          <w:trHeight w:val="377"/>
        </w:trPr>
        <w:tc>
          <w:tcPr>
            <w:tcW w:w="1648" w:type="dxa"/>
            <w:vMerge/>
            <w:tcBorders>
              <w:left w:val="single" w:sz="4" w:space="0" w:color="000000"/>
              <w:bottom w:val="single" w:sz="4" w:space="0" w:color="000000"/>
              <w:right w:val="single" w:sz="4" w:space="0" w:color="000000"/>
            </w:tcBorders>
          </w:tcPr>
          <w:p w14:paraId="5B702BC6" w14:textId="77777777" w:rsidR="00144170" w:rsidRPr="00277FC6" w:rsidRDefault="00144170" w:rsidP="002341DD">
            <w:pPr>
              <w:rPr>
                <w:noProof/>
              </w:rPr>
            </w:pPr>
          </w:p>
        </w:tc>
        <w:tc>
          <w:tcPr>
            <w:tcW w:w="4180" w:type="dxa"/>
            <w:tcBorders>
              <w:top w:val="single" w:sz="4" w:space="0" w:color="000000"/>
              <w:left w:val="single" w:sz="4" w:space="0" w:color="000000"/>
              <w:bottom w:val="single" w:sz="4" w:space="0" w:color="000000"/>
              <w:right w:val="single" w:sz="4" w:space="0" w:color="000000"/>
            </w:tcBorders>
          </w:tcPr>
          <w:p w14:paraId="794C3387" w14:textId="77777777" w:rsidR="00144170" w:rsidRDefault="00144170" w:rsidP="002341DD">
            <w:pPr>
              <w:rPr>
                <w:noProof/>
              </w:rPr>
            </w:pPr>
            <w:r>
              <w:rPr>
                <w:noProof/>
              </w:rPr>
              <w:t>Use of core resources</w:t>
            </w:r>
          </w:p>
        </w:tc>
        <w:tc>
          <w:tcPr>
            <w:tcW w:w="3740" w:type="dxa"/>
            <w:tcBorders>
              <w:top w:val="single" w:sz="4" w:space="0" w:color="000000"/>
              <w:left w:val="single" w:sz="4" w:space="0" w:color="000000"/>
              <w:bottom w:val="single" w:sz="4" w:space="0" w:color="000000"/>
              <w:right w:val="single" w:sz="4" w:space="0" w:color="000000"/>
            </w:tcBorders>
          </w:tcPr>
          <w:p w14:paraId="7B61B1C2" w14:textId="77777777" w:rsidR="00144170" w:rsidRPr="00277FC6" w:rsidRDefault="00144170" w:rsidP="002341DD">
            <w:pPr>
              <w:rPr>
                <w:noProof/>
              </w:rPr>
            </w:pPr>
            <w:r>
              <w:rPr>
                <w:noProof/>
              </w:rPr>
              <w:t>Progress reports</w:t>
            </w:r>
          </w:p>
        </w:tc>
      </w:tr>
      <w:tr w:rsidR="00FF4EB7" w:rsidRPr="00277FC6" w14:paraId="27A71F60" w14:textId="77777777">
        <w:trPr>
          <w:trHeight w:val="350"/>
        </w:trPr>
        <w:tc>
          <w:tcPr>
            <w:tcW w:w="1648" w:type="dxa"/>
            <w:vMerge w:val="restart"/>
            <w:tcBorders>
              <w:top w:val="single" w:sz="4" w:space="0" w:color="000000"/>
              <w:left w:val="single" w:sz="4" w:space="0" w:color="000000"/>
              <w:right w:val="single" w:sz="4" w:space="0" w:color="000000"/>
            </w:tcBorders>
          </w:tcPr>
          <w:p w14:paraId="457F7357" w14:textId="77777777" w:rsidR="00FF4EB7" w:rsidRPr="00277FC6" w:rsidRDefault="00FF4EB7" w:rsidP="002341DD">
            <w:pPr>
              <w:rPr>
                <w:noProof/>
              </w:rPr>
            </w:pPr>
            <w:r>
              <w:rPr>
                <w:noProof/>
              </w:rPr>
              <w:lastRenderedPageBreak/>
              <w:t>3. Training and Outreach</w:t>
            </w:r>
          </w:p>
        </w:tc>
        <w:tc>
          <w:tcPr>
            <w:tcW w:w="4180" w:type="dxa"/>
            <w:tcBorders>
              <w:top w:val="single" w:sz="4" w:space="0" w:color="000000"/>
              <w:left w:val="single" w:sz="4" w:space="0" w:color="000000"/>
              <w:bottom w:val="single" w:sz="4" w:space="0" w:color="000000"/>
              <w:right w:val="single" w:sz="4" w:space="0" w:color="000000"/>
            </w:tcBorders>
          </w:tcPr>
          <w:p w14:paraId="45789C0F" w14:textId="77777777" w:rsidR="00FF4EB7" w:rsidRPr="00277FC6" w:rsidRDefault="00FF4EB7" w:rsidP="002341DD">
            <w:pPr>
              <w:rPr>
                <w:noProof/>
              </w:rPr>
            </w:pPr>
            <w:r>
              <w:rPr>
                <w:noProof/>
              </w:rPr>
              <w:t>S</w:t>
            </w:r>
            <w:r w:rsidRPr="00277FC6">
              <w:rPr>
                <w:noProof/>
              </w:rPr>
              <w:t>tudents and fellows supported</w:t>
            </w:r>
          </w:p>
        </w:tc>
        <w:tc>
          <w:tcPr>
            <w:tcW w:w="3740" w:type="dxa"/>
            <w:tcBorders>
              <w:top w:val="single" w:sz="4" w:space="0" w:color="000000"/>
              <w:left w:val="single" w:sz="4" w:space="0" w:color="000000"/>
              <w:bottom w:val="single" w:sz="4" w:space="0" w:color="000000"/>
              <w:right w:val="single" w:sz="4" w:space="0" w:color="000000"/>
            </w:tcBorders>
          </w:tcPr>
          <w:p w14:paraId="3F07C1EB" w14:textId="77777777" w:rsidR="00FF4EB7" w:rsidRPr="00277FC6" w:rsidRDefault="00FF4EB7" w:rsidP="002341DD">
            <w:pPr>
              <w:rPr>
                <w:noProof/>
              </w:rPr>
            </w:pPr>
            <w:r>
              <w:rPr>
                <w:noProof/>
              </w:rPr>
              <w:t>Progress reports</w:t>
            </w:r>
          </w:p>
        </w:tc>
      </w:tr>
      <w:tr w:rsidR="00FF4EB7" w:rsidRPr="00277FC6" w14:paraId="14C22FBA" w14:textId="77777777">
        <w:trPr>
          <w:trHeight w:val="350"/>
        </w:trPr>
        <w:tc>
          <w:tcPr>
            <w:tcW w:w="1648" w:type="dxa"/>
            <w:vMerge/>
            <w:tcBorders>
              <w:left w:val="single" w:sz="4" w:space="0" w:color="000000"/>
              <w:right w:val="single" w:sz="4" w:space="0" w:color="000000"/>
            </w:tcBorders>
          </w:tcPr>
          <w:p w14:paraId="516B78E5" w14:textId="77777777" w:rsidR="00FF4EB7" w:rsidRPr="00277FC6" w:rsidRDefault="00FF4EB7" w:rsidP="002341DD">
            <w:pPr>
              <w:rPr>
                <w:noProof/>
              </w:rPr>
            </w:pPr>
          </w:p>
        </w:tc>
        <w:tc>
          <w:tcPr>
            <w:tcW w:w="4180" w:type="dxa"/>
            <w:tcBorders>
              <w:top w:val="single" w:sz="4" w:space="0" w:color="000000"/>
              <w:left w:val="single" w:sz="4" w:space="0" w:color="000000"/>
              <w:bottom w:val="single" w:sz="4" w:space="0" w:color="000000"/>
              <w:right w:val="single" w:sz="4" w:space="0" w:color="000000"/>
            </w:tcBorders>
          </w:tcPr>
          <w:p w14:paraId="2309CCEC" w14:textId="77777777" w:rsidR="00FF4EB7" w:rsidRPr="00277FC6" w:rsidRDefault="00FF4EB7" w:rsidP="002341DD">
            <w:pPr>
              <w:rPr>
                <w:noProof/>
              </w:rPr>
            </w:pPr>
            <w:r>
              <w:rPr>
                <w:noProof/>
              </w:rPr>
              <w:t>P</w:t>
            </w:r>
            <w:r w:rsidRPr="00277FC6">
              <w:rPr>
                <w:noProof/>
              </w:rPr>
              <w:t>articipants in cross-center exchanges</w:t>
            </w:r>
          </w:p>
        </w:tc>
        <w:tc>
          <w:tcPr>
            <w:tcW w:w="3740" w:type="dxa"/>
            <w:tcBorders>
              <w:top w:val="single" w:sz="4" w:space="0" w:color="000000"/>
              <w:left w:val="single" w:sz="4" w:space="0" w:color="000000"/>
              <w:bottom w:val="single" w:sz="4" w:space="0" w:color="000000"/>
              <w:right w:val="single" w:sz="4" w:space="0" w:color="000000"/>
            </w:tcBorders>
          </w:tcPr>
          <w:p w14:paraId="4A074A82" w14:textId="77777777" w:rsidR="00FF4EB7" w:rsidRPr="00277FC6" w:rsidRDefault="00FF4EB7" w:rsidP="002341DD">
            <w:pPr>
              <w:rPr>
                <w:noProof/>
              </w:rPr>
            </w:pPr>
            <w:r>
              <w:rPr>
                <w:noProof/>
              </w:rPr>
              <w:t>Progress reports</w:t>
            </w:r>
          </w:p>
        </w:tc>
      </w:tr>
      <w:tr w:rsidR="00FF4EB7" w:rsidRPr="00277FC6" w14:paraId="301B884A" w14:textId="77777777">
        <w:trPr>
          <w:trHeight w:val="278"/>
        </w:trPr>
        <w:tc>
          <w:tcPr>
            <w:tcW w:w="1648" w:type="dxa"/>
            <w:vMerge/>
            <w:tcBorders>
              <w:left w:val="single" w:sz="4" w:space="0" w:color="000000"/>
              <w:right w:val="single" w:sz="4" w:space="0" w:color="000000"/>
            </w:tcBorders>
          </w:tcPr>
          <w:p w14:paraId="78ADA585" w14:textId="77777777" w:rsidR="00FF4EB7" w:rsidRPr="00277FC6" w:rsidRDefault="00FF4EB7" w:rsidP="002341DD">
            <w:pPr>
              <w:rPr>
                <w:noProof/>
              </w:rPr>
            </w:pPr>
          </w:p>
        </w:tc>
        <w:tc>
          <w:tcPr>
            <w:tcW w:w="4180" w:type="dxa"/>
            <w:tcBorders>
              <w:top w:val="single" w:sz="4" w:space="0" w:color="000000"/>
              <w:left w:val="single" w:sz="4" w:space="0" w:color="000000"/>
              <w:bottom w:val="single" w:sz="4" w:space="0" w:color="000000"/>
              <w:right w:val="single" w:sz="4" w:space="0" w:color="000000"/>
            </w:tcBorders>
          </w:tcPr>
          <w:p w14:paraId="38B3CCF0" w14:textId="77777777" w:rsidR="00FF4EB7" w:rsidRPr="00277FC6" w:rsidRDefault="00FF4EB7" w:rsidP="002341DD">
            <w:pPr>
              <w:rPr>
                <w:noProof/>
              </w:rPr>
            </w:pPr>
            <w:r>
              <w:rPr>
                <w:noProof/>
              </w:rPr>
              <w:t>Course materials/t</w:t>
            </w:r>
            <w:r w:rsidRPr="00277FC6">
              <w:rPr>
                <w:noProof/>
              </w:rPr>
              <w:t>raining modules created</w:t>
            </w:r>
          </w:p>
        </w:tc>
        <w:tc>
          <w:tcPr>
            <w:tcW w:w="3740" w:type="dxa"/>
            <w:tcBorders>
              <w:top w:val="single" w:sz="4" w:space="0" w:color="000000"/>
              <w:left w:val="single" w:sz="4" w:space="0" w:color="000000"/>
              <w:bottom w:val="single" w:sz="4" w:space="0" w:color="000000"/>
              <w:right w:val="single" w:sz="4" w:space="0" w:color="000000"/>
            </w:tcBorders>
          </w:tcPr>
          <w:p w14:paraId="64C9E322" w14:textId="77777777" w:rsidR="00FF4EB7" w:rsidRPr="00277FC6" w:rsidRDefault="00FF4EB7" w:rsidP="002341DD">
            <w:pPr>
              <w:rPr>
                <w:noProof/>
              </w:rPr>
            </w:pPr>
            <w:r>
              <w:rPr>
                <w:noProof/>
              </w:rPr>
              <w:t>Progress reports</w:t>
            </w:r>
          </w:p>
        </w:tc>
      </w:tr>
      <w:tr w:rsidR="00FF4EB7" w:rsidRPr="00277FC6" w14:paraId="036508D7" w14:textId="77777777">
        <w:trPr>
          <w:trHeight w:val="350"/>
        </w:trPr>
        <w:tc>
          <w:tcPr>
            <w:tcW w:w="1648" w:type="dxa"/>
            <w:vMerge/>
            <w:tcBorders>
              <w:left w:val="single" w:sz="4" w:space="0" w:color="000000"/>
              <w:right w:val="single" w:sz="4" w:space="0" w:color="000000"/>
            </w:tcBorders>
          </w:tcPr>
          <w:p w14:paraId="2B4838CE" w14:textId="77777777" w:rsidR="00FF4EB7" w:rsidRPr="00277FC6" w:rsidRDefault="00FF4EB7" w:rsidP="002341DD">
            <w:pPr>
              <w:rPr>
                <w:noProof/>
              </w:rPr>
            </w:pPr>
          </w:p>
        </w:tc>
        <w:tc>
          <w:tcPr>
            <w:tcW w:w="4180" w:type="dxa"/>
            <w:tcBorders>
              <w:top w:val="single" w:sz="4" w:space="0" w:color="000000"/>
              <w:left w:val="single" w:sz="4" w:space="0" w:color="000000"/>
              <w:bottom w:val="single" w:sz="4" w:space="0" w:color="000000"/>
              <w:right w:val="single" w:sz="4" w:space="0" w:color="000000"/>
            </w:tcBorders>
          </w:tcPr>
          <w:p w14:paraId="0CB7F9FA" w14:textId="77777777" w:rsidR="00FF4EB7" w:rsidRPr="00277FC6" w:rsidRDefault="00FF4EB7" w:rsidP="002341DD">
            <w:pPr>
              <w:rPr>
                <w:noProof/>
              </w:rPr>
            </w:pPr>
            <w:r>
              <w:rPr>
                <w:noProof/>
              </w:rPr>
              <w:t>S</w:t>
            </w:r>
            <w:r w:rsidRPr="00277FC6">
              <w:rPr>
                <w:noProof/>
              </w:rPr>
              <w:t>eminars/workshops conducted by centers</w:t>
            </w:r>
          </w:p>
        </w:tc>
        <w:tc>
          <w:tcPr>
            <w:tcW w:w="3740" w:type="dxa"/>
            <w:tcBorders>
              <w:top w:val="single" w:sz="4" w:space="0" w:color="000000"/>
              <w:left w:val="single" w:sz="4" w:space="0" w:color="000000"/>
              <w:bottom w:val="single" w:sz="4" w:space="0" w:color="000000"/>
              <w:right w:val="single" w:sz="4" w:space="0" w:color="000000"/>
            </w:tcBorders>
          </w:tcPr>
          <w:p w14:paraId="08FD95B5" w14:textId="77777777" w:rsidR="00FF4EB7" w:rsidRPr="00277FC6" w:rsidRDefault="00FF4EB7" w:rsidP="002341DD">
            <w:pPr>
              <w:rPr>
                <w:noProof/>
              </w:rPr>
            </w:pPr>
            <w:r>
              <w:rPr>
                <w:noProof/>
              </w:rPr>
              <w:t>Progress reports</w:t>
            </w:r>
          </w:p>
        </w:tc>
      </w:tr>
      <w:tr w:rsidR="00FF4EB7" w:rsidRPr="00277FC6" w14:paraId="4FAACA57" w14:textId="77777777">
        <w:trPr>
          <w:trHeight w:val="350"/>
        </w:trPr>
        <w:tc>
          <w:tcPr>
            <w:tcW w:w="1648" w:type="dxa"/>
            <w:vMerge/>
            <w:tcBorders>
              <w:left w:val="single" w:sz="4" w:space="0" w:color="000000"/>
              <w:right w:val="single" w:sz="4" w:space="0" w:color="000000"/>
            </w:tcBorders>
          </w:tcPr>
          <w:p w14:paraId="5610C98A" w14:textId="77777777" w:rsidR="00FF4EB7" w:rsidRPr="00277FC6" w:rsidRDefault="00FF4EB7" w:rsidP="002341DD">
            <w:pPr>
              <w:rPr>
                <w:noProof/>
              </w:rPr>
            </w:pPr>
          </w:p>
        </w:tc>
        <w:tc>
          <w:tcPr>
            <w:tcW w:w="4180" w:type="dxa"/>
            <w:tcBorders>
              <w:top w:val="single" w:sz="4" w:space="0" w:color="000000"/>
              <w:left w:val="single" w:sz="4" w:space="0" w:color="000000"/>
              <w:bottom w:val="single" w:sz="4" w:space="0" w:color="000000"/>
              <w:right w:val="single" w:sz="4" w:space="0" w:color="000000"/>
            </w:tcBorders>
          </w:tcPr>
          <w:p w14:paraId="5D109E21" w14:textId="77777777" w:rsidR="00FF4EB7" w:rsidRPr="00277FC6" w:rsidRDefault="00FF4EB7" w:rsidP="002341DD">
            <w:pPr>
              <w:rPr>
                <w:noProof/>
              </w:rPr>
            </w:pPr>
            <w:r>
              <w:rPr>
                <w:noProof/>
              </w:rPr>
              <w:t>Other d</w:t>
            </w:r>
            <w:r w:rsidRPr="00277FC6">
              <w:rPr>
                <w:noProof/>
              </w:rPr>
              <w:t>issemination activities</w:t>
            </w:r>
          </w:p>
        </w:tc>
        <w:tc>
          <w:tcPr>
            <w:tcW w:w="3740" w:type="dxa"/>
            <w:tcBorders>
              <w:top w:val="single" w:sz="4" w:space="0" w:color="000000"/>
              <w:left w:val="single" w:sz="4" w:space="0" w:color="000000"/>
              <w:bottom w:val="single" w:sz="4" w:space="0" w:color="000000"/>
              <w:right w:val="single" w:sz="4" w:space="0" w:color="000000"/>
            </w:tcBorders>
          </w:tcPr>
          <w:p w14:paraId="618F4083" w14:textId="77777777" w:rsidR="00FF4EB7" w:rsidRPr="00277FC6" w:rsidRDefault="00FF4EB7" w:rsidP="002341DD">
            <w:pPr>
              <w:rPr>
                <w:noProof/>
              </w:rPr>
            </w:pPr>
            <w:r>
              <w:rPr>
                <w:noProof/>
              </w:rPr>
              <w:t>Progress reports</w:t>
            </w:r>
          </w:p>
        </w:tc>
      </w:tr>
      <w:tr w:rsidR="00FF4EB7" w:rsidRPr="00277FC6" w14:paraId="77E7FFEE" w14:textId="77777777">
        <w:trPr>
          <w:trHeight w:val="530"/>
        </w:trPr>
        <w:tc>
          <w:tcPr>
            <w:tcW w:w="1648" w:type="dxa"/>
            <w:vMerge w:val="restart"/>
            <w:tcBorders>
              <w:left w:val="single" w:sz="4" w:space="0" w:color="000000"/>
              <w:right w:val="single" w:sz="4" w:space="0" w:color="000000"/>
            </w:tcBorders>
          </w:tcPr>
          <w:p w14:paraId="662142E5" w14:textId="77777777" w:rsidR="00FF4EB7" w:rsidRPr="00277FC6" w:rsidRDefault="00FF4EB7" w:rsidP="002341DD">
            <w:pPr>
              <w:rPr>
                <w:noProof/>
              </w:rPr>
            </w:pPr>
            <w:r>
              <w:rPr>
                <w:noProof/>
              </w:rPr>
              <w:t xml:space="preserve">4. </w:t>
            </w:r>
            <w:r w:rsidR="00034FDC">
              <w:rPr>
                <w:noProof/>
              </w:rPr>
              <w:t>Broader</w:t>
            </w:r>
            <w:r>
              <w:rPr>
                <w:noProof/>
              </w:rPr>
              <w:t xml:space="preserve"> impacts</w:t>
            </w:r>
          </w:p>
        </w:tc>
        <w:tc>
          <w:tcPr>
            <w:tcW w:w="4180" w:type="dxa"/>
            <w:tcBorders>
              <w:top w:val="single" w:sz="4" w:space="0" w:color="000000"/>
              <w:left w:val="single" w:sz="4" w:space="0" w:color="000000"/>
              <w:bottom w:val="single" w:sz="4" w:space="0" w:color="000000"/>
              <w:right w:val="single" w:sz="4" w:space="0" w:color="000000"/>
            </w:tcBorders>
          </w:tcPr>
          <w:p w14:paraId="25103C7C" w14:textId="77777777" w:rsidR="00FF4EB7" w:rsidRPr="00277FC6" w:rsidRDefault="00FF4EB7" w:rsidP="002341DD">
            <w:pPr>
              <w:rPr>
                <w:noProof/>
              </w:rPr>
            </w:pPr>
            <w:r>
              <w:rPr>
                <w:noProof/>
              </w:rPr>
              <w:t xml:space="preserve">New solicitations for cancer research proposals </w:t>
            </w:r>
            <w:r w:rsidRPr="00277FC6">
              <w:rPr>
                <w:noProof/>
              </w:rPr>
              <w:t>using physical sciences approaches</w:t>
            </w:r>
            <w:r>
              <w:rPr>
                <w:noProof/>
              </w:rPr>
              <w:t>, with links to Centers (if any)</w:t>
            </w:r>
          </w:p>
        </w:tc>
        <w:tc>
          <w:tcPr>
            <w:tcW w:w="3740" w:type="dxa"/>
            <w:tcBorders>
              <w:top w:val="single" w:sz="4" w:space="0" w:color="000000"/>
              <w:left w:val="single" w:sz="4" w:space="0" w:color="000000"/>
              <w:bottom w:val="single" w:sz="4" w:space="0" w:color="000000"/>
              <w:right w:val="single" w:sz="4" w:space="0" w:color="000000"/>
            </w:tcBorders>
          </w:tcPr>
          <w:p w14:paraId="7AED2D19" w14:textId="77777777" w:rsidR="00FF4EB7" w:rsidRPr="00277FC6" w:rsidRDefault="00FF4EB7" w:rsidP="002341DD">
            <w:pPr>
              <w:rPr>
                <w:noProof/>
              </w:rPr>
            </w:pPr>
            <w:r w:rsidRPr="00277FC6">
              <w:rPr>
                <w:noProof/>
              </w:rPr>
              <w:t>NIH administrative data</w:t>
            </w:r>
            <w:r>
              <w:rPr>
                <w:noProof/>
              </w:rPr>
              <w:t>bases; Other funder databases</w:t>
            </w:r>
          </w:p>
        </w:tc>
      </w:tr>
      <w:tr w:rsidR="00FF4EB7" w:rsidRPr="00277FC6" w14:paraId="76E320AA" w14:textId="77777777">
        <w:trPr>
          <w:trHeight w:val="620"/>
        </w:trPr>
        <w:tc>
          <w:tcPr>
            <w:tcW w:w="1648" w:type="dxa"/>
            <w:vMerge/>
            <w:tcBorders>
              <w:left w:val="single" w:sz="4" w:space="0" w:color="000000"/>
              <w:right w:val="single" w:sz="4" w:space="0" w:color="000000"/>
            </w:tcBorders>
          </w:tcPr>
          <w:p w14:paraId="1A524460" w14:textId="77777777" w:rsidR="00FF4EB7" w:rsidRDefault="00FF4EB7" w:rsidP="002341DD">
            <w:pPr>
              <w:rPr>
                <w:noProof/>
              </w:rPr>
            </w:pPr>
          </w:p>
        </w:tc>
        <w:tc>
          <w:tcPr>
            <w:tcW w:w="4180" w:type="dxa"/>
            <w:tcBorders>
              <w:top w:val="single" w:sz="4" w:space="0" w:color="000000"/>
              <w:left w:val="single" w:sz="4" w:space="0" w:color="000000"/>
              <w:bottom w:val="single" w:sz="4" w:space="0" w:color="000000"/>
              <w:right w:val="single" w:sz="4" w:space="0" w:color="000000"/>
            </w:tcBorders>
          </w:tcPr>
          <w:p w14:paraId="6115D48A" w14:textId="77777777" w:rsidR="00FF4EB7" w:rsidRPr="00277FC6" w:rsidRDefault="00FF4EB7" w:rsidP="002341DD">
            <w:pPr>
              <w:rPr>
                <w:noProof/>
              </w:rPr>
            </w:pPr>
            <w:r>
              <w:rPr>
                <w:noProof/>
              </w:rPr>
              <w:t>New applications to NCI for cancer research using physical sciences approaches from Center investigators, others</w:t>
            </w:r>
          </w:p>
        </w:tc>
        <w:tc>
          <w:tcPr>
            <w:tcW w:w="3740" w:type="dxa"/>
            <w:tcBorders>
              <w:top w:val="single" w:sz="4" w:space="0" w:color="000000"/>
              <w:left w:val="single" w:sz="4" w:space="0" w:color="000000"/>
              <w:bottom w:val="single" w:sz="4" w:space="0" w:color="000000"/>
              <w:right w:val="single" w:sz="4" w:space="0" w:color="000000"/>
            </w:tcBorders>
          </w:tcPr>
          <w:p w14:paraId="1D879EC8" w14:textId="77777777" w:rsidR="00FF4EB7" w:rsidRPr="00277FC6" w:rsidRDefault="00FF4EB7" w:rsidP="002341DD">
            <w:pPr>
              <w:rPr>
                <w:noProof/>
              </w:rPr>
            </w:pPr>
            <w:r w:rsidRPr="00277FC6">
              <w:rPr>
                <w:noProof/>
              </w:rPr>
              <w:t>NIH administrative data</w:t>
            </w:r>
            <w:r>
              <w:rPr>
                <w:noProof/>
              </w:rPr>
              <w:t>bases</w:t>
            </w:r>
          </w:p>
        </w:tc>
      </w:tr>
      <w:tr w:rsidR="00FF4EB7" w:rsidRPr="00277FC6" w14:paraId="1725170C" w14:textId="77777777">
        <w:trPr>
          <w:trHeight w:val="530"/>
        </w:trPr>
        <w:tc>
          <w:tcPr>
            <w:tcW w:w="1648" w:type="dxa"/>
            <w:vMerge/>
            <w:tcBorders>
              <w:left w:val="single" w:sz="4" w:space="0" w:color="000000"/>
              <w:bottom w:val="single" w:sz="4" w:space="0" w:color="000000"/>
              <w:right w:val="single" w:sz="4" w:space="0" w:color="000000"/>
            </w:tcBorders>
          </w:tcPr>
          <w:p w14:paraId="02691AF0" w14:textId="77777777" w:rsidR="00FF4EB7" w:rsidRDefault="00FF4EB7" w:rsidP="002341DD">
            <w:pPr>
              <w:rPr>
                <w:noProof/>
              </w:rPr>
            </w:pPr>
          </w:p>
        </w:tc>
        <w:tc>
          <w:tcPr>
            <w:tcW w:w="4180" w:type="dxa"/>
            <w:tcBorders>
              <w:top w:val="single" w:sz="4" w:space="0" w:color="000000"/>
              <w:left w:val="single" w:sz="4" w:space="0" w:color="000000"/>
              <w:bottom w:val="single" w:sz="4" w:space="0" w:color="000000"/>
              <w:right w:val="single" w:sz="4" w:space="0" w:color="000000"/>
            </w:tcBorders>
          </w:tcPr>
          <w:p w14:paraId="153B225C" w14:textId="77777777" w:rsidR="00FF4EB7" w:rsidRPr="00277FC6" w:rsidRDefault="00FF4EB7" w:rsidP="002341DD">
            <w:pPr>
              <w:rPr>
                <w:noProof/>
              </w:rPr>
            </w:pPr>
            <w:r>
              <w:rPr>
                <w:noProof/>
              </w:rPr>
              <w:t>N</w:t>
            </w:r>
            <w:r w:rsidRPr="00277FC6">
              <w:rPr>
                <w:noProof/>
              </w:rPr>
              <w:t xml:space="preserve">ew workshops/conferences/ </w:t>
            </w:r>
            <w:r>
              <w:rPr>
                <w:noProof/>
              </w:rPr>
              <w:t xml:space="preserve">other </w:t>
            </w:r>
            <w:r w:rsidRPr="00277FC6">
              <w:rPr>
                <w:noProof/>
              </w:rPr>
              <w:t xml:space="preserve">efforts </w:t>
            </w:r>
            <w:r>
              <w:rPr>
                <w:noProof/>
              </w:rPr>
              <w:t>involving physical sciences and cancer with links to Centers (if any)</w:t>
            </w:r>
          </w:p>
        </w:tc>
        <w:tc>
          <w:tcPr>
            <w:tcW w:w="3740" w:type="dxa"/>
            <w:tcBorders>
              <w:top w:val="single" w:sz="4" w:space="0" w:color="000000"/>
              <w:left w:val="single" w:sz="4" w:space="0" w:color="000000"/>
              <w:bottom w:val="single" w:sz="4" w:space="0" w:color="000000"/>
              <w:right w:val="single" w:sz="4" w:space="0" w:color="000000"/>
            </w:tcBorders>
          </w:tcPr>
          <w:p w14:paraId="18A1ED9B" w14:textId="77777777" w:rsidR="00FF4EB7" w:rsidRPr="00277FC6" w:rsidRDefault="00FF4EB7" w:rsidP="002341DD">
            <w:pPr>
              <w:rPr>
                <w:noProof/>
              </w:rPr>
            </w:pPr>
            <w:r w:rsidRPr="00277FC6">
              <w:rPr>
                <w:noProof/>
              </w:rPr>
              <w:t>NIH administrative data</w:t>
            </w:r>
            <w:r>
              <w:rPr>
                <w:noProof/>
              </w:rPr>
              <w:t>bases; Web searches</w:t>
            </w:r>
          </w:p>
        </w:tc>
      </w:tr>
    </w:tbl>
    <w:p w14:paraId="04F1E2A2" w14:textId="77777777" w:rsidR="00034FDC" w:rsidRDefault="00034FDC" w:rsidP="00034FDC">
      <w:pPr>
        <w:pStyle w:val="ListParagraph"/>
        <w:spacing w:after="240" w:line="276" w:lineRule="auto"/>
        <w:ind w:left="0"/>
      </w:pPr>
    </w:p>
    <w:p w14:paraId="4E9007F7" w14:textId="77777777" w:rsidR="00034FDC" w:rsidRDefault="00034FDC" w:rsidP="00034FDC">
      <w:pPr>
        <w:pStyle w:val="ListParagraph"/>
        <w:spacing w:after="240" w:line="276" w:lineRule="auto"/>
        <w:ind w:left="0"/>
      </w:pPr>
      <w:r>
        <w:t>NCI may wish to employ an independent contractor to coordinate extraction of information from</w:t>
      </w:r>
      <w:r w:rsidRPr="00C537C1">
        <w:t xml:space="preserve"> </w:t>
      </w:r>
      <w:r>
        <w:t xml:space="preserve">progress </w:t>
      </w:r>
      <w:r w:rsidRPr="00C537C1">
        <w:t xml:space="preserve">reports </w:t>
      </w:r>
      <w:r>
        <w:t xml:space="preserve">and collection of supplementary data. </w:t>
      </w:r>
      <w:proofErr w:type="gramStart"/>
      <w:r>
        <w:t>This model has been used successfully by various Centers programs at the National Science Foundation</w:t>
      </w:r>
      <w:proofErr w:type="gramEnd"/>
      <w:r>
        <w:t xml:space="preserve"> (e.g., the Science and Technology Centers). </w:t>
      </w:r>
    </w:p>
    <w:p w14:paraId="068E6188" w14:textId="77777777" w:rsidR="008C5101" w:rsidRDefault="008C5101" w:rsidP="004B7408">
      <w:pPr>
        <w:spacing w:before="240" w:after="240" w:line="276" w:lineRule="auto"/>
        <w:rPr>
          <w:b/>
          <w:bCs/>
        </w:rPr>
      </w:pPr>
    </w:p>
    <w:p w14:paraId="1F4046DF" w14:textId="77777777" w:rsidR="009122BF" w:rsidRPr="002341DD" w:rsidRDefault="009122BF" w:rsidP="009122BF">
      <w:pPr>
        <w:spacing w:after="240" w:line="276" w:lineRule="auto"/>
        <w:rPr>
          <w:b/>
          <w:u w:val="single"/>
        </w:rPr>
      </w:pPr>
      <w:r w:rsidRPr="002341DD">
        <w:rPr>
          <w:b/>
          <w:u w:val="single"/>
        </w:rPr>
        <w:t>Component 2: Expert Panel Review at Year 4-5</w:t>
      </w:r>
    </w:p>
    <w:p w14:paraId="7FEB8FC8" w14:textId="77777777" w:rsidR="00BB7754" w:rsidRDefault="009122BF" w:rsidP="00FE12C6">
      <w:pPr>
        <w:spacing w:before="240" w:after="200" w:line="276" w:lineRule="auto"/>
      </w:pPr>
      <w:r>
        <w:t>The NCI Executive Committee requires evaluation prior to concept renewal</w:t>
      </w:r>
      <w:r w:rsidR="00FF4EB7">
        <w:t xml:space="preserve"> at program year 5, which typically requires that evaluation efforts begin during program year 4. </w:t>
      </w:r>
      <w:r w:rsidR="00E3193C">
        <w:t>STPI recommends a methodologically rigorous</w:t>
      </w:r>
      <w:r w:rsidR="00144170">
        <w:t xml:space="preserve"> expert panel review to assess program design, implementation, progress to date by the Centers, and potential for future success. Specifically, </w:t>
      </w:r>
      <w:r w:rsidR="00AD0EDE">
        <w:t xml:space="preserve">STPI recommends that </w:t>
      </w:r>
      <w:r w:rsidR="00144170">
        <w:t xml:space="preserve">NCI should </w:t>
      </w:r>
      <w:r w:rsidR="00AD0EDE">
        <w:t xml:space="preserve">convene </w:t>
      </w:r>
      <w:r w:rsidR="00144170">
        <w:t xml:space="preserve">a panel of experts to address </w:t>
      </w:r>
      <w:r w:rsidR="00AD0EDE">
        <w:t>the following questions:</w:t>
      </w:r>
    </w:p>
    <w:p w14:paraId="0AF7E365" w14:textId="77777777" w:rsidR="0073725B" w:rsidRDefault="0073725B" w:rsidP="00993FA9">
      <w:pPr>
        <w:numPr>
          <w:ilvl w:val="0"/>
          <w:numId w:val="13"/>
        </w:numPr>
      </w:pPr>
      <w:r>
        <w:t>Are the program’s objectives and priorities being met by progress to date?</w:t>
      </w:r>
    </w:p>
    <w:p w14:paraId="62DB575B" w14:textId="77777777" w:rsidR="0073725B" w:rsidRDefault="0073725B" w:rsidP="00993FA9">
      <w:pPr>
        <w:numPr>
          <w:ilvl w:val="0"/>
          <w:numId w:val="13"/>
        </w:numPr>
      </w:pPr>
      <w:r>
        <w:t>How should the program’s priorities be changed based upon the program’s experience to date?</w:t>
      </w:r>
    </w:p>
    <w:p w14:paraId="13B32AB5" w14:textId="77777777" w:rsidR="0073725B" w:rsidRDefault="0073725B" w:rsidP="0073725B">
      <w:pPr>
        <w:numPr>
          <w:ilvl w:val="0"/>
          <w:numId w:val="13"/>
        </w:numPr>
      </w:pPr>
      <w:r>
        <w:t>Did the program design facilitate achieving the objectives?</w:t>
      </w:r>
    </w:p>
    <w:p w14:paraId="5B7A23C4" w14:textId="77777777" w:rsidR="0073725B" w:rsidRDefault="00993FA9" w:rsidP="0073725B">
      <w:pPr>
        <w:numPr>
          <w:ilvl w:val="0"/>
          <w:numId w:val="13"/>
        </w:numPr>
      </w:pPr>
      <w:r>
        <w:t>Are Centers the right way to achieve the program’s priorities and objectives?</w:t>
      </w:r>
    </w:p>
    <w:p w14:paraId="77BAF103" w14:textId="77777777" w:rsidR="0073725B" w:rsidRDefault="0073725B" w:rsidP="0073725B">
      <w:pPr>
        <w:numPr>
          <w:ilvl w:val="0"/>
          <w:numId w:val="13"/>
        </w:numPr>
      </w:pPr>
      <w:r>
        <w:t>Have there been issues with the implementation of the Centers to date?</w:t>
      </w:r>
    </w:p>
    <w:p w14:paraId="59BD05FC" w14:textId="77777777" w:rsidR="0073725B" w:rsidRDefault="0073725B" w:rsidP="0073725B">
      <w:pPr>
        <w:numPr>
          <w:ilvl w:val="0"/>
          <w:numId w:val="13"/>
        </w:numPr>
      </w:pPr>
      <w:r>
        <w:t>I</w:t>
      </w:r>
      <w:r w:rsidR="00FF4EB7">
        <w:t>s the science being done</w:t>
      </w:r>
      <w:r w:rsidR="00AD0EDE">
        <w:t xml:space="preserve"> at the Centers more innovative/multidisciplinary than most</w:t>
      </w:r>
      <w:r w:rsidR="00FF4EB7">
        <w:t xml:space="preserve"> </w:t>
      </w:r>
      <w:r w:rsidR="00AD0EDE">
        <w:t>science</w:t>
      </w:r>
      <w:r w:rsidR="00FF4EB7">
        <w:t xml:space="preserve"> happening elsewhere?</w:t>
      </w:r>
    </w:p>
    <w:p w14:paraId="439B852A" w14:textId="77777777" w:rsidR="0073725B" w:rsidRDefault="00AD0EDE" w:rsidP="0073725B">
      <w:pPr>
        <w:numPr>
          <w:ilvl w:val="0"/>
          <w:numId w:val="13"/>
        </w:numPr>
      </w:pPr>
      <w:r>
        <w:t>Do the</w:t>
      </w:r>
      <w:r w:rsidR="00FF4EB7">
        <w:t xml:space="preserve"> relationships between physical scientists and cancer researchers</w:t>
      </w:r>
      <w:r>
        <w:t xml:space="preserve"> appear to be appropriately collaborative, with both groups making substantive contributions to the research</w:t>
      </w:r>
      <w:r w:rsidR="00FF4EB7">
        <w:t>?</w:t>
      </w:r>
      <w:r w:rsidR="0073725B">
        <w:t xml:space="preserve">  Are such collaborations occurring at institutions not participating in the PS-OC program?</w:t>
      </w:r>
    </w:p>
    <w:p w14:paraId="40507652" w14:textId="77777777" w:rsidR="0073725B" w:rsidRDefault="00FF4EB7" w:rsidP="0073725B">
      <w:pPr>
        <w:numPr>
          <w:ilvl w:val="0"/>
          <w:numId w:val="13"/>
        </w:numPr>
      </w:pPr>
      <w:r>
        <w:t>Are the training opportunities available through the Center different from training opportunities available elsewhere?</w:t>
      </w:r>
    </w:p>
    <w:p w14:paraId="69D80E5D" w14:textId="77777777" w:rsidR="0073725B" w:rsidRDefault="00AD0EDE" w:rsidP="0073725B">
      <w:pPr>
        <w:numPr>
          <w:ilvl w:val="0"/>
          <w:numId w:val="13"/>
        </w:numPr>
      </w:pPr>
      <w:r>
        <w:t xml:space="preserve"> Overall, does the panel believe the PS-OC progra</w:t>
      </w:r>
      <w:r w:rsidR="0073725B">
        <w:t>m is on track to meet its goals</w:t>
      </w:r>
    </w:p>
    <w:p w14:paraId="20ABF92D" w14:textId="77777777" w:rsidR="00AD0EDE" w:rsidRPr="005707E8" w:rsidRDefault="00AD0EDE" w:rsidP="0073725B">
      <w:pPr>
        <w:numPr>
          <w:ilvl w:val="0"/>
          <w:numId w:val="13"/>
        </w:numPr>
      </w:pPr>
      <w:r>
        <w:lastRenderedPageBreak/>
        <w:t>Does the panel believe that the potential for future progress merits continued investment by NCI in the PS-OCs?</w:t>
      </w:r>
    </w:p>
    <w:p w14:paraId="008302B3" w14:textId="77777777" w:rsidR="0073725B" w:rsidRDefault="0073725B" w:rsidP="00AD0EDE">
      <w:pPr>
        <w:spacing w:line="276" w:lineRule="auto"/>
        <w:rPr>
          <w:bCs/>
        </w:rPr>
      </w:pPr>
    </w:p>
    <w:p w14:paraId="3D0B4E37" w14:textId="77777777" w:rsidR="00E3193C" w:rsidRDefault="00E3193C" w:rsidP="00AD0EDE">
      <w:pPr>
        <w:spacing w:line="276" w:lineRule="auto"/>
        <w:rPr>
          <w:bCs/>
        </w:rPr>
      </w:pPr>
      <w:r>
        <w:rPr>
          <w:bCs/>
        </w:rPr>
        <w:t xml:space="preserve">In order for the expert panel to render credible judgments, the selection of panel members is critical. </w:t>
      </w:r>
      <w:r w:rsidR="00AD0EDE" w:rsidRPr="00AD0EDE">
        <w:rPr>
          <w:bCs/>
        </w:rPr>
        <w:t xml:space="preserve">Expert panel members would ideally be selected and recruited </w:t>
      </w:r>
      <w:r w:rsidR="00993FA9">
        <w:rPr>
          <w:bCs/>
        </w:rPr>
        <w:t>by the NCI Board of Scientific Advisors to assure scientific credibility and neutrality, though program staff could provide suggestions regarding reviewers</w:t>
      </w:r>
      <w:r>
        <w:rPr>
          <w:bCs/>
        </w:rPr>
        <w:t xml:space="preserve">. </w:t>
      </w:r>
    </w:p>
    <w:p w14:paraId="75C46EDE" w14:textId="77777777" w:rsidR="00E3193C" w:rsidRDefault="00E3193C" w:rsidP="00AD0EDE">
      <w:pPr>
        <w:spacing w:line="276" w:lineRule="auto"/>
        <w:rPr>
          <w:bCs/>
        </w:rPr>
      </w:pPr>
    </w:p>
    <w:p w14:paraId="0BDE2C9E" w14:textId="77777777" w:rsidR="00BB7754" w:rsidRDefault="002341DD" w:rsidP="00AD0EDE">
      <w:pPr>
        <w:spacing w:line="276" w:lineRule="auto"/>
        <w:rPr>
          <w:bCs/>
        </w:rPr>
      </w:pPr>
      <w:r>
        <w:rPr>
          <w:bCs/>
        </w:rPr>
        <w:t xml:space="preserve">In order to facilitate the panel members becoming sufficiently familiar with the PS-OCs without making excessive demands on their time, STPI recommends that </w:t>
      </w:r>
      <w:r w:rsidR="00E3193C">
        <w:rPr>
          <w:bCs/>
        </w:rPr>
        <w:t xml:space="preserve">most of the Year 4 Network Meeting should be devoted to the expert panel review. </w:t>
      </w:r>
      <w:r w:rsidR="00BE41BA">
        <w:rPr>
          <w:bCs/>
        </w:rPr>
        <w:t>With the expert panel members in attendance, the Program staff and e</w:t>
      </w:r>
      <w:r>
        <w:rPr>
          <w:bCs/>
        </w:rPr>
        <w:t>ach Center should make a presentation summarizing progress to date. Following the presentations, the expert panel should meet individually with the leadership from each of the Centers to ask questions</w:t>
      </w:r>
      <w:r w:rsidR="00BE41BA">
        <w:rPr>
          <w:bCs/>
        </w:rPr>
        <w:t xml:space="preserve"> and interact one-on-one</w:t>
      </w:r>
      <w:r>
        <w:rPr>
          <w:bCs/>
        </w:rPr>
        <w:t xml:space="preserve">. Prior to the Network Meeting, expert panel members should also have had an opportunity to review all of </w:t>
      </w:r>
      <w:proofErr w:type="gramStart"/>
      <w:r>
        <w:rPr>
          <w:bCs/>
        </w:rPr>
        <w:t xml:space="preserve">the </w:t>
      </w:r>
      <w:r w:rsidR="00AD0EDE">
        <w:rPr>
          <w:bCs/>
        </w:rPr>
        <w:t xml:space="preserve"> activity</w:t>
      </w:r>
      <w:proofErr w:type="gramEnd"/>
      <w:r w:rsidR="00AD0EDE">
        <w:rPr>
          <w:bCs/>
        </w:rPr>
        <w:t>/output data collected as</w:t>
      </w:r>
      <w:r>
        <w:rPr>
          <w:bCs/>
        </w:rPr>
        <w:t xml:space="preserve"> part of evaluation component 1 and the Center progress reports (as there are 12 Centers,</w:t>
      </w:r>
      <w:r w:rsidR="0073725B">
        <w:rPr>
          <w:bCs/>
        </w:rPr>
        <w:t xml:space="preserve"> </w:t>
      </w:r>
      <w:r>
        <w:rPr>
          <w:bCs/>
        </w:rPr>
        <w:t xml:space="preserve"> one or </w:t>
      </w:r>
      <w:r w:rsidR="0073725B">
        <w:rPr>
          <w:bCs/>
        </w:rPr>
        <w:t>two</w:t>
      </w:r>
      <w:r>
        <w:rPr>
          <w:bCs/>
        </w:rPr>
        <w:t xml:space="preserve"> expert panel members</w:t>
      </w:r>
      <w:r w:rsidR="0073725B">
        <w:rPr>
          <w:bCs/>
        </w:rPr>
        <w:t xml:space="preserve"> should focus on each individual Center</w:t>
      </w:r>
      <w:r>
        <w:rPr>
          <w:bCs/>
        </w:rPr>
        <w:t>).</w:t>
      </w:r>
    </w:p>
    <w:p w14:paraId="65626783" w14:textId="77777777" w:rsidR="00BE41BA" w:rsidRDefault="00BE41BA" w:rsidP="00AD0EDE">
      <w:pPr>
        <w:spacing w:line="276" w:lineRule="auto"/>
        <w:rPr>
          <w:bCs/>
        </w:rPr>
      </w:pPr>
    </w:p>
    <w:p w14:paraId="0B29FCB0" w14:textId="77777777" w:rsidR="0028245D" w:rsidRDefault="002341DD" w:rsidP="0028245D">
      <w:pPr>
        <w:spacing w:after="240"/>
        <w:rPr>
          <w:b/>
          <w:bCs/>
        </w:rPr>
      </w:pPr>
      <w:r>
        <w:rPr>
          <w:b/>
          <w:bCs/>
        </w:rPr>
        <w:t>Component 3: Full Outcome Evaluation at Year 10 or Later</w:t>
      </w:r>
    </w:p>
    <w:p w14:paraId="64CF9539" w14:textId="77777777" w:rsidR="00BB7754" w:rsidRPr="00F72D10" w:rsidRDefault="00CD46EA" w:rsidP="00F72D10">
      <w:pPr>
        <w:spacing w:after="240" w:line="276" w:lineRule="auto"/>
      </w:pPr>
      <w:r>
        <w:rPr>
          <w:noProof/>
        </w:rPr>
        <w:t xml:space="preserve">A full Outcome Evaluation would involve more extensive and resource-intensive collection of data on program </w:t>
      </w:r>
      <w:r w:rsidR="00F63553">
        <w:rPr>
          <w:noProof/>
        </w:rPr>
        <w:t xml:space="preserve">performance and </w:t>
      </w:r>
      <w:r>
        <w:rPr>
          <w:noProof/>
        </w:rPr>
        <w:t>outcomes</w:t>
      </w:r>
      <w:r w:rsidR="00F63553">
        <w:rPr>
          <w:noProof/>
        </w:rPr>
        <w:t xml:space="preserve">, possibly in comparison with similar efforts (although, as STPI’s initial efforts to identify examples of true collaboration between physical scientists and cancer researchers were not successful, it is difficult to imagine an appropriate comparative design). </w:t>
      </w:r>
      <w:r w:rsidR="00BE41BA">
        <w:rPr>
          <w:noProof/>
        </w:rPr>
        <w:t xml:space="preserve">If </w:t>
      </w:r>
      <w:r w:rsidR="00F63553">
        <w:rPr>
          <w:noProof/>
        </w:rPr>
        <w:t xml:space="preserve">it is decided that </w:t>
      </w:r>
      <w:r w:rsidR="00BE41BA">
        <w:rPr>
          <w:noProof/>
        </w:rPr>
        <w:t xml:space="preserve">a full Outcome Evaluation </w:t>
      </w:r>
      <w:r w:rsidR="00F63553">
        <w:rPr>
          <w:noProof/>
        </w:rPr>
        <w:t>of</w:t>
      </w:r>
      <w:r w:rsidR="00BE41BA">
        <w:rPr>
          <w:noProof/>
        </w:rPr>
        <w:t xml:space="preserve"> the PS-OCs</w:t>
      </w:r>
      <w:r w:rsidR="00F63553">
        <w:rPr>
          <w:noProof/>
        </w:rPr>
        <w:t xml:space="preserve"> is feasible and warranted</w:t>
      </w:r>
      <w:r w:rsidR="00BE41BA">
        <w:rPr>
          <w:noProof/>
        </w:rPr>
        <w:t xml:space="preserve">, it should not be initiated until the program is stable in terms of design and sufficiently mature for outcomes to be fully developed. Ten years is frequently used as a rule-of-thumb for maturity of Centers programs, but in reality every program is unique. In the case of the PS-OCs, it seems prudent to wait </w:t>
      </w:r>
      <w:r>
        <w:rPr>
          <w:noProof/>
        </w:rPr>
        <w:t xml:space="preserve">at least </w:t>
      </w:r>
      <w:r w:rsidR="00BE41BA">
        <w:rPr>
          <w:noProof/>
        </w:rPr>
        <w:t xml:space="preserve">until after the expert panel review and concept renewal to plan an outcome evaluation, as the program design may continue to evolve. </w:t>
      </w:r>
    </w:p>
    <w:p w14:paraId="0A9C88C6" w14:textId="77777777" w:rsidR="00BB7754" w:rsidRDefault="00BB7754" w:rsidP="006623B1">
      <w:pPr>
        <w:spacing w:after="240" w:line="276" w:lineRule="auto"/>
      </w:pPr>
    </w:p>
    <w:p w14:paraId="3237B7F9" w14:textId="77777777" w:rsidR="00BB7754" w:rsidRDefault="00BB7754" w:rsidP="006623B1">
      <w:pPr>
        <w:spacing w:after="240" w:line="276" w:lineRule="auto"/>
        <w:sectPr w:rsidR="00BB7754" w:rsidSect="00FA0358">
          <w:footerReference w:type="default" r:id="rId8"/>
          <w:pgSz w:w="12240" w:h="15840"/>
          <w:pgMar w:top="1440" w:right="1440" w:bottom="1440" w:left="1440" w:header="720" w:footer="720" w:gutter="0"/>
          <w:cols w:space="720"/>
          <w:docGrid w:linePitch="360"/>
        </w:sectPr>
      </w:pPr>
    </w:p>
    <w:p w14:paraId="1E998D19" w14:textId="77777777" w:rsidR="00BB7754" w:rsidRPr="00A5131D" w:rsidRDefault="00A5131D" w:rsidP="00A5131D">
      <w:pPr>
        <w:spacing w:after="200" w:line="276" w:lineRule="auto"/>
        <w:rPr>
          <w:b/>
          <w:bCs/>
        </w:rPr>
      </w:pPr>
      <w:r w:rsidRPr="00A5131D">
        <w:rPr>
          <w:b/>
        </w:rPr>
        <w:lastRenderedPageBreak/>
        <w:t xml:space="preserve">Appendix A: Draft </w:t>
      </w:r>
      <w:r w:rsidR="00BB7754" w:rsidRPr="00A5131D">
        <w:rPr>
          <w:b/>
          <w:bCs/>
        </w:rPr>
        <w:t>Logic Model</w:t>
      </w:r>
      <w:r w:rsidRPr="00A5131D">
        <w:rPr>
          <w:b/>
          <w:bCs/>
        </w:rPr>
        <w:t xml:space="preserve"> for PS-OCs</w:t>
      </w:r>
    </w:p>
    <w:p w14:paraId="03C6B00F" w14:textId="77777777" w:rsidR="00BB7754" w:rsidRPr="00A0321B" w:rsidRDefault="0079684C" w:rsidP="00A14F56">
      <w:pPr>
        <w:spacing w:after="240"/>
      </w:pPr>
      <w:bookmarkStart w:id="0" w:name="_GoBack"/>
      <w:r>
        <w:rPr>
          <w:b/>
          <w:bCs/>
          <w:noProof/>
        </w:rPr>
        <w:drawing>
          <wp:inline distT="0" distB="0" distL="0" distR="0" wp14:anchorId="785CD6DC" wp14:editId="1CABA498">
            <wp:extent cx="7196666" cy="5397500"/>
            <wp:effectExtent l="0" t="0" r="0" b="0"/>
            <wp:docPr id="1" name="Picture 0" descr="PS_OC Logic Model Mar 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S_OC Logic Model Mar 2010.jpg"/>
                    <pic:cNvPicPr>
                      <a:picLocks noChangeAspect="1" noChangeArrowheads="1"/>
                    </pic:cNvPicPr>
                  </pic:nvPicPr>
                  <pic:blipFill>
                    <a:blip r:embed="rId9" cstate="print"/>
                    <a:srcRect/>
                    <a:stretch>
                      <a:fillRect/>
                    </a:stretch>
                  </pic:blipFill>
                  <pic:spPr bwMode="auto">
                    <a:xfrm>
                      <a:off x="0" y="0"/>
                      <a:ext cx="7197107" cy="5397831"/>
                    </a:xfrm>
                    <a:prstGeom prst="rect">
                      <a:avLst/>
                    </a:prstGeom>
                    <a:noFill/>
                    <a:ln w="9525">
                      <a:noFill/>
                      <a:miter lim="800000"/>
                      <a:headEnd/>
                      <a:tailEnd/>
                    </a:ln>
                  </pic:spPr>
                </pic:pic>
              </a:graphicData>
            </a:graphic>
          </wp:inline>
        </w:drawing>
      </w:r>
      <w:bookmarkEnd w:id="0"/>
    </w:p>
    <w:sectPr w:rsidR="00BB7754" w:rsidRPr="00A0321B" w:rsidSect="006179C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FABFE4" w14:textId="77777777" w:rsidR="001B6447" w:rsidRDefault="001B6447" w:rsidP="00762DC1">
      <w:r>
        <w:separator/>
      </w:r>
    </w:p>
  </w:endnote>
  <w:endnote w:type="continuationSeparator" w:id="0">
    <w:p w14:paraId="3FFAAE2E" w14:textId="77777777" w:rsidR="001B6447" w:rsidRDefault="001B6447" w:rsidP="00762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D40D9" w14:textId="77777777" w:rsidR="006E62EC" w:rsidRDefault="000F7C15">
    <w:pPr>
      <w:pStyle w:val="Footer"/>
      <w:jc w:val="center"/>
    </w:pPr>
    <w:r>
      <w:fldChar w:fldCharType="begin"/>
    </w:r>
    <w:r>
      <w:instrText xml:space="preserve"> PAGE   \* MERGEFORMAT </w:instrText>
    </w:r>
    <w:r>
      <w:fldChar w:fldCharType="separate"/>
    </w:r>
    <w:r>
      <w:rPr>
        <w:noProof/>
      </w:rPr>
      <w:t>1</w:t>
    </w:r>
    <w:r>
      <w:rPr>
        <w:noProof/>
      </w:rPr>
      <w:fldChar w:fldCharType="end"/>
    </w:r>
  </w:p>
  <w:p w14:paraId="6EDDCEFF" w14:textId="77777777" w:rsidR="006E62EC" w:rsidRDefault="006E62E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D619A1" w14:textId="77777777" w:rsidR="001B6447" w:rsidRDefault="001B6447" w:rsidP="00762DC1">
      <w:r>
        <w:separator/>
      </w:r>
    </w:p>
  </w:footnote>
  <w:footnote w:type="continuationSeparator" w:id="0">
    <w:p w14:paraId="12B5E4AC" w14:textId="77777777" w:rsidR="001B6447" w:rsidRDefault="001B6447" w:rsidP="00762DC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0DB1"/>
    <w:multiLevelType w:val="hybridMultilevel"/>
    <w:tmpl w:val="E640AD2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6F21708"/>
    <w:multiLevelType w:val="hybridMultilevel"/>
    <w:tmpl w:val="9886D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6FA5AF6"/>
    <w:multiLevelType w:val="hybridMultilevel"/>
    <w:tmpl w:val="E640AD2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1ED74DB4"/>
    <w:multiLevelType w:val="hybridMultilevel"/>
    <w:tmpl w:val="7C9ABA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32787043"/>
    <w:multiLevelType w:val="hybridMultilevel"/>
    <w:tmpl w:val="FC0270D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3A00F6B"/>
    <w:multiLevelType w:val="hybridMultilevel"/>
    <w:tmpl w:val="6AEE8D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55F7DC4"/>
    <w:multiLevelType w:val="hybridMultilevel"/>
    <w:tmpl w:val="40C2B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BEA04A9"/>
    <w:multiLevelType w:val="hybridMultilevel"/>
    <w:tmpl w:val="134824B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504C44D9"/>
    <w:multiLevelType w:val="hybridMultilevel"/>
    <w:tmpl w:val="DE34242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nsid w:val="577617B3"/>
    <w:multiLevelType w:val="hybridMultilevel"/>
    <w:tmpl w:val="C13EFCB4"/>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5A1B7CCB"/>
    <w:multiLevelType w:val="hybridMultilevel"/>
    <w:tmpl w:val="7BFAC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6A4D5208"/>
    <w:multiLevelType w:val="hybridMultilevel"/>
    <w:tmpl w:val="5F444370"/>
    <w:lvl w:ilvl="0" w:tplc="4B0213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0"/>
  </w:num>
  <w:num w:numId="4">
    <w:abstractNumId w:val="0"/>
  </w:num>
  <w:num w:numId="5">
    <w:abstractNumId w:val="1"/>
  </w:num>
  <w:num w:numId="6">
    <w:abstractNumId w:val="6"/>
  </w:num>
  <w:num w:numId="7">
    <w:abstractNumId w:val="3"/>
  </w:num>
  <w:num w:numId="8">
    <w:abstractNumId w:val="5"/>
  </w:num>
  <w:num w:numId="9">
    <w:abstractNumId w:val="2"/>
  </w:num>
  <w:num w:numId="10">
    <w:abstractNumId w:val="7"/>
  </w:num>
  <w:num w:numId="11">
    <w:abstractNumId w:val="9"/>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364252"/>
    <w:rsid w:val="00020A1F"/>
    <w:rsid w:val="00034FDC"/>
    <w:rsid w:val="000732B1"/>
    <w:rsid w:val="000A0491"/>
    <w:rsid w:val="000F4E85"/>
    <w:rsid w:val="000F5CB8"/>
    <w:rsid w:val="000F7C15"/>
    <w:rsid w:val="00131E59"/>
    <w:rsid w:val="00144170"/>
    <w:rsid w:val="001550C0"/>
    <w:rsid w:val="00177896"/>
    <w:rsid w:val="001A6443"/>
    <w:rsid w:val="001B6447"/>
    <w:rsid w:val="001C625F"/>
    <w:rsid w:val="001E1A2C"/>
    <w:rsid w:val="00223A6C"/>
    <w:rsid w:val="002341DD"/>
    <w:rsid w:val="00246EE5"/>
    <w:rsid w:val="00254E91"/>
    <w:rsid w:val="00264A90"/>
    <w:rsid w:val="00277FC6"/>
    <w:rsid w:val="0028245D"/>
    <w:rsid w:val="002D7CED"/>
    <w:rsid w:val="002E189E"/>
    <w:rsid w:val="002F3033"/>
    <w:rsid w:val="002F60A2"/>
    <w:rsid w:val="00364252"/>
    <w:rsid w:val="003866E0"/>
    <w:rsid w:val="003A1F15"/>
    <w:rsid w:val="003A2AFA"/>
    <w:rsid w:val="003B3528"/>
    <w:rsid w:val="003F4577"/>
    <w:rsid w:val="00412976"/>
    <w:rsid w:val="00413E40"/>
    <w:rsid w:val="00493748"/>
    <w:rsid w:val="0049754F"/>
    <w:rsid w:val="004B7408"/>
    <w:rsid w:val="004E4CD7"/>
    <w:rsid w:val="00502012"/>
    <w:rsid w:val="005127A5"/>
    <w:rsid w:val="00514FC7"/>
    <w:rsid w:val="00517CC4"/>
    <w:rsid w:val="005300E2"/>
    <w:rsid w:val="00544393"/>
    <w:rsid w:val="005471DF"/>
    <w:rsid w:val="00550B90"/>
    <w:rsid w:val="00551AF4"/>
    <w:rsid w:val="00561B48"/>
    <w:rsid w:val="005707E8"/>
    <w:rsid w:val="00573D87"/>
    <w:rsid w:val="005A3302"/>
    <w:rsid w:val="005A704B"/>
    <w:rsid w:val="00613D4A"/>
    <w:rsid w:val="006179CB"/>
    <w:rsid w:val="00630C7D"/>
    <w:rsid w:val="006623B1"/>
    <w:rsid w:val="00671387"/>
    <w:rsid w:val="0069567E"/>
    <w:rsid w:val="006B44CB"/>
    <w:rsid w:val="006D465A"/>
    <w:rsid w:val="006E62EC"/>
    <w:rsid w:val="006E7919"/>
    <w:rsid w:val="00704056"/>
    <w:rsid w:val="00727B29"/>
    <w:rsid w:val="0073725B"/>
    <w:rsid w:val="00762DC1"/>
    <w:rsid w:val="00764A14"/>
    <w:rsid w:val="007813CF"/>
    <w:rsid w:val="0079684C"/>
    <w:rsid w:val="007A77E7"/>
    <w:rsid w:val="007B17EE"/>
    <w:rsid w:val="007B3BF0"/>
    <w:rsid w:val="007D252A"/>
    <w:rsid w:val="007D3829"/>
    <w:rsid w:val="007E16F8"/>
    <w:rsid w:val="007F3852"/>
    <w:rsid w:val="008034D7"/>
    <w:rsid w:val="008242C8"/>
    <w:rsid w:val="008317C5"/>
    <w:rsid w:val="008714DA"/>
    <w:rsid w:val="008912DC"/>
    <w:rsid w:val="00893C86"/>
    <w:rsid w:val="008B640C"/>
    <w:rsid w:val="008C5101"/>
    <w:rsid w:val="008C7BCC"/>
    <w:rsid w:val="008E40D6"/>
    <w:rsid w:val="009008A7"/>
    <w:rsid w:val="00901663"/>
    <w:rsid w:val="009122BF"/>
    <w:rsid w:val="009215A4"/>
    <w:rsid w:val="00923407"/>
    <w:rsid w:val="00936772"/>
    <w:rsid w:val="00942A79"/>
    <w:rsid w:val="0094336D"/>
    <w:rsid w:val="0094446B"/>
    <w:rsid w:val="0094785F"/>
    <w:rsid w:val="00955485"/>
    <w:rsid w:val="00984F24"/>
    <w:rsid w:val="00993FA9"/>
    <w:rsid w:val="009A114E"/>
    <w:rsid w:val="009B4192"/>
    <w:rsid w:val="009C222E"/>
    <w:rsid w:val="009C67D6"/>
    <w:rsid w:val="009D2D3F"/>
    <w:rsid w:val="009D35A9"/>
    <w:rsid w:val="009D4E7D"/>
    <w:rsid w:val="009F1760"/>
    <w:rsid w:val="00A0321B"/>
    <w:rsid w:val="00A14F56"/>
    <w:rsid w:val="00A42C38"/>
    <w:rsid w:val="00A5131D"/>
    <w:rsid w:val="00A55854"/>
    <w:rsid w:val="00A74B79"/>
    <w:rsid w:val="00A77B78"/>
    <w:rsid w:val="00A91312"/>
    <w:rsid w:val="00AB4320"/>
    <w:rsid w:val="00AD0EDE"/>
    <w:rsid w:val="00B0244F"/>
    <w:rsid w:val="00B03E67"/>
    <w:rsid w:val="00B13801"/>
    <w:rsid w:val="00B2126D"/>
    <w:rsid w:val="00B53A70"/>
    <w:rsid w:val="00B60E2B"/>
    <w:rsid w:val="00B75330"/>
    <w:rsid w:val="00B779F6"/>
    <w:rsid w:val="00BB1A1A"/>
    <w:rsid w:val="00BB7754"/>
    <w:rsid w:val="00BC6034"/>
    <w:rsid w:val="00BE41BA"/>
    <w:rsid w:val="00BF29A3"/>
    <w:rsid w:val="00C01059"/>
    <w:rsid w:val="00C537C1"/>
    <w:rsid w:val="00C76B90"/>
    <w:rsid w:val="00C958D5"/>
    <w:rsid w:val="00CC38C2"/>
    <w:rsid w:val="00CD46EA"/>
    <w:rsid w:val="00CF6966"/>
    <w:rsid w:val="00D108CF"/>
    <w:rsid w:val="00D5769A"/>
    <w:rsid w:val="00D60387"/>
    <w:rsid w:val="00DC01F9"/>
    <w:rsid w:val="00DF0592"/>
    <w:rsid w:val="00DF4D90"/>
    <w:rsid w:val="00E034E5"/>
    <w:rsid w:val="00E04E22"/>
    <w:rsid w:val="00E2750D"/>
    <w:rsid w:val="00E3193C"/>
    <w:rsid w:val="00E422E2"/>
    <w:rsid w:val="00E50210"/>
    <w:rsid w:val="00EA181A"/>
    <w:rsid w:val="00EA744E"/>
    <w:rsid w:val="00EC44E6"/>
    <w:rsid w:val="00F1714B"/>
    <w:rsid w:val="00F6000F"/>
    <w:rsid w:val="00F6209F"/>
    <w:rsid w:val="00F62409"/>
    <w:rsid w:val="00F63553"/>
    <w:rsid w:val="00F64CC6"/>
    <w:rsid w:val="00F71F69"/>
    <w:rsid w:val="00F72D10"/>
    <w:rsid w:val="00FA0358"/>
    <w:rsid w:val="00FA66B1"/>
    <w:rsid w:val="00FE12C6"/>
    <w:rsid w:val="00FE2C1A"/>
    <w:rsid w:val="00FF4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3B1F1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252"/>
    <w:rPr>
      <w:rFonts w:eastAsia="Times New Roman"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64252"/>
    <w:pPr>
      <w:ind w:left="720"/>
    </w:pPr>
  </w:style>
  <w:style w:type="paragraph" w:styleId="FootnoteText">
    <w:name w:val="footnote text"/>
    <w:basedOn w:val="Normal"/>
    <w:link w:val="FootnoteTextChar"/>
    <w:semiHidden/>
    <w:rsid w:val="00762DC1"/>
    <w:rPr>
      <w:sz w:val="20"/>
      <w:szCs w:val="20"/>
    </w:rPr>
  </w:style>
  <w:style w:type="character" w:customStyle="1" w:styleId="FootnoteTextChar">
    <w:name w:val="Footnote Text Char"/>
    <w:basedOn w:val="DefaultParagraphFont"/>
    <w:link w:val="FootnoteText"/>
    <w:semiHidden/>
    <w:rsid w:val="00762DC1"/>
    <w:rPr>
      <w:rFonts w:ascii="Calibri" w:hAnsi="Calibri" w:cs="Calibri"/>
      <w:sz w:val="20"/>
      <w:szCs w:val="20"/>
    </w:rPr>
  </w:style>
  <w:style w:type="character" w:styleId="FootnoteReference">
    <w:name w:val="footnote reference"/>
    <w:basedOn w:val="DefaultParagraphFont"/>
    <w:semiHidden/>
    <w:rsid w:val="00762DC1"/>
    <w:rPr>
      <w:rFonts w:cs="Times New Roman"/>
      <w:vertAlign w:val="superscript"/>
    </w:rPr>
  </w:style>
  <w:style w:type="character" w:styleId="Hyperlink">
    <w:name w:val="Hyperlink"/>
    <w:basedOn w:val="DefaultParagraphFont"/>
    <w:semiHidden/>
    <w:rsid w:val="004B7408"/>
    <w:rPr>
      <w:rFonts w:cs="Times New Roman"/>
      <w:color w:val="0000FF"/>
      <w:u w:val="single"/>
    </w:rPr>
  </w:style>
  <w:style w:type="table" w:styleId="TableGrid">
    <w:name w:val="Table Grid"/>
    <w:basedOn w:val="TableNormal"/>
    <w:rsid w:val="0069567E"/>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semiHidden/>
    <w:rsid w:val="00F6209F"/>
    <w:rPr>
      <w:rFonts w:ascii="Tahoma" w:hAnsi="Tahoma" w:cs="Tahoma"/>
      <w:sz w:val="16"/>
      <w:szCs w:val="16"/>
    </w:rPr>
  </w:style>
  <w:style w:type="character" w:customStyle="1" w:styleId="BalloonTextChar">
    <w:name w:val="Balloon Text Char"/>
    <w:basedOn w:val="DefaultParagraphFont"/>
    <w:link w:val="BalloonText"/>
    <w:semiHidden/>
    <w:rsid w:val="00F6209F"/>
    <w:rPr>
      <w:rFonts w:ascii="Tahoma" w:hAnsi="Tahoma" w:cs="Tahoma"/>
      <w:sz w:val="16"/>
      <w:szCs w:val="16"/>
    </w:rPr>
  </w:style>
  <w:style w:type="paragraph" w:styleId="Header">
    <w:name w:val="header"/>
    <w:basedOn w:val="Normal"/>
    <w:link w:val="HeaderChar"/>
    <w:semiHidden/>
    <w:rsid w:val="003B3528"/>
    <w:pPr>
      <w:tabs>
        <w:tab w:val="center" w:pos="4680"/>
        <w:tab w:val="right" w:pos="9360"/>
      </w:tabs>
    </w:pPr>
  </w:style>
  <w:style w:type="character" w:customStyle="1" w:styleId="HeaderChar">
    <w:name w:val="Header Char"/>
    <w:basedOn w:val="DefaultParagraphFont"/>
    <w:link w:val="Header"/>
    <w:semiHidden/>
    <w:rsid w:val="003B3528"/>
    <w:rPr>
      <w:rFonts w:ascii="Calibri" w:hAnsi="Calibri" w:cs="Calibri"/>
    </w:rPr>
  </w:style>
  <w:style w:type="paragraph" w:styleId="Footer">
    <w:name w:val="footer"/>
    <w:basedOn w:val="Normal"/>
    <w:link w:val="FooterChar"/>
    <w:rsid w:val="003B3528"/>
    <w:pPr>
      <w:tabs>
        <w:tab w:val="center" w:pos="4680"/>
        <w:tab w:val="right" w:pos="9360"/>
      </w:tabs>
    </w:pPr>
  </w:style>
  <w:style w:type="character" w:customStyle="1" w:styleId="FooterChar">
    <w:name w:val="Footer Char"/>
    <w:basedOn w:val="DefaultParagraphFont"/>
    <w:link w:val="Footer"/>
    <w:rsid w:val="003B3528"/>
    <w:rPr>
      <w:rFonts w:ascii="Calibri" w:hAnsi="Calibri" w:cs="Calibr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image" Target="media/image1.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1470</Words>
  <Characters>8382</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TO:</vt:lpstr>
    </vt:vector>
  </TitlesOfParts>
  <Company>IDA</Company>
  <LinksUpToDate>false</LinksUpToDate>
  <CharactersWithSpaces>9833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Mary Elizabeth Hughes</dc:creator>
  <cp:keywords/>
  <cp:lastModifiedBy>Vivian Horovitch-Kelley</cp:lastModifiedBy>
  <cp:revision>3</cp:revision>
  <dcterms:created xsi:type="dcterms:W3CDTF">2015-01-30T20:41:00Z</dcterms:created>
  <dcterms:modified xsi:type="dcterms:W3CDTF">2015-02-04T20:02:00Z</dcterms:modified>
</cp:coreProperties>
</file>