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202A" w14:textId="77777777" w:rsidR="00DC1C23" w:rsidRDefault="00DC1C23" w:rsidP="00804FAC">
      <w:pPr>
        <w:tabs>
          <w:tab w:val="center" w:pos="4680"/>
        </w:tabs>
        <w:suppressAutoHyphens/>
        <w:rPr>
          <w:b/>
          <w:sz w:val="24"/>
        </w:rPr>
      </w:pPr>
      <w:bookmarkStart w:id="0" w:name="_GoBack"/>
      <w:bookmarkEnd w:id="0"/>
      <w:r>
        <w:rPr>
          <w:sz w:val="24"/>
        </w:rPr>
        <w:tab/>
      </w:r>
      <w:r w:rsidRPr="00846E18">
        <w:rPr>
          <w:b/>
          <w:sz w:val="24"/>
        </w:rPr>
        <w:t>THE SUPPORTING STATEMENT</w:t>
      </w:r>
    </w:p>
    <w:p w14:paraId="7D46BBF4" w14:textId="77777777" w:rsidR="001E2D92" w:rsidRDefault="001E2D92" w:rsidP="001E2D92">
      <w:pPr>
        <w:tabs>
          <w:tab w:val="center" w:pos="4680"/>
        </w:tabs>
        <w:suppressAutoHyphens/>
        <w:jc w:val="center"/>
        <w:rPr>
          <w:rFonts w:ascii="Times New Roman" w:hAnsi="Times New Roman"/>
          <w:sz w:val="24"/>
        </w:rPr>
      </w:pPr>
    </w:p>
    <w:p w14:paraId="1DA57189" w14:textId="77777777" w:rsidR="001E2D92" w:rsidRPr="001E2D92" w:rsidRDefault="001E2D92" w:rsidP="001E2D92">
      <w:pPr>
        <w:tabs>
          <w:tab w:val="center" w:pos="4680"/>
        </w:tabs>
        <w:suppressAutoHyphens/>
        <w:jc w:val="center"/>
        <w:rPr>
          <w:rFonts w:ascii="Times New Roman" w:hAnsi="Times New Roman"/>
          <w:sz w:val="24"/>
        </w:rPr>
      </w:pPr>
      <w:r w:rsidRPr="001E2D92">
        <w:rPr>
          <w:rFonts w:ascii="Times New Roman" w:hAnsi="Times New Roman"/>
          <w:sz w:val="24"/>
        </w:rPr>
        <w:t>Reviewer Recruitment Module</w:t>
      </w:r>
    </w:p>
    <w:p w14:paraId="6F014BD7" w14:textId="77777777" w:rsidR="00DC1C23" w:rsidRDefault="00DC1C23" w:rsidP="00804FAC">
      <w:pPr>
        <w:tabs>
          <w:tab w:val="left" w:pos="-720"/>
        </w:tabs>
        <w:suppressAutoHyphens/>
        <w:rPr>
          <w:sz w:val="24"/>
        </w:rPr>
      </w:pPr>
    </w:p>
    <w:p w14:paraId="1FC7645A" w14:textId="77777777" w:rsidR="002C3C4F" w:rsidRDefault="002C3C4F" w:rsidP="00804FAC">
      <w:pPr>
        <w:widowControl/>
        <w:numPr>
          <w:ilvl w:val="0"/>
          <w:numId w:val="5"/>
        </w:numPr>
        <w:rPr>
          <w:rFonts w:ascii="Times New Roman" w:hAnsi="Times New Roman"/>
          <w:b/>
          <w:bCs/>
          <w:snapToGrid/>
          <w:sz w:val="24"/>
          <w:szCs w:val="24"/>
        </w:rPr>
      </w:pPr>
      <w:r w:rsidRPr="002C3C4F">
        <w:rPr>
          <w:rFonts w:ascii="Times New Roman" w:hAnsi="Times New Roman"/>
          <w:b/>
          <w:bCs/>
          <w:snapToGrid/>
          <w:sz w:val="24"/>
          <w:szCs w:val="24"/>
        </w:rPr>
        <w:t>Justification</w:t>
      </w:r>
    </w:p>
    <w:p w14:paraId="3F61A43E" w14:textId="77777777" w:rsidR="00804FAC" w:rsidRPr="002C3C4F" w:rsidRDefault="00804FAC" w:rsidP="00804FAC">
      <w:pPr>
        <w:widowControl/>
        <w:ind w:left="720"/>
        <w:rPr>
          <w:rFonts w:ascii="Times New Roman" w:hAnsi="Times New Roman"/>
          <w:snapToGrid/>
          <w:sz w:val="24"/>
          <w:szCs w:val="24"/>
        </w:rPr>
      </w:pPr>
    </w:p>
    <w:p w14:paraId="1FE6A64F"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Circumstances Making the Collection of Information Necessary </w:t>
      </w:r>
    </w:p>
    <w:p w14:paraId="6E86D89F" w14:textId="77777777" w:rsidR="004E05A8" w:rsidRDefault="004E05A8" w:rsidP="00804FAC">
      <w:pPr>
        <w:widowControl/>
        <w:autoSpaceDE w:val="0"/>
        <w:autoSpaceDN w:val="0"/>
        <w:adjustRightInd w:val="0"/>
        <w:rPr>
          <w:rFonts w:ascii="Times New Roman" w:hAnsi="Times New Roman"/>
          <w:snapToGrid/>
          <w:sz w:val="24"/>
          <w:szCs w:val="24"/>
        </w:rPr>
      </w:pPr>
    </w:p>
    <w:p w14:paraId="4631473E" w14:textId="77777777" w:rsidR="004E05A8" w:rsidRPr="004E05A8" w:rsidRDefault="004E05A8" w:rsidP="00804FAC">
      <w:pPr>
        <w:widowControl/>
        <w:autoSpaceDE w:val="0"/>
        <w:autoSpaceDN w:val="0"/>
        <w:adjustRightInd w:val="0"/>
        <w:rPr>
          <w:rFonts w:ascii="Times New Roman" w:hAnsi="Times New Roman"/>
          <w:snapToGrid/>
          <w:sz w:val="24"/>
          <w:szCs w:val="24"/>
        </w:rPr>
      </w:pPr>
      <w:r w:rsidRPr="004E05A8">
        <w:rPr>
          <w:rFonts w:ascii="Times New Roman" w:hAnsi="Times New Roman"/>
          <w:snapToGrid/>
          <w:sz w:val="24"/>
          <w:szCs w:val="24"/>
        </w:rPr>
        <w:t xml:space="preserve">The Administration for Children and Families’ Children’s Bureau (CB) is responsible for administering the review of eligible grant applications submitted in response to funding opportunity announcements issued by CB. CB ensures that the objective review process is independent, efficient, effective, economical, and complies with the applicable statutes, regulations, and policies. Applications are reviewed by subject </w:t>
      </w:r>
      <w:r>
        <w:rPr>
          <w:rFonts w:ascii="Times New Roman" w:hAnsi="Times New Roman"/>
          <w:snapToGrid/>
          <w:sz w:val="24"/>
          <w:szCs w:val="24"/>
        </w:rPr>
        <w:t xml:space="preserve">matter </w:t>
      </w:r>
      <w:r w:rsidRPr="004E05A8">
        <w:rPr>
          <w:rFonts w:ascii="Times New Roman" w:hAnsi="Times New Roman"/>
          <w:snapToGrid/>
          <w:sz w:val="24"/>
          <w:szCs w:val="24"/>
        </w:rPr>
        <w:t>experts knowledgeable in</w:t>
      </w:r>
    </w:p>
    <w:p w14:paraId="6B86FC8C" w14:textId="77777777" w:rsidR="004E05A8" w:rsidRPr="004E05A8" w:rsidRDefault="004E05A8" w:rsidP="00804FAC">
      <w:pPr>
        <w:widowControl/>
        <w:autoSpaceDE w:val="0"/>
        <w:autoSpaceDN w:val="0"/>
        <w:adjustRightInd w:val="0"/>
        <w:rPr>
          <w:rFonts w:ascii="Times New Roman" w:hAnsi="Times New Roman"/>
          <w:snapToGrid/>
          <w:sz w:val="24"/>
          <w:szCs w:val="24"/>
        </w:rPr>
      </w:pPr>
      <w:r w:rsidRPr="004E05A8">
        <w:rPr>
          <w:rFonts w:ascii="Times New Roman" w:hAnsi="Times New Roman"/>
          <w:snapToGrid/>
          <w:sz w:val="24"/>
          <w:szCs w:val="24"/>
        </w:rPr>
        <w:t>child welfare and related fields. Review findings are advisory to CB; CB is responsible for making award decisions.</w:t>
      </w:r>
    </w:p>
    <w:p w14:paraId="34937DB2" w14:textId="77777777" w:rsidR="004E05A8" w:rsidRPr="004E05A8" w:rsidRDefault="004E05A8" w:rsidP="00804FAC">
      <w:pPr>
        <w:widowControl/>
        <w:autoSpaceDE w:val="0"/>
        <w:autoSpaceDN w:val="0"/>
        <w:adjustRightInd w:val="0"/>
        <w:rPr>
          <w:rFonts w:ascii="Times New Roman" w:hAnsi="Times New Roman"/>
          <w:snapToGrid/>
          <w:sz w:val="24"/>
          <w:szCs w:val="24"/>
        </w:rPr>
      </w:pPr>
    </w:p>
    <w:p w14:paraId="1949F2CD" w14:textId="77777777" w:rsidR="004E05A8" w:rsidRPr="004E05A8" w:rsidRDefault="002E631A" w:rsidP="00804FAC">
      <w:pPr>
        <w:widowControl/>
        <w:autoSpaceDE w:val="0"/>
        <w:autoSpaceDN w:val="0"/>
        <w:adjustRightInd w:val="0"/>
        <w:rPr>
          <w:rFonts w:ascii="Times New Roman" w:hAnsi="Times New Roman"/>
          <w:snapToGrid/>
          <w:sz w:val="24"/>
          <w:szCs w:val="24"/>
        </w:rPr>
      </w:pPr>
      <w:r>
        <w:rPr>
          <w:rFonts w:ascii="Times New Roman" w:hAnsi="Times New Roman"/>
          <w:snapToGrid/>
          <w:sz w:val="24"/>
          <w:szCs w:val="24"/>
        </w:rPr>
        <w:t>In order to develop a deep pool of reviewer candidates from which to recruit gran reviewers, we are building a grant review database</w:t>
      </w:r>
      <w:r w:rsidR="00804FAC">
        <w:rPr>
          <w:rFonts w:ascii="Times New Roman" w:hAnsi="Times New Roman"/>
          <w:snapToGrid/>
          <w:sz w:val="24"/>
          <w:szCs w:val="24"/>
        </w:rPr>
        <w:t xml:space="preserve"> we are calling a Reviewer Recruitment Module (RRM)</w:t>
      </w:r>
      <w:r>
        <w:rPr>
          <w:rFonts w:ascii="Times New Roman" w:hAnsi="Times New Roman"/>
          <w:snapToGrid/>
          <w:sz w:val="24"/>
          <w:szCs w:val="24"/>
        </w:rPr>
        <w:t xml:space="preserve">. </w:t>
      </w:r>
      <w:r w:rsidR="004E05A8" w:rsidRPr="004E05A8">
        <w:rPr>
          <w:rFonts w:ascii="Times New Roman" w:hAnsi="Times New Roman"/>
          <w:snapToGrid/>
          <w:sz w:val="24"/>
          <w:szCs w:val="24"/>
        </w:rPr>
        <w:t>CB will use a web-based data collection form and database to gather critical reviewer information in drop down menu format for data such as: degree, occupation, affiliations with organizations and institutions that serve special populations</w:t>
      </w:r>
      <w:r w:rsidR="00804FAC">
        <w:rPr>
          <w:rFonts w:ascii="Times New Roman" w:hAnsi="Times New Roman"/>
          <w:snapToGrid/>
          <w:sz w:val="24"/>
          <w:szCs w:val="24"/>
        </w:rPr>
        <w:t>,</w:t>
      </w:r>
      <w:r w:rsidR="004E05A8" w:rsidRPr="004E05A8">
        <w:rPr>
          <w:rFonts w:ascii="Times New Roman" w:hAnsi="Times New Roman"/>
          <w:snapToGrid/>
          <w:sz w:val="24"/>
          <w:szCs w:val="24"/>
        </w:rPr>
        <w:t xml:space="preserve"> and demographic information that may be voluntarily provided by a potential reviewer.</w:t>
      </w:r>
    </w:p>
    <w:p w14:paraId="44F473D8" w14:textId="77777777" w:rsidR="004E05A8" w:rsidRPr="004E05A8" w:rsidRDefault="004E05A8" w:rsidP="00804FAC">
      <w:pPr>
        <w:widowControl/>
        <w:autoSpaceDE w:val="0"/>
        <w:autoSpaceDN w:val="0"/>
        <w:adjustRightInd w:val="0"/>
        <w:rPr>
          <w:rFonts w:ascii="Times New Roman" w:hAnsi="Times New Roman"/>
          <w:snapToGrid/>
          <w:sz w:val="24"/>
          <w:szCs w:val="24"/>
        </w:rPr>
      </w:pPr>
    </w:p>
    <w:p w14:paraId="710D0958"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Purpose and Use of the Information Collection </w:t>
      </w:r>
    </w:p>
    <w:p w14:paraId="1C2C7A0B" w14:textId="77777777" w:rsidR="00804FAC" w:rsidRDefault="00804FAC" w:rsidP="00804FAC">
      <w:pPr>
        <w:widowControl/>
        <w:autoSpaceDE w:val="0"/>
        <w:autoSpaceDN w:val="0"/>
        <w:adjustRightInd w:val="0"/>
        <w:rPr>
          <w:rFonts w:ascii="Times New Roman" w:hAnsi="Times New Roman"/>
          <w:snapToGrid/>
          <w:sz w:val="24"/>
          <w:szCs w:val="24"/>
        </w:rPr>
      </w:pPr>
    </w:p>
    <w:p w14:paraId="7152C23F" w14:textId="77777777" w:rsidR="00804FAC" w:rsidRPr="004E05A8" w:rsidRDefault="00804FAC" w:rsidP="00804FAC">
      <w:pPr>
        <w:widowControl/>
        <w:autoSpaceDE w:val="0"/>
        <w:autoSpaceDN w:val="0"/>
        <w:adjustRightInd w:val="0"/>
        <w:rPr>
          <w:rFonts w:ascii="Times New Roman" w:hAnsi="Times New Roman"/>
          <w:snapToGrid/>
          <w:color w:val="FF0000"/>
          <w:sz w:val="24"/>
          <w:szCs w:val="24"/>
        </w:rPr>
      </w:pPr>
      <w:r>
        <w:rPr>
          <w:rFonts w:ascii="Times New Roman" w:hAnsi="Times New Roman"/>
          <w:snapToGrid/>
          <w:sz w:val="24"/>
          <w:szCs w:val="24"/>
        </w:rPr>
        <w:t xml:space="preserve">The RRM </w:t>
      </w:r>
      <w:r w:rsidRPr="004E05A8">
        <w:rPr>
          <w:rFonts w:ascii="Times New Roman" w:hAnsi="Times New Roman"/>
          <w:snapToGrid/>
          <w:sz w:val="24"/>
          <w:szCs w:val="24"/>
        </w:rPr>
        <w:t xml:space="preserve">will help CB find and select expert grant reviewers for objective review committees. </w:t>
      </w:r>
    </w:p>
    <w:p w14:paraId="0EF2EB51" w14:textId="77777777" w:rsidR="00804FAC" w:rsidRPr="002C3C4F" w:rsidRDefault="00804FAC" w:rsidP="00804FAC">
      <w:pPr>
        <w:widowControl/>
        <w:rPr>
          <w:rFonts w:ascii="Times New Roman" w:hAnsi="Times New Roman"/>
          <w:snapToGrid/>
          <w:sz w:val="24"/>
          <w:szCs w:val="24"/>
        </w:rPr>
      </w:pPr>
    </w:p>
    <w:p w14:paraId="183A42CB"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Use of Improved Information Technology and Burden Reduction </w:t>
      </w:r>
    </w:p>
    <w:p w14:paraId="0E211A59" w14:textId="77777777" w:rsidR="00804FAC" w:rsidRDefault="00804FAC" w:rsidP="00804FAC">
      <w:pPr>
        <w:widowControl/>
        <w:rPr>
          <w:rFonts w:ascii="Times New Roman" w:hAnsi="Times New Roman"/>
          <w:snapToGrid/>
          <w:sz w:val="24"/>
          <w:szCs w:val="24"/>
        </w:rPr>
      </w:pPr>
    </w:p>
    <w:p w14:paraId="26FC8F71" w14:textId="77777777" w:rsidR="00804FAC" w:rsidRDefault="00804FAC" w:rsidP="00804FAC">
      <w:pPr>
        <w:widowControl/>
        <w:rPr>
          <w:rFonts w:ascii="Times New Roman" w:hAnsi="Times New Roman"/>
          <w:snapToGrid/>
          <w:sz w:val="24"/>
          <w:szCs w:val="24"/>
        </w:rPr>
      </w:pPr>
      <w:r w:rsidRPr="004E05A8">
        <w:rPr>
          <w:rFonts w:ascii="Times New Roman" w:hAnsi="Times New Roman"/>
          <w:snapToGrid/>
          <w:sz w:val="24"/>
          <w:szCs w:val="24"/>
        </w:rPr>
        <w:t xml:space="preserve">The web-based system will permit reviewers to access and update their information at will and as needed. The RRM will be accessible by the general public via </w:t>
      </w:r>
      <w:hyperlink r:id="rId11" w:history="1">
        <w:r w:rsidRPr="004E05A8">
          <w:rPr>
            <w:rFonts w:ascii="Times New (W1)" w:hAnsi="Times New (W1)"/>
            <w:snapToGrid/>
            <w:color w:val="0000FF"/>
            <w:sz w:val="24"/>
            <w:szCs w:val="24"/>
            <w:u w:val="single"/>
          </w:rPr>
          <w:t>https://rrm.grantsolutions.gov/AgencyPortal/cb.aspx</w:t>
        </w:r>
      </w:hyperlink>
      <w:r w:rsidRPr="004E05A8">
        <w:rPr>
          <w:rFonts w:ascii="Times New (W1)" w:hAnsi="Times New (W1)"/>
          <w:snapToGrid/>
          <w:sz w:val="24"/>
          <w:szCs w:val="24"/>
        </w:rPr>
        <w:t>.</w:t>
      </w:r>
    </w:p>
    <w:p w14:paraId="4217A3FD" w14:textId="77777777" w:rsidR="00804FAC" w:rsidRPr="002C3C4F" w:rsidRDefault="00804FAC" w:rsidP="00804FAC">
      <w:pPr>
        <w:widowControl/>
        <w:rPr>
          <w:rFonts w:ascii="Times New Roman" w:hAnsi="Times New Roman"/>
          <w:snapToGrid/>
          <w:sz w:val="24"/>
          <w:szCs w:val="24"/>
        </w:rPr>
      </w:pPr>
    </w:p>
    <w:p w14:paraId="1FFAF4C2" w14:textId="77777777" w:rsidR="002C3C4F"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Efforts to Identify Duplication and Use of Similar Information </w:t>
      </w:r>
    </w:p>
    <w:p w14:paraId="798C73C4" w14:textId="77777777" w:rsidR="00804FAC" w:rsidRDefault="00804FAC" w:rsidP="00804FAC">
      <w:pPr>
        <w:widowControl/>
        <w:rPr>
          <w:rFonts w:ascii="Times New Roman" w:hAnsi="Times New Roman"/>
          <w:b/>
          <w:snapToGrid/>
          <w:sz w:val="24"/>
          <w:szCs w:val="24"/>
        </w:rPr>
      </w:pPr>
    </w:p>
    <w:p w14:paraId="1C421660" w14:textId="77777777" w:rsidR="00804FAC" w:rsidRPr="00804FAC" w:rsidRDefault="00804FAC" w:rsidP="00804FAC">
      <w:pPr>
        <w:widowControl/>
        <w:rPr>
          <w:rFonts w:ascii="Times New Roman" w:hAnsi="Times New Roman"/>
          <w:snapToGrid/>
          <w:sz w:val="24"/>
          <w:szCs w:val="24"/>
        </w:rPr>
      </w:pPr>
      <w:r>
        <w:rPr>
          <w:rFonts w:ascii="Times New Roman" w:hAnsi="Times New Roman"/>
          <w:snapToGrid/>
          <w:sz w:val="24"/>
          <w:szCs w:val="24"/>
        </w:rPr>
        <w:t>There are no similar databases that collect this exact set of information necessary to identify potential reviewers for this purpose.</w:t>
      </w:r>
    </w:p>
    <w:p w14:paraId="2E611135" w14:textId="77777777" w:rsidR="00804FAC" w:rsidRPr="002C3C4F" w:rsidRDefault="00804FAC" w:rsidP="00804FAC">
      <w:pPr>
        <w:widowControl/>
        <w:rPr>
          <w:rFonts w:ascii="Times New Roman" w:hAnsi="Times New Roman"/>
          <w:snapToGrid/>
          <w:sz w:val="24"/>
          <w:szCs w:val="24"/>
        </w:rPr>
      </w:pPr>
    </w:p>
    <w:p w14:paraId="5CDDD7CC"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Impact on Small Businesses or Other Small Entities </w:t>
      </w:r>
    </w:p>
    <w:p w14:paraId="45AC9A21" w14:textId="77777777" w:rsidR="00804FAC" w:rsidRDefault="00804FAC" w:rsidP="00804FAC">
      <w:pPr>
        <w:pStyle w:val="ListParagraph"/>
        <w:rPr>
          <w:rFonts w:ascii="Times New Roman" w:hAnsi="Times New Roman"/>
          <w:snapToGrid/>
          <w:sz w:val="24"/>
          <w:szCs w:val="24"/>
        </w:rPr>
      </w:pPr>
    </w:p>
    <w:p w14:paraId="09A1C8D8" w14:textId="77777777" w:rsidR="00804FAC" w:rsidRDefault="00804FAC" w:rsidP="00804FAC">
      <w:pPr>
        <w:widowControl/>
        <w:rPr>
          <w:rFonts w:ascii="Times New Roman" w:hAnsi="Times New Roman"/>
          <w:snapToGrid/>
          <w:sz w:val="24"/>
          <w:szCs w:val="24"/>
        </w:rPr>
      </w:pPr>
      <w:r>
        <w:rPr>
          <w:rFonts w:ascii="Times New Roman" w:hAnsi="Times New Roman"/>
          <w:snapToGrid/>
          <w:sz w:val="24"/>
          <w:szCs w:val="24"/>
        </w:rPr>
        <w:t xml:space="preserve">None. Respondents will be individuals. </w:t>
      </w:r>
    </w:p>
    <w:p w14:paraId="1EA2CCAE" w14:textId="77777777" w:rsidR="00804FAC" w:rsidRPr="002C3C4F" w:rsidRDefault="00804FAC" w:rsidP="00804FAC">
      <w:pPr>
        <w:widowControl/>
        <w:rPr>
          <w:rFonts w:ascii="Times New Roman" w:hAnsi="Times New Roman"/>
          <w:snapToGrid/>
          <w:sz w:val="24"/>
          <w:szCs w:val="24"/>
        </w:rPr>
      </w:pPr>
    </w:p>
    <w:p w14:paraId="6692EA41"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Consequences of Collecting the Information Less Frequently </w:t>
      </w:r>
    </w:p>
    <w:p w14:paraId="2D319E8D" w14:textId="77777777" w:rsidR="00804FAC" w:rsidRDefault="00804FAC" w:rsidP="00804FAC">
      <w:pPr>
        <w:widowControl/>
        <w:rPr>
          <w:rFonts w:ascii="Times New Roman" w:hAnsi="Times New Roman"/>
          <w:snapToGrid/>
          <w:sz w:val="24"/>
          <w:szCs w:val="24"/>
        </w:rPr>
      </w:pPr>
    </w:p>
    <w:p w14:paraId="639C4004" w14:textId="77777777" w:rsidR="00804FAC" w:rsidRDefault="00804FAC" w:rsidP="00804FAC">
      <w:pPr>
        <w:widowControl/>
        <w:rPr>
          <w:rFonts w:ascii="Times New Roman" w:hAnsi="Times New Roman"/>
          <w:snapToGrid/>
          <w:sz w:val="24"/>
          <w:szCs w:val="24"/>
        </w:rPr>
      </w:pPr>
      <w:r>
        <w:rPr>
          <w:rFonts w:ascii="Times New Roman" w:hAnsi="Times New Roman"/>
          <w:snapToGrid/>
          <w:sz w:val="24"/>
          <w:szCs w:val="24"/>
        </w:rPr>
        <w:t xml:space="preserve">Potential reviewers may upload their personal information whenever they choose; CB will not be mandating any schedule of collection. </w:t>
      </w:r>
    </w:p>
    <w:p w14:paraId="7C50CD84" w14:textId="77777777" w:rsidR="00804FAC" w:rsidRPr="002C3C4F" w:rsidRDefault="00804FAC" w:rsidP="00804FAC">
      <w:pPr>
        <w:widowControl/>
        <w:rPr>
          <w:rFonts w:ascii="Times New Roman" w:hAnsi="Times New Roman"/>
          <w:snapToGrid/>
          <w:sz w:val="24"/>
          <w:szCs w:val="24"/>
        </w:rPr>
      </w:pPr>
    </w:p>
    <w:p w14:paraId="42E928A7" w14:textId="77777777" w:rsidR="002C3C4F" w:rsidRPr="00804FAC" w:rsidRDefault="002C3C4F" w:rsidP="00804FAC">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 xml:space="preserve">Special Circumstances Relating to the Guidelines of 5 CFR 1320.5 </w:t>
      </w:r>
    </w:p>
    <w:p w14:paraId="05C9777F" w14:textId="77777777" w:rsidR="00804FAC" w:rsidRDefault="00804FAC" w:rsidP="00804FAC">
      <w:pPr>
        <w:pStyle w:val="ListParagraph"/>
        <w:rPr>
          <w:rFonts w:ascii="Times New Roman" w:hAnsi="Times New Roman"/>
          <w:snapToGrid/>
          <w:sz w:val="24"/>
          <w:szCs w:val="24"/>
        </w:rPr>
      </w:pPr>
    </w:p>
    <w:p w14:paraId="1CF9FB09" w14:textId="77777777" w:rsidR="00804FAC" w:rsidRDefault="00804FAC" w:rsidP="00804FAC">
      <w:pPr>
        <w:widowControl/>
        <w:rPr>
          <w:rFonts w:ascii="Times New (W1)" w:hAnsi="Times New (W1)"/>
          <w:snapToGrid/>
          <w:sz w:val="24"/>
          <w:szCs w:val="24"/>
        </w:rPr>
      </w:pPr>
      <w:r>
        <w:rPr>
          <w:rFonts w:ascii="Times New Roman" w:hAnsi="Times New Roman"/>
          <w:snapToGrid/>
          <w:sz w:val="24"/>
          <w:szCs w:val="24"/>
        </w:rPr>
        <w:lastRenderedPageBreak/>
        <w:t xml:space="preserve">There are no special circumstances. </w:t>
      </w:r>
      <w:r w:rsidR="00002450">
        <w:rPr>
          <w:rFonts w:ascii="Times New Roman" w:hAnsi="Times New Roman"/>
          <w:snapToGrid/>
          <w:sz w:val="24"/>
          <w:szCs w:val="24"/>
        </w:rPr>
        <w:t xml:space="preserve">The currently valid OMB number will be displayed at </w:t>
      </w:r>
      <w:hyperlink r:id="rId12" w:history="1">
        <w:r w:rsidR="00002450" w:rsidRPr="004E05A8">
          <w:rPr>
            <w:rFonts w:ascii="Times New (W1)" w:hAnsi="Times New (W1)"/>
            <w:snapToGrid/>
            <w:color w:val="0000FF"/>
            <w:sz w:val="24"/>
            <w:szCs w:val="24"/>
            <w:u w:val="single"/>
          </w:rPr>
          <w:t>https://rrm.grantsolutions.gov/AgencyPortal/cb.aspx</w:t>
        </w:r>
      </w:hyperlink>
      <w:r w:rsidR="00002450" w:rsidRPr="004E05A8">
        <w:rPr>
          <w:rFonts w:ascii="Times New (W1)" w:hAnsi="Times New (W1)"/>
          <w:snapToGrid/>
          <w:sz w:val="24"/>
          <w:szCs w:val="24"/>
        </w:rPr>
        <w:t>.</w:t>
      </w:r>
    </w:p>
    <w:p w14:paraId="3D204F14" w14:textId="77777777" w:rsidR="00002450" w:rsidRPr="002C3C4F" w:rsidRDefault="00002450" w:rsidP="00804FAC">
      <w:pPr>
        <w:widowControl/>
        <w:rPr>
          <w:rFonts w:ascii="Times New Roman" w:hAnsi="Times New Roman"/>
          <w:snapToGrid/>
          <w:sz w:val="24"/>
          <w:szCs w:val="24"/>
        </w:rPr>
      </w:pPr>
    </w:p>
    <w:p w14:paraId="1B867EB2" w14:textId="77777777" w:rsidR="00002450" w:rsidRDefault="002C3C4F" w:rsidP="00002450">
      <w:pPr>
        <w:widowControl/>
        <w:numPr>
          <w:ilvl w:val="0"/>
          <w:numId w:val="3"/>
        </w:numPr>
        <w:ind w:left="0"/>
        <w:rPr>
          <w:rFonts w:ascii="Times New Roman" w:hAnsi="Times New Roman"/>
          <w:b/>
          <w:snapToGrid/>
          <w:sz w:val="24"/>
          <w:szCs w:val="24"/>
        </w:rPr>
      </w:pPr>
      <w:r w:rsidRPr="00804FAC">
        <w:rPr>
          <w:rFonts w:ascii="Times New Roman" w:hAnsi="Times New Roman"/>
          <w:b/>
          <w:snapToGrid/>
          <w:sz w:val="24"/>
          <w:szCs w:val="24"/>
        </w:rPr>
        <w:t>Comments in Response to the Federal Register Notice and Efforts to Consult Outside the Agency</w:t>
      </w:r>
    </w:p>
    <w:p w14:paraId="11B730A2" w14:textId="77777777" w:rsidR="00002450" w:rsidRDefault="00002450" w:rsidP="00002450">
      <w:pPr>
        <w:widowControl/>
        <w:rPr>
          <w:rFonts w:ascii="Times New Roman" w:hAnsi="Times New Roman"/>
          <w:b/>
          <w:snapToGrid/>
          <w:sz w:val="24"/>
          <w:szCs w:val="24"/>
        </w:rPr>
      </w:pPr>
    </w:p>
    <w:p w14:paraId="3BD172A5" w14:textId="77777777" w:rsidR="00002450" w:rsidRPr="00002450" w:rsidRDefault="00002450" w:rsidP="00002450">
      <w:pPr>
        <w:widowControl/>
        <w:rPr>
          <w:rFonts w:ascii="Times New Roman" w:hAnsi="Times New Roman"/>
          <w:snapToGrid/>
          <w:sz w:val="24"/>
          <w:szCs w:val="24"/>
        </w:rPr>
      </w:pPr>
      <w:r w:rsidRPr="00002450">
        <w:rPr>
          <w:rFonts w:ascii="Times New Roman" w:hAnsi="Times New Roman"/>
          <w:snapToGrid/>
          <w:sz w:val="24"/>
          <w:szCs w:val="24"/>
        </w:rPr>
        <w:t xml:space="preserve">There were </w:t>
      </w:r>
      <w:r>
        <w:rPr>
          <w:rFonts w:ascii="Times New Roman" w:hAnsi="Times New Roman"/>
          <w:snapToGrid/>
          <w:sz w:val="24"/>
          <w:szCs w:val="24"/>
        </w:rPr>
        <w:t xml:space="preserve">no responses to the Federal Register Notice. We consulted with other HHS offices for ideas of what questions to use to best identify potential reviewers. </w:t>
      </w:r>
      <w:r w:rsidR="002C3C4F" w:rsidRPr="00002450">
        <w:rPr>
          <w:rFonts w:ascii="Times New Roman" w:hAnsi="Times New Roman"/>
          <w:snapToGrid/>
          <w:sz w:val="24"/>
          <w:szCs w:val="24"/>
        </w:rPr>
        <w:t xml:space="preserve"> </w:t>
      </w:r>
    </w:p>
    <w:p w14:paraId="6D27FBD4" w14:textId="77777777" w:rsidR="00002450" w:rsidRDefault="00002450" w:rsidP="00002450">
      <w:pPr>
        <w:widowControl/>
        <w:rPr>
          <w:rFonts w:ascii="Times New Roman" w:hAnsi="Times New Roman"/>
          <w:b/>
          <w:snapToGrid/>
          <w:sz w:val="24"/>
          <w:szCs w:val="24"/>
        </w:rPr>
      </w:pPr>
    </w:p>
    <w:p w14:paraId="31F4F6B1" w14:textId="77777777" w:rsidR="002C3C4F" w:rsidRDefault="002C3C4F" w:rsidP="00804FAC">
      <w:pPr>
        <w:widowControl/>
        <w:numPr>
          <w:ilvl w:val="0"/>
          <w:numId w:val="3"/>
        </w:numPr>
        <w:ind w:left="0"/>
        <w:rPr>
          <w:rFonts w:ascii="Times New Roman" w:hAnsi="Times New Roman"/>
          <w:b/>
          <w:snapToGrid/>
          <w:sz w:val="24"/>
          <w:szCs w:val="24"/>
        </w:rPr>
      </w:pPr>
      <w:r w:rsidRPr="00002450">
        <w:rPr>
          <w:rFonts w:ascii="Times New Roman" w:hAnsi="Times New Roman"/>
          <w:b/>
          <w:snapToGrid/>
          <w:sz w:val="24"/>
          <w:szCs w:val="24"/>
        </w:rPr>
        <w:t xml:space="preserve">Explanation of Any Payment or Gift to Respondents </w:t>
      </w:r>
    </w:p>
    <w:p w14:paraId="1DA8B5C0" w14:textId="77777777" w:rsidR="00002450" w:rsidRDefault="00002450" w:rsidP="00002450">
      <w:pPr>
        <w:widowControl/>
        <w:rPr>
          <w:rFonts w:ascii="Times New Roman" w:hAnsi="Times New Roman"/>
          <w:b/>
          <w:snapToGrid/>
          <w:sz w:val="24"/>
          <w:szCs w:val="24"/>
        </w:rPr>
      </w:pPr>
    </w:p>
    <w:p w14:paraId="6C514B3B" w14:textId="77777777" w:rsidR="00002450" w:rsidRPr="00002450" w:rsidRDefault="00002450" w:rsidP="00002450">
      <w:pPr>
        <w:widowControl/>
        <w:rPr>
          <w:rFonts w:ascii="Times New Roman" w:hAnsi="Times New Roman"/>
          <w:snapToGrid/>
          <w:sz w:val="24"/>
          <w:szCs w:val="24"/>
        </w:rPr>
      </w:pPr>
      <w:r>
        <w:rPr>
          <w:rFonts w:ascii="Times New Roman" w:hAnsi="Times New Roman"/>
          <w:snapToGrid/>
          <w:sz w:val="24"/>
          <w:szCs w:val="24"/>
        </w:rPr>
        <w:t>No payments have been or will be made to respondents for responding to the RRM.</w:t>
      </w:r>
    </w:p>
    <w:p w14:paraId="05C01764" w14:textId="77777777" w:rsidR="00002450" w:rsidRDefault="00002450" w:rsidP="00002450">
      <w:pPr>
        <w:widowControl/>
        <w:rPr>
          <w:rFonts w:ascii="Times New Roman" w:hAnsi="Times New Roman"/>
          <w:snapToGrid/>
          <w:sz w:val="24"/>
          <w:szCs w:val="24"/>
        </w:rPr>
      </w:pPr>
    </w:p>
    <w:p w14:paraId="354DFBAB"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Assurance of Confidentiality Provided to Respondents </w:t>
      </w:r>
    </w:p>
    <w:p w14:paraId="0BBCACA3" w14:textId="77777777" w:rsidR="00002450" w:rsidRDefault="00002450" w:rsidP="00002450">
      <w:pPr>
        <w:widowControl/>
        <w:rPr>
          <w:rFonts w:ascii="Times New Roman" w:hAnsi="Times New Roman"/>
          <w:snapToGrid/>
          <w:sz w:val="24"/>
          <w:szCs w:val="24"/>
        </w:rPr>
      </w:pPr>
    </w:p>
    <w:p w14:paraId="603790B3" w14:textId="77777777" w:rsidR="00002450" w:rsidRDefault="00002450" w:rsidP="00002450">
      <w:pPr>
        <w:widowControl/>
        <w:rPr>
          <w:rFonts w:ascii="Times New Roman" w:hAnsi="Times New Roman"/>
          <w:snapToGrid/>
          <w:sz w:val="24"/>
          <w:szCs w:val="24"/>
        </w:rPr>
      </w:pPr>
      <w:r w:rsidRPr="00002450">
        <w:rPr>
          <w:rFonts w:ascii="Times New Roman" w:hAnsi="Times New Roman"/>
          <w:snapToGrid/>
          <w:sz w:val="24"/>
          <w:szCs w:val="24"/>
        </w:rPr>
        <w:t xml:space="preserve">In order to be selected by CB to participate in a review, </w:t>
      </w:r>
      <w:r>
        <w:rPr>
          <w:rFonts w:ascii="Times New Roman" w:hAnsi="Times New Roman"/>
          <w:snapToGrid/>
          <w:sz w:val="24"/>
          <w:szCs w:val="24"/>
        </w:rPr>
        <w:t>respondents</w:t>
      </w:r>
      <w:r w:rsidRPr="00002450">
        <w:rPr>
          <w:rFonts w:ascii="Times New Roman" w:hAnsi="Times New Roman"/>
          <w:snapToGrid/>
          <w:sz w:val="24"/>
          <w:szCs w:val="24"/>
        </w:rPr>
        <w:t xml:space="preserve"> must fully complete registration in the Reviewer Recruitment Module (RRM). </w:t>
      </w:r>
      <w:r>
        <w:rPr>
          <w:rFonts w:ascii="Times New Roman" w:hAnsi="Times New Roman"/>
          <w:snapToGrid/>
          <w:sz w:val="24"/>
          <w:szCs w:val="24"/>
        </w:rPr>
        <w:t xml:space="preserve"> We will use the information provided solely to </w:t>
      </w:r>
      <w:r w:rsidRPr="00002450">
        <w:rPr>
          <w:rFonts w:ascii="Times New Roman" w:hAnsi="Times New Roman"/>
          <w:snapToGrid/>
          <w:sz w:val="24"/>
          <w:szCs w:val="24"/>
        </w:rPr>
        <w:t>contact potential reviewers and to determine what grants the potential reviewers are best suited to review.</w:t>
      </w:r>
      <w:r>
        <w:rPr>
          <w:rStyle w:val="apple-converted-space"/>
          <w:rFonts w:ascii="Arial" w:hAnsi="Arial" w:cs="Arial"/>
          <w:color w:val="000066"/>
          <w:shd w:val="clear" w:color="auto" w:fill="FFFFFF"/>
        </w:rPr>
        <w:t> </w:t>
      </w:r>
    </w:p>
    <w:p w14:paraId="4EB718AA" w14:textId="77777777" w:rsidR="00002450" w:rsidRPr="002C3C4F" w:rsidRDefault="00002450" w:rsidP="00002450">
      <w:pPr>
        <w:widowControl/>
        <w:rPr>
          <w:rFonts w:ascii="Times New Roman" w:hAnsi="Times New Roman"/>
          <w:snapToGrid/>
          <w:sz w:val="24"/>
          <w:szCs w:val="24"/>
        </w:rPr>
      </w:pPr>
    </w:p>
    <w:p w14:paraId="613A1257"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Justification for Sensitive Questions </w:t>
      </w:r>
    </w:p>
    <w:p w14:paraId="0BDE729E" w14:textId="77777777" w:rsidR="00002450" w:rsidRDefault="00002450" w:rsidP="00002450">
      <w:pPr>
        <w:widowControl/>
        <w:rPr>
          <w:rFonts w:ascii="Times New Roman" w:hAnsi="Times New Roman"/>
          <w:snapToGrid/>
          <w:sz w:val="24"/>
          <w:szCs w:val="24"/>
        </w:rPr>
      </w:pPr>
    </w:p>
    <w:p w14:paraId="6FDFD729" w14:textId="77777777" w:rsidR="00002450" w:rsidRDefault="00002450" w:rsidP="00002450">
      <w:pPr>
        <w:widowControl/>
        <w:rPr>
          <w:rFonts w:ascii="Times New Roman" w:hAnsi="Times New Roman"/>
          <w:snapToGrid/>
          <w:sz w:val="24"/>
          <w:szCs w:val="24"/>
        </w:rPr>
      </w:pPr>
      <w:r>
        <w:rPr>
          <w:rFonts w:ascii="Times New Roman" w:hAnsi="Times New Roman"/>
          <w:snapToGrid/>
          <w:sz w:val="24"/>
          <w:szCs w:val="24"/>
        </w:rPr>
        <w:t>There are no sensitive questions involved in this information collection. All information is provided voluntarily.</w:t>
      </w:r>
    </w:p>
    <w:p w14:paraId="794E2FD6" w14:textId="77777777" w:rsidR="00002450" w:rsidRPr="002C3C4F" w:rsidRDefault="00002450" w:rsidP="00002450">
      <w:pPr>
        <w:widowControl/>
        <w:rPr>
          <w:rFonts w:ascii="Times New Roman" w:hAnsi="Times New Roman"/>
          <w:snapToGrid/>
          <w:sz w:val="24"/>
          <w:szCs w:val="24"/>
        </w:rPr>
      </w:pPr>
    </w:p>
    <w:p w14:paraId="478E0CF8"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Estimates of Annualized Burden Hours and Costs </w:t>
      </w:r>
    </w:p>
    <w:p w14:paraId="2F94530C" w14:textId="77777777" w:rsidR="001E2D92" w:rsidRDefault="001E2D92" w:rsidP="001E2D92">
      <w:pPr>
        <w:widowControl/>
        <w:rPr>
          <w:rFonts w:ascii="Times New Roman" w:hAnsi="Times New Roman"/>
          <w:snapToGrid/>
          <w:sz w:val="24"/>
          <w:szCs w:val="24"/>
        </w:rPr>
      </w:pPr>
    </w:p>
    <w:p w14:paraId="6842BBBD"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We estimate it will take no more than .25 hours for each potential reviewer to complete the RRM. There are no costs associated with this burden. </w:t>
      </w:r>
    </w:p>
    <w:p w14:paraId="435165F9" w14:textId="322C4388" w:rsidR="00C6455E" w:rsidRDefault="00C6455E" w:rsidP="001E2D92">
      <w:pPr>
        <w:widowControl/>
        <w:rPr>
          <w:rFonts w:ascii="Times New Roman" w:hAnsi="Times New Roman"/>
          <w:snapToGrid/>
          <w:sz w:val="24"/>
          <w:szCs w:val="24"/>
        </w:rPr>
      </w:pPr>
    </w:p>
    <w:p w14:paraId="2D3E8D2D" w14:textId="77777777" w:rsidR="00C6455E" w:rsidRDefault="00C6455E" w:rsidP="00C6455E">
      <w:pPr>
        <w:tabs>
          <w:tab w:val="left" w:pos="-720"/>
        </w:tabs>
        <w:suppressAutoHyphens/>
        <w:rPr>
          <w:sz w:val="24"/>
        </w:rPr>
      </w:pPr>
    </w:p>
    <w:p w14:paraId="53BABBAE" w14:textId="77777777" w:rsidR="00C6455E" w:rsidRDefault="00C6455E" w:rsidP="00C6455E">
      <w:pPr>
        <w:tabs>
          <w:tab w:val="left" w:pos="-720"/>
        </w:tabs>
        <w:suppressAutoHyphens/>
        <w:spacing w:after="90"/>
        <w:rPr>
          <w:sz w:val="24"/>
        </w:rPr>
      </w:pPr>
      <w:r>
        <w:rPr>
          <w:sz w:val="24"/>
        </w:rPr>
        <w:t>ANNUAL BURDEN ESTIMATES</w:t>
      </w:r>
    </w:p>
    <w:tbl>
      <w:tblPr>
        <w:tblW w:w="0" w:type="auto"/>
        <w:tblInd w:w="120" w:type="dxa"/>
        <w:tblLayout w:type="fixed"/>
        <w:tblCellMar>
          <w:left w:w="120" w:type="dxa"/>
          <w:right w:w="120" w:type="dxa"/>
        </w:tblCellMar>
        <w:tblLook w:val="0000" w:firstRow="0" w:lastRow="0" w:firstColumn="0" w:lastColumn="0" w:noHBand="0" w:noVBand="0"/>
      </w:tblPr>
      <w:tblGrid>
        <w:gridCol w:w="1872"/>
        <w:gridCol w:w="1872"/>
        <w:gridCol w:w="1728"/>
        <w:gridCol w:w="1872"/>
        <w:gridCol w:w="1872"/>
      </w:tblGrid>
      <w:tr w:rsidR="00C6455E" w14:paraId="14B509AF" w14:textId="77777777" w:rsidTr="000247DB">
        <w:tc>
          <w:tcPr>
            <w:tcW w:w="1872" w:type="dxa"/>
            <w:tcBorders>
              <w:top w:val="double" w:sz="7" w:space="0" w:color="auto"/>
              <w:left w:val="double" w:sz="7" w:space="0" w:color="auto"/>
            </w:tcBorders>
          </w:tcPr>
          <w:p w14:paraId="3DBEF53A" w14:textId="77777777" w:rsidR="00C6455E" w:rsidRDefault="00C6455E" w:rsidP="000247DB">
            <w:pPr>
              <w:tabs>
                <w:tab w:val="left" w:pos="-720"/>
              </w:tabs>
              <w:suppressAutoHyphens/>
              <w:spacing w:before="90" w:after="54"/>
              <w:rPr>
                <w:sz w:val="24"/>
              </w:rPr>
            </w:pPr>
            <w:r>
              <w:rPr>
                <w:sz w:val="24"/>
              </w:rPr>
              <w:fldChar w:fldCharType="begin"/>
            </w:r>
            <w:r>
              <w:rPr>
                <w:sz w:val="24"/>
              </w:rPr>
              <w:instrText xml:space="preserve">PRIVATE </w:instrText>
            </w:r>
            <w:r>
              <w:rPr>
                <w:sz w:val="24"/>
              </w:rPr>
              <w:fldChar w:fldCharType="end"/>
            </w:r>
            <w:r>
              <w:rPr>
                <w:sz w:val="24"/>
              </w:rPr>
              <w:t>INSTRUMENT</w:t>
            </w:r>
          </w:p>
        </w:tc>
        <w:tc>
          <w:tcPr>
            <w:tcW w:w="1872" w:type="dxa"/>
            <w:tcBorders>
              <w:top w:val="double" w:sz="7" w:space="0" w:color="auto"/>
              <w:left w:val="single" w:sz="7" w:space="0" w:color="auto"/>
            </w:tcBorders>
          </w:tcPr>
          <w:p w14:paraId="61D284F0" w14:textId="77777777" w:rsidR="00C6455E" w:rsidRDefault="00C6455E" w:rsidP="000247DB">
            <w:pPr>
              <w:tabs>
                <w:tab w:val="left" w:pos="-720"/>
              </w:tabs>
              <w:suppressAutoHyphens/>
              <w:spacing w:before="90" w:after="54"/>
              <w:rPr>
                <w:sz w:val="24"/>
              </w:rPr>
            </w:pPr>
            <w:r>
              <w:rPr>
                <w:sz w:val="24"/>
              </w:rPr>
              <w:t>NUMBER OF RESPONDENTS</w:t>
            </w:r>
          </w:p>
        </w:tc>
        <w:tc>
          <w:tcPr>
            <w:tcW w:w="1728" w:type="dxa"/>
            <w:tcBorders>
              <w:top w:val="double" w:sz="7" w:space="0" w:color="auto"/>
              <w:left w:val="single" w:sz="7" w:space="0" w:color="auto"/>
            </w:tcBorders>
          </w:tcPr>
          <w:p w14:paraId="6442E757" w14:textId="77777777" w:rsidR="00C6455E" w:rsidRDefault="00C6455E" w:rsidP="000247DB">
            <w:pPr>
              <w:tabs>
                <w:tab w:val="left" w:pos="-720"/>
              </w:tabs>
              <w:suppressAutoHyphens/>
              <w:spacing w:before="90" w:after="54"/>
              <w:rPr>
                <w:sz w:val="24"/>
              </w:rPr>
            </w:pPr>
            <w:r>
              <w:rPr>
                <w:sz w:val="24"/>
              </w:rPr>
              <w:t>NUMBER OF RESPONSES PER RESPONDENT</w:t>
            </w:r>
          </w:p>
        </w:tc>
        <w:tc>
          <w:tcPr>
            <w:tcW w:w="1872" w:type="dxa"/>
            <w:tcBorders>
              <w:top w:val="double" w:sz="7" w:space="0" w:color="auto"/>
              <w:left w:val="single" w:sz="7" w:space="0" w:color="auto"/>
            </w:tcBorders>
          </w:tcPr>
          <w:p w14:paraId="75B1F3FB" w14:textId="77777777" w:rsidR="00C6455E" w:rsidRDefault="00C6455E" w:rsidP="000247DB">
            <w:pPr>
              <w:tabs>
                <w:tab w:val="left" w:pos="-720"/>
              </w:tabs>
              <w:suppressAutoHyphens/>
              <w:spacing w:before="90" w:after="54"/>
              <w:rPr>
                <w:sz w:val="24"/>
              </w:rPr>
            </w:pPr>
            <w:r>
              <w:rPr>
                <w:sz w:val="24"/>
              </w:rPr>
              <w:t>AVERAGE BURDEN HOURS PER RESPONSE</w:t>
            </w:r>
          </w:p>
        </w:tc>
        <w:tc>
          <w:tcPr>
            <w:tcW w:w="1872" w:type="dxa"/>
            <w:tcBorders>
              <w:top w:val="double" w:sz="7" w:space="0" w:color="auto"/>
              <w:left w:val="single" w:sz="7" w:space="0" w:color="auto"/>
              <w:right w:val="double" w:sz="7" w:space="0" w:color="auto"/>
            </w:tcBorders>
          </w:tcPr>
          <w:p w14:paraId="46E9DC4B" w14:textId="77777777" w:rsidR="00C6455E" w:rsidRDefault="00C6455E" w:rsidP="000247DB">
            <w:pPr>
              <w:tabs>
                <w:tab w:val="left" w:pos="-720"/>
              </w:tabs>
              <w:suppressAutoHyphens/>
              <w:spacing w:before="90" w:after="54"/>
              <w:rPr>
                <w:sz w:val="24"/>
              </w:rPr>
            </w:pPr>
            <w:r>
              <w:rPr>
                <w:sz w:val="24"/>
              </w:rPr>
              <w:t>TOTAL BURDEN HOURS</w:t>
            </w:r>
          </w:p>
        </w:tc>
      </w:tr>
      <w:tr w:rsidR="00C6455E" w14:paraId="6A61ADFE" w14:textId="77777777" w:rsidTr="000247DB">
        <w:tc>
          <w:tcPr>
            <w:tcW w:w="1872" w:type="dxa"/>
            <w:tcBorders>
              <w:top w:val="single" w:sz="7" w:space="0" w:color="auto"/>
              <w:left w:val="double" w:sz="7" w:space="0" w:color="auto"/>
            </w:tcBorders>
          </w:tcPr>
          <w:p w14:paraId="0041294A" w14:textId="273A31FC" w:rsidR="00C6455E" w:rsidRDefault="00C6455E" w:rsidP="000247DB">
            <w:pPr>
              <w:tabs>
                <w:tab w:val="left" w:pos="-720"/>
              </w:tabs>
              <w:suppressAutoHyphens/>
              <w:spacing w:before="90" w:after="54"/>
              <w:rPr>
                <w:sz w:val="24"/>
              </w:rPr>
            </w:pPr>
            <w:r>
              <w:rPr>
                <w:sz w:val="24"/>
              </w:rPr>
              <w:t>RRM</w:t>
            </w:r>
          </w:p>
        </w:tc>
        <w:tc>
          <w:tcPr>
            <w:tcW w:w="1872" w:type="dxa"/>
            <w:tcBorders>
              <w:top w:val="single" w:sz="7" w:space="0" w:color="auto"/>
              <w:left w:val="single" w:sz="7" w:space="0" w:color="auto"/>
            </w:tcBorders>
          </w:tcPr>
          <w:p w14:paraId="5ED99D86" w14:textId="064464BA" w:rsidR="00C6455E" w:rsidRDefault="00C6455E" w:rsidP="000247DB">
            <w:pPr>
              <w:tabs>
                <w:tab w:val="left" w:pos="-720"/>
              </w:tabs>
              <w:suppressAutoHyphens/>
              <w:spacing w:before="90" w:after="54"/>
              <w:jc w:val="right"/>
              <w:rPr>
                <w:sz w:val="24"/>
              </w:rPr>
            </w:pPr>
            <w:r>
              <w:rPr>
                <w:sz w:val="24"/>
              </w:rPr>
              <w:t>500</w:t>
            </w:r>
          </w:p>
        </w:tc>
        <w:tc>
          <w:tcPr>
            <w:tcW w:w="1728" w:type="dxa"/>
            <w:tcBorders>
              <w:top w:val="single" w:sz="7" w:space="0" w:color="auto"/>
              <w:left w:val="single" w:sz="7" w:space="0" w:color="auto"/>
            </w:tcBorders>
          </w:tcPr>
          <w:p w14:paraId="5D7D0CE0" w14:textId="03867026" w:rsidR="00C6455E" w:rsidRDefault="00C6455E" w:rsidP="000247DB">
            <w:pPr>
              <w:tabs>
                <w:tab w:val="left" w:pos="-720"/>
              </w:tabs>
              <w:suppressAutoHyphens/>
              <w:spacing w:before="90" w:after="54"/>
              <w:jc w:val="right"/>
              <w:rPr>
                <w:sz w:val="24"/>
              </w:rPr>
            </w:pPr>
            <w:r>
              <w:rPr>
                <w:sz w:val="24"/>
              </w:rPr>
              <w:t>1</w:t>
            </w:r>
          </w:p>
        </w:tc>
        <w:tc>
          <w:tcPr>
            <w:tcW w:w="1872" w:type="dxa"/>
            <w:tcBorders>
              <w:top w:val="single" w:sz="7" w:space="0" w:color="auto"/>
              <w:left w:val="single" w:sz="7" w:space="0" w:color="auto"/>
            </w:tcBorders>
          </w:tcPr>
          <w:p w14:paraId="2163C485" w14:textId="39507E33" w:rsidR="00C6455E" w:rsidRDefault="00C6455E" w:rsidP="000247DB">
            <w:pPr>
              <w:tabs>
                <w:tab w:val="left" w:pos="-720"/>
              </w:tabs>
              <w:suppressAutoHyphens/>
              <w:spacing w:before="90" w:after="54"/>
              <w:jc w:val="right"/>
              <w:rPr>
                <w:sz w:val="24"/>
              </w:rPr>
            </w:pPr>
            <w:r>
              <w:rPr>
                <w:sz w:val="24"/>
              </w:rPr>
              <w:t>0.25</w:t>
            </w:r>
          </w:p>
        </w:tc>
        <w:tc>
          <w:tcPr>
            <w:tcW w:w="1872" w:type="dxa"/>
            <w:tcBorders>
              <w:top w:val="single" w:sz="7" w:space="0" w:color="auto"/>
              <w:left w:val="single" w:sz="7" w:space="0" w:color="auto"/>
              <w:right w:val="double" w:sz="7" w:space="0" w:color="auto"/>
            </w:tcBorders>
          </w:tcPr>
          <w:p w14:paraId="0B76DF50" w14:textId="54A9AE9E" w:rsidR="00C6455E" w:rsidRDefault="00C6455E" w:rsidP="000247DB">
            <w:pPr>
              <w:tabs>
                <w:tab w:val="left" w:pos="-720"/>
              </w:tabs>
              <w:suppressAutoHyphens/>
              <w:spacing w:before="90" w:after="54"/>
              <w:jc w:val="right"/>
              <w:rPr>
                <w:sz w:val="24"/>
              </w:rPr>
            </w:pPr>
            <w:r>
              <w:rPr>
                <w:sz w:val="24"/>
              </w:rPr>
              <w:t>125</w:t>
            </w:r>
          </w:p>
        </w:tc>
      </w:tr>
      <w:tr w:rsidR="00C6455E" w14:paraId="1BF0254B" w14:textId="77777777" w:rsidTr="000247DB">
        <w:tc>
          <w:tcPr>
            <w:tcW w:w="1872" w:type="dxa"/>
            <w:tcBorders>
              <w:top w:val="single" w:sz="7" w:space="0" w:color="auto"/>
              <w:left w:val="double" w:sz="7" w:space="0" w:color="auto"/>
              <w:bottom w:val="double" w:sz="7" w:space="0" w:color="auto"/>
            </w:tcBorders>
          </w:tcPr>
          <w:p w14:paraId="405CD060" w14:textId="66D2A748" w:rsidR="00C6455E" w:rsidRDefault="00C6455E" w:rsidP="000247DB">
            <w:pPr>
              <w:tabs>
                <w:tab w:val="left" w:pos="-720"/>
              </w:tabs>
              <w:suppressAutoHyphens/>
              <w:spacing w:before="90" w:after="54"/>
              <w:rPr>
                <w:sz w:val="24"/>
              </w:rPr>
            </w:pPr>
          </w:p>
        </w:tc>
        <w:tc>
          <w:tcPr>
            <w:tcW w:w="1872" w:type="dxa"/>
            <w:tcBorders>
              <w:top w:val="single" w:sz="7" w:space="0" w:color="auto"/>
              <w:left w:val="single" w:sz="7" w:space="0" w:color="auto"/>
              <w:bottom w:val="double" w:sz="7" w:space="0" w:color="auto"/>
            </w:tcBorders>
          </w:tcPr>
          <w:p w14:paraId="43B2CA51" w14:textId="4F9373EA" w:rsidR="00C6455E" w:rsidRDefault="00C6455E" w:rsidP="000247DB">
            <w:pPr>
              <w:tabs>
                <w:tab w:val="left" w:pos="-720"/>
              </w:tabs>
              <w:suppressAutoHyphens/>
              <w:spacing w:before="90" w:after="54"/>
              <w:jc w:val="right"/>
              <w:rPr>
                <w:sz w:val="24"/>
              </w:rPr>
            </w:pPr>
          </w:p>
        </w:tc>
        <w:tc>
          <w:tcPr>
            <w:tcW w:w="1728" w:type="dxa"/>
            <w:tcBorders>
              <w:top w:val="single" w:sz="7" w:space="0" w:color="auto"/>
              <w:left w:val="single" w:sz="7" w:space="0" w:color="auto"/>
              <w:bottom w:val="double" w:sz="7" w:space="0" w:color="auto"/>
            </w:tcBorders>
          </w:tcPr>
          <w:p w14:paraId="3D085E4B" w14:textId="2648BD50" w:rsidR="00C6455E" w:rsidRDefault="00C6455E" w:rsidP="000247DB">
            <w:pPr>
              <w:tabs>
                <w:tab w:val="left" w:pos="-720"/>
              </w:tabs>
              <w:suppressAutoHyphens/>
              <w:spacing w:before="90" w:after="54"/>
              <w:jc w:val="right"/>
              <w:rPr>
                <w:sz w:val="24"/>
              </w:rPr>
            </w:pPr>
          </w:p>
        </w:tc>
        <w:tc>
          <w:tcPr>
            <w:tcW w:w="1872" w:type="dxa"/>
            <w:tcBorders>
              <w:top w:val="single" w:sz="7" w:space="0" w:color="auto"/>
              <w:left w:val="single" w:sz="7" w:space="0" w:color="auto"/>
              <w:bottom w:val="double" w:sz="7" w:space="0" w:color="auto"/>
            </w:tcBorders>
          </w:tcPr>
          <w:p w14:paraId="0516270F" w14:textId="77843741" w:rsidR="00C6455E" w:rsidRDefault="00C6455E" w:rsidP="000247DB">
            <w:pPr>
              <w:tabs>
                <w:tab w:val="left" w:pos="-720"/>
              </w:tabs>
              <w:suppressAutoHyphens/>
              <w:spacing w:before="90" w:after="54"/>
              <w:jc w:val="right"/>
              <w:rPr>
                <w:sz w:val="24"/>
              </w:rPr>
            </w:pPr>
          </w:p>
        </w:tc>
        <w:tc>
          <w:tcPr>
            <w:tcW w:w="1872" w:type="dxa"/>
            <w:tcBorders>
              <w:top w:val="single" w:sz="7" w:space="0" w:color="auto"/>
              <w:left w:val="single" w:sz="7" w:space="0" w:color="auto"/>
              <w:bottom w:val="double" w:sz="7" w:space="0" w:color="auto"/>
              <w:right w:val="double" w:sz="7" w:space="0" w:color="auto"/>
            </w:tcBorders>
          </w:tcPr>
          <w:p w14:paraId="3DE52CB0" w14:textId="0C9CD42B" w:rsidR="00C6455E" w:rsidRDefault="00C6455E" w:rsidP="000247DB">
            <w:pPr>
              <w:tabs>
                <w:tab w:val="left" w:pos="-720"/>
              </w:tabs>
              <w:suppressAutoHyphens/>
              <w:spacing w:before="90" w:after="54"/>
              <w:jc w:val="right"/>
              <w:rPr>
                <w:sz w:val="24"/>
              </w:rPr>
            </w:pPr>
          </w:p>
        </w:tc>
      </w:tr>
    </w:tbl>
    <w:p w14:paraId="66D3816A" w14:textId="640F103F" w:rsidR="00C6455E" w:rsidRDefault="00C6455E" w:rsidP="00C6455E">
      <w:pPr>
        <w:tabs>
          <w:tab w:val="left" w:pos="-720"/>
        </w:tabs>
        <w:suppressAutoHyphens/>
        <w:spacing w:after="54"/>
        <w:rPr>
          <w:sz w:val="24"/>
        </w:rPr>
      </w:pPr>
      <w:r>
        <w:rPr>
          <w:sz w:val="24"/>
        </w:rPr>
        <w:t>Estimated Total Annual Burden Hours: 125</w:t>
      </w:r>
    </w:p>
    <w:p w14:paraId="16255B4D" w14:textId="77777777" w:rsidR="00C6455E" w:rsidRDefault="00C6455E" w:rsidP="001E2D92">
      <w:pPr>
        <w:widowControl/>
        <w:rPr>
          <w:rFonts w:ascii="Times New Roman" w:hAnsi="Times New Roman"/>
          <w:snapToGrid/>
          <w:sz w:val="24"/>
          <w:szCs w:val="24"/>
        </w:rPr>
      </w:pPr>
    </w:p>
    <w:p w14:paraId="5A26F579" w14:textId="77777777" w:rsidR="00C6455E" w:rsidRDefault="00C6455E" w:rsidP="001E2D92">
      <w:pPr>
        <w:widowControl/>
        <w:rPr>
          <w:rFonts w:ascii="Times New Roman" w:hAnsi="Times New Roman"/>
          <w:snapToGrid/>
          <w:sz w:val="24"/>
          <w:szCs w:val="24"/>
        </w:rPr>
      </w:pPr>
    </w:p>
    <w:p w14:paraId="63292D55" w14:textId="77777777" w:rsidR="001E2D92" w:rsidRPr="002C3C4F" w:rsidRDefault="001E2D92" w:rsidP="001E2D92">
      <w:pPr>
        <w:widowControl/>
        <w:rPr>
          <w:rFonts w:ascii="Times New Roman" w:hAnsi="Times New Roman"/>
          <w:snapToGrid/>
          <w:sz w:val="24"/>
          <w:szCs w:val="24"/>
        </w:rPr>
      </w:pPr>
    </w:p>
    <w:p w14:paraId="3DBCF065"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Estimates of Other Total Annual Cost Burden to Respondents and Record Keepers </w:t>
      </w:r>
    </w:p>
    <w:p w14:paraId="145F165B" w14:textId="77777777" w:rsidR="001E2D92" w:rsidRDefault="001E2D92" w:rsidP="001E2D92">
      <w:pPr>
        <w:widowControl/>
        <w:rPr>
          <w:rFonts w:ascii="Times New Roman" w:hAnsi="Times New Roman"/>
          <w:snapToGrid/>
          <w:sz w:val="24"/>
          <w:szCs w:val="24"/>
        </w:rPr>
      </w:pPr>
    </w:p>
    <w:p w14:paraId="1EE9555C"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There are no costs associated with the burden to respondents and record keepers.</w:t>
      </w:r>
    </w:p>
    <w:p w14:paraId="787C7C04" w14:textId="77777777" w:rsidR="001E2D92" w:rsidRPr="002C3C4F" w:rsidRDefault="001E2D92" w:rsidP="001E2D92">
      <w:pPr>
        <w:widowControl/>
        <w:rPr>
          <w:rFonts w:ascii="Times New Roman" w:hAnsi="Times New Roman"/>
          <w:snapToGrid/>
          <w:sz w:val="24"/>
          <w:szCs w:val="24"/>
        </w:rPr>
      </w:pPr>
    </w:p>
    <w:p w14:paraId="5AAE9E3C"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Annualized Cost to the Federal Government </w:t>
      </w:r>
    </w:p>
    <w:p w14:paraId="77F95C81" w14:textId="77777777" w:rsidR="001E2D92" w:rsidRDefault="001E2D92" w:rsidP="001E2D92">
      <w:pPr>
        <w:widowControl/>
        <w:rPr>
          <w:rFonts w:ascii="Times New Roman" w:hAnsi="Times New Roman"/>
          <w:snapToGrid/>
          <w:sz w:val="24"/>
          <w:szCs w:val="24"/>
        </w:rPr>
      </w:pPr>
    </w:p>
    <w:p w14:paraId="345EB29B"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Costs associated with the retention of this information are negligible as it is retained and accessed electronically. </w:t>
      </w:r>
    </w:p>
    <w:p w14:paraId="2FF6B3F5" w14:textId="77777777" w:rsidR="001E2D92" w:rsidRDefault="001E2D92" w:rsidP="001E2D92">
      <w:pPr>
        <w:widowControl/>
        <w:rPr>
          <w:rFonts w:ascii="Times New Roman" w:hAnsi="Times New Roman"/>
          <w:snapToGrid/>
          <w:sz w:val="24"/>
          <w:szCs w:val="24"/>
        </w:rPr>
      </w:pPr>
    </w:p>
    <w:p w14:paraId="26629B11" w14:textId="77777777" w:rsidR="002C3C4F"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Explanation for Program Changes or Adjustments </w:t>
      </w:r>
    </w:p>
    <w:p w14:paraId="2FE3A595" w14:textId="77777777" w:rsidR="001E2D92" w:rsidRDefault="001E2D92" w:rsidP="001E2D92">
      <w:pPr>
        <w:widowControl/>
        <w:rPr>
          <w:rFonts w:ascii="Times New Roman" w:hAnsi="Times New Roman"/>
          <w:b/>
          <w:snapToGrid/>
          <w:sz w:val="24"/>
          <w:szCs w:val="24"/>
        </w:rPr>
      </w:pPr>
    </w:p>
    <w:p w14:paraId="4B5406C4"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None. This is a new information collection. </w:t>
      </w:r>
    </w:p>
    <w:p w14:paraId="71946B89" w14:textId="77777777" w:rsidR="001E2D92" w:rsidRDefault="001E2D92" w:rsidP="001E2D92">
      <w:pPr>
        <w:widowControl/>
        <w:rPr>
          <w:rFonts w:ascii="Times New Roman" w:hAnsi="Times New Roman"/>
          <w:snapToGrid/>
          <w:sz w:val="24"/>
          <w:szCs w:val="24"/>
        </w:rPr>
      </w:pPr>
    </w:p>
    <w:p w14:paraId="65EE5AE8" w14:textId="77777777" w:rsidR="002C3C4F"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Plans for Tabulation and Publication and Project Time Schedule </w:t>
      </w:r>
    </w:p>
    <w:p w14:paraId="0422651B" w14:textId="77777777" w:rsidR="001E2D92" w:rsidRDefault="001E2D92" w:rsidP="001E2D92">
      <w:pPr>
        <w:widowControl/>
        <w:rPr>
          <w:rFonts w:ascii="Times New Roman" w:hAnsi="Times New Roman"/>
          <w:snapToGrid/>
          <w:sz w:val="24"/>
          <w:szCs w:val="24"/>
        </w:rPr>
      </w:pPr>
    </w:p>
    <w:p w14:paraId="368D62B9" w14:textId="77777777" w:rsidR="001E2D92" w:rsidRP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We have no plans for tabulation or publication of the RRM data. The use will solely be for purposes of identifying potential grant reviewers. </w:t>
      </w:r>
    </w:p>
    <w:p w14:paraId="69112999" w14:textId="77777777" w:rsidR="001E2D92" w:rsidRPr="002C3C4F" w:rsidRDefault="001E2D92" w:rsidP="001E2D92">
      <w:pPr>
        <w:widowControl/>
        <w:rPr>
          <w:rFonts w:ascii="Times New Roman" w:hAnsi="Times New Roman"/>
          <w:snapToGrid/>
          <w:sz w:val="24"/>
          <w:szCs w:val="24"/>
        </w:rPr>
      </w:pPr>
    </w:p>
    <w:p w14:paraId="5275BCFB"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 xml:space="preserve">Reason(s) Display of OMB Expiration Date is Inappropriate </w:t>
      </w:r>
    </w:p>
    <w:p w14:paraId="09DFC054" w14:textId="77777777" w:rsidR="001E2D92" w:rsidRDefault="001E2D92" w:rsidP="001E2D92">
      <w:pPr>
        <w:widowControl/>
        <w:rPr>
          <w:rFonts w:ascii="Times New Roman" w:hAnsi="Times New Roman"/>
          <w:snapToGrid/>
          <w:sz w:val="24"/>
          <w:szCs w:val="24"/>
        </w:rPr>
      </w:pPr>
    </w:p>
    <w:p w14:paraId="67E21381"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We will display the OMB expiration date on the website. </w:t>
      </w:r>
    </w:p>
    <w:p w14:paraId="67133685" w14:textId="77777777" w:rsidR="001E2D92" w:rsidRPr="002C3C4F" w:rsidRDefault="001E2D92" w:rsidP="001E2D92">
      <w:pPr>
        <w:widowControl/>
        <w:rPr>
          <w:rFonts w:ascii="Times New Roman" w:hAnsi="Times New Roman"/>
          <w:snapToGrid/>
          <w:sz w:val="24"/>
          <w:szCs w:val="24"/>
        </w:rPr>
      </w:pPr>
    </w:p>
    <w:p w14:paraId="671F736A" w14:textId="77777777" w:rsidR="002C3C4F" w:rsidRPr="001E2D92" w:rsidRDefault="002C3C4F" w:rsidP="00804FAC">
      <w:pPr>
        <w:widowControl/>
        <w:numPr>
          <w:ilvl w:val="0"/>
          <w:numId w:val="3"/>
        </w:numPr>
        <w:ind w:left="0"/>
        <w:rPr>
          <w:rFonts w:ascii="Times New Roman" w:hAnsi="Times New Roman"/>
          <w:b/>
          <w:snapToGrid/>
          <w:sz w:val="24"/>
          <w:szCs w:val="24"/>
        </w:rPr>
      </w:pPr>
      <w:r w:rsidRPr="001E2D92">
        <w:rPr>
          <w:rFonts w:ascii="Times New Roman" w:hAnsi="Times New Roman"/>
          <w:b/>
          <w:snapToGrid/>
          <w:sz w:val="24"/>
          <w:szCs w:val="24"/>
        </w:rPr>
        <w:t>Exceptions to Certification for Paperwork Reduction Act Submissions</w:t>
      </w:r>
    </w:p>
    <w:p w14:paraId="3C9BA750" w14:textId="77777777" w:rsidR="001E2D92" w:rsidRDefault="001E2D92" w:rsidP="001E2D92">
      <w:pPr>
        <w:widowControl/>
        <w:rPr>
          <w:rFonts w:ascii="Times New Roman" w:hAnsi="Times New Roman"/>
          <w:snapToGrid/>
          <w:sz w:val="24"/>
          <w:szCs w:val="24"/>
        </w:rPr>
      </w:pPr>
    </w:p>
    <w:p w14:paraId="3A6E80EE"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There are no exceptions sought. </w:t>
      </w:r>
    </w:p>
    <w:p w14:paraId="3C54EE46" w14:textId="77777777" w:rsidR="001E2D92" w:rsidRPr="002C3C4F" w:rsidRDefault="001E2D92" w:rsidP="001E2D92">
      <w:pPr>
        <w:widowControl/>
        <w:rPr>
          <w:rFonts w:ascii="Times New Roman" w:hAnsi="Times New Roman"/>
          <w:snapToGrid/>
          <w:sz w:val="24"/>
          <w:szCs w:val="24"/>
        </w:rPr>
      </w:pPr>
    </w:p>
    <w:p w14:paraId="2145B5AB" w14:textId="77777777" w:rsidR="002C3C4F" w:rsidRPr="002C3C4F" w:rsidRDefault="002C3C4F" w:rsidP="00804FAC">
      <w:pPr>
        <w:widowControl/>
        <w:rPr>
          <w:rFonts w:ascii="Times New Roman" w:hAnsi="Times New Roman"/>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0A572A7B" w14:textId="77777777" w:rsidR="001E2D92" w:rsidRDefault="001E2D92" w:rsidP="001E2D92">
      <w:pPr>
        <w:widowControl/>
        <w:rPr>
          <w:rFonts w:ascii="Times New Roman" w:hAnsi="Times New Roman"/>
          <w:snapToGrid/>
          <w:sz w:val="24"/>
          <w:szCs w:val="24"/>
        </w:rPr>
      </w:pPr>
    </w:p>
    <w:p w14:paraId="4D055D7E" w14:textId="77777777" w:rsidR="001E2D92" w:rsidRDefault="001E2D92" w:rsidP="001E2D92">
      <w:pPr>
        <w:widowControl/>
        <w:rPr>
          <w:rFonts w:ascii="Times New Roman" w:hAnsi="Times New Roman"/>
          <w:snapToGrid/>
          <w:sz w:val="24"/>
          <w:szCs w:val="24"/>
        </w:rPr>
      </w:pPr>
      <w:r>
        <w:rPr>
          <w:rFonts w:ascii="Times New Roman" w:hAnsi="Times New Roman"/>
          <w:snapToGrid/>
          <w:sz w:val="24"/>
          <w:szCs w:val="24"/>
        </w:rPr>
        <w:t xml:space="preserve">Statistical methods will are not applicable. </w:t>
      </w:r>
    </w:p>
    <w:p w14:paraId="61E07613" w14:textId="77777777" w:rsidR="001E2D92" w:rsidRDefault="001E2D92" w:rsidP="001E2D92">
      <w:pPr>
        <w:widowControl/>
        <w:rPr>
          <w:rFonts w:ascii="Times New Roman" w:hAnsi="Times New Roman"/>
          <w:snapToGrid/>
          <w:sz w:val="24"/>
          <w:szCs w:val="24"/>
        </w:rPr>
      </w:pPr>
    </w:p>
    <w:sectPr w:rsidR="001E2D92"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06F1" w14:textId="77777777" w:rsidR="00185940" w:rsidRDefault="00185940">
      <w:pPr>
        <w:spacing w:line="20" w:lineRule="exact"/>
        <w:rPr>
          <w:sz w:val="24"/>
        </w:rPr>
      </w:pPr>
    </w:p>
  </w:endnote>
  <w:endnote w:type="continuationSeparator" w:id="0">
    <w:p w14:paraId="4183EB16" w14:textId="77777777" w:rsidR="00185940" w:rsidRDefault="00185940">
      <w:r>
        <w:rPr>
          <w:sz w:val="24"/>
        </w:rPr>
        <w:t xml:space="preserve"> </w:t>
      </w:r>
    </w:p>
  </w:endnote>
  <w:endnote w:type="continuationNotice" w:id="1">
    <w:p w14:paraId="7C6A55C7" w14:textId="77777777" w:rsidR="00185940" w:rsidRDefault="0018594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B565A" w14:textId="77777777" w:rsidR="00DC1C23" w:rsidRDefault="00DC1C23">
    <w:pPr>
      <w:spacing w:before="140" w:line="100" w:lineRule="exact"/>
      <w:rPr>
        <w:sz w:val="10"/>
      </w:rPr>
    </w:pPr>
  </w:p>
  <w:p w14:paraId="50BCB367" w14:textId="77777777" w:rsidR="00DC1C23" w:rsidRDefault="00DC1C23">
    <w:pPr>
      <w:tabs>
        <w:tab w:val="left" w:pos="-720"/>
      </w:tabs>
      <w:suppressAutoHyphens/>
      <w:rPr>
        <w:sz w:val="24"/>
      </w:rPr>
    </w:pPr>
  </w:p>
  <w:p w14:paraId="723B6828" w14:textId="4D8A9206" w:rsidR="00DC1C23" w:rsidRDefault="00734B09">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37E61789" wp14:editId="2DF5E623">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11D35B"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34B09">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2511D35B"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34B09">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E9420" w14:textId="77777777" w:rsidR="00185940" w:rsidRDefault="00185940">
      <w:r>
        <w:rPr>
          <w:sz w:val="24"/>
        </w:rPr>
        <w:separator/>
      </w:r>
    </w:p>
  </w:footnote>
  <w:footnote w:type="continuationSeparator" w:id="0">
    <w:p w14:paraId="2D0F1DC0" w14:textId="77777777" w:rsidR="00185940" w:rsidRDefault="00185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0507FE"/>
    <w:multiLevelType w:val="hybridMultilevel"/>
    <w:tmpl w:val="535C4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2450"/>
    <w:rsid w:val="0014145B"/>
    <w:rsid w:val="00185940"/>
    <w:rsid w:val="00186385"/>
    <w:rsid w:val="001C483C"/>
    <w:rsid w:val="001E2D92"/>
    <w:rsid w:val="00234235"/>
    <w:rsid w:val="0029589B"/>
    <w:rsid w:val="00296738"/>
    <w:rsid w:val="002C3C4F"/>
    <w:rsid w:val="002E10D1"/>
    <w:rsid w:val="002E631A"/>
    <w:rsid w:val="003405A4"/>
    <w:rsid w:val="003B06C7"/>
    <w:rsid w:val="003E6EA3"/>
    <w:rsid w:val="0042701F"/>
    <w:rsid w:val="00467954"/>
    <w:rsid w:val="00476C1F"/>
    <w:rsid w:val="00480072"/>
    <w:rsid w:val="0049119A"/>
    <w:rsid w:val="004943E0"/>
    <w:rsid w:val="004E05A8"/>
    <w:rsid w:val="005824BD"/>
    <w:rsid w:val="005B22D4"/>
    <w:rsid w:val="005C60F1"/>
    <w:rsid w:val="005D1240"/>
    <w:rsid w:val="005D274E"/>
    <w:rsid w:val="005D61DB"/>
    <w:rsid w:val="005F0ED4"/>
    <w:rsid w:val="00603498"/>
    <w:rsid w:val="00640565"/>
    <w:rsid w:val="006B2726"/>
    <w:rsid w:val="006E6629"/>
    <w:rsid w:val="006F68BE"/>
    <w:rsid w:val="00734B09"/>
    <w:rsid w:val="00804FAC"/>
    <w:rsid w:val="00841BDF"/>
    <w:rsid w:val="00846E18"/>
    <w:rsid w:val="00936A53"/>
    <w:rsid w:val="00945B72"/>
    <w:rsid w:val="00A77AC0"/>
    <w:rsid w:val="00A918E4"/>
    <w:rsid w:val="00AF4347"/>
    <w:rsid w:val="00AF5FE7"/>
    <w:rsid w:val="00BC44F8"/>
    <w:rsid w:val="00BD378C"/>
    <w:rsid w:val="00C13BA6"/>
    <w:rsid w:val="00C6455E"/>
    <w:rsid w:val="00CE53AB"/>
    <w:rsid w:val="00D176EB"/>
    <w:rsid w:val="00D9648C"/>
    <w:rsid w:val="00DC1C23"/>
    <w:rsid w:val="00F10B17"/>
    <w:rsid w:val="00FA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804FAC"/>
    <w:pPr>
      <w:ind w:left="720"/>
    </w:pPr>
  </w:style>
  <w:style w:type="character" w:customStyle="1" w:styleId="apple-converted-space">
    <w:name w:val="apple-converted-space"/>
    <w:rsid w:val="00002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804FAC"/>
    <w:pPr>
      <w:ind w:left="720"/>
    </w:pPr>
  </w:style>
  <w:style w:type="character" w:customStyle="1" w:styleId="apple-converted-space">
    <w:name w:val="apple-converted-space"/>
    <w:rsid w:val="0000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rm.grantsolutions.gov/AgencyPortal/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rm.grantsolutions.gov/AgencyPortal/cb.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ACYF-0251</ACF_x0020_Tracking_x0020_No_x002e_>
    <Description0 xmlns="e059a2d5-a4f8-4fd8-b836-4c9cf26100e7">Supporting statement</Description0>
  </documentManagement>
</p:properties>
</file>

<file path=customXml/itemProps1.xml><?xml version="1.0" encoding="utf-8"?>
<ds:datastoreItem xmlns:ds="http://schemas.openxmlformats.org/officeDocument/2006/customXml" ds:itemID="{B4567718-915F-4351-B2D3-7CBA8F8F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49F85-4B8D-475C-A5F5-4A17AD23BBAF}">
  <ds:schemaRefs>
    <ds:schemaRef ds:uri="http://schemas.microsoft.com/sharepoint/v3/contenttype/forms"/>
  </ds:schemaRefs>
</ds:datastoreItem>
</file>

<file path=customXml/itemProps3.xml><?xml version="1.0" encoding="utf-8"?>
<ds:datastoreItem xmlns:ds="http://schemas.openxmlformats.org/officeDocument/2006/customXml" ds:itemID="{48BB9229-42DA-41CA-B6C7-ABDE3D8BA3B6}">
  <ds:schemaRefs>
    <ds:schemaRef ds:uri="http://schemas.microsoft.com/office/2006/metadata/properties"/>
    <ds:schemaRef ds:uri="http://schemas.microsoft.com/office/infopath/2007/PartnerControl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RRM supporting statement</vt:lpstr>
    </vt:vector>
  </TitlesOfParts>
  <Company>DHHS</Company>
  <LinksUpToDate>false</LinksUpToDate>
  <CharactersWithSpaces>4781</CharactersWithSpaces>
  <SharedDoc>false</SharedDoc>
  <HLinks>
    <vt:vector size="12" baseType="variant">
      <vt:variant>
        <vt:i4>7274599</vt:i4>
      </vt:variant>
      <vt:variant>
        <vt:i4>3</vt:i4>
      </vt:variant>
      <vt:variant>
        <vt:i4>0</vt:i4>
      </vt:variant>
      <vt:variant>
        <vt:i4>5</vt:i4>
      </vt:variant>
      <vt:variant>
        <vt:lpwstr>https://rrm.grantsolutions.gov/AgencyPortal/cb.aspx</vt:lpwstr>
      </vt:variant>
      <vt:variant>
        <vt:lpwstr/>
      </vt:variant>
      <vt:variant>
        <vt:i4>7274599</vt:i4>
      </vt:variant>
      <vt:variant>
        <vt:i4>0</vt:i4>
      </vt:variant>
      <vt:variant>
        <vt:i4>0</vt:i4>
      </vt:variant>
      <vt:variant>
        <vt:i4>5</vt:i4>
      </vt:variant>
      <vt:variant>
        <vt:lpwstr>https://rrm.grantsolutions.gov/AgencyPortal/cb.aspx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RRM supporting statement</dc:title>
  <dc:creator>ACF</dc:creator>
  <cp:lastModifiedBy>Windows User</cp:lastModifiedBy>
  <cp:revision>2</cp:revision>
  <cp:lastPrinted>2007-10-10T21:27:00Z</cp:lastPrinted>
  <dcterms:created xsi:type="dcterms:W3CDTF">2015-03-03T19:11:00Z</dcterms:created>
  <dcterms:modified xsi:type="dcterms:W3CDTF">2015-03-03T19:11:00Z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