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XXXX-YYYY)</w:t>
      </w:r>
    </w:p>
    <w:p w:rsidR="00E50293" w:rsidRPr="005B06F0" w:rsidRDefault="00E00697" w:rsidP="005B06F0">
      <w:pPr>
        <w:spacing w:before="240"/>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B06F0">
        <w:t xml:space="preserve">Healthcare and Public Health Sector Site </w:t>
      </w:r>
      <w:r w:rsidR="005B06F0" w:rsidRPr="00C22B64">
        <w:t xml:space="preserve">Assessment </w:t>
      </w:r>
      <w:r w:rsidR="005B06F0">
        <w:t xml:space="preserve">Risk Analysis (SARA) </w:t>
      </w:r>
      <w:r w:rsidR="005B06F0" w:rsidRPr="00C22B64">
        <w:t>Tool Pilot Activity Survey Form</w:t>
      </w:r>
      <w:r w:rsidR="005B06F0">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5B06F0" w:rsidRDefault="005B06F0" w:rsidP="005B06F0">
      <w:pPr>
        <w:ind w:left="720"/>
      </w:pPr>
      <w:r>
        <w:t>The National Infrastructure Protection Plan provides a framework of sixteen critical sector areas of US assets whose protection from man-made and natural disasters must be planned and prepared for.  One of these is the Healthcare and Public Health (HPH) Sector for which the Critical Infrastructure Protection (CIP) program within ASPR OEM’s Division of Resilience is the designated lead.  CIP is engaged in a variety of methods to protect critical healthcare and public health assets by working with the public and private members of the HPH Sector to identify, communicate, and prepare for potential risks in order to develop measures that would minimize their negative impacts.</w:t>
      </w:r>
    </w:p>
    <w:p w:rsidR="005B06F0" w:rsidRDefault="005B06F0" w:rsidP="005B06F0">
      <w:pPr>
        <w:ind w:left="720"/>
      </w:pPr>
    </w:p>
    <w:p w:rsidR="005B06F0" w:rsidRDefault="005B06F0" w:rsidP="005B06F0">
      <w:pPr>
        <w:ind w:left="720"/>
      </w:pPr>
      <w:r>
        <w:t>It is essential that CIP is able to communicate formally with its Sector members in advance, to assist in the mitigation of risks before they happen. Sector partners have identified the need for an objective methodology to assist with the decision making process for resource allocation of preparedness funding. The surveys that CIP intends to distribute will:</w:t>
      </w:r>
    </w:p>
    <w:p w:rsidR="005B06F0" w:rsidRDefault="005B06F0" w:rsidP="005B06F0">
      <w:pPr>
        <w:widowControl w:val="0"/>
        <w:numPr>
          <w:ilvl w:val="0"/>
          <w:numId w:val="19"/>
        </w:numPr>
        <w:overflowPunct w:val="0"/>
        <w:adjustRightInd w:val="0"/>
        <w:ind w:left="1080" w:hanging="360"/>
      </w:pPr>
      <w:r>
        <w:t>Be a comprehensive questionnaire to understand tool usability for sector partners. Specifically the following areas will be addressed:</w:t>
      </w:r>
    </w:p>
    <w:p w:rsidR="005B06F0" w:rsidRDefault="005B06F0" w:rsidP="005B06F0">
      <w:pPr>
        <w:widowControl w:val="0"/>
        <w:numPr>
          <w:ilvl w:val="1"/>
          <w:numId w:val="20"/>
        </w:numPr>
        <w:overflowPunct w:val="0"/>
        <w:adjustRightInd w:val="0"/>
      </w:pPr>
      <w:r>
        <w:t>Tool Content</w:t>
      </w:r>
    </w:p>
    <w:p w:rsidR="005B06F0" w:rsidRDefault="005B06F0" w:rsidP="005B06F0">
      <w:pPr>
        <w:widowControl w:val="0"/>
        <w:numPr>
          <w:ilvl w:val="1"/>
          <w:numId w:val="20"/>
        </w:numPr>
        <w:overflowPunct w:val="0"/>
        <w:adjustRightInd w:val="0"/>
      </w:pPr>
      <w:r>
        <w:t>Tool User Interface and Flow</w:t>
      </w:r>
    </w:p>
    <w:p w:rsidR="005B06F0" w:rsidRDefault="005B06F0" w:rsidP="005B06F0">
      <w:pPr>
        <w:widowControl w:val="0"/>
        <w:numPr>
          <w:ilvl w:val="1"/>
          <w:numId w:val="20"/>
        </w:numPr>
        <w:overflowPunct w:val="0"/>
        <w:adjustRightInd w:val="0"/>
      </w:pPr>
      <w:r>
        <w:t>Tool Reporting Content and Format</w:t>
      </w:r>
    </w:p>
    <w:p w:rsidR="005B06F0" w:rsidRDefault="005B06F0" w:rsidP="005B06F0">
      <w:pPr>
        <w:widowControl w:val="0"/>
        <w:numPr>
          <w:ilvl w:val="1"/>
          <w:numId w:val="20"/>
        </w:numPr>
        <w:overflowPunct w:val="0"/>
        <w:adjustRightInd w:val="0"/>
      </w:pPr>
      <w:r>
        <w:t>Tool Use-Case</w:t>
      </w:r>
    </w:p>
    <w:p w:rsidR="005B06F0" w:rsidRDefault="005B06F0" w:rsidP="005B06F0">
      <w:pPr>
        <w:widowControl w:val="0"/>
        <w:numPr>
          <w:ilvl w:val="1"/>
          <w:numId w:val="20"/>
        </w:numPr>
        <w:overflowPunct w:val="0"/>
        <w:adjustRightInd w:val="0"/>
      </w:pPr>
      <w:r>
        <w:t>Additional Comments</w:t>
      </w:r>
    </w:p>
    <w:p w:rsidR="005B06F0" w:rsidRDefault="005B06F0" w:rsidP="005B06F0">
      <w:pPr>
        <w:widowControl w:val="0"/>
        <w:numPr>
          <w:ilvl w:val="0"/>
          <w:numId w:val="20"/>
        </w:numPr>
        <w:overflowPunct w:val="0"/>
        <w:adjustRightInd w:val="0"/>
      </w:pPr>
      <w:r>
        <w:t>Be used to inform the follow-up interviews with key contacts</w:t>
      </w:r>
    </w:p>
    <w:p w:rsidR="005B06F0" w:rsidRDefault="005B06F0" w:rsidP="005B06F0">
      <w:pPr>
        <w:widowControl w:val="0"/>
        <w:numPr>
          <w:ilvl w:val="0"/>
          <w:numId w:val="20"/>
        </w:numPr>
        <w:overflowPunct w:val="0"/>
        <w:adjustRightInd w:val="0"/>
      </w:pPr>
      <w:r>
        <w:t>Become part of the feedback utilized to finalize the risk tools.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5B06F0" w:rsidRDefault="005B06F0" w:rsidP="005B06F0">
      <w:pPr>
        <w:ind w:left="720"/>
      </w:pPr>
      <w:r>
        <w:t xml:space="preserve">The population will be comprised of </w:t>
      </w:r>
      <w:r w:rsidRPr="00741637">
        <w:t>a pool</w:t>
      </w:r>
      <w:r>
        <w:t xml:space="preserve"> of approximately 30 - 60 individuals representing a diverse group of health care organizations that are members of the HPH Sector community and membership, </w:t>
      </w:r>
      <w:r w:rsidRPr="00741637">
        <w:t>for each distribution cycle of the survey.</w:t>
      </w:r>
    </w:p>
    <w:p w:rsidR="005B06F0" w:rsidRDefault="005B06F0" w:rsidP="005B06F0">
      <w:pPr>
        <w:ind w:left="720"/>
      </w:pPr>
    </w:p>
    <w:p w:rsidR="005B06F0" w:rsidRDefault="005B06F0" w:rsidP="005B06F0">
      <w:pPr>
        <w:ind w:left="720"/>
      </w:pPr>
      <w:r>
        <w:t xml:space="preserve">The anticipated response rate is 70 percent.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B06F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5B06F0">
        <w:rPr>
          <w:bCs/>
          <w:sz w:val="24"/>
        </w:rPr>
        <w:t>X</w:t>
      </w:r>
      <w:r w:rsidR="00F06866">
        <w:rPr>
          <w:bCs/>
          <w:sz w:val="24"/>
        </w:rPr>
        <w:t>]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lastRenderedPageBreak/>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w:t>
      </w:r>
      <w:r w:rsidR="007B1260">
        <w:t>Kenneth</w:t>
      </w:r>
      <w:proofErr w:type="spellEnd"/>
      <w:r w:rsidR="007B1260">
        <w:t xml:space="preserve"> Monahan</w:t>
      </w:r>
      <w:r>
        <w:t>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B1260">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B1260">
        <w:t>X</w:t>
      </w:r>
      <w:r>
        <w:t xml:space="preserve">]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7B1260">
        <w:trPr>
          <w:trHeight w:val="274"/>
        </w:trPr>
        <w:tc>
          <w:tcPr>
            <w:tcW w:w="5418" w:type="dxa"/>
          </w:tcPr>
          <w:p w:rsidR="007B1260" w:rsidRPr="00AB3446" w:rsidRDefault="007B1260" w:rsidP="00DA50CB">
            <w:pPr>
              <w:jc w:val="center"/>
            </w:pPr>
            <w:r w:rsidRPr="00AB3446">
              <w:t xml:space="preserve">Healthcare and </w:t>
            </w:r>
            <w:r>
              <w:t>Public Health Community Members</w:t>
            </w:r>
            <w:r w:rsidRPr="00AB3446">
              <w:t xml:space="preserve"> </w:t>
            </w:r>
          </w:p>
        </w:tc>
        <w:tc>
          <w:tcPr>
            <w:tcW w:w="1530" w:type="dxa"/>
          </w:tcPr>
          <w:p w:rsidR="007B1260" w:rsidRPr="00AB3446" w:rsidRDefault="007B1260" w:rsidP="00583DEC">
            <w:pPr>
              <w:jc w:val="center"/>
            </w:pPr>
            <w:r>
              <w:t>60</w:t>
            </w:r>
          </w:p>
        </w:tc>
        <w:tc>
          <w:tcPr>
            <w:tcW w:w="1710" w:type="dxa"/>
          </w:tcPr>
          <w:p w:rsidR="007B1260" w:rsidRPr="00AB3446" w:rsidRDefault="007B1260" w:rsidP="00583DEC">
            <w:pPr>
              <w:jc w:val="center"/>
            </w:pPr>
            <w:r>
              <w:t>20 minutes</w:t>
            </w:r>
          </w:p>
        </w:tc>
        <w:tc>
          <w:tcPr>
            <w:tcW w:w="1003" w:type="dxa"/>
          </w:tcPr>
          <w:p w:rsidR="007B1260" w:rsidRPr="00AB3446" w:rsidRDefault="007B1260" w:rsidP="00583DEC">
            <w:pPr>
              <w:jc w:val="center"/>
            </w:pPr>
            <w:r>
              <w:t>20</w:t>
            </w:r>
            <w:r w:rsidRPr="00AB3446">
              <w:t xml:space="preserve"> hours</w:t>
            </w:r>
          </w:p>
        </w:tc>
      </w:tr>
      <w:tr w:rsidR="007B1260">
        <w:trPr>
          <w:trHeight w:val="274"/>
        </w:trPr>
        <w:tc>
          <w:tcPr>
            <w:tcW w:w="5418" w:type="dxa"/>
          </w:tcPr>
          <w:p w:rsidR="007B1260" w:rsidRDefault="007B1260" w:rsidP="00843796"/>
        </w:tc>
        <w:tc>
          <w:tcPr>
            <w:tcW w:w="1530" w:type="dxa"/>
          </w:tcPr>
          <w:p w:rsidR="007B1260" w:rsidRDefault="007B1260" w:rsidP="00843796"/>
        </w:tc>
        <w:tc>
          <w:tcPr>
            <w:tcW w:w="1710" w:type="dxa"/>
          </w:tcPr>
          <w:p w:rsidR="007B1260" w:rsidRDefault="007B1260" w:rsidP="00843796"/>
        </w:tc>
        <w:tc>
          <w:tcPr>
            <w:tcW w:w="1003" w:type="dxa"/>
          </w:tcPr>
          <w:p w:rsidR="007B1260" w:rsidRDefault="007B1260" w:rsidP="00843796"/>
        </w:tc>
      </w:tr>
      <w:tr w:rsidR="007B1260">
        <w:trPr>
          <w:trHeight w:val="289"/>
        </w:trPr>
        <w:tc>
          <w:tcPr>
            <w:tcW w:w="5418" w:type="dxa"/>
          </w:tcPr>
          <w:p w:rsidR="007B1260" w:rsidRPr="00F6240A" w:rsidRDefault="007B1260" w:rsidP="00843796">
            <w:pPr>
              <w:rPr>
                <w:b/>
              </w:rPr>
            </w:pPr>
            <w:r>
              <w:rPr>
                <w:b/>
              </w:rPr>
              <w:t>Totals</w:t>
            </w:r>
          </w:p>
        </w:tc>
        <w:tc>
          <w:tcPr>
            <w:tcW w:w="1530" w:type="dxa"/>
          </w:tcPr>
          <w:p w:rsidR="007B1260" w:rsidRPr="00F6240A" w:rsidRDefault="007B1260" w:rsidP="00843796">
            <w:pPr>
              <w:rPr>
                <w:b/>
              </w:rPr>
            </w:pPr>
            <w:r>
              <w:rPr>
                <w:b/>
              </w:rPr>
              <w:t>60</w:t>
            </w:r>
          </w:p>
        </w:tc>
        <w:tc>
          <w:tcPr>
            <w:tcW w:w="1710" w:type="dxa"/>
          </w:tcPr>
          <w:p w:rsidR="007B1260" w:rsidRPr="007B1260" w:rsidRDefault="007B1260" w:rsidP="00843796">
            <w:pPr>
              <w:rPr>
                <w:b/>
              </w:rPr>
            </w:pPr>
            <w:r w:rsidRPr="007B1260">
              <w:rPr>
                <w:b/>
              </w:rPr>
              <w:t>20 minutes</w:t>
            </w:r>
          </w:p>
        </w:tc>
        <w:tc>
          <w:tcPr>
            <w:tcW w:w="1003" w:type="dxa"/>
          </w:tcPr>
          <w:p w:rsidR="007B1260" w:rsidRPr="00F6240A" w:rsidRDefault="007B1260" w:rsidP="00843796">
            <w:pPr>
              <w:rPr>
                <w:b/>
              </w:rPr>
            </w:pPr>
            <w:r>
              <w:rPr>
                <w:b/>
              </w:rPr>
              <w:t>20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w:t>
      </w:r>
      <w:r w:rsidR="007B1260">
        <w:t>$730.80</w:t>
      </w:r>
      <w:r w:rsidR="00C86E91">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B1260">
        <w:t>X</w:t>
      </w:r>
      <w:r>
        <w:t>]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7B1260" w:rsidP="00A403BB">
      <w:r>
        <w:t>ASPR CIP has provided introductory briefs on the SARA project to nationwide audiences. Through these briefs we have asked for volunteers for pilot projects and have also asked high functioning healthcare coalitions and direct care providers whether they would like to participate in our pilot project.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7B1260">
        <w:t>X</w:t>
      </w:r>
      <w:r>
        <w:t xml:space="preserve"> </w:t>
      </w:r>
      <w:r w:rsidR="001B0AAA">
        <w:t xml:space="preserve"> </w:t>
      </w:r>
      <w:r>
        <w:t>]</w:t>
      </w:r>
      <w:proofErr w:type="gramEnd"/>
      <w:r>
        <w:t xml:space="preserve"> Web-based</w:t>
      </w:r>
      <w:r w:rsidR="001B0AAA">
        <w:t xml:space="preserve"> or other forms of Social Media </w:t>
      </w:r>
    </w:p>
    <w:p w:rsidR="001B0AAA" w:rsidRDefault="007B1260" w:rsidP="001B0AAA">
      <w:pPr>
        <w:ind w:left="720"/>
      </w:pPr>
      <w:r>
        <w:t>[</w:t>
      </w:r>
      <w:proofErr w:type="gramStart"/>
      <w:r>
        <w:t>X</w:t>
      </w:r>
      <w:r w:rsidR="001B0AAA">
        <w:t xml:space="preserve"> </w:t>
      </w:r>
      <w:r w:rsidR="00A403BB">
        <w:t>]</w:t>
      </w:r>
      <w:proofErr w:type="gramEnd"/>
      <w:r w:rsidR="00A403BB">
        <w:t xml:space="preserve"> Telephone</w:t>
      </w:r>
      <w:r w:rsidR="00A403BB">
        <w:tab/>
      </w:r>
    </w:p>
    <w:p w:rsidR="001B0AAA" w:rsidRDefault="00A403BB" w:rsidP="001B0AAA">
      <w:pPr>
        <w:ind w:left="720"/>
      </w:pPr>
      <w:r>
        <w:t>[</w:t>
      </w:r>
      <w:proofErr w:type="gramStart"/>
      <w:r w:rsidR="007B1260">
        <w:t>X</w:t>
      </w:r>
      <w:r>
        <w:t xml:space="preserve"> ]</w:t>
      </w:r>
      <w:proofErr w:type="gramEnd"/>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00697"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lastRenderedPageBreak/>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D55FAC" w:rsidRDefault="00D55FAC"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141C8D" w:rsidRDefault="00141C8D" w:rsidP="00F24CFC">
      <w:pPr>
        <w:tabs>
          <w:tab w:val="left" w:pos="5670"/>
        </w:tabs>
        <w:suppressAutoHyphens/>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p>
    <w:p w:rsidR="000D4E69" w:rsidRDefault="000D4E69" w:rsidP="00141C8D">
      <w:pPr>
        <w:pStyle w:val="Header"/>
        <w:jc w:val="right"/>
        <w:rPr>
          <w:rFonts w:ascii="Arial" w:hAnsi="Arial" w:cs="Arial"/>
          <w:sz w:val="16"/>
          <w:szCs w:val="16"/>
        </w:rPr>
      </w:pPr>
      <w:bookmarkStart w:id="0" w:name="_GoBack"/>
      <w:bookmarkEnd w:id="0"/>
    </w:p>
    <w:sectPr w:rsidR="000D4E69" w:rsidSect="002B34BF">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228C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22E0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7A359E"/>
    <w:lvl w:ilvl="0">
      <w:numFmt w:val="bullet"/>
      <w:lvlText w:val="*"/>
      <w:lvlJc w:val="left"/>
    </w:lvl>
  </w:abstractNum>
  <w:abstractNum w:abstractNumId="1">
    <w:nsid w:val="01D90B2E"/>
    <w:multiLevelType w:val="hybridMultilevel"/>
    <w:tmpl w:val="86B44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434267"/>
    <w:multiLevelType w:val="hybridMultilevel"/>
    <w:tmpl w:val="B53A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347E7C"/>
    <w:multiLevelType w:val="hybridMultilevel"/>
    <w:tmpl w:val="D1B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926707"/>
    <w:multiLevelType w:val="hybridMultilevel"/>
    <w:tmpl w:val="945888F6"/>
    <w:lvl w:ilvl="0" w:tplc="BF56C3AA">
      <w:start w:val="1"/>
      <w:numFmt w:val="lowerLetter"/>
      <w:lvlText w:val="%1."/>
      <w:lvlJc w:val="righ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E544EF7"/>
    <w:multiLevelType w:val="multilevel"/>
    <w:tmpl w:val="798C8CC2"/>
    <w:lvl w:ilvl="0">
      <w:start w:val="1"/>
      <w:numFmt w:val="bullet"/>
      <w:lvlText w:val=""/>
      <w:lvlJc w:val="left"/>
      <w:pPr>
        <w:ind w:left="1080" w:hanging="360"/>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97FF0"/>
    <w:multiLevelType w:val="hybridMultilevel"/>
    <w:tmpl w:val="945888F6"/>
    <w:lvl w:ilvl="0" w:tplc="BF56C3AA">
      <w:start w:val="1"/>
      <w:numFmt w:val="lowerLetter"/>
      <w:lvlText w:val="%1."/>
      <w:lvlJc w:val="righ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DB2643"/>
    <w:multiLevelType w:val="hybridMultilevel"/>
    <w:tmpl w:val="25045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5"/>
  </w:num>
  <w:num w:numId="5">
    <w:abstractNumId w:val="5"/>
  </w:num>
  <w:num w:numId="6">
    <w:abstractNumId w:val="3"/>
  </w:num>
  <w:num w:numId="7">
    <w:abstractNumId w:val="13"/>
  </w:num>
  <w:num w:numId="8">
    <w:abstractNumId w:val="20"/>
  </w:num>
  <w:num w:numId="9">
    <w:abstractNumId w:val="15"/>
  </w:num>
  <w:num w:numId="10">
    <w:abstractNumId w:val="4"/>
  </w:num>
  <w:num w:numId="11">
    <w:abstractNumId w:val="10"/>
  </w:num>
  <w:num w:numId="12">
    <w:abstractNumId w:val="11"/>
  </w:num>
  <w:num w:numId="13">
    <w:abstractNumId w:val="2"/>
  </w:num>
  <w:num w:numId="14">
    <w:abstractNumId w:val="21"/>
  </w:num>
  <w:num w:numId="15">
    <w:abstractNumId w:val="19"/>
  </w:num>
  <w:num w:numId="16">
    <w:abstractNumId w:val="17"/>
  </w:num>
  <w:num w:numId="17">
    <w:abstractNumId w:val="6"/>
  </w:num>
  <w:num w:numId="18">
    <w:abstractNumId w:val="8"/>
  </w:num>
  <w:num w:numId="19">
    <w:abstractNumId w:val="0"/>
    <w:lvlOverride w:ilvl="0">
      <w:lvl w:ilvl="0">
        <w:start w:val="1"/>
        <w:numFmt w:val="bullet"/>
        <w:lvlText w:val=""/>
        <w:legacy w:legacy="1" w:legacySpace="0" w:legacyIndent="360"/>
        <w:lvlJc w:val="left"/>
        <w:rPr>
          <w:rFonts w:ascii="Wingdings" w:hAnsi="Wingdings" w:hint="default"/>
        </w:rPr>
      </w:lvl>
    </w:lvlOverride>
  </w:num>
  <w:num w:numId="20">
    <w:abstractNumId w:val="14"/>
  </w:num>
  <w:num w:numId="21">
    <w:abstractNumId w:val="1"/>
  </w:num>
  <w:num w:numId="22">
    <w:abstractNumId w:val="9"/>
  </w:num>
  <w:num w:numId="23">
    <w:abstractNumId w:val="7"/>
  </w:num>
  <w:num w:numId="24">
    <w:abstractNumId w:val="12"/>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D4E69"/>
    <w:rsid w:val="000E200B"/>
    <w:rsid w:val="000F68BE"/>
    <w:rsid w:val="00141C8D"/>
    <w:rsid w:val="001927A4"/>
    <w:rsid w:val="00194AC6"/>
    <w:rsid w:val="001A23B0"/>
    <w:rsid w:val="001A25CC"/>
    <w:rsid w:val="001B0AAA"/>
    <w:rsid w:val="001C39F7"/>
    <w:rsid w:val="00237B48"/>
    <w:rsid w:val="0024521E"/>
    <w:rsid w:val="00263C3D"/>
    <w:rsid w:val="00274D0B"/>
    <w:rsid w:val="002B34BF"/>
    <w:rsid w:val="002B3C95"/>
    <w:rsid w:val="002D0B92"/>
    <w:rsid w:val="003D5BBE"/>
    <w:rsid w:val="003E3C61"/>
    <w:rsid w:val="003F1C5B"/>
    <w:rsid w:val="00434E33"/>
    <w:rsid w:val="00441434"/>
    <w:rsid w:val="0045264C"/>
    <w:rsid w:val="004876EC"/>
    <w:rsid w:val="004D6E14"/>
    <w:rsid w:val="005009B0"/>
    <w:rsid w:val="005A1006"/>
    <w:rsid w:val="005B06F0"/>
    <w:rsid w:val="005E714A"/>
    <w:rsid w:val="0060017B"/>
    <w:rsid w:val="006140A0"/>
    <w:rsid w:val="00636621"/>
    <w:rsid w:val="00642B49"/>
    <w:rsid w:val="006832D9"/>
    <w:rsid w:val="0069403B"/>
    <w:rsid w:val="006F3DDE"/>
    <w:rsid w:val="00704678"/>
    <w:rsid w:val="007425E7"/>
    <w:rsid w:val="007B1260"/>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E1809"/>
    <w:rsid w:val="00B22E07"/>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55FAC"/>
    <w:rsid w:val="00D6383F"/>
    <w:rsid w:val="00DB59D0"/>
    <w:rsid w:val="00DC33D3"/>
    <w:rsid w:val="00DF4394"/>
    <w:rsid w:val="00E00697"/>
    <w:rsid w:val="00E26329"/>
    <w:rsid w:val="00E40B50"/>
    <w:rsid w:val="00E50293"/>
    <w:rsid w:val="00E65FFC"/>
    <w:rsid w:val="00E80951"/>
    <w:rsid w:val="00E86CC6"/>
    <w:rsid w:val="00EB56B3"/>
    <w:rsid w:val="00ED6492"/>
    <w:rsid w:val="00EF2095"/>
    <w:rsid w:val="00F06866"/>
    <w:rsid w:val="00F15956"/>
    <w:rsid w:val="00F228C2"/>
    <w:rsid w:val="00F24CFC"/>
    <w:rsid w:val="00F3170F"/>
    <w:rsid w:val="00F976B0"/>
    <w:rsid w:val="00FA6DE7"/>
    <w:rsid w:val="00FC0A8E"/>
    <w:rsid w:val="00FE200C"/>
    <w:rsid w:val="00FE2FA6"/>
    <w:rsid w:val="00FE3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D55FAC"/>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D55FAC"/>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1155</Words>
  <Characters>6588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cp:lastPrinted>2010-10-04T16:59:00Z</cp:lastPrinted>
  <dcterms:created xsi:type="dcterms:W3CDTF">2017-01-31T15:59:00Z</dcterms:created>
  <dcterms:modified xsi:type="dcterms:W3CDTF">2017-01-31T15:59:00Z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