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F2C1" w14:textId="77777777" w:rsidR="00001C53" w:rsidRPr="00985F06" w:rsidRDefault="00B87E91" w:rsidP="00B87E91">
      <w:pPr>
        <w:spacing w:after="0" w:line="240" w:lineRule="auto"/>
        <w:jc w:val="center"/>
        <w:rPr>
          <w:rFonts w:ascii="Times New Roman" w:hAnsi="Times New Roman" w:cs="Times New Roman"/>
          <w:b/>
          <w:sz w:val="24"/>
          <w:szCs w:val="24"/>
        </w:rPr>
      </w:pPr>
      <w:r w:rsidRPr="00985F06">
        <w:rPr>
          <w:rFonts w:ascii="Times New Roman" w:hAnsi="Times New Roman" w:cs="Times New Roman"/>
          <w:b/>
          <w:sz w:val="24"/>
          <w:szCs w:val="24"/>
        </w:rPr>
        <w:t>MEMORANDUM</w:t>
      </w:r>
    </w:p>
    <w:p w14:paraId="5102C8C1" w14:textId="77777777" w:rsidR="00B87E91" w:rsidRPr="00985F06" w:rsidRDefault="00B87E91" w:rsidP="00B87E91">
      <w:pPr>
        <w:spacing w:after="0" w:line="240" w:lineRule="auto"/>
        <w:jc w:val="center"/>
        <w:rPr>
          <w:rFonts w:ascii="Times New Roman" w:hAnsi="Times New Roman" w:cs="Times New Roman"/>
          <w:b/>
          <w:sz w:val="24"/>
          <w:szCs w:val="24"/>
        </w:rPr>
      </w:pPr>
    </w:p>
    <w:p w14:paraId="72DC6AA7"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b/>
          <w:sz w:val="24"/>
          <w:szCs w:val="24"/>
        </w:rPr>
        <w:t>MEMORANDUM TO:</w:t>
      </w:r>
      <w:r w:rsidRPr="00914BBF">
        <w:rPr>
          <w:rFonts w:ascii="Times New Roman" w:hAnsi="Times New Roman" w:cs="Times New Roman"/>
          <w:b/>
          <w:sz w:val="24"/>
          <w:szCs w:val="24"/>
        </w:rPr>
        <w:tab/>
      </w:r>
      <w:r w:rsidRPr="00914BBF">
        <w:rPr>
          <w:rFonts w:ascii="Times New Roman" w:hAnsi="Times New Roman" w:cs="Times New Roman"/>
          <w:sz w:val="24"/>
          <w:szCs w:val="24"/>
        </w:rPr>
        <w:t>Shelly Wilk</w:t>
      </w:r>
      <w:bookmarkStart w:id="0" w:name="_GoBack"/>
      <w:bookmarkEnd w:id="0"/>
      <w:r w:rsidRPr="00914BBF">
        <w:rPr>
          <w:rFonts w:ascii="Times New Roman" w:hAnsi="Times New Roman" w:cs="Times New Roman"/>
          <w:sz w:val="24"/>
          <w:szCs w:val="24"/>
        </w:rPr>
        <w:t>ie Martinez</w:t>
      </w:r>
    </w:p>
    <w:p w14:paraId="0CF48102"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Official of Statistical and Science Policy</w:t>
      </w:r>
    </w:p>
    <w:p w14:paraId="1B05D26A"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Office of Management and Budget</w:t>
      </w:r>
    </w:p>
    <w:p w14:paraId="4965F82F" w14:textId="77777777" w:rsidR="00B87E91" w:rsidRPr="00914BBF" w:rsidRDefault="00B87E91" w:rsidP="00B87E91">
      <w:pPr>
        <w:spacing w:after="0" w:line="240" w:lineRule="auto"/>
        <w:rPr>
          <w:rFonts w:ascii="Times New Roman" w:hAnsi="Times New Roman" w:cs="Times New Roman"/>
          <w:sz w:val="24"/>
          <w:szCs w:val="24"/>
        </w:rPr>
      </w:pPr>
    </w:p>
    <w:p w14:paraId="67EF0E72"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b/>
          <w:sz w:val="24"/>
          <w:szCs w:val="24"/>
        </w:rPr>
        <w:t>THROUGH:</w:t>
      </w:r>
      <w:r w:rsidRPr="00914BBF">
        <w:rPr>
          <w:rFonts w:ascii="Times New Roman" w:hAnsi="Times New Roman" w:cs="Times New Roman"/>
          <w:b/>
          <w:sz w:val="24"/>
          <w:szCs w:val="24"/>
        </w:rPr>
        <w:tab/>
      </w:r>
      <w:r w:rsidRPr="00914BBF">
        <w:rPr>
          <w:rFonts w:ascii="Times New Roman" w:hAnsi="Times New Roman" w:cs="Times New Roman"/>
          <w:b/>
          <w:sz w:val="24"/>
          <w:szCs w:val="24"/>
        </w:rPr>
        <w:tab/>
      </w:r>
      <w:r w:rsidRPr="00914BBF">
        <w:rPr>
          <w:rFonts w:ascii="Times New Roman" w:hAnsi="Times New Roman" w:cs="Times New Roman"/>
          <w:b/>
          <w:sz w:val="24"/>
          <w:szCs w:val="24"/>
        </w:rPr>
        <w:tab/>
      </w:r>
      <w:r w:rsidRPr="00914BBF">
        <w:rPr>
          <w:rFonts w:ascii="Times New Roman" w:hAnsi="Times New Roman" w:cs="Times New Roman"/>
          <w:sz w:val="24"/>
          <w:szCs w:val="24"/>
        </w:rPr>
        <w:t>Lynn Murray</w:t>
      </w:r>
    </w:p>
    <w:p w14:paraId="590A106B"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Clearance Officer</w:t>
      </w:r>
    </w:p>
    <w:p w14:paraId="7224AD03"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Justice Management Division</w:t>
      </w:r>
    </w:p>
    <w:p w14:paraId="040E4B9F"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p>
    <w:p w14:paraId="3377CC3C"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William J. Sabol, PhD</w:t>
      </w:r>
    </w:p>
    <w:p w14:paraId="15E2D97D"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Director</w:t>
      </w:r>
    </w:p>
    <w:p w14:paraId="3ABE5306" w14:textId="77777777" w:rsidR="00B87E91" w:rsidRPr="00914BBF" w:rsidRDefault="00B87E91" w:rsidP="00B87E91">
      <w:pPr>
        <w:spacing w:after="0" w:line="240" w:lineRule="auto"/>
        <w:rPr>
          <w:rFonts w:ascii="Times New Roman" w:hAnsi="Times New Roman" w:cs="Times New Roman"/>
          <w:sz w:val="24"/>
          <w:szCs w:val="24"/>
        </w:rPr>
      </w:pP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r>
      <w:r w:rsidRPr="00914BBF">
        <w:rPr>
          <w:rFonts w:ascii="Times New Roman" w:hAnsi="Times New Roman" w:cs="Times New Roman"/>
          <w:sz w:val="24"/>
          <w:szCs w:val="24"/>
        </w:rPr>
        <w:tab/>
        <w:t>Bureau of Justice Statistics</w:t>
      </w:r>
    </w:p>
    <w:p w14:paraId="3283D304" w14:textId="77777777" w:rsidR="00B87E91" w:rsidRPr="00914BBF" w:rsidRDefault="00B87E91" w:rsidP="00B87E91">
      <w:pPr>
        <w:spacing w:after="0" w:line="240" w:lineRule="auto"/>
        <w:rPr>
          <w:rFonts w:ascii="Times New Roman" w:hAnsi="Times New Roman" w:cs="Times New Roman"/>
          <w:sz w:val="24"/>
          <w:szCs w:val="24"/>
        </w:rPr>
      </w:pPr>
    </w:p>
    <w:p w14:paraId="0642FF06" w14:textId="77777777" w:rsidR="00CE51BC" w:rsidRPr="00914BBF" w:rsidRDefault="00B87E91" w:rsidP="00CE51BC">
      <w:pPr>
        <w:spacing w:after="0" w:line="240" w:lineRule="auto"/>
        <w:rPr>
          <w:rFonts w:ascii="Times New Roman" w:hAnsi="Times New Roman" w:cs="Times New Roman"/>
          <w:sz w:val="24"/>
          <w:szCs w:val="24"/>
        </w:rPr>
      </w:pPr>
      <w:r w:rsidRPr="00914BBF">
        <w:rPr>
          <w:rFonts w:ascii="Times New Roman" w:hAnsi="Times New Roman" w:cs="Times New Roman"/>
          <w:b/>
          <w:sz w:val="24"/>
          <w:szCs w:val="24"/>
        </w:rPr>
        <w:t>FROM:</w:t>
      </w:r>
      <w:r w:rsidRPr="00914BBF">
        <w:rPr>
          <w:rFonts w:ascii="Times New Roman" w:hAnsi="Times New Roman" w:cs="Times New Roman"/>
          <w:b/>
          <w:sz w:val="24"/>
          <w:szCs w:val="24"/>
        </w:rPr>
        <w:tab/>
      </w:r>
      <w:r w:rsidRPr="00914BBF">
        <w:rPr>
          <w:rFonts w:ascii="Times New Roman" w:hAnsi="Times New Roman" w:cs="Times New Roman"/>
          <w:b/>
          <w:sz w:val="24"/>
          <w:szCs w:val="24"/>
        </w:rPr>
        <w:tab/>
      </w:r>
      <w:r w:rsidRPr="00914BBF">
        <w:rPr>
          <w:rFonts w:ascii="Times New Roman" w:hAnsi="Times New Roman" w:cs="Times New Roman"/>
          <w:b/>
          <w:sz w:val="24"/>
          <w:szCs w:val="24"/>
        </w:rPr>
        <w:tab/>
      </w:r>
      <w:r w:rsidR="00F2517D">
        <w:rPr>
          <w:rFonts w:ascii="Times New Roman" w:hAnsi="Times New Roman" w:cs="Times New Roman"/>
          <w:sz w:val="24"/>
          <w:szCs w:val="24"/>
        </w:rPr>
        <w:t>Michael Planty</w:t>
      </w:r>
      <w:r w:rsidR="00CE51BC" w:rsidRPr="00914BBF">
        <w:rPr>
          <w:rFonts w:ascii="Times New Roman" w:hAnsi="Times New Roman" w:cs="Times New Roman"/>
          <w:sz w:val="24"/>
          <w:szCs w:val="24"/>
        </w:rPr>
        <w:t>, PhD</w:t>
      </w:r>
    </w:p>
    <w:p w14:paraId="533E2FFE" w14:textId="77777777" w:rsidR="00CE51BC" w:rsidRPr="00914BBF" w:rsidRDefault="00CE51BC" w:rsidP="00CE51BC">
      <w:pPr>
        <w:spacing w:after="0" w:line="240" w:lineRule="auto"/>
        <w:ind w:left="2880"/>
        <w:rPr>
          <w:rFonts w:ascii="Times New Roman" w:hAnsi="Times New Roman" w:cs="Times New Roman"/>
          <w:sz w:val="24"/>
          <w:szCs w:val="24"/>
        </w:rPr>
      </w:pPr>
      <w:r w:rsidRPr="00914BBF">
        <w:rPr>
          <w:rFonts w:ascii="Times New Roman" w:hAnsi="Times New Roman" w:cs="Times New Roman"/>
          <w:sz w:val="24"/>
          <w:szCs w:val="24"/>
        </w:rPr>
        <w:t xml:space="preserve">Chief, </w:t>
      </w:r>
      <w:r w:rsidR="00F2517D">
        <w:rPr>
          <w:rFonts w:ascii="Times New Roman" w:hAnsi="Times New Roman" w:cs="Times New Roman"/>
          <w:sz w:val="24"/>
          <w:szCs w:val="24"/>
        </w:rPr>
        <w:t>Victimization Statistics</w:t>
      </w:r>
    </w:p>
    <w:p w14:paraId="13C40090" w14:textId="77777777" w:rsidR="00B87E91" w:rsidRPr="00914BBF" w:rsidRDefault="00CE51BC" w:rsidP="00CE51BC">
      <w:pPr>
        <w:spacing w:after="0" w:line="240" w:lineRule="auto"/>
        <w:ind w:left="2160" w:firstLine="720"/>
        <w:rPr>
          <w:rFonts w:ascii="Times New Roman" w:hAnsi="Times New Roman" w:cs="Times New Roman"/>
          <w:sz w:val="24"/>
          <w:szCs w:val="24"/>
        </w:rPr>
      </w:pPr>
      <w:r w:rsidRPr="00914BBF">
        <w:rPr>
          <w:rFonts w:ascii="Times New Roman" w:hAnsi="Times New Roman" w:cs="Times New Roman"/>
          <w:sz w:val="24"/>
          <w:szCs w:val="24"/>
        </w:rPr>
        <w:t>Bureau of Justice Statistics</w:t>
      </w:r>
    </w:p>
    <w:p w14:paraId="61564D42" w14:textId="77777777" w:rsidR="00B87E91" w:rsidRPr="00914BBF" w:rsidRDefault="00B87E91" w:rsidP="00B87E91">
      <w:pPr>
        <w:spacing w:after="0" w:line="240" w:lineRule="auto"/>
        <w:rPr>
          <w:rFonts w:ascii="Times New Roman" w:hAnsi="Times New Roman" w:cs="Times New Roman"/>
          <w:sz w:val="24"/>
          <w:szCs w:val="24"/>
        </w:rPr>
      </w:pPr>
    </w:p>
    <w:p w14:paraId="46DEB89D" w14:textId="49562673" w:rsidR="00B87E91" w:rsidRPr="00914BBF" w:rsidRDefault="00B87E91" w:rsidP="00A66263">
      <w:pPr>
        <w:spacing w:after="0" w:line="240" w:lineRule="auto"/>
        <w:rPr>
          <w:rFonts w:ascii="Times New Roman" w:hAnsi="Times New Roman" w:cs="Times New Roman"/>
          <w:sz w:val="24"/>
          <w:szCs w:val="24"/>
        </w:rPr>
      </w:pPr>
      <w:r w:rsidRPr="00914BBF">
        <w:rPr>
          <w:rFonts w:ascii="Times New Roman" w:hAnsi="Times New Roman" w:cs="Times New Roman"/>
          <w:b/>
          <w:sz w:val="24"/>
          <w:szCs w:val="24"/>
        </w:rPr>
        <w:t>DATE:</w:t>
      </w:r>
      <w:r w:rsidRPr="00914BBF">
        <w:rPr>
          <w:rFonts w:ascii="Times New Roman" w:hAnsi="Times New Roman" w:cs="Times New Roman"/>
          <w:b/>
          <w:sz w:val="24"/>
          <w:szCs w:val="24"/>
        </w:rPr>
        <w:tab/>
      </w:r>
      <w:r w:rsidRPr="00914BBF">
        <w:rPr>
          <w:rFonts w:ascii="Times New Roman" w:hAnsi="Times New Roman" w:cs="Times New Roman"/>
          <w:b/>
          <w:sz w:val="24"/>
          <w:szCs w:val="24"/>
        </w:rPr>
        <w:tab/>
      </w:r>
      <w:r w:rsidRPr="00914BBF">
        <w:rPr>
          <w:rFonts w:ascii="Times New Roman" w:hAnsi="Times New Roman" w:cs="Times New Roman"/>
          <w:b/>
          <w:sz w:val="24"/>
          <w:szCs w:val="24"/>
        </w:rPr>
        <w:tab/>
      </w:r>
      <w:r w:rsidR="00ED3E8B">
        <w:rPr>
          <w:rFonts w:ascii="Times New Roman" w:hAnsi="Times New Roman" w:cs="Times New Roman"/>
          <w:sz w:val="24"/>
          <w:szCs w:val="24"/>
        </w:rPr>
        <w:t>October 12</w:t>
      </w:r>
      <w:r w:rsidR="00C914DD" w:rsidRPr="00914BBF">
        <w:rPr>
          <w:rFonts w:ascii="Times New Roman" w:hAnsi="Times New Roman" w:cs="Times New Roman"/>
          <w:sz w:val="24"/>
          <w:szCs w:val="24"/>
        </w:rPr>
        <w:t>, 201</w:t>
      </w:r>
      <w:r w:rsidR="00F2517D">
        <w:rPr>
          <w:rFonts w:ascii="Times New Roman" w:hAnsi="Times New Roman" w:cs="Times New Roman"/>
          <w:sz w:val="24"/>
          <w:szCs w:val="24"/>
        </w:rPr>
        <w:t>5</w:t>
      </w:r>
    </w:p>
    <w:p w14:paraId="695D3E7E" w14:textId="77777777" w:rsidR="00B87E91" w:rsidRPr="00914BBF" w:rsidRDefault="00B87E91" w:rsidP="00B87E91">
      <w:pPr>
        <w:spacing w:after="0" w:line="240" w:lineRule="auto"/>
        <w:rPr>
          <w:rFonts w:ascii="Times New Roman" w:hAnsi="Times New Roman" w:cs="Times New Roman"/>
          <w:sz w:val="24"/>
          <w:szCs w:val="24"/>
        </w:rPr>
      </w:pPr>
    </w:p>
    <w:p w14:paraId="39335159" w14:textId="77777777" w:rsidR="00B87E91" w:rsidRPr="00985F06" w:rsidRDefault="00B87E91" w:rsidP="00E2405C">
      <w:pPr>
        <w:spacing w:after="0" w:line="240" w:lineRule="auto"/>
        <w:ind w:left="2880" w:hanging="2880"/>
        <w:rPr>
          <w:rFonts w:ascii="Times New Roman" w:hAnsi="Times New Roman" w:cs="Times New Roman"/>
          <w:sz w:val="24"/>
          <w:szCs w:val="24"/>
        </w:rPr>
      </w:pPr>
      <w:r w:rsidRPr="00914BBF">
        <w:rPr>
          <w:rFonts w:ascii="Times New Roman" w:hAnsi="Times New Roman" w:cs="Times New Roman"/>
          <w:b/>
          <w:sz w:val="24"/>
          <w:szCs w:val="24"/>
        </w:rPr>
        <w:t>SUBJECT:</w:t>
      </w:r>
      <w:r w:rsidRPr="00914BBF">
        <w:rPr>
          <w:rFonts w:ascii="Times New Roman" w:hAnsi="Times New Roman" w:cs="Times New Roman"/>
          <w:b/>
          <w:sz w:val="24"/>
          <w:szCs w:val="24"/>
        </w:rPr>
        <w:tab/>
      </w:r>
      <w:r w:rsidRPr="00914BBF">
        <w:rPr>
          <w:rFonts w:ascii="Times New Roman" w:hAnsi="Times New Roman" w:cs="Times New Roman"/>
          <w:sz w:val="24"/>
          <w:szCs w:val="24"/>
        </w:rPr>
        <w:t xml:space="preserve">BJS request for OMB Clearance to conduct </w:t>
      </w:r>
      <w:r w:rsidR="00F2517D">
        <w:rPr>
          <w:rFonts w:ascii="Times New Roman" w:hAnsi="Times New Roman" w:cs="Times New Roman"/>
          <w:sz w:val="24"/>
          <w:szCs w:val="24"/>
        </w:rPr>
        <w:t>a pilot test of the Arrest-Related Deaths Program</w:t>
      </w:r>
      <w:r w:rsidR="00C914DD" w:rsidRPr="00914BBF">
        <w:rPr>
          <w:rFonts w:ascii="Times New Roman" w:hAnsi="Times New Roman" w:cs="Times New Roman"/>
          <w:sz w:val="24"/>
          <w:szCs w:val="24"/>
        </w:rPr>
        <w:t xml:space="preserve"> </w:t>
      </w:r>
      <w:r w:rsidR="00F2517D">
        <w:rPr>
          <w:rFonts w:ascii="Times New Roman" w:hAnsi="Times New Roman" w:cs="Times New Roman"/>
          <w:sz w:val="24"/>
          <w:szCs w:val="24"/>
        </w:rPr>
        <w:t xml:space="preserve">(ARD) </w:t>
      </w:r>
      <w:r w:rsidR="00B251C9" w:rsidRPr="00914BBF">
        <w:rPr>
          <w:rFonts w:ascii="Times New Roman" w:hAnsi="Times New Roman" w:cs="Times New Roman"/>
          <w:sz w:val="24"/>
          <w:szCs w:val="24"/>
        </w:rPr>
        <w:t xml:space="preserve">under the generic clearance agreement OMB Number </w:t>
      </w:r>
      <w:r w:rsidR="00E2405C" w:rsidRPr="00914BBF">
        <w:rPr>
          <w:rFonts w:ascii="Times New Roman" w:hAnsi="Times New Roman" w:cs="Times New Roman"/>
          <w:sz w:val="24"/>
          <w:szCs w:val="24"/>
        </w:rPr>
        <w:t>1121-0339</w:t>
      </w:r>
      <w:r w:rsidR="00CA37E1">
        <w:rPr>
          <w:rFonts w:ascii="Times New Roman" w:hAnsi="Times New Roman" w:cs="Times New Roman"/>
          <w:sz w:val="24"/>
          <w:szCs w:val="24"/>
        </w:rPr>
        <w:t xml:space="preserve"> </w:t>
      </w:r>
    </w:p>
    <w:p w14:paraId="00C49A8E" w14:textId="77777777" w:rsidR="00001C53" w:rsidRPr="00985F06" w:rsidRDefault="00001C53" w:rsidP="00A3726A">
      <w:pPr>
        <w:spacing w:after="0" w:line="240" w:lineRule="auto"/>
        <w:rPr>
          <w:rFonts w:ascii="Times New Roman" w:hAnsi="Times New Roman" w:cs="Times New Roman"/>
          <w:b/>
          <w:sz w:val="24"/>
          <w:szCs w:val="24"/>
          <w:u w:val="single"/>
        </w:rPr>
      </w:pPr>
    </w:p>
    <w:p w14:paraId="1169D730" w14:textId="090DDE9A" w:rsidR="00B87E91" w:rsidRPr="00985F06" w:rsidRDefault="00AA18F8" w:rsidP="00A3726A">
      <w:pPr>
        <w:spacing w:after="0" w:line="240" w:lineRule="auto"/>
        <w:rPr>
          <w:rFonts w:ascii="Times New Roman" w:hAnsi="Times New Roman" w:cs="Times New Roman"/>
          <w:b/>
          <w:sz w:val="24"/>
          <w:szCs w:val="24"/>
          <w:u w:val="single"/>
        </w:rPr>
      </w:pPr>
      <w:r>
        <w:rPr>
          <w:rFonts w:ascii="Times New Roman" w:hAnsi="Times New Roman" w:cs="Times New Roman"/>
        </w:rPr>
        <w:pict w14:anchorId="2EA03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2470F640" w14:textId="77777777" w:rsidR="00E2405C" w:rsidRDefault="00E2405C" w:rsidP="00A3726A">
      <w:pPr>
        <w:spacing w:after="0" w:line="240" w:lineRule="auto"/>
        <w:rPr>
          <w:rFonts w:ascii="Times New Roman" w:hAnsi="Times New Roman" w:cs="Times New Roman"/>
          <w:b/>
          <w:sz w:val="24"/>
          <w:szCs w:val="24"/>
          <w:u w:val="single"/>
        </w:rPr>
      </w:pPr>
    </w:p>
    <w:p w14:paraId="1CA3C1DE" w14:textId="77777777" w:rsidR="00E50D6B" w:rsidRPr="00985F06" w:rsidRDefault="002616E9" w:rsidP="00A85472">
      <w:pPr>
        <w:spacing w:after="120" w:line="240" w:lineRule="auto"/>
        <w:rPr>
          <w:rFonts w:ascii="Times New Roman" w:hAnsi="Times New Roman" w:cs="Times New Roman"/>
          <w:b/>
          <w:sz w:val="24"/>
          <w:szCs w:val="24"/>
          <w:u w:val="single"/>
        </w:rPr>
      </w:pPr>
      <w:r w:rsidRPr="00985F06">
        <w:rPr>
          <w:rFonts w:ascii="Times New Roman" w:hAnsi="Times New Roman" w:cs="Times New Roman"/>
          <w:b/>
          <w:sz w:val="24"/>
          <w:szCs w:val="24"/>
          <w:u w:val="single"/>
        </w:rPr>
        <w:t>Introduction</w:t>
      </w:r>
    </w:p>
    <w:p w14:paraId="51511DDA" w14:textId="77777777" w:rsidR="003F03E1" w:rsidRDefault="003F03E1" w:rsidP="005F5064">
      <w:pPr>
        <w:spacing w:afterLines="120" w:after="288" w:line="288" w:lineRule="auto"/>
        <w:rPr>
          <w:rFonts w:ascii="Times New Roman" w:hAnsi="Times New Roman" w:cs="Times New Roman"/>
          <w:sz w:val="24"/>
          <w:szCs w:val="24"/>
        </w:rPr>
      </w:pPr>
      <w:r>
        <w:rPr>
          <w:rFonts w:ascii="Times New Roman" w:hAnsi="Times New Roman" w:cs="Times New Roman"/>
          <w:sz w:val="24"/>
          <w:szCs w:val="24"/>
        </w:rPr>
        <w:t>The Bureau of Justice Statistics (BJS) is requesting clearance to conduct a pilot test of a new methodology for collecting data through the Arrest-Related Deaths (ARD) program. The pilot test is part of BJS’s efforts to improve the coverage and utility of data on police use of force.</w:t>
      </w:r>
    </w:p>
    <w:p w14:paraId="1F3DB61D" w14:textId="3F3C3341" w:rsidR="001A2D5F" w:rsidRPr="007C542F" w:rsidRDefault="007C542F" w:rsidP="005F5064">
      <w:pPr>
        <w:spacing w:afterLines="120" w:after="288" w:line="288" w:lineRule="auto"/>
        <w:rPr>
          <w:rFonts w:ascii="Times New Roman" w:hAnsi="Times New Roman" w:cs="Times New Roman"/>
          <w:sz w:val="24"/>
          <w:szCs w:val="24"/>
        </w:rPr>
      </w:pPr>
      <w:r w:rsidRPr="007C542F">
        <w:rPr>
          <w:rFonts w:ascii="Times New Roman" w:hAnsi="Times New Roman" w:cs="Times New Roman"/>
          <w:sz w:val="24"/>
          <w:szCs w:val="24"/>
        </w:rPr>
        <w:t xml:space="preserve">The </w:t>
      </w:r>
      <w:r w:rsidR="00CC7A91" w:rsidRPr="007C542F">
        <w:rPr>
          <w:rFonts w:ascii="Times New Roman" w:hAnsi="Times New Roman" w:cs="Times New Roman"/>
          <w:sz w:val="24"/>
          <w:szCs w:val="24"/>
        </w:rPr>
        <w:t xml:space="preserve">ARD program </w:t>
      </w:r>
      <w:r w:rsidRPr="007C542F">
        <w:rPr>
          <w:rFonts w:ascii="Times New Roman" w:hAnsi="Times New Roman" w:cs="Times New Roman"/>
          <w:sz w:val="24"/>
          <w:szCs w:val="24"/>
        </w:rPr>
        <w:t xml:space="preserve">was implemented from 2003 through 2013 as part of BJS’s Deaths in Custody Reporting Program (DCRP). The DCRP was developed in response to the Death in Custody Reporting Act of 2000 (P.L. 106-247), which required state and local prisons, jails, and law enforcement agencies </w:t>
      </w:r>
      <w:r w:rsidR="00844E60">
        <w:rPr>
          <w:rFonts w:ascii="Times New Roman" w:hAnsi="Times New Roman" w:cs="Times New Roman"/>
          <w:sz w:val="24"/>
          <w:szCs w:val="24"/>
        </w:rPr>
        <w:t xml:space="preserve">(LEAs) </w:t>
      </w:r>
      <w:r w:rsidRPr="007C542F">
        <w:rPr>
          <w:rFonts w:ascii="Times New Roman" w:hAnsi="Times New Roman" w:cs="Times New Roman"/>
          <w:sz w:val="24"/>
          <w:szCs w:val="24"/>
        </w:rPr>
        <w:t>to report information about in-custody deaths and deaths occurring in the process of arrest to the Department of Justice on a quarterly basis.</w:t>
      </w:r>
      <w:r w:rsidRPr="007C542F">
        <w:rPr>
          <w:rStyle w:val="FootnoteReference"/>
          <w:rFonts w:ascii="Times New Roman" w:hAnsi="Times New Roman" w:cs="Times New Roman"/>
          <w:sz w:val="24"/>
          <w:szCs w:val="24"/>
        </w:rPr>
        <w:footnoteReference w:id="2"/>
      </w:r>
      <w:r w:rsidR="00CC7A91" w:rsidRPr="00CC7A91">
        <w:rPr>
          <w:rFonts w:ascii="Times New Roman" w:hAnsi="Times New Roman" w:cs="Times New Roman"/>
          <w:sz w:val="24"/>
          <w:szCs w:val="24"/>
        </w:rPr>
        <w:t xml:space="preserve"> </w:t>
      </w:r>
      <w:r w:rsidR="00CC7A91" w:rsidRPr="007C542F">
        <w:rPr>
          <w:rFonts w:ascii="Times New Roman" w:hAnsi="Times New Roman" w:cs="Times New Roman"/>
          <w:sz w:val="24"/>
          <w:szCs w:val="24"/>
        </w:rPr>
        <w:t xml:space="preserve">The DCRP </w:t>
      </w:r>
      <w:r w:rsidR="00CC7A91" w:rsidRPr="007C542F">
        <w:rPr>
          <w:rFonts w:ascii="Times New Roman" w:hAnsi="Times New Roman" w:cs="Times New Roman"/>
          <w:sz w:val="24"/>
          <w:szCs w:val="24"/>
        </w:rPr>
        <w:lastRenderedPageBreak/>
        <w:t>also includes collections that measure deaths occurring in jails and state prisons</w:t>
      </w:r>
      <w:r w:rsidR="00C01D51">
        <w:rPr>
          <w:rFonts w:ascii="Times New Roman" w:hAnsi="Times New Roman" w:cs="Times New Roman"/>
          <w:sz w:val="24"/>
          <w:szCs w:val="24"/>
        </w:rPr>
        <w:t xml:space="preserve"> </w:t>
      </w:r>
      <w:r w:rsidR="00561998">
        <w:rPr>
          <w:rFonts w:ascii="Times New Roman" w:hAnsi="Times New Roman" w:cs="Times New Roman"/>
          <w:sz w:val="24"/>
          <w:szCs w:val="24"/>
        </w:rPr>
        <w:t xml:space="preserve">(see </w:t>
      </w:r>
      <w:hyperlink r:id="rId9" w:history="1">
        <w:r w:rsidR="00561998" w:rsidRPr="000F472E">
          <w:rPr>
            <w:rStyle w:val="Hyperlink"/>
            <w:rFonts w:ascii="Times New Roman" w:hAnsi="Times New Roman" w:cs="Times New Roman"/>
            <w:sz w:val="24"/>
            <w:szCs w:val="24"/>
          </w:rPr>
          <w:t>http://www.bjs.gov/index.cfm?ty=tp&amp;tid=19</w:t>
        </w:r>
      </w:hyperlink>
      <w:r w:rsidR="00561998">
        <w:rPr>
          <w:rFonts w:ascii="Times New Roman" w:hAnsi="Times New Roman" w:cs="Times New Roman"/>
          <w:sz w:val="24"/>
          <w:szCs w:val="24"/>
        </w:rPr>
        <w:t>)</w:t>
      </w:r>
      <w:r w:rsidR="00CC7A91" w:rsidRPr="007C542F">
        <w:rPr>
          <w:rFonts w:ascii="Times New Roman" w:hAnsi="Times New Roman" w:cs="Times New Roman"/>
          <w:sz w:val="24"/>
          <w:szCs w:val="24"/>
        </w:rPr>
        <w:t xml:space="preserve">.  </w:t>
      </w:r>
    </w:p>
    <w:p w14:paraId="1D01F34D" w14:textId="31FE577D" w:rsidR="007C542F" w:rsidRPr="007C542F" w:rsidRDefault="00CC7A91" w:rsidP="005F5064">
      <w:pPr>
        <w:autoSpaceDE w:val="0"/>
        <w:autoSpaceDN w:val="0"/>
        <w:adjustRightInd w:val="0"/>
        <w:spacing w:afterLines="120" w:after="288" w:line="288" w:lineRule="auto"/>
        <w:rPr>
          <w:rFonts w:ascii="Times New Roman" w:hAnsi="Times New Roman" w:cs="Times New Roman"/>
          <w:sz w:val="24"/>
          <w:szCs w:val="24"/>
        </w:rPr>
      </w:pPr>
      <w:r w:rsidRPr="007C542F">
        <w:rPr>
          <w:rFonts w:ascii="Times New Roman" w:hAnsi="Times New Roman" w:cs="Times New Roman"/>
          <w:sz w:val="24"/>
          <w:szCs w:val="24"/>
        </w:rPr>
        <w:t xml:space="preserve">The BJS designed </w:t>
      </w:r>
      <w:r>
        <w:rPr>
          <w:rFonts w:ascii="Times New Roman" w:hAnsi="Times New Roman" w:cs="Times New Roman"/>
          <w:sz w:val="24"/>
          <w:szCs w:val="24"/>
        </w:rPr>
        <w:t xml:space="preserve">the </w:t>
      </w:r>
      <w:r w:rsidRPr="007C542F">
        <w:rPr>
          <w:rFonts w:ascii="Times New Roman" w:hAnsi="Times New Roman" w:cs="Times New Roman"/>
          <w:sz w:val="24"/>
          <w:szCs w:val="24"/>
        </w:rPr>
        <w:t xml:space="preserve">ARD program to be a census of all deaths that occur during the process of arrest or during an attempt to obtain custody by a state or local </w:t>
      </w:r>
      <w:r w:rsidR="00844E60">
        <w:rPr>
          <w:rFonts w:ascii="Times New Roman" w:hAnsi="Times New Roman" w:cs="Times New Roman"/>
          <w:sz w:val="24"/>
          <w:szCs w:val="24"/>
        </w:rPr>
        <w:t>LEA</w:t>
      </w:r>
      <w:r w:rsidRPr="007C542F">
        <w:rPr>
          <w:rFonts w:ascii="Times New Roman" w:hAnsi="Times New Roman" w:cs="Times New Roman"/>
          <w:sz w:val="24"/>
          <w:szCs w:val="24"/>
        </w:rPr>
        <w:t xml:space="preserve"> in the United States. </w:t>
      </w:r>
      <w:r>
        <w:rPr>
          <w:rFonts w:ascii="Times New Roman" w:hAnsi="Times New Roman" w:cs="Times New Roman"/>
          <w:sz w:val="24"/>
          <w:szCs w:val="24"/>
        </w:rPr>
        <w:t>BJS</w:t>
      </w:r>
      <w:r w:rsidR="007C542F" w:rsidRPr="007C542F">
        <w:rPr>
          <w:rFonts w:ascii="Times New Roman" w:hAnsi="Times New Roman" w:cs="Times New Roman"/>
          <w:sz w:val="24"/>
          <w:szCs w:val="24"/>
        </w:rPr>
        <w:t xml:space="preserve"> </w:t>
      </w:r>
      <w:r w:rsidR="0069772C">
        <w:rPr>
          <w:rFonts w:ascii="Times New Roman" w:hAnsi="Times New Roman" w:cs="Times New Roman"/>
          <w:sz w:val="24"/>
          <w:szCs w:val="24"/>
        </w:rPr>
        <w:t>defined</w:t>
      </w:r>
      <w:r w:rsidR="0069772C" w:rsidRPr="007C542F">
        <w:rPr>
          <w:rFonts w:ascii="Times New Roman" w:hAnsi="Times New Roman" w:cs="Times New Roman"/>
          <w:sz w:val="24"/>
          <w:szCs w:val="24"/>
        </w:rPr>
        <w:t xml:space="preserve"> </w:t>
      </w:r>
      <w:r w:rsidR="007C542F" w:rsidRPr="007C542F">
        <w:rPr>
          <w:rFonts w:ascii="Times New Roman" w:hAnsi="Times New Roman" w:cs="Times New Roman"/>
          <w:sz w:val="24"/>
          <w:szCs w:val="24"/>
        </w:rPr>
        <w:t>the manner of arrest-related death</w:t>
      </w:r>
      <w:r w:rsidR="00C01D51">
        <w:rPr>
          <w:rFonts w:ascii="Times New Roman" w:hAnsi="Times New Roman" w:cs="Times New Roman"/>
          <w:sz w:val="24"/>
          <w:szCs w:val="24"/>
        </w:rPr>
        <w:t xml:space="preserve"> </w:t>
      </w:r>
      <w:r w:rsidR="00561998">
        <w:rPr>
          <w:rFonts w:ascii="Times New Roman" w:hAnsi="Times New Roman" w:cs="Times New Roman"/>
          <w:sz w:val="24"/>
          <w:szCs w:val="24"/>
        </w:rPr>
        <w:t xml:space="preserve">to </w:t>
      </w:r>
      <w:r w:rsidR="00C01D51">
        <w:rPr>
          <w:rFonts w:ascii="Times New Roman" w:hAnsi="Times New Roman" w:cs="Times New Roman"/>
          <w:sz w:val="24"/>
          <w:szCs w:val="24"/>
        </w:rPr>
        <w:t>includ</w:t>
      </w:r>
      <w:r w:rsidR="00561998">
        <w:rPr>
          <w:rFonts w:ascii="Times New Roman" w:hAnsi="Times New Roman" w:cs="Times New Roman"/>
          <w:sz w:val="24"/>
          <w:szCs w:val="24"/>
        </w:rPr>
        <w:t>e</w:t>
      </w:r>
      <w:r w:rsidR="0069772C">
        <w:rPr>
          <w:rFonts w:ascii="Times New Roman" w:hAnsi="Times New Roman" w:cs="Times New Roman"/>
          <w:sz w:val="24"/>
          <w:szCs w:val="24"/>
        </w:rPr>
        <w:t xml:space="preserve"> </w:t>
      </w:r>
      <w:r w:rsidR="007C542F" w:rsidRPr="007C542F">
        <w:rPr>
          <w:rFonts w:ascii="Times New Roman" w:hAnsi="Times New Roman" w:cs="Times New Roman"/>
          <w:sz w:val="24"/>
          <w:szCs w:val="24"/>
        </w:rPr>
        <w:t>law enforcement homicide</w:t>
      </w:r>
      <w:r w:rsidR="00561998">
        <w:rPr>
          <w:rFonts w:ascii="Times New Roman" w:hAnsi="Times New Roman" w:cs="Times New Roman"/>
          <w:sz w:val="24"/>
          <w:szCs w:val="24"/>
        </w:rPr>
        <w:t>s</w:t>
      </w:r>
      <w:r w:rsidR="007C542F" w:rsidRPr="007C542F">
        <w:rPr>
          <w:rFonts w:ascii="Times New Roman" w:hAnsi="Times New Roman" w:cs="Times New Roman"/>
          <w:sz w:val="24"/>
          <w:szCs w:val="24"/>
        </w:rPr>
        <w:t>, other homicide</w:t>
      </w:r>
      <w:r w:rsidR="00561998">
        <w:rPr>
          <w:rFonts w:ascii="Times New Roman" w:hAnsi="Times New Roman" w:cs="Times New Roman"/>
          <w:sz w:val="24"/>
          <w:szCs w:val="24"/>
        </w:rPr>
        <w:t>s</w:t>
      </w:r>
      <w:r w:rsidR="007C542F" w:rsidRPr="007C542F">
        <w:rPr>
          <w:rFonts w:ascii="Times New Roman" w:hAnsi="Times New Roman" w:cs="Times New Roman"/>
          <w:sz w:val="24"/>
          <w:szCs w:val="24"/>
        </w:rPr>
        <w:t>, accident</w:t>
      </w:r>
      <w:r w:rsidR="00561998">
        <w:rPr>
          <w:rFonts w:ascii="Times New Roman" w:hAnsi="Times New Roman" w:cs="Times New Roman"/>
          <w:sz w:val="24"/>
          <w:szCs w:val="24"/>
        </w:rPr>
        <w:t>s</w:t>
      </w:r>
      <w:r w:rsidR="007C542F" w:rsidRPr="007C542F">
        <w:rPr>
          <w:rFonts w:ascii="Times New Roman" w:hAnsi="Times New Roman" w:cs="Times New Roman"/>
          <w:sz w:val="24"/>
          <w:szCs w:val="24"/>
        </w:rPr>
        <w:t>, suicide</w:t>
      </w:r>
      <w:r w:rsidR="00561998">
        <w:rPr>
          <w:rFonts w:ascii="Times New Roman" w:hAnsi="Times New Roman" w:cs="Times New Roman"/>
          <w:sz w:val="24"/>
          <w:szCs w:val="24"/>
        </w:rPr>
        <w:t>s</w:t>
      </w:r>
      <w:r w:rsidR="007C542F" w:rsidRPr="007C542F">
        <w:rPr>
          <w:rFonts w:ascii="Times New Roman" w:hAnsi="Times New Roman" w:cs="Times New Roman"/>
          <w:sz w:val="24"/>
          <w:szCs w:val="24"/>
        </w:rPr>
        <w:t xml:space="preserve">, </w:t>
      </w:r>
      <w:r w:rsidR="0069772C">
        <w:rPr>
          <w:rFonts w:ascii="Times New Roman" w:hAnsi="Times New Roman" w:cs="Times New Roman"/>
          <w:sz w:val="24"/>
          <w:szCs w:val="24"/>
        </w:rPr>
        <w:t>or</w:t>
      </w:r>
      <w:r w:rsidR="007C542F" w:rsidRPr="007C542F">
        <w:rPr>
          <w:rFonts w:ascii="Times New Roman" w:hAnsi="Times New Roman" w:cs="Times New Roman"/>
          <w:sz w:val="24"/>
          <w:szCs w:val="24"/>
        </w:rPr>
        <w:t xml:space="preserve"> death</w:t>
      </w:r>
      <w:r w:rsidR="00561998">
        <w:rPr>
          <w:rFonts w:ascii="Times New Roman" w:hAnsi="Times New Roman" w:cs="Times New Roman"/>
          <w:sz w:val="24"/>
          <w:szCs w:val="24"/>
        </w:rPr>
        <w:t>s</w:t>
      </w:r>
      <w:r w:rsidR="007C542F" w:rsidRPr="007C542F">
        <w:rPr>
          <w:rFonts w:ascii="Times New Roman" w:hAnsi="Times New Roman" w:cs="Times New Roman"/>
          <w:sz w:val="24"/>
          <w:szCs w:val="24"/>
        </w:rPr>
        <w:t xml:space="preserve"> due to natural causes. Law enforcement homicides include</w:t>
      </w:r>
      <w:r w:rsidR="0069772C">
        <w:rPr>
          <w:rFonts w:ascii="Times New Roman" w:hAnsi="Times New Roman" w:cs="Times New Roman"/>
          <w:sz w:val="24"/>
          <w:szCs w:val="24"/>
        </w:rPr>
        <w:t>d</w:t>
      </w:r>
      <w:r w:rsidR="007C542F" w:rsidRPr="007C542F">
        <w:rPr>
          <w:rFonts w:ascii="Times New Roman" w:hAnsi="Times New Roman" w:cs="Times New Roman"/>
          <w:sz w:val="24"/>
          <w:szCs w:val="24"/>
        </w:rPr>
        <w:t xml:space="preserve"> all deaths attributed to weapons or restraint tactics used by state or local law enforcement officers, including deaths due to officer-involved shootings; complications related to the use of conducted energy devices, such as Tasers and stun</w:t>
      </w:r>
      <w:r w:rsidR="00844E60">
        <w:rPr>
          <w:rFonts w:ascii="Times New Roman" w:hAnsi="Times New Roman" w:cs="Times New Roman"/>
          <w:sz w:val="24"/>
          <w:szCs w:val="24"/>
        </w:rPr>
        <w:t xml:space="preserve"> </w:t>
      </w:r>
      <w:r w:rsidR="007C542F" w:rsidRPr="007C542F">
        <w:rPr>
          <w:rFonts w:ascii="Times New Roman" w:hAnsi="Times New Roman" w:cs="Times New Roman"/>
          <w:sz w:val="24"/>
          <w:szCs w:val="24"/>
        </w:rPr>
        <w:t xml:space="preserve">guns; accidents caused by the use of spike strips or other tire deflation devices; injuries due to the use of impact devices, such as batons and soft projectiles; complications due to the use of chemical agents such as pepper spray and tear gas; and </w:t>
      </w:r>
      <w:r w:rsidR="00FA2F4E">
        <w:rPr>
          <w:rFonts w:ascii="Times New Roman" w:hAnsi="Times New Roman" w:cs="Times New Roman"/>
          <w:sz w:val="24"/>
          <w:szCs w:val="24"/>
        </w:rPr>
        <w:t xml:space="preserve">other </w:t>
      </w:r>
      <w:r w:rsidR="007C542F" w:rsidRPr="007C542F">
        <w:rPr>
          <w:rFonts w:ascii="Times New Roman" w:hAnsi="Times New Roman" w:cs="Times New Roman"/>
          <w:sz w:val="24"/>
          <w:szCs w:val="24"/>
        </w:rPr>
        <w:t xml:space="preserve">injuries or complications related to the use of restraint tactics. </w:t>
      </w:r>
    </w:p>
    <w:p w14:paraId="125BA542" w14:textId="6A4D27F1" w:rsidR="00F2517D" w:rsidRDefault="00CC7A91" w:rsidP="001A2D5F">
      <w:pPr>
        <w:pStyle w:val="BodyText3"/>
        <w:spacing w:afterLines="120" w:after="288" w:line="288" w:lineRule="auto"/>
        <w:ind w:firstLine="0"/>
        <w:rPr>
          <w:sz w:val="24"/>
          <w:szCs w:val="24"/>
        </w:rPr>
      </w:pPr>
      <w:r>
        <w:rPr>
          <w:sz w:val="24"/>
          <w:szCs w:val="24"/>
        </w:rPr>
        <w:t>T</w:t>
      </w:r>
      <w:r w:rsidR="007C542F" w:rsidRPr="007C542F">
        <w:rPr>
          <w:sz w:val="24"/>
          <w:szCs w:val="24"/>
        </w:rPr>
        <w:t xml:space="preserve">he ARD program was the only </w:t>
      </w:r>
      <w:r>
        <w:rPr>
          <w:sz w:val="24"/>
          <w:szCs w:val="24"/>
        </w:rPr>
        <w:t xml:space="preserve">national </w:t>
      </w:r>
      <w:r w:rsidR="007C542F" w:rsidRPr="007C542F">
        <w:rPr>
          <w:sz w:val="24"/>
          <w:szCs w:val="24"/>
        </w:rPr>
        <w:t>data collection that attempted to enumerate all arrest-related deaths in the United States, including accidental and natural deaths that occurred during the process of arrest in addition to law enforcement homicides.</w:t>
      </w:r>
      <w:r w:rsidR="00C01D51">
        <w:rPr>
          <w:sz w:val="24"/>
          <w:szCs w:val="24"/>
        </w:rPr>
        <w:t xml:space="preserve"> </w:t>
      </w:r>
      <w:r w:rsidR="00844E60">
        <w:rPr>
          <w:sz w:val="24"/>
          <w:szCs w:val="24"/>
        </w:rPr>
        <w:t>Because of</w:t>
      </w:r>
      <w:r>
        <w:rPr>
          <w:sz w:val="24"/>
          <w:szCs w:val="24"/>
        </w:rPr>
        <w:t xml:space="preserve"> concerns about variations in data collection methodology and coverage, </w:t>
      </w:r>
      <w:r w:rsidR="007C542F" w:rsidRPr="007C542F">
        <w:rPr>
          <w:sz w:val="24"/>
          <w:szCs w:val="24"/>
        </w:rPr>
        <w:t>BJS</w:t>
      </w:r>
      <w:r w:rsidR="00F2517D" w:rsidRPr="007C542F">
        <w:rPr>
          <w:sz w:val="24"/>
          <w:szCs w:val="24"/>
        </w:rPr>
        <w:t xml:space="preserve"> recently conducted an assessment of its </w:t>
      </w:r>
      <w:r w:rsidR="007C542F" w:rsidRPr="007C542F">
        <w:rPr>
          <w:sz w:val="24"/>
          <w:szCs w:val="24"/>
        </w:rPr>
        <w:t>ARD</w:t>
      </w:r>
      <w:r w:rsidR="00F2517D" w:rsidRPr="007C542F">
        <w:rPr>
          <w:sz w:val="24"/>
          <w:szCs w:val="24"/>
        </w:rPr>
        <w:t xml:space="preserve"> program</w:t>
      </w:r>
      <w:r w:rsidR="00C01D51">
        <w:rPr>
          <w:sz w:val="24"/>
          <w:szCs w:val="24"/>
        </w:rPr>
        <w:t xml:space="preserve"> (</w:t>
      </w:r>
      <w:r w:rsidR="001A2D5F" w:rsidRPr="00FA2F4E">
        <w:rPr>
          <w:sz w:val="24"/>
          <w:szCs w:val="24"/>
        </w:rPr>
        <w:t xml:space="preserve">see </w:t>
      </w:r>
      <w:hyperlink r:id="rId10" w:history="1">
        <w:r w:rsidR="00FA2F4E" w:rsidRPr="00FA2F4E">
          <w:rPr>
            <w:rStyle w:val="Hyperlink"/>
            <w:sz w:val="24"/>
            <w:szCs w:val="24"/>
          </w:rPr>
          <w:t>http://www.bjs.gov/content/pub/pdf/acardp.pdf</w:t>
        </w:r>
      </w:hyperlink>
      <w:r w:rsidR="00C01D51" w:rsidRPr="00FA2F4E">
        <w:rPr>
          <w:sz w:val="24"/>
          <w:szCs w:val="24"/>
        </w:rPr>
        <w:t>)</w:t>
      </w:r>
      <w:r w:rsidR="00F2517D" w:rsidRPr="00FA2F4E">
        <w:rPr>
          <w:sz w:val="24"/>
          <w:szCs w:val="24"/>
        </w:rPr>
        <w:t>.</w:t>
      </w:r>
      <w:r w:rsidR="00F2517D" w:rsidRPr="007C542F">
        <w:rPr>
          <w:sz w:val="24"/>
          <w:szCs w:val="24"/>
        </w:rPr>
        <w:t xml:space="preserve"> That assessment included a capture-recapture analysis of ARD law enforcement homicide data and the justifiable homicide incidents from the Supplementary Homicide Reports (SHR) collected by the Federal Bureau of Investigation (FBI). The analysis found that the ARD program captured approximately half of the estimated number of law enforcement homicides in the </w:t>
      </w:r>
      <w:r w:rsidR="008D7039" w:rsidRPr="007C542F">
        <w:rPr>
          <w:sz w:val="24"/>
          <w:szCs w:val="24"/>
        </w:rPr>
        <w:t>United States</w:t>
      </w:r>
      <w:r w:rsidR="008D7039" w:rsidRPr="007C542F" w:rsidDel="008D7039">
        <w:rPr>
          <w:sz w:val="24"/>
          <w:szCs w:val="24"/>
        </w:rPr>
        <w:t xml:space="preserve"> </w:t>
      </w:r>
      <w:r w:rsidR="00F2517D" w:rsidRPr="007C542F">
        <w:rPr>
          <w:sz w:val="24"/>
          <w:szCs w:val="24"/>
        </w:rPr>
        <w:t>since the program’s inception in 2003. ARD program coverage was more complete in recent years, including as much as 69% of the estimated law enforcement homicides in 2011. The ARD</w:t>
      </w:r>
      <w:r w:rsidR="00561998">
        <w:rPr>
          <w:sz w:val="24"/>
          <w:szCs w:val="24"/>
        </w:rPr>
        <w:t xml:space="preserve"> data collection methodology had</w:t>
      </w:r>
      <w:r w:rsidR="00F2517D" w:rsidRPr="007C542F">
        <w:rPr>
          <w:sz w:val="24"/>
          <w:szCs w:val="24"/>
        </w:rPr>
        <w:t xml:space="preserve"> evolved since 2003, and in 2011, many states relied on case identification through open knowledge sources and follow-up with official agency sources, including </w:t>
      </w:r>
      <w:r w:rsidR="00844E60">
        <w:rPr>
          <w:sz w:val="24"/>
          <w:szCs w:val="24"/>
        </w:rPr>
        <w:t>LEA</w:t>
      </w:r>
      <w:r w:rsidR="00F2517D" w:rsidRPr="007C542F">
        <w:rPr>
          <w:sz w:val="24"/>
          <w:szCs w:val="24"/>
        </w:rPr>
        <w:t>s, medical examiner</w:t>
      </w:r>
      <w:r w:rsidR="00BC150D">
        <w:rPr>
          <w:sz w:val="24"/>
          <w:szCs w:val="24"/>
        </w:rPr>
        <w:t xml:space="preserve">’s or </w:t>
      </w:r>
      <w:r w:rsidR="00F2517D" w:rsidRPr="007C542F">
        <w:rPr>
          <w:sz w:val="24"/>
          <w:szCs w:val="24"/>
        </w:rPr>
        <w:t xml:space="preserve">coroner’s </w:t>
      </w:r>
      <w:r w:rsidR="00BC150D">
        <w:rPr>
          <w:sz w:val="24"/>
          <w:szCs w:val="24"/>
        </w:rPr>
        <w:t>(ME/C)</w:t>
      </w:r>
      <w:r w:rsidR="00F2517D" w:rsidRPr="007C542F">
        <w:rPr>
          <w:sz w:val="24"/>
          <w:szCs w:val="24"/>
        </w:rPr>
        <w:t xml:space="preserve"> offices, state prosecutors</w:t>
      </w:r>
      <w:r w:rsidR="008D7039">
        <w:rPr>
          <w:sz w:val="24"/>
          <w:szCs w:val="24"/>
        </w:rPr>
        <w:t>’</w:t>
      </w:r>
      <w:r w:rsidR="00F2517D" w:rsidRPr="007C542F">
        <w:rPr>
          <w:sz w:val="24"/>
          <w:szCs w:val="24"/>
        </w:rPr>
        <w:t xml:space="preserve"> offices, and other criminal justice agencies. ARD program coverage was slightly better than that found in th</w:t>
      </w:r>
      <w:r w:rsidR="0019140B">
        <w:rPr>
          <w:sz w:val="24"/>
          <w:szCs w:val="24"/>
        </w:rPr>
        <w:t xml:space="preserve">e SHR during the period studied. </w:t>
      </w:r>
    </w:p>
    <w:p w14:paraId="60DF9E54" w14:textId="12AA882A" w:rsidR="007C542F" w:rsidRDefault="007C542F" w:rsidP="001A2D5F">
      <w:pPr>
        <w:spacing w:after="160" w:line="288" w:lineRule="auto"/>
        <w:rPr>
          <w:rFonts w:ascii="Times New Roman" w:hAnsi="Times New Roman" w:cs="Times New Roman"/>
          <w:sz w:val="24"/>
          <w:szCs w:val="24"/>
        </w:rPr>
      </w:pPr>
      <w:r w:rsidRPr="00241582">
        <w:rPr>
          <w:rFonts w:ascii="Times New Roman" w:hAnsi="Times New Roman" w:cs="Times New Roman"/>
          <w:sz w:val="24"/>
          <w:szCs w:val="24"/>
        </w:rPr>
        <w:t xml:space="preserve">The Death in Custody Reporting Act (DICRA) of 2013 (P.L. 113-242) encourages states to report information on a quarterly basis regarding the death of any person who is detained, under arrest, in the process of being arrested, en route to be incarcerated, or incarcerated. Because accurate and comprehensive accounting of deaths that occur during the process of arrest is critical for </w:t>
      </w:r>
      <w:r w:rsidR="00844E60">
        <w:rPr>
          <w:rFonts w:ascii="Times New Roman" w:hAnsi="Times New Roman" w:cs="Times New Roman"/>
          <w:sz w:val="24"/>
          <w:szCs w:val="24"/>
        </w:rPr>
        <w:t>LEA</w:t>
      </w:r>
      <w:r w:rsidRPr="00241582">
        <w:rPr>
          <w:rFonts w:ascii="Times New Roman" w:hAnsi="Times New Roman" w:cs="Times New Roman"/>
          <w:sz w:val="24"/>
          <w:szCs w:val="24"/>
        </w:rPr>
        <w:t xml:space="preserve">s to demonstrate responsiveness to the citizens and communities they serve, transparency related to law enforcement tactics and approaches, and accountability for the actions of officers, BJS has responded to the DICRA 2013 by developing new methodologies for collecting data on the arrest-related deaths covered by DICRA. BJS’s focus in collecting these </w:t>
      </w:r>
      <w:r w:rsidRPr="00241582">
        <w:rPr>
          <w:rFonts w:ascii="Times New Roman" w:hAnsi="Times New Roman" w:cs="Times New Roman"/>
          <w:sz w:val="24"/>
          <w:szCs w:val="24"/>
        </w:rPr>
        <w:lastRenderedPageBreak/>
        <w:t xml:space="preserve">data is to </w:t>
      </w:r>
      <w:r w:rsidR="00ED09E0">
        <w:rPr>
          <w:rFonts w:ascii="Times New Roman" w:hAnsi="Times New Roman" w:cs="Times New Roman"/>
          <w:sz w:val="24"/>
          <w:szCs w:val="24"/>
        </w:rPr>
        <w:t xml:space="preserve">improve the coverage of the ARD program to capture all </w:t>
      </w:r>
      <w:r w:rsidR="00561998">
        <w:rPr>
          <w:rFonts w:ascii="Times New Roman" w:hAnsi="Times New Roman" w:cs="Times New Roman"/>
          <w:sz w:val="24"/>
          <w:szCs w:val="24"/>
        </w:rPr>
        <w:t>arrest-related deaths</w:t>
      </w:r>
      <w:r w:rsidR="00ED09E0">
        <w:rPr>
          <w:rFonts w:ascii="Times New Roman" w:hAnsi="Times New Roman" w:cs="Times New Roman"/>
          <w:sz w:val="24"/>
          <w:szCs w:val="24"/>
        </w:rPr>
        <w:t xml:space="preserve">, as well as to </w:t>
      </w:r>
      <w:r w:rsidRPr="00241582">
        <w:rPr>
          <w:rFonts w:ascii="Times New Roman" w:hAnsi="Times New Roman" w:cs="Times New Roman"/>
          <w:sz w:val="24"/>
          <w:szCs w:val="24"/>
        </w:rPr>
        <w:t xml:space="preserve">understand the circumstances surrounding </w:t>
      </w:r>
      <w:r w:rsidR="00561998">
        <w:rPr>
          <w:rFonts w:ascii="Times New Roman" w:hAnsi="Times New Roman" w:cs="Times New Roman"/>
          <w:sz w:val="24"/>
          <w:szCs w:val="24"/>
        </w:rPr>
        <w:t>these</w:t>
      </w:r>
      <w:r w:rsidRPr="00241582">
        <w:rPr>
          <w:rFonts w:ascii="Times New Roman" w:hAnsi="Times New Roman" w:cs="Times New Roman"/>
          <w:sz w:val="24"/>
          <w:szCs w:val="24"/>
        </w:rPr>
        <w:t xml:space="preserve"> deaths, including the nature of the interaction between the decedent</w:t>
      </w:r>
      <w:r w:rsidR="00B46CD5">
        <w:rPr>
          <w:rFonts w:ascii="Times New Roman" w:hAnsi="Times New Roman" w:cs="Times New Roman"/>
          <w:sz w:val="24"/>
          <w:szCs w:val="24"/>
        </w:rPr>
        <w:t>s</w:t>
      </w:r>
      <w:r w:rsidRPr="00241582">
        <w:rPr>
          <w:rFonts w:ascii="Times New Roman" w:hAnsi="Times New Roman" w:cs="Times New Roman"/>
          <w:sz w:val="24"/>
          <w:szCs w:val="24"/>
        </w:rPr>
        <w:t xml:space="preserve"> and law enforcement </w:t>
      </w:r>
      <w:r w:rsidR="00ED09E0">
        <w:rPr>
          <w:rFonts w:ascii="Times New Roman" w:hAnsi="Times New Roman" w:cs="Times New Roman"/>
          <w:sz w:val="24"/>
          <w:szCs w:val="24"/>
        </w:rPr>
        <w:t>and</w:t>
      </w:r>
      <w:r w:rsidRPr="00241582">
        <w:rPr>
          <w:rFonts w:ascii="Times New Roman" w:hAnsi="Times New Roman" w:cs="Times New Roman"/>
          <w:sz w:val="24"/>
          <w:szCs w:val="24"/>
        </w:rPr>
        <w:t xml:space="preserve"> characteristics of the decedent</w:t>
      </w:r>
      <w:r w:rsidR="00B46CD5">
        <w:rPr>
          <w:rFonts w:ascii="Times New Roman" w:hAnsi="Times New Roman" w:cs="Times New Roman"/>
          <w:sz w:val="24"/>
          <w:szCs w:val="24"/>
        </w:rPr>
        <w:t>s</w:t>
      </w:r>
      <w:r w:rsidRPr="00241582">
        <w:rPr>
          <w:rFonts w:ascii="Times New Roman" w:hAnsi="Times New Roman" w:cs="Times New Roman"/>
          <w:sz w:val="24"/>
          <w:szCs w:val="24"/>
        </w:rPr>
        <w:t xml:space="preserve"> and the officers involved. Such </w:t>
      </w:r>
      <w:r w:rsidR="008D7039">
        <w:rPr>
          <w:rFonts w:ascii="Times New Roman" w:hAnsi="Times New Roman" w:cs="Times New Roman"/>
          <w:sz w:val="24"/>
          <w:szCs w:val="24"/>
        </w:rPr>
        <w:t>knowledge</w:t>
      </w:r>
      <w:r w:rsidR="008D7039" w:rsidRPr="00241582">
        <w:rPr>
          <w:rFonts w:ascii="Times New Roman" w:hAnsi="Times New Roman" w:cs="Times New Roman"/>
          <w:sz w:val="24"/>
          <w:szCs w:val="24"/>
        </w:rPr>
        <w:t xml:space="preserve"> </w:t>
      </w:r>
      <w:r w:rsidRPr="00241582">
        <w:rPr>
          <w:rFonts w:ascii="Times New Roman" w:hAnsi="Times New Roman" w:cs="Times New Roman"/>
          <w:sz w:val="24"/>
          <w:szCs w:val="24"/>
        </w:rPr>
        <w:t>could inform training and policies to support safe</w:t>
      </w:r>
      <w:r w:rsidR="008D7039">
        <w:rPr>
          <w:rFonts w:ascii="Times New Roman" w:hAnsi="Times New Roman" w:cs="Times New Roman"/>
          <w:sz w:val="24"/>
          <w:szCs w:val="24"/>
        </w:rPr>
        <w:t>,</w:t>
      </w:r>
      <w:r w:rsidRPr="00241582">
        <w:rPr>
          <w:rFonts w:ascii="Times New Roman" w:hAnsi="Times New Roman" w:cs="Times New Roman"/>
          <w:sz w:val="24"/>
          <w:szCs w:val="24"/>
        </w:rPr>
        <w:t xml:space="preserve"> accountable interactions between law enforcement and the communities they serve.</w:t>
      </w:r>
    </w:p>
    <w:p w14:paraId="7DC9F60C" w14:textId="77777777" w:rsidR="00A3726A" w:rsidRPr="004918AB" w:rsidRDefault="00A3726A" w:rsidP="004918AB">
      <w:pPr>
        <w:spacing w:after="0" w:line="240" w:lineRule="auto"/>
        <w:rPr>
          <w:rFonts w:ascii="Times New Roman" w:eastAsia="SimSun" w:hAnsi="Times New Roman" w:cs="Times New Roman"/>
          <w:sz w:val="24"/>
          <w:szCs w:val="24"/>
        </w:rPr>
      </w:pPr>
    </w:p>
    <w:p w14:paraId="47F11C07" w14:textId="77777777" w:rsidR="00A3726A" w:rsidRPr="004918AB" w:rsidRDefault="00A3726A" w:rsidP="00A85472">
      <w:pPr>
        <w:spacing w:after="120" w:line="240" w:lineRule="auto"/>
        <w:rPr>
          <w:rFonts w:ascii="Times New Roman" w:eastAsia="SimSun" w:hAnsi="Times New Roman" w:cs="Times New Roman"/>
          <w:b/>
          <w:sz w:val="24"/>
          <w:szCs w:val="24"/>
          <w:u w:val="single"/>
        </w:rPr>
      </w:pPr>
      <w:r w:rsidRPr="004918AB">
        <w:rPr>
          <w:rFonts w:ascii="Times New Roman" w:eastAsia="SimSun" w:hAnsi="Times New Roman" w:cs="Times New Roman"/>
          <w:b/>
          <w:sz w:val="24"/>
          <w:szCs w:val="24"/>
          <w:u w:val="single"/>
        </w:rPr>
        <w:t xml:space="preserve">Request for </w:t>
      </w:r>
      <w:r w:rsidR="00A85472" w:rsidRPr="004918AB">
        <w:rPr>
          <w:rFonts w:ascii="Times New Roman" w:eastAsia="SimSun" w:hAnsi="Times New Roman" w:cs="Times New Roman"/>
          <w:b/>
          <w:sz w:val="24"/>
          <w:szCs w:val="24"/>
          <w:u w:val="single"/>
        </w:rPr>
        <w:t>Developmental W</w:t>
      </w:r>
      <w:r w:rsidRPr="004918AB">
        <w:rPr>
          <w:rFonts w:ascii="Times New Roman" w:eastAsia="SimSun" w:hAnsi="Times New Roman" w:cs="Times New Roman"/>
          <w:b/>
          <w:sz w:val="24"/>
          <w:szCs w:val="24"/>
          <w:u w:val="single"/>
        </w:rPr>
        <w:t>ork</w:t>
      </w:r>
    </w:p>
    <w:p w14:paraId="07CD0127" w14:textId="5B9D1195" w:rsidR="00F2517D" w:rsidRPr="00F2517D" w:rsidRDefault="000C7222" w:rsidP="005F5064">
      <w:pPr>
        <w:spacing w:after="160" w:line="288" w:lineRule="auto"/>
        <w:rPr>
          <w:rFonts w:ascii="Times New Roman" w:hAnsi="Times New Roman" w:cs="Times New Roman"/>
          <w:sz w:val="24"/>
          <w:szCs w:val="24"/>
        </w:rPr>
      </w:pPr>
      <w:r w:rsidRPr="005F5064">
        <w:rPr>
          <w:rFonts w:ascii="Times New Roman" w:hAnsi="Times New Roman" w:cs="Times New Roman"/>
          <w:sz w:val="24"/>
          <w:szCs w:val="24"/>
        </w:rPr>
        <w:t>This clearance</w:t>
      </w:r>
      <w:r w:rsidR="005F5064">
        <w:rPr>
          <w:rFonts w:ascii="Times New Roman" w:hAnsi="Times New Roman" w:cs="Times New Roman"/>
          <w:sz w:val="24"/>
          <w:szCs w:val="24"/>
        </w:rPr>
        <w:t xml:space="preserve"> request</w:t>
      </w:r>
      <w:r w:rsidRPr="005F5064">
        <w:rPr>
          <w:rFonts w:ascii="Times New Roman" w:hAnsi="Times New Roman" w:cs="Times New Roman"/>
          <w:sz w:val="24"/>
          <w:szCs w:val="24"/>
        </w:rPr>
        <w:t xml:space="preserve"> is for a pilot test of the revised ARD metho</w:t>
      </w:r>
      <w:r w:rsidR="00A45CD4">
        <w:rPr>
          <w:rFonts w:ascii="Times New Roman" w:hAnsi="Times New Roman" w:cs="Times New Roman"/>
          <w:sz w:val="24"/>
          <w:szCs w:val="24"/>
        </w:rPr>
        <w:t>dology with approximately 9</w:t>
      </w:r>
      <w:r w:rsidRPr="005F5064">
        <w:rPr>
          <w:rFonts w:ascii="Times New Roman" w:hAnsi="Times New Roman" w:cs="Times New Roman"/>
          <w:sz w:val="24"/>
          <w:szCs w:val="24"/>
        </w:rPr>
        <w:t xml:space="preserve">00 </w:t>
      </w:r>
      <w:r w:rsidR="00844E60">
        <w:rPr>
          <w:rFonts w:ascii="Times New Roman" w:hAnsi="Times New Roman" w:cs="Times New Roman"/>
          <w:sz w:val="24"/>
          <w:szCs w:val="24"/>
        </w:rPr>
        <w:t>LEA</w:t>
      </w:r>
      <w:r w:rsidRPr="005F5064">
        <w:rPr>
          <w:rFonts w:ascii="Times New Roman" w:hAnsi="Times New Roman" w:cs="Times New Roman"/>
          <w:sz w:val="24"/>
          <w:szCs w:val="24"/>
        </w:rPr>
        <w:t xml:space="preserve">s and about </w:t>
      </w:r>
      <w:r w:rsidR="00A45CD4">
        <w:rPr>
          <w:rFonts w:ascii="Times New Roman" w:hAnsi="Times New Roman" w:cs="Times New Roman"/>
          <w:sz w:val="24"/>
          <w:szCs w:val="24"/>
        </w:rPr>
        <w:t>800</w:t>
      </w:r>
      <w:r w:rsidRPr="005F5064">
        <w:rPr>
          <w:rFonts w:ascii="Times New Roman" w:hAnsi="Times New Roman" w:cs="Times New Roman"/>
          <w:sz w:val="24"/>
          <w:szCs w:val="24"/>
        </w:rPr>
        <w:t xml:space="preserve"> medical examiners, </w:t>
      </w:r>
      <w:r w:rsidR="005F5064" w:rsidRPr="005F5064">
        <w:rPr>
          <w:rFonts w:ascii="Times New Roman" w:hAnsi="Times New Roman" w:cs="Times New Roman"/>
          <w:sz w:val="24"/>
          <w:szCs w:val="24"/>
        </w:rPr>
        <w:t xml:space="preserve">requiring about </w:t>
      </w:r>
      <w:r w:rsidR="00A45CD4">
        <w:rPr>
          <w:rFonts w:ascii="Times New Roman" w:hAnsi="Times New Roman" w:cs="Times New Roman"/>
          <w:sz w:val="24"/>
          <w:szCs w:val="24"/>
        </w:rPr>
        <w:t>843</w:t>
      </w:r>
      <w:r w:rsidR="005F5064" w:rsidRPr="005F5064">
        <w:rPr>
          <w:rFonts w:ascii="Times New Roman" w:hAnsi="Times New Roman" w:cs="Times New Roman"/>
          <w:sz w:val="24"/>
          <w:szCs w:val="24"/>
        </w:rPr>
        <w:t xml:space="preserve"> burden</w:t>
      </w:r>
      <w:r w:rsidR="00865050">
        <w:rPr>
          <w:rFonts w:ascii="Times New Roman" w:hAnsi="Times New Roman" w:cs="Times New Roman"/>
          <w:sz w:val="24"/>
          <w:szCs w:val="24"/>
        </w:rPr>
        <w:t>-</w:t>
      </w:r>
      <w:r w:rsidR="005F5064" w:rsidRPr="005F5064">
        <w:rPr>
          <w:rFonts w:ascii="Times New Roman" w:hAnsi="Times New Roman" w:cs="Times New Roman"/>
          <w:sz w:val="24"/>
          <w:szCs w:val="24"/>
        </w:rPr>
        <w:t xml:space="preserve">hours. </w:t>
      </w:r>
      <w:r w:rsidR="008843C5" w:rsidRPr="005F5064">
        <w:rPr>
          <w:rFonts w:ascii="Times New Roman" w:hAnsi="Times New Roman" w:cs="Times New Roman"/>
          <w:sz w:val="24"/>
          <w:szCs w:val="24"/>
        </w:rPr>
        <w:t xml:space="preserve">BJS </w:t>
      </w:r>
      <w:r w:rsidR="008843C5" w:rsidRPr="004918AB">
        <w:rPr>
          <w:rFonts w:ascii="Times New Roman" w:hAnsi="Times New Roman" w:cs="Times New Roman"/>
          <w:sz w:val="24"/>
          <w:szCs w:val="24"/>
        </w:rPr>
        <w:t xml:space="preserve">plans to conduct developmental work for </w:t>
      </w:r>
      <w:r w:rsidR="00F2517D">
        <w:rPr>
          <w:rFonts w:ascii="Times New Roman" w:hAnsi="Times New Roman" w:cs="Times New Roman"/>
          <w:sz w:val="24"/>
          <w:szCs w:val="24"/>
        </w:rPr>
        <w:t>the ARD program</w:t>
      </w:r>
      <w:r w:rsidR="008843C5" w:rsidRPr="004918AB">
        <w:rPr>
          <w:rFonts w:ascii="Times New Roman" w:hAnsi="Times New Roman" w:cs="Times New Roman"/>
          <w:sz w:val="24"/>
          <w:szCs w:val="24"/>
        </w:rPr>
        <w:t xml:space="preserve"> under the</w:t>
      </w:r>
      <w:r w:rsidR="00ED09E0">
        <w:rPr>
          <w:rFonts w:ascii="Times New Roman" w:hAnsi="Times New Roman" w:cs="Times New Roman"/>
          <w:sz w:val="24"/>
          <w:szCs w:val="24"/>
        </w:rPr>
        <w:t xml:space="preserve"> BJS </w:t>
      </w:r>
      <w:r w:rsidR="008843C5" w:rsidRPr="004918AB">
        <w:rPr>
          <w:rFonts w:ascii="Times New Roman" w:hAnsi="Times New Roman" w:cs="Times New Roman"/>
          <w:sz w:val="24"/>
          <w:szCs w:val="24"/>
        </w:rPr>
        <w:t xml:space="preserve">generic clearance agreement </w:t>
      </w:r>
      <w:r w:rsidR="008843C5" w:rsidRPr="00620D61">
        <w:rPr>
          <w:rFonts w:ascii="Times New Roman" w:hAnsi="Times New Roman" w:cs="Times New Roman"/>
          <w:sz w:val="24"/>
          <w:szCs w:val="24"/>
        </w:rPr>
        <w:t xml:space="preserve">(OMB Number </w:t>
      </w:r>
      <w:r w:rsidR="00E2405C" w:rsidRPr="00620D61">
        <w:rPr>
          <w:rFonts w:ascii="Times New Roman" w:hAnsi="Times New Roman" w:cs="Times New Roman"/>
          <w:sz w:val="24"/>
          <w:szCs w:val="24"/>
        </w:rPr>
        <w:t>1121-0339</w:t>
      </w:r>
      <w:r w:rsidR="00CC7A91">
        <w:rPr>
          <w:rFonts w:ascii="Times New Roman" w:hAnsi="Times New Roman" w:cs="Times New Roman"/>
          <w:sz w:val="24"/>
          <w:szCs w:val="24"/>
        </w:rPr>
        <w:t xml:space="preserve">) to </w:t>
      </w:r>
      <w:r w:rsidR="00F2517D" w:rsidRPr="00F2517D">
        <w:rPr>
          <w:rFonts w:ascii="Times New Roman" w:hAnsi="Times New Roman" w:cs="Times New Roman"/>
          <w:sz w:val="24"/>
          <w:szCs w:val="24"/>
        </w:rPr>
        <w:t xml:space="preserve">examine the efficiency and accuracy of </w:t>
      </w:r>
      <w:r w:rsidR="0019140B">
        <w:rPr>
          <w:rFonts w:ascii="Times New Roman" w:hAnsi="Times New Roman" w:cs="Times New Roman"/>
          <w:sz w:val="24"/>
          <w:szCs w:val="24"/>
        </w:rPr>
        <w:t>multiple</w:t>
      </w:r>
      <w:r w:rsidR="00F2517D" w:rsidRPr="00F2517D">
        <w:rPr>
          <w:rFonts w:ascii="Times New Roman" w:hAnsi="Times New Roman" w:cs="Times New Roman"/>
          <w:sz w:val="24"/>
          <w:szCs w:val="24"/>
        </w:rPr>
        <w:t xml:space="preserve"> approaches to identify arrest</w:t>
      </w:r>
      <w:r w:rsidR="00ED09E0">
        <w:rPr>
          <w:rFonts w:ascii="Times New Roman" w:hAnsi="Times New Roman" w:cs="Times New Roman"/>
          <w:sz w:val="24"/>
          <w:szCs w:val="24"/>
        </w:rPr>
        <w:t>-</w:t>
      </w:r>
      <w:r w:rsidR="00F2517D" w:rsidRPr="00F2517D">
        <w:rPr>
          <w:rFonts w:ascii="Times New Roman" w:hAnsi="Times New Roman" w:cs="Times New Roman"/>
          <w:sz w:val="24"/>
          <w:szCs w:val="24"/>
        </w:rPr>
        <w:t>related deaths.</w:t>
      </w:r>
      <w:r w:rsidR="005F5064">
        <w:rPr>
          <w:rFonts w:ascii="Times New Roman" w:hAnsi="Times New Roman" w:cs="Times New Roman"/>
          <w:sz w:val="24"/>
          <w:szCs w:val="24"/>
        </w:rPr>
        <w:t xml:space="preserve"> The methodology to be tested is a two-step process</w:t>
      </w:r>
      <w:r w:rsidR="005F5064" w:rsidRPr="001A2D5F">
        <w:rPr>
          <w:rFonts w:ascii="Times New Roman" w:hAnsi="Times New Roman" w:cs="Times New Roman"/>
          <w:sz w:val="24"/>
          <w:szCs w:val="24"/>
        </w:rPr>
        <w:t>.</w:t>
      </w:r>
      <w:r w:rsidR="00F2517D" w:rsidRPr="001A2D5F">
        <w:rPr>
          <w:rFonts w:ascii="Times New Roman" w:hAnsi="Times New Roman" w:cs="Times New Roman"/>
          <w:sz w:val="24"/>
          <w:szCs w:val="24"/>
        </w:rPr>
        <w:t xml:space="preserve"> First, </w:t>
      </w:r>
      <w:r w:rsidR="006D0142" w:rsidRPr="001A2D5F">
        <w:rPr>
          <w:rFonts w:ascii="Times New Roman" w:hAnsi="Times New Roman" w:cs="Times New Roman"/>
          <w:sz w:val="24"/>
          <w:szCs w:val="24"/>
        </w:rPr>
        <w:t>BJS</w:t>
      </w:r>
      <w:r w:rsidR="00F2517D" w:rsidRPr="001A2D5F">
        <w:rPr>
          <w:rFonts w:ascii="Times New Roman" w:hAnsi="Times New Roman" w:cs="Times New Roman"/>
          <w:sz w:val="24"/>
          <w:szCs w:val="24"/>
        </w:rPr>
        <w:t xml:space="preserve"> will review open</w:t>
      </w:r>
      <w:r w:rsidR="008D7039">
        <w:rPr>
          <w:rFonts w:ascii="Times New Roman" w:hAnsi="Times New Roman" w:cs="Times New Roman"/>
          <w:sz w:val="24"/>
          <w:szCs w:val="24"/>
        </w:rPr>
        <w:t>-</w:t>
      </w:r>
      <w:r w:rsidR="00F2517D" w:rsidRPr="001A2D5F">
        <w:rPr>
          <w:rFonts w:ascii="Times New Roman" w:hAnsi="Times New Roman" w:cs="Times New Roman"/>
          <w:sz w:val="24"/>
          <w:szCs w:val="24"/>
        </w:rPr>
        <w:t xml:space="preserve">knowledge sources to identify </w:t>
      </w:r>
      <w:r w:rsidR="0019140B" w:rsidRPr="001A2D5F">
        <w:rPr>
          <w:rFonts w:ascii="Times New Roman" w:hAnsi="Times New Roman" w:cs="Times New Roman"/>
          <w:sz w:val="24"/>
          <w:szCs w:val="24"/>
        </w:rPr>
        <w:t>potential arrest-related deaths</w:t>
      </w:r>
      <w:r w:rsidR="00F2517D" w:rsidRPr="001A2D5F">
        <w:rPr>
          <w:rFonts w:ascii="Times New Roman" w:hAnsi="Times New Roman" w:cs="Times New Roman"/>
          <w:sz w:val="24"/>
          <w:szCs w:val="24"/>
        </w:rPr>
        <w:t xml:space="preserve"> on a weekly basis.</w:t>
      </w:r>
      <w:r w:rsidR="00C01D51" w:rsidRPr="001A2D5F">
        <w:rPr>
          <w:rFonts w:ascii="Times New Roman" w:hAnsi="Times New Roman" w:cs="Times New Roman"/>
          <w:sz w:val="24"/>
          <w:szCs w:val="24"/>
        </w:rPr>
        <w:t xml:space="preserve"> </w:t>
      </w:r>
      <w:r w:rsidR="001A2D5F" w:rsidRPr="001A2D5F">
        <w:rPr>
          <w:rFonts w:ascii="Times New Roman" w:hAnsi="Times New Roman" w:cs="Times New Roman"/>
          <w:sz w:val="24"/>
          <w:szCs w:val="24"/>
        </w:rPr>
        <w:t xml:space="preserve">Knowledge is considered “open” </w:t>
      </w:r>
      <w:r w:rsidR="001A2D5F" w:rsidRPr="00BA5799">
        <w:rPr>
          <w:rFonts w:ascii="Times New Roman" w:hAnsi="Times New Roman" w:cs="Times New Roman"/>
          <w:sz w:val="24"/>
          <w:szCs w:val="24"/>
        </w:rPr>
        <w:t>if anyone is free to access, use, modify, and share it. Open</w:t>
      </w:r>
      <w:r w:rsidR="008D7039">
        <w:rPr>
          <w:rFonts w:ascii="Times New Roman" w:hAnsi="Times New Roman" w:cs="Times New Roman"/>
          <w:sz w:val="24"/>
          <w:szCs w:val="24"/>
        </w:rPr>
        <w:t>-</w:t>
      </w:r>
      <w:r w:rsidR="001A2D5F" w:rsidRPr="00BA5799">
        <w:rPr>
          <w:rFonts w:ascii="Times New Roman" w:hAnsi="Times New Roman" w:cs="Times New Roman"/>
          <w:sz w:val="24"/>
          <w:szCs w:val="24"/>
        </w:rPr>
        <w:t xml:space="preserve">knowledge sources </w:t>
      </w:r>
      <w:r w:rsidR="001A2D5F">
        <w:rPr>
          <w:rFonts w:ascii="Times New Roman" w:hAnsi="Times New Roman" w:cs="Times New Roman"/>
          <w:sz w:val="24"/>
          <w:szCs w:val="24"/>
        </w:rPr>
        <w:t>to identify arrest-related deaths</w:t>
      </w:r>
      <w:r w:rsidR="008D7039">
        <w:rPr>
          <w:rFonts w:ascii="Times New Roman" w:hAnsi="Times New Roman" w:cs="Times New Roman"/>
          <w:sz w:val="24"/>
          <w:szCs w:val="24"/>
        </w:rPr>
        <w:t>,</w:t>
      </w:r>
      <w:r w:rsidR="001A2D5F" w:rsidRPr="00BA5799">
        <w:rPr>
          <w:rFonts w:ascii="Times New Roman" w:hAnsi="Times New Roman" w:cs="Times New Roman"/>
          <w:sz w:val="24"/>
          <w:szCs w:val="24"/>
        </w:rPr>
        <w:t xml:space="preserve"> widely available via the </w:t>
      </w:r>
      <w:r w:rsidR="008D7039" w:rsidRPr="00BA5799">
        <w:rPr>
          <w:rFonts w:ascii="Times New Roman" w:hAnsi="Times New Roman" w:cs="Times New Roman"/>
          <w:sz w:val="24"/>
          <w:szCs w:val="24"/>
        </w:rPr>
        <w:t>Internet</w:t>
      </w:r>
      <w:r w:rsidR="008D7039">
        <w:rPr>
          <w:rFonts w:ascii="Times New Roman" w:hAnsi="Times New Roman" w:cs="Times New Roman"/>
          <w:sz w:val="24"/>
          <w:szCs w:val="24"/>
        </w:rPr>
        <w:t>,</w:t>
      </w:r>
      <w:r w:rsidR="001A2D5F" w:rsidRPr="00BA5799">
        <w:rPr>
          <w:rFonts w:ascii="Times New Roman" w:hAnsi="Times New Roman" w:cs="Times New Roman"/>
          <w:sz w:val="24"/>
          <w:szCs w:val="24"/>
        </w:rPr>
        <w:t xml:space="preserve"> include media outlets, blogs, social media posts, official agency releases, and other </w:t>
      </w:r>
      <w:r w:rsidR="00865050">
        <w:rPr>
          <w:rFonts w:ascii="Times New Roman" w:hAnsi="Times New Roman" w:cs="Times New Roman"/>
          <w:sz w:val="24"/>
          <w:szCs w:val="24"/>
        </w:rPr>
        <w:t>Web</w:t>
      </w:r>
      <w:r w:rsidR="001A2D5F" w:rsidRPr="00BA5799">
        <w:rPr>
          <w:rFonts w:ascii="Times New Roman" w:hAnsi="Times New Roman" w:cs="Times New Roman"/>
          <w:sz w:val="24"/>
          <w:szCs w:val="24"/>
        </w:rPr>
        <w:t>-based sources</w:t>
      </w:r>
      <w:r w:rsidR="00865050">
        <w:rPr>
          <w:rFonts w:ascii="Times New Roman" w:hAnsi="Times New Roman" w:cs="Times New Roman"/>
          <w:sz w:val="24"/>
          <w:szCs w:val="24"/>
        </w:rPr>
        <w:t>.</w:t>
      </w:r>
      <w:r w:rsidR="001A2D5F" w:rsidRPr="001A2D5F" w:rsidDel="001A2D5F">
        <w:rPr>
          <w:rFonts w:ascii="Times New Roman" w:hAnsi="Times New Roman" w:cs="Times New Roman"/>
          <w:sz w:val="24"/>
          <w:szCs w:val="24"/>
        </w:rPr>
        <w:t xml:space="preserve"> </w:t>
      </w:r>
      <w:r w:rsidR="00F2517D" w:rsidRPr="00F2517D">
        <w:rPr>
          <w:rFonts w:ascii="Times New Roman" w:hAnsi="Times New Roman" w:cs="Times New Roman"/>
          <w:sz w:val="24"/>
          <w:szCs w:val="24"/>
        </w:rPr>
        <w:t xml:space="preserve">Second, </w:t>
      </w:r>
      <w:r w:rsidR="00CC7A91">
        <w:rPr>
          <w:rFonts w:ascii="Times New Roman" w:hAnsi="Times New Roman" w:cs="Times New Roman"/>
          <w:sz w:val="24"/>
          <w:szCs w:val="24"/>
        </w:rPr>
        <w:t>BJS</w:t>
      </w:r>
      <w:r w:rsidR="00F2517D" w:rsidRPr="00F2517D">
        <w:rPr>
          <w:rFonts w:ascii="Times New Roman" w:hAnsi="Times New Roman" w:cs="Times New Roman"/>
          <w:sz w:val="24"/>
          <w:szCs w:val="24"/>
        </w:rPr>
        <w:t xml:space="preserve"> will conduct surveys with official agency sources to confirm the deaths identified through open</w:t>
      </w:r>
      <w:r w:rsidR="008D7039">
        <w:rPr>
          <w:rFonts w:ascii="Times New Roman" w:hAnsi="Times New Roman" w:cs="Times New Roman"/>
          <w:sz w:val="24"/>
          <w:szCs w:val="24"/>
        </w:rPr>
        <w:t>-</w:t>
      </w:r>
      <w:r w:rsidR="00F2517D" w:rsidRPr="00F2517D">
        <w:rPr>
          <w:rFonts w:ascii="Times New Roman" w:hAnsi="Times New Roman" w:cs="Times New Roman"/>
          <w:sz w:val="24"/>
          <w:szCs w:val="24"/>
        </w:rPr>
        <w:t>source</w:t>
      </w:r>
      <w:r w:rsidR="00561998">
        <w:rPr>
          <w:rFonts w:ascii="Times New Roman" w:hAnsi="Times New Roman" w:cs="Times New Roman"/>
          <w:sz w:val="24"/>
          <w:szCs w:val="24"/>
        </w:rPr>
        <w:t xml:space="preserve"> review,</w:t>
      </w:r>
      <w:r w:rsidR="00C01D51">
        <w:rPr>
          <w:rFonts w:ascii="Times New Roman" w:hAnsi="Times New Roman" w:cs="Times New Roman"/>
          <w:sz w:val="24"/>
          <w:szCs w:val="24"/>
        </w:rPr>
        <w:t xml:space="preserve"> to collect official incident records</w:t>
      </w:r>
      <w:r w:rsidR="00561998">
        <w:rPr>
          <w:rFonts w:ascii="Times New Roman" w:hAnsi="Times New Roman" w:cs="Times New Roman"/>
          <w:sz w:val="24"/>
          <w:szCs w:val="24"/>
        </w:rPr>
        <w:t>,</w:t>
      </w:r>
      <w:r w:rsidR="00F2517D" w:rsidRPr="00F2517D">
        <w:rPr>
          <w:rFonts w:ascii="Times New Roman" w:hAnsi="Times New Roman" w:cs="Times New Roman"/>
          <w:sz w:val="24"/>
          <w:szCs w:val="24"/>
        </w:rPr>
        <w:t xml:space="preserve"> and to determine wheth</w:t>
      </w:r>
      <w:r w:rsidR="0019140B">
        <w:rPr>
          <w:rFonts w:ascii="Times New Roman" w:hAnsi="Times New Roman" w:cs="Times New Roman"/>
          <w:sz w:val="24"/>
          <w:szCs w:val="24"/>
        </w:rPr>
        <w:t>er there were additional arrest-</w:t>
      </w:r>
      <w:r w:rsidR="00F2517D" w:rsidRPr="00F2517D">
        <w:rPr>
          <w:rFonts w:ascii="Times New Roman" w:hAnsi="Times New Roman" w:cs="Times New Roman"/>
          <w:sz w:val="24"/>
          <w:szCs w:val="24"/>
        </w:rPr>
        <w:t xml:space="preserve">related deaths that were not captured </w:t>
      </w:r>
      <w:r w:rsidR="0019140B">
        <w:rPr>
          <w:rFonts w:ascii="Times New Roman" w:hAnsi="Times New Roman" w:cs="Times New Roman"/>
          <w:sz w:val="24"/>
          <w:szCs w:val="24"/>
        </w:rPr>
        <w:t>through open</w:t>
      </w:r>
      <w:r w:rsidR="008D7039">
        <w:rPr>
          <w:rFonts w:ascii="Times New Roman" w:hAnsi="Times New Roman" w:cs="Times New Roman"/>
          <w:sz w:val="24"/>
          <w:szCs w:val="24"/>
        </w:rPr>
        <w:t>-</w:t>
      </w:r>
      <w:r w:rsidR="0019140B">
        <w:rPr>
          <w:rFonts w:ascii="Times New Roman" w:hAnsi="Times New Roman" w:cs="Times New Roman"/>
          <w:sz w:val="24"/>
          <w:szCs w:val="24"/>
        </w:rPr>
        <w:t>source review</w:t>
      </w:r>
      <w:r w:rsidR="00F2517D" w:rsidRPr="00F2517D">
        <w:rPr>
          <w:rFonts w:ascii="Times New Roman" w:hAnsi="Times New Roman" w:cs="Times New Roman"/>
          <w:sz w:val="24"/>
          <w:szCs w:val="24"/>
        </w:rPr>
        <w:t xml:space="preserve">. The purpose of the official agency surveys is to identify the error associated with the intersection between </w:t>
      </w:r>
      <w:r w:rsidR="006D0142">
        <w:rPr>
          <w:rFonts w:ascii="Times New Roman" w:hAnsi="Times New Roman" w:cs="Times New Roman"/>
          <w:sz w:val="24"/>
          <w:szCs w:val="24"/>
        </w:rPr>
        <w:t xml:space="preserve">deaths identified through </w:t>
      </w:r>
      <w:r w:rsidR="00F2517D" w:rsidRPr="00F2517D">
        <w:rPr>
          <w:rFonts w:ascii="Times New Roman" w:hAnsi="Times New Roman" w:cs="Times New Roman"/>
          <w:sz w:val="24"/>
          <w:szCs w:val="24"/>
        </w:rPr>
        <w:t xml:space="preserve">open sources and </w:t>
      </w:r>
      <w:r w:rsidR="006D0142">
        <w:rPr>
          <w:rFonts w:ascii="Times New Roman" w:hAnsi="Times New Roman" w:cs="Times New Roman"/>
          <w:sz w:val="24"/>
          <w:szCs w:val="24"/>
        </w:rPr>
        <w:t xml:space="preserve">those identified only through </w:t>
      </w:r>
      <w:r w:rsidR="00F2517D" w:rsidRPr="00F2517D">
        <w:rPr>
          <w:rFonts w:ascii="Times New Roman" w:hAnsi="Times New Roman" w:cs="Times New Roman"/>
          <w:sz w:val="24"/>
          <w:szCs w:val="24"/>
        </w:rPr>
        <w:t xml:space="preserve">official </w:t>
      </w:r>
      <w:r w:rsidR="006D0142">
        <w:rPr>
          <w:rFonts w:ascii="Times New Roman" w:hAnsi="Times New Roman" w:cs="Times New Roman"/>
          <w:sz w:val="24"/>
          <w:szCs w:val="24"/>
        </w:rPr>
        <w:t xml:space="preserve">agency </w:t>
      </w:r>
      <w:r w:rsidR="00F2517D" w:rsidRPr="00F2517D">
        <w:rPr>
          <w:rFonts w:ascii="Times New Roman" w:hAnsi="Times New Roman" w:cs="Times New Roman"/>
          <w:sz w:val="24"/>
          <w:szCs w:val="24"/>
        </w:rPr>
        <w:t xml:space="preserve">records. </w:t>
      </w:r>
      <w:r w:rsidR="002D4AB7">
        <w:rPr>
          <w:rFonts w:ascii="Times New Roman" w:hAnsi="Times New Roman" w:cs="Times New Roman"/>
          <w:sz w:val="24"/>
          <w:szCs w:val="24"/>
        </w:rPr>
        <w:t>The agency survey</w:t>
      </w:r>
      <w:r w:rsidR="003A726C">
        <w:rPr>
          <w:rFonts w:ascii="Times New Roman" w:hAnsi="Times New Roman" w:cs="Times New Roman"/>
          <w:sz w:val="24"/>
          <w:szCs w:val="24"/>
        </w:rPr>
        <w:t>s are</w:t>
      </w:r>
      <w:r w:rsidR="002D4AB7">
        <w:rPr>
          <w:rFonts w:ascii="Times New Roman" w:hAnsi="Times New Roman" w:cs="Times New Roman"/>
          <w:sz w:val="24"/>
          <w:szCs w:val="24"/>
        </w:rPr>
        <w:t xml:space="preserve"> modified </w:t>
      </w:r>
      <w:r w:rsidR="003A726C">
        <w:rPr>
          <w:rFonts w:ascii="Times New Roman" w:hAnsi="Times New Roman" w:cs="Times New Roman"/>
          <w:sz w:val="24"/>
          <w:szCs w:val="24"/>
        </w:rPr>
        <w:t xml:space="preserve">versions of the </w:t>
      </w:r>
      <w:r w:rsidR="002D4AB7">
        <w:rPr>
          <w:rFonts w:ascii="Times New Roman" w:hAnsi="Times New Roman" w:cs="Times New Roman"/>
          <w:sz w:val="24"/>
          <w:szCs w:val="24"/>
        </w:rPr>
        <w:t xml:space="preserve">reporting forms </w:t>
      </w:r>
      <w:r w:rsidR="003A726C">
        <w:rPr>
          <w:rFonts w:ascii="Times New Roman" w:hAnsi="Times New Roman" w:cs="Times New Roman"/>
          <w:sz w:val="24"/>
          <w:szCs w:val="24"/>
        </w:rPr>
        <w:t>used for the ARD collection from 2003</w:t>
      </w:r>
      <w:r w:rsidR="008D7039">
        <w:rPr>
          <w:rFonts w:ascii="Times New Roman" w:hAnsi="Times New Roman" w:cs="Times New Roman"/>
          <w:sz w:val="24"/>
          <w:szCs w:val="24"/>
        </w:rPr>
        <w:t xml:space="preserve"> through </w:t>
      </w:r>
      <w:r w:rsidR="003A726C">
        <w:rPr>
          <w:rFonts w:ascii="Times New Roman" w:hAnsi="Times New Roman" w:cs="Times New Roman"/>
          <w:sz w:val="24"/>
          <w:szCs w:val="24"/>
        </w:rPr>
        <w:t>2013. The methodology and surveys to be tested under this clearance have undergone feasibility testing</w:t>
      </w:r>
      <w:r w:rsidR="008D7039">
        <w:rPr>
          <w:rFonts w:ascii="Times New Roman" w:hAnsi="Times New Roman" w:cs="Times New Roman"/>
          <w:sz w:val="24"/>
          <w:szCs w:val="24"/>
        </w:rPr>
        <w:t>,</w:t>
      </w:r>
      <w:r w:rsidR="003A726C">
        <w:rPr>
          <w:rFonts w:ascii="Times New Roman" w:hAnsi="Times New Roman" w:cs="Times New Roman"/>
          <w:sz w:val="24"/>
          <w:szCs w:val="24"/>
        </w:rPr>
        <w:t xml:space="preserve"> as discussed later in the memo. </w:t>
      </w:r>
    </w:p>
    <w:p w14:paraId="5EB1E904" w14:textId="27710134" w:rsidR="00177ACC" w:rsidRDefault="00177ACC" w:rsidP="005F5064">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The proposed development work will culminate in recommendations for whether and how BJS could support a statistical collection to identify all arrest-related deaths occurring under the jurisdiction of state and local </w:t>
      </w:r>
      <w:r w:rsidR="00844E60">
        <w:rPr>
          <w:rFonts w:ascii="Times New Roman" w:hAnsi="Times New Roman" w:cs="Times New Roman"/>
          <w:sz w:val="24"/>
          <w:szCs w:val="24"/>
        </w:rPr>
        <w:t>LEA</w:t>
      </w:r>
      <w:r>
        <w:rPr>
          <w:rFonts w:ascii="Times New Roman" w:hAnsi="Times New Roman" w:cs="Times New Roman"/>
          <w:sz w:val="24"/>
          <w:szCs w:val="24"/>
        </w:rPr>
        <w:t xml:space="preserve">s in the </w:t>
      </w:r>
      <w:r w:rsidR="008D7039" w:rsidRPr="008D7039">
        <w:rPr>
          <w:rFonts w:ascii="Times New Roman" w:hAnsi="Times New Roman" w:cs="Times New Roman"/>
          <w:sz w:val="24"/>
          <w:szCs w:val="24"/>
        </w:rPr>
        <w:t>United States</w:t>
      </w:r>
      <w:r>
        <w:rPr>
          <w:rFonts w:ascii="Times New Roman" w:hAnsi="Times New Roman" w:cs="Times New Roman"/>
          <w:sz w:val="24"/>
          <w:szCs w:val="24"/>
        </w:rPr>
        <w:t xml:space="preserve">, as well as characteristics of the decedents and the circumstances surrounding the deaths. </w:t>
      </w:r>
      <w:r w:rsidR="002867D7">
        <w:rPr>
          <w:rFonts w:ascii="Times New Roman" w:hAnsi="Times New Roman" w:cs="Times New Roman"/>
          <w:sz w:val="24"/>
          <w:szCs w:val="24"/>
        </w:rPr>
        <w:t xml:space="preserve">Recommendations for future implementation of the </w:t>
      </w:r>
      <w:r w:rsidR="00561998">
        <w:rPr>
          <w:rFonts w:ascii="Times New Roman" w:hAnsi="Times New Roman" w:cs="Times New Roman"/>
          <w:sz w:val="24"/>
          <w:szCs w:val="24"/>
        </w:rPr>
        <w:t>ARD</w:t>
      </w:r>
      <w:r w:rsidR="002867D7">
        <w:rPr>
          <w:rFonts w:ascii="Times New Roman" w:hAnsi="Times New Roman" w:cs="Times New Roman"/>
          <w:sz w:val="24"/>
          <w:szCs w:val="24"/>
        </w:rPr>
        <w:t xml:space="preserve"> Program will include </w:t>
      </w:r>
    </w:p>
    <w:p w14:paraId="6A4532F7" w14:textId="3AFE6A88" w:rsidR="000428B6" w:rsidRPr="000428B6" w:rsidRDefault="003750E7" w:rsidP="0019140B">
      <w:pPr>
        <w:numPr>
          <w:ilvl w:val="0"/>
          <w:numId w:val="16"/>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t>a</w:t>
      </w:r>
      <w:r w:rsidR="000428B6" w:rsidRPr="000428B6">
        <w:rPr>
          <w:rFonts w:ascii="Times New Roman" w:hAnsi="Times New Roman" w:cs="Times New Roman"/>
          <w:sz w:val="24"/>
          <w:szCs w:val="24"/>
        </w:rPr>
        <w:t xml:space="preserve"> clear statement on the exact parameters of the open</w:t>
      </w:r>
      <w:r w:rsidR="008D7039">
        <w:rPr>
          <w:rFonts w:ascii="Times New Roman" w:hAnsi="Times New Roman" w:cs="Times New Roman"/>
          <w:sz w:val="24"/>
          <w:szCs w:val="24"/>
        </w:rPr>
        <w:t>-</w:t>
      </w:r>
      <w:r w:rsidR="000428B6" w:rsidRPr="000428B6">
        <w:rPr>
          <w:rFonts w:ascii="Times New Roman" w:hAnsi="Times New Roman" w:cs="Times New Roman"/>
          <w:sz w:val="24"/>
          <w:szCs w:val="24"/>
        </w:rPr>
        <w:t>source search process to determine which types of cases should be included</w:t>
      </w:r>
      <w:r w:rsidR="008D7039">
        <w:rPr>
          <w:rFonts w:ascii="Times New Roman" w:hAnsi="Times New Roman" w:cs="Times New Roman"/>
          <w:sz w:val="24"/>
          <w:szCs w:val="24"/>
        </w:rPr>
        <w:t xml:space="preserve"> or </w:t>
      </w:r>
      <w:r w:rsidR="000428B6" w:rsidRPr="000428B6">
        <w:rPr>
          <w:rFonts w:ascii="Times New Roman" w:hAnsi="Times New Roman" w:cs="Times New Roman"/>
          <w:sz w:val="24"/>
          <w:szCs w:val="24"/>
        </w:rPr>
        <w:t>excluded</w:t>
      </w:r>
      <w:r>
        <w:rPr>
          <w:rFonts w:ascii="Times New Roman" w:hAnsi="Times New Roman" w:cs="Times New Roman"/>
          <w:sz w:val="24"/>
          <w:szCs w:val="24"/>
        </w:rPr>
        <w:t>—</w:t>
      </w:r>
      <w:r w:rsidR="000428B6" w:rsidRPr="000428B6">
        <w:rPr>
          <w:rFonts w:ascii="Times New Roman" w:hAnsi="Times New Roman" w:cs="Times New Roman"/>
          <w:sz w:val="24"/>
          <w:szCs w:val="24"/>
        </w:rPr>
        <w:t>a definition that addresses temporal, geographic coverage, and specific case factors</w:t>
      </w:r>
      <w:r>
        <w:rPr>
          <w:rFonts w:ascii="Times New Roman" w:hAnsi="Times New Roman" w:cs="Times New Roman"/>
          <w:sz w:val="24"/>
          <w:szCs w:val="24"/>
        </w:rPr>
        <w:t>;</w:t>
      </w:r>
    </w:p>
    <w:p w14:paraId="7BC118E0" w14:textId="08492B0D" w:rsidR="000428B6" w:rsidRPr="000428B6" w:rsidRDefault="003750E7" w:rsidP="0019140B">
      <w:pPr>
        <w:numPr>
          <w:ilvl w:val="0"/>
          <w:numId w:val="16"/>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t>c</w:t>
      </w:r>
      <w:r w:rsidR="000428B6" w:rsidRPr="000428B6">
        <w:rPr>
          <w:rFonts w:ascii="Times New Roman" w:hAnsi="Times New Roman" w:cs="Times New Roman"/>
          <w:sz w:val="24"/>
          <w:szCs w:val="24"/>
        </w:rPr>
        <w:t>onsideration of issues related to how inclusive the search results are, as well as exclusionary factors that should be used to avoid false positives</w:t>
      </w:r>
      <w:r>
        <w:rPr>
          <w:rFonts w:ascii="Times New Roman" w:hAnsi="Times New Roman" w:cs="Times New Roman"/>
          <w:sz w:val="24"/>
          <w:szCs w:val="24"/>
        </w:rPr>
        <w:t>;</w:t>
      </w:r>
    </w:p>
    <w:p w14:paraId="39E43FD6" w14:textId="47255B8C" w:rsidR="000428B6" w:rsidRPr="000428B6" w:rsidRDefault="003750E7" w:rsidP="0019140B">
      <w:pPr>
        <w:numPr>
          <w:ilvl w:val="0"/>
          <w:numId w:val="16"/>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t>a</w:t>
      </w:r>
      <w:r w:rsidR="000428B6" w:rsidRPr="000428B6">
        <w:rPr>
          <w:rFonts w:ascii="Times New Roman" w:hAnsi="Times New Roman" w:cs="Times New Roman"/>
          <w:sz w:val="24"/>
          <w:szCs w:val="24"/>
        </w:rPr>
        <w:t xml:space="preserve"> strategy that captures the challenges and benefits associated with open</w:t>
      </w:r>
      <w:r w:rsidR="008D7039">
        <w:rPr>
          <w:rFonts w:ascii="Times New Roman" w:hAnsi="Times New Roman" w:cs="Times New Roman"/>
          <w:sz w:val="24"/>
          <w:szCs w:val="24"/>
        </w:rPr>
        <w:t>-source</w:t>
      </w:r>
      <w:r w:rsidR="000428B6" w:rsidRPr="000428B6">
        <w:rPr>
          <w:rFonts w:ascii="Times New Roman" w:hAnsi="Times New Roman" w:cs="Times New Roman"/>
          <w:sz w:val="24"/>
          <w:szCs w:val="24"/>
        </w:rPr>
        <w:t xml:space="preserve"> review approaches</w:t>
      </w:r>
      <w:r>
        <w:rPr>
          <w:rFonts w:ascii="Times New Roman" w:hAnsi="Times New Roman" w:cs="Times New Roman"/>
          <w:sz w:val="24"/>
          <w:szCs w:val="24"/>
        </w:rPr>
        <w:t>;</w:t>
      </w:r>
    </w:p>
    <w:p w14:paraId="0471D554" w14:textId="5352E5D8" w:rsidR="000428B6" w:rsidRPr="000428B6" w:rsidRDefault="003750E7" w:rsidP="0019140B">
      <w:pPr>
        <w:numPr>
          <w:ilvl w:val="0"/>
          <w:numId w:val="16"/>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lastRenderedPageBreak/>
        <w:t>a</w:t>
      </w:r>
      <w:r w:rsidR="000428B6" w:rsidRPr="000428B6">
        <w:rPr>
          <w:rFonts w:ascii="Times New Roman" w:hAnsi="Times New Roman" w:cs="Times New Roman"/>
          <w:sz w:val="24"/>
          <w:szCs w:val="24"/>
        </w:rPr>
        <w:t>rticulation of a plan that will describe the completeness and efficiency of the searches and identify the criteria that will be used to evaluate and substantiate the efficacy of the process</w:t>
      </w:r>
      <w:r>
        <w:rPr>
          <w:rFonts w:ascii="Times New Roman" w:hAnsi="Times New Roman" w:cs="Times New Roman"/>
          <w:sz w:val="24"/>
          <w:szCs w:val="24"/>
        </w:rPr>
        <w:t>; and</w:t>
      </w:r>
    </w:p>
    <w:p w14:paraId="1E11B02A" w14:textId="44DF8300" w:rsidR="000428B6" w:rsidRPr="000428B6" w:rsidRDefault="003750E7" w:rsidP="0019140B">
      <w:pPr>
        <w:numPr>
          <w:ilvl w:val="0"/>
          <w:numId w:val="16"/>
        </w:numPr>
        <w:spacing w:after="160" w:line="288" w:lineRule="auto"/>
        <w:ind w:left="1080"/>
        <w:rPr>
          <w:rFonts w:ascii="Times New Roman" w:hAnsi="Times New Roman" w:cs="Times New Roman"/>
          <w:sz w:val="24"/>
          <w:szCs w:val="24"/>
        </w:rPr>
      </w:pPr>
      <w:r>
        <w:rPr>
          <w:rFonts w:ascii="Times New Roman" w:hAnsi="Times New Roman" w:cs="Times New Roman"/>
          <w:sz w:val="24"/>
          <w:szCs w:val="24"/>
        </w:rPr>
        <w:t>s</w:t>
      </w:r>
      <w:r w:rsidR="000428B6" w:rsidRPr="000428B6">
        <w:rPr>
          <w:rFonts w:ascii="Times New Roman" w:hAnsi="Times New Roman" w:cs="Times New Roman"/>
          <w:sz w:val="24"/>
          <w:szCs w:val="24"/>
        </w:rPr>
        <w:t>pecific recommendations for an ongoing method of identifying arrest</w:t>
      </w:r>
      <w:r w:rsidR="008D7039">
        <w:rPr>
          <w:rFonts w:ascii="Times New Roman" w:hAnsi="Times New Roman" w:cs="Times New Roman"/>
          <w:sz w:val="24"/>
          <w:szCs w:val="24"/>
        </w:rPr>
        <w:t>-</w:t>
      </w:r>
      <w:r w:rsidR="000428B6" w:rsidRPr="000428B6">
        <w:rPr>
          <w:rFonts w:ascii="Times New Roman" w:hAnsi="Times New Roman" w:cs="Times New Roman"/>
          <w:sz w:val="24"/>
          <w:szCs w:val="24"/>
        </w:rPr>
        <w:t xml:space="preserve">related deaths in the </w:t>
      </w:r>
      <w:r w:rsidR="008D7039" w:rsidRPr="008D7039">
        <w:rPr>
          <w:rFonts w:ascii="Times New Roman" w:hAnsi="Times New Roman" w:cs="Times New Roman"/>
          <w:sz w:val="24"/>
          <w:szCs w:val="24"/>
        </w:rPr>
        <w:t>United States</w:t>
      </w:r>
      <w:r w:rsidR="008D7039" w:rsidRPr="008D7039" w:rsidDel="008D7039">
        <w:rPr>
          <w:rFonts w:ascii="Times New Roman" w:hAnsi="Times New Roman" w:cs="Times New Roman"/>
          <w:sz w:val="24"/>
          <w:szCs w:val="24"/>
        </w:rPr>
        <w:t xml:space="preserve"> </w:t>
      </w:r>
      <w:r w:rsidR="000428B6" w:rsidRPr="000428B6">
        <w:rPr>
          <w:rFonts w:ascii="Times New Roman" w:hAnsi="Times New Roman" w:cs="Times New Roman"/>
          <w:sz w:val="24"/>
          <w:szCs w:val="24"/>
        </w:rPr>
        <w:t xml:space="preserve">from open sources and collecting information about decedents and the circumstances surrounding those deaths from </w:t>
      </w:r>
      <w:r w:rsidR="00844E60">
        <w:rPr>
          <w:rFonts w:ascii="Times New Roman" w:hAnsi="Times New Roman" w:cs="Times New Roman"/>
          <w:sz w:val="24"/>
          <w:szCs w:val="24"/>
        </w:rPr>
        <w:t>LEA</w:t>
      </w:r>
      <w:r w:rsidR="000428B6" w:rsidRPr="000428B6">
        <w:rPr>
          <w:rFonts w:ascii="Times New Roman" w:hAnsi="Times New Roman" w:cs="Times New Roman"/>
          <w:sz w:val="24"/>
          <w:szCs w:val="24"/>
        </w:rPr>
        <w:t>s.</w:t>
      </w:r>
    </w:p>
    <w:p w14:paraId="279FFB06" w14:textId="77777777" w:rsidR="000428B6" w:rsidRPr="007C5E64" w:rsidRDefault="000428B6" w:rsidP="00547959">
      <w:pPr>
        <w:spacing w:after="0" w:line="240" w:lineRule="auto"/>
        <w:rPr>
          <w:rFonts w:ascii="Times New Roman" w:hAnsi="Times New Roman" w:cs="Times New Roman"/>
          <w:sz w:val="24"/>
          <w:szCs w:val="24"/>
          <w:highlight w:val="yellow"/>
        </w:rPr>
      </w:pPr>
    </w:p>
    <w:p w14:paraId="3F6DDEC2" w14:textId="77777777" w:rsidR="00643C10" w:rsidRDefault="004F247E" w:rsidP="00CC7A91">
      <w:pPr>
        <w:keepNext/>
        <w:rPr>
          <w:rFonts w:ascii="Times New Roman" w:hAnsi="Times New Roman" w:cs="Times New Roman"/>
          <w:b/>
          <w:sz w:val="24"/>
          <w:szCs w:val="24"/>
          <w:u w:val="single"/>
        </w:rPr>
      </w:pPr>
      <w:r w:rsidRPr="004918AB">
        <w:rPr>
          <w:rFonts w:ascii="Times New Roman" w:hAnsi="Times New Roman" w:cs="Times New Roman"/>
          <w:b/>
          <w:sz w:val="24"/>
          <w:szCs w:val="24"/>
          <w:u w:val="single"/>
        </w:rPr>
        <w:t>Des</w:t>
      </w:r>
      <w:bookmarkStart w:id="1" w:name="lastplace_LJB"/>
      <w:bookmarkEnd w:id="1"/>
      <w:r w:rsidRPr="004918AB">
        <w:rPr>
          <w:rFonts w:ascii="Times New Roman" w:hAnsi="Times New Roman" w:cs="Times New Roman"/>
          <w:b/>
          <w:sz w:val="24"/>
          <w:szCs w:val="24"/>
          <w:u w:val="single"/>
        </w:rPr>
        <w:t>ign of the Survey</w:t>
      </w:r>
    </w:p>
    <w:p w14:paraId="7507A08D" w14:textId="2BBB7459" w:rsidR="002867D7" w:rsidRPr="000428B6" w:rsidRDefault="002867D7" w:rsidP="00441F70">
      <w:pPr>
        <w:spacing w:after="160" w:line="288" w:lineRule="auto"/>
        <w:rPr>
          <w:rFonts w:ascii="Times New Roman" w:hAnsi="Times New Roman" w:cs="Times New Roman"/>
          <w:sz w:val="24"/>
          <w:szCs w:val="24"/>
        </w:rPr>
      </w:pPr>
      <w:r w:rsidRPr="000428B6">
        <w:rPr>
          <w:rFonts w:ascii="Times New Roman" w:hAnsi="Times New Roman" w:cs="Times New Roman"/>
          <w:sz w:val="24"/>
          <w:szCs w:val="24"/>
        </w:rPr>
        <w:t xml:space="preserve">Agency-level data collection will be designed to minimize respondent burden, verify </w:t>
      </w:r>
      <w:r w:rsidR="0019140B">
        <w:rPr>
          <w:rFonts w:ascii="Times New Roman" w:hAnsi="Times New Roman" w:cs="Times New Roman"/>
          <w:sz w:val="24"/>
          <w:szCs w:val="24"/>
        </w:rPr>
        <w:t xml:space="preserve">arrest-related deaths, </w:t>
      </w:r>
      <w:r w:rsidRPr="000428B6">
        <w:rPr>
          <w:rFonts w:ascii="Times New Roman" w:hAnsi="Times New Roman" w:cs="Times New Roman"/>
          <w:sz w:val="24"/>
          <w:szCs w:val="24"/>
        </w:rPr>
        <w:t>and provide additional information about the decedent and the circumstances surrounding the incident. In particular, official agency respondents will be asked to</w:t>
      </w:r>
    </w:p>
    <w:p w14:paraId="40A72687" w14:textId="12F043BB" w:rsidR="002867D7" w:rsidRPr="000428B6" w:rsidRDefault="0019140B" w:rsidP="0019140B">
      <w:pPr>
        <w:numPr>
          <w:ilvl w:val="0"/>
          <w:numId w:val="14"/>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t>c</w:t>
      </w:r>
      <w:r w:rsidR="002867D7" w:rsidRPr="000428B6">
        <w:rPr>
          <w:rFonts w:ascii="Times New Roman" w:hAnsi="Times New Roman" w:cs="Times New Roman"/>
          <w:sz w:val="24"/>
          <w:szCs w:val="24"/>
        </w:rPr>
        <w:t>onfirm all case identifying data</w:t>
      </w:r>
      <w:r w:rsidR="002867D7">
        <w:rPr>
          <w:rFonts w:ascii="Times New Roman" w:hAnsi="Times New Roman" w:cs="Times New Roman"/>
          <w:sz w:val="24"/>
          <w:szCs w:val="24"/>
        </w:rPr>
        <w:t xml:space="preserve">, including decedent name, decedent date of death, and name of </w:t>
      </w:r>
      <w:r w:rsidR="00844E60">
        <w:rPr>
          <w:rFonts w:ascii="Times New Roman" w:hAnsi="Times New Roman" w:cs="Times New Roman"/>
          <w:sz w:val="24"/>
          <w:szCs w:val="24"/>
        </w:rPr>
        <w:t>LEA</w:t>
      </w:r>
      <w:r w:rsidR="002867D7">
        <w:rPr>
          <w:rFonts w:ascii="Times New Roman" w:hAnsi="Times New Roman" w:cs="Times New Roman"/>
          <w:sz w:val="24"/>
          <w:szCs w:val="24"/>
        </w:rPr>
        <w:t xml:space="preserve"> with jurisdiction over the decedent at the time of death</w:t>
      </w:r>
      <w:r w:rsidR="00BC150D">
        <w:rPr>
          <w:rFonts w:ascii="Times New Roman" w:hAnsi="Times New Roman" w:cs="Times New Roman"/>
          <w:sz w:val="24"/>
          <w:szCs w:val="24"/>
        </w:rPr>
        <w:t xml:space="preserve"> for cases identified through open-source review;</w:t>
      </w:r>
    </w:p>
    <w:p w14:paraId="677DD2B2" w14:textId="344EA1A0" w:rsidR="0019140B" w:rsidRDefault="00BC150D" w:rsidP="0019140B">
      <w:pPr>
        <w:numPr>
          <w:ilvl w:val="0"/>
          <w:numId w:val="14"/>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t>i</w:t>
      </w:r>
      <w:r w:rsidR="0019140B">
        <w:rPr>
          <w:rFonts w:ascii="Times New Roman" w:hAnsi="Times New Roman" w:cs="Times New Roman"/>
          <w:sz w:val="24"/>
          <w:szCs w:val="24"/>
        </w:rPr>
        <w:t>dentify any arrest-related deaths occurring from June 1 through August 31, 2015</w:t>
      </w:r>
      <w:r w:rsidR="00360A13">
        <w:rPr>
          <w:rFonts w:ascii="Times New Roman" w:hAnsi="Times New Roman" w:cs="Times New Roman"/>
          <w:sz w:val="24"/>
          <w:szCs w:val="24"/>
        </w:rPr>
        <w:t>,</w:t>
      </w:r>
      <w:r w:rsidR="0019140B">
        <w:rPr>
          <w:rFonts w:ascii="Times New Roman" w:hAnsi="Times New Roman" w:cs="Times New Roman"/>
          <w:sz w:val="24"/>
          <w:szCs w:val="24"/>
        </w:rPr>
        <w:t xml:space="preserve"> that were not identified through the open</w:t>
      </w:r>
      <w:r w:rsidR="008D7039">
        <w:rPr>
          <w:rFonts w:ascii="Times New Roman" w:hAnsi="Times New Roman" w:cs="Times New Roman"/>
          <w:sz w:val="24"/>
          <w:szCs w:val="24"/>
        </w:rPr>
        <w:t>-</w:t>
      </w:r>
      <w:r w:rsidR="0019140B">
        <w:rPr>
          <w:rFonts w:ascii="Times New Roman" w:hAnsi="Times New Roman" w:cs="Times New Roman"/>
          <w:sz w:val="24"/>
          <w:szCs w:val="24"/>
        </w:rPr>
        <w:t>source reviews</w:t>
      </w:r>
      <w:r>
        <w:rPr>
          <w:rFonts w:ascii="Times New Roman" w:hAnsi="Times New Roman" w:cs="Times New Roman"/>
          <w:sz w:val="24"/>
          <w:szCs w:val="24"/>
        </w:rPr>
        <w:t>; and</w:t>
      </w:r>
    </w:p>
    <w:p w14:paraId="6108E5B5" w14:textId="479B4247" w:rsidR="002867D7" w:rsidRPr="000428B6" w:rsidRDefault="00561998" w:rsidP="0019140B">
      <w:pPr>
        <w:numPr>
          <w:ilvl w:val="0"/>
          <w:numId w:val="14"/>
        </w:numPr>
        <w:spacing w:after="60" w:line="288" w:lineRule="auto"/>
        <w:ind w:left="1080"/>
        <w:rPr>
          <w:rFonts w:ascii="Times New Roman" w:hAnsi="Times New Roman" w:cs="Times New Roman"/>
          <w:sz w:val="24"/>
          <w:szCs w:val="24"/>
        </w:rPr>
      </w:pPr>
      <w:r>
        <w:rPr>
          <w:rFonts w:ascii="Times New Roman" w:hAnsi="Times New Roman" w:cs="Times New Roman"/>
          <w:sz w:val="24"/>
          <w:szCs w:val="24"/>
        </w:rPr>
        <w:t>p</w:t>
      </w:r>
      <w:r w:rsidR="002867D7" w:rsidRPr="000428B6">
        <w:rPr>
          <w:rFonts w:ascii="Times New Roman" w:hAnsi="Times New Roman" w:cs="Times New Roman"/>
          <w:sz w:val="24"/>
          <w:szCs w:val="24"/>
        </w:rPr>
        <w:t xml:space="preserve">rovide information about </w:t>
      </w:r>
      <w:r>
        <w:rPr>
          <w:rFonts w:ascii="Times New Roman" w:hAnsi="Times New Roman" w:cs="Times New Roman"/>
          <w:sz w:val="24"/>
          <w:szCs w:val="24"/>
        </w:rPr>
        <w:t>the decedent</w:t>
      </w:r>
      <w:r w:rsidR="00CC7A91">
        <w:rPr>
          <w:rFonts w:ascii="Times New Roman" w:hAnsi="Times New Roman" w:cs="Times New Roman"/>
          <w:sz w:val="24"/>
          <w:szCs w:val="24"/>
        </w:rPr>
        <w:t xml:space="preserve"> and </w:t>
      </w:r>
      <w:r w:rsidR="002867D7" w:rsidRPr="000428B6">
        <w:rPr>
          <w:rFonts w:ascii="Times New Roman" w:hAnsi="Times New Roman" w:cs="Times New Roman"/>
          <w:sz w:val="24"/>
          <w:szCs w:val="24"/>
        </w:rPr>
        <w:t>factors precipitating law enforcement involvement with decedent</w:t>
      </w:r>
      <w:r w:rsidR="00BC150D">
        <w:rPr>
          <w:rFonts w:ascii="Times New Roman" w:hAnsi="Times New Roman" w:cs="Times New Roman"/>
          <w:sz w:val="24"/>
          <w:szCs w:val="24"/>
        </w:rPr>
        <w:t xml:space="preserve"> for all identified arrest-related deaths</w:t>
      </w:r>
      <w:r w:rsidR="002867D7" w:rsidRPr="000428B6">
        <w:rPr>
          <w:rFonts w:ascii="Times New Roman" w:hAnsi="Times New Roman" w:cs="Times New Roman"/>
          <w:sz w:val="24"/>
          <w:szCs w:val="24"/>
        </w:rPr>
        <w:t>.</w:t>
      </w:r>
    </w:p>
    <w:p w14:paraId="2D6131F0" w14:textId="56D1D57B" w:rsidR="008D4D25" w:rsidRDefault="008D4D25" w:rsidP="00441F70">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There are </w:t>
      </w:r>
      <w:r w:rsidR="00CC7A91">
        <w:rPr>
          <w:rFonts w:ascii="Times New Roman" w:hAnsi="Times New Roman" w:cs="Times New Roman"/>
          <w:sz w:val="24"/>
          <w:szCs w:val="24"/>
        </w:rPr>
        <w:t>six</w:t>
      </w:r>
      <w:r>
        <w:rPr>
          <w:rFonts w:ascii="Times New Roman" w:hAnsi="Times New Roman" w:cs="Times New Roman"/>
          <w:sz w:val="24"/>
          <w:szCs w:val="24"/>
        </w:rPr>
        <w:t xml:space="preserve"> </w:t>
      </w:r>
      <w:r w:rsidR="009B5426">
        <w:rPr>
          <w:rFonts w:ascii="Times New Roman" w:hAnsi="Times New Roman" w:cs="Times New Roman"/>
          <w:sz w:val="24"/>
          <w:szCs w:val="24"/>
        </w:rPr>
        <w:t>data collection forms</w:t>
      </w:r>
      <w:r w:rsidR="00714EA2">
        <w:rPr>
          <w:rFonts w:ascii="Times New Roman" w:hAnsi="Times New Roman" w:cs="Times New Roman"/>
          <w:sz w:val="24"/>
          <w:szCs w:val="24"/>
        </w:rPr>
        <w:t xml:space="preserve">, administered primarily through an online, </w:t>
      </w:r>
      <w:r w:rsidR="00865050">
        <w:rPr>
          <w:rFonts w:ascii="Times New Roman" w:hAnsi="Times New Roman" w:cs="Times New Roman"/>
          <w:sz w:val="24"/>
          <w:szCs w:val="24"/>
        </w:rPr>
        <w:t>Web</w:t>
      </w:r>
      <w:r w:rsidR="00714EA2">
        <w:rPr>
          <w:rFonts w:ascii="Times New Roman" w:hAnsi="Times New Roman" w:cs="Times New Roman"/>
          <w:sz w:val="24"/>
          <w:szCs w:val="24"/>
        </w:rPr>
        <w:t>-based submission process</w:t>
      </w:r>
      <w:r w:rsidR="0050104E">
        <w:rPr>
          <w:rFonts w:ascii="Times New Roman" w:hAnsi="Times New Roman" w:cs="Times New Roman"/>
          <w:sz w:val="24"/>
          <w:szCs w:val="24"/>
        </w:rPr>
        <w:t xml:space="preserve">. These forms are differentiated by </w:t>
      </w:r>
      <w:r>
        <w:rPr>
          <w:rFonts w:ascii="Times New Roman" w:hAnsi="Times New Roman" w:cs="Times New Roman"/>
          <w:sz w:val="24"/>
          <w:szCs w:val="24"/>
        </w:rPr>
        <w:t>respondent type (</w:t>
      </w:r>
      <w:r w:rsidR="0050104E">
        <w:rPr>
          <w:rFonts w:ascii="Times New Roman" w:hAnsi="Times New Roman" w:cs="Times New Roman"/>
          <w:sz w:val="24"/>
          <w:szCs w:val="24"/>
        </w:rPr>
        <w:t xml:space="preserve">the CJ-11 series is for </w:t>
      </w:r>
      <w:r>
        <w:rPr>
          <w:rFonts w:ascii="Times New Roman" w:hAnsi="Times New Roman" w:cs="Times New Roman"/>
          <w:sz w:val="24"/>
          <w:szCs w:val="24"/>
        </w:rPr>
        <w:t xml:space="preserve">LEA </w:t>
      </w:r>
      <w:r w:rsidR="0050104E">
        <w:rPr>
          <w:rFonts w:ascii="Times New Roman" w:hAnsi="Times New Roman" w:cs="Times New Roman"/>
          <w:sz w:val="24"/>
          <w:szCs w:val="24"/>
        </w:rPr>
        <w:t xml:space="preserve">respondents and the CJ-12 series is for </w:t>
      </w:r>
      <w:r>
        <w:rPr>
          <w:rFonts w:ascii="Times New Roman" w:hAnsi="Times New Roman" w:cs="Times New Roman"/>
          <w:sz w:val="24"/>
          <w:szCs w:val="24"/>
        </w:rPr>
        <w:t>ME/C</w:t>
      </w:r>
      <w:r w:rsidR="0050104E">
        <w:rPr>
          <w:rFonts w:ascii="Times New Roman" w:hAnsi="Times New Roman" w:cs="Times New Roman"/>
          <w:sz w:val="24"/>
          <w:szCs w:val="24"/>
        </w:rPr>
        <w:t xml:space="preserve"> respondents</w:t>
      </w:r>
      <w:r>
        <w:rPr>
          <w:rFonts w:ascii="Times New Roman" w:hAnsi="Times New Roman" w:cs="Times New Roman"/>
          <w:sz w:val="24"/>
          <w:szCs w:val="24"/>
        </w:rPr>
        <w:t>), whether a potential arrest-related death was identified through 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and to collect information about the incidents surrounding identified arrest-related deaths. </w:t>
      </w:r>
      <w:r w:rsidR="009B5426">
        <w:rPr>
          <w:rFonts w:ascii="Times New Roman" w:hAnsi="Times New Roman" w:cs="Times New Roman"/>
          <w:sz w:val="24"/>
          <w:szCs w:val="24"/>
        </w:rPr>
        <w:t xml:space="preserve">The forms were designed with input from previous data collection forms implemented through the ARD Program </w:t>
      </w:r>
      <w:r w:rsidR="00BC150D">
        <w:rPr>
          <w:rFonts w:ascii="Times New Roman" w:hAnsi="Times New Roman" w:cs="Times New Roman"/>
          <w:sz w:val="24"/>
          <w:szCs w:val="24"/>
        </w:rPr>
        <w:t xml:space="preserve">from </w:t>
      </w:r>
      <w:r w:rsidR="009B5426">
        <w:rPr>
          <w:rFonts w:ascii="Times New Roman" w:hAnsi="Times New Roman" w:cs="Times New Roman"/>
          <w:sz w:val="24"/>
          <w:szCs w:val="24"/>
        </w:rPr>
        <w:t xml:space="preserve">2011 </w:t>
      </w:r>
      <w:r w:rsidR="00BC150D">
        <w:rPr>
          <w:rFonts w:ascii="Times New Roman" w:hAnsi="Times New Roman" w:cs="Times New Roman"/>
          <w:sz w:val="24"/>
          <w:szCs w:val="24"/>
        </w:rPr>
        <w:t>through</w:t>
      </w:r>
      <w:r w:rsidR="009B5426">
        <w:rPr>
          <w:rFonts w:ascii="Times New Roman" w:hAnsi="Times New Roman" w:cs="Times New Roman"/>
          <w:sz w:val="24"/>
          <w:szCs w:val="24"/>
        </w:rPr>
        <w:t xml:space="preserve"> 2013, priorities identified </w:t>
      </w:r>
      <w:r w:rsidR="00BC150D">
        <w:rPr>
          <w:rFonts w:ascii="Times New Roman" w:hAnsi="Times New Roman" w:cs="Times New Roman"/>
          <w:sz w:val="24"/>
          <w:szCs w:val="24"/>
        </w:rPr>
        <w:t xml:space="preserve">by </w:t>
      </w:r>
      <w:r w:rsidR="009B5426">
        <w:rPr>
          <w:rFonts w:ascii="Times New Roman" w:hAnsi="Times New Roman" w:cs="Times New Roman"/>
          <w:sz w:val="24"/>
          <w:szCs w:val="24"/>
        </w:rPr>
        <w:t>federal and local policymakers and stakeholders, and feasibility testing conducted with agencies having jurisdiction over potential arrest-related deaths that occurred</w:t>
      </w:r>
      <w:r w:rsidR="00BC150D">
        <w:rPr>
          <w:rFonts w:ascii="Times New Roman" w:hAnsi="Times New Roman" w:cs="Times New Roman"/>
          <w:sz w:val="24"/>
          <w:szCs w:val="24"/>
        </w:rPr>
        <w:t xml:space="preserve"> before </w:t>
      </w:r>
      <w:r w:rsidR="009B5426">
        <w:rPr>
          <w:rFonts w:ascii="Times New Roman" w:hAnsi="Times New Roman" w:cs="Times New Roman"/>
          <w:sz w:val="24"/>
          <w:szCs w:val="24"/>
        </w:rPr>
        <w:t xml:space="preserve">June 2015. </w:t>
      </w:r>
      <w:r>
        <w:rPr>
          <w:rFonts w:ascii="Times New Roman" w:hAnsi="Times New Roman" w:cs="Times New Roman"/>
          <w:sz w:val="24"/>
          <w:szCs w:val="24"/>
        </w:rPr>
        <w:t>The form titles were aligned with naming conventions from the previous ARD program and other BJS collections wherever appropriate. The ARD program pilot data collection forms include</w:t>
      </w:r>
      <w:r w:rsidR="00BC150D">
        <w:rPr>
          <w:rFonts w:ascii="Times New Roman" w:hAnsi="Times New Roman" w:cs="Times New Roman"/>
          <w:sz w:val="24"/>
          <w:szCs w:val="24"/>
        </w:rPr>
        <w:t xml:space="preserve"> the following</w:t>
      </w:r>
      <w:r>
        <w:rPr>
          <w:rFonts w:ascii="Times New Roman" w:hAnsi="Times New Roman" w:cs="Times New Roman"/>
          <w:sz w:val="24"/>
          <w:szCs w:val="24"/>
        </w:rPr>
        <w:t>:</w:t>
      </w:r>
    </w:p>
    <w:p w14:paraId="04C58E38" w14:textId="090EC4B1" w:rsidR="008D4D25" w:rsidRDefault="008D4D25" w:rsidP="00D53C57">
      <w:pPr>
        <w:pStyle w:val="ListParagraph"/>
        <w:numPr>
          <w:ilvl w:val="0"/>
          <w:numId w:val="20"/>
        </w:numPr>
        <w:spacing w:after="160" w:line="288" w:lineRule="auto"/>
        <w:contextualSpacing w:val="0"/>
        <w:rPr>
          <w:rFonts w:ascii="Times New Roman" w:hAnsi="Times New Roman" w:cs="Times New Roman"/>
          <w:sz w:val="24"/>
          <w:szCs w:val="24"/>
        </w:rPr>
      </w:pPr>
      <w:r w:rsidRPr="008D4D25">
        <w:rPr>
          <w:rFonts w:ascii="Times New Roman" w:hAnsi="Times New Roman" w:cs="Times New Roman"/>
          <w:b/>
          <w:sz w:val="24"/>
          <w:szCs w:val="24"/>
        </w:rPr>
        <w:t>Form CJ-11: Arrest-Related Deaths Quarterly Summary</w:t>
      </w:r>
      <w:r>
        <w:rPr>
          <w:rFonts w:ascii="Times New Roman" w:hAnsi="Times New Roman" w:cs="Times New Roman"/>
          <w:sz w:val="24"/>
          <w:szCs w:val="24"/>
        </w:rPr>
        <w:t xml:space="preserve"> to be distributed to all </w:t>
      </w:r>
      <w:r w:rsidRPr="00FA2F4E">
        <w:rPr>
          <w:rFonts w:ascii="Times New Roman" w:hAnsi="Times New Roman"/>
          <w:i/>
          <w:sz w:val="24"/>
        </w:rPr>
        <w:t>LEAs</w:t>
      </w:r>
      <w:r>
        <w:rPr>
          <w:rFonts w:ascii="Times New Roman" w:hAnsi="Times New Roman" w:cs="Times New Roman"/>
          <w:sz w:val="24"/>
          <w:szCs w:val="24"/>
        </w:rPr>
        <w:t xml:space="preserve"> with a potential arrest-related death identified through 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This summary form requests </w:t>
      </w:r>
      <w:r w:rsidR="00BC150D">
        <w:rPr>
          <w:rFonts w:ascii="Times New Roman" w:hAnsi="Times New Roman" w:cs="Times New Roman"/>
          <w:sz w:val="24"/>
          <w:szCs w:val="24"/>
        </w:rPr>
        <w:t xml:space="preserve">that </w:t>
      </w:r>
      <w:r>
        <w:rPr>
          <w:rFonts w:ascii="Times New Roman" w:hAnsi="Times New Roman" w:cs="Times New Roman"/>
          <w:sz w:val="24"/>
          <w:szCs w:val="24"/>
        </w:rPr>
        <w:t>LEA respondents confirm deaths identified through open</w:t>
      </w:r>
      <w:r w:rsidR="008D7039">
        <w:rPr>
          <w:rFonts w:ascii="Times New Roman" w:hAnsi="Times New Roman" w:cs="Times New Roman"/>
          <w:sz w:val="24"/>
          <w:szCs w:val="24"/>
        </w:rPr>
        <w:t>-</w:t>
      </w:r>
      <w:r>
        <w:rPr>
          <w:rFonts w:ascii="Times New Roman" w:hAnsi="Times New Roman" w:cs="Times New Roman"/>
          <w:sz w:val="24"/>
          <w:szCs w:val="24"/>
        </w:rPr>
        <w:t>source review, correct decedent name and date of death</w:t>
      </w:r>
      <w:r w:rsidR="00BC150D">
        <w:rPr>
          <w:rFonts w:ascii="Times New Roman" w:hAnsi="Times New Roman" w:cs="Times New Roman"/>
          <w:sz w:val="24"/>
          <w:szCs w:val="24"/>
        </w:rPr>
        <w:t xml:space="preserve"> as appropriate</w:t>
      </w:r>
      <w:r>
        <w:rPr>
          <w:rFonts w:ascii="Times New Roman" w:hAnsi="Times New Roman" w:cs="Times New Roman"/>
          <w:sz w:val="24"/>
          <w:szCs w:val="24"/>
        </w:rPr>
        <w:t>, and identify any other arrest-related deaths that were not found through open</w:t>
      </w:r>
      <w:r w:rsidR="008D7039">
        <w:rPr>
          <w:rFonts w:ascii="Times New Roman" w:hAnsi="Times New Roman" w:cs="Times New Roman"/>
          <w:sz w:val="24"/>
          <w:szCs w:val="24"/>
        </w:rPr>
        <w:t>-</w:t>
      </w:r>
      <w:r>
        <w:rPr>
          <w:rFonts w:ascii="Times New Roman" w:hAnsi="Times New Roman" w:cs="Times New Roman"/>
          <w:sz w:val="24"/>
          <w:szCs w:val="24"/>
        </w:rPr>
        <w:t>source review.</w:t>
      </w:r>
    </w:p>
    <w:p w14:paraId="29EDBF81" w14:textId="741A9358" w:rsidR="008D4D25" w:rsidRPr="008D4D25" w:rsidRDefault="008D4D25" w:rsidP="00D53C57">
      <w:pPr>
        <w:pStyle w:val="ListParagraph"/>
        <w:numPr>
          <w:ilvl w:val="0"/>
          <w:numId w:val="20"/>
        </w:numPr>
        <w:spacing w:after="160" w:line="288" w:lineRule="auto"/>
        <w:contextualSpacing w:val="0"/>
        <w:rPr>
          <w:rFonts w:ascii="Times New Roman" w:hAnsi="Times New Roman" w:cs="Times New Roman"/>
          <w:sz w:val="24"/>
          <w:szCs w:val="24"/>
        </w:rPr>
      </w:pPr>
      <w:r w:rsidRPr="008D4D25">
        <w:rPr>
          <w:rFonts w:ascii="Times New Roman" w:hAnsi="Times New Roman" w:cs="Times New Roman"/>
          <w:b/>
          <w:sz w:val="24"/>
          <w:szCs w:val="24"/>
        </w:rPr>
        <w:lastRenderedPageBreak/>
        <w:t>Form CJ-11</w:t>
      </w:r>
      <w:r>
        <w:rPr>
          <w:rFonts w:ascii="Times New Roman" w:hAnsi="Times New Roman" w:cs="Times New Roman"/>
          <w:b/>
          <w:sz w:val="24"/>
          <w:szCs w:val="24"/>
        </w:rPr>
        <w:t>s</w:t>
      </w:r>
      <w:r w:rsidRPr="008D4D25">
        <w:rPr>
          <w:rFonts w:ascii="Times New Roman" w:hAnsi="Times New Roman" w:cs="Times New Roman"/>
          <w:b/>
          <w:sz w:val="24"/>
          <w:szCs w:val="24"/>
        </w:rPr>
        <w:t>: Arrest-Related Deaths Quarterly Summary</w:t>
      </w:r>
      <w:r>
        <w:rPr>
          <w:rFonts w:ascii="Times New Roman" w:hAnsi="Times New Roman" w:cs="Times New Roman"/>
          <w:b/>
          <w:sz w:val="24"/>
          <w:szCs w:val="24"/>
        </w:rPr>
        <w:t xml:space="preserve"> (sample</w:t>
      </w:r>
      <w:r w:rsidR="00FA2F4E">
        <w:rPr>
          <w:rFonts w:ascii="Times New Roman" w:hAnsi="Times New Roman" w:cs="Times New Roman"/>
          <w:b/>
          <w:sz w:val="24"/>
          <w:szCs w:val="24"/>
        </w:rPr>
        <w:t>d agencies</w:t>
      </w:r>
      <w:r>
        <w:rPr>
          <w:rFonts w:ascii="Times New Roman" w:hAnsi="Times New Roman" w:cs="Times New Roman"/>
          <w:b/>
          <w:sz w:val="24"/>
          <w:szCs w:val="24"/>
        </w:rPr>
        <w:t>)</w:t>
      </w:r>
      <w:r>
        <w:rPr>
          <w:rFonts w:ascii="Times New Roman" w:hAnsi="Times New Roman" w:cs="Times New Roman"/>
          <w:sz w:val="24"/>
          <w:szCs w:val="24"/>
        </w:rPr>
        <w:t xml:space="preserve"> to be distributed to </w:t>
      </w:r>
      <w:r w:rsidR="00534769">
        <w:rPr>
          <w:rFonts w:ascii="Times New Roman" w:hAnsi="Times New Roman" w:cs="Times New Roman"/>
          <w:sz w:val="24"/>
          <w:szCs w:val="24"/>
        </w:rPr>
        <w:t xml:space="preserve">a sample of </w:t>
      </w:r>
      <w:r w:rsidRPr="00FA2F4E">
        <w:rPr>
          <w:rFonts w:ascii="Times New Roman" w:hAnsi="Times New Roman"/>
          <w:i/>
          <w:sz w:val="24"/>
        </w:rPr>
        <w:t xml:space="preserve">LEAs </w:t>
      </w:r>
      <w:r>
        <w:rPr>
          <w:rFonts w:ascii="Times New Roman" w:hAnsi="Times New Roman" w:cs="Times New Roman"/>
          <w:sz w:val="24"/>
          <w:szCs w:val="24"/>
        </w:rPr>
        <w:t>without a potential arrest-related death identified through 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This summary form requests </w:t>
      </w:r>
      <w:r w:rsidR="00BC150D">
        <w:rPr>
          <w:rFonts w:ascii="Times New Roman" w:hAnsi="Times New Roman" w:cs="Times New Roman"/>
          <w:sz w:val="24"/>
          <w:szCs w:val="24"/>
        </w:rPr>
        <w:t xml:space="preserve">that </w:t>
      </w:r>
      <w:r>
        <w:rPr>
          <w:rFonts w:ascii="Times New Roman" w:hAnsi="Times New Roman" w:cs="Times New Roman"/>
          <w:sz w:val="24"/>
          <w:szCs w:val="24"/>
        </w:rPr>
        <w:t xml:space="preserve">LEA respondents identify any arrest-related deaths occurring from June 1 through August 31, 2015 </w:t>
      </w:r>
      <w:r w:rsidR="0050104E">
        <w:rPr>
          <w:rFonts w:ascii="Times New Roman" w:hAnsi="Times New Roman" w:cs="Times New Roman"/>
          <w:sz w:val="24"/>
          <w:szCs w:val="24"/>
        </w:rPr>
        <w:t>that</w:t>
      </w:r>
      <w:r>
        <w:rPr>
          <w:rFonts w:ascii="Times New Roman" w:hAnsi="Times New Roman" w:cs="Times New Roman"/>
          <w:sz w:val="24"/>
          <w:szCs w:val="24"/>
        </w:rPr>
        <w:t xml:space="preserve"> were not found through open</w:t>
      </w:r>
      <w:r w:rsidR="008D7039">
        <w:rPr>
          <w:rFonts w:ascii="Times New Roman" w:hAnsi="Times New Roman" w:cs="Times New Roman"/>
          <w:sz w:val="24"/>
          <w:szCs w:val="24"/>
        </w:rPr>
        <w:t>-</w:t>
      </w:r>
      <w:r>
        <w:rPr>
          <w:rFonts w:ascii="Times New Roman" w:hAnsi="Times New Roman" w:cs="Times New Roman"/>
          <w:sz w:val="24"/>
          <w:szCs w:val="24"/>
        </w:rPr>
        <w:t>source review.</w:t>
      </w:r>
    </w:p>
    <w:p w14:paraId="20D88471" w14:textId="31984D85" w:rsidR="008D4D25" w:rsidRPr="008D4D25" w:rsidRDefault="008D4D25" w:rsidP="00D53C57">
      <w:pPr>
        <w:pStyle w:val="ListParagraph"/>
        <w:numPr>
          <w:ilvl w:val="0"/>
          <w:numId w:val="20"/>
        </w:numPr>
        <w:spacing w:after="160" w:line="288" w:lineRule="auto"/>
        <w:contextualSpacing w:val="0"/>
        <w:rPr>
          <w:rFonts w:ascii="Times New Roman" w:hAnsi="Times New Roman" w:cs="Times New Roman"/>
          <w:sz w:val="24"/>
          <w:szCs w:val="24"/>
        </w:rPr>
      </w:pPr>
      <w:r w:rsidRPr="008D4D25">
        <w:rPr>
          <w:rFonts w:ascii="Times New Roman" w:hAnsi="Times New Roman" w:cs="Times New Roman"/>
          <w:b/>
          <w:sz w:val="24"/>
          <w:szCs w:val="24"/>
        </w:rPr>
        <w:t>Form CJ-11</w:t>
      </w:r>
      <w:r>
        <w:rPr>
          <w:rFonts w:ascii="Times New Roman" w:hAnsi="Times New Roman" w:cs="Times New Roman"/>
          <w:b/>
          <w:sz w:val="24"/>
          <w:szCs w:val="24"/>
        </w:rPr>
        <w:t>A</w:t>
      </w:r>
      <w:r w:rsidRPr="008D4D25">
        <w:rPr>
          <w:rFonts w:ascii="Times New Roman" w:hAnsi="Times New Roman" w:cs="Times New Roman"/>
          <w:b/>
          <w:sz w:val="24"/>
          <w:szCs w:val="24"/>
        </w:rPr>
        <w:t xml:space="preserve">: Arrest-Related Death </w:t>
      </w:r>
      <w:r>
        <w:rPr>
          <w:rFonts w:ascii="Times New Roman" w:hAnsi="Times New Roman" w:cs="Times New Roman"/>
          <w:b/>
          <w:sz w:val="24"/>
          <w:szCs w:val="24"/>
        </w:rPr>
        <w:t>Incident Report</w:t>
      </w:r>
      <w:r>
        <w:rPr>
          <w:rFonts w:ascii="Times New Roman" w:hAnsi="Times New Roman" w:cs="Times New Roman"/>
          <w:sz w:val="24"/>
          <w:szCs w:val="24"/>
        </w:rPr>
        <w:t xml:space="preserve"> to be distributed to all </w:t>
      </w:r>
      <w:r w:rsidRPr="00FA2F4E">
        <w:rPr>
          <w:rFonts w:ascii="Times New Roman" w:hAnsi="Times New Roman"/>
          <w:i/>
          <w:sz w:val="24"/>
        </w:rPr>
        <w:t xml:space="preserve">LEAs </w:t>
      </w:r>
      <w:r>
        <w:rPr>
          <w:rFonts w:ascii="Times New Roman" w:hAnsi="Times New Roman" w:cs="Times New Roman"/>
          <w:sz w:val="24"/>
          <w:szCs w:val="24"/>
        </w:rPr>
        <w:t xml:space="preserve">with an arrest-related death from June 1 through August 31, 2015, identified either </w:t>
      </w:r>
      <w:r w:rsidR="00BC150D">
        <w:rPr>
          <w:rFonts w:ascii="Times New Roman" w:hAnsi="Times New Roman" w:cs="Times New Roman"/>
          <w:sz w:val="24"/>
          <w:szCs w:val="24"/>
        </w:rPr>
        <w:t xml:space="preserve">by </w:t>
      </w:r>
      <w:r>
        <w:rPr>
          <w:rFonts w:ascii="Times New Roman" w:hAnsi="Times New Roman" w:cs="Times New Roman"/>
          <w:sz w:val="24"/>
          <w:szCs w:val="24"/>
        </w:rPr>
        <w:t>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or </w:t>
      </w:r>
      <w:r w:rsidR="000B43E3">
        <w:rPr>
          <w:rFonts w:ascii="Times New Roman" w:hAnsi="Times New Roman" w:cs="Times New Roman"/>
          <w:sz w:val="24"/>
          <w:szCs w:val="24"/>
        </w:rPr>
        <w:t>by</w:t>
      </w:r>
      <w:r>
        <w:rPr>
          <w:rFonts w:ascii="Times New Roman" w:hAnsi="Times New Roman" w:cs="Times New Roman"/>
          <w:sz w:val="24"/>
          <w:szCs w:val="24"/>
        </w:rPr>
        <w:t xml:space="preserve"> the agency on the Form</w:t>
      </w:r>
      <w:r w:rsidR="00BC150D">
        <w:rPr>
          <w:rFonts w:ascii="Times New Roman" w:hAnsi="Times New Roman" w:cs="Times New Roman"/>
          <w:sz w:val="24"/>
          <w:szCs w:val="24"/>
        </w:rPr>
        <w:t xml:space="preserve"> CJ-11</w:t>
      </w:r>
      <w:r>
        <w:rPr>
          <w:rFonts w:ascii="Times New Roman" w:hAnsi="Times New Roman" w:cs="Times New Roman"/>
          <w:sz w:val="24"/>
          <w:szCs w:val="24"/>
        </w:rPr>
        <w:t xml:space="preserve">. This incident report form requests </w:t>
      </w:r>
      <w:r w:rsidR="00BC150D">
        <w:rPr>
          <w:rFonts w:ascii="Times New Roman" w:hAnsi="Times New Roman" w:cs="Times New Roman"/>
          <w:sz w:val="24"/>
          <w:szCs w:val="24"/>
        </w:rPr>
        <w:t xml:space="preserve">that </w:t>
      </w:r>
      <w:r>
        <w:rPr>
          <w:rFonts w:ascii="Times New Roman" w:hAnsi="Times New Roman" w:cs="Times New Roman"/>
          <w:sz w:val="24"/>
          <w:szCs w:val="24"/>
        </w:rPr>
        <w:t xml:space="preserve">LEA respondents provide characteristics </w:t>
      </w:r>
      <w:r w:rsidR="000738F9">
        <w:rPr>
          <w:rFonts w:ascii="Times New Roman" w:hAnsi="Times New Roman" w:cs="Times New Roman"/>
          <w:sz w:val="24"/>
          <w:szCs w:val="24"/>
        </w:rPr>
        <w:t xml:space="preserve">of </w:t>
      </w:r>
      <w:r>
        <w:rPr>
          <w:rFonts w:ascii="Times New Roman" w:hAnsi="Times New Roman" w:cs="Times New Roman"/>
          <w:sz w:val="24"/>
          <w:szCs w:val="24"/>
        </w:rPr>
        <w:t xml:space="preserve">the decedent and </w:t>
      </w:r>
      <w:r w:rsidR="000738F9">
        <w:rPr>
          <w:rFonts w:ascii="Times New Roman" w:hAnsi="Times New Roman" w:cs="Times New Roman"/>
          <w:sz w:val="24"/>
          <w:szCs w:val="24"/>
        </w:rPr>
        <w:t xml:space="preserve">the </w:t>
      </w:r>
      <w:r>
        <w:rPr>
          <w:rFonts w:ascii="Times New Roman" w:hAnsi="Times New Roman" w:cs="Times New Roman"/>
          <w:sz w:val="24"/>
          <w:szCs w:val="24"/>
        </w:rPr>
        <w:t>circumstances surrounding the death.</w:t>
      </w:r>
    </w:p>
    <w:p w14:paraId="2D5DAEF4" w14:textId="30C90D2C" w:rsidR="008D4D25" w:rsidRDefault="008D4D25" w:rsidP="00D53C57">
      <w:pPr>
        <w:pStyle w:val="ListParagraph"/>
        <w:numPr>
          <w:ilvl w:val="0"/>
          <w:numId w:val="20"/>
        </w:numPr>
        <w:spacing w:after="160" w:line="288" w:lineRule="auto"/>
        <w:contextualSpacing w:val="0"/>
        <w:rPr>
          <w:rFonts w:ascii="Times New Roman" w:hAnsi="Times New Roman" w:cs="Times New Roman"/>
          <w:sz w:val="24"/>
          <w:szCs w:val="24"/>
        </w:rPr>
      </w:pPr>
      <w:r w:rsidRPr="008D4D25">
        <w:rPr>
          <w:rFonts w:ascii="Times New Roman" w:hAnsi="Times New Roman" w:cs="Times New Roman"/>
          <w:b/>
          <w:sz w:val="24"/>
          <w:szCs w:val="24"/>
        </w:rPr>
        <w:t>Form CJ-1</w:t>
      </w:r>
      <w:r>
        <w:rPr>
          <w:rFonts w:ascii="Times New Roman" w:hAnsi="Times New Roman" w:cs="Times New Roman"/>
          <w:b/>
          <w:sz w:val="24"/>
          <w:szCs w:val="24"/>
        </w:rPr>
        <w:t>2</w:t>
      </w:r>
      <w:r w:rsidRPr="008D4D25">
        <w:rPr>
          <w:rFonts w:ascii="Times New Roman" w:hAnsi="Times New Roman" w:cs="Times New Roman"/>
          <w:b/>
          <w:sz w:val="24"/>
          <w:szCs w:val="24"/>
        </w:rPr>
        <w:t>: Arrest-Related Deaths Quarterly Summary</w:t>
      </w:r>
      <w:r>
        <w:rPr>
          <w:rFonts w:ascii="Times New Roman" w:hAnsi="Times New Roman" w:cs="Times New Roman"/>
          <w:sz w:val="24"/>
          <w:szCs w:val="24"/>
        </w:rPr>
        <w:t xml:space="preserve"> to be distributed to all </w:t>
      </w:r>
      <w:r w:rsidRPr="00FA2F4E">
        <w:rPr>
          <w:rFonts w:ascii="Times New Roman" w:hAnsi="Times New Roman"/>
          <w:i/>
          <w:sz w:val="24"/>
        </w:rPr>
        <w:t>ME/Cs</w:t>
      </w:r>
      <w:r>
        <w:rPr>
          <w:rFonts w:ascii="Times New Roman" w:hAnsi="Times New Roman" w:cs="Times New Roman"/>
          <w:sz w:val="24"/>
          <w:szCs w:val="24"/>
        </w:rPr>
        <w:t xml:space="preserve"> with jurisdiction concurrent </w:t>
      </w:r>
      <w:r w:rsidR="000738F9">
        <w:rPr>
          <w:rFonts w:ascii="Times New Roman" w:hAnsi="Times New Roman" w:cs="Times New Roman"/>
          <w:sz w:val="24"/>
          <w:szCs w:val="24"/>
        </w:rPr>
        <w:t xml:space="preserve">with that of </w:t>
      </w:r>
      <w:r>
        <w:rPr>
          <w:rFonts w:ascii="Times New Roman" w:hAnsi="Times New Roman" w:cs="Times New Roman"/>
          <w:sz w:val="24"/>
          <w:szCs w:val="24"/>
        </w:rPr>
        <w:t>the LEAs with a potential arrest-related death identified through o</w:t>
      </w:r>
      <w:r w:rsidR="00534769">
        <w:rPr>
          <w:rFonts w:ascii="Times New Roman" w:hAnsi="Times New Roman" w:cs="Times New Roman"/>
          <w:sz w:val="24"/>
          <w:szCs w:val="24"/>
        </w:rPr>
        <w:t>pen</w:t>
      </w:r>
      <w:r w:rsidR="008D7039">
        <w:rPr>
          <w:rFonts w:ascii="Times New Roman" w:hAnsi="Times New Roman" w:cs="Times New Roman"/>
          <w:sz w:val="24"/>
          <w:szCs w:val="24"/>
        </w:rPr>
        <w:t>-</w:t>
      </w:r>
      <w:r w:rsidR="00534769">
        <w:rPr>
          <w:rFonts w:ascii="Times New Roman" w:hAnsi="Times New Roman" w:cs="Times New Roman"/>
          <w:sz w:val="24"/>
          <w:szCs w:val="24"/>
        </w:rPr>
        <w:t>source review</w:t>
      </w:r>
      <w:r>
        <w:rPr>
          <w:rFonts w:ascii="Times New Roman" w:hAnsi="Times New Roman" w:cs="Times New Roman"/>
          <w:sz w:val="24"/>
          <w:szCs w:val="24"/>
        </w:rPr>
        <w:t xml:space="preserve">. This summary form requests </w:t>
      </w:r>
      <w:r w:rsidR="00BC150D">
        <w:rPr>
          <w:rFonts w:ascii="Times New Roman" w:hAnsi="Times New Roman" w:cs="Times New Roman"/>
          <w:sz w:val="24"/>
          <w:szCs w:val="24"/>
        </w:rPr>
        <w:t xml:space="preserve">that </w:t>
      </w:r>
      <w:r w:rsidR="00534769">
        <w:rPr>
          <w:rFonts w:ascii="Times New Roman" w:hAnsi="Times New Roman" w:cs="Times New Roman"/>
          <w:sz w:val="24"/>
          <w:szCs w:val="24"/>
        </w:rPr>
        <w:t>ME/C</w:t>
      </w:r>
      <w:r>
        <w:rPr>
          <w:rFonts w:ascii="Times New Roman" w:hAnsi="Times New Roman" w:cs="Times New Roman"/>
          <w:sz w:val="24"/>
          <w:szCs w:val="24"/>
        </w:rPr>
        <w:t xml:space="preserve"> respondents confirm deaths identified through open</w:t>
      </w:r>
      <w:r w:rsidR="008D7039">
        <w:rPr>
          <w:rFonts w:ascii="Times New Roman" w:hAnsi="Times New Roman" w:cs="Times New Roman"/>
          <w:sz w:val="24"/>
          <w:szCs w:val="24"/>
        </w:rPr>
        <w:t>-</w:t>
      </w:r>
      <w:r>
        <w:rPr>
          <w:rFonts w:ascii="Times New Roman" w:hAnsi="Times New Roman" w:cs="Times New Roman"/>
          <w:sz w:val="24"/>
          <w:szCs w:val="24"/>
        </w:rPr>
        <w:t>source review, correct decedent name and date of death</w:t>
      </w:r>
      <w:r w:rsidR="00BC150D" w:rsidRPr="00BC150D">
        <w:rPr>
          <w:rFonts w:ascii="Times New Roman" w:hAnsi="Times New Roman" w:cs="Times New Roman"/>
          <w:sz w:val="24"/>
          <w:szCs w:val="24"/>
        </w:rPr>
        <w:t xml:space="preserve"> </w:t>
      </w:r>
      <w:r w:rsidR="00BC150D">
        <w:rPr>
          <w:rFonts w:ascii="Times New Roman" w:hAnsi="Times New Roman" w:cs="Times New Roman"/>
          <w:sz w:val="24"/>
          <w:szCs w:val="24"/>
        </w:rPr>
        <w:t>as appropriate</w:t>
      </w:r>
      <w:r>
        <w:rPr>
          <w:rFonts w:ascii="Times New Roman" w:hAnsi="Times New Roman" w:cs="Times New Roman"/>
          <w:sz w:val="24"/>
          <w:szCs w:val="24"/>
        </w:rPr>
        <w:t>, and identify any other arrest-related deaths that were not found through open</w:t>
      </w:r>
      <w:r w:rsidR="008D7039">
        <w:rPr>
          <w:rFonts w:ascii="Times New Roman" w:hAnsi="Times New Roman" w:cs="Times New Roman"/>
          <w:sz w:val="24"/>
          <w:szCs w:val="24"/>
        </w:rPr>
        <w:t>-</w:t>
      </w:r>
      <w:r>
        <w:rPr>
          <w:rFonts w:ascii="Times New Roman" w:hAnsi="Times New Roman" w:cs="Times New Roman"/>
          <w:sz w:val="24"/>
          <w:szCs w:val="24"/>
        </w:rPr>
        <w:t>source review.</w:t>
      </w:r>
    </w:p>
    <w:p w14:paraId="7E0DA08D" w14:textId="4A6D4F38" w:rsidR="008D4D25" w:rsidRPr="008D4D25" w:rsidRDefault="008D4D25" w:rsidP="00D53C57">
      <w:pPr>
        <w:pStyle w:val="ListParagraph"/>
        <w:numPr>
          <w:ilvl w:val="0"/>
          <w:numId w:val="20"/>
        </w:numPr>
        <w:spacing w:after="160" w:line="288" w:lineRule="auto"/>
        <w:contextualSpacing w:val="0"/>
        <w:rPr>
          <w:rFonts w:ascii="Times New Roman" w:hAnsi="Times New Roman" w:cs="Times New Roman"/>
          <w:sz w:val="24"/>
          <w:szCs w:val="24"/>
        </w:rPr>
      </w:pPr>
      <w:r w:rsidRPr="008D4D25">
        <w:rPr>
          <w:rFonts w:ascii="Times New Roman" w:hAnsi="Times New Roman" w:cs="Times New Roman"/>
          <w:b/>
          <w:sz w:val="24"/>
          <w:szCs w:val="24"/>
        </w:rPr>
        <w:t>Form CJ-1</w:t>
      </w:r>
      <w:r w:rsidR="00534769">
        <w:rPr>
          <w:rFonts w:ascii="Times New Roman" w:hAnsi="Times New Roman" w:cs="Times New Roman"/>
          <w:b/>
          <w:sz w:val="24"/>
          <w:szCs w:val="24"/>
        </w:rPr>
        <w:t>2</w:t>
      </w:r>
      <w:r>
        <w:rPr>
          <w:rFonts w:ascii="Times New Roman" w:hAnsi="Times New Roman" w:cs="Times New Roman"/>
          <w:b/>
          <w:sz w:val="24"/>
          <w:szCs w:val="24"/>
        </w:rPr>
        <w:t>s</w:t>
      </w:r>
      <w:r w:rsidRPr="008D4D25">
        <w:rPr>
          <w:rFonts w:ascii="Times New Roman" w:hAnsi="Times New Roman" w:cs="Times New Roman"/>
          <w:b/>
          <w:sz w:val="24"/>
          <w:szCs w:val="24"/>
        </w:rPr>
        <w:t>: Arrest-Related Deaths Quarterly Summary</w:t>
      </w:r>
      <w:r>
        <w:rPr>
          <w:rFonts w:ascii="Times New Roman" w:hAnsi="Times New Roman" w:cs="Times New Roman"/>
          <w:b/>
          <w:sz w:val="24"/>
          <w:szCs w:val="24"/>
        </w:rPr>
        <w:t xml:space="preserve"> (sample</w:t>
      </w:r>
      <w:r w:rsidR="00FA2F4E">
        <w:rPr>
          <w:rFonts w:ascii="Times New Roman" w:hAnsi="Times New Roman" w:cs="Times New Roman"/>
          <w:b/>
          <w:sz w:val="24"/>
          <w:szCs w:val="24"/>
        </w:rPr>
        <w:t>d agencies</w:t>
      </w:r>
      <w:r>
        <w:rPr>
          <w:rFonts w:ascii="Times New Roman" w:hAnsi="Times New Roman" w:cs="Times New Roman"/>
          <w:b/>
          <w:sz w:val="24"/>
          <w:szCs w:val="24"/>
        </w:rPr>
        <w:t>)</w:t>
      </w:r>
      <w:r>
        <w:rPr>
          <w:rFonts w:ascii="Times New Roman" w:hAnsi="Times New Roman" w:cs="Times New Roman"/>
          <w:sz w:val="24"/>
          <w:szCs w:val="24"/>
        </w:rPr>
        <w:t xml:space="preserve"> to be distributed to </w:t>
      </w:r>
      <w:r w:rsidR="00534769" w:rsidRPr="00FA2F4E">
        <w:rPr>
          <w:rFonts w:ascii="Times New Roman" w:hAnsi="Times New Roman"/>
          <w:i/>
          <w:sz w:val="24"/>
        </w:rPr>
        <w:t xml:space="preserve">ME/Cs </w:t>
      </w:r>
      <w:r w:rsidR="00534769">
        <w:rPr>
          <w:rFonts w:ascii="Times New Roman" w:hAnsi="Times New Roman" w:cs="Times New Roman"/>
          <w:sz w:val="24"/>
          <w:szCs w:val="24"/>
        </w:rPr>
        <w:t xml:space="preserve">with jurisdiction concurrent </w:t>
      </w:r>
      <w:r w:rsidR="000738F9">
        <w:rPr>
          <w:rFonts w:ascii="Times New Roman" w:hAnsi="Times New Roman" w:cs="Times New Roman"/>
          <w:sz w:val="24"/>
          <w:szCs w:val="24"/>
        </w:rPr>
        <w:t xml:space="preserve">with that of </w:t>
      </w:r>
      <w:r w:rsidR="00534769">
        <w:rPr>
          <w:rFonts w:ascii="Times New Roman" w:hAnsi="Times New Roman" w:cs="Times New Roman"/>
          <w:sz w:val="24"/>
          <w:szCs w:val="24"/>
        </w:rPr>
        <w:t xml:space="preserve">the sampled LEAs without </w:t>
      </w:r>
      <w:r>
        <w:rPr>
          <w:rFonts w:ascii="Times New Roman" w:hAnsi="Times New Roman" w:cs="Times New Roman"/>
          <w:sz w:val="24"/>
          <w:szCs w:val="24"/>
        </w:rPr>
        <w:t>a potential arrest-related death identified through 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This summary form requests </w:t>
      </w:r>
      <w:r w:rsidR="000738F9">
        <w:rPr>
          <w:rFonts w:ascii="Times New Roman" w:hAnsi="Times New Roman" w:cs="Times New Roman"/>
          <w:sz w:val="24"/>
          <w:szCs w:val="24"/>
        </w:rPr>
        <w:t xml:space="preserve">that </w:t>
      </w:r>
      <w:r w:rsidR="00534769">
        <w:rPr>
          <w:rFonts w:ascii="Times New Roman" w:hAnsi="Times New Roman" w:cs="Times New Roman"/>
          <w:sz w:val="24"/>
          <w:szCs w:val="24"/>
        </w:rPr>
        <w:t>ME/C</w:t>
      </w:r>
      <w:r>
        <w:rPr>
          <w:rFonts w:ascii="Times New Roman" w:hAnsi="Times New Roman" w:cs="Times New Roman"/>
          <w:sz w:val="24"/>
          <w:szCs w:val="24"/>
        </w:rPr>
        <w:t xml:space="preserve"> respondents identify any arrest-related deaths occurring from June 1 through August 31, 2015 that were not found through open</w:t>
      </w:r>
      <w:r w:rsidR="008D7039">
        <w:rPr>
          <w:rFonts w:ascii="Times New Roman" w:hAnsi="Times New Roman" w:cs="Times New Roman"/>
          <w:sz w:val="24"/>
          <w:szCs w:val="24"/>
        </w:rPr>
        <w:t>-</w:t>
      </w:r>
      <w:r>
        <w:rPr>
          <w:rFonts w:ascii="Times New Roman" w:hAnsi="Times New Roman" w:cs="Times New Roman"/>
          <w:sz w:val="24"/>
          <w:szCs w:val="24"/>
        </w:rPr>
        <w:t>source review.</w:t>
      </w:r>
    </w:p>
    <w:p w14:paraId="6BD54039" w14:textId="707CB37D" w:rsidR="008D4D25" w:rsidRPr="008D4D25" w:rsidRDefault="008D4D25" w:rsidP="00D53C57">
      <w:pPr>
        <w:pStyle w:val="ListParagraph"/>
        <w:numPr>
          <w:ilvl w:val="0"/>
          <w:numId w:val="20"/>
        </w:numPr>
        <w:spacing w:after="160" w:line="288" w:lineRule="auto"/>
        <w:contextualSpacing w:val="0"/>
        <w:rPr>
          <w:rFonts w:ascii="Times New Roman" w:hAnsi="Times New Roman" w:cs="Times New Roman"/>
          <w:sz w:val="24"/>
          <w:szCs w:val="24"/>
        </w:rPr>
      </w:pPr>
      <w:r w:rsidRPr="008D4D25">
        <w:rPr>
          <w:rFonts w:ascii="Times New Roman" w:hAnsi="Times New Roman" w:cs="Times New Roman"/>
          <w:b/>
          <w:sz w:val="24"/>
          <w:szCs w:val="24"/>
        </w:rPr>
        <w:t>Form CJ-1</w:t>
      </w:r>
      <w:r w:rsidR="00534769">
        <w:rPr>
          <w:rFonts w:ascii="Times New Roman" w:hAnsi="Times New Roman" w:cs="Times New Roman"/>
          <w:b/>
          <w:sz w:val="24"/>
          <w:szCs w:val="24"/>
        </w:rPr>
        <w:t>2</w:t>
      </w:r>
      <w:r>
        <w:rPr>
          <w:rFonts w:ascii="Times New Roman" w:hAnsi="Times New Roman" w:cs="Times New Roman"/>
          <w:b/>
          <w:sz w:val="24"/>
          <w:szCs w:val="24"/>
        </w:rPr>
        <w:t>A</w:t>
      </w:r>
      <w:r w:rsidRPr="008D4D25">
        <w:rPr>
          <w:rFonts w:ascii="Times New Roman" w:hAnsi="Times New Roman" w:cs="Times New Roman"/>
          <w:b/>
          <w:sz w:val="24"/>
          <w:szCs w:val="24"/>
        </w:rPr>
        <w:t xml:space="preserve">: Arrest-Related Death </w:t>
      </w:r>
      <w:r>
        <w:rPr>
          <w:rFonts w:ascii="Times New Roman" w:hAnsi="Times New Roman" w:cs="Times New Roman"/>
          <w:b/>
          <w:sz w:val="24"/>
          <w:szCs w:val="24"/>
        </w:rPr>
        <w:t>Incident Report</w:t>
      </w:r>
      <w:r>
        <w:rPr>
          <w:rFonts w:ascii="Times New Roman" w:hAnsi="Times New Roman" w:cs="Times New Roman"/>
          <w:sz w:val="24"/>
          <w:szCs w:val="24"/>
        </w:rPr>
        <w:t xml:space="preserve"> to be distributed to all </w:t>
      </w:r>
      <w:r w:rsidR="00534769" w:rsidRPr="00FA2F4E">
        <w:rPr>
          <w:rFonts w:ascii="Times New Roman" w:hAnsi="Times New Roman"/>
          <w:i/>
          <w:sz w:val="24"/>
        </w:rPr>
        <w:t>ME/Cs</w:t>
      </w:r>
      <w:r>
        <w:rPr>
          <w:rFonts w:ascii="Times New Roman" w:hAnsi="Times New Roman" w:cs="Times New Roman"/>
          <w:sz w:val="24"/>
          <w:szCs w:val="24"/>
        </w:rPr>
        <w:t xml:space="preserve"> with an arrest-related death from June 1 through August 31, 2015, identified either </w:t>
      </w:r>
      <w:r w:rsidR="000738F9">
        <w:rPr>
          <w:rFonts w:ascii="Times New Roman" w:hAnsi="Times New Roman" w:cs="Times New Roman"/>
          <w:sz w:val="24"/>
          <w:szCs w:val="24"/>
        </w:rPr>
        <w:t xml:space="preserve">by </w:t>
      </w:r>
      <w:r>
        <w:rPr>
          <w:rFonts w:ascii="Times New Roman" w:hAnsi="Times New Roman" w:cs="Times New Roman"/>
          <w:sz w:val="24"/>
          <w:szCs w:val="24"/>
        </w:rPr>
        <w:t>open</w:t>
      </w:r>
      <w:r w:rsidR="008D7039">
        <w:rPr>
          <w:rFonts w:ascii="Times New Roman" w:hAnsi="Times New Roman" w:cs="Times New Roman"/>
          <w:sz w:val="24"/>
          <w:szCs w:val="24"/>
        </w:rPr>
        <w:t>-</w:t>
      </w:r>
      <w:r>
        <w:rPr>
          <w:rFonts w:ascii="Times New Roman" w:hAnsi="Times New Roman" w:cs="Times New Roman"/>
          <w:sz w:val="24"/>
          <w:szCs w:val="24"/>
        </w:rPr>
        <w:t>source review or by the agency on Form</w:t>
      </w:r>
      <w:r w:rsidR="000738F9">
        <w:rPr>
          <w:rFonts w:ascii="Times New Roman" w:hAnsi="Times New Roman" w:cs="Times New Roman"/>
          <w:sz w:val="24"/>
          <w:szCs w:val="24"/>
        </w:rPr>
        <w:t xml:space="preserve"> CJ-12</w:t>
      </w:r>
      <w:r>
        <w:rPr>
          <w:rFonts w:ascii="Times New Roman" w:hAnsi="Times New Roman" w:cs="Times New Roman"/>
          <w:sz w:val="24"/>
          <w:szCs w:val="24"/>
        </w:rPr>
        <w:t xml:space="preserve">. This incident report form requests </w:t>
      </w:r>
      <w:r w:rsidR="000738F9">
        <w:rPr>
          <w:rFonts w:ascii="Times New Roman" w:hAnsi="Times New Roman" w:cs="Times New Roman"/>
          <w:sz w:val="24"/>
          <w:szCs w:val="24"/>
        </w:rPr>
        <w:t xml:space="preserve">that </w:t>
      </w:r>
      <w:r w:rsidR="00534769">
        <w:rPr>
          <w:rFonts w:ascii="Times New Roman" w:hAnsi="Times New Roman" w:cs="Times New Roman"/>
          <w:sz w:val="24"/>
          <w:szCs w:val="24"/>
        </w:rPr>
        <w:t>ME/C</w:t>
      </w:r>
      <w:r>
        <w:rPr>
          <w:rFonts w:ascii="Times New Roman" w:hAnsi="Times New Roman" w:cs="Times New Roman"/>
          <w:sz w:val="24"/>
          <w:szCs w:val="24"/>
        </w:rPr>
        <w:t xml:space="preserve"> respondents provide characteristics </w:t>
      </w:r>
      <w:r w:rsidR="000738F9">
        <w:rPr>
          <w:rFonts w:ascii="Times New Roman" w:hAnsi="Times New Roman" w:cs="Times New Roman"/>
          <w:sz w:val="24"/>
          <w:szCs w:val="24"/>
        </w:rPr>
        <w:t xml:space="preserve">of </w:t>
      </w:r>
      <w:r>
        <w:rPr>
          <w:rFonts w:ascii="Times New Roman" w:hAnsi="Times New Roman" w:cs="Times New Roman"/>
          <w:sz w:val="24"/>
          <w:szCs w:val="24"/>
        </w:rPr>
        <w:t xml:space="preserve">the decedent and </w:t>
      </w:r>
      <w:r w:rsidR="000738F9">
        <w:rPr>
          <w:rFonts w:ascii="Times New Roman" w:hAnsi="Times New Roman" w:cs="Times New Roman"/>
          <w:sz w:val="24"/>
          <w:szCs w:val="24"/>
        </w:rPr>
        <w:t xml:space="preserve">the </w:t>
      </w:r>
      <w:r w:rsidR="00534769">
        <w:rPr>
          <w:rFonts w:ascii="Times New Roman" w:hAnsi="Times New Roman" w:cs="Times New Roman"/>
          <w:sz w:val="24"/>
          <w:szCs w:val="24"/>
        </w:rPr>
        <w:t>cause and manner of</w:t>
      </w:r>
      <w:r>
        <w:rPr>
          <w:rFonts w:ascii="Times New Roman" w:hAnsi="Times New Roman" w:cs="Times New Roman"/>
          <w:sz w:val="24"/>
          <w:szCs w:val="24"/>
        </w:rPr>
        <w:t xml:space="preserve"> death.</w:t>
      </w:r>
    </w:p>
    <w:p w14:paraId="6F0DC669" w14:textId="032FA241" w:rsidR="00AE0588" w:rsidRDefault="002867D7" w:rsidP="00441F70">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1E662F">
        <w:rPr>
          <w:rFonts w:ascii="Times New Roman" w:hAnsi="Times New Roman" w:cs="Times New Roman"/>
          <w:sz w:val="24"/>
          <w:szCs w:val="24"/>
        </w:rPr>
        <w:t xml:space="preserve">In </w:t>
      </w:r>
      <w:r w:rsidR="00C55A5F">
        <w:rPr>
          <w:rFonts w:ascii="Times New Roman" w:hAnsi="Times New Roman" w:cs="Times New Roman"/>
          <w:sz w:val="24"/>
          <w:szCs w:val="24"/>
        </w:rPr>
        <w:t>July</w:t>
      </w:r>
      <w:r w:rsidR="001E662F">
        <w:rPr>
          <w:rFonts w:ascii="Times New Roman" w:hAnsi="Times New Roman" w:cs="Times New Roman"/>
          <w:sz w:val="24"/>
          <w:szCs w:val="24"/>
        </w:rPr>
        <w:t xml:space="preserve"> 2015, </w:t>
      </w:r>
      <w:r w:rsidR="00AE0588" w:rsidRPr="00AE0588">
        <w:rPr>
          <w:rFonts w:ascii="Times New Roman" w:hAnsi="Times New Roman" w:cs="Times New Roman"/>
          <w:sz w:val="24"/>
          <w:szCs w:val="24"/>
        </w:rPr>
        <w:t xml:space="preserve">BJS conducted </w:t>
      </w:r>
      <w:r w:rsidR="00AE0588">
        <w:rPr>
          <w:rFonts w:ascii="Times New Roman" w:hAnsi="Times New Roman" w:cs="Times New Roman"/>
          <w:sz w:val="24"/>
          <w:szCs w:val="24"/>
        </w:rPr>
        <w:t xml:space="preserve">the </w:t>
      </w:r>
      <w:r w:rsidR="00AE0588" w:rsidRPr="00AE0588">
        <w:rPr>
          <w:rFonts w:ascii="Times New Roman" w:hAnsi="Times New Roman" w:cs="Times New Roman"/>
          <w:sz w:val="24"/>
          <w:szCs w:val="24"/>
        </w:rPr>
        <w:t xml:space="preserve">feasibility </w:t>
      </w:r>
      <w:r w:rsidR="00D53C57">
        <w:rPr>
          <w:rFonts w:ascii="Times New Roman" w:hAnsi="Times New Roman" w:cs="Times New Roman"/>
          <w:sz w:val="24"/>
          <w:szCs w:val="24"/>
        </w:rPr>
        <w:t xml:space="preserve">test </w:t>
      </w:r>
      <w:r w:rsidR="00AE0588" w:rsidRPr="00AE0588">
        <w:rPr>
          <w:rFonts w:ascii="Times New Roman" w:hAnsi="Times New Roman" w:cs="Times New Roman"/>
          <w:sz w:val="24"/>
          <w:szCs w:val="24"/>
        </w:rPr>
        <w:t xml:space="preserve">of the ARD </w:t>
      </w:r>
      <w:r w:rsidR="00AE0588">
        <w:rPr>
          <w:rFonts w:ascii="Times New Roman" w:hAnsi="Times New Roman" w:cs="Times New Roman"/>
          <w:sz w:val="24"/>
          <w:szCs w:val="24"/>
        </w:rPr>
        <w:t xml:space="preserve">pilot </w:t>
      </w:r>
      <w:r w:rsidR="001E662F">
        <w:rPr>
          <w:rFonts w:ascii="Times New Roman" w:hAnsi="Times New Roman" w:cs="Times New Roman"/>
          <w:sz w:val="24"/>
          <w:szCs w:val="24"/>
        </w:rPr>
        <w:t>data collection forms</w:t>
      </w:r>
      <w:r w:rsidR="00AE0588" w:rsidRPr="00AE0588">
        <w:rPr>
          <w:rFonts w:ascii="Times New Roman" w:hAnsi="Times New Roman" w:cs="Times New Roman"/>
          <w:sz w:val="24"/>
          <w:szCs w:val="24"/>
        </w:rPr>
        <w:t xml:space="preserve"> for state and local </w:t>
      </w:r>
      <w:r w:rsidR="00844E60">
        <w:rPr>
          <w:rFonts w:ascii="Times New Roman" w:hAnsi="Times New Roman" w:cs="Times New Roman"/>
          <w:sz w:val="24"/>
          <w:szCs w:val="24"/>
        </w:rPr>
        <w:t>LEA</w:t>
      </w:r>
      <w:r w:rsidR="00AE0588" w:rsidRPr="00AE0588">
        <w:rPr>
          <w:rFonts w:ascii="Times New Roman" w:hAnsi="Times New Roman" w:cs="Times New Roman"/>
          <w:sz w:val="24"/>
          <w:szCs w:val="24"/>
        </w:rPr>
        <w:t xml:space="preserve">s and for </w:t>
      </w:r>
      <w:r w:rsidR="00BC150D" w:rsidRPr="00BC150D">
        <w:rPr>
          <w:rFonts w:ascii="Times New Roman" w:hAnsi="Times New Roman" w:cs="Times New Roman"/>
          <w:sz w:val="24"/>
          <w:szCs w:val="24"/>
        </w:rPr>
        <w:t>ME/C</w:t>
      </w:r>
      <w:r w:rsidR="00AE0588" w:rsidRPr="00AE0588">
        <w:rPr>
          <w:rFonts w:ascii="Times New Roman" w:hAnsi="Times New Roman" w:cs="Times New Roman"/>
          <w:sz w:val="24"/>
          <w:szCs w:val="24"/>
        </w:rPr>
        <w:t xml:space="preserve"> offices. Participating </w:t>
      </w:r>
      <w:r w:rsidR="00844E60">
        <w:rPr>
          <w:rFonts w:ascii="Times New Roman" w:hAnsi="Times New Roman" w:cs="Times New Roman"/>
          <w:sz w:val="24"/>
          <w:szCs w:val="24"/>
        </w:rPr>
        <w:t>LEA</w:t>
      </w:r>
      <w:r w:rsidR="00AE0588" w:rsidRPr="00AE0588">
        <w:rPr>
          <w:rFonts w:ascii="Times New Roman" w:hAnsi="Times New Roman" w:cs="Times New Roman"/>
          <w:sz w:val="24"/>
          <w:szCs w:val="24"/>
        </w:rPr>
        <w:t xml:space="preserve">s </w:t>
      </w:r>
      <w:r w:rsidR="00AE0588">
        <w:rPr>
          <w:rFonts w:ascii="Times New Roman" w:hAnsi="Times New Roman" w:cs="Times New Roman"/>
          <w:sz w:val="24"/>
          <w:szCs w:val="24"/>
        </w:rPr>
        <w:t>included local police departments (</w:t>
      </w:r>
      <w:r w:rsidR="00AE0588" w:rsidRPr="00AE0588">
        <w:rPr>
          <w:rFonts w:ascii="Times New Roman" w:hAnsi="Times New Roman" w:cs="Times New Roman"/>
          <w:sz w:val="24"/>
          <w:szCs w:val="24"/>
        </w:rPr>
        <w:t>Durham</w:t>
      </w:r>
      <w:r w:rsidR="000738F9">
        <w:rPr>
          <w:rFonts w:ascii="Times New Roman" w:hAnsi="Times New Roman" w:cs="Times New Roman"/>
          <w:sz w:val="24"/>
          <w:szCs w:val="24"/>
        </w:rPr>
        <w:t xml:space="preserve">, </w:t>
      </w:r>
      <w:r w:rsidR="00D53C57">
        <w:rPr>
          <w:rFonts w:ascii="Times New Roman" w:hAnsi="Times New Roman" w:cs="Times New Roman"/>
          <w:sz w:val="24"/>
          <w:szCs w:val="24"/>
        </w:rPr>
        <w:t>NC</w:t>
      </w:r>
      <w:r w:rsidR="000738F9">
        <w:rPr>
          <w:rFonts w:ascii="Times New Roman" w:hAnsi="Times New Roman" w:cs="Times New Roman"/>
          <w:sz w:val="24"/>
          <w:szCs w:val="24"/>
        </w:rPr>
        <w:t>,</w:t>
      </w:r>
      <w:r w:rsidR="00D53C57">
        <w:rPr>
          <w:rFonts w:ascii="Times New Roman" w:hAnsi="Times New Roman" w:cs="Times New Roman"/>
          <w:sz w:val="24"/>
          <w:szCs w:val="24"/>
        </w:rPr>
        <w:t xml:space="preserve"> </w:t>
      </w:r>
      <w:r w:rsidR="00AE0588" w:rsidRPr="00AE0588">
        <w:rPr>
          <w:rFonts w:ascii="Times New Roman" w:hAnsi="Times New Roman" w:cs="Times New Roman"/>
          <w:sz w:val="24"/>
          <w:szCs w:val="24"/>
        </w:rPr>
        <w:t xml:space="preserve">and </w:t>
      </w:r>
      <w:r w:rsidR="00AE0588">
        <w:rPr>
          <w:rFonts w:ascii="Times New Roman" w:hAnsi="Times New Roman" w:cs="Times New Roman"/>
          <w:sz w:val="24"/>
          <w:szCs w:val="24"/>
        </w:rPr>
        <w:t>Sacramento</w:t>
      </w:r>
      <w:r w:rsidR="000738F9">
        <w:rPr>
          <w:rFonts w:ascii="Times New Roman" w:hAnsi="Times New Roman" w:cs="Times New Roman"/>
          <w:sz w:val="24"/>
          <w:szCs w:val="24"/>
        </w:rPr>
        <w:t xml:space="preserve">, </w:t>
      </w:r>
      <w:r w:rsidR="00D53C57">
        <w:rPr>
          <w:rFonts w:ascii="Times New Roman" w:hAnsi="Times New Roman" w:cs="Times New Roman"/>
          <w:sz w:val="24"/>
          <w:szCs w:val="24"/>
        </w:rPr>
        <w:t>CA</w:t>
      </w:r>
      <w:r w:rsidR="001A2D5F">
        <w:rPr>
          <w:rFonts w:ascii="Times New Roman" w:hAnsi="Times New Roman" w:cs="Times New Roman"/>
          <w:sz w:val="24"/>
          <w:szCs w:val="24"/>
        </w:rPr>
        <w:t>)</w:t>
      </w:r>
      <w:r w:rsidR="00AE0588">
        <w:rPr>
          <w:rFonts w:ascii="Times New Roman" w:hAnsi="Times New Roman" w:cs="Times New Roman"/>
          <w:sz w:val="24"/>
          <w:szCs w:val="24"/>
        </w:rPr>
        <w:t xml:space="preserve"> </w:t>
      </w:r>
      <w:r w:rsidR="00D53C57">
        <w:rPr>
          <w:rFonts w:ascii="Times New Roman" w:hAnsi="Times New Roman" w:cs="Times New Roman"/>
          <w:sz w:val="24"/>
          <w:szCs w:val="24"/>
        </w:rPr>
        <w:t xml:space="preserve">and </w:t>
      </w:r>
      <w:r w:rsidR="00AE0588">
        <w:rPr>
          <w:rFonts w:ascii="Times New Roman" w:hAnsi="Times New Roman" w:cs="Times New Roman"/>
          <w:sz w:val="24"/>
          <w:szCs w:val="24"/>
        </w:rPr>
        <w:t xml:space="preserve">state coordinators responsible for collecting information </w:t>
      </w:r>
      <w:r w:rsidR="00D53C57">
        <w:rPr>
          <w:rFonts w:ascii="Times New Roman" w:hAnsi="Times New Roman" w:cs="Times New Roman"/>
          <w:sz w:val="24"/>
          <w:szCs w:val="24"/>
        </w:rPr>
        <w:t xml:space="preserve">from LEAs and ME/Cs </w:t>
      </w:r>
      <w:r w:rsidR="00AE0588">
        <w:rPr>
          <w:rFonts w:ascii="Times New Roman" w:hAnsi="Times New Roman" w:cs="Times New Roman"/>
          <w:sz w:val="24"/>
          <w:szCs w:val="24"/>
        </w:rPr>
        <w:t>in mandated reporting states (</w:t>
      </w:r>
      <w:r w:rsidR="00AE0588" w:rsidRPr="00AE0588">
        <w:rPr>
          <w:rFonts w:ascii="Times New Roman" w:hAnsi="Times New Roman" w:cs="Times New Roman"/>
          <w:sz w:val="24"/>
          <w:szCs w:val="24"/>
        </w:rPr>
        <w:t>Texas</w:t>
      </w:r>
      <w:r w:rsidR="00AE0588">
        <w:rPr>
          <w:rFonts w:ascii="Times New Roman" w:hAnsi="Times New Roman" w:cs="Times New Roman"/>
          <w:sz w:val="24"/>
          <w:szCs w:val="24"/>
        </w:rPr>
        <w:t xml:space="preserve"> and Maryland). </w:t>
      </w:r>
    </w:p>
    <w:p w14:paraId="7E81A626" w14:textId="063D81D6" w:rsidR="00AE0588" w:rsidRPr="00AE0588" w:rsidRDefault="00AE0588" w:rsidP="00441F70">
      <w:pPr>
        <w:spacing w:after="160" w:line="288" w:lineRule="auto"/>
        <w:rPr>
          <w:rFonts w:ascii="Times New Roman" w:hAnsi="Times New Roman" w:cs="Times New Roman"/>
          <w:sz w:val="24"/>
          <w:szCs w:val="24"/>
        </w:rPr>
      </w:pPr>
      <w:r w:rsidRPr="00AE0588">
        <w:rPr>
          <w:rFonts w:ascii="Times New Roman" w:hAnsi="Times New Roman" w:cs="Times New Roman"/>
          <w:sz w:val="24"/>
          <w:szCs w:val="24"/>
        </w:rPr>
        <w:t>Using actual arrest</w:t>
      </w:r>
      <w:r w:rsidR="00BE3703">
        <w:rPr>
          <w:rFonts w:ascii="Times New Roman" w:hAnsi="Times New Roman" w:cs="Times New Roman"/>
          <w:sz w:val="24"/>
          <w:szCs w:val="24"/>
        </w:rPr>
        <w:t>-</w:t>
      </w:r>
      <w:r w:rsidRPr="00AE0588">
        <w:rPr>
          <w:rFonts w:ascii="Times New Roman" w:hAnsi="Times New Roman" w:cs="Times New Roman"/>
          <w:sz w:val="24"/>
          <w:szCs w:val="24"/>
        </w:rPr>
        <w:t xml:space="preserve">related death incidents, each of these </w:t>
      </w:r>
      <w:r w:rsidR="00C55A5F">
        <w:rPr>
          <w:rFonts w:ascii="Times New Roman" w:hAnsi="Times New Roman" w:cs="Times New Roman"/>
          <w:sz w:val="24"/>
          <w:szCs w:val="24"/>
        </w:rPr>
        <w:t>respondents</w:t>
      </w:r>
      <w:r w:rsidRPr="00AE0588">
        <w:rPr>
          <w:rFonts w:ascii="Times New Roman" w:hAnsi="Times New Roman" w:cs="Times New Roman"/>
          <w:sz w:val="24"/>
          <w:szCs w:val="24"/>
        </w:rPr>
        <w:t xml:space="preserve"> </w:t>
      </w:r>
      <w:r w:rsidR="000738F9">
        <w:rPr>
          <w:rFonts w:ascii="Times New Roman" w:hAnsi="Times New Roman" w:cs="Times New Roman"/>
          <w:sz w:val="24"/>
          <w:szCs w:val="24"/>
        </w:rPr>
        <w:t>was</w:t>
      </w:r>
      <w:r w:rsidR="000738F9" w:rsidRPr="00AE0588">
        <w:rPr>
          <w:rFonts w:ascii="Times New Roman" w:hAnsi="Times New Roman" w:cs="Times New Roman"/>
          <w:sz w:val="24"/>
          <w:szCs w:val="24"/>
        </w:rPr>
        <w:t xml:space="preserve"> </w:t>
      </w:r>
      <w:r w:rsidRPr="00AE0588">
        <w:rPr>
          <w:rFonts w:ascii="Times New Roman" w:hAnsi="Times New Roman" w:cs="Times New Roman"/>
          <w:sz w:val="24"/>
          <w:szCs w:val="24"/>
        </w:rPr>
        <w:t>asked to complete the survey instrument to help with the development of BJS’s approach to collecting nationwide data about arrest-related deaths. The instrument was sent to respondents with instructions to complete the survey just as they would if they received the survey as part of the regular sample of agencies</w:t>
      </w:r>
      <w:r>
        <w:rPr>
          <w:rFonts w:ascii="Times New Roman" w:hAnsi="Times New Roman" w:cs="Times New Roman"/>
          <w:sz w:val="24"/>
          <w:szCs w:val="24"/>
        </w:rPr>
        <w:t xml:space="preserve">. </w:t>
      </w:r>
      <w:r w:rsidRPr="00AE0588">
        <w:rPr>
          <w:rFonts w:ascii="Times New Roman" w:hAnsi="Times New Roman" w:cs="Times New Roman"/>
          <w:sz w:val="24"/>
          <w:szCs w:val="24"/>
        </w:rPr>
        <w:t xml:space="preserve">Testers were asked to note any aspects of the instrument that were unclear, any </w:t>
      </w:r>
      <w:r w:rsidRPr="00AE0588">
        <w:rPr>
          <w:rFonts w:ascii="Times New Roman" w:hAnsi="Times New Roman" w:cs="Times New Roman"/>
          <w:sz w:val="24"/>
          <w:szCs w:val="24"/>
        </w:rPr>
        <w:lastRenderedPageBreak/>
        <w:t xml:space="preserve">questions or topics that were omitted, or any answer choices or response categories that were missing and to </w:t>
      </w:r>
      <w:r w:rsidR="00C55A5F">
        <w:rPr>
          <w:rFonts w:ascii="Times New Roman" w:hAnsi="Times New Roman" w:cs="Times New Roman"/>
          <w:sz w:val="24"/>
          <w:szCs w:val="24"/>
        </w:rPr>
        <w:t>provide any other feedback or comments via e</w:t>
      </w:r>
      <w:r w:rsidR="00865050">
        <w:rPr>
          <w:rFonts w:ascii="Times New Roman" w:hAnsi="Times New Roman" w:cs="Times New Roman"/>
          <w:sz w:val="24"/>
          <w:szCs w:val="24"/>
        </w:rPr>
        <w:t>-</w:t>
      </w:r>
      <w:r w:rsidR="00C55A5F">
        <w:rPr>
          <w:rFonts w:ascii="Times New Roman" w:hAnsi="Times New Roman" w:cs="Times New Roman"/>
          <w:sz w:val="24"/>
          <w:szCs w:val="24"/>
        </w:rPr>
        <w:t>mail.</w:t>
      </w:r>
      <w:r w:rsidRPr="00AE0588">
        <w:rPr>
          <w:rFonts w:ascii="Times New Roman" w:hAnsi="Times New Roman" w:cs="Times New Roman"/>
          <w:sz w:val="24"/>
          <w:szCs w:val="24"/>
        </w:rPr>
        <w:t xml:space="preserve"> All of the responding agencies were able to complete the survey instrument fairly easily and were able to provide </w:t>
      </w:r>
      <w:r>
        <w:rPr>
          <w:rFonts w:ascii="Times New Roman" w:hAnsi="Times New Roman" w:cs="Times New Roman"/>
          <w:sz w:val="24"/>
          <w:szCs w:val="24"/>
        </w:rPr>
        <w:t>BJS</w:t>
      </w:r>
      <w:r w:rsidRPr="00AE0588">
        <w:rPr>
          <w:rFonts w:ascii="Times New Roman" w:hAnsi="Times New Roman" w:cs="Times New Roman"/>
          <w:sz w:val="24"/>
          <w:szCs w:val="24"/>
        </w:rPr>
        <w:t xml:space="preserve"> with valuable feedback on the questions asked and </w:t>
      </w:r>
      <w:r w:rsidR="000738F9" w:rsidRPr="00AE0588">
        <w:rPr>
          <w:rFonts w:ascii="Times New Roman" w:hAnsi="Times New Roman" w:cs="Times New Roman"/>
          <w:sz w:val="24"/>
          <w:szCs w:val="24"/>
        </w:rPr>
        <w:t>agencies</w:t>
      </w:r>
      <w:r w:rsidR="000738F9">
        <w:rPr>
          <w:rFonts w:ascii="Times New Roman" w:hAnsi="Times New Roman" w:cs="Times New Roman"/>
          <w:sz w:val="24"/>
          <w:szCs w:val="24"/>
        </w:rPr>
        <w:t>’</w:t>
      </w:r>
      <w:r w:rsidR="000738F9" w:rsidRPr="00AE0588">
        <w:rPr>
          <w:rFonts w:ascii="Times New Roman" w:hAnsi="Times New Roman" w:cs="Times New Roman"/>
          <w:sz w:val="24"/>
          <w:szCs w:val="24"/>
        </w:rPr>
        <w:t xml:space="preserve"> </w:t>
      </w:r>
      <w:r w:rsidRPr="00AE0588">
        <w:rPr>
          <w:rFonts w:ascii="Times New Roman" w:hAnsi="Times New Roman" w:cs="Times New Roman"/>
          <w:sz w:val="24"/>
          <w:szCs w:val="24"/>
        </w:rPr>
        <w:t>ability to answer them</w:t>
      </w:r>
      <w:r>
        <w:rPr>
          <w:rFonts w:ascii="Times New Roman" w:hAnsi="Times New Roman" w:cs="Times New Roman"/>
          <w:sz w:val="24"/>
          <w:szCs w:val="24"/>
        </w:rPr>
        <w:t>.</w:t>
      </w:r>
    </w:p>
    <w:p w14:paraId="4ECFF152" w14:textId="27656884" w:rsidR="00AE0588" w:rsidRPr="00AE0588" w:rsidRDefault="00AE0588" w:rsidP="00D93858">
      <w:pPr>
        <w:spacing w:after="160" w:line="288" w:lineRule="auto"/>
        <w:rPr>
          <w:rFonts w:ascii="Times New Roman" w:hAnsi="Times New Roman" w:cs="Times New Roman"/>
          <w:sz w:val="24"/>
          <w:szCs w:val="24"/>
        </w:rPr>
      </w:pPr>
      <w:r w:rsidRPr="00AE0588">
        <w:rPr>
          <w:rFonts w:ascii="Times New Roman" w:hAnsi="Times New Roman" w:cs="Times New Roman"/>
          <w:sz w:val="24"/>
          <w:szCs w:val="24"/>
        </w:rPr>
        <w:t xml:space="preserve">As a result of the </w:t>
      </w:r>
      <w:r>
        <w:rPr>
          <w:rFonts w:ascii="Times New Roman" w:hAnsi="Times New Roman" w:cs="Times New Roman"/>
          <w:sz w:val="24"/>
          <w:szCs w:val="24"/>
        </w:rPr>
        <w:t>feasibility</w:t>
      </w:r>
      <w:r w:rsidRPr="00AE0588">
        <w:rPr>
          <w:rFonts w:ascii="Times New Roman" w:hAnsi="Times New Roman" w:cs="Times New Roman"/>
          <w:sz w:val="24"/>
          <w:szCs w:val="24"/>
        </w:rPr>
        <w:t xml:space="preserve"> testing, several items on the survey were modified. </w:t>
      </w:r>
      <w:r>
        <w:rPr>
          <w:rFonts w:ascii="Times New Roman" w:hAnsi="Times New Roman" w:cs="Times New Roman"/>
          <w:sz w:val="24"/>
          <w:szCs w:val="24"/>
        </w:rPr>
        <w:t xml:space="preserve">Terminology was clarified </w:t>
      </w:r>
      <w:r w:rsidR="00D53C57">
        <w:rPr>
          <w:rFonts w:ascii="Times New Roman" w:hAnsi="Times New Roman" w:cs="Times New Roman"/>
          <w:sz w:val="24"/>
          <w:szCs w:val="24"/>
        </w:rPr>
        <w:t>on</w:t>
      </w:r>
      <w:r>
        <w:rPr>
          <w:rFonts w:ascii="Times New Roman" w:hAnsi="Times New Roman" w:cs="Times New Roman"/>
          <w:sz w:val="24"/>
          <w:szCs w:val="24"/>
        </w:rPr>
        <w:t xml:space="preserve"> the ME/C data collection forms to conform </w:t>
      </w:r>
      <w:r w:rsidR="00844E60">
        <w:rPr>
          <w:rFonts w:ascii="Times New Roman" w:hAnsi="Times New Roman" w:cs="Times New Roman"/>
          <w:sz w:val="24"/>
          <w:szCs w:val="24"/>
        </w:rPr>
        <w:t>to</w:t>
      </w:r>
      <w:r>
        <w:rPr>
          <w:rFonts w:ascii="Times New Roman" w:hAnsi="Times New Roman" w:cs="Times New Roman"/>
          <w:sz w:val="24"/>
          <w:szCs w:val="24"/>
        </w:rPr>
        <w:t xml:space="preserve"> </w:t>
      </w:r>
      <w:r w:rsidR="00D53C57">
        <w:rPr>
          <w:rFonts w:ascii="Times New Roman" w:hAnsi="Times New Roman" w:cs="Times New Roman"/>
          <w:sz w:val="24"/>
          <w:szCs w:val="24"/>
        </w:rPr>
        <w:t>the</w:t>
      </w:r>
      <w:r w:rsidR="00BE3703" w:rsidRPr="00BE3703">
        <w:rPr>
          <w:rFonts w:ascii="Times New Roman" w:hAnsi="Times New Roman" w:cs="Times New Roman"/>
          <w:sz w:val="24"/>
          <w:szCs w:val="24"/>
        </w:rPr>
        <w:t xml:space="preserve"> </w:t>
      </w:r>
      <w:r w:rsidR="00BE3703">
        <w:rPr>
          <w:rFonts w:ascii="Times New Roman" w:hAnsi="Times New Roman" w:cs="Times New Roman"/>
          <w:sz w:val="24"/>
          <w:szCs w:val="24"/>
        </w:rPr>
        <w:t>classification guidelines in</w:t>
      </w:r>
      <w:r w:rsidR="006D479F">
        <w:rPr>
          <w:rFonts w:ascii="Times New Roman" w:hAnsi="Times New Roman" w:cs="Times New Roman"/>
          <w:sz w:val="24"/>
          <w:szCs w:val="24"/>
        </w:rPr>
        <w:t>to</w:t>
      </w:r>
      <w:r>
        <w:rPr>
          <w:rFonts w:ascii="Times New Roman" w:hAnsi="Times New Roman" w:cs="Times New Roman"/>
          <w:sz w:val="24"/>
          <w:szCs w:val="24"/>
        </w:rPr>
        <w:t xml:space="preserve"> </w:t>
      </w:r>
      <w:r w:rsidR="00D53C57">
        <w:rPr>
          <w:rFonts w:ascii="Times New Roman" w:hAnsi="Times New Roman" w:cs="Times New Roman"/>
          <w:sz w:val="24"/>
          <w:szCs w:val="24"/>
        </w:rPr>
        <w:t xml:space="preserve">the </w:t>
      </w:r>
      <w:r w:rsidR="006D479F" w:rsidRPr="00FA2F4E">
        <w:rPr>
          <w:rFonts w:ascii="Times New Roman" w:hAnsi="Times New Roman"/>
          <w:i/>
          <w:sz w:val="24"/>
        </w:rPr>
        <w:t xml:space="preserve">International </w:t>
      </w:r>
      <w:r w:rsidR="006D479F" w:rsidRPr="006D479F">
        <w:rPr>
          <w:rFonts w:ascii="Times New Roman" w:hAnsi="Times New Roman" w:cs="Times New Roman"/>
          <w:i/>
          <w:sz w:val="24"/>
          <w:szCs w:val="24"/>
        </w:rPr>
        <w:t xml:space="preserve">Statistical </w:t>
      </w:r>
      <w:r w:rsidR="006D479F" w:rsidRPr="00FA2F4E">
        <w:rPr>
          <w:rFonts w:ascii="Times New Roman" w:hAnsi="Times New Roman"/>
          <w:i/>
          <w:sz w:val="24"/>
        </w:rPr>
        <w:t>Classification of Diseases</w:t>
      </w:r>
      <w:r w:rsidR="00BE3703">
        <w:rPr>
          <w:rFonts w:ascii="Times New Roman" w:hAnsi="Times New Roman" w:cs="Times New Roman"/>
          <w:i/>
          <w:sz w:val="24"/>
          <w:szCs w:val="24"/>
        </w:rPr>
        <w:t>, Ninth</w:t>
      </w:r>
      <w:r w:rsidR="006D479F" w:rsidRPr="006D479F">
        <w:rPr>
          <w:rFonts w:ascii="Times New Roman" w:hAnsi="Times New Roman" w:cs="Times New Roman"/>
          <w:i/>
          <w:sz w:val="24"/>
          <w:szCs w:val="24"/>
        </w:rPr>
        <w:t xml:space="preserve"> and Related Health Problems 10th Revision</w:t>
      </w:r>
      <w:r w:rsidR="006D479F" w:rsidRPr="006D479F">
        <w:rPr>
          <w:rFonts w:ascii="Times New Roman" w:hAnsi="Times New Roman" w:cs="Times New Roman"/>
          <w:sz w:val="24"/>
          <w:szCs w:val="24"/>
        </w:rPr>
        <w:t xml:space="preserve"> (ICD</w:t>
      </w:r>
      <w:r w:rsidR="00BE3703">
        <w:rPr>
          <w:rFonts w:ascii="Times New Roman" w:hAnsi="Times New Roman" w:cs="Times New Roman"/>
          <w:sz w:val="24"/>
          <w:szCs w:val="24"/>
        </w:rPr>
        <w:t>-</w:t>
      </w:r>
      <w:r w:rsidR="00D53C57">
        <w:rPr>
          <w:rFonts w:ascii="Times New Roman" w:hAnsi="Times New Roman" w:cs="Times New Roman"/>
          <w:sz w:val="24"/>
          <w:szCs w:val="24"/>
        </w:rPr>
        <w:t>9</w:t>
      </w:r>
      <w:r w:rsidR="006D479F" w:rsidRPr="006D479F">
        <w:rPr>
          <w:rFonts w:ascii="Times New Roman" w:hAnsi="Times New Roman" w:cs="Times New Roman"/>
          <w:sz w:val="24"/>
          <w:szCs w:val="24"/>
        </w:rPr>
        <w:t>-10)</w:t>
      </w:r>
      <w:r w:rsidR="008D4D25">
        <w:rPr>
          <w:rFonts w:ascii="Times New Roman" w:hAnsi="Times New Roman" w:cs="Times New Roman"/>
          <w:sz w:val="24"/>
          <w:szCs w:val="24"/>
        </w:rPr>
        <w:t>.</w:t>
      </w:r>
      <w:r w:rsidR="006D479F">
        <w:rPr>
          <w:rStyle w:val="FootnoteReference"/>
          <w:rFonts w:ascii="Times New Roman" w:hAnsi="Times New Roman" w:cs="Times New Roman"/>
          <w:sz w:val="24"/>
          <w:szCs w:val="24"/>
        </w:rPr>
        <w:footnoteReference w:id="3"/>
      </w:r>
      <w:r w:rsidR="008D4D25">
        <w:rPr>
          <w:rFonts w:ascii="Times New Roman" w:hAnsi="Times New Roman" w:cs="Times New Roman"/>
          <w:sz w:val="24"/>
          <w:szCs w:val="24"/>
        </w:rPr>
        <w:t xml:space="preserve"> </w:t>
      </w:r>
      <w:r>
        <w:rPr>
          <w:rFonts w:ascii="Times New Roman" w:hAnsi="Times New Roman" w:cs="Times New Roman"/>
          <w:sz w:val="24"/>
          <w:szCs w:val="24"/>
        </w:rPr>
        <w:t>R</w:t>
      </w:r>
      <w:r w:rsidR="008D4D25">
        <w:rPr>
          <w:rFonts w:ascii="Times New Roman" w:hAnsi="Times New Roman" w:cs="Times New Roman"/>
          <w:sz w:val="24"/>
          <w:szCs w:val="24"/>
        </w:rPr>
        <w:t>es</w:t>
      </w:r>
      <w:r>
        <w:rPr>
          <w:rFonts w:ascii="Times New Roman" w:hAnsi="Times New Roman" w:cs="Times New Roman"/>
          <w:sz w:val="24"/>
          <w:szCs w:val="24"/>
        </w:rPr>
        <w:t>ponse categories in some questions were modified to align with LEA or ME/C likely or reported knowledge of the circumstances surrounding arrest-related deaths. LEA feasibility testers noted that some questions may be difficult to answer, such as the number of shots fired</w:t>
      </w:r>
      <w:r w:rsidR="00D93858">
        <w:rPr>
          <w:rFonts w:ascii="Times New Roman" w:hAnsi="Times New Roman" w:cs="Times New Roman"/>
          <w:sz w:val="24"/>
          <w:szCs w:val="24"/>
        </w:rPr>
        <w:t xml:space="preserve"> during the interaction between law enforcement and the decedent</w:t>
      </w:r>
      <w:r w:rsidR="00D53C57">
        <w:rPr>
          <w:rFonts w:ascii="Times New Roman" w:hAnsi="Times New Roman" w:cs="Times New Roman"/>
          <w:sz w:val="24"/>
          <w:szCs w:val="24"/>
        </w:rPr>
        <w:t xml:space="preserve">. Testers also noted that </w:t>
      </w:r>
      <w:r w:rsidR="00C55A5F">
        <w:rPr>
          <w:rFonts w:ascii="Times New Roman" w:hAnsi="Times New Roman" w:cs="Times New Roman"/>
          <w:sz w:val="24"/>
          <w:szCs w:val="24"/>
        </w:rPr>
        <w:t xml:space="preserve">decedent </w:t>
      </w:r>
      <w:r w:rsidR="00D53C57">
        <w:rPr>
          <w:rFonts w:ascii="Times New Roman" w:hAnsi="Times New Roman" w:cs="Times New Roman"/>
          <w:sz w:val="24"/>
          <w:szCs w:val="24"/>
        </w:rPr>
        <w:t xml:space="preserve">information </w:t>
      </w:r>
      <w:r w:rsidR="00C55A5F">
        <w:rPr>
          <w:rFonts w:ascii="Times New Roman" w:hAnsi="Times New Roman" w:cs="Times New Roman"/>
          <w:sz w:val="24"/>
          <w:szCs w:val="24"/>
        </w:rPr>
        <w:t xml:space="preserve">requested </w:t>
      </w:r>
      <w:r w:rsidR="00D53C57">
        <w:rPr>
          <w:rFonts w:ascii="Times New Roman" w:hAnsi="Times New Roman" w:cs="Times New Roman"/>
          <w:sz w:val="24"/>
          <w:szCs w:val="24"/>
        </w:rPr>
        <w:t xml:space="preserve">from ME/Cs may not be available until approximately </w:t>
      </w:r>
      <w:r w:rsidR="006D479F">
        <w:rPr>
          <w:rFonts w:ascii="Times New Roman" w:hAnsi="Times New Roman" w:cs="Times New Roman"/>
          <w:sz w:val="24"/>
          <w:szCs w:val="24"/>
        </w:rPr>
        <w:t>6</w:t>
      </w:r>
      <w:r w:rsidR="00D53C57">
        <w:rPr>
          <w:rFonts w:ascii="Times New Roman" w:hAnsi="Times New Roman" w:cs="Times New Roman"/>
          <w:sz w:val="24"/>
          <w:szCs w:val="24"/>
        </w:rPr>
        <w:t xml:space="preserve"> months after the date of death. </w:t>
      </w:r>
      <w:r w:rsidR="00FC6904">
        <w:rPr>
          <w:rFonts w:ascii="Times New Roman" w:hAnsi="Times New Roman" w:cs="Times New Roman"/>
          <w:sz w:val="24"/>
          <w:szCs w:val="24"/>
        </w:rPr>
        <w:t xml:space="preserve">BJS </w:t>
      </w:r>
      <w:r w:rsidR="00D53C57">
        <w:rPr>
          <w:rFonts w:ascii="Times New Roman" w:hAnsi="Times New Roman" w:cs="Times New Roman"/>
          <w:sz w:val="24"/>
          <w:szCs w:val="24"/>
        </w:rPr>
        <w:t xml:space="preserve">will assess item nonresponse patterns for these and other items through the ARD program pilot test with the full sample. </w:t>
      </w:r>
    </w:p>
    <w:p w14:paraId="1A69B7D3" w14:textId="77777777" w:rsidR="003712C4" w:rsidRDefault="003712C4" w:rsidP="004918AB">
      <w:pPr>
        <w:spacing w:after="0" w:line="240" w:lineRule="auto"/>
        <w:rPr>
          <w:rFonts w:ascii="Times New Roman" w:hAnsi="Times New Roman" w:cs="Times New Roman"/>
          <w:b/>
          <w:sz w:val="24"/>
          <w:szCs w:val="24"/>
          <w:u w:val="single"/>
        </w:rPr>
      </w:pPr>
    </w:p>
    <w:p w14:paraId="64BDD5BE" w14:textId="77777777" w:rsidR="00643C10" w:rsidRDefault="00643C10" w:rsidP="00A85472">
      <w:pPr>
        <w:spacing w:after="120" w:line="240" w:lineRule="auto"/>
        <w:rPr>
          <w:rFonts w:ascii="Times New Roman" w:hAnsi="Times New Roman" w:cs="Times New Roman"/>
          <w:b/>
          <w:sz w:val="24"/>
          <w:szCs w:val="24"/>
          <w:u w:val="single"/>
        </w:rPr>
      </w:pPr>
      <w:r w:rsidRPr="00086A4C">
        <w:rPr>
          <w:rFonts w:ascii="Times New Roman" w:hAnsi="Times New Roman" w:cs="Times New Roman"/>
          <w:b/>
          <w:sz w:val="24"/>
          <w:szCs w:val="24"/>
          <w:u w:val="single"/>
        </w:rPr>
        <w:t>Selection of S</w:t>
      </w:r>
      <w:r w:rsidR="00002BDB" w:rsidRPr="00086A4C">
        <w:rPr>
          <w:rFonts w:ascii="Times New Roman" w:hAnsi="Times New Roman" w:cs="Times New Roman"/>
          <w:b/>
          <w:sz w:val="24"/>
          <w:szCs w:val="24"/>
          <w:u w:val="single"/>
        </w:rPr>
        <w:t>urvey S</w:t>
      </w:r>
      <w:r w:rsidRPr="00086A4C">
        <w:rPr>
          <w:rFonts w:ascii="Times New Roman" w:hAnsi="Times New Roman" w:cs="Times New Roman"/>
          <w:b/>
          <w:sz w:val="24"/>
          <w:szCs w:val="24"/>
          <w:u w:val="single"/>
        </w:rPr>
        <w:t>ample</w:t>
      </w:r>
    </w:p>
    <w:p w14:paraId="61BDCDC9" w14:textId="524AC773" w:rsidR="00782920" w:rsidRPr="00782920" w:rsidRDefault="00AD0849" w:rsidP="00D93858">
      <w:pPr>
        <w:spacing w:after="160" w:line="288" w:lineRule="auto"/>
        <w:rPr>
          <w:rFonts w:ascii="Times New Roman" w:hAnsi="Times New Roman" w:cs="Times New Roman"/>
          <w:sz w:val="24"/>
          <w:szCs w:val="24"/>
        </w:rPr>
      </w:pPr>
      <w:r w:rsidRPr="004918AB">
        <w:rPr>
          <w:rFonts w:ascii="Times New Roman" w:hAnsi="Times New Roman" w:cs="Times New Roman"/>
          <w:sz w:val="24"/>
          <w:szCs w:val="24"/>
        </w:rPr>
        <w:t xml:space="preserve">The </w:t>
      </w:r>
      <w:r>
        <w:rPr>
          <w:rFonts w:ascii="Times New Roman" w:hAnsi="Times New Roman" w:cs="Times New Roman"/>
          <w:sz w:val="24"/>
          <w:szCs w:val="24"/>
        </w:rPr>
        <w:t>ARD Program pilot test</w:t>
      </w:r>
      <w:r w:rsidRPr="004918AB">
        <w:rPr>
          <w:rFonts w:ascii="Times New Roman" w:hAnsi="Times New Roman" w:cs="Times New Roman"/>
          <w:sz w:val="24"/>
          <w:szCs w:val="24"/>
        </w:rPr>
        <w:t xml:space="preserve"> sample design </w:t>
      </w:r>
      <w:r w:rsidR="00782920">
        <w:rPr>
          <w:rFonts w:ascii="Times New Roman" w:hAnsi="Times New Roman" w:cs="Times New Roman"/>
          <w:sz w:val="24"/>
          <w:szCs w:val="24"/>
        </w:rPr>
        <w:t xml:space="preserve">includes four subsamples selected to survey </w:t>
      </w:r>
      <w:r w:rsidR="000738F9">
        <w:rPr>
          <w:rFonts w:ascii="Times New Roman" w:hAnsi="Times New Roman" w:cs="Times New Roman"/>
          <w:sz w:val="24"/>
          <w:szCs w:val="24"/>
        </w:rPr>
        <w:t>(1) LEA</w:t>
      </w:r>
      <w:r w:rsidR="00782920">
        <w:rPr>
          <w:rFonts w:ascii="Times New Roman" w:hAnsi="Times New Roman" w:cs="Times New Roman"/>
          <w:sz w:val="24"/>
          <w:szCs w:val="24"/>
        </w:rPr>
        <w:t xml:space="preserve">s with jurisdiction in cases </w:t>
      </w:r>
      <w:r w:rsidR="000738F9">
        <w:rPr>
          <w:rFonts w:ascii="Times New Roman" w:hAnsi="Times New Roman" w:cs="Times New Roman"/>
          <w:sz w:val="24"/>
          <w:szCs w:val="24"/>
        </w:rPr>
        <w:t xml:space="preserve">in which </w:t>
      </w:r>
      <w:r w:rsidR="00782920">
        <w:rPr>
          <w:rFonts w:ascii="Times New Roman" w:hAnsi="Times New Roman" w:cs="Times New Roman"/>
          <w:sz w:val="24"/>
          <w:szCs w:val="24"/>
        </w:rPr>
        <w:t>a potential arrest-related death was identified through open</w:t>
      </w:r>
      <w:r w:rsidR="008D7039">
        <w:rPr>
          <w:rFonts w:ascii="Times New Roman" w:hAnsi="Times New Roman" w:cs="Times New Roman"/>
          <w:sz w:val="24"/>
          <w:szCs w:val="24"/>
        </w:rPr>
        <w:t>-</w:t>
      </w:r>
      <w:r w:rsidR="00782920">
        <w:rPr>
          <w:rFonts w:ascii="Times New Roman" w:hAnsi="Times New Roman" w:cs="Times New Roman"/>
          <w:sz w:val="24"/>
          <w:szCs w:val="24"/>
        </w:rPr>
        <w:t xml:space="preserve">source review, </w:t>
      </w:r>
      <w:r w:rsidR="000738F9">
        <w:rPr>
          <w:rFonts w:ascii="Times New Roman" w:hAnsi="Times New Roman" w:cs="Times New Roman"/>
          <w:sz w:val="24"/>
          <w:szCs w:val="24"/>
        </w:rPr>
        <w:t xml:space="preserve">(2) </w:t>
      </w:r>
      <w:r w:rsidR="00782920">
        <w:rPr>
          <w:rFonts w:ascii="Times New Roman" w:hAnsi="Times New Roman" w:cs="Times New Roman"/>
          <w:sz w:val="24"/>
          <w:szCs w:val="24"/>
        </w:rPr>
        <w:t xml:space="preserve">a </w:t>
      </w:r>
      <w:r w:rsidRPr="004918AB">
        <w:rPr>
          <w:rFonts w:ascii="Times New Roman" w:hAnsi="Times New Roman" w:cs="Times New Roman"/>
          <w:sz w:val="24"/>
          <w:szCs w:val="24"/>
        </w:rPr>
        <w:t xml:space="preserve">sample of </w:t>
      </w:r>
      <w:r>
        <w:rPr>
          <w:rFonts w:ascii="Times New Roman" w:hAnsi="Times New Roman" w:cs="Times New Roman"/>
          <w:sz w:val="24"/>
          <w:szCs w:val="24"/>
        </w:rPr>
        <w:t>LEAs</w:t>
      </w:r>
      <w:r w:rsidR="00782920">
        <w:rPr>
          <w:rFonts w:ascii="Times New Roman" w:hAnsi="Times New Roman" w:cs="Times New Roman"/>
          <w:sz w:val="24"/>
          <w:szCs w:val="24"/>
        </w:rPr>
        <w:t xml:space="preserve"> </w:t>
      </w:r>
      <w:r w:rsidR="00C55A5F">
        <w:rPr>
          <w:rFonts w:ascii="Times New Roman" w:hAnsi="Times New Roman" w:cs="Times New Roman"/>
          <w:sz w:val="24"/>
          <w:szCs w:val="24"/>
        </w:rPr>
        <w:t>without a potential arrest-related death identified through open</w:t>
      </w:r>
      <w:r w:rsidR="008D7039">
        <w:rPr>
          <w:rFonts w:ascii="Times New Roman" w:hAnsi="Times New Roman" w:cs="Times New Roman"/>
          <w:sz w:val="24"/>
          <w:szCs w:val="24"/>
        </w:rPr>
        <w:t>-</w:t>
      </w:r>
      <w:r w:rsidR="00C55A5F">
        <w:rPr>
          <w:rFonts w:ascii="Times New Roman" w:hAnsi="Times New Roman" w:cs="Times New Roman"/>
          <w:sz w:val="24"/>
          <w:szCs w:val="24"/>
        </w:rPr>
        <w:t xml:space="preserve">source review, </w:t>
      </w:r>
      <w:r w:rsidR="00782920">
        <w:rPr>
          <w:rFonts w:ascii="Times New Roman" w:hAnsi="Times New Roman" w:cs="Times New Roman"/>
          <w:sz w:val="24"/>
          <w:szCs w:val="24"/>
        </w:rPr>
        <w:t xml:space="preserve">and </w:t>
      </w:r>
      <w:r w:rsidR="000738F9">
        <w:rPr>
          <w:rFonts w:ascii="Times New Roman" w:hAnsi="Times New Roman" w:cs="Times New Roman"/>
          <w:sz w:val="24"/>
          <w:szCs w:val="24"/>
        </w:rPr>
        <w:t xml:space="preserve">(3–4) </w:t>
      </w:r>
      <w:r w:rsidR="00782920">
        <w:rPr>
          <w:rFonts w:ascii="Times New Roman" w:hAnsi="Times New Roman" w:cs="Times New Roman"/>
          <w:sz w:val="24"/>
          <w:szCs w:val="24"/>
        </w:rPr>
        <w:t>ME/C</w:t>
      </w:r>
      <w:r w:rsidR="00BC150D">
        <w:rPr>
          <w:rFonts w:ascii="Times New Roman" w:hAnsi="Times New Roman" w:cs="Times New Roman"/>
          <w:sz w:val="24"/>
          <w:szCs w:val="24"/>
        </w:rPr>
        <w:t xml:space="preserve"> office</w:t>
      </w:r>
      <w:r w:rsidR="00782920">
        <w:rPr>
          <w:rFonts w:ascii="Times New Roman" w:hAnsi="Times New Roman" w:cs="Times New Roman"/>
          <w:sz w:val="24"/>
          <w:szCs w:val="24"/>
        </w:rPr>
        <w:t xml:space="preserve">s with concurrent jurisdiction with </w:t>
      </w:r>
      <w:r w:rsidR="00D93858">
        <w:rPr>
          <w:rFonts w:ascii="Times New Roman" w:hAnsi="Times New Roman" w:cs="Times New Roman"/>
          <w:sz w:val="24"/>
          <w:szCs w:val="24"/>
        </w:rPr>
        <w:t>the</w:t>
      </w:r>
      <w:r w:rsidR="00C55A5F">
        <w:rPr>
          <w:rFonts w:ascii="Times New Roman" w:hAnsi="Times New Roman" w:cs="Times New Roman"/>
          <w:sz w:val="24"/>
          <w:szCs w:val="24"/>
        </w:rPr>
        <w:t>se</w:t>
      </w:r>
      <w:r w:rsidR="00D93858">
        <w:rPr>
          <w:rFonts w:ascii="Times New Roman" w:hAnsi="Times New Roman" w:cs="Times New Roman"/>
          <w:sz w:val="24"/>
          <w:szCs w:val="24"/>
        </w:rPr>
        <w:t xml:space="preserve"> two</w:t>
      </w:r>
      <w:r w:rsidR="00782920">
        <w:rPr>
          <w:rFonts w:ascii="Times New Roman" w:hAnsi="Times New Roman" w:cs="Times New Roman"/>
          <w:sz w:val="24"/>
          <w:szCs w:val="24"/>
        </w:rPr>
        <w:t xml:space="preserve"> LEA</w:t>
      </w:r>
      <w:r w:rsidR="00D93858">
        <w:rPr>
          <w:rFonts w:ascii="Times New Roman" w:hAnsi="Times New Roman" w:cs="Times New Roman"/>
          <w:sz w:val="24"/>
          <w:szCs w:val="24"/>
        </w:rPr>
        <w:t xml:space="preserve"> subsample</w:t>
      </w:r>
      <w:r w:rsidR="00782920">
        <w:rPr>
          <w:rFonts w:ascii="Times New Roman" w:hAnsi="Times New Roman" w:cs="Times New Roman"/>
          <w:sz w:val="24"/>
          <w:szCs w:val="24"/>
        </w:rPr>
        <w:t xml:space="preserve">s. </w:t>
      </w:r>
      <w:r w:rsidR="000738F9">
        <w:rPr>
          <w:rFonts w:ascii="Times New Roman" w:hAnsi="Times New Roman" w:cs="Times New Roman"/>
          <w:sz w:val="24"/>
          <w:szCs w:val="24"/>
        </w:rPr>
        <w:t>Sixteen</w:t>
      </w:r>
      <w:r w:rsidR="00722811">
        <w:rPr>
          <w:rFonts w:ascii="Times New Roman" w:hAnsi="Times New Roman" w:cs="Times New Roman"/>
          <w:sz w:val="24"/>
          <w:szCs w:val="24"/>
        </w:rPr>
        <w:t xml:space="preserve"> states</w:t>
      </w:r>
      <w:r w:rsidR="000738F9">
        <w:rPr>
          <w:rFonts w:ascii="Times New Roman" w:hAnsi="Times New Roman" w:cs="Times New Roman"/>
          <w:sz w:val="24"/>
          <w:szCs w:val="24"/>
        </w:rPr>
        <w:t xml:space="preserve"> have</w:t>
      </w:r>
      <w:r w:rsidR="00722811">
        <w:rPr>
          <w:rFonts w:ascii="Times New Roman" w:hAnsi="Times New Roman" w:cs="Times New Roman"/>
          <w:sz w:val="24"/>
          <w:szCs w:val="24"/>
        </w:rPr>
        <w:t xml:space="preserve"> a centralized state medical examiner system, so one ME/C will be matched to all of the sampled LEAs in those states.</w:t>
      </w:r>
      <w:r w:rsidR="00F57391">
        <w:rPr>
          <w:rStyle w:val="FootnoteReference"/>
          <w:rFonts w:ascii="Times New Roman" w:hAnsi="Times New Roman" w:cs="Times New Roman"/>
          <w:sz w:val="24"/>
          <w:szCs w:val="24"/>
        </w:rPr>
        <w:footnoteReference w:id="4"/>
      </w:r>
      <w:r w:rsidR="00722811">
        <w:rPr>
          <w:rFonts w:ascii="Times New Roman" w:hAnsi="Times New Roman" w:cs="Times New Roman"/>
          <w:sz w:val="24"/>
          <w:szCs w:val="24"/>
        </w:rPr>
        <w:t xml:space="preserve"> The remaining 34 states and the District of Columbia have a </w:t>
      </w:r>
      <w:r w:rsidR="00D93858">
        <w:rPr>
          <w:rFonts w:ascii="Times New Roman" w:hAnsi="Times New Roman" w:cs="Times New Roman"/>
          <w:sz w:val="24"/>
          <w:szCs w:val="24"/>
        </w:rPr>
        <w:t xml:space="preserve">county-based or </w:t>
      </w:r>
      <w:r w:rsidR="00722811">
        <w:rPr>
          <w:rFonts w:ascii="Times New Roman" w:hAnsi="Times New Roman" w:cs="Times New Roman"/>
          <w:sz w:val="24"/>
          <w:szCs w:val="24"/>
        </w:rPr>
        <w:t xml:space="preserve">decentralized ME/C system, where there will likely be a </w:t>
      </w:r>
      <w:r w:rsidR="000738F9">
        <w:rPr>
          <w:rFonts w:ascii="Times New Roman" w:hAnsi="Times New Roman" w:cs="Times New Roman"/>
          <w:sz w:val="24"/>
          <w:szCs w:val="24"/>
        </w:rPr>
        <w:t xml:space="preserve">unique </w:t>
      </w:r>
      <w:r w:rsidR="00722811">
        <w:rPr>
          <w:rFonts w:ascii="Times New Roman" w:hAnsi="Times New Roman" w:cs="Times New Roman"/>
          <w:sz w:val="24"/>
          <w:szCs w:val="24"/>
        </w:rPr>
        <w:t xml:space="preserve">ME/C matched to each sampled LEA. </w:t>
      </w:r>
      <w:r w:rsidR="00D53C57">
        <w:rPr>
          <w:rFonts w:ascii="Times New Roman" w:hAnsi="Times New Roman" w:cs="Times New Roman"/>
          <w:sz w:val="24"/>
          <w:szCs w:val="24"/>
        </w:rPr>
        <w:t xml:space="preserve">Federal agencies, </w:t>
      </w:r>
      <w:r w:rsidR="00782920">
        <w:rPr>
          <w:rFonts w:ascii="Times New Roman" w:hAnsi="Times New Roman" w:cs="Times New Roman"/>
          <w:sz w:val="24"/>
          <w:szCs w:val="24"/>
        </w:rPr>
        <w:t>tribal</w:t>
      </w:r>
      <w:r w:rsidR="00D53C57">
        <w:rPr>
          <w:rFonts w:ascii="Times New Roman" w:hAnsi="Times New Roman" w:cs="Times New Roman"/>
          <w:sz w:val="24"/>
          <w:szCs w:val="24"/>
        </w:rPr>
        <w:t xml:space="preserve"> agencies, and agencies primarily responsible for transport of inmates</w:t>
      </w:r>
      <w:r w:rsidR="00782920">
        <w:rPr>
          <w:rFonts w:ascii="Times New Roman" w:hAnsi="Times New Roman" w:cs="Times New Roman"/>
          <w:sz w:val="24"/>
          <w:szCs w:val="24"/>
        </w:rPr>
        <w:t xml:space="preserve"> </w:t>
      </w:r>
      <w:r>
        <w:rPr>
          <w:rFonts w:ascii="Times New Roman" w:hAnsi="Times New Roman" w:cs="Times New Roman"/>
          <w:sz w:val="24"/>
          <w:szCs w:val="24"/>
        </w:rPr>
        <w:t>are out of scope for the ARD</w:t>
      </w:r>
      <w:r w:rsidR="00782920">
        <w:rPr>
          <w:rFonts w:ascii="Times New Roman" w:hAnsi="Times New Roman" w:cs="Times New Roman"/>
          <w:sz w:val="24"/>
          <w:szCs w:val="24"/>
        </w:rPr>
        <w:t xml:space="preserve"> program</w:t>
      </w:r>
      <w:r>
        <w:rPr>
          <w:rFonts w:ascii="Times New Roman" w:hAnsi="Times New Roman" w:cs="Times New Roman"/>
          <w:sz w:val="24"/>
          <w:szCs w:val="24"/>
        </w:rPr>
        <w:t xml:space="preserve"> </w:t>
      </w:r>
      <w:r w:rsidR="00D53C57">
        <w:rPr>
          <w:rFonts w:ascii="Times New Roman" w:hAnsi="Times New Roman" w:cs="Times New Roman"/>
          <w:sz w:val="24"/>
          <w:szCs w:val="24"/>
        </w:rPr>
        <w:t xml:space="preserve">and will be </w:t>
      </w:r>
      <w:r>
        <w:rPr>
          <w:rFonts w:ascii="Times New Roman" w:hAnsi="Times New Roman" w:cs="Times New Roman"/>
          <w:sz w:val="24"/>
          <w:szCs w:val="24"/>
        </w:rPr>
        <w:t>ineligible for sampling.</w:t>
      </w:r>
      <w:r w:rsidR="00782920">
        <w:rPr>
          <w:rFonts w:ascii="Times New Roman" w:hAnsi="Times New Roman" w:cs="Times New Roman"/>
          <w:sz w:val="24"/>
          <w:szCs w:val="24"/>
        </w:rPr>
        <w:t xml:space="preserve"> The </w:t>
      </w:r>
      <w:r w:rsidR="00C55A5F">
        <w:rPr>
          <w:rFonts w:ascii="Times New Roman" w:hAnsi="Times New Roman" w:cs="Times New Roman"/>
          <w:sz w:val="24"/>
          <w:szCs w:val="24"/>
        </w:rPr>
        <w:t xml:space="preserve">four </w:t>
      </w:r>
      <w:r w:rsidR="00782920">
        <w:rPr>
          <w:rFonts w:ascii="Times New Roman" w:hAnsi="Times New Roman" w:cs="Times New Roman"/>
          <w:sz w:val="24"/>
          <w:szCs w:val="24"/>
        </w:rPr>
        <w:t xml:space="preserve">ARD pilot study subsamples </w:t>
      </w:r>
      <w:r w:rsidR="00D53C57">
        <w:rPr>
          <w:rFonts w:ascii="Times New Roman" w:hAnsi="Times New Roman" w:cs="Times New Roman"/>
          <w:sz w:val="24"/>
          <w:szCs w:val="24"/>
        </w:rPr>
        <w:t>are described in Table 1.</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9"/>
        <w:gridCol w:w="1711"/>
      </w:tblGrid>
      <w:tr w:rsidR="00E113CA" w:rsidRPr="00E113CA" w14:paraId="03B1CD14" w14:textId="77777777" w:rsidTr="00FA2F4E">
        <w:tc>
          <w:tcPr>
            <w:tcW w:w="6840" w:type="dxa"/>
            <w:tcBorders>
              <w:bottom w:val="single" w:sz="4" w:space="0" w:color="auto"/>
            </w:tcBorders>
          </w:tcPr>
          <w:p w14:paraId="498C8A36" w14:textId="77777777" w:rsidR="00E113CA" w:rsidRPr="00E113CA" w:rsidRDefault="00E113CA" w:rsidP="00D93858">
            <w:pPr>
              <w:keepNext/>
              <w:spacing w:before="60" w:after="60" w:line="288" w:lineRule="auto"/>
              <w:rPr>
                <w:rFonts w:ascii="Times New Roman" w:hAnsi="Times New Roman" w:cs="Times New Roman"/>
                <w:b/>
                <w:szCs w:val="24"/>
              </w:rPr>
            </w:pPr>
            <w:r>
              <w:rPr>
                <w:rFonts w:ascii="Times New Roman" w:hAnsi="Times New Roman" w:cs="Times New Roman"/>
                <w:b/>
                <w:szCs w:val="24"/>
              </w:rPr>
              <w:lastRenderedPageBreak/>
              <w:t>Table 1. Estimated sample size</w:t>
            </w:r>
          </w:p>
        </w:tc>
        <w:tc>
          <w:tcPr>
            <w:tcW w:w="1530" w:type="dxa"/>
            <w:tcBorders>
              <w:bottom w:val="single" w:sz="4" w:space="0" w:color="auto"/>
            </w:tcBorders>
          </w:tcPr>
          <w:p w14:paraId="2F9F0C90" w14:textId="77777777" w:rsidR="00E113CA" w:rsidRPr="00E113CA" w:rsidRDefault="00E113CA" w:rsidP="00D93858">
            <w:pPr>
              <w:keepNext/>
              <w:spacing w:before="60" w:after="60" w:line="288" w:lineRule="auto"/>
              <w:jc w:val="right"/>
              <w:rPr>
                <w:rFonts w:ascii="Times New Roman" w:hAnsi="Times New Roman" w:cs="Times New Roman"/>
                <w:b/>
                <w:szCs w:val="24"/>
              </w:rPr>
            </w:pPr>
          </w:p>
        </w:tc>
      </w:tr>
      <w:tr w:rsidR="00F939A4" w14:paraId="4159DE45" w14:textId="77777777" w:rsidTr="00FA2F4E">
        <w:tc>
          <w:tcPr>
            <w:tcW w:w="6840" w:type="dxa"/>
            <w:tcBorders>
              <w:top w:val="single" w:sz="4" w:space="0" w:color="auto"/>
              <w:bottom w:val="single" w:sz="4" w:space="0" w:color="auto"/>
            </w:tcBorders>
          </w:tcPr>
          <w:p w14:paraId="571526CC" w14:textId="77777777" w:rsidR="00F939A4" w:rsidRPr="00722811" w:rsidRDefault="00F939A4" w:rsidP="00D93858">
            <w:pPr>
              <w:keepNext/>
              <w:spacing w:before="60" w:after="60" w:line="288" w:lineRule="auto"/>
              <w:rPr>
                <w:rFonts w:ascii="Times New Roman" w:hAnsi="Times New Roman" w:cs="Times New Roman"/>
                <w:szCs w:val="24"/>
              </w:rPr>
            </w:pPr>
            <w:r w:rsidRPr="00722811">
              <w:rPr>
                <w:rFonts w:ascii="Times New Roman" w:hAnsi="Times New Roman" w:cs="Times New Roman"/>
                <w:szCs w:val="24"/>
              </w:rPr>
              <w:t>ARD program pilot subsample</w:t>
            </w:r>
          </w:p>
        </w:tc>
        <w:tc>
          <w:tcPr>
            <w:tcW w:w="1530" w:type="dxa"/>
            <w:tcBorders>
              <w:top w:val="single" w:sz="4" w:space="0" w:color="auto"/>
              <w:bottom w:val="single" w:sz="4" w:space="0" w:color="auto"/>
            </w:tcBorders>
          </w:tcPr>
          <w:p w14:paraId="617E323B" w14:textId="77777777" w:rsidR="00F939A4" w:rsidRPr="00782920" w:rsidRDefault="00F939A4" w:rsidP="00D93858">
            <w:pPr>
              <w:keepNext/>
              <w:spacing w:before="60" w:after="60" w:line="288" w:lineRule="auto"/>
              <w:jc w:val="right"/>
              <w:rPr>
                <w:rFonts w:ascii="Times New Roman" w:hAnsi="Times New Roman" w:cs="Times New Roman"/>
                <w:szCs w:val="24"/>
              </w:rPr>
            </w:pPr>
            <w:r w:rsidRPr="00722811">
              <w:rPr>
                <w:rFonts w:ascii="Times New Roman" w:hAnsi="Times New Roman" w:cs="Times New Roman"/>
                <w:szCs w:val="24"/>
              </w:rPr>
              <w:t>Expected N</w:t>
            </w:r>
          </w:p>
        </w:tc>
      </w:tr>
      <w:tr w:rsidR="00782920" w14:paraId="56DBBC14" w14:textId="77777777" w:rsidTr="00FA2F4E">
        <w:tc>
          <w:tcPr>
            <w:tcW w:w="6840" w:type="dxa"/>
            <w:tcBorders>
              <w:top w:val="single" w:sz="4" w:space="0" w:color="auto"/>
            </w:tcBorders>
          </w:tcPr>
          <w:p w14:paraId="2FB0D8EE" w14:textId="19D26A82" w:rsidR="00782920" w:rsidRPr="00782920" w:rsidRDefault="00782920" w:rsidP="00D93858">
            <w:pPr>
              <w:pStyle w:val="ListParagraph"/>
              <w:keepNext/>
              <w:numPr>
                <w:ilvl w:val="0"/>
                <w:numId w:val="19"/>
              </w:numPr>
              <w:spacing w:after="160" w:line="288" w:lineRule="auto"/>
              <w:ind w:left="337"/>
              <w:rPr>
                <w:rFonts w:ascii="Times New Roman" w:hAnsi="Times New Roman" w:cs="Times New Roman"/>
                <w:szCs w:val="24"/>
              </w:rPr>
            </w:pPr>
            <w:r>
              <w:rPr>
                <w:rFonts w:ascii="Times New Roman" w:hAnsi="Times New Roman" w:cs="Times New Roman"/>
                <w:szCs w:val="24"/>
              </w:rPr>
              <w:t>LEAs with a potential arrest-related death identified from open</w:t>
            </w:r>
            <w:r w:rsidR="008D7039">
              <w:rPr>
                <w:rFonts w:ascii="Times New Roman" w:hAnsi="Times New Roman" w:cs="Times New Roman"/>
                <w:szCs w:val="24"/>
              </w:rPr>
              <w:t>-</w:t>
            </w:r>
            <w:r>
              <w:rPr>
                <w:rFonts w:ascii="Times New Roman" w:hAnsi="Times New Roman" w:cs="Times New Roman"/>
                <w:szCs w:val="24"/>
              </w:rPr>
              <w:t>source review</w:t>
            </w:r>
          </w:p>
        </w:tc>
        <w:tc>
          <w:tcPr>
            <w:tcW w:w="1530" w:type="dxa"/>
            <w:tcBorders>
              <w:top w:val="single" w:sz="4" w:space="0" w:color="auto"/>
            </w:tcBorders>
          </w:tcPr>
          <w:p w14:paraId="2E7EF076" w14:textId="77777777" w:rsidR="00782920" w:rsidRPr="00782920" w:rsidRDefault="006149A7" w:rsidP="00D93858">
            <w:pPr>
              <w:keepNext/>
              <w:spacing w:after="160" w:line="288" w:lineRule="auto"/>
              <w:jc w:val="right"/>
              <w:rPr>
                <w:rFonts w:ascii="Times New Roman" w:hAnsi="Times New Roman" w:cs="Times New Roman"/>
                <w:szCs w:val="24"/>
              </w:rPr>
            </w:pPr>
            <w:r>
              <w:rPr>
                <w:rFonts w:ascii="Times New Roman" w:hAnsi="Times New Roman" w:cs="Times New Roman"/>
                <w:szCs w:val="24"/>
              </w:rPr>
              <w:t>318</w:t>
            </w:r>
          </w:p>
        </w:tc>
      </w:tr>
      <w:tr w:rsidR="00782920" w14:paraId="7E5E5842" w14:textId="77777777" w:rsidTr="00FA2F4E">
        <w:tc>
          <w:tcPr>
            <w:tcW w:w="6840" w:type="dxa"/>
          </w:tcPr>
          <w:p w14:paraId="46CB239B" w14:textId="384CCE00" w:rsidR="00782920" w:rsidRPr="00782920" w:rsidRDefault="00782920" w:rsidP="00D93858">
            <w:pPr>
              <w:pStyle w:val="ListParagraph"/>
              <w:keepNext/>
              <w:numPr>
                <w:ilvl w:val="0"/>
                <w:numId w:val="19"/>
              </w:numPr>
              <w:spacing w:after="160" w:line="288" w:lineRule="auto"/>
              <w:ind w:left="337"/>
              <w:rPr>
                <w:rFonts w:ascii="Times New Roman" w:hAnsi="Times New Roman" w:cs="Times New Roman"/>
                <w:szCs w:val="24"/>
              </w:rPr>
            </w:pPr>
            <w:r>
              <w:rPr>
                <w:rFonts w:ascii="Times New Roman" w:hAnsi="Times New Roman" w:cs="Times New Roman"/>
                <w:szCs w:val="24"/>
              </w:rPr>
              <w:t xml:space="preserve">ME/Cs with concurrent jurisdiction </w:t>
            </w:r>
            <w:r w:rsidR="00802AEE">
              <w:rPr>
                <w:rFonts w:ascii="Times New Roman" w:hAnsi="Times New Roman" w:cs="Times New Roman"/>
                <w:szCs w:val="24"/>
              </w:rPr>
              <w:t xml:space="preserve">with </w:t>
            </w:r>
            <w:r>
              <w:rPr>
                <w:rFonts w:ascii="Times New Roman" w:hAnsi="Times New Roman" w:cs="Times New Roman"/>
                <w:szCs w:val="24"/>
              </w:rPr>
              <w:t>the LEAs in subsample 1</w:t>
            </w:r>
          </w:p>
        </w:tc>
        <w:tc>
          <w:tcPr>
            <w:tcW w:w="1530" w:type="dxa"/>
          </w:tcPr>
          <w:p w14:paraId="7A21D110" w14:textId="77777777" w:rsidR="00771EFC" w:rsidRPr="00782920" w:rsidRDefault="006149A7" w:rsidP="00D93858">
            <w:pPr>
              <w:keepNext/>
              <w:spacing w:after="160" w:line="288" w:lineRule="auto"/>
              <w:jc w:val="right"/>
              <w:rPr>
                <w:rFonts w:ascii="Times New Roman" w:hAnsi="Times New Roman" w:cs="Times New Roman"/>
                <w:szCs w:val="24"/>
              </w:rPr>
            </w:pPr>
            <w:r>
              <w:rPr>
                <w:rFonts w:ascii="Times New Roman" w:hAnsi="Times New Roman" w:cs="Times New Roman"/>
                <w:szCs w:val="24"/>
              </w:rPr>
              <w:t>29</w:t>
            </w:r>
            <w:r w:rsidR="00C65106">
              <w:rPr>
                <w:rFonts w:ascii="Times New Roman" w:hAnsi="Times New Roman" w:cs="Times New Roman"/>
                <w:szCs w:val="24"/>
              </w:rPr>
              <w:t>7</w:t>
            </w:r>
          </w:p>
        </w:tc>
      </w:tr>
      <w:tr w:rsidR="00782920" w14:paraId="705332A1" w14:textId="77777777" w:rsidTr="00FA2F4E">
        <w:tc>
          <w:tcPr>
            <w:tcW w:w="6840" w:type="dxa"/>
          </w:tcPr>
          <w:p w14:paraId="046CC927" w14:textId="7587A87E" w:rsidR="00782920" w:rsidRDefault="00782920" w:rsidP="00BA5799">
            <w:pPr>
              <w:pStyle w:val="ListParagraph"/>
              <w:keepNext/>
              <w:numPr>
                <w:ilvl w:val="0"/>
                <w:numId w:val="19"/>
              </w:numPr>
              <w:spacing w:after="160" w:line="288" w:lineRule="auto"/>
              <w:ind w:left="337"/>
              <w:rPr>
                <w:rFonts w:ascii="Times New Roman" w:hAnsi="Times New Roman" w:cs="Times New Roman"/>
                <w:szCs w:val="24"/>
              </w:rPr>
            </w:pPr>
            <w:r>
              <w:rPr>
                <w:rFonts w:ascii="Times New Roman" w:hAnsi="Times New Roman" w:cs="Times New Roman"/>
                <w:szCs w:val="24"/>
              </w:rPr>
              <w:t>LEAs without a potential arrest-related death ide</w:t>
            </w:r>
            <w:r w:rsidR="00BA5799">
              <w:rPr>
                <w:rFonts w:ascii="Times New Roman" w:hAnsi="Times New Roman" w:cs="Times New Roman"/>
                <w:szCs w:val="24"/>
              </w:rPr>
              <w:t>ntified from open</w:t>
            </w:r>
            <w:r w:rsidR="008D7039">
              <w:rPr>
                <w:rFonts w:ascii="Times New Roman" w:hAnsi="Times New Roman" w:cs="Times New Roman"/>
                <w:szCs w:val="24"/>
              </w:rPr>
              <w:t>-</w:t>
            </w:r>
            <w:r w:rsidR="00BA5799">
              <w:rPr>
                <w:rFonts w:ascii="Times New Roman" w:hAnsi="Times New Roman" w:cs="Times New Roman"/>
                <w:szCs w:val="24"/>
              </w:rPr>
              <w:t>source review</w:t>
            </w:r>
          </w:p>
        </w:tc>
        <w:tc>
          <w:tcPr>
            <w:tcW w:w="1530" w:type="dxa"/>
          </w:tcPr>
          <w:p w14:paraId="5C6D834E" w14:textId="2DB7CC7F" w:rsidR="00782920" w:rsidRPr="00782920" w:rsidRDefault="00A45CD4" w:rsidP="00D93858">
            <w:pPr>
              <w:keepNext/>
              <w:spacing w:after="160" w:line="288" w:lineRule="auto"/>
              <w:jc w:val="right"/>
              <w:rPr>
                <w:rFonts w:ascii="Times New Roman" w:hAnsi="Times New Roman" w:cs="Times New Roman"/>
                <w:szCs w:val="24"/>
              </w:rPr>
            </w:pPr>
            <w:r>
              <w:rPr>
                <w:rFonts w:ascii="Times New Roman" w:hAnsi="Times New Roman" w:cs="Times New Roman"/>
                <w:szCs w:val="24"/>
              </w:rPr>
              <w:t>585</w:t>
            </w:r>
          </w:p>
        </w:tc>
      </w:tr>
      <w:tr w:rsidR="00782920" w14:paraId="6E46E897" w14:textId="77777777" w:rsidTr="00FA2F4E">
        <w:tc>
          <w:tcPr>
            <w:tcW w:w="6840" w:type="dxa"/>
            <w:tcBorders>
              <w:bottom w:val="single" w:sz="4" w:space="0" w:color="auto"/>
            </w:tcBorders>
          </w:tcPr>
          <w:p w14:paraId="42CA4EE3" w14:textId="7057E973" w:rsidR="00782920" w:rsidRDefault="00782920" w:rsidP="00A45CD4">
            <w:pPr>
              <w:pStyle w:val="ListParagraph"/>
              <w:keepNext/>
              <w:numPr>
                <w:ilvl w:val="0"/>
                <w:numId w:val="19"/>
              </w:numPr>
              <w:spacing w:after="160" w:line="288" w:lineRule="auto"/>
              <w:ind w:left="337"/>
              <w:rPr>
                <w:rFonts w:ascii="Times New Roman" w:hAnsi="Times New Roman" w:cs="Times New Roman"/>
                <w:szCs w:val="24"/>
              </w:rPr>
            </w:pPr>
            <w:r>
              <w:rPr>
                <w:rFonts w:ascii="Times New Roman" w:hAnsi="Times New Roman" w:cs="Times New Roman"/>
                <w:szCs w:val="24"/>
              </w:rPr>
              <w:t xml:space="preserve">ME/Cs with concurrent jurisdiction </w:t>
            </w:r>
            <w:r w:rsidR="00802AEE">
              <w:rPr>
                <w:rFonts w:ascii="Times New Roman" w:hAnsi="Times New Roman" w:cs="Times New Roman"/>
                <w:szCs w:val="24"/>
              </w:rPr>
              <w:t xml:space="preserve">with </w:t>
            </w:r>
            <w:r>
              <w:rPr>
                <w:rFonts w:ascii="Times New Roman" w:hAnsi="Times New Roman" w:cs="Times New Roman"/>
                <w:szCs w:val="24"/>
              </w:rPr>
              <w:t xml:space="preserve">the LEAs in subsample </w:t>
            </w:r>
            <w:r w:rsidR="00A45CD4">
              <w:rPr>
                <w:rFonts w:ascii="Times New Roman" w:hAnsi="Times New Roman" w:cs="Times New Roman"/>
                <w:szCs w:val="24"/>
              </w:rPr>
              <w:t>3</w:t>
            </w:r>
          </w:p>
        </w:tc>
        <w:tc>
          <w:tcPr>
            <w:tcW w:w="1530" w:type="dxa"/>
            <w:tcBorders>
              <w:bottom w:val="single" w:sz="4" w:space="0" w:color="auto"/>
            </w:tcBorders>
          </w:tcPr>
          <w:p w14:paraId="664132CE" w14:textId="77FF00B1" w:rsidR="00782920" w:rsidRPr="00782920" w:rsidRDefault="00A45CD4" w:rsidP="00D93858">
            <w:pPr>
              <w:keepNext/>
              <w:spacing w:after="160" w:line="288" w:lineRule="auto"/>
              <w:jc w:val="right"/>
              <w:rPr>
                <w:rFonts w:ascii="Times New Roman" w:hAnsi="Times New Roman" w:cs="Times New Roman"/>
                <w:szCs w:val="24"/>
              </w:rPr>
            </w:pPr>
            <w:r>
              <w:rPr>
                <w:rFonts w:ascii="Times New Roman" w:hAnsi="Times New Roman" w:cs="Times New Roman"/>
                <w:szCs w:val="24"/>
              </w:rPr>
              <w:t>505</w:t>
            </w:r>
          </w:p>
        </w:tc>
      </w:tr>
      <w:tr w:rsidR="006149A7" w14:paraId="53CD70DE" w14:textId="77777777" w:rsidTr="00FA2F4E">
        <w:tc>
          <w:tcPr>
            <w:tcW w:w="6840" w:type="dxa"/>
            <w:tcBorders>
              <w:top w:val="single" w:sz="4" w:space="0" w:color="auto"/>
              <w:bottom w:val="single" w:sz="4" w:space="0" w:color="auto"/>
            </w:tcBorders>
          </w:tcPr>
          <w:p w14:paraId="3155EE4E" w14:textId="77777777" w:rsidR="006149A7" w:rsidRPr="006149A7" w:rsidRDefault="006149A7" w:rsidP="00722811">
            <w:pPr>
              <w:spacing w:before="60" w:after="60" w:line="288" w:lineRule="auto"/>
              <w:rPr>
                <w:rFonts w:ascii="Times New Roman" w:hAnsi="Times New Roman" w:cs="Times New Roman"/>
                <w:szCs w:val="24"/>
              </w:rPr>
            </w:pPr>
            <w:r w:rsidRPr="006149A7">
              <w:rPr>
                <w:rFonts w:ascii="Times New Roman" w:hAnsi="Times New Roman" w:cs="Times New Roman"/>
                <w:szCs w:val="24"/>
              </w:rPr>
              <w:t>Total number of agencies contacted</w:t>
            </w:r>
          </w:p>
        </w:tc>
        <w:tc>
          <w:tcPr>
            <w:tcW w:w="1530" w:type="dxa"/>
            <w:tcBorders>
              <w:top w:val="single" w:sz="4" w:space="0" w:color="auto"/>
              <w:bottom w:val="single" w:sz="4" w:space="0" w:color="auto"/>
            </w:tcBorders>
          </w:tcPr>
          <w:p w14:paraId="48A3ED25" w14:textId="763802B1" w:rsidR="006149A7" w:rsidRDefault="006149A7" w:rsidP="00A45CD4">
            <w:pPr>
              <w:spacing w:before="60" w:after="60" w:line="288" w:lineRule="auto"/>
              <w:jc w:val="right"/>
              <w:rPr>
                <w:rFonts w:ascii="Times New Roman" w:hAnsi="Times New Roman" w:cs="Times New Roman"/>
                <w:szCs w:val="24"/>
              </w:rPr>
            </w:pPr>
            <w:r>
              <w:rPr>
                <w:rFonts w:ascii="Times New Roman" w:hAnsi="Times New Roman" w:cs="Times New Roman"/>
                <w:szCs w:val="24"/>
              </w:rPr>
              <w:t>1</w:t>
            </w:r>
            <w:r w:rsidR="00A45CD4">
              <w:rPr>
                <w:rFonts w:ascii="Times New Roman" w:hAnsi="Times New Roman" w:cs="Times New Roman"/>
                <w:szCs w:val="24"/>
              </w:rPr>
              <w:t>,705</w:t>
            </w:r>
          </w:p>
        </w:tc>
      </w:tr>
    </w:tbl>
    <w:p w14:paraId="0B6FD8FB" w14:textId="77777777" w:rsidR="00782920" w:rsidRDefault="00782920" w:rsidP="007C542F">
      <w:pPr>
        <w:spacing w:after="160" w:line="288" w:lineRule="auto"/>
        <w:ind w:firstLine="360"/>
        <w:rPr>
          <w:rFonts w:ascii="Times New Roman" w:hAnsi="Times New Roman" w:cs="Times New Roman"/>
          <w:sz w:val="24"/>
          <w:szCs w:val="24"/>
        </w:rPr>
      </w:pPr>
    </w:p>
    <w:p w14:paraId="5CE3D0FA" w14:textId="6231EF00" w:rsidR="00F939A4" w:rsidRDefault="00782920"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Through open</w:t>
      </w:r>
      <w:r w:rsidR="008D7039">
        <w:rPr>
          <w:rFonts w:ascii="Times New Roman" w:hAnsi="Times New Roman" w:cs="Times New Roman"/>
          <w:sz w:val="24"/>
          <w:szCs w:val="24"/>
        </w:rPr>
        <w:t>-</w:t>
      </w:r>
      <w:r>
        <w:rPr>
          <w:rFonts w:ascii="Times New Roman" w:hAnsi="Times New Roman" w:cs="Times New Roman"/>
          <w:sz w:val="24"/>
          <w:szCs w:val="24"/>
        </w:rPr>
        <w:t>source review, BJS will first identify all LEAs with a potential arrest-related death occurring from June 1 through August 31, 2015</w:t>
      </w:r>
      <w:r w:rsidR="00F57391">
        <w:rPr>
          <w:rFonts w:ascii="Times New Roman" w:hAnsi="Times New Roman" w:cs="Times New Roman"/>
          <w:sz w:val="24"/>
          <w:szCs w:val="24"/>
        </w:rPr>
        <w:t xml:space="preserve"> (subsample 1)</w:t>
      </w:r>
      <w:r>
        <w:rPr>
          <w:rFonts w:ascii="Times New Roman" w:hAnsi="Times New Roman" w:cs="Times New Roman"/>
          <w:sz w:val="24"/>
          <w:szCs w:val="24"/>
        </w:rPr>
        <w:t>. These LEAs will then be matched to ME/Cs with concurrent jurisdict</w:t>
      </w:r>
      <w:r w:rsidR="00722811">
        <w:rPr>
          <w:rFonts w:ascii="Times New Roman" w:hAnsi="Times New Roman" w:cs="Times New Roman"/>
          <w:sz w:val="24"/>
          <w:szCs w:val="24"/>
        </w:rPr>
        <w:t xml:space="preserve">ion to form subsample 2. </w:t>
      </w:r>
    </w:p>
    <w:p w14:paraId="2E253B6E" w14:textId="05C1E827" w:rsidR="006D479F" w:rsidRDefault="00F57391"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Relying on the list of ARD Program-eligible agencies developed from the BJS 2014 Census of State and Local Law Enforcement Agencies (CSLLEA) frame, the remaining eligible LEAs </w:t>
      </w:r>
      <w:r w:rsidR="00AD0849">
        <w:rPr>
          <w:rFonts w:ascii="Times New Roman" w:hAnsi="Times New Roman" w:cs="Times New Roman"/>
          <w:sz w:val="24"/>
          <w:szCs w:val="24"/>
        </w:rPr>
        <w:t>will divided into two sampling strata based on agency size</w:t>
      </w:r>
      <w:r w:rsidR="00FF4B27">
        <w:rPr>
          <w:rFonts w:ascii="Times New Roman" w:hAnsi="Times New Roman" w:cs="Times New Roman"/>
          <w:sz w:val="24"/>
          <w:szCs w:val="24"/>
        </w:rPr>
        <w:t xml:space="preserve"> to form subsample 3</w:t>
      </w:r>
      <w:r w:rsidR="00782920">
        <w:rPr>
          <w:rFonts w:ascii="Times New Roman" w:hAnsi="Times New Roman" w:cs="Times New Roman"/>
          <w:sz w:val="24"/>
          <w:szCs w:val="24"/>
        </w:rPr>
        <w:t>.</w:t>
      </w:r>
      <w:r w:rsidR="00AD0849">
        <w:rPr>
          <w:rFonts w:ascii="Times New Roman" w:hAnsi="Times New Roman" w:cs="Times New Roman"/>
          <w:sz w:val="24"/>
          <w:szCs w:val="24"/>
        </w:rPr>
        <w:t xml:space="preserve"> Any </w:t>
      </w:r>
      <w:r w:rsidR="00782920">
        <w:rPr>
          <w:rFonts w:ascii="Times New Roman" w:hAnsi="Times New Roman" w:cs="Times New Roman"/>
          <w:sz w:val="24"/>
          <w:szCs w:val="24"/>
        </w:rPr>
        <w:t>a</w:t>
      </w:r>
      <w:r w:rsidR="00AD0849">
        <w:rPr>
          <w:rFonts w:ascii="Times New Roman" w:hAnsi="Times New Roman" w:cs="Times New Roman"/>
          <w:sz w:val="24"/>
          <w:szCs w:val="24"/>
        </w:rPr>
        <w:t>gency with 500 or more fu</w:t>
      </w:r>
      <w:r w:rsidR="00782920">
        <w:rPr>
          <w:rFonts w:ascii="Times New Roman" w:hAnsi="Times New Roman" w:cs="Times New Roman"/>
          <w:sz w:val="24"/>
          <w:szCs w:val="24"/>
        </w:rPr>
        <w:t>ll-time sworn officers (FTSOs)</w:t>
      </w:r>
      <w:r w:rsidR="00AD0849">
        <w:rPr>
          <w:rFonts w:ascii="Times New Roman" w:hAnsi="Times New Roman" w:cs="Times New Roman"/>
          <w:sz w:val="24"/>
          <w:szCs w:val="24"/>
        </w:rPr>
        <w:t xml:space="preserve"> will be sampled with certainty.</w:t>
      </w:r>
      <w:r w:rsidR="00FF4B27">
        <w:rPr>
          <w:rStyle w:val="FootnoteReference"/>
          <w:rFonts w:ascii="Times New Roman" w:hAnsi="Times New Roman" w:cs="Times New Roman"/>
          <w:sz w:val="24"/>
          <w:szCs w:val="24"/>
        </w:rPr>
        <w:footnoteReference w:id="5"/>
      </w:r>
      <w:r w:rsidR="00AD0849">
        <w:rPr>
          <w:rFonts w:ascii="Times New Roman" w:hAnsi="Times New Roman" w:cs="Times New Roman"/>
          <w:sz w:val="24"/>
          <w:szCs w:val="24"/>
        </w:rPr>
        <w:t xml:space="preserve"> The remaining stratum will contain all other in-scope agencies, and these agencies will be sampled via simple random sampling (SRS) to achieve a noncertainty stratum sample size of 500 agencies. </w:t>
      </w:r>
      <w:r w:rsidR="006D479F">
        <w:rPr>
          <w:rFonts w:ascii="Times New Roman" w:hAnsi="Times New Roman" w:cs="Times New Roman"/>
          <w:sz w:val="24"/>
          <w:szCs w:val="24"/>
        </w:rPr>
        <w:t xml:space="preserve">The non-certainty stratum sample size was determined by power analyses and designed to support a confidence interval </w:t>
      </w:r>
      <w:r w:rsidR="006D479F" w:rsidRPr="006D479F">
        <w:rPr>
          <w:rFonts w:ascii="Times New Roman" w:hAnsi="Times New Roman" w:cs="Times New Roman"/>
          <w:sz w:val="24"/>
          <w:szCs w:val="24"/>
        </w:rPr>
        <w:t>ranging from +/-1pt to +/-3pts (</w:t>
      </w:r>
      <w:r w:rsidR="006D479F">
        <w:rPr>
          <w:rFonts w:ascii="Times New Roman" w:hAnsi="Times New Roman" w:cs="Times New Roman"/>
          <w:sz w:val="24"/>
          <w:szCs w:val="24"/>
        </w:rPr>
        <w:t xml:space="preserve">see the </w:t>
      </w:r>
      <w:r w:rsidR="006D479F" w:rsidRPr="006D479F">
        <w:rPr>
          <w:rFonts w:ascii="Times New Roman" w:hAnsi="Times New Roman" w:cs="Times New Roman"/>
          <w:sz w:val="24"/>
          <w:szCs w:val="24"/>
        </w:rPr>
        <w:t>shaded region</w:t>
      </w:r>
      <w:r w:rsidR="006D479F">
        <w:rPr>
          <w:rFonts w:ascii="Times New Roman" w:hAnsi="Times New Roman" w:cs="Times New Roman"/>
          <w:sz w:val="24"/>
          <w:szCs w:val="24"/>
        </w:rPr>
        <w:t xml:space="preserve"> in Table 2 below</w:t>
      </w:r>
      <w:r w:rsidR="006D479F" w:rsidRPr="006D479F">
        <w:rPr>
          <w:rFonts w:ascii="Times New Roman" w:hAnsi="Times New Roman" w:cs="Times New Roman"/>
          <w:sz w:val="24"/>
          <w:szCs w:val="24"/>
        </w:rPr>
        <w:t>).</w:t>
      </w:r>
      <w:r w:rsidR="006D479F">
        <w:rPr>
          <w:rFonts w:ascii="Times New Roman" w:hAnsi="Times New Roman" w:cs="Times New Roman"/>
          <w:sz w:val="24"/>
          <w:szCs w:val="24"/>
        </w:rPr>
        <w:t xml:space="preserve"> </w:t>
      </w:r>
    </w:p>
    <w:tbl>
      <w:tblPr>
        <w:tblW w:w="8030" w:type="dxa"/>
        <w:tblInd w:w="-1" w:type="dxa"/>
        <w:tblCellMar>
          <w:left w:w="0" w:type="dxa"/>
          <w:right w:w="0" w:type="dxa"/>
        </w:tblCellMar>
        <w:tblLook w:val="04A0" w:firstRow="1" w:lastRow="0" w:firstColumn="1" w:lastColumn="0" w:noHBand="0" w:noVBand="1"/>
      </w:tblPr>
      <w:tblGrid>
        <w:gridCol w:w="1123"/>
        <w:gridCol w:w="1150"/>
        <w:gridCol w:w="855"/>
        <w:gridCol w:w="1033"/>
        <w:gridCol w:w="968"/>
        <w:gridCol w:w="968"/>
        <w:gridCol w:w="968"/>
        <w:gridCol w:w="968"/>
      </w:tblGrid>
      <w:tr w:rsidR="006D479F" w:rsidRPr="006D479F" w14:paraId="2D499723" w14:textId="77777777" w:rsidTr="00470687">
        <w:trPr>
          <w:trHeight w:val="288"/>
        </w:trPr>
        <w:tc>
          <w:tcPr>
            <w:tcW w:w="8030" w:type="dxa"/>
            <w:gridSpan w:val="8"/>
            <w:tcBorders>
              <w:bottom w:val="single" w:sz="4" w:space="0" w:color="auto"/>
            </w:tcBorders>
            <w:tcMar>
              <w:top w:w="0" w:type="dxa"/>
              <w:left w:w="108" w:type="dxa"/>
              <w:bottom w:w="0" w:type="dxa"/>
              <w:right w:w="108" w:type="dxa"/>
            </w:tcMar>
            <w:vAlign w:val="bottom"/>
          </w:tcPr>
          <w:p w14:paraId="3D66D6C2" w14:textId="3FB39FD6" w:rsidR="006D479F" w:rsidRPr="006D479F" w:rsidRDefault="006D479F" w:rsidP="00470687">
            <w:pPr>
              <w:keepNext/>
              <w:spacing w:before="160" w:after="160" w:line="288"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2. Sample size options by assumed hit rate and confidence interval</w:t>
            </w:r>
          </w:p>
        </w:tc>
      </w:tr>
      <w:tr w:rsidR="006D479F" w:rsidRPr="006D479F" w14:paraId="1EF8B49E" w14:textId="77777777" w:rsidTr="00470687">
        <w:trPr>
          <w:trHeight w:val="288"/>
        </w:trPr>
        <w:tc>
          <w:tcPr>
            <w:tcW w:w="1120" w:type="dxa"/>
            <w:vMerge w:val="restart"/>
            <w:tcBorders>
              <w:top w:val="single" w:sz="4" w:space="0" w:color="auto"/>
            </w:tcBorders>
            <w:tcMar>
              <w:top w:w="0" w:type="dxa"/>
              <w:left w:w="108" w:type="dxa"/>
              <w:bottom w:w="0" w:type="dxa"/>
              <w:right w:w="108" w:type="dxa"/>
            </w:tcMar>
            <w:vAlign w:val="bottom"/>
            <w:hideMark/>
          </w:tcPr>
          <w:p w14:paraId="1A6B273D" w14:textId="06BF8B58" w:rsidR="006D479F" w:rsidRPr="006D479F" w:rsidRDefault="00470687" w:rsidP="00470687">
            <w:pPr>
              <w:keepNext/>
              <w:spacing w:after="0" w:line="288" w:lineRule="auto"/>
              <w:rPr>
                <w:rFonts w:ascii="Times New Roman" w:hAnsi="Times New Roman" w:cs="Times New Roman"/>
                <w:b/>
                <w:bCs/>
                <w:sz w:val="24"/>
                <w:szCs w:val="24"/>
              </w:rPr>
            </w:pPr>
            <w:r>
              <w:rPr>
                <w:rFonts w:ascii="Times New Roman" w:hAnsi="Times New Roman" w:cs="Times New Roman"/>
                <w:b/>
                <w:bCs/>
                <w:sz w:val="24"/>
                <w:szCs w:val="24"/>
              </w:rPr>
              <w:t>Universe</w:t>
            </w:r>
          </w:p>
        </w:tc>
        <w:tc>
          <w:tcPr>
            <w:tcW w:w="1150" w:type="dxa"/>
            <w:vMerge w:val="restart"/>
            <w:tcBorders>
              <w:top w:val="single" w:sz="4" w:space="0" w:color="auto"/>
            </w:tcBorders>
            <w:tcMar>
              <w:top w:w="0" w:type="dxa"/>
              <w:left w:w="108" w:type="dxa"/>
              <w:bottom w:w="0" w:type="dxa"/>
              <w:right w:w="108" w:type="dxa"/>
            </w:tcMar>
            <w:vAlign w:val="bottom"/>
            <w:hideMark/>
          </w:tcPr>
          <w:p w14:paraId="1BCD196B"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Assumed Hit Rate</w:t>
            </w:r>
          </w:p>
        </w:tc>
        <w:tc>
          <w:tcPr>
            <w:tcW w:w="5760" w:type="dxa"/>
            <w:gridSpan w:val="6"/>
            <w:tcBorders>
              <w:top w:val="single" w:sz="4" w:space="0" w:color="auto"/>
              <w:bottom w:val="single" w:sz="4" w:space="0" w:color="auto"/>
            </w:tcBorders>
            <w:noWrap/>
            <w:tcMar>
              <w:top w:w="0" w:type="dxa"/>
              <w:left w:w="108" w:type="dxa"/>
              <w:bottom w:w="0" w:type="dxa"/>
              <w:right w:w="108" w:type="dxa"/>
            </w:tcMar>
            <w:vAlign w:val="bottom"/>
            <w:hideMark/>
          </w:tcPr>
          <w:p w14:paraId="2654D193"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Confidence Interval Width for Proportion Estimate</w:t>
            </w:r>
          </w:p>
        </w:tc>
      </w:tr>
      <w:tr w:rsidR="006D479F" w:rsidRPr="006D479F" w14:paraId="67DFF831" w14:textId="77777777" w:rsidTr="00470687">
        <w:trPr>
          <w:trHeight w:val="600"/>
        </w:trPr>
        <w:tc>
          <w:tcPr>
            <w:tcW w:w="0" w:type="auto"/>
            <w:vMerge/>
            <w:tcBorders>
              <w:top w:val="single" w:sz="4" w:space="0" w:color="auto"/>
              <w:bottom w:val="single" w:sz="4" w:space="0" w:color="auto"/>
            </w:tcBorders>
            <w:vAlign w:val="center"/>
            <w:hideMark/>
          </w:tcPr>
          <w:p w14:paraId="4635DE6D" w14:textId="77777777" w:rsidR="006D479F" w:rsidRPr="006D479F" w:rsidRDefault="006D479F" w:rsidP="00470687">
            <w:pPr>
              <w:keepNext/>
              <w:spacing w:after="0" w:line="288" w:lineRule="auto"/>
              <w:rPr>
                <w:rFonts w:ascii="Times New Roman" w:hAnsi="Times New Roman" w:cs="Times New Roman"/>
                <w:b/>
                <w:bCs/>
                <w:sz w:val="24"/>
                <w:szCs w:val="24"/>
              </w:rPr>
            </w:pPr>
          </w:p>
        </w:tc>
        <w:tc>
          <w:tcPr>
            <w:tcW w:w="0" w:type="auto"/>
            <w:vMerge/>
            <w:tcBorders>
              <w:top w:val="single" w:sz="4" w:space="0" w:color="auto"/>
              <w:bottom w:val="single" w:sz="4" w:space="0" w:color="auto"/>
            </w:tcBorders>
            <w:vAlign w:val="center"/>
            <w:hideMark/>
          </w:tcPr>
          <w:p w14:paraId="1BA2CAF3" w14:textId="77777777" w:rsidR="006D479F" w:rsidRPr="006D479F" w:rsidRDefault="006D479F" w:rsidP="00470687">
            <w:pPr>
              <w:keepNext/>
              <w:spacing w:after="0" w:line="288" w:lineRule="auto"/>
              <w:rPr>
                <w:rFonts w:ascii="Times New Roman" w:hAnsi="Times New Roman" w:cs="Times New Roman"/>
                <w:b/>
                <w:bCs/>
                <w:sz w:val="24"/>
                <w:szCs w:val="24"/>
              </w:rPr>
            </w:pPr>
          </w:p>
        </w:tc>
        <w:tc>
          <w:tcPr>
            <w:tcW w:w="855" w:type="dxa"/>
            <w:tcBorders>
              <w:top w:val="single" w:sz="4" w:space="0" w:color="auto"/>
              <w:bottom w:val="single" w:sz="4" w:space="0" w:color="auto"/>
            </w:tcBorders>
            <w:noWrap/>
            <w:tcMar>
              <w:top w:w="0" w:type="dxa"/>
              <w:left w:w="108" w:type="dxa"/>
              <w:bottom w:w="0" w:type="dxa"/>
              <w:right w:w="108" w:type="dxa"/>
            </w:tcMar>
            <w:vAlign w:val="bottom"/>
            <w:hideMark/>
          </w:tcPr>
          <w:p w14:paraId="4F508D77"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+/- 1pt</w:t>
            </w:r>
          </w:p>
        </w:tc>
        <w:tc>
          <w:tcPr>
            <w:tcW w:w="1033" w:type="dxa"/>
            <w:tcBorders>
              <w:top w:val="single" w:sz="4" w:space="0" w:color="auto"/>
              <w:bottom w:val="single" w:sz="4" w:space="0" w:color="auto"/>
            </w:tcBorders>
            <w:noWrap/>
            <w:tcMar>
              <w:top w:w="0" w:type="dxa"/>
              <w:left w:w="108" w:type="dxa"/>
              <w:bottom w:w="0" w:type="dxa"/>
              <w:right w:w="108" w:type="dxa"/>
            </w:tcMar>
            <w:vAlign w:val="bottom"/>
            <w:hideMark/>
          </w:tcPr>
          <w:p w14:paraId="604FE91E"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+/- 2 pts</w:t>
            </w:r>
          </w:p>
        </w:tc>
        <w:tc>
          <w:tcPr>
            <w:tcW w:w="968" w:type="dxa"/>
            <w:tcBorders>
              <w:top w:val="single" w:sz="4" w:space="0" w:color="auto"/>
              <w:bottom w:val="single" w:sz="4" w:space="0" w:color="auto"/>
            </w:tcBorders>
            <w:noWrap/>
            <w:tcMar>
              <w:top w:w="0" w:type="dxa"/>
              <w:left w:w="108" w:type="dxa"/>
              <w:bottom w:w="0" w:type="dxa"/>
              <w:right w:w="108" w:type="dxa"/>
            </w:tcMar>
            <w:vAlign w:val="bottom"/>
            <w:hideMark/>
          </w:tcPr>
          <w:p w14:paraId="74AF0A66"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+/- 3pts</w:t>
            </w:r>
          </w:p>
        </w:tc>
        <w:tc>
          <w:tcPr>
            <w:tcW w:w="968" w:type="dxa"/>
            <w:tcBorders>
              <w:top w:val="single" w:sz="4" w:space="0" w:color="auto"/>
              <w:bottom w:val="single" w:sz="4" w:space="0" w:color="auto"/>
            </w:tcBorders>
            <w:noWrap/>
            <w:tcMar>
              <w:top w:w="0" w:type="dxa"/>
              <w:left w:w="108" w:type="dxa"/>
              <w:bottom w:w="0" w:type="dxa"/>
              <w:right w:w="108" w:type="dxa"/>
            </w:tcMar>
            <w:vAlign w:val="bottom"/>
            <w:hideMark/>
          </w:tcPr>
          <w:p w14:paraId="7A2ED779"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+/- 4pts</w:t>
            </w:r>
          </w:p>
        </w:tc>
        <w:tc>
          <w:tcPr>
            <w:tcW w:w="968" w:type="dxa"/>
            <w:tcBorders>
              <w:top w:val="single" w:sz="4" w:space="0" w:color="auto"/>
              <w:bottom w:val="single" w:sz="4" w:space="0" w:color="auto"/>
            </w:tcBorders>
            <w:noWrap/>
            <w:tcMar>
              <w:top w:w="0" w:type="dxa"/>
              <w:left w:w="108" w:type="dxa"/>
              <w:bottom w:w="0" w:type="dxa"/>
              <w:right w:w="108" w:type="dxa"/>
            </w:tcMar>
            <w:vAlign w:val="bottom"/>
            <w:hideMark/>
          </w:tcPr>
          <w:p w14:paraId="720D36DD"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+/- 5pts</w:t>
            </w:r>
          </w:p>
        </w:tc>
        <w:tc>
          <w:tcPr>
            <w:tcW w:w="968" w:type="dxa"/>
            <w:tcBorders>
              <w:top w:val="single" w:sz="4" w:space="0" w:color="auto"/>
              <w:bottom w:val="single" w:sz="4" w:space="0" w:color="auto"/>
            </w:tcBorders>
            <w:noWrap/>
            <w:tcMar>
              <w:top w:w="0" w:type="dxa"/>
              <w:left w:w="108" w:type="dxa"/>
              <w:bottom w:w="0" w:type="dxa"/>
              <w:right w:w="108" w:type="dxa"/>
            </w:tcMar>
            <w:vAlign w:val="bottom"/>
            <w:hideMark/>
          </w:tcPr>
          <w:p w14:paraId="7FFEAA80" w14:textId="77777777" w:rsidR="006D479F" w:rsidRPr="006D479F" w:rsidRDefault="006D479F" w:rsidP="00470687">
            <w:pPr>
              <w:keepNext/>
              <w:spacing w:after="0" w:line="288" w:lineRule="auto"/>
              <w:rPr>
                <w:rFonts w:ascii="Times New Roman" w:hAnsi="Times New Roman" w:cs="Times New Roman"/>
                <w:b/>
                <w:bCs/>
                <w:sz w:val="24"/>
                <w:szCs w:val="24"/>
              </w:rPr>
            </w:pPr>
            <w:r w:rsidRPr="006D479F">
              <w:rPr>
                <w:rFonts w:ascii="Times New Roman" w:hAnsi="Times New Roman" w:cs="Times New Roman"/>
                <w:b/>
                <w:bCs/>
                <w:sz w:val="24"/>
                <w:szCs w:val="24"/>
              </w:rPr>
              <w:t>+/- 6pts</w:t>
            </w:r>
          </w:p>
        </w:tc>
      </w:tr>
      <w:tr w:rsidR="006D479F" w:rsidRPr="006D479F" w14:paraId="6DA2D22E" w14:textId="77777777" w:rsidTr="00470687">
        <w:trPr>
          <w:trHeight w:val="300"/>
        </w:trPr>
        <w:tc>
          <w:tcPr>
            <w:tcW w:w="1120" w:type="dxa"/>
            <w:tcBorders>
              <w:top w:val="single" w:sz="4" w:space="0" w:color="auto"/>
            </w:tcBorders>
            <w:noWrap/>
            <w:tcMar>
              <w:top w:w="0" w:type="dxa"/>
              <w:left w:w="108" w:type="dxa"/>
              <w:bottom w:w="0" w:type="dxa"/>
              <w:right w:w="108" w:type="dxa"/>
            </w:tcMar>
            <w:vAlign w:val="bottom"/>
            <w:hideMark/>
          </w:tcPr>
          <w:p w14:paraId="16416E35"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tcBorders>
              <w:top w:val="single" w:sz="4" w:space="0" w:color="auto"/>
            </w:tcBorders>
            <w:noWrap/>
            <w:tcMar>
              <w:top w:w="0" w:type="dxa"/>
              <w:left w:w="108" w:type="dxa"/>
              <w:bottom w:w="0" w:type="dxa"/>
              <w:right w:w="108" w:type="dxa"/>
            </w:tcMar>
            <w:vAlign w:val="bottom"/>
            <w:hideMark/>
          </w:tcPr>
          <w:p w14:paraId="672DAB23"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1.00%</w:t>
            </w:r>
          </w:p>
        </w:tc>
        <w:tc>
          <w:tcPr>
            <w:tcW w:w="855" w:type="dxa"/>
            <w:tcBorders>
              <w:top w:val="single" w:sz="4" w:space="0" w:color="auto"/>
            </w:tcBorders>
            <w:shd w:val="clear" w:color="auto" w:fill="D9D9D9"/>
            <w:noWrap/>
            <w:tcMar>
              <w:top w:w="0" w:type="dxa"/>
              <w:left w:w="108" w:type="dxa"/>
              <w:bottom w:w="0" w:type="dxa"/>
              <w:right w:w="108" w:type="dxa"/>
            </w:tcMar>
            <w:vAlign w:val="bottom"/>
            <w:hideMark/>
          </w:tcPr>
          <w:p w14:paraId="5E0B4D48"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373</w:t>
            </w:r>
          </w:p>
        </w:tc>
        <w:tc>
          <w:tcPr>
            <w:tcW w:w="1033" w:type="dxa"/>
            <w:tcBorders>
              <w:top w:val="single" w:sz="4" w:space="0" w:color="auto"/>
            </w:tcBorders>
            <w:noWrap/>
            <w:tcMar>
              <w:top w:w="0" w:type="dxa"/>
              <w:left w:w="108" w:type="dxa"/>
              <w:bottom w:w="0" w:type="dxa"/>
              <w:right w:w="108" w:type="dxa"/>
            </w:tcMar>
            <w:vAlign w:val="bottom"/>
            <w:hideMark/>
          </w:tcPr>
          <w:p w14:paraId="72A0AEC0"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95</w:t>
            </w:r>
          </w:p>
        </w:tc>
        <w:tc>
          <w:tcPr>
            <w:tcW w:w="968" w:type="dxa"/>
            <w:tcBorders>
              <w:top w:val="single" w:sz="4" w:space="0" w:color="auto"/>
            </w:tcBorders>
            <w:noWrap/>
            <w:tcMar>
              <w:top w:w="0" w:type="dxa"/>
              <w:left w:w="108" w:type="dxa"/>
              <w:bottom w:w="0" w:type="dxa"/>
              <w:right w:w="108" w:type="dxa"/>
            </w:tcMar>
            <w:vAlign w:val="bottom"/>
            <w:hideMark/>
          </w:tcPr>
          <w:p w14:paraId="195CF5A9"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43</w:t>
            </w:r>
          </w:p>
        </w:tc>
        <w:tc>
          <w:tcPr>
            <w:tcW w:w="968" w:type="dxa"/>
            <w:tcBorders>
              <w:top w:val="single" w:sz="4" w:space="0" w:color="auto"/>
            </w:tcBorders>
            <w:noWrap/>
            <w:tcMar>
              <w:top w:w="0" w:type="dxa"/>
              <w:left w:w="108" w:type="dxa"/>
              <w:bottom w:w="0" w:type="dxa"/>
              <w:right w:w="108" w:type="dxa"/>
            </w:tcMar>
            <w:vAlign w:val="bottom"/>
            <w:hideMark/>
          </w:tcPr>
          <w:p w14:paraId="1E491C41"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24</w:t>
            </w:r>
          </w:p>
        </w:tc>
        <w:tc>
          <w:tcPr>
            <w:tcW w:w="968" w:type="dxa"/>
            <w:tcBorders>
              <w:top w:val="single" w:sz="4" w:space="0" w:color="auto"/>
            </w:tcBorders>
            <w:noWrap/>
            <w:tcMar>
              <w:top w:w="0" w:type="dxa"/>
              <w:left w:w="108" w:type="dxa"/>
              <w:bottom w:w="0" w:type="dxa"/>
              <w:right w:w="108" w:type="dxa"/>
            </w:tcMar>
            <w:vAlign w:val="bottom"/>
            <w:hideMark/>
          </w:tcPr>
          <w:p w14:paraId="75CDA481"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16</w:t>
            </w:r>
          </w:p>
        </w:tc>
        <w:tc>
          <w:tcPr>
            <w:tcW w:w="968" w:type="dxa"/>
            <w:tcBorders>
              <w:top w:val="single" w:sz="4" w:space="0" w:color="auto"/>
            </w:tcBorders>
            <w:noWrap/>
            <w:tcMar>
              <w:top w:w="0" w:type="dxa"/>
              <w:left w:w="108" w:type="dxa"/>
              <w:bottom w:w="0" w:type="dxa"/>
              <w:right w:w="108" w:type="dxa"/>
            </w:tcMar>
            <w:vAlign w:val="bottom"/>
            <w:hideMark/>
          </w:tcPr>
          <w:p w14:paraId="6D2CE039"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11</w:t>
            </w:r>
          </w:p>
        </w:tc>
      </w:tr>
      <w:tr w:rsidR="006D479F" w:rsidRPr="006D479F" w14:paraId="4AA035A6" w14:textId="77777777" w:rsidTr="00470687">
        <w:trPr>
          <w:trHeight w:val="300"/>
        </w:trPr>
        <w:tc>
          <w:tcPr>
            <w:tcW w:w="1120" w:type="dxa"/>
            <w:noWrap/>
            <w:tcMar>
              <w:top w:w="0" w:type="dxa"/>
              <w:left w:w="108" w:type="dxa"/>
              <w:bottom w:w="0" w:type="dxa"/>
              <w:right w:w="108" w:type="dxa"/>
            </w:tcMar>
            <w:vAlign w:val="bottom"/>
            <w:hideMark/>
          </w:tcPr>
          <w:p w14:paraId="1A662912"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5C4262D7"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2.00%</w:t>
            </w:r>
          </w:p>
        </w:tc>
        <w:tc>
          <w:tcPr>
            <w:tcW w:w="855" w:type="dxa"/>
            <w:shd w:val="clear" w:color="auto" w:fill="D9D9D9"/>
            <w:noWrap/>
            <w:tcMar>
              <w:top w:w="0" w:type="dxa"/>
              <w:left w:w="108" w:type="dxa"/>
              <w:bottom w:w="0" w:type="dxa"/>
              <w:right w:w="108" w:type="dxa"/>
            </w:tcMar>
            <w:vAlign w:val="bottom"/>
            <w:hideMark/>
          </w:tcPr>
          <w:p w14:paraId="79D6C0F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724</w:t>
            </w:r>
          </w:p>
        </w:tc>
        <w:tc>
          <w:tcPr>
            <w:tcW w:w="1033" w:type="dxa"/>
            <w:shd w:val="clear" w:color="auto" w:fill="D9D9D9"/>
            <w:noWrap/>
            <w:tcMar>
              <w:top w:w="0" w:type="dxa"/>
              <w:left w:w="108" w:type="dxa"/>
              <w:bottom w:w="0" w:type="dxa"/>
              <w:right w:w="108" w:type="dxa"/>
            </w:tcMar>
            <w:vAlign w:val="bottom"/>
            <w:hideMark/>
          </w:tcPr>
          <w:p w14:paraId="3EB6F03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187</w:t>
            </w:r>
          </w:p>
        </w:tc>
        <w:tc>
          <w:tcPr>
            <w:tcW w:w="968" w:type="dxa"/>
            <w:noWrap/>
            <w:tcMar>
              <w:top w:w="0" w:type="dxa"/>
              <w:left w:w="108" w:type="dxa"/>
              <w:bottom w:w="0" w:type="dxa"/>
              <w:right w:w="108" w:type="dxa"/>
            </w:tcMar>
            <w:vAlign w:val="bottom"/>
            <w:hideMark/>
          </w:tcPr>
          <w:p w14:paraId="0B2B733D"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84</w:t>
            </w:r>
          </w:p>
        </w:tc>
        <w:tc>
          <w:tcPr>
            <w:tcW w:w="968" w:type="dxa"/>
            <w:noWrap/>
            <w:tcMar>
              <w:top w:w="0" w:type="dxa"/>
              <w:left w:w="108" w:type="dxa"/>
              <w:bottom w:w="0" w:type="dxa"/>
              <w:right w:w="108" w:type="dxa"/>
            </w:tcMar>
            <w:vAlign w:val="bottom"/>
            <w:hideMark/>
          </w:tcPr>
          <w:p w14:paraId="1CF0902D"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47</w:t>
            </w:r>
          </w:p>
        </w:tc>
        <w:tc>
          <w:tcPr>
            <w:tcW w:w="968" w:type="dxa"/>
            <w:noWrap/>
            <w:tcMar>
              <w:top w:w="0" w:type="dxa"/>
              <w:left w:w="108" w:type="dxa"/>
              <w:bottom w:w="0" w:type="dxa"/>
              <w:right w:w="108" w:type="dxa"/>
            </w:tcMar>
            <w:vAlign w:val="bottom"/>
            <w:hideMark/>
          </w:tcPr>
          <w:p w14:paraId="53D7DDD8"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31</w:t>
            </w:r>
          </w:p>
        </w:tc>
        <w:tc>
          <w:tcPr>
            <w:tcW w:w="968" w:type="dxa"/>
            <w:noWrap/>
            <w:tcMar>
              <w:top w:w="0" w:type="dxa"/>
              <w:left w:w="108" w:type="dxa"/>
              <w:bottom w:w="0" w:type="dxa"/>
              <w:right w:w="108" w:type="dxa"/>
            </w:tcMar>
            <w:vAlign w:val="bottom"/>
            <w:hideMark/>
          </w:tcPr>
          <w:p w14:paraId="1B669CF5"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21</w:t>
            </w:r>
          </w:p>
        </w:tc>
      </w:tr>
      <w:tr w:rsidR="006D479F" w:rsidRPr="006D479F" w14:paraId="6AD29F90" w14:textId="77777777" w:rsidTr="00470687">
        <w:trPr>
          <w:trHeight w:val="300"/>
        </w:trPr>
        <w:tc>
          <w:tcPr>
            <w:tcW w:w="1120" w:type="dxa"/>
            <w:noWrap/>
            <w:tcMar>
              <w:top w:w="0" w:type="dxa"/>
              <w:left w:w="108" w:type="dxa"/>
              <w:bottom w:w="0" w:type="dxa"/>
              <w:right w:w="108" w:type="dxa"/>
            </w:tcMar>
            <w:vAlign w:val="bottom"/>
            <w:hideMark/>
          </w:tcPr>
          <w:p w14:paraId="7F37088D"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7D5014F6"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3.00%</w:t>
            </w:r>
          </w:p>
        </w:tc>
        <w:tc>
          <w:tcPr>
            <w:tcW w:w="855" w:type="dxa"/>
            <w:shd w:val="clear" w:color="auto" w:fill="D9D9D9"/>
            <w:noWrap/>
            <w:tcMar>
              <w:top w:w="0" w:type="dxa"/>
              <w:left w:w="108" w:type="dxa"/>
              <w:bottom w:w="0" w:type="dxa"/>
              <w:right w:w="108" w:type="dxa"/>
            </w:tcMar>
            <w:vAlign w:val="bottom"/>
            <w:hideMark/>
          </w:tcPr>
          <w:p w14:paraId="0441186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1055</w:t>
            </w:r>
          </w:p>
        </w:tc>
        <w:tc>
          <w:tcPr>
            <w:tcW w:w="1033" w:type="dxa"/>
            <w:shd w:val="clear" w:color="auto" w:fill="D9D9D9"/>
            <w:noWrap/>
            <w:tcMar>
              <w:top w:w="0" w:type="dxa"/>
              <w:left w:w="108" w:type="dxa"/>
              <w:bottom w:w="0" w:type="dxa"/>
              <w:right w:w="108" w:type="dxa"/>
            </w:tcMar>
            <w:vAlign w:val="bottom"/>
            <w:hideMark/>
          </w:tcPr>
          <w:p w14:paraId="5052FF90"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276</w:t>
            </w:r>
          </w:p>
        </w:tc>
        <w:tc>
          <w:tcPr>
            <w:tcW w:w="968" w:type="dxa"/>
            <w:noWrap/>
            <w:tcMar>
              <w:top w:w="0" w:type="dxa"/>
              <w:left w:w="108" w:type="dxa"/>
              <w:bottom w:w="0" w:type="dxa"/>
              <w:right w:w="108" w:type="dxa"/>
            </w:tcMar>
            <w:vAlign w:val="bottom"/>
            <w:hideMark/>
          </w:tcPr>
          <w:p w14:paraId="1B231BB8"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124</w:t>
            </w:r>
          </w:p>
        </w:tc>
        <w:tc>
          <w:tcPr>
            <w:tcW w:w="968" w:type="dxa"/>
            <w:noWrap/>
            <w:tcMar>
              <w:top w:w="0" w:type="dxa"/>
              <w:left w:w="108" w:type="dxa"/>
              <w:bottom w:w="0" w:type="dxa"/>
              <w:right w:w="108" w:type="dxa"/>
            </w:tcMar>
            <w:vAlign w:val="bottom"/>
            <w:hideMark/>
          </w:tcPr>
          <w:p w14:paraId="2CEB249B"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70</w:t>
            </w:r>
          </w:p>
        </w:tc>
        <w:tc>
          <w:tcPr>
            <w:tcW w:w="968" w:type="dxa"/>
            <w:noWrap/>
            <w:tcMar>
              <w:top w:w="0" w:type="dxa"/>
              <w:left w:w="108" w:type="dxa"/>
              <w:bottom w:w="0" w:type="dxa"/>
              <w:right w:w="108" w:type="dxa"/>
            </w:tcMar>
            <w:vAlign w:val="bottom"/>
            <w:hideMark/>
          </w:tcPr>
          <w:p w14:paraId="53E82214"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45</w:t>
            </w:r>
          </w:p>
        </w:tc>
        <w:tc>
          <w:tcPr>
            <w:tcW w:w="968" w:type="dxa"/>
            <w:noWrap/>
            <w:tcMar>
              <w:top w:w="0" w:type="dxa"/>
              <w:left w:w="108" w:type="dxa"/>
              <w:bottom w:w="0" w:type="dxa"/>
              <w:right w:w="108" w:type="dxa"/>
            </w:tcMar>
            <w:vAlign w:val="bottom"/>
            <w:hideMark/>
          </w:tcPr>
          <w:p w14:paraId="0B7035F5"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32</w:t>
            </w:r>
          </w:p>
        </w:tc>
      </w:tr>
      <w:tr w:rsidR="006D479F" w:rsidRPr="006D479F" w14:paraId="4FE784CF" w14:textId="77777777" w:rsidTr="00470687">
        <w:trPr>
          <w:trHeight w:val="300"/>
        </w:trPr>
        <w:tc>
          <w:tcPr>
            <w:tcW w:w="1120" w:type="dxa"/>
            <w:noWrap/>
            <w:tcMar>
              <w:top w:w="0" w:type="dxa"/>
              <w:left w:w="108" w:type="dxa"/>
              <w:bottom w:w="0" w:type="dxa"/>
              <w:right w:w="108" w:type="dxa"/>
            </w:tcMar>
            <w:vAlign w:val="bottom"/>
            <w:hideMark/>
          </w:tcPr>
          <w:p w14:paraId="2D4053EB"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17E03AE9"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4.00%</w:t>
            </w:r>
          </w:p>
        </w:tc>
        <w:tc>
          <w:tcPr>
            <w:tcW w:w="855" w:type="dxa"/>
            <w:shd w:val="clear" w:color="auto" w:fill="D9D9D9"/>
            <w:noWrap/>
            <w:tcMar>
              <w:top w:w="0" w:type="dxa"/>
              <w:left w:w="108" w:type="dxa"/>
              <w:bottom w:w="0" w:type="dxa"/>
              <w:right w:w="108" w:type="dxa"/>
            </w:tcMar>
            <w:vAlign w:val="bottom"/>
            <w:hideMark/>
          </w:tcPr>
          <w:p w14:paraId="1040BCA3"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1367</w:t>
            </w:r>
          </w:p>
        </w:tc>
        <w:tc>
          <w:tcPr>
            <w:tcW w:w="1033" w:type="dxa"/>
            <w:shd w:val="clear" w:color="auto" w:fill="D9D9D9"/>
            <w:noWrap/>
            <w:tcMar>
              <w:top w:w="0" w:type="dxa"/>
              <w:left w:w="108" w:type="dxa"/>
              <w:bottom w:w="0" w:type="dxa"/>
              <w:right w:w="108" w:type="dxa"/>
            </w:tcMar>
            <w:vAlign w:val="bottom"/>
            <w:hideMark/>
          </w:tcPr>
          <w:p w14:paraId="1E917157"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362</w:t>
            </w:r>
          </w:p>
        </w:tc>
        <w:tc>
          <w:tcPr>
            <w:tcW w:w="968" w:type="dxa"/>
            <w:noWrap/>
            <w:tcMar>
              <w:top w:w="0" w:type="dxa"/>
              <w:left w:w="108" w:type="dxa"/>
              <w:bottom w:w="0" w:type="dxa"/>
              <w:right w:w="108" w:type="dxa"/>
            </w:tcMar>
            <w:vAlign w:val="bottom"/>
            <w:hideMark/>
          </w:tcPr>
          <w:p w14:paraId="4CB5CBF4"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163</w:t>
            </w:r>
          </w:p>
        </w:tc>
        <w:tc>
          <w:tcPr>
            <w:tcW w:w="968" w:type="dxa"/>
            <w:noWrap/>
            <w:tcMar>
              <w:top w:w="0" w:type="dxa"/>
              <w:left w:w="108" w:type="dxa"/>
              <w:bottom w:w="0" w:type="dxa"/>
              <w:right w:w="108" w:type="dxa"/>
            </w:tcMar>
            <w:vAlign w:val="bottom"/>
            <w:hideMark/>
          </w:tcPr>
          <w:p w14:paraId="755E3611"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92</w:t>
            </w:r>
          </w:p>
        </w:tc>
        <w:tc>
          <w:tcPr>
            <w:tcW w:w="968" w:type="dxa"/>
            <w:noWrap/>
            <w:tcMar>
              <w:top w:w="0" w:type="dxa"/>
              <w:left w:w="108" w:type="dxa"/>
              <w:bottom w:w="0" w:type="dxa"/>
              <w:right w:w="108" w:type="dxa"/>
            </w:tcMar>
            <w:vAlign w:val="bottom"/>
            <w:hideMark/>
          </w:tcPr>
          <w:p w14:paraId="3A4D0FA1"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59</w:t>
            </w:r>
          </w:p>
        </w:tc>
        <w:tc>
          <w:tcPr>
            <w:tcW w:w="968" w:type="dxa"/>
            <w:noWrap/>
            <w:tcMar>
              <w:top w:w="0" w:type="dxa"/>
              <w:left w:w="108" w:type="dxa"/>
              <w:bottom w:w="0" w:type="dxa"/>
              <w:right w:w="108" w:type="dxa"/>
            </w:tcMar>
            <w:vAlign w:val="bottom"/>
            <w:hideMark/>
          </w:tcPr>
          <w:p w14:paraId="395D6B3B"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41</w:t>
            </w:r>
          </w:p>
        </w:tc>
      </w:tr>
      <w:tr w:rsidR="006D479F" w:rsidRPr="006D479F" w14:paraId="3EFE221E" w14:textId="77777777" w:rsidTr="00470687">
        <w:trPr>
          <w:trHeight w:val="300"/>
        </w:trPr>
        <w:tc>
          <w:tcPr>
            <w:tcW w:w="1120" w:type="dxa"/>
            <w:noWrap/>
            <w:tcMar>
              <w:top w:w="0" w:type="dxa"/>
              <w:left w:w="108" w:type="dxa"/>
              <w:bottom w:w="0" w:type="dxa"/>
              <w:right w:w="108" w:type="dxa"/>
            </w:tcMar>
            <w:vAlign w:val="bottom"/>
            <w:hideMark/>
          </w:tcPr>
          <w:p w14:paraId="7FDED2E3"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224D3891"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5.00%</w:t>
            </w:r>
          </w:p>
        </w:tc>
        <w:tc>
          <w:tcPr>
            <w:tcW w:w="855" w:type="dxa"/>
            <w:shd w:val="clear" w:color="auto" w:fill="D9D9D9"/>
            <w:noWrap/>
            <w:tcMar>
              <w:top w:w="0" w:type="dxa"/>
              <w:left w:w="108" w:type="dxa"/>
              <w:bottom w:w="0" w:type="dxa"/>
              <w:right w:w="108" w:type="dxa"/>
            </w:tcMar>
            <w:vAlign w:val="bottom"/>
            <w:hideMark/>
          </w:tcPr>
          <w:p w14:paraId="077FCDF3"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1662</w:t>
            </w:r>
          </w:p>
        </w:tc>
        <w:tc>
          <w:tcPr>
            <w:tcW w:w="1033" w:type="dxa"/>
            <w:shd w:val="clear" w:color="auto" w:fill="D9D9D9"/>
            <w:noWrap/>
            <w:tcMar>
              <w:top w:w="0" w:type="dxa"/>
              <w:left w:w="108" w:type="dxa"/>
              <w:bottom w:w="0" w:type="dxa"/>
              <w:right w:w="108" w:type="dxa"/>
            </w:tcMar>
            <w:vAlign w:val="bottom"/>
            <w:hideMark/>
          </w:tcPr>
          <w:p w14:paraId="4D0C8A64"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446</w:t>
            </w:r>
          </w:p>
        </w:tc>
        <w:tc>
          <w:tcPr>
            <w:tcW w:w="968" w:type="dxa"/>
            <w:noWrap/>
            <w:tcMar>
              <w:top w:w="0" w:type="dxa"/>
              <w:left w:w="108" w:type="dxa"/>
              <w:bottom w:w="0" w:type="dxa"/>
              <w:right w:w="108" w:type="dxa"/>
            </w:tcMar>
            <w:vAlign w:val="bottom"/>
            <w:hideMark/>
          </w:tcPr>
          <w:p w14:paraId="7525F11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201</w:t>
            </w:r>
          </w:p>
        </w:tc>
        <w:tc>
          <w:tcPr>
            <w:tcW w:w="968" w:type="dxa"/>
            <w:noWrap/>
            <w:tcMar>
              <w:top w:w="0" w:type="dxa"/>
              <w:left w:w="108" w:type="dxa"/>
              <w:bottom w:w="0" w:type="dxa"/>
              <w:right w:w="108" w:type="dxa"/>
            </w:tcMar>
            <w:vAlign w:val="bottom"/>
            <w:hideMark/>
          </w:tcPr>
          <w:p w14:paraId="4BA02773"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114</w:t>
            </w:r>
          </w:p>
        </w:tc>
        <w:tc>
          <w:tcPr>
            <w:tcW w:w="968" w:type="dxa"/>
            <w:noWrap/>
            <w:tcMar>
              <w:top w:w="0" w:type="dxa"/>
              <w:left w:w="108" w:type="dxa"/>
              <w:bottom w:w="0" w:type="dxa"/>
              <w:right w:w="108" w:type="dxa"/>
            </w:tcMar>
            <w:vAlign w:val="bottom"/>
            <w:hideMark/>
          </w:tcPr>
          <w:p w14:paraId="5A1643E9"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73</w:t>
            </w:r>
          </w:p>
        </w:tc>
        <w:tc>
          <w:tcPr>
            <w:tcW w:w="968" w:type="dxa"/>
            <w:noWrap/>
            <w:tcMar>
              <w:top w:w="0" w:type="dxa"/>
              <w:left w:w="108" w:type="dxa"/>
              <w:bottom w:w="0" w:type="dxa"/>
              <w:right w:w="108" w:type="dxa"/>
            </w:tcMar>
            <w:vAlign w:val="bottom"/>
            <w:hideMark/>
          </w:tcPr>
          <w:p w14:paraId="23383962"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51</w:t>
            </w:r>
          </w:p>
        </w:tc>
      </w:tr>
      <w:tr w:rsidR="006D479F" w:rsidRPr="006D479F" w14:paraId="30319AF7" w14:textId="77777777" w:rsidTr="00470687">
        <w:trPr>
          <w:trHeight w:val="300"/>
        </w:trPr>
        <w:tc>
          <w:tcPr>
            <w:tcW w:w="1120" w:type="dxa"/>
            <w:noWrap/>
            <w:tcMar>
              <w:top w:w="0" w:type="dxa"/>
              <w:left w:w="108" w:type="dxa"/>
              <w:bottom w:w="0" w:type="dxa"/>
              <w:right w:w="108" w:type="dxa"/>
            </w:tcMar>
            <w:vAlign w:val="bottom"/>
            <w:hideMark/>
          </w:tcPr>
          <w:p w14:paraId="366FB79C"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76E3A5EC"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6.00%</w:t>
            </w:r>
          </w:p>
        </w:tc>
        <w:tc>
          <w:tcPr>
            <w:tcW w:w="855" w:type="dxa"/>
            <w:noWrap/>
            <w:tcMar>
              <w:top w:w="0" w:type="dxa"/>
              <w:left w:w="108" w:type="dxa"/>
              <w:bottom w:w="0" w:type="dxa"/>
              <w:right w:w="108" w:type="dxa"/>
            </w:tcMar>
            <w:vAlign w:val="bottom"/>
            <w:hideMark/>
          </w:tcPr>
          <w:p w14:paraId="16614F2A"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1940</w:t>
            </w:r>
          </w:p>
        </w:tc>
        <w:tc>
          <w:tcPr>
            <w:tcW w:w="1033" w:type="dxa"/>
            <w:shd w:val="clear" w:color="auto" w:fill="D9D9D9"/>
            <w:noWrap/>
            <w:tcMar>
              <w:top w:w="0" w:type="dxa"/>
              <w:left w:w="108" w:type="dxa"/>
              <w:bottom w:w="0" w:type="dxa"/>
              <w:right w:w="108" w:type="dxa"/>
            </w:tcMar>
            <w:vAlign w:val="bottom"/>
            <w:hideMark/>
          </w:tcPr>
          <w:p w14:paraId="2E26BE9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527</w:t>
            </w:r>
          </w:p>
        </w:tc>
        <w:tc>
          <w:tcPr>
            <w:tcW w:w="968" w:type="dxa"/>
            <w:shd w:val="clear" w:color="auto" w:fill="D9D9D9"/>
            <w:noWrap/>
            <w:tcMar>
              <w:top w:w="0" w:type="dxa"/>
              <w:left w:w="108" w:type="dxa"/>
              <w:bottom w:w="0" w:type="dxa"/>
              <w:right w:w="108" w:type="dxa"/>
            </w:tcMar>
            <w:vAlign w:val="bottom"/>
            <w:hideMark/>
          </w:tcPr>
          <w:p w14:paraId="1F6BB4BA"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238</w:t>
            </w:r>
          </w:p>
        </w:tc>
        <w:tc>
          <w:tcPr>
            <w:tcW w:w="968" w:type="dxa"/>
            <w:noWrap/>
            <w:tcMar>
              <w:top w:w="0" w:type="dxa"/>
              <w:left w:w="108" w:type="dxa"/>
              <w:bottom w:w="0" w:type="dxa"/>
              <w:right w:w="108" w:type="dxa"/>
            </w:tcMar>
            <w:vAlign w:val="bottom"/>
            <w:hideMark/>
          </w:tcPr>
          <w:p w14:paraId="02010AAE"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135</w:t>
            </w:r>
          </w:p>
        </w:tc>
        <w:tc>
          <w:tcPr>
            <w:tcW w:w="968" w:type="dxa"/>
            <w:noWrap/>
            <w:tcMar>
              <w:top w:w="0" w:type="dxa"/>
              <w:left w:w="108" w:type="dxa"/>
              <w:bottom w:w="0" w:type="dxa"/>
              <w:right w:w="108" w:type="dxa"/>
            </w:tcMar>
            <w:vAlign w:val="bottom"/>
            <w:hideMark/>
          </w:tcPr>
          <w:p w14:paraId="7D037725"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87</w:t>
            </w:r>
          </w:p>
        </w:tc>
        <w:tc>
          <w:tcPr>
            <w:tcW w:w="968" w:type="dxa"/>
            <w:noWrap/>
            <w:tcMar>
              <w:top w:w="0" w:type="dxa"/>
              <w:left w:w="108" w:type="dxa"/>
              <w:bottom w:w="0" w:type="dxa"/>
              <w:right w:w="108" w:type="dxa"/>
            </w:tcMar>
            <w:vAlign w:val="bottom"/>
            <w:hideMark/>
          </w:tcPr>
          <w:p w14:paraId="08FEC0A8"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60</w:t>
            </w:r>
          </w:p>
        </w:tc>
      </w:tr>
      <w:tr w:rsidR="006D479F" w:rsidRPr="006D479F" w14:paraId="118A37DE" w14:textId="77777777" w:rsidTr="00470687">
        <w:trPr>
          <w:trHeight w:val="300"/>
        </w:trPr>
        <w:tc>
          <w:tcPr>
            <w:tcW w:w="1120" w:type="dxa"/>
            <w:noWrap/>
            <w:tcMar>
              <w:top w:w="0" w:type="dxa"/>
              <w:left w:w="108" w:type="dxa"/>
              <w:bottom w:w="0" w:type="dxa"/>
              <w:right w:w="108" w:type="dxa"/>
            </w:tcMar>
            <w:vAlign w:val="bottom"/>
            <w:hideMark/>
          </w:tcPr>
          <w:p w14:paraId="7A12B677"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3AEEF109"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7.00%</w:t>
            </w:r>
          </w:p>
        </w:tc>
        <w:tc>
          <w:tcPr>
            <w:tcW w:w="855" w:type="dxa"/>
            <w:noWrap/>
            <w:tcMar>
              <w:top w:w="0" w:type="dxa"/>
              <w:left w:w="108" w:type="dxa"/>
              <w:bottom w:w="0" w:type="dxa"/>
              <w:right w:w="108" w:type="dxa"/>
            </w:tcMar>
            <w:vAlign w:val="bottom"/>
            <w:hideMark/>
          </w:tcPr>
          <w:p w14:paraId="7BA1BF35"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2204</w:t>
            </w:r>
          </w:p>
        </w:tc>
        <w:tc>
          <w:tcPr>
            <w:tcW w:w="1033" w:type="dxa"/>
            <w:shd w:val="clear" w:color="auto" w:fill="D9D9D9"/>
            <w:noWrap/>
            <w:tcMar>
              <w:top w:w="0" w:type="dxa"/>
              <w:left w:w="108" w:type="dxa"/>
              <w:bottom w:w="0" w:type="dxa"/>
              <w:right w:w="108" w:type="dxa"/>
            </w:tcMar>
            <w:vAlign w:val="bottom"/>
            <w:hideMark/>
          </w:tcPr>
          <w:p w14:paraId="07314566"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605</w:t>
            </w:r>
          </w:p>
        </w:tc>
        <w:tc>
          <w:tcPr>
            <w:tcW w:w="968" w:type="dxa"/>
            <w:shd w:val="clear" w:color="auto" w:fill="D9D9D9"/>
            <w:noWrap/>
            <w:tcMar>
              <w:top w:w="0" w:type="dxa"/>
              <w:left w:w="108" w:type="dxa"/>
              <w:bottom w:w="0" w:type="dxa"/>
              <w:right w:w="108" w:type="dxa"/>
            </w:tcMar>
            <w:vAlign w:val="bottom"/>
            <w:hideMark/>
          </w:tcPr>
          <w:p w14:paraId="08401853"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274</w:t>
            </w:r>
          </w:p>
        </w:tc>
        <w:tc>
          <w:tcPr>
            <w:tcW w:w="968" w:type="dxa"/>
            <w:noWrap/>
            <w:tcMar>
              <w:top w:w="0" w:type="dxa"/>
              <w:left w:w="108" w:type="dxa"/>
              <w:bottom w:w="0" w:type="dxa"/>
              <w:right w:w="108" w:type="dxa"/>
            </w:tcMar>
            <w:vAlign w:val="bottom"/>
            <w:hideMark/>
          </w:tcPr>
          <w:p w14:paraId="1DF1D975"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156</w:t>
            </w:r>
          </w:p>
        </w:tc>
        <w:tc>
          <w:tcPr>
            <w:tcW w:w="968" w:type="dxa"/>
            <w:noWrap/>
            <w:tcMar>
              <w:top w:w="0" w:type="dxa"/>
              <w:left w:w="108" w:type="dxa"/>
              <w:bottom w:w="0" w:type="dxa"/>
              <w:right w:w="108" w:type="dxa"/>
            </w:tcMar>
            <w:vAlign w:val="bottom"/>
            <w:hideMark/>
          </w:tcPr>
          <w:p w14:paraId="623024E9"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100</w:t>
            </w:r>
          </w:p>
        </w:tc>
        <w:tc>
          <w:tcPr>
            <w:tcW w:w="968" w:type="dxa"/>
            <w:noWrap/>
            <w:tcMar>
              <w:top w:w="0" w:type="dxa"/>
              <w:left w:w="108" w:type="dxa"/>
              <w:bottom w:w="0" w:type="dxa"/>
              <w:right w:w="108" w:type="dxa"/>
            </w:tcMar>
            <w:vAlign w:val="bottom"/>
            <w:hideMark/>
          </w:tcPr>
          <w:p w14:paraId="6C04DC74"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70</w:t>
            </w:r>
          </w:p>
        </w:tc>
      </w:tr>
      <w:tr w:rsidR="006D479F" w:rsidRPr="006D479F" w14:paraId="2B274BDE" w14:textId="77777777" w:rsidTr="00470687">
        <w:trPr>
          <w:trHeight w:val="300"/>
        </w:trPr>
        <w:tc>
          <w:tcPr>
            <w:tcW w:w="1120" w:type="dxa"/>
            <w:noWrap/>
            <w:tcMar>
              <w:top w:w="0" w:type="dxa"/>
              <w:left w:w="108" w:type="dxa"/>
              <w:bottom w:w="0" w:type="dxa"/>
              <w:right w:w="108" w:type="dxa"/>
            </w:tcMar>
            <w:vAlign w:val="bottom"/>
            <w:hideMark/>
          </w:tcPr>
          <w:p w14:paraId="7E8DFE83"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2869D0A4"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8.00%</w:t>
            </w:r>
          </w:p>
        </w:tc>
        <w:tc>
          <w:tcPr>
            <w:tcW w:w="855" w:type="dxa"/>
            <w:noWrap/>
            <w:tcMar>
              <w:top w:w="0" w:type="dxa"/>
              <w:left w:w="108" w:type="dxa"/>
              <w:bottom w:w="0" w:type="dxa"/>
              <w:right w:w="108" w:type="dxa"/>
            </w:tcMar>
            <w:vAlign w:val="bottom"/>
            <w:hideMark/>
          </w:tcPr>
          <w:p w14:paraId="7E75F087"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2453</w:t>
            </w:r>
          </w:p>
        </w:tc>
        <w:tc>
          <w:tcPr>
            <w:tcW w:w="1033" w:type="dxa"/>
            <w:shd w:val="clear" w:color="auto" w:fill="D9D9D9"/>
            <w:noWrap/>
            <w:tcMar>
              <w:top w:w="0" w:type="dxa"/>
              <w:left w:w="108" w:type="dxa"/>
              <w:bottom w:w="0" w:type="dxa"/>
              <w:right w:w="108" w:type="dxa"/>
            </w:tcMar>
            <w:vAlign w:val="bottom"/>
            <w:hideMark/>
          </w:tcPr>
          <w:p w14:paraId="0D9959CA"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681</w:t>
            </w:r>
          </w:p>
        </w:tc>
        <w:tc>
          <w:tcPr>
            <w:tcW w:w="968" w:type="dxa"/>
            <w:shd w:val="clear" w:color="auto" w:fill="D9D9D9"/>
            <w:noWrap/>
            <w:tcMar>
              <w:top w:w="0" w:type="dxa"/>
              <w:left w:w="108" w:type="dxa"/>
              <w:bottom w:w="0" w:type="dxa"/>
              <w:right w:w="108" w:type="dxa"/>
            </w:tcMar>
            <w:vAlign w:val="bottom"/>
            <w:hideMark/>
          </w:tcPr>
          <w:p w14:paraId="4F165FD7"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309</w:t>
            </w:r>
          </w:p>
        </w:tc>
        <w:tc>
          <w:tcPr>
            <w:tcW w:w="968" w:type="dxa"/>
            <w:noWrap/>
            <w:tcMar>
              <w:top w:w="0" w:type="dxa"/>
              <w:left w:w="108" w:type="dxa"/>
              <w:bottom w:w="0" w:type="dxa"/>
              <w:right w:w="108" w:type="dxa"/>
            </w:tcMar>
            <w:vAlign w:val="bottom"/>
            <w:hideMark/>
          </w:tcPr>
          <w:p w14:paraId="2867A38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176</w:t>
            </w:r>
          </w:p>
        </w:tc>
        <w:tc>
          <w:tcPr>
            <w:tcW w:w="968" w:type="dxa"/>
            <w:noWrap/>
            <w:tcMar>
              <w:top w:w="0" w:type="dxa"/>
              <w:left w:w="108" w:type="dxa"/>
              <w:bottom w:w="0" w:type="dxa"/>
              <w:right w:w="108" w:type="dxa"/>
            </w:tcMar>
            <w:vAlign w:val="bottom"/>
            <w:hideMark/>
          </w:tcPr>
          <w:p w14:paraId="2AFA605E"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113</w:t>
            </w:r>
          </w:p>
        </w:tc>
        <w:tc>
          <w:tcPr>
            <w:tcW w:w="968" w:type="dxa"/>
            <w:noWrap/>
            <w:tcMar>
              <w:top w:w="0" w:type="dxa"/>
              <w:left w:w="108" w:type="dxa"/>
              <w:bottom w:w="0" w:type="dxa"/>
              <w:right w:w="108" w:type="dxa"/>
            </w:tcMar>
            <w:vAlign w:val="bottom"/>
            <w:hideMark/>
          </w:tcPr>
          <w:p w14:paraId="624FD18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79</w:t>
            </w:r>
          </w:p>
        </w:tc>
      </w:tr>
      <w:tr w:rsidR="006D479F" w:rsidRPr="006D479F" w14:paraId="023B0DBD" w14:textId="77777777" w:rsidTr="00470687">
        <w:trPr>
          <w:trHeight w:val="300"/>
        </w:trPr>
        <w:tc>
          <w:tcPr>
            <w:tcW w:w="1120" w:type="dxa"/>
            <w:noWrap/>
            <w:tcMar>
              <w:top w:w="0" w:type="dxa"/>
              <w:left w:w="108" w:type="dxa"/>
              <w:bottom w:w="0" w:type="dxa"/>
              <w:right w:w="108" w:type="dxa"/>
            </w:tcMar>
            <w:vAlign w:val="bottom"/>
            <w:hideMark/>
          </w:tcPr>
          <w:p w14:paraId="1D96533A"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noWrap/>
            <w:tcMar>
              <w:top w:w="0" w:type="dxa"/>
              <w:left w:w="108" w:type="dxa"/>
              <w:bottom w:w="0" w:type="dxa"/>
              <w:right w:w="108" w:type="dxa"/>
            </w:tcMar>
            <w:vAlign w:val="bottom"/>
            <w:hideMark/>
          </w:tcPr>
          <w:p w14:paraId="2B0387CD"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9.00%</w:t>
            </w:r>
          </w:p>
        </w:tc>
        <w:tc>
          <w:tcPr>
            <w:tcW w:w="855" w:type="dxa"/>
            <w:noWrap/>
            <w:tcMar>
              <w:top w:w="0" w:type="dxa"/>
              <w:left w:w="108" w:type="dxa"/>
              <w:bottom w:w="0" w:type="dxa"/>
              <w:right w:w="108" w:type="dxa"/>
            </w:tcMar>
            <w:vAlign w:val="bottom"/>
            <w:hideMark/>
          </w:tcPr>
          <w:p w14:paraId="417D91FF"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2690</w:t>
            </w:r>
          </w:p>
        </w:tc>
        <w:tc>
          <w:tcPr>
            <w:tcW w:w="1033" w:type="dxa"/>
            <w:shd w:val="clear" w:color="auto" w:fill="D9D9D9"/>
            <w:noWrap/>
            <w:tcMar>
              <w:top w:w="0" w:type="dxa"/>
              <w:left w:w="108" w:type="dxa"/>
              <w:bottom w:w="0" w:type="dxa"/>
              <w:right w:w="108" w:type="dxa"/>
            </w:tcMar>
            <w:vAlign w:val="bottom"/>
            <w:hideMark/>
          </w:tcPr>
          <w:p w14:paraId="0956CB44"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755</w:t>
            </w:r>
          </w:p>
        </w:tc>
        <w:tc>
          <w:tcPr>
            <w:tcW w:w="968" w:type="dxa"/>
            <w:shd w:val="clear" w:color="auto" w:fill="D9D9D9"/>
            <w:noWrap/>
            <w:tcMar>
              <w:top w:w="0" w:type="dxa"/>
              <w:left w:w="108" w:type="dxa"/>
              <w:bottom w:w="0" w:type="dxa"/>
              <w:right w:w="108" w:type="dxa"/>
            </w:tcMar>
            <w:vAlign w:val="bottom"/>
            <w:hideMark/>
          </w:tcPr>
          <w:p w14:paraId="61C0AB32"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344</w:t>
            </w:r>
          </w:p>
        </w:tc>
        <w:tc>
          <w:tcPr>
            <w:tcW w:w="968" w:type="dxa"/>
            <w:noWrap/>
            <w:tcMar>
              <w:top w:w="0" w:type="dxa"/>
              <w:left w:w="108" w:type="dxa"/>
              <w:bottom w:w="0" w:type="dxa"/>
              <w:right w:w="108" w:type="dxa"/>
            </w:tcMar>
            <w:vAlign w:val="bottom"/>
            <w:hideMark/>
          </w:tcPr>
          <w:p w14:paraId="37747F8C"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195</w:t>
            </w:r>
          </w:p>
        </w:tc>
        <w:tc>
          <w:tcPr>
            <w:tcW w:w="968" w:type="dxa"/>
            <w:noWrap/>
            <w:tcMar>
              <w:top w:w="0" w:type="dxa"/>
              <w:left w:w="108" w:type="dxa"/>
              <w:bottom w:w="0" w:type="dxa"/>
              <w:right w:w="108" w:type="dxa"/>
            </w:tcMar>
            <w:vAlign w:val="bottom"/>
            <w:hideMark/>
          </w:tcPr>
          <w:p w14:paraId="0B4DE44C"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126</w:t>
            </w:r>
          </w:p>
        </w:tc>
        <w:tc>
          <w:tcPr>
            <w:tcW w:w="968" w:type="dxa"/>
            <w:noWrap/>
            <w:tcMar>
              <w:top w:w="0" w:type="dxa"/>
              <w:left w:w="108" w:type="dxa"/>
              <w:bottom w:w="0" w:type="dxa"/>
              <w:right w:w="108" w:type="dxa"/>
            </w:tcMar>
            <w:vAlign w:val="bottom"/>
            <w:hideMark/>
          </w:tcPr>
          <w:p w14:paraId="463BE132" w14:textId="77777777" w:rsidR="006D479F" w:rsidRPr="006D479F" w:rsidRDefault="006D479F" w:rsidP="00470687">
            <w:pPr>
              <w:keepNext/>
              <w:spacing w:after="0" w:line="288" w:lineRule="auto"/>
              <w:rPr>
                <w:rFonts w:ascii="Times New Roman" w:hAnsi="Times New Roman" w:cs="Times New Roman"/>
                <w:sz w:val="24"/>
                <w:szCs w:val="24"/>
              </w:rPr>
            </w:pPr>
            <w:r w:rsidRPr="006D479F">
              <w:rPr>
                <w:rFonts w:ascii="Times New Roman" w:hAnsi="Times New Roman" w:cs="Times New Roman"/>
                <w:sz w:val="24"/>
                <w:szCs w:val="24"/>
              </w:rPr>
              <w:t>87</w:t>
            </w:r>
          </w:p>
        </w:tc>
      </w:tr>
      <w:tr w:rsidR="006D479F" w:rsidRPr="006D479F" w14:paraId="3DDAE349" w14:textId="77777777" w:rsidTr="00470687">
        <w:trPr>
          <w:trHeight w:val="288"/>
        </w:trPr>
        <w:tc>
          <w:tcPr>
            <w:tcW w:w="1120" w:type="dxa"/>
            <w:tcBorders>
              <w:bottom w:val="single" w:sz="4" w:space="0" w:color="auto"/>
            </w:tcBorders>
            <w:noWrap/>
            <w:tcMar>
              <w:top w:w="0" w:type="dxa"/>
              <w:left w:w="108" w:type="dxa"/>
              <w:bottom w:w="0" w:type="dxa"/>
              <w:right w:w="108" w:type="dxa"/>
            </w:tcMar>
            <w:vAlign w:val="bottom"/>
            <w:hideMark/>
          </w:tcPr>
          <w:p w14:paraId="2E8AC595" w14:textId="77777777" w:rsidR="006D479F" w:rsidRPr="006D479F" w:rsidRDefault="006D479F" w:rsidP="00470687">
            <w:pPr>
              <w:keepNext/>
              <w:spacing w:before="60" w:after="60" w:line="288" w:lineRule="auto"/>
              <w:rPr>
                <w:rFonts w:ascii="Times New Roman" w:hAnsi="Times New Roman" w:cs="Times New Roman"/>
                <w:sz w:val="24"/>
                <w:szCs w:val="24"/>
              </w:rPr>
            </w:pPr>
            <w:r w:rsidRPr="006D479F">
              <w:rPr>
                <w:rFonts w:ascii="Times New Roman" w:hAnsi="Times New Roman" w:cs="Times New Roman"/>
                <w:sz w:val="24"/>
                <w:szCs w:val="24"/>
              </w:rPr>
              <w:t>18,500</w:t>
            </w:r>
          </w:p>
        </w:tc>
        <w:tc>
          <w:tcPr>
            <w:tcW w:w="1150" w:type="dxa"/>
            <w:tcBorders>
              <w:bottom w:val="single" w:sz="4" w:space="0" w:color="auto"/>
            </w:tcBorders>
            <w:noWrap/>
            <w:tcMar>
              <w:top w:w="0" w:type="dxa"/>
              <w:left w:w="108" w:type="dxa"/>
              <w:bottom w:w="0" w:type="dxa"/>
              <w:right w:w="108" w:type="dxa"/>
            </w:tcMar>
            <w:vAlign w:val="bottom"/>
            <w:hideMark/>
          </w:tcPr>
          <w:p w14:paraId="1CCAA845"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10.00%</w:t>
            </w:r>
          </w:p>
        </w:tc>
        <w:tc>
          <w:tcPr>
            <w:tcW w:w="855" w:type="dxa"/>
            <w:tcBorders>
              <w:bottom w:val="single" w:sz="4" w:space="0" w:color="auto"/>
            </w:tcBorders>
            <w:noWrap/>
            <w:tcMar>
              <w:top w:w="0" w:type="dxa"/>
              <w:left w:w="108" w:type="dxa"/>
              <w:bottom w:w="0" w:type="dxa"/>
              <w:right w:w="108" w:type="dxa"/>
            </w:tcMar>
            <w:vAlign w:val="bottom"/>
            <w:hideMark/>
          </w:tcPr>
          <w:p w14:paraId="25A61FF5"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2914</w:t>
            </w:r>
          </w:p>
        </w:tc>
        <w:tc>
          <w:tcPr>
            <w:tcW w:w="1033" w:type="dxa"/>
            <w:tcBorders>
              <w:bottom w:val="single" w:sz="4" w:space="0" w:color="auto"/>
            </w:tcBorders>
            <w:shd w:val="clear" w:color="auto" w:fill="D9D9D9"/>
            <w:noWrap/>
            <w:tcMar>
              <w:top w:w="0" w:type="dxa"/>
              <w:left w:w="108" w:type="dxa"/>
              <w:bottom w:w="0" w:type="dxa"/>
              <w:right w:w="108" w:type="dxa"/>
            </w:tcMar>
            <w:vAlign w:val="bottom"/>
            <w:hideMark/>
          </w:tcPr>
          <w:p w14:paraId="7124B904"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826</w:t>
            </w:r>
          </w:p>
        </w:tc>
        <w:tc>
          <w:tcPr>
            <w:tcW w:w="968" w:type="dxa"/>
            <w:tcBorders>
              <w:bottom w:val="single" w:sz="4" w:space="0" w:color="auto"/>
            </w:tcBorders>
            <w:shd w:val="clear" w:color="auto" w:fill="D9D9D9"/>
            <w:noWrap/>
            <w:tcMar>
              <w:top w:w="0" w:type="dxa"/>
              <w:left w:w="108" w:type="dxa"/>
              <w:bottom w:w="0" w:type="dxa"/>
              <w:right w:w="108" w:type="dxa"/>
            </w:tcMar>
            <w:vAlign w:val="bottom"/>
            <w:hideMark/>
          </w:tcPr>
          <w:p w14:paraId="28DAC571"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377</w:t>
            </w:r>
          </w:p>
        </w:tc>
        <w:tc>
          <w:tcPr>
            <w:tcW w:w="968" w:type="dxa"/>
            <w:tcBorders>
              <w:bottom w:val="single" w:sz="4" w:space="0" w:color="auto"/>
            </w:tcBorders>
            <w:noWrap/>
            <w:tcMar>
              <w:top w:w="0" w:type="dxa"/>
              <w:left w:w="108" w:type="dxa"/>
              <w:bottom w:w="0" w:type="dxa"/>
              <w:right w:w="108" w:type="dxa"/>
            </w:tcMar>
            <w:vAlign w:val="bottom"/>
            <w:hideMark/>
          </w:tcPr>
          <w:p w14:paraId="6BD5449C"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214</w:t>
            </w:r>
          </w:p>
        </w:tc>
        <w:tc>
          <w:tcPr>
            <w:tcW w:w="968" w:type="dxa"/>
            <w:tcBorders>
              <w:bottom w:val="single" w:sz="4" w:space="0" w:color="auto"/>
            </w:tcBorders>
            <w:noWrap/>
            <w:tcMar>
              <w:top w:w="0" w:type="dxa"/>
              <w:left w:w="108" w:type="dxa"/>
              <w:bottom w:w="0" w:type="dxa"/>
              <w:right w:w="108" w:type="dxa"/>
            </w:tcMar>
            <w:vAlign w:val="bottom"/>
            <w:hideMark/>
          </w:tcPr>
          <w:p w14:paraId="6FB5F63A"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138</w:t>
            </w:r>
          </w:p>
        </w:tc>
        <w:tc>
          <w:tcPr>
            <w:tcW w:w="968" w:type="dxa"/>
            <w:tcBorders>
              <w:bottom w:val="single" w:sz="4" w:space="0" w:color="auto"/>
            </w:tcBorders>
            <w:noWrap/>
            <w:tcMar>
              <w:top w:w="0" w:type="dxa"/>
              <w:left w:w="108" w:type="dxa"/>
              <w:bottom w:w="0" w:type="dxa"/>
              <w:right w:w="108" w:type="dxa"/>
            </w:tcMar>
            <w:vAlign w:val="bottom"/>
            <w:hideMark/>
          </w:tcPr>
          <w:p w14:paraId="32B3FC18" w14:textId="77777777" w:rsidR="006D479F" w:rsidRPr="006D479F" w:rsidRDefault="006D479F" w:rsidP="00470687">
            <w:pPr>
              <w:spacing w:after="0" w:line="288" w:lineRule="auto"/>
              <w:rPr>
                <w:rFonts w:ascii="Times New Roman" w:hAnsi="Times New Roman" w:cs="Times New Roman"/>
                <w:sz w:val="24"/>
                <w:szCs w:val="24"/>
              </w:rPr>
            </w:pPr>
            <w:r w:rsidRPr="006D479F">
              <w:rPr>
                <w:rFonts w:ascii="Times New Roman" w:hAnsi="Times New Roman" w:cs="Times New Roman"/>
                <w:sz w:val="24"/>
                <w:szCs w:val="24"/>
              </w:rPr>
              <w:t>96</w:t>
            </w:r>
          </w:p>
        </w:tc>
      </w:tr>
    </w:tbl>
    <w:p w14:paraId="19CC4B4A" w14:textId="77777777" w:rsidR="006D479F" w:rsidRDefault="006D479F" w:rsidP="00D93858">
      <w:pPr>
        <w:spacing w:after="160" w:line="288" w:lineRule="auto"/>
        <w:rPr>
          <w:rFonts w:ascii="Times New Roman" w:hAnsi="Times New Roman" w:cs="Times New Roman"/>
          <w:sz w:val="24"/>
          <w:szCs w:val="24"/>
        </w:rPr>
      </w:pPr>
    </w:p>
    <w:p w14:paraId="2AD4DEB6" w14:textId="695AE583" w:rsidR="00782920" w:rsidRPr="00086A4C" w:rsidRDefault="00AD0849" w:rsidP="00D93858">
      <w:pPr>
        <w:spacing w:after="160" w:line="288" w:lineRule="auto"/>
        <w:rPr>
          <w:rFonts w:ascii="Times New Roman" w:hAnsi="Times New Roman" w:cs="Times New Roman"/>
          <w:b/>
          <w:sz w:val="24"/>
          <w:szCs w:val="24"/>
          <w:u w:val="single"/>
        </w:rPr>
      </w:pPr>
      <w:r>
        <w:rPr>
          <w:rFonts w:ascii="Times New Roman" w:hAnsi="Times New Roman" w:cs="Times New Roman"/>
          <w:sz w:val="24"/>
          <w:szCs w:val="24"/>
        </w:rPr>
        <w:t xml:space="preserve">Given the lack of specific general or domain-specific power requirements, the noncertainty stratum is not further stratified. </w:t>
      </w:r>
      <w:r w:rsidR="00802AEE">
        <w:rPr>
          <w:rFonts w:ascii="Times New Roman" w:hAnsi="Times New Roman" w:cs="Times New Roman"/>
          <w:sz w:val="24"/>
          <w:szCs w:val="24"/>
        </w:rPr>
        <w:t>Alt</w:t>
      </w:r>
      <w:r>
        <w:rPr>
          <w:rFonts w:ascii="Times New Roman" w:hAnsi="Times New Roman" w:cs="Times New Roman"/>
          <w:sz w:val="24"/>
          <w:szCs w:val="24"/>
        </w:rPr>
        <w:t xml:space="preserve">hough further stratification based on </w:t>
      </w:r>
      <w:r w:rsidR="00802AEE">
        <w:rPr>
          <w:rFonts w:ascii="Times New Roman" w:hAnsi="Times New Roman" w:cs="Times New Roman"/>
          <w:sz w:val="24"/>
          <w:szCs w:val="24"/>
        </w:rPr>
        <w:t xml:space="preserve">the </w:t>
      </w:r>
      <w:r>
        <w:rPr>
          <w:rFonts w:ascii="Times New Roman" w:hAnsi="Times New Roman" w:cs="Times New Roman"/>
          <w:sz w:val="24"/>
          <w:szCs w:val="24"/>
        </w:rPr>
        <w:t xml:space="preserve">number of FTSOs might be used to ensure adequate coverage and appropriate representation of smaller agencies without identified deaths, the 2014 </w:t>
      </w:r>
      <w:r w:rsidR="00802AEE">
        <w:rPr>
          <w:rFonts w:ascii="Times New Roman" w:hAnsi="Times New Roman" w:cs="Times New Roman"/>
          <w:sz w:val="24"/>
          <w:szCs w:val="24"/>
        </w:rPr>
        <w:t xml:space="preserve">CSLLEA </w:t>
      </w:r>
      <w:r>
        <w:rPr>
          <w:rFonts w:ascii="Times New Roman" w:hAnsi="Times New Roman" w:cs="Times New Roman"/>
          <w:sz w:val="24"/>
          <w:szCs w:val="24"/>
        </w:rPr>
        <w:t>frame is often incomplete or out</w:t>
      </w:r>
      <w:r w:rsidR="00802AEE">
        <w:rPr>
          <w:rFonts w:ascii="Times New Roman" w:hAnsi="Times New Roman" w:cs="Times New Roman"/>
          <w:sz w:val="24"/>
          <w:szCs w:val="24"/>
        </w:rPr>
        <w:t xml:space="preserve"> </w:t>
      </w:r>
      <w:r>
        <w:rPr>
          <w:rFonts w:ascii="Times New Roman" w:hAnsi="Times New Roman" w:cs="Times New Roman"/>
          <w:sz w:val="24"/>
          <w:szCs w:val="24"/>
        </w:rPr>
        <w:t>of</w:t>
      </w:r>
      <w:r w:rsidR="00802AEE">
        <w:rPr>
          <w:rFonts w:ascii="Times New Roman" w:hAnsi="Times New Roman" w:cs="Times New Roman"/>
          <w:sz w:val="24"/>
          <w:szCs w:val="24"/>
        </w:rPr>
        <w:t xml:space="preserve"> </w:t>
      </w:r>
      <w:r>
        <w:rPr>
          <w:rFonts w:ascii="Times New Roman" w:hAnsi="Times New Roman" w:cs="Times New Roman"/>
          <w:sz w:val="24"/>
          <w:szCs w:val="24"/>
        </w:rPr>
        <w:t xml:space="preserve">date in this regard. </w:t>
      </w:r>
      <w:r w:rsidR="00F57391">
        <w:rPr>
          <w:rFonts w:ascii="Times New Roman" w:hAnsi="Times New Roman" w:cs="Times New Roman"/>
          <w:sz w:val="24"/>
          <w:szCs w:val="24"/>
        </w:rPr>
        <w:t>BJS</w:t>
      </w:r>
      <w:r>
        <w:rPr>
          <w:rFonts w:ascii="Times New Roman" w:hAnsi="Times New Roman" w:cs="Times New Roman"/>
          <w:sz w:val="24"/>
          <w:szCs w:val="24"/>
        </w:rPr>
        <w:t xml:space="preserve"> has chosen to use the CSLLEA number of FTSOs only for the classification of large agencies.</w:t>
      </w:r>
      <w:r w:rsidR="00F939A4">
        <w:rPr>
          <w:rFonts w:ascii="Times New Roman" w:hAnsi="Times New Roman" w:cs="Times New Roman"/>
          <w:sz w:val="24"/>
          <w:szCs w:val="24"/>
        </w:rPr>
        <w:t xml:space="preserve"> These </w:t>
      </w:r>
      <w:r w:rsidR="0005414A">
        <w:rPr>
          <w:rFonts w:ascii="Times New Roman" w:hAnsi="Times New Roman" w:cs="Times New Roman"/>
          <w:sz w:val="24"/>
          <w:szCs w:val="24"/>
        </w:rPr>
        <w:t xml:space="preserve">certainty </w:t>
      </w:r>
      <w:r w:rsidR="00FF4B27">
        <w:rPr>
          <w:rFonts w:ascii="Times New Roman" w:hAnsi="Times New Roman" w:cs="Times New Roman"/>
          <w:sz w:val="24"/>
          <w:szCs w:val="24"/>
        </w:rPr>
        <w:t xml:space="preserve">(any agency with 500 or more officers) </w:t>
      </w:r>
      <w:r w:rsidR="0005414A">
        <w:rPr>
          <w:rFonts w:ascii="Times New Roman" w:hAnsi="Times New Roman" w:cs="Times New Roman"/>
          <w:sz w:val="24"/>
          <w:szCs w:val="24"/>
        </w:rPr>
        <w:t xml:space="preserve">and </w:t>
      </w:r>
      <w:r w:rsidR="00F939A4">
        <w:rPr>
          <w:rFonts w:ascii="Times New Roman" w:hAnsi="Times New Roman" w:cs="Times New Roman"/>
          <w:sz w:val="24"/>
          <w:szCs w:val="24"/>
        </w:rPr>
        <w:t xml:space="preserve">sampled LEAs </w:t>
      </w:r>
      <w:r w:rsidR="00FF4B27">
        <w:rPr>
          <w:rFonts w:ascii="Times New Roman" w:hAnsi="Times New Roman" w:cs="Times New Roman"/>
          <w:sz w:val="24"/>
          <w:szCs w:val="24"/>
        </w:rPr>
        <w:t xml:space="preserve">(with less than 500 officers) </w:t>
      </w:r>
      <w:r w:rsidR="00F939A4">
        <w:rPr>
          <w:rFonts w:ascii="Times New Roman" w:hAnsi="Times New Roman" w:cs="Times New Roman"/>
          <w:sz w:val="24"/>
          <w:szCs w:val="24"/>
        </w:rPr>
        <w:t xml:space="preserve">without an identified arrest-related death will form subsample 3, and the ME/Cs with jurisdiction </w:t>
      </w:r>
      <w:r w:rsidR="00802AEE">
        <w:rPr>
          <w:rFonts w:ascii="Times New Roman" w:hAnsi="Times New Roman" w:cs="Times New Roman"/>
          <w:sz w:val="24"/>
          <w:szCs w:val="24"/>
        </w:rPr>
        <w:t xml:space="preserve">concurrent with </w:t>
      </w:r>
      <w:r w:rsidR="00722811">
        <w:rPr>
          <w:rFonts w:ascii="Times New Roman" w:hAnsi="Times New Roman" w:cs="Times New Roman"/>
          <w:sz w:val="24"/>
          <w:szCs w:val="24"/>
        </w:rPr>
        <w:t>those LEAs will form subsample 4</w:t>
      </w:r>
      <w:r w:rsidR="00F939A4">
        <w:rPr>
          <w:rFonts w:ascii="Times New Roman" w:hAnsi="Times New Roman" w:cs="Times New Roman"/>
          <w:sz w:val="24"/>
          <w:szCs w:val="24"/>
        </w:rPr>
        <w:t>.</w:t>
      </w:r>
    </w:p>
    <w:p w14:paraId="4370C86E" w14:textId="77777777" w:rsidR="004918AB" w:rsidRPr="003C1A54" w:rsidRDefault="004918AB" w:rsidP="004918AB">
      <w:pPr>
        <w:spacing w:after="0" w:line="240" w:lineRule="auto"/>
        <w:rPr>
          <w:rFonts w:ascii="Times New Roman" w:hAnsi="Times New Roman" w:cs="Times New Roman"/>
          <w:sz w:val="24"/>
          <w:szCs w:val="24"/>
        </w:rPr>
      </w:pPr>
    </w:p>
    <w:p w14:paraId="58C5F568" w14:textId="77777777" w:rsidR="00E82BA9" w:rsidRDefault="00643C10" w:rsidP="00F57391">
      <w:pPr>
        <w:keepNext/>
        <w:tabs>
          <w:tab w:val="left" w:pos="1845"/>
        </w:tabs>
        <w:spacing w:after="120" w:line="240" w:lineRule="auto"/>
        <w:rPr>
          <w:rFonts w:ascii="Times New Roman" w:hAnsi="Times New Roman" w:cs="Times New Roman"/>
          <w:b/>
          <w:sz w:val="24"/>
          <w:szCs w:val="24"/>
          <w:u w:val="single"/>
        </w:rPr>
      </w:pPr>
      <w:r w:rsidRPr="00985F06">
        <w:rPr>
          <w:rFonts w:ascii="Times New Roman" w:hAnsi="Times New Roman" w:cs="Times New Roman"/>
          <w:b/>
          <w:sz w:val="24"/>
          <w:szCs w:val="24"/>
          <w:u w:val="single"/>
        </w:rPr>
        <w:t>Data Collection Procedur</w:t>
      </w:r>
      <w:r w:rsidR="00AE0378" w:rsidRPr="00985F06">
        <w:rPr>
          <w:rFonts w:ascii="Times New Roman" w:hAnsi="Times New Roman" w:cs="Times New Roman"/>
          <w:b/>
          <w:sz w:val="24"/>
          <w:szCs w:val="24"/>
          <w:u w:val="single"/>
        </w:rPr>
        <w:t>e</w:t>
      </w:r>
      <w:r w:rsidR="00547959">
        <w:rPr>
          <w:rFonts w:ascii="Times New Roman" w:hAnsi="Times New Roman" w:cs="Times New Roman"/>
          <w:b/>
          <w:sz w:val="24"/>
          <w:szCs w:val="24"/>
          <w:u w:val="single"/>
        </w:rPr>
        <w:t>s</w:t>
      </w:r>
    </w:p>
    <w:p w14:paraId="3D6481A1" w14:textId="6B6C10F9" w:rsidR="002867D7" w:rsidRDefault="00E546F6" w:rsidP="00F57391">
      <w:pPr>
        <w:keepNext/>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To </w:t>
      </w:r>
      <w:r w:rsidR="00C65106">
        <w:rPr>
          <w:rFonts w:ascii="Times New Roman" w:hAnsi="Times New Roman" w:cs="Times New Roman"/>
          <w:sz w:val="24"/>
          <w:szCs w:val="24"/>
        </w:rPr>
        <w:t>identify respondents for</w:t>
      </w:r>
      <w:r>
        <w:rPr>
          <w:rFonts w:ascii="Times New Roman" w:hAnsi="Times New Roman" w:cs="Times New Roman"/>
          <w:sz w:val="24"/>
          <w:szCs w:val="24"/>
        </w:rPr>
        <w:t xml:space="preserve"> the agency survey, </w:t>
      </w:r>
      <w:r w:rsidR="00802AEE">
        <w:rPr>
          <w:rFonts w:ascii="Times New Roman" w:hAnsi="Times New Roman" w:cs="Times New Roman"/>
          <w:sz w:val="24"/>
          <w:szCs w:val="24"/>
        </w:rPr>
        <w:t xml:space="preserve">we will review open sources and compile </w:t>
      </w:r>
      <w:r>
        <w:rPr>
          <w:rFonts w:ascii="Times New Roman" w:hAnsi="Times New Roman" w:cs="Times New Roman"/>
          <w:sz w:val="24"/>
          <w:szCs w:val="24"/>
        </w:rPr>
        <w:t>a l</w:t>
      </w:r>
      <w:r w:rsidR="002867D7" w:rsidRPr="000428B6">
        <w:rPr>
          <w:rFonts w:ascii="Times New Roman" w:hAnsi="Times New Roman" w:cs="Times New Roman"/>
          <w:sz w:val="24"/>
          <w:szCs w:val="24"/>
        </w:rPr>
        <w:t xml:space="preserve">ist of potential </w:t>
      </w:r>
      <w:r w:rsidR="002867D7">
        <w:rPr>
          <w:rFonts w:ascii="Times New Roman" w:hAnsi="Times New Roman" w:cs="Times New Roman"/>
          <w:sz w:val="24"/>
          <w:szCs w:val="24"/>
        </w:rPr>
        <w:t>arrest-related deaths</w:t>
      </w:r>
      <w:r w:rsidR="002867D7" w:rsidRPr="000428B6">
        <w:rPr>
          <w:rFonts w:ascii="Times New Roman" w:hAnsi="Times New Roman" w:cs="Times New Roman"/>
          <w:sz w:val="24"/>
          <w:szCs w:val="24"/>
        </w:rPr>
        <w:t xml:space="preserve"> </w:t>
      </w:r>
      <w:r>
        <w:rPr>
          <w:rFonts w:ascii="Times New Roman" w:hAnsi="Times New Roman" w:cs="Times New Roman"/>
          <w:sz w:val="24"/>
          <w:szCs w:val="24"/>
        </w:rPr>
        <w:t xml:space="preserve">occurring from June 1 through August 31, 2015. This list </w:t>
      </w:r>
      <w:r w:rsidR="002867D7" w:rsidRPr="000428B6">
        <w:rPr>
          <w:rFonts w:ascii="Times New Roman" w:hAnsi="Times New Roman" w:cs="Times New Roman"/>
          <w:sz w:val="24"/>
          <w:szCs w:val="24"/>
        </w:rPr>
        <w:t>will be checked for duplication to develop a list of unique cases</w:t>
      </w:r>
      <w:r>
        <w:rPr>
          <w:rFonts w:ascii="Times New Roman" w:hAnsi="Times New Roman" w:cs="Times New Roman"/>
          <w:sz w:val="24"/>
          <w:szCs w:val="24"/>
        </w:rPr>
        <w:t xml:space="preserve">. Preliminary analyses </w:t>
      </w:r>
      <w:r w:rsidR="00722811">
        <w:rPr>
          <w:rFonts w:ascii="Times New Roman" w:hAnsi="Times New Roman" w:cs="Times New Roman"/>
          <w:sz w:val="24"/>
          <w:szCs w:val="24"/>
        </w:rPr>
        <w:t>estimate</w:t>
      </w:r>
      <w:r>
        <w:rPr>
          <w:rFonts w:ascii="Times New Roman" w:hAnsi="Times New Roman" w:cs="Times New Roman"/>
          <w:sz w:val="24"/>
          <w:szCs w:val="24"/>
        </w:rPr>
        <w:t xml:space="preserve"> that </w:t>
      </w:r>
      <w:r w:rsidR="00722811">
        <w:rPr>
          <w:rFonts w:ascii="Times New Roman" w:hAnsi="Times New Roman" w:cs="Times New Roman"/>
          <w:sz w:val="24"/>
          <w:szCs w:val="24"/>
        </w:rPr>
        <w:t>4</w:t>
      </w:r>
      <w:r w:rsidR="007F51BB">
        <w:rPr>
          <w:rFonts w:ascii="Times New Roman" w:hAnsi="Times New Roman" w:cs="Times New Roman"/>
          <w:sz w:val="24"/>
          <w:szCs w:val="24"/>
        </w:rPr>
        <w:t>0</w:t>
      </w:r>
      <w:r w:rsidR="00722811">
        <w:rPr>
          <w:rFonts w:ascii="Times New Roman" w:hAnsi="Times New Roman" w:cs="Times New Roman"/>
          <w:sz w:val="24"/>
          <w:szCs w:val="24"/>
        </w:rPr>
        <w:t>3</w:t>
      </w:r>
      <w:r w:rsidR="007F51BB">
        <w:rPr>
          <w:rFonts w:ascii="Times New Roman" w:hAnsi="Times New Roman" w:cs="Times New Roman"/>
          <w:sz w:val="24"/>
          <w:szCs w:val="24"/>
        </w:rPr>
        <w:t xml:space="preserve"> potential arrest-related deaths will be identified through open</w:t>
      </w:r>
      <w:r w:rsidR="008D7039">
        <w:rPr>
          <w:rFonts w:ascii="Times New Roman" w:hAnsi="Times New Roman" w:cs="Times New Roman"/>
          <w:sz w:val="24"/>
          <w:szCs w:val="24"/>
        </w:rPr>
        <w:t>-</w:t>
      </w:r>
      <w:r w:rsidR="007F51BB">
        <w:rPr>
          <w:rFonts w:ascii="Times New Roman" w:hAnsi="Times New Roman" w:cs="Times New Roman"/>
          <w:sz w:val="24"/>
          <w:szCs w:val="24"/>
        </w:rPr>
        <w:t>source review. LEAs and ME/Cs with jurisdiction in these cases, as well as a sample of agencies without an identified arrest-related death</w:t>
      </w:r>
      <w:r w:rsidR="00802AEE">
        <w:rPr>
          <w:rFonts w:ascii="Times New Roman" w:hAnsi="Times New Roman" w:cs="Times New Roman"/>
          <w:sz w:val="24"/>
          <w:szCs w:val="24"/>
        </w:rPr>
        <w:t>,</w:t>
      </w:r>
      <w:r w:rsidR="007F51BB">
        <w:rPr>
          <w:rFonts w:ascii="Times New Roman" w:hAnsi="Times New Roman" w:cs="Times New Roman"/>
          <w:sz w:val="24"/>
          <w:szCs w:val="24"/>
        </w:rPr>
        <w:t xml:space="preserve"> will be contacted to </w:t>
      </w:r>
      <w:r w:rsidRPr="00E546F6">
        <w:rPr>
          <w:rFonts w:ascii="Times New Roman" w:hAnsi="Times New Roman" w:cs="Times New Roman"/>
          <w:sz w:val="24"/>
          <w:szCs w:val="24"/>
        </w:rPr>
        <w:t>(1)</w:t>
      </w:r>
      <w:r w:rsidR="0005414A">
        <w:rPr>
          <w:rFonts w:ascii="Times New Roman" w:hAnsi="Times New Roman" w:cs="Times New Roman"/>
          <w:sz w:val="24"/>
          <w:szCs w:val="24"/>
        </w:rPr>
        <w:t xml:space="preserve"> </w:t>
      </w:r>
      <w:r w:rsidRPr="00E546F6">
        <w:rPr>
          <w:rFonts w:ascii="Times New Roman" w:hAnsi="Times New Roman" w:cs="Times New Roman"/>
          <w:sz w:val="24"/>
          <w:szCs w:val="24"/>
        </w:rPr>
        <w:t>confirm</w:t>
      </w:r>
      <w:r w:rsidR="00802AEE">
        <w:rPr>
          <w:rFonts w:ascii="Times New Roman" w:hAnsi="Times New Roman" w:cs="Times New Roman"/>
          <w:sz w:val="24"/>
          <w:szCs w:val="24"/>
        </w:rPr>
        <w:t>,</w:t>
      </w:r>
      <w:r w:rsidR="00802AEE" w:rsidRPr="00E546F6">
        <w:rPr>
          <w:rFonts w:ascii="Times New Roman" w:hAnsi="Times New Roman" w:cs="Times New Roman"/>
          <w:sz w:val="24"/>
          <w:szCs w:val="24"/>
        </w:rPr>
        <w:t xml:space="preserve"> </w:t>
      </w:r>
      <w:r w:rsidR="00802AEE">
        <w:rPr>
          <w:rFonts w:ascii="Times New Roman" w:hAnsi="Times New Roman" w:cs="Times New Roman"/>
          <w:sz w:val="24"/>
          <w:szCs w:val="24"/>
        </w:rPr>
        <w:t>where indicated,</w:t>
      </w:r>
      <w:r w:rsidRPr="00E546F6">
        <w:rPr>
          <w:rFonts w:ascii="Times New Roman" w:hAnsi="Times New Roman" w:cs="Times New Roman"/>
          <w:sz w:val="24"/>
          <w:szCs w:val="24"/>
        </w:rPr>
        <w:t xml:space="preserve"> whether the incident meets the definition of an arrest-related death and other inclusionary criteria</w:t>
      </w:r>
      <w:r w:rsidR="00802AEE">
        <w:rPr>
          <w:rFonts w:ascii="Times New Roman" w:hAnsi="Times New Roman" w:cs="Times New Roman"/>
          <w:sz w:val="24"/>
          <w:szCs w:val="24"/>
        </w:rPr>
        <w:t>;</w:t>
      </w:r>
      <w:r w:rsidRPr="00E546F6">
        <w:rPr>
          <w:rFonts w:ascii="Times New Roman" w:hAnsi="Times New Roman" w:cs="Times New Roman"/>
          <w:sz w:val="24"/>
          <w:szCs w:val="24"/>
        </w:rPr>
        <w:t xml:space="preserve"> (2) identify any additional arrest-related deaths that BJS did not identify during its open</w:t>
      </w:r>
      <w:r w:rsidR="008D7039">
        <w:rPr>
          <w:rFonts w:ascii="Times New Roman" w:hAnsi="Times New Roman" w:cs="Times New Roman"/>
          <w:sz w:val="24"/>
          <w:szCs w:val="24"/>
        </w:rPr>
        <w:t>-</w:t>
      </w:r>
      <w:r w:rsidRPr="00E546F6">
        <w:rPr>
          <w:rFonts w:ascii="Times New Roman" w:hAnsi="Times New Roman" w:cs="Times New Roman"/>
          <w:sz w:val="24"/>
          <w:szCs w:val="24"/>
        </w:rPr>
        <w:t>source review</w:t>
      </w:r>
      <w:r w:rsidR="00802AEE">
        <w:rPr>
          <w:rFonts w:ascii="Times New Roman" w:hAnsi="Times New Roman" w:cs="Times New Roman"/>
          <w:sz w:val="24"/>
          <w:szCs w:val="24"/>
        </w:rPr>
        <w:t>;</w:t>
      </w:r>
      <w:r w:rsidRPr="00E546F6">
        <w:rPr>
          <w:rFonts w:ascii="Times New Roman" w:hAnsi="Times New Roman" w:cs="Times New Roman"/>
          <w:sz w:val="24"/>
          <w:szCs w:val="24"/>
        </w:rPr>
        <w:t xml:space="preserve"> and (3) collect </w:t>
      </w:r>
      <w:r w:rsidRPr="00E546F6">
        <w:rPr>
          <w:rFonts w:ascii="Times New Roman" w:hAnsi="Times New Roman" w:cs="Times New Roman"/>
          <w:sz w:val="24"/>
          <w:szCs w:val="24"/>
        </w:rPr>
        <w:lastRenderedPageBreak/>
        <w:t>additional information about the decedent and the circumstances surrounding the incident</w:t>
      </w:r>
      <w:r w:rsidR="00802AEE" w:rsidRPr="00E546F6">
        <w:rPr>
          <w:rFonts w:ascii="Times New Roman" w:hAnsi="Times New Roman" w:cs="Times New Roman"/>
          <w:sz w:val="24"/>
          <w:szCs w:val="24"/>
        </w:rPr>
        <w:t xml:space="preserve"> for all identified arrest-related deaths</w:t>
      </w:r>
      <w:r w:rsidRPr="00E546F6">
        <w:rPr>
          <w:rFonts w:ascii="Times New Roman" w:hAnsi="Times New Roman" w:cs="Times New Roman"/>
          <w:sz w:val="24"/>
          <w:szCs w:val="24"/>
        </w:rPr>
        <w:t>.</w:t>
      </w:r>
      <w:r w:rsidR="002867D7" w:rsidRPr="000428B6">
        <w:rPr>
          <w:rFonts w:ascii="Times New Roman" w:hAnsi="Times New Roman" w:cs="Times New Roman"/>
          <w:sz w:val="24"/>
          <w:szCs w:val="24"/>
        </w:rPr>
        <w:t xml:space="preserve">  </w:t>
      </w:r>
    </w:p>
    <w:p w14:paraId="53CDD813" w14:textId="5A2D6032" w:rsidR="002867D7" w:rsidRPr="000428B6" w:rsidRDefault="007F51BB"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As described in the </w:t>
      </w:r>
      <w:r>
        <w:rPr>
          <w:rFonts w:ascii="Times New Roman" w:hAnsi="Times New Roman" w:cs="Times New Roman"/>
          <w:i/>
          <w:sz w:val="24"/>
          <w:szCs w:val="24"/>
        </w:rPr>
        <w:t xml:space="preserve">Selection of Survey Sample </w:t>
      </w:r>
      <w:r>
        <w:rPr>
          <w:rFonts w:ascii="Times New Roman" w:hAnsi="Times New Roman" w:cs="Times New Roman"/>
          <w:sz w:val="24"/>
          <w:szCs w:val="24"/>
        </w:rPr>
        <w:t xml:space="preserve">section, the agency frame will be developed from the list of agencies identified </w:t>
      </w:r>
      <w:r w:rsidR="0005414A">
        <w:rPr>
          <w:rFonts w:ascii="Times New Roman" w:hAnsi="Times New Roman" w:cs="Times New Roman"/>
          <w:sz w:val="24"/>
          <w:szCs w:val="24"/>
        </w:rPr>
        <w:t>through the open</w:t>
      </w:r>
      <w:r w:rsidR="008D7039">
        <w:rPr>
          <w:rFonts w:ascii="Times New Roman" w:hAnsi="Times New Roman" w:cs="Times New Roman"/>
          <w:sz w:val="24"/>
          <w:szCs w:val="24"/>
        </w:rPr>
        <w:t>-</w:t>
      </w:r>
      <w:r w:rsidR="0005414A">
        <w:rPr>
          <w:rFonts w:ascii="Times New Roman" w:hAnsi="Times New Roman" w:cs="Times New Roman"/>
          <w:sz w:val="24"/>
          <w:szCs w:val="24"/>
        </w:rPr>
        <w:t>source review, a</w:t>
      </w:r>
      <w:r>
        <w:rPr>
          <w:rFonts w:ascii="Times New Roman" w:hAnsi="Times New Roman" w:cs="Times New Roman"/>
          <w:sz w:val="24"/>
          <w:szCs w:val="24"/>
        </w:rPr>
        <w:t xml:space="preserve"> sample of other </w:t>
      </w:r>
      <w:r w:rsidR="00844E60">
        <w:rPr>
          <w:rFonts w:ascii="Times New Roman" w:hAnsi="Times New Roman" w:cs="Times New Roman"/>
          <w:sz w:val="24"/>
          <w:szCs w:val="24"/>
        </w:rPr>
        <w:t>LEA</w:t>
      </w:r>
      <w:r>
        <w:rPr>
          <w:rFonts w:ascii="Times New Roman" w:hAnsi="Times New Roman" w:cs="Times New Roman"/>
          <w:sz w:val="24"/>
          <w:szCs w:val="24"/>
        </w:rPr>
        <w:t>s</w:t>
      </w:r>
      <w:r w:rsidR="0005414A">
        <w:rPr>
          <w:rFonts w:ascii="Times New Roman" w:hAnsi="Times New Roman" w:cs="Times New Roman"/>
          <w:sz w:val="24"/>
          <w:szCs w:val="24"/>
        </w:rPr>
        <w:t>, and</w:t>
      </w:r>
      <w:r>
        <w:rPr>
          <w:rFonts w:ascii="Times New Roman" w:hAnsi="Times New Roman" w:cs="Times New Roman"/>
          <w:sz w:val="24"/>
          <w:szCs w:val="24"/>
        </w:rPr>
        <w:t xml:space="preserve"> </w:t>
      </w:r>
      <w:r w:rsidR="00BC150D" w:rsidRPr="00BC150D">
        <w:rPr>
          <w:rFonts w:ascii="Times New Roman" w:hAnsi="Times New Roman" w:cs="Times New Roman"/>
          <w:sz w:val="24"/>
          <w:szCs w:val="24"/>
        </w:rPr>
        <w:t>ME/C</w:t>
      </w:r>
      <w:r>
        <w:rPr>
          <w:rFonts w:ascii="Times New Roman" w:hAnsi="Times New Roman" w:cs="Times New Roman"/>
          <w:sz w:val="24"/>
          <w:szCs w:val="24"/>
        </w:rPr>
        <w:t xml:space="preserve"> office</w:t>
      </w:r>
      <w:r w:rsidR="0005414A">
        <w:rPr>
          <w:rFonts w:ascii="Times New Roman" w:hAnsi="Times New Roman" w:cs="Times New Roman"/>
          <w:sz w:val="24"/>
          <w:szCs w:val="24"/>
        </w:rPr>
        <w:t xml:space="preserve">s with jurisdiction </w:t>
      </w:r>
      <w:r w:rsidR="00802AEE">
        <w:rPr>
          <w:rFonts w:ascii="Times New Roman" w:hAnsi="Times New Roman" w:cs="Times New Roman"/>
          <w:sz w:val="24"/>
          <w:szCs w:val="24"/>
        </w:rPr>
        <w:t xml:space="preserve">concurrent with those of </w:t>
      </w:r>
      <w:r w:rsidR="00D93858">
        <w:rPr>
          <w:rFonts w:ascii="Times New Roman" w:hAnsi="Times New Roman" w:cs="Times New Roman"/>
          <w:sz w:val="24"/>
          <w:szCs w:val="24"/>
        </w:rPr>
        <w:t>the two</w:t>
      </w:r>
      <w:r w:rsidR="0005414A">
        <w:rPr>
          <w:rFonts w:ascii="Times New Roman" w:hAnsi="Times New Roman" w:cs="Times New Roman"/>
          <w:sz w:val="24"/>
          <w:szCs w:val="24"/>
        </w:rPr>
        <w:t xml:space="preserve"> LEA</w:t>
      </w:r>
      <w:r w:rsidR="00D93858">
        <w:rPr>
          <w:rFonts w:ascii="Times New Roman" w:hAnsi="Times New Roman" w:cs="Times New Roman"/>
          <w:sz w:val="24"/>
          <w:szCs w:val="24"/>
        </w:rPr>
        <w:t xml:space="preserve"> subsamples</w:t>
      </w:r>
      <w:r>
        <w:rPr>
          <w:rFonts w:ascii="Times New Roman" w:hAnsi="Times New Roman" w:cs="Times New Roman"/>
          <w:sz w:val="24"/>
          <w:szCs w:val="24"/>
        </w:rPr>
        <w:t xml:space="preserve">. </w:t>
      </w:r>
      <w:r w:rsidR="00722811">
        <w:rPr>
          <w:rFonts w:ascii="Times New Roman" w:hAnsi="Times New Roman" w:cs="Times New Roman"/>
          <w:sz w:val="24"/>
          <w:szCs w:val="24"/>
        </w:rPr>
        <w:t>An estimated</w:t>
      </w:r>
      <w:r w:rsidR="002867D7">
        <w:rPr>
          <w:rFonts w:ascii="Times New Roman" w:hAnsi="Times New Roman" w:cs="Times New Roman"/>
          <w:sz w:val="24"/>
          <w:szCs w:val="24"/>
        </w:rPr>
        <w:t xml:space="preserve"> </w:t>
      </w:r>
      <w:r w:rsidR="00D40490">
        <w:rPr>
          <w:rFonts w:ascii="Times New Roman" w:hAnsi="Times New Roman" w:cs="Times New Roman"/>
          <w:sz w:val="24"/>
          <w:szCs w:val="24"/>
        </w:rPr>
        <w:t>1,</w:t>
      </w:r>
      <w:r w:rsidR="00F57391">
        <w:rPr>
          <w:rFonts w:ascii="Times New Roman" w:hAnsi="Times New Roman" w:cs="Times New Roman"/>
          <w:sz w:val="24"/>
          <w:szCs w:val="24"/>
        </w:rPr>
        <w:t>70</w:t>
      </w:r>
      <w:r w:rsidR="00D40490">
        <w:rPr>
          <w:rFonts w:ascii="Times New Roman" w:hAnsi="Times New Roman" w:cs="Times New Roman"/>
          <w:sz w:val="24"/>
          <w:szCs w:val="24"/>
        </w:rPr>
        <w:t>5</w:t>
      </w:r>
      <w:r w:rsidR="002867D7">
        <w:rPr>
          <w:rFonts w:ascii="Times New Roman" w:hAnsi="Times New Roman" w:cs="Times New Roman"/>
          <w:sz w:val="24"/>
          <w:szCs w:val="24"/>
        </w:rPr>
        <w:t xml:space="preserve"> </w:t>
      </w:r>
      <w:r w:rsidR="0005414A">
        <w:rPr>
          <w:rFonts w:ascii="Times New Roman" w:hAnsi="Times New Roman" w:cs="Times New Roman"/>
          <w:sz w:val="24"/>
          <w:szCs w:val="24"/>
        </w:rPr>
        <w:t xml:space="preserve">LEA and ME/C </w:t>
      </w:r>
      <w:r w:rsidR="00E546F6">
        <w:rPr>
          <w:rFonts w:ascii="Times New Roman" w:hAnsi="Times New Roman" w:cs="Times New Roman"/>
          <w:sz w:val="24"/>
          <w:szCs w:val="24"/>
        </w:rPr>
        <w:t>agencies will receive Quarterly Summary questionnaires</w:t>
      </w:r>
      <w:r w:rsidR="002867D7">
        <w:rPr>
          <w:rFonts w:ascii="Times New Roman" w:hAnsi="Times New Roman" w:cs="Times New Roman"/>
          <w:sz w:val="24"/>
          <w:szCs w:val="24"/>
        </w:rPr>
        <w:t>.</w:t>
      </w:r>
      <w:r w:rsidR="00E546F6">
        <w:rPr>
          <w:rFonts w:ascii="Times New Roman" w:hAnsi="Times New Roman" w:cs="Times New Roman"/>
          <w:sz w:val="24"/>
          <w:szCs w:val="24"/>
        </w:rPr>
        <w:t xml:space="preserve"> </w:t>
      </w:r>
      <w:r w:rsidR="00802AEE">
        <w:rPr>
          <w:rFonts w:ascii="Times New Roman" w:hAnsi="Times New Roman" w:cs="Times New Roman"/>
          <w:sz w:val="24"/>
          <w:szCs w:val="24"/>
        </w:rPr>
        <w:t>O</w:t>
      </w:r>
      <w:r>
        <w:rPr>
          <w:rFonts w:ascii="Times New Roman" w:hAnsi="Times New Roman" w:cs="Times New Roman"/>
          <w:sz w:val="24"/>
          <w:szCs w:val="24"/>
        </w:rPr>
        <w:t xml:space="preserve">n </w:t>
      </w:r>
      <w:r w:rsidR="00802AEE">
        <w:rPr>
          <w:rFonts w:ascii="Times New Roman" w:hAnsi="Times New Roman" w:cs="Times New Roman"/>
          <w:sz w:val="24"/>
          <w:szCs w:val="24"/>
        </w:rPr>
        <w:t>the basis of</w:t>
      </w:r>
      <w:r>
        <w:rPr>
          <w:rFonts w:ascii="Times New Roman" w:hAnsi="Times New Roman" w:cs="Times New Roman"/>
          <w:sz w:val="24"/>
          <w:szCs w:val="24"/>
        </w:rPr>
        <w:t xml:space="preserve"> preliminary analyses from the 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we </w:t>
      </w:r>
      <w:r w:rsidR="00722811">
        <w:rPr>
          <w:rFonts w:ascii="Times New Roman" w:hAnsi="Times New Roman" w:cs="Times New Roman"/>
          <w:sz w:val="24"/>
          <w:szCs w:val="24"/>
        </w:rPr>
        <w:t>estimate</w:t>
      </w:r>
      <w:r>
        <w:rPr>
          <w:rFonts w:ascii="Times New Roman" w:hAnsi="Times New Roman" w:cs="Times New Roman"/>
          <w:sz w:val="24"/>
          <w:szCs w:val="24"/>
        </w:rPr>
        <w:t xml:space="preserve"> </w:t>
      </w:r>
      <w:r w:rsidR="00802AEE">
        <w:rPr>
          <w:rFonts w:ascii="Times New Roman" w:hAnsi="Times New Roman" w:cs="Times New Roman"/>
          <w:sz w:val="24"/>
          <w:szCs w:val="24"/>
        </w:rPr>
        <w:t>that</w:t>
      </w:r>
      <w:r>
        <w:rPr>
          <w:rFonts w:ascii="Times New Roman" w:hAnsi="Times New Roman" w:cs="Times New Roman"/>
          <w:sz w:val="24"/>
          <w:szCs w:val="24"/>
        </w:rPr>
        <w:t xml:space="preserve"> 4</w:t>
      </w:r>
      <w:r w:rsidR="00722811">
        <w:rPr>
          <w:rFonts w:ascii="Times New Roman" w:hAnsi="Times New Roman" w:cs="Times New Roman"/>
          <w:sz w:val="24"/>
          <w:szCs w:val="24"/>
        </w:rPr>
        <w:t xml:space="preserve">53 incident reports </w:t>
      </w:r>
      <w:r w:rsidR="00802AEE">
        <w:rPr>
          <w:rFonts w:ascii="Times New Roman" w:hAnsi="Times New Roman" w:cs="Times New Roman"/>
          <w:sz w:val="24"/>
          <w:szCs w:val="24"/>
        </w:rPr>
        <w:t xml:space="preserve">will be </w:t>
      </w:r>
      <w:r w:rsidR="00722811">
        <w:rPr>
          <w:rFonts w:ascii="Times New Roman" w:hAnsi="Times New Roman" w:cs="Times New Roman"/>
          <w:sz w:val="24"/>
          <w:szCs w:val="24"/>
        </w:rPr>
        <w:t>completed (403</w:t>
      </w:r>
      <w:r>
        <w:rPr>
          <w:rFonts w:ascii="Times New Roman" w:hAnsi="Times New Roman" w:cs="Times New Roman"/>
          <w:sz w:val="24"/>
          <w:szCs w:val="24"/>
        </w:rPr>
        <w:t xml:space="preserve"> from cases identified through open</w:t>
      </w:r>
      <w:r w:rsidR="008D7039">
        <w:rPr>
          <w:rFonts w:ascii="Times New Roman" w:hAnsi="Times New Roman" w:cs="Times New Roman"/>
          <w:sz w:val="24"/>
          <w:szCs w:val="24"/>
        </w:rPr>
        <w:t>-</w:t>
      </w:r>
      <w:r>
        <w:rPr>
          <w:rFonts w:ascii="Times New Roman" w:hAnsi="Times New Roman" w:cs="Times New Roman"/>
          <w:sz w:val="24"/>
          <w:szCs w:val="24"/>
        </w:rPr>
        <w:t xml:space="preserve">source review and 50 </w:t>
      </w:r>
      <w:r w:rsidR="00F57391">
        <w:rPr>
          <w:rFonts w:ascii="Times New Roman" w:hAnsi="Times New Roman" w:cs="Times New Roman"/>
          <w:sz w:val="24"/>
          <w:szCs w:val="24"/>
        </w:rPr>
        <w:t xml:space="preserve">cases </w:t>
      </w:r>
      <w:r>
        <w:rPr>
          <w:rFonts w:ascii="Times New Roman" w:hAnsi="Times New Roman" w:cs="Times New Roman"/>
          <w:sz w:val="24"/>
          <w:szCs w:val="24"/>
        </w:rPr>
        <w:t xml:space="preserve">identified by the agencies). </w:t>
      </w:r>
    </w:p>
    <w:p w14:paraId="1AE741E6" w14:textId="56D2DC31" w:rsidR="00D45B22" w:rsidRDefault="004C504F"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Contact information for identified and sample</w:t>
      </w:r>
      <w:r w:rsidR="0005414A">
        <w:rPr>
          <w:rFonts w:ascii="Times New Roman" w:hAnsi="Times New Roman" w:cs="Times New Roman"/>
          <w:sz w:val="24"/>
          <w:szCs w:val="24"/>
        </w:rPr>
        <w:t>d</w:t>
      </w:r>
      <w:r>
        <w:rPr>
          <w:rFonts w:ascii="Times New Roman" w:hAnsi="Times New Roman" w:cs="Times New Roman"/>
          <w:sz w:val="24"/>
          <w:szCs w:val="24"/>
        </w:rPr>
        <w:t xml:space="preserve"> </w:t>
      </w:r>
      <w:r w:rsidR="00844E60">
        <w:rPr>
          <w:rFonts w:ascii="Times New Roman" w:hAnsi="Times New Roman" w:cs="Times New Roman"/>
          <w:sz w:val="24"/>
          <w:szCs w:val="24"/>
        </w:rPr>
        <w:t>LEA</w:t>
      </w:r>
      <w:r>
        <w:rPr>
          <w:rFonts w:ascii="Times New Roman" w:hAnsi="Times New Roman" w:cs="Times New Roman"/>
          <w:sz w:val="24"/>
          <w:szCs w:val="24"/>
        </w:rPr>
        <w:t>s will be drawn from the a</w:t>
      </w:r>
      <w:r w:rsidR="00F57391">
        <w:rPr>
          <w:rFonts w:ascii="Times New Roman" w:hAnsi="Times New Roman" w:cs="Times New Roman"/>
          <w:sz w:val="24"/>
          <w:szCs w:val="24"/>
        </w:rPr>
        <w:t xml:space="preserve">gency frame used to conduct the 2014 CSLLEA. </w:t>
      </w:r>
      <w:r w:rsidR="00A504B2">
        <w:rPr>
          <w:rFonts w:ascii="Times New Roman" w:hAnsi="Times New Roman" w:cs="Times New Roman"/>
          <w:sz w:val="24"/>
          <w:szCs w:val="24"/>
        </w:rPr>
        <w:t>The first step in the data collection</w:t>
      </w:r>
      <w:r w:rsidR="00D45B22">
        <w:rPr>
          <w:rFonts w:ascii="Times New Roman" w:hAnsi="Times New Roman" w:cs="Times New Roman"/>
          <w:sz w:val="24"/>
          <w:szCs w:val="24"/>
        </w:rPr>
        <w:t xml:space="preserve"> process</w:t>
      </w:r>
      <w:r w:rsidR="00A504B2">
        <w:rPr>
          <w:rFonts w:ascii="Times New Roman" w:hAnsi="Times New Roman" w:cs="Times New Roman"/>
          <w:sz w:val="24"/>
          <w:szCs w:val="24"/>
        </w:rPr>
        <w:t xml:space="preserve"> will be to </w:t>
      </w:r>
      <w:r>
        <w:rPr>
          <w:rFonts w:ascii="Times New Roman" w:hAnsi="Times New Roman" w:cs="Times New Roman"/>
          <w:sz w:val="24"/>
          <w:szCs w:val="24"/>
        </w:rPr>
        <w:t xml:space="preserve">complete any missing contact information. </w:t>
      </w:r>
      <w:r w:rsidR="00F242AF">
        <w:rPr>
          <w:rFonts w:ascii="Times New Roman" w:hAnsi="Times New Roman" w:cs="Times New Roman"/>
          <w:sz w:val="24"/>
          <w:szCs w:val="24"/>
        </w:rPr>
        <w:t>T</w:t>
      </w:r>
      <w:r w:rsidR="00A504B2">
        <w:rPr>
          <w:rFonts w:ascii="Times New Roman" w:hAnsi="Times New Roman" w:cs="Times New Roman"/>
          <w:sz w:val="24"/>
          <w:szCs w:val="24"/>
        </w:rPr>
        <w:t>o fill in e-mail addresses</w:t>
      </w:r>
      <w:r w:rsidR="004334F2">
        <w:rPr>
          <w:rFonts w:ascii="Times New Roman" w:hAnsi="Times New Roman" w:cs="Times New Roman"/>
          <w:sz w:val="24"/>
          <w:szCs w:val="24"/>
        </w:rPr>
        <w:t xml:space="preserve"> for the </w:t>
      </w:r>
      <w:r w:rsidR="00F57391">
        <w:rPr>
          <w:rFonts w:ascii="Times New Roman" w:hAnsi="Times New Roman" w:cs="Times New Roman"/>
          <w:sz w:val="24"/>
          <w:szCs w:val="24"/>
        </w:rPr>
        <w:t>official</w:t>
      </w:r>
      <w:r>
        <w:rPr>
          <w:rFonts w:ascii="Times New Roman" w:hAnsi="Times New Roman" w:cs="Times New Roman"/>
          <w:sz w:val="24"/>
          <w:szCs w:val="24"/>
        </w:rPr>
        <w:t xml:space="preserve"> agency</w:t>
      </w:r>
      <w:r w:rsidR="004334F2">
        <w:rPr>
          <w:rFonts w:ascii="Times New Roman" w:hAnsi="Times New Roman" w:cs="Times New Roman"/>
          <w:sz w:val="24"/>
          <w:szCs w:val="24"/>
        </w:rPr>
        <w:t xml:space="preserve"> sample</w:t>
      </w:r>
      <w:r w:rsidR="00F57391">
        <w:rPr>
          <w:rFonts w:ascii="Times New Roman" w:hAnsi="Times New Roman" w:cs="Times New Roman"/>
          <w:sz w:val="24"/>
          <w:szCs w:val="24"/>
        </w:rPr>
        <w:t>s</w:t>
      </w:r>
      <w:r w:rsidR="00A504B2">
        <w:rPr>
          <w:rFonts w:ascii="Times New Roman" w:hAnsi="Times New Roman" w:cs="Times New Roman"/>
          <w:sz w:val="24"/>
          <w:szCs w:val="24"/>
        </w:rPr>
        <w:t xml:space="preserve">, </w:t>
      </w:r>
      <w:r w:rsidR="00D45B22">
        <w:rPr>
          <w:rFonts w:ascii="Times New Roman" w:hAnsi="Times New Roman" w:cs="Times New Roman"/>
          <w:sz w:val="24"/>
          <w:szCs w:val="24"/>
        </w:rPr>
        <w:t>we</w:t>
      </w:r>
      <w:r w:rsidR="00A504B2">
        <w:rPr>
          <w:rFonts w:ascii="Times New Roman" w:hAnsi="Times New Roman" w:cs="Times New Roman"/>
          <w:sz w:val="24"/>
          <w:szCs w:val="24"/>
        </w:rPr>
        <w:t xml:space="preserve"> will </w:t>
      </w:r>
      <w:r w:rsidR="00C230E2">
        <w:rPr>
          <w:rFonts w:ascii="Times New Roman" w:hAnsi="Times New Roman" w:cs="Times New Roman"/>
          <w:sz w:val="24"/>
          <w:szCs w:val="24"/>
        </w:rPr>
        <w:t>draw from</w:t>
      </w:r>
      <w:r w:rsidR="00A504B2">
        <w:rPr>
          <w:rFonts w:ascii="Times New Roman" w:hAnsi="Times New Roman" w:cs="Times New Roman"/>
          <w:sz w:val="24"/>
          <w:szCs w:val="24"/>
        </w:rPr>
        <w:t xml:space="preserve"> </w:t>
      </w:r>
      <w:r w:rsidR="00C230E2">
        <w:rPr>
          <w:rFonts w:ascii="Times New Roman" w:hAnsi="Times New Roman" w:cs="Times New Roman"/>
          <w:sz w:val="24"/>
          <w:szCs w:val="24"/>
        </w:rPr>
        <w:t xml:space="preserve">information already found in </w:t>
      </w:r>
      <w:r>
        <w:rPr>
          <w:rFonts w:ascii="Times New Roman" w:hAnsi="Times New Roman" w:cs="Times New Roman"/>
          <w:sz w:val="24"/>
          <w:szCs w:val="24"/>
        </w:rPr>
        <w:t>other ongoing a</w:t>
      </w:r>
      <w:r w:rsidR="007F51BB">
        <w:rPr>
          <w:rFonts w:ascii="Times New Roman" w:hAnsi="Times New Roman" w:cs="Times New Roman"/>
          <w:sz w:val="24"/>
          <w:szCs w:val="24"/>
        </w:rPr>
        <w:t xml:space="preserve">ctivities that also rely </w:t>
      </w:r>
      <w:r w:rsidR="00802AEE">
        <w:rPr>
          <w:rFonts w:ascii="Times New Roman" w:hAnsi="Times New Roman" w:cs="Times New Roman"/>
          <w:sz w:val="24"/>
          <w:szCs w:val="24"/>
        </w:rPr>
        <w:t xml:space="preserve">on </w:t>
      </w:r>
      <w:r w:rsidR="00C138DC">
        <w:rPr>
          <w:rFonts w:ascii="Times New Roman" w:hAnsi="Times New Roman" w:cs="Times New Roman"/>
          <w:sz w:val="24"/>
          <w:szCs w:val="24"/>
        </w:rPr>
        <w:t>this information</w:t>
      </w:r>
      <w:r w:rsidR="00722811">
        <w:rPr>
          <w:rFonts w:ascii="Times New Roman" w:hAnsi="Times New Roman" w:cs="Times New Roman"/>
          <w:sz w:val="24"/>
          <w:szCs w:val="24"/>
        </w:rPr>
        <w:t xml:space="preserve">, such as the </w:t>
      </w:r>
      <w:r w:rsidR="00A504B2">
        <w:rPr>
          <w:rFonts w:ascii="Times New Roman" w:hAnsi="Times New Roman" w:cs="Times New Roman"/>
          <w:sz w:val="24"/>
          <w:szCs w:val="24"/>
        </w:rPr>
        <w:t>National Crime Statistics Exchange</w:t>
      </w:r>
      <w:r w:rsidR="00C138DC">
        <w:rPr>
          <w:rFonts w:ascii="Times New Roman" w:hAnsi="Times New Roman" w:cs="Times New Roman"/>
          <w:sz w:val="24"/>
          <w:szCs w:val="24"/>
        </w:rPr>
        <w:t>,</w:t>
      </w:r>
      <w:r w:rsidR="00722811">
        <w:rPr>
          <w:rFonts w:ascii="Times New Roman" w:hAnsi="Times New Roman" w:cs="Times New Roman"/>
          <w:sz w:val="24"/>
          <w:szCs w:val="24"/>
        </w:rPr>
        <w:t xml:space="preserve"> the Survey of Law Enforcement Personnel in Schools, the Law Enforcement Agency Roster</w:t>
      </w:r>
      <w:r w:rsidR="00C138DC">
        <w:rPr>
          <w:rFonts w:ascii="Times New Roman" w:hAnsi="Times New Roman" w:cs="Times New Roman"/>
          <w:sz w:val="24"/>
          <w:szCs w:val="24"/>
        </w:rPr>
        <w:t xml:space="preserve"> task, and the Deaths in Custody Reporting Programs for Jails and Prisons (for ME/C contact information)</w:t>
      </w:r>
      <w:r w:rsidR="00A504B2">
        <w:rPr>
          <w:rFonts w:ascii="Times New Roman" w:hAnsi="Times New Roman" w:cs="Times New Roman"/>
          <w:sz w:val="24"/>
          <w:szCs w:val="24"/>
        </w:rPr>
        <w:t xml:space="preserve">. </w:t>
      </w:r>
      <w:r w:rsidR="00D45B22">
        <w:rPr>
          <w:rFonts w:ascii="Times New Roman" w:hAnsi="Times New Roman" w:cs="Times New Roman"/>
          <w:sz w:val="24"/>
          <w:szCs w:val="24"/>
        </w:rPr>
        <w:t xml:space="preserve">We will </w:t>
      </w:r>
      <w:r w:rsidR="00C230E2">
        <w:rPr>
          <w:rFonts w:ascii="Times New Roman" w:hAnsi="Times New Roman" w:cs="Times New Roman"/>
          <w:sz w:val="24"/>
          <w:szCs w:val="24"/>
        </w:rPr>
        <w:t xml:space="preserve">construct </w:t>
      </w:r>
      <w:r w:rsidR="00D45B22">
        <w:rPr>
          <w:rFonts w:ascii="Times New Roman" w:hAnsi="Times New Roman" w:cs="Times New Roman"/>
          <w:sz w:val="24"/>
          <w:szCs w:val="24"/>
        </w:rPr>
        <w:t xml:space="preserve">a crosswalk between the </w:t>
      </w:r>
      <w:r>
        <w:rPr>
          <w:rFonts w:ascii="Times New Roman" w:hAnsi="Times New Roman" w:cs="Times New Roman"/>
          <w:sz w:val="24"/>
          <w:szCs w:val="24"/>
        </w:rPr>
        <w:t>ARD</w:t>
      </w:r>
      <w:r w:rsidR="00D45B22">
        <w:rPr>
          <w:rFonts w:ascii="Times New Roman" w:hAnsi="Times New Roman" w:cs="Times New Roman"/>
          <w:sz w:val="24"/>
          <w:szCs w:val="24"/>
        </w:rPr>
        <w:t xml:space="preserve"> sample and </w:t>
      </w:r>
      <w:r w:rsidR="00C138DC">
        <w:rPr>
          <w:rFonts w:ascii="Times New Roman" w:hAnsi="Times New Roman" w:cs="Times New Roman"/>
          <w:sz w:val="24"/>
          <w:szCs w:val="24"/>
        </w:rPr>
        <w:t>the</w:t>
      </w:r>
      <w:r w:rsidR="001E4D7C">
        <w:rPr>
          <w:rFonts w:ascii="Times New Roman" w:hAnsi="Times New Roman" w:cs="Times New Roman"/>
          <w:sz w:val="24"/>
          <w:szCs w:val="24"/>
        </w:rPr>
        <w:t xml:space="preserve"> rosters that support these other projects </w:t>
      </w:r>
      <w:r w:rsidR="00D45B22">
        <w:rPr>
          <w:rFonts w:ascii="Times New Roman" w:hAnsi="Times New Roman" w:cs="Times New Roman"/>
          <w:sz w:val="24"/>
          <w:szCs w:val="24"/>
        </w:rPr>
        <w:t xml:space="preserve">to pull any known agency e-mail addresses into the </w:t>
      </w:r>
      <w:r w:rsidR="001E4D7C">
        <w:rPr>
          <w:rFonts w:ascii="Times New Roman" w:hAnsi="Times New Roman" w:cs="Times New Roman"/>
          <w:sz w:val="24"/>
          <w:szCs w:val="24"/>
        </w:rPr>
        <w:t>ARD</w:t>
      </w:r>
      <w:r w:rsidR="00D45B22">
        <w:rPr>
          <w:rFonts w:ascii="Times New Roman" w:hAnsi="Times New Roman" w:cs="Times New Roman"/>
          <w:sz w:val="24"/>
          <w:szCs w:val="24"/>
        </w:rPr>
        <w:t xml:space="preserve"> sample. We are not expecting this </w:t>
      </w:r>
      <w:r w:rsidR="00802AEE">
        <w:rPr>
          <w:rFonts w:ascii="Times New Roman" w:hAnsi="Times New Roman" w:cs="Times New Roman"/>
          <w:sz w:val="24"/>
          <w:szCs w:val="24"/>
        </w:rPr>
        <w:t>step</w:t>
      </w:r>
      <w:r w:rsidR="00D45B22">
        <w:rPr>
          <w:rFonts w:ascii="Times New Roman" w:hAnsi="Times New Roman" w:cs="Times New Roman"/>
          <w:sz w:val="24"/>
          <w:szCs w:val="24"/>
        </w:rPr>
        <w:t xml:space="preserve"> to </w:t>
      </w:r>
      <w:r w:rsidR="0017665D">
        <w:rPr>
          <w:rFonts w:ascii="Times New Roman" w:hAnsi="Times New Roman" w:cs="Times New Roman"/>
          <w:sz w:val="24"/>
          <w:szCs w:val="24"/>
        </w:rPr>
        <w:t>provide</w:t>
      </w:r>
      <w:r w:rsidR="00D45B22">
        <w:rPr>
          <w:rFonts w:ascii="Times New Roman" w:hAnsi="Times New Roman" w:cs="Times New Roman"/>
          <w:sz w:val="24"/>
          <w:szCs w:val="24"/>
        </w:rPr>
        <w:t xml:space="preserve"> 100% </w:t>
      </w:r>
      <w:r w:rsidR="0017665D">
        <w:rPr>
          <w:rFonts w:ascii="Times New Roman" w:hAnsi="Times New Roman" w:cs="Times New Roman"/>
          <w:sz w:val="24"/>
          <w:szCs w:val="24"/>
        </w:rPr>
        <w:t xml:space="preserve">coverage of the </w:t>
      </w:r>
      <w:r w:rsidR="001E4D7C">
        <w:rPr>
          <w:rFonts w:ascii="Times New Roman" w:hAnsi="Times New Roman" w:cs="Times New Roman"/>
          <w:sz w:val="24"/>
          <w:szCs w:val="24"/>
        </w:rPr>
        <w:t>ARD</w:t>
      </w:r>
      <w:r w:rsidR="0017665D">
        <w:rPr>
          <w:rFonts w:ascii="Times New Roman" w:hAnsi="Times New Roman" w:cs="Times New Roman"/>
          <w:sz w:val="24"/>
          <w:szCs w:val="24"/>
        </w:rPr>
        <w:t xml:space="preserve"> sample, so we will </w:t>
      </w:r>
      <w:r w:rsidR="00D45B22">
        <w:rPr>
          <w:rFonts w:ascii="Times New Roman" w:hAnsi="Times New Roman" w:cs="Times New Roman"/>
          <w:sz w:val="24"/>
          <w:szCs w:val="24"/>
        </w:rPr>
        <w:t xml:space="preserve">use Web searches to find </w:t>
      </w:r>
      <w:r w:rsidR="00D25C26">
        <w:rPr>
          <w:rFonts w:ascii="Times New Roman" w:hAnsi="Times New Roman" w:cs="Times New Roman"/>
          <w:sz w:val="24"/>
          <w:szCs w:val="24"/>
        </w:rPr>
        <w:t>e</w:t>
      </w:r>
      <w:r w:rsidR="00D45B22">
        <w:rPr>
          <w:rFonts w:ascii="Times New Roman" w:hAnsi="Times New Roman" w:cs="Times New Roman"/>
          <w:sz w:val="24"/>
          <w:szCs w:val="24"/>
        </w:rPr>
        <w:t>-mail addresses</w:t>
      </w:r>
      <w:r w:rsidR="0017665D">
        <w:rPr>
          <w:rFonts w:ascii="Times New Roman" w:hAnsi="Times New Roman" w:cs="Times New Roman"/>
          <w:sz w:val="24"/>
          <w:szCs w:val="24"/>
        </w:rPr>
        <w:t xml:space="preserve"> </w:t>
      </w:r>
      <w:r w:rsidR="001E4D7C">
        <w:rPr>
          <w:rFonts w:ascii="Times New Roman" w:hAnsi="Times New Roman" w:cs="Times New Roman"/>
          <w:sz w:val="24"/>
          <w:szCs w:val="24"/>
        </w:rPr>
        <w:t>that are still unknown</w:t>
      </w:r>
      <w:r w:rsidR="00D45B22">
        <w:rPr>
          <w:rFonts w:ascii="Times New Roman" w:hAnsi="Times New Roman" w:cs="Times New Roman"/>
          <w:sz w:val="24"/>
          <w:szCs w:val="24"/>
        </w:rPr>
        <w:t xml:space="preserve">. We plan to </w:t>
      </w:r>
      <w:r w:rsidR="00F242AF">
        <w:rPr>
          <w:rFonts w:ascii="Times New Roman" w:hAnsi="Times New Roman" w:cs="Times New Roman"/>
          <w:sz w:val="24"/>
          <w:szCs w:val="24"/>
        </w:rPr>
        <w:t xml:space="preserve">use </w:t>
      </w:r>
      <w:r w:rsidR="00D45B22">
        <w:rPr>
          <w:rFonts w:ascii="Times New Roman" w:hAnsi="Times New Roman" w:cs="Times New Roman"/>
          <w:sz w:val="24"/>
          <w:szCs w:val="24"/>
        </w:rPr>
        <w:t xml:space="preserve">e-mail </w:t>
      </w:r>
      <w:r w:rsidR="0017665D">
        <w:rPr>
          <w:rFonts w:ascii="Times New Roman" w:hAnsi="Times New Roman" w:cs="Times New Roman"/>
          <w:sz w:val="24"/>
          <w:szCs w:val="24"/>
        </w:rPr>
        <w:t xml:space="preserve">as the primary method of communication and recruitment </w:t>
      </w:r>
      <w:r w:rsidR="00D45B22">
        <w:rPr>
          <w:rFonts w:ascii="Times New Roman" w:hAnsi="Times New Roman" w:cs="Times New Roman"/>
          <w:sz w:val="24"/>
          <w:szCs w:val="24"/>
        </w:rPr>
        <w:t xml:space="preserve">for the data collection, so if </w:t>
      </w:r>
      <w:r w:rsidR="00802AEE">
        <w:rPr>
          <w:rFonts w:ascii="Times New Roman" w:hAnsi="Times New Roman" w:cs="Times New Roman"/>
          <w:sz w:val="24"/>
          <w:szCs w:val="24"/>
        </w:rPr>
        <w:t>any</w:t>
      </w:r>
      <w:r w:rsidR="00D45B22">
        <w:rPr>
          <w:rFonts w:ascii="Times New Roman" w:hAnsi="Times New Roman" w:cs="Times New Roman"/>
          <w:sz w:val="24"/>
          <w:szCs w:val="24"/>
        </w:rPr>
        <w:t xml:space="preserve"> </w:t>
      </w:r>
      <w:r w:rsidR="007023D6">
        <w:rPr>
          <w:rFonts w:ascii="Times New Roman" w:hAnsi="Times New Roman" w:cs="Times New Roman"/>
          <w:sz w:val="24"/>
          <w:szCs w:val="24"/>
        </w:rPr>
        <w:t xml:space="preserve">agencies are </w:t>
      </w:r>
      <w:r w:rsidR="00D45B22">
        <w:rPr>
          <w:rFonts w:ascii="Times New Roman" w:hAnsi="Times New Roman" w:cs="Times New Roman"/>
          <w:sz w:val="24"/>
          <w:szCs w:val="24"/>
        </w:rPr>
        <w:t xml:space="preserve">still missing e-mail addresses, we will contact </w:t>
      </w:r>
      <w:r w:rsidR="00F242AF">
        <w:rPr>
          <w:rFonts w:ascii="Times New Roman" w:hAnsi="Times New Roman" w:cs="Times New Roman"/>
          <w:sz w:val="24"/>
          <w:szCs w:val="24"/>
        </w:rPr>
        <w:t xml:space="preserve">them </w:t>
      </w:r>
      <w:r w:rsidR="00D45B22">
        <w:rPr>
          <w:rFonts w:ascii="Times New Roman" w:hAnsi="Times New Roman" w:cs="Times New Roman"/>
          <w:sz w:val="24"/>
          <w:szCs w:val="24"/>
        </w:rPr>
        <w:t xml:space="preserve">via telephone to gather the needed information. </w:t>
      </w:r>
      <w:r w:rsidR="009923D4">
        <w:rPr>
          <w:rFonts w:ascii="Times New Roman" w:hAnsi="Times New Roman" w:cs="Times New Roman"/>
          <w:sz w:val="24"/>
          <w:szCs w:val="24"/>
        </w:rPr>
        <w:t xml:space="preserve">In the </w:t>
      </w:r>
      <w:r w:rsidR="00802AEE">
        <w:rPr>
          <w:rFonts w:ascii="Times New Roman" w:hAnsi="Times New Roman" w:cs="Times New Roman"/>
          <w:sz w:val="24"/>
          <w:szCs w:val="24"/>
        </w:rPr>
        <w:t>unlikely case that</w:t>
      </w:r>
      <w:r w:rsidR="009923D4">
        <w:rPr>
          <w:rFonts w:ascii="Times New Roman" w:hAnsi="Times New Roman" w:cs="Times New Roman"/>
          <w:sz w:val="24"/>
          <w:szCs w:val="24"/>
        </w:rPr>
        <w:t xml:space="preserve"> these telephone contacts do not yield usable e-mail information for the agency, data collection </w:t>
      </w:r>
      <w:r w:rsidR="004874C1">
        <w:rPr>
          <w:rFonts w:ascii="Times New Roman" w:hAnsi="Times New Roman" w:cs="Times New Roman"/>
          <w:sz w:val="24"/>
          <w:szCs w:val="24"/>
        </w:rPr>
        <w:t xml:space="preserve">communications </w:t>
      </w:r>
      <w:r w:rsidR="009923D4">
        <w:rPr>
          <w:rFonts w:ascii="Times New Roman" w:hAnsi="Times New Roman" w:cs="Times New Roman"/>
          <w:sz w:val="24"/>
          <w:szCs w:val="24"/>
        </w:rPr>
        <w:t xml:space="preserve">will be </w:t>
      </w:r>
      <w:r w:rsidR="004874C1">
        <w:rPr>
          <w:rFonts w:ascii="Times New Roman" w:hAnsi="Times New Roman" w:cs="Times New Roman"/>
          <w:sz w:val="24"/>
          <w:szCs w:val="24"/>
        </w:rPr>
        <w:t xml:space="preserve">routed </w:t>
      </w:r>
      <w:r w:rsidR="009923D4">
        <w:rPr>
          <w:rFonts w:ascii="Times New Roman" w:hAnsi="Times New Roman" w:cs="Times New Roman"/>
          <w:sz w:val="24"/>
          <w:szCs w:val="24"/>
        </w:rPr>
        <w:t>via mail</w:t>
      </w:r>
      <w:r w:rsidR="004874C1">
        <w:rPr>
          <w:rFonts w:ascii="Times New Roman" w:hAnsi="Times New Roman" w:cs="Times New Roman"/>
          <w:sz w:val="24"/>
          <w:szCs w:val="24"/>
        </w:rPr>
        <w:t xml:space="preserve"> (instead of e-mail)</w:t>
      </w:r>
      <w:r w:rsidR="0042062A">
        <w:rPr>
          <w:rFonts w:ascii="Times New Roman" w:hAnsi="Times New Roman" w:cs="Times New Roman"/>
          <w:sz w:val="24"/>
          <w:szCs w:val="24"/>
        </w:rPr>
        <w:t xml:space="preserve"> using BJS letterhead</w:t>
      </w:r>
      <w:r w:rsidR="009923D4">
        <w:rPr>
          <w:rFonts w:ascii="Times New Roman" w:hAnsi="Times New Roman" w:cs="Times New Roman"/>
          <w:sz w:val="24"/>
          <w:szCs w:val="24"/>
        </w:rPr>
        <w:t xml:space="preserve"> for that small subset of the sample.</w:t>
      </w:r>
    </w:p>
    <w:p w14:paraId="34D7C4BC" w14:textId="3F40002E" w:rsidR="0016775A" w:rsidRDefault="00802AEE"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Before</w:t>
      </w:r>
      <w:r w:rsidR="0016775A">
        <w:rPr>
          <w:rFonts w:ascii="Times New Roman" w:hAnsi="Times New Roman" w:cs="Times New Roman"/>
          <w:sz w:val="24"/>
          <w:szCs w:val="24"/>
        </w:rPr>
        <w:t xml:space="preserve"> making any contact with the field, </w:t>
      </w:r>
      <w:r w:rsidR="00C138DC">
        <w:rPr>
          <w:rFonts w:ascii="Times New Roman" w:hAnsi="Times New Roman" w:cs="Times New Roman"/>
          <w:sz w:val="24"/>
          <w:szCs w:val="24"/>
        </w:rPr>
        <w:t>BJS</w:t>
      </w:r>
      <w:r w:rsidR="0016775A">
        <w:rPr>
          <w:rFonts w:ascii="Times New Roman" w:hAnsi="Times New Roman" w:cs="Times New Roman"/>
          <w:sz w:val="24"/>
          <w:szCs w:val="24"/>
        </w:rPr>
        <w:t xml:space="preserve"> will set up both a project hotline (</w:t>
      </w:r>
      <w:r w:rsidR="00F242AF">
        <w:rPr>
          <w:rFonts w:ascii="Times New Roman" w:hAnsi="Times New Roman" w:cs="Times New Roman"/>
          <w:sz w:val="24"/>
          <w:szCs w:val="24"/>
        </w:rPr>
        <w:t>toll-free</w:t>
      </w:r>
      <w:r w:rsidR="0016775A">
        <w:rPr>
          <w:rFonts w:ascii="Times New Roman" w:hAnsi="Times New Roman" w:cs="Times New Roman"/>
          <w:sz w:val="24"/>
          <w:szCs w:val="24"/>
        </w:rPr>
        <w:t xml:space="preserve"> number) and </w:t>
      </w:r>
      <w:r w:rsidR="00DE3CB8">
        <w:rPr>
          <w:rFonts w:ascii="Times New Roman" w:hAnsi="Times New Roman" w:cs="Times New Roman"/>
          <w:sz w:val="24"/>
          <w:szCs w:val="24"/>
        </w:rPr>
        <w:t xml:space="preserve">a project </w:t>
      </w:r>
      <w:r w:rsidR="0016775A">
        <w:rPr>
          <w:rFonts w:ascii="Times New Roman" w:hAnsi="Times New Roman" w:cs="Times New Roman"/>
          <w:sz w:val="24"/>
          <w:szCs w:val="24"/>
        </w:rPr>
        <w:t xml:space="preserve">e-mail address. The project hotline will ring to two project staff </w:t>
      </w:r>
      <w:r w:rsidR="00F242AF">
        <w:rPr>
          <w:rFonts w:ascii="Times New Roman" w:hAnsi="Times New Roman" w:cs="Times New Roman"/>
          <w:sz w:val="24"/>
          <w:szCs w:val="24"/>
        </w:rPr>
        <w:t>(</w:t>
      </w:r>
      <w:r w:rsidR="0016775A">
        <w:rPr>
          <w:rFonts w:ascii="Times New Roman" w:hAnsi="Times New Roman" w:cs="Times New Roman"/>
          <w:sz w:val="24"/>
          <w:szCs w:val="24"/>
        </w:rPr>
        <w:t>the data collectio</w:t>
      </w:r>
      <w:r w:rsidR="00C138DC">
        <w:rPr>
          <w:rFonts w:ascii="Times New Roman" w:hAnsi="Times New Roman" w:cs="Times New Roman"/>
          <w:sz w:val="24"/>
          <w:szCs w:val="24"/>
        </w:rPr>
        <w:t>n manager and an agency liaison</w:t>
      </w:r>
      <w:r w:rsidR="00523CEA">
        <w:rPr>
          <w:rFonts w:ascii="Times New Roman" w:hAnsi="Times New Roman" w:cs="Times New Roman"/>
          <w:sz w:val="24"/>
          <w:szCs w:val="24"/>
        </w:rPr>
        <w:t xml:space="preserve"> [AL]</w:t>
      </w:r>
      <w:r w:rsidR="00C138DC">
        <w:rPr>
          <w:rFonts w:ascii="Times New Roman" w:hAnsi="Times New Roman" w:cs="Times New Roman"/>
          <w:sz w:val="24"/>
          <w:szCs w:val="24"/>
        </w:rPr>
        <w:t>)</w:t>
      </w:r>
      <w:r w:rsidR="00F242AF">
        <w:rPr>
          <w:rFonts w:ascii="Times New Roman" w:hAnsi="Times New Roman" w:cs="Times New Roman"/>
          <w:sz w:val="24"/>
          <w:szCs w:val="24"/>
        </w:rPr>
        <w:t xml:space="preserve">. </w:t>
      </w:r>
      <w:r w:rsidR="0016775A">
        <w:rPr>
          <w:rFonts w:ascii="Times New Roman" w:hAnsi="Times New Roman" w:cs="Times New Roman"/>
          <w:sz w:val="24"/>
          <w:szCs w:val="24"/>
        </w:rPr>
        <w:t xml:space="preserve">Both of these staff will be trained on the study protocol and will be prepared to answer project questions from the field. The hotline will remain open for the duration of </w:t>
      </w:r>
      <w:r w:rsidR="007F51BB">
        <w:rPr>
          <w:rFonts w:ascii="Times New Roman" w:hAnsi="Times New Roman" w:cs="Times New Roman"/>
          <w:sz w:val="24"/>
          <w:szCs w:val="24"/>
        </w:rPr>
        <w:t xml:space="preserve">ARD </w:t>
      </w:r>
      <w:r w:rsidR="00C138DC">
        <w:rPr>
          <w:rFonts w:ascii="Times New Roman" w:hAnsi="Times New Roman" w:cs="Times New Roman"/>
          <w:sz w:val="24"/>
          <w:szCs w:val="24"/>
        </w:rPr>
        <w:t>p</w:t>
      </w:r>
      <w:r w:rsidR="007F51BB">
        <w:rPr>
          <w:rFonts w:ascii="Times New Roman" w:hAnsi="Times New Roman" w:cs="Times New Roman"/>
          <w:sz w:val="24"/>
          <w:szCs w:val="24"/>
        </w:rPr>
        <w:t>rogram pilot study</w:t>
      </w:r>
      <w:r w:rsidR="0016775A">
        <w:rPr>
          <w:rFonts w:ascii="Times New Roman" w:hAnsi="Times New Roman" w:cs="Times New Roman"/>
          <w:sz w:val="24"/>
          <w:szCs w:val="24"/>
        </w:rPr>
        <w:t>.</w:t>
      </w:r>
    </w:p>
    <w:p w14:paraId="54A33244" w14:textId="5E212C80" w:rsidR="007F51BB" w:rsidRDefault="007F51BB"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BJS will first send a</w:t>
      </w:r>
      <w:r w:rsidR="00802AEE">
        <w:rPr>
          <w:rFonts w:ascii="Times New Roman" w:hAnsi="Times New Roman" w:cs="Times New Roman"/>
          <w:sz w:val="24"/>
          <w:szCs w:val="24"/>
        </w:rPr>
        <w:t>n e-mail</w:t>
      </w:r>
      <w:r>
        <w:rPr>
          <w:rFonts w:ascii="Times New Roman" w:hAnsi="Times New Roman" w:cs="Times New Roman"/>
          <w:sz w:val="24"/>
          <w:szCs w:val="24"/>
        </w:rPr>
        <w:t xml:space="preserve"> </w:t>
      </w:r>
      <w:r w:rsidR="00802AEE">
        <w:rPr>
          <w:rFonts w:ascii="Times New Roman" w:hAnsi="Times New Roman" w:cs="Times New Roman"/>
          <w:sz w:val="24"/>
          <w:szCs w:val="24"/>
        </w:rPr>
        <w:t>(or</w:t>
      </w:r>
      <w:r>
        <w:rPr>
          <w:rFonts w:ascii="Times New Roman" w:hAnsi="Times New Roman" w:cs="Times New Roman"/>
          <w:sz w:val="24"/>
          <w:szCs w:val="24"/>
        </w:rPr>
        <w:t xml:space="preserve"> letter</w:t>
      </w:r>
      <w:r w:rsidR="00802AEE">
        <w:rPr>
          <w:rFonts w:ascii="Times New Roman" w:hAnsi="Times New Roman" w:cs="Times New Roman"/>
          <w:sz w:val="24"/>
          <w:szCs w:val="24"/>
        </w:rPr>
        <w:t>)</w:t>
      </w:r>
      <w:r>
        <w:rPr>
          <w:rFonts w:ascii="Times New Roman" w:hAnsi="Times New Roman" w:cs="Times New Roman"/>
          <w:sz w:val="24"/>
          <w:szCs w:val="24"/>
        </w:rPr>
        <w:t xml:space="preserve"> to </w:t>
      </w:r>
      <w:r w:rsidR="00802AEE">
        <w:rPr>
          <w:rFonts w:ascii="Times New Roman" w:hAnsi="Times New Roman" w:cs="Times New Roman"/>
          <w:sz w:val="24"/>
          <w:szCs w:val="24"/>
        </w:rPr>
        <w:t xml:space="preserve">the </w:t>
      </w:r>
      <w:r>
        <w:rPr>
          <w:rFonts w:ascii="Times New Roman" w:hAnsi="Times New Roman" w:cs="Times New Roman"/>
          <w:sz w:val="24"/>
          <w:szCs w:val="24"/>
        </w:rPr>
        <w:t xml:space="preserve">primary point of contact </w:t>
      </w:r>
      <w:r w:rsidR="00523CEA">
        <w:rPr>
          <w:rFonts w:ascii="Times New Roman" w:hAnsi="Times New Roman" w:cs="Times New Roman"/>
          <w:sz w:val="24"/>
          <w:szCs w:val="24"/>
        </w:rPr>
        <w:t>(POC)</w:t>
      </w:r>
      <w:r>
        <w:rPr>
          <w:rFonts w:ascii="Times New Roman" w:hAnsi="Times New Roman" w:cs="Times New Roman"/>
          <w:sz w:val="24"/>
          <w:szCs w:val="24"/>
        </w:rPr>
        <w:t xml:space="preserve"> in each state whose agency is responsible for collecting information about or investigating arrest-related deaths in the state. BJS has identified each of these </w:t>
      </w:r>
      <w:r w:rsidR="00523CEA">
        <w:rPr>
          <w:rFonts w:ascii="Times New Roman" w:hAnsi="Times New Roman" w:cs="Times New Roman"/>
          <w:sz w:val="24"/>
          <w:szCs w:val="24"/>
        </w:rPr>
        <w:t>POCs</w:t>
      </w:r>
      <w:r>
        <w:rPr>
          <w:rFonts w:ascii="Times New Roman" w:hAnsi="Times New Roman" w:cs="Times New Roman"/>
          <w:sz w:val="24"/>
          <w:szCs w:val="24"/>
        </w:rPr>
        <w:t>, who represent state bureaus of investigation, offices of attorney</w:t>
      </w:r>
      <w:r w:rsidR="00802AEE">
        <w:rPr>
          <w:rFonts w:ascii="Times New Roman" w:hAnsi="Times New Roman" w:cs="Times New Roman"/>
          <w:sz w:val="24"/>
          <w:szCs w:val="24"/>
        </w:rPr>
        <w:t>s</w:t>
      </w:r>
      <w:r>
        <w:rPr>
          <w:rFonts w:ascii="Times New Roman" w:hAnsi="Times New Roman" w:cs="Times New Roman"/>
          <w:sz w:val="24"/>
          <w:szCs w:val="24"/>
        </w:rPr>
        <w:t xml:space="preserve"> general, criminal investigative agencies, and statistical analysis centers, among others. These letters (see Attachments G and H) will be sent approximately </w:t>
      </w:r>
      <w:r w:rsidR="00802AEE">
        <w:rPr>
          <w:rFonts w:ascii="Times New Roman" w:hAnsi="Times New Roman" w:cs="Times New Roman"/>
          <w:sz w:val="24"/>
          <w:szCs w:val="24"/>
        </w:rPr>
        <w:t xml:space="preserve">1 </w:t>
      </w:r>
      <w:r>
        <w:rPr>
          <w:rFonts w:ascii="Times New Roman" w:hAnsi="Times New Roman" w:cs="Times New Roman"/>
          <w:sz w:val="24"/>
          <w:szCs w:val="24"/>
        </w:rPr>
        <w:t xml:space="preserve">month </w:t>
      </w:r>
      <w:r w:rsidR="00802AEE">
        <w:rPr>
          <w:rFonts w:ascii="Times New Roman" w:hAnsi="Times New Roman" w:cs="Times New Roman"/>
          <w:sz w:val="24"/>
          <w:szCs w:val="24"/>
        </w:rPr>
        <w:t>before</w:t>
      </w:r>
      <w:r>
        <w:rPr>
          <w:rFonts w:ascii="Times New Roman" w:hAnsi="Times New Roman" w:cs="Times New Roman"/>
          <w:sz w:val="24"/>
          <w:szCs w:val="24"/>
        </w:rPr>
        <w:t xml:space="preserve"> data collection begin</w:t>
      </w:r>
      <w:r w:rsidR="00802AEE">
        <w:rPr>
          <w:rFonts w:ascii="Times New Roman" w:hAnsi="Times New Roman" w:cs="Times New Roman"/>
          <w:sz w:val="24"/>
          <w:szCs w:val="24"/>
        </w:rPr>
        <w:t>s</w:t>
      </w:r>
      <w:r>
        <w:rPr>
          <w:rFonts w:ascii="Times New Roman" w:hAnsi="Times New Roman" w:cs="Times New Roman"/>
          <w:sz w:val="24"/>
          <w:szCs w:val="24"/>
        </w:rPr>
        <w:t xml:space="preserve">. </w:t>
      </w:r>
    </w:p>
    <w:p w14:paraId="13CC4FF8" w14:textId="2F48B31D" w:rsidR="007F51BB" w:rsidRDefault="007F51BB"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lastRenderedPageBreak/>
        <w:t>Three states</w:t>
      </w:r>
      <w:r w:rsidR="00802AEE">
        <w:rPr>
          <w:rFonts w:ascii="Times New Roman" w:hAnsi="Times New Roman" w:cs="Times New Roman"/>
          <w:sz w:val="24"/>
          <w:szCs w:val="24"/>
        </w:rPr>
        <w:t>—</w:t>
      </w:r>
      <w:r>
        <w:rPr>
          <w:rFonts w:ascii="Times New Roman" w:hAnsi="Times New Roman" w:cs="Times New Roman"/>
          <w:sz w:val="24"/>
          <w:szCs w:val="24"/>
        </w:rPr>
        <w:t>Maryland, California and Texas</w:t>
      </w:r>
      <w:r w:rsidR="00802AEE">
        <w:rPr>
          <w:rFonts w:ascii="Times New Roman" w:hAnsi="Times New Roman" w:cs="Times New Roman"/>
          <w:sz w:val="24"/>
          <w:szCs w:val="24"/>
        </w:rPr>
        <w:t>—</w:t>
      </w:r>
      <w:r>
        <w:rPr>
          <w:rFonts w:ascii="Times New Roman" w:hAnsi="Times New Roman" w:cs="Times New Roman"/>
          <w:sz w:val="24"/>
          <w:szCs w:val="24"/>
        </w:rPr>
        <w:t xml:space="preserve">have state legislation that mandates the reporting of arrest-related deaths </w:t>
      </w:r>
      <w:r w:rsidR="00523CEA">
        <w:rPr>
          <w:rFonts w:ascii="Times New Roman" w:hAnsi="Times New Roman" w:cs="Times New Roman"/>
          <w:sz w:val="24"/>
          <w:szCs w:val="24"/>
        </w:rPr>
        <w:t>and thus</w:t>
      </w:r>
      <w:r>
        <w:rPr>
          <w:rFonts w:ascii="Times New Roman" w:hAnsi="Times New Roman" w:cs="Times New Roman"/>
          <w:sz w:val="24"/>
          <w:szCs w:val="24"/>
        </w:rPr>
        <w:t xml:space="preserve"> already </w:t>
      </w:r>
      <w:r w:rsidR="00523CEA">
        <w:rPr>
          <w:rFonts w:ascii="Times New Roman" w:hAnsi="Times New Roman" w:cs="Times New Roman"/>
          <w:sz w:val="24"/>
          <w:szCs w:val="24"/>
        </w:rPr>
        <w:t>have</w:t>
      </w:r>
      <w:r>
        <w:rPr>
          <w:rFonts w:ascii="Times New Roman" w:hAnsi="Times New Roman" w:cs="Times New Roman"/>
          <w:sz w:val="24"/>
          <w:szCs w:val="24"/>
        </w:rPr>
        <w:t xml:space="preserve"> procedures and policies to collect the information requested by the ARD program pilot study. For these three states, BJS will work </w:t>
      </w:r>
      <w:r w:rsidR="0005414A">
        <w:rPr>
          <w:rFonts w:ascii="Times New Roman" w:hAnsi="Times New Roman" w:cs="Times New Roman"/>
          <w:sz w:val="24"/>
          <w:szCs w:val="24"/>
        </w:rPr>
        <w:t>with</w:t>
      </w:r>
      <w:r>
        <w:rPr>
          <w:rFonts w:ascii="Times New Roman" w:hAnsi="Times New Roman" w:cs="Times New Roman"/>
          <w:sz w:val="24"/>
          <w:szCs w:val="24"/>
        </w:rPr>
        <w:t xml:space="preserve"> the state coordinator to complete all data collection forms. This approach will reduce burden on the LEAs and ME/Cs, who already report the requested information through the state</w:t>
      </w:r>
      <w:r w:rsidR="00523CEA">
        <w:rPr>
          <w:rFonts w:ascii="Times New Roman" w:hAnsi="Times New Roman" w:cs="Times New Roman"/>
          <w:sz w:val="24"/>
          <w:szCs w:val="24"/>
        </w:rPr>
        <w:t>-</w:t>
      </w:r>
      <w:r>
        <w:rPr>
          <w:rFonts w:ascii="Times New Roman" w:hAnsi="Times New Roman" w:cs="Times New Roman"/>
          <w:sz w:val="24"/>
          <w:szCs w:val="24"/>
        </w:rPr>
        <w:t xml:space="preserve">mandated reporting. </w:t>
      </w:r>
    </w:p>
    <w:p w14:paraId="20249AD6" w14:textId="39B110F5" w:rsidR="001F1E7C" w:rsidRDefault="00D45B22"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Once the sample is complete</w:t>
      </w:r>
      <w:r w:rsidR="00813567">
        <w:rPr>
          <w:rFonts w:ascii="Times New Roman" w:hAnsi="Times New Roman" w:cs="Times New Roman"/>
          <w:sz w:val="24"/>
          <w:szCs w:val="24"/>
        </w:rPr>
        <w:t xml:space="preserve"> for the other 47 states and the District of Columbia</w:t>
      </w:r>
      <w:r>
        <w:rPr>
          <w:rFonts w:ascii="Times New Roman" w:hAnsi="Times New Roman" w:cs="Times New Roman"/>
          <w:sz w:val="24"/>
          <w:szCs w:val="24"/>
        </w:rPr>
        <w:t xml:space="preserve">, we will </w:t>
      </w:r>
      <w:r w:rsidR="00523CEA">
        <w:rPr>
          <w:rFonts w:ascii="Times New Roman" w:hAnsi="Times New Roman" w:cs="Times New Roman"/>
          <w:sz w:val="24"/>
          <w:szCs w:val="24"/>
        </w:rPr>
        <w:t xml:space="preserve">mail </w:t>
      </w:r>
      <w:r w:rsidR="00813567">
        <w:rPr>
          <w:rFonts w:ascii="Times New Roman" w:hAnsi="Times New Roman" w:cs="Times New Roman"/>
          <w:sz w:val="24"/>
          <w:szCs w:val="24"/>
        </w:rPr>
        <w:t xml:space="preserve">a letter </w:t>
      </w:r>
      <w:r w:rsidR="00523CEA">
        <w:rPr>
          <w:rFonts w:ascii="Times New Roman" w:hAnsi="Times New Roman" w:cs="Times New Roman"/>
          <w:sz w:val="24"/>
          <w:szCs w:val="24"/>
        </w:rPr>
        <w:t xml:space="preserve">via the U.S. Postal Service (USPS) </w:t>
      </w:r>
      <w:r w:rsidR="00813567">
        <w:rPr>
          <w:rFonts w:ascii="Times New Roman" w:hAnsi="Times New Roman" w:cs="Times New Roman"/>
          <w:sz w:val="24"/>
          <w:szCs w:val="24"/>
        </w:rPr>
        <w:t xml:space="preserve">to </w:t>
      </w:r>
      <w:r>
        <w:rPr>
          <w:rFonts w:ascii="Times New Roman" w:hAnsi="Times New Roman" w:cs="Times New Roman"/>
          <w:sz w:val="24"/>
          <w:szCs w:val="24"/>
        </w:rPr>
        <w:t xml:space="preserve">the POC </w:t>
      </w:r>
      <w:r w:rsidR="00813567">
        <w:rPr>
          <w:rFonts w:ascii="Times New Roman" w:hAnsi="Times New Roman" w:cs="Times New Roman"/>
          <w:sz w:val="24"/>
          <w:szCs w:val="24"/>
        </w:rPr>
        <w:t>in each agency</w:t>
      </w:r>
      <w:r w:rsidR="001F1E7C">
        <w:rPr>
          <w:rFonts w:ascii="Times New Roman" w:hAnsi="Times New Roman" w:cs="Times New Roman"/>
          <w:sz w:val="24"/>
          <w:szCs w:val="24"/>
        </w:rPr>
        <w:t xml:space="preserve"> </w:t>
      </w:r>
      <w:r>
        <w:rPr>
          <w:rFonts w:ascii="Times New Roman" w:hAnsi="Times New Roman" w:cs="Times New Roman"/>
          <w:sz w:val="24"/>
          <w:szCs w:val="24"/>
        </w:rPr>
        <w:t xml:space="preserve">to inform him or her </w:t>
      </w:r>
      <w:r w:rsidR="00911C42">
        <w:rPr>
          <w:rFonts w:ascii="Times New Roman" w:hAnsi="Times New Roman" w:cs="Times New Roman"/>
          <w:sz w:val="24"/>
          <w:szCs w:val="24"/>
        </w:rPr>
        <w:t xml:space="preserve">about </w:t>
      </w:r>
      <w:r w:rsidR="00523CEA">
        <w:rPr>
          <w:rFonts w:ascii="Times New Roman" w:hAnsi="Times New Roman" w:cs="Times New Roman"/>
          <w:sz w:val="24"/>
          <w:szCs w:val="24"/>
        </w:rPr>
        <w:t xml:space="preserve">the </w:t>
      </w:r>
      <w:r w:rsidR="007F51BB">
        <w:rPr>
          <w:rFonts w:ascii="Times New Roman" w:hAnsi="Times New Roman" w:cs="Times New Roman"/>
          <w:sz w:val="24"/>
          <w:szCs w:val="24"/>
        </w:rPr>
        <w:t>ARD pilot study</w:t>
      </w:r>
      <w:r w:rsidR="00911C42">
        <w:rPr>
          <w:rFonts w:ascii="Times New Roman" w:hAnsi="Times New Roman" w:cs="Times New Roman"/>
          <w:sz w:val="24"/>
          <w:szCs w:val="24"/>
        </w:rPr>
        <w:t xml:space="preserve"> and to notify </w:t>
      </w:r>
      <w:r w:rsidR="00F242AF">
        <w:rPr>
          <w:rFonts w:ascii="Times New Roman" w:hAnsi="Times New Roman" w:cs="Times New Roman"/>
          <w:sz w:val="24"/>
          <w:szCs w:val="24"/>
        </w:rPr>
        <w:t xml:space="preserve">him or her </w:t>
      </w:r>
      <w:r>
        <w:rPr>
          <w:rFonts w:ascii="Times New Roman" w:hAnsi="Times New Roman" w:cs="Times New Roman"/>
          <w:sz w:val="24"/>
          <w:szCs w:val="24"/>
        </w:rPr>
        <w:t xml:space="preserve">that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w:t>
      </w:r>
      <w:r w:rsidR="00DE3CB8">
        <w:rPr>
          <w:rFonts w:ascii="Times New Roman" w:hAnsi="Times New Roman" w:cs="Times New Roman"/>
          <w:sz w:val="24"/>
          <w:szCs w:val="24"/>
        </w:rPr>
        <w:t>questionnaire</w:t>
      </w:r>
      <w:r w:rsidR="005E1CD0">
        <w:rPr>
          <w:rFonts w:ascii="Times New Roman" w:hAnsi="Times New Roman" w:cs="Times New Roman"/>
          <w:sz w:val="24"/>
          <w:szCs w:val="24"/>
        </w:rPr>
        <w:t xml:space="preserve"> </w:t>
      </w:r>
      <w:r w:rsidR="005E1CD0" w:rsidRPr="00022ECC">
        <w:rPr>
          <w:rFonts w:ascii="Times New Roman" w:hAnsi="Times New Roman" w:cs="Times New Roman"/>
          <w:sz w:val="24"/>
          <w:szCs w:val="24"/>
        </w:rPr>
        <w:t>invitation</w:t>
      </w:r>
      <w:r w:rsidR="00837888" w:rsidRPr="00022ECC">
        <w:rPr>
          <w:rFonts w:ascii="Times New Roman" w:hAnsi="Times New Roman" w:cs="Times New Roman"/>
          <w:sz w:val="24"/>
          <w:szCs w:val="24"/>
        </w:rPr>
        <w:t xml:space="preserve"> </w:t>
      </w:r>
      <w:r w:rsidRPr="00022ECC">
        <w:rPr>
          <w:rFonts w:ascii="Times New Roman" w:hAnsi="Times New Roman" w:cs="Times New Roman"/>
          <w:sz w:val="24"/>
          <w:szCs w:val="24"/>
        </w:rPr>
        <w:t>is</w:t>
      </w:r>
      <w:r>
        <w:rPr>
          <w:rFonts w:ascii="Times New Roman" w:hAnsi="Times New Roman" w:cs="Times New Roman"/>
          <w:sz w:val="24"/>
          <w:szCs w:val="24"/>
        </w:rPr>
        <w:t xml:space="preserve"> forthcoming</w:t>
      </w:r>
      <w:r w:rsidR="007A4C19">
        <w:rPr>
          <w:rFonts w:ascii="Times New Roman" w:hAnsi="Times New Roman" w:cs="Times New Roman"/>
          <w:sz w:val="24"/>
          <w:szCs w:val="24"/>
        </w:rPr>
        <w:t xml:space="preserve"> (see Attachment </w:t>
      </w:r>
      <w:r w:rsidR="00813567">
        <w:rPr>
          <w:rFonts w:ascii="Times New Roman" w:hAnsi="Times New Roman" w:cs="Times New Roman"/>
          <w:sz w:val="24"/>
          <w:szCs w:val="24"/>
        </w:rPr>
        <w:t>J</w:t>
      </w:r>
      <w:r w:rsidR="007A4C19">
        <w:rPr>
          <w:rFonts w:ascii="Times New Roman" w:hAnsi="Times New Roman" w:cs="Times New Roman"/>
          <w:sz w:val="24"/>
          <w:szCs w:val="24"/>
        </w:rPr>
        <w:t>)</w:t>
      </w:r>
      <w:r>
        <w:rPr>
          <w:rFonts w:ascii="Times New Roman" w:hAnsi="Times New Roman" w:cs="Times New Roman"/>
          <w:sz w:val="24"/>
          <w:szCs w:val="24"/>
        </w:rPr>
        <w:t xml:space="preserve">. Unless specified by the agency, our POC will be the </w:t>
      </w:r>
      <w:r w:rsidR="00523CEA">
        <w:rPr>
          <w:rFonts w:ascii="Times New Roman" w:hAnsi="Times New Roman" w:cs="Times New Roman"/>
          <w:sz w:val="24"/>
          <w:szCs w:val="24"/>
        </w:rPr>
        <w:t>s</w:t>
      </w:r>
      <w:r>
        <w:rPr>
          <w:rFonts w:ascii="Times New Roman" w:hAnsi="Times New Roman" w:cs="Times New Roman"/>
          <w:sz w:val="24"/>
          <w:szCs w:val="24"/>
        </w:rPr>
        <w:t>heriff</w:t>
      </w:r>
      <w:r w:rsidR="00813567">
        <w:rPr>
          <w:rFonts w:ascii="Times New Roman" w:hAnsi="Times New Roman" w:cs="Times New Roman"/>
          <w:sz w:val="24"/>
          <w:szCs w:val="24"/>
        </w:rPr>
        <w:t xml:space="preserve">, </w:t>
      </w:r>
      <w:r w:rsidR="00523CEA">
        <w:rPr>
          <w:rFonts w:ascii="Times New Roman" w:hAnsi="Times New Roman" w:cs="Times New Roman"/>
          <w:sz w:val="24"/>
          <w:szCs w:val="24"/>
        </w:rPr>
        <w:t>c</w:t>
      </w:r>
      <w:r>
        <w:rPr>
          <w:rFonts w:ascii="Times New Roman" w:hAnsi="Times New Roman" w:cs="Times New Roman"/>
          <w:sz w:val="24"/>
          <w:szCs w:val="24"/>
        </w:rPr>
        <w:t xml:space="preserve">hief of </w:t>
      </w:r>
      <w:r w:rsidR="00523CEA">
        <w:rPr>
          <w:rFonts w:ascii="Times New Roman" w:hAnsi="Times New Roman" w:cs="Times New Roman"/>
          <w:sz w:val="24"/>
          <w:szCs w:val="24"/>
        </w:rPr>
        <w:t>p</w:t>
      </w:r>
      <w:r>
        <w:rPr>
          <w:rFonts w:ascii="Times New Roman" w:hAnsi="Times New Roman" w:cs="Times New Roman"/>
          <w:sz w:val="24"/>
          <w:szCs w:val="24"/>
        </w:rPr>
        <w:t>olice</w:t>
      </w:r>
      <w:r w:rsidR="00813567">
        <w:rPr>
          <w:rFonts w:ascii="Times New Roman" w:hAnsi="Times New Roman" w:cs="Times New Roman"/>
          <w:sz w:val="24"/>
          <w:szCs w:val="24"/>
        </w:rPr>
        <w:t xml:space="preserve">, </w:t>
      </w:r>
      <w:r w:rsidR="00523CEA">
        <w:rPr>
          <w:rFonts w:ascii="Times New Roman" w:hAnsi="Times New Roman" w:cs="Times New Roman"/>
          <w:sz w:val="24"/>
          <w:szCs w:val="24"/>
        </w:rPr>
        <w:t>m</w:t>
      </w:r>
      <w:r w:rsidR="00813567">
        <w:rPr>
          <w:rFonts w:ascii="Times New Roman" w:hAnsi="Times New Roman" w:cs="Times New Roman"/>
          <w:sz w:val="24"/>
          <w:szCs w:val="24"/>
        </w:rPr>
        <w:t xml:space="preserve">edical </w:t>
      </w:r>
      <w:r w:rsidR="00523CEA">
        <w:rPr>
          <w:rFonts w:ascii="Times New Roman" w:hAnsi="Times New Roman" w:cs="Times New Roman"/>
          <w:sz w:val="24"/>
          <w:szCs w:val="24"/>
        </w:rPr>
        <w:t>e</w:t>
      </w:r>
      <w:r w:rsidR="00813567">
        <w:rPr>
          <w:rFonts w:ascii="Times New Roman" w:hAnsi="Times New Roman" w:cs="Times New Roman"/>
          <w:sz w:val="24"/>
          <w:szCs w:val="24"/>
        </w:rPr>
        <w:t>xaminer</w:t>
      </w:r>
      <w:r w:rsidR="00D40490">
        <w:rPr>
          <w:rFonts w:ascii="Times New Roman" w:hAnsi="Times New Roman" w:cs="Times New Roman"/>
          <w:sz w:val="24"/>
          <w:szCs w:val="24"/>
        </w:rPr>
        <w:t>,</w:t>
      </w:r>
      <w:r w:rsidR="00813567">
        <w:rPr>
          <w:rFonts w:ascii="Times New Roman" w:hAnsi="Times New Roman" w:cs="Times New Roman"/>
          <w:sz w:val="24"/>
          <w:szCs w:val="24"/>
        </w:rPr>
        <w:t xml:space="preserve"> or </w:t>
      </w:r>
      <w:r w:rsidR="00523CEA">
        <w:rPr>
          <w:rFonts w:ascii="Times New Roman" w:hAnsi="Times New Roman" w:cs="Times New Roman"/>
          <w:sz w:val="24"/>
          <w:szCs w:val="24"/>
        </w:rPr>
        <w:t>c</w:t>
      </w:r>
      <w:r w:rsidR="00813567">
        <w:rPr>
          <w:rFonts w:ascii="Times New Roman" w:hAnsi="Times New Roman" w:cs="Times New Roman"/>
          <w:sz w:val="24"/>
          <w:szCs w:val="24"/>
        </w:rPr>
        <w:t>oroner</w:t>
      </w:r>
      <w:r>
        <w:rPr>
          <w:rFonts w:ascii="Times New Roman" w:hAnsi="Times New Roman" w:cs="Times New Roman"/>
          <w:sz w:val="24"/>
          <w:szCs w:val="24"/>
        </w:rPr>
        <w:t>. Accompanying this lead letter will be the Confidentiality Assurances</w:t>
      </w:r>
      <w:r w:rsidR="00D40490">
        <w:rPr>
          <w:rFonts w:ascii="Times New Roman" w:hAnsi="Times New Roman" w:cs="Times New Roman"/>
          <w:sz w:val="24"/>
          <w:szCs w:val="24"/>
        </w:rPr>
        <w:t xml:space="preserve"> document</w:t>
      </w:r>
      <w:r>
        <w:rPr>
          <w:rFonts w:ascii="Times New Roman" w:hAnsi="Times New Roman" w:cs="Times New Roman"/>
          <w:sz w:val="24"/>
          <w:szCs w:val="24"/>
        </w:rPr>
        <w:t xml:space="preserve"> (see </w:t>
      </w:r>
      <w:r w:rsidR="001F1E7C">
        <w:rPr>
          <w:rFonts w:ascii="Times New Roman" w:hAnsi="Times New Roman" w:cs="Times New Roman"/>
          <w:sz w:val="24"/>
          <w:szCs w:val="24"/>
        </w:rPr>
        <w:t xml:space="preserve">Attachment </w:t>
      </w:r>
      <w:r w:rsidR="00813567">
        <w:rPr>
          <w:rFonts w:ascii="Times New Roman" w:hAnsi="Times New Roman" w:cs="Times New Roman"/>
          <w:sz w:val="24"/>
          <w:szCs w:val="24"/>
        </w:rPr>
        <w:t>I</w:t>
      </w:r>
      <w:r>
        <w:rPr>
          <w:rFonts w:ascii="Times New Roman" w:hAnsi="Times New Roman" w:cs="Times New Roman"/>
          <w:sz w:val="24"/>
          <w:szCs w:val="24"/>
        </w:rPr>
        <w:t>), which states that BJS will use</w:t>
      </w:r>
      <w:r w:rsidR="00C138DC">
        <w:rPr>
          <w:rFonts w:ascii="Times New Roman" w:hAnsi="Times New Roman" w:cs="Times New Roman"/>
          <w:sz w:val="24"/>
          <w:szCs w:val="24"/>
        </w:rPr>
        <w:t xml:space="preserve"> the data collected under this p</w:t>
      </w:r>
      <w:r>
        <w:rPr>
          <w:rFonts w:ascii="Times New Roman" w:hAnsi="Times New Roman" w:cs="Times New Roman"/>
          <w:sz w:val="24"/>
          <w:szCs w:val="24"/>
        </w:rPr>
        <w:t xml:space="preserve">rogram only for research and statistical purposes, as described in 42 USC </w:t>
      </w:r>
      <w:r w:rsidRPr="003C118C">
        <w:rPr>
          <w:rFonts w:ascii="Times New Roman" w:hAnsi="Times New Roman" w:cs="Times New Roman"/>
          <w:sz w:val="24"/>
          <w:szCs w:val="24"/>
        </w:rPr>
        <w:t>§3735 and 3789g</w:t>
      </w:r>
      <w:r>
        <w:rPr>
          <w:rFonts w:ascii="Times New Roman" w:hAnsi="Times New Roman" w:cs="Times New Roman"/>
          <w:sz w:val="24"/>
          <w:szCs w:val="24"/>
        </w:rPr>
        <w:t xml:space="preserve">. </w:t>
      </w:r>
      <w:r w:rsidR="00523CEA">
        <w:rPr>
          <w:rFonts w:ascii="Times New Roman" w:hAnsi="Times New Roman" w:cs="Times New Roman"/>
          <w:sz w:val="24"/>
          <w:szCs w:val="24"/>
        </w:rPr>
        <w:t>Depending on whether the POC has a known e-mail address,</w:t>
      </w:r>
      <w:r w:rsidR="00523CEA" w:rsidDel="00523CEA">
        <w:rPr>
          <w:rFonts w:ascii="Times New Roman" w:hAnsi="Times New Roman" w:cs="Times New Roman"/>
          <w:sz w:val="24"/>
          <w:szCs w:val="24"/>
        </w:rPr>
        <w:t xml:space="preserve"> </w:t>
      </w:r>
      <w:r w:rsidR="00523CEA">
        <w:rPr>
          <w:rFonts w:ascii="Times New Roman" w:hAnsi="Times New Roman" w:cs="Times New Roman"/>
          <w:sz w:val="24"/>
          <w:szCs w:val="24"/>
        </w:rPr>
        <w:t>t</w:t>
      </w:r>
      <w:r w:rsidR="00813567">
        <w:rPr>
          <w:rFonts w:ascii="Times New Roman" w:hAnsi="Times New Roman" w:cs="Times New Roman"/>
          <w:sz w:val="24"/>
          <w:szCs w:val="24"/>
        </w:rPr>
        <w:t xml:space="preserve">he POC will receive one of two </w:t>
      </w:r>
      <w:r w:rsidR="001F1E7C">
        <w:rPr>
          <w:rFonts w:ascii="Times New Roman" w:hAnsi="Times New Roman" w:cs="Times New Roman"/>
          <w:sz w:val="24"/>
          <w:szCs w:val="24"/>
        </w:rPr>
        <w:t>versions of this letter</w:t>
      </w:r>
      <w:r w:rsidR="00523CEA">
        <w:rPr>
          <w:rFonts w:ascii="Times New Roman" w:hAnsi="Times New Roman" w:cs="Times New Roman"/>
          <w:sz w:val="24"/>
          <w:szCs w:val="24"/>
        </w:rPr>
        <w:t>,</w:t>
      </w:r>
      <w:r w:rsidR="001F1E7C">
        <w:rPr>
          <w:rFonts w:ascii="Times New Roman" w:hAnsi="Times New Roman" w:cs="Times New Roman"/>
          <w:sz w:val="24"/>
          <w:szCs w:val="24"/>
        </w:rPr>
        <w:t xml:space="preserve"> </w:t>
      </w:r>
      <w:r w:rsidR="00523CEA">
        <w:rPr>
          <w:rFonts w:ascii="Times New Roman" w:hAnsi="Times New Roman" w:cs="Times New Roman"/>
          <w:sz w:val="24"/>
          <w:szCs w:val="24"/>
        </w:rPr>
        <w:t>which will inform</w:t>
      </w:r>
      <w:r w:rsidR="001F1E7C">
        <w:rPr>
          <w:rFonts w:ascii="Times New Roman" w:hAnsi="Times New Roman" w:cs="Times New Roman"/>
          <w:sz w:val="24"/>
          <w:szCs w:val="24"/>
        </w:rPr>
        <w:t xml:space="preserve"> t</w:t>
      </w:r>
      <w:r>
        <w:rPr>
          <w:rFonts w:ascii="Times New Roman" w:hAnsi="Times New Roman" w:cs="Times New Roman"/>
          <w:sz w:val="24"/>
          <w:szCs w:val="24"/>
        </w:rPr>
        <w:t xml:space="preserve">he POC that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questionnaire</w:t>
      </w:r>
      <w:r>
        <w:rPr>
          <w:rFonts w:ascii="Times New Roman" w:hAnsi="Times New Roman" w:cs="Times New Roman"/>
          <w:sz w:val="24"/>
          <w:szCs w:val="24"/>
        </w:rPr>
        <w:t xml:space="preserve"> invitation will be sent </w:t>
      </w:r>
      <w:r w:rsidR="00A536C0">
        <w:rPr>
          <w:rFonts w:ascii="Times New Roman" w:hAnsi="Times New Roman" w:cs="Times New Roman"/>
          <w:sz w:val="24"/>
          <w:szCs w:val="24"/>
        </w:rPr>
        <w:t xml:space="preserve">the following week. This </w:t>
      </w:r>
      <w:r w:rsidR="00022ECC">
        <w:rPr>
          <w:rFonts w:ascii="Times New Roman" w:hAnsi="Times New Roman" w:cs="Times New Roman"/>
          <w:sz w:val="24"/>
          <w:szCs w:val="24"/>
        </w:rPr>
        <w:t xml:space="preserve">lead </w:t>
      </w:r>
      <w:r w:rsidR="00A536C0">
        <w:rPr>
          <w:rFonts w:ascii="Times New Roman" w:hAnsi="Times New Roman" w:cs="Times New Roman"/>
          <w:sz w:val="24"/>
          <w:szCs w:val="24"/>
        </w:rPr>
        <w:t xml:space="preserve">letter will be sent to </w:t>
      </w:r>
      <w:r w:rsidR="008F79D2">
        <w:rPr>
          <w:rFonts w:ascii="Times New Roman" w:hAnsi="Times New Roman" w:cs="Times New Roman"/>
          <w:sz w:val="24"/>
          <w:szCs w:val="24"/>
        </w:rPr>
        <w:t xml:space="preserve">the </w:t>
      </w:r>
      <w:r w:rsidR="00C138DC">
        <w:rPr>
          <w:rFonts w:ascii="Times New Roman" w:hAnsi="Times New Roman" w:cs="Times New Roman"/>
          <w:sz w:val="24"/>
          <w:szCs w:val="24"/>
        </w:rPr>
        <w:t xml:space="preserve">state coordinators in Maryland, Texas, and California and to the </w:t>
      </w:r>
      <w:r w:rsidR="00D40490">
        <w:rPr>
          <w:rFonts w:ascii="Times New Roman" w:hAnsi="Times New Roman" w:cs="Times New Roman"/>
          <w:sz w:val="24"/>
          <w:szCs w:val="24"/>
        </w:rPr>
        <w:t>estimated</w:t>
      </w:r>
      <w:r w:rsidR="008F79D2">
        <w:rPr>
          <w:rFonts w:ascii="Times New Roman" w:hAnsi="Times New Roman" w:cs="Times New Roman"/>
          <w:sz w:val="24"/>
          <w:szCs w:val="24"/>
        </w:rPr>
        <w:t xml:space="preserve"> </w:t>
      </w:r>
      <w:r w:rsidR="00813567">
        <w:rPr>
          <w:rFonts w:ascii="Times New Roman" w:hAnsi="Times New Roman" w:cs="Times New Roman"/>
          <w:sz w:val="24"/>
          <w:szCs w:val="24"/>
        </w:rPr>
        <w:t>1,</w:t>
      </w:r>
      <w:r w:rsidR="00C138DC">
        <w:rPr>
          <w:rFonts w:ascii="Times New Roman" w:hAnsi="Times New Roman" w:cs="Times New Roman"/>
          <w:sz w:val="24"/>
          <w:szCs w:val="24"/>
        </w:rPr>
        <w:t xml:space="preserve">600 responding </w:t>
      </w:r>
      <w:r w:rsidR="00813567">
        <w:rPr>
          <w:rFonts w:ascii="Times New Roman" w:hAnsi="Times New Roman" w:cs="Times New Roman"/>
          <w:sz w:val="24"/>
          <w:szCs w:val="24"/>
        </w:rPr>
        <w:t xml:space="preserve">agencies </w:t>
      </w:r>
      <w:r w:rsidR="009517EC">
        <w:rPr>
          <w:rFonts w:ascii="Times New Roman" w:hAnsi="Times New Roman" w:cs="Times New Roman"/>
          <w:sz w:val="24"/>
          <w:szCs w:val="24"/>
        </w:rPr>
        <w:t xml:space="preserve">in the remaining 47 states and the District of Columbia </w:t>
      </w:r>
      <w:r w:rsidR="008A0229">
        <w:rPr>
          <w:rFonts w:ascii="Times New Roman" w:hAnsi="Times New Roman" w:cs="Times New Roman"/>
          <w:sz w:val="24"/>
          <w:szCs w:val="24"/>
        </w:rPr>
        <w:t xml:space="preserve">5 </w:t>
      </w:r>
      <w:r w:rsidR="008F79D2">
        <w:rPr>
          <w:rFonts w:ascii="Times New Roman" w:hAnsi="Times New Roman" w:cs="Times New Roman"/>
          <w:sz w:val="24"/>
          <w:szCs w:val="24"/>
        </w:rPr>
        <w:t>calendar days before the questionnaire invitation</w:t>
      </w:r>
      <w:r w:rsidR="00A536C0">
        <w:rPr>
          <w:rFonts w:ascii="Times New Roman" w:hAnsi="Times New Roman" w:cs="Times New Roman"/>
          <w:sz w:val="24"/>
          <w:szCs w:val="24"/>
        </w:rPr>
        <w:t>.</w:t>
      </w:r>
      <w:r w:rsidR="009517EC" w:rsidRPr="009517EC">
        <w:rPr>
          <w:rStyle w:val="FootnoteReference"/>
          <w:rFonts w:ascii="Times New Roman" w:hAnsi="Times New Roman" w:cs="Times New Roman"/>
          <w:sz w:val="24"/>
          <w:szCs w:val="24"/>
        </w:rPr>
        <w:t xml:space="preserve"> </w:t>
      </w:r>
      <w:r w:rsidR="009517EC">
        <w:rPr>
          <w:rStyle w:val="FootnoteReference"/>
          <w:rFonts w:ascii="Times New Roman" w:hAnsi="Times New Roman" w:cs="Times New Roman"/>
          <w:sz w:val="24"/>
          <w:szCs w:val="24"/>
        </w:rPr>
        <w:footnoteReference w:id="6"/>
      </w:r>
    </w:p>
    <w:p w14:paraId="3754D0FE" w14:textId="40AF30B2" w:rsidR="00D45B22" w:rsidRDefault="008F79D2"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Five days</w:t>
      </w:r>
      <w:r w:rsidR="001F1E7C">
        <w:rPr>
          <w:rFonts w:ascii="Times New Roman" w:hAnsi="Times New Roman" w:cs="Times New Roman"/>
          <w:sz w:val="24"/>
          <w:szCs w:val="24"/>
        </w:rPr>
        <w:t xml:space="preserve"> later (Day 1),</w:t>
      </w:r>
      <w:r w:rsidR="00D45B22">
        <w:rPr>
          <w:rFonts w:ascii="Times New Roman" w:hAnsi="Times New Roman" w:cs="Times New Roman"/>
          <w:sz w:val="24"/>
          <w:szCs w:val="24"/>
        </w:rPr>
        <w:t xml:space="preserve"> </w:t>
      </w:r>
      <w:r>
        <w:rPr>
          <w:rFonts w:ascii="Times New Roman" w:hAnsi="Times New Roman" w:cs="Times New Roman"/>
          <w:sz w:val="24"/>
          <w:szCs w:val="24"/>
        </w:rPr>
        <w:t>we will send</w:t>
      </w:r>
      <w:r w:rsidR="00BA6B5E">
        <w:rPr>
          <w:rFonts w:ascii="Times New Roman" w:hAnsi="Times New Roman" w:cs="Times New Roman"/>
          <w:sz w:val="24"/>
          <w:szCs w:val="24"/>
        </w:rPr>
        <w:t xml:space="preserve"> </w:t>
      </w:r>
      <w:r w:rsidR="00911C42">
        <w:rPr>
          <w:rFonts w:ascii="Times New Roman" w:hAnsi="Times New Roman" w:cs="Times New Roman"/>
          <w:sz w:val="24"/>
          <w:szCs w:val="24"/>
        </w:rPr>
        <w:t xml:space="preserve">an e-mail </w:t>
      </w:r>
      <w:r w:rsidR="001F6BE6">
        <w:rPr>
          <w:rFonts w:ascii="Times New Roman" w:hAnsi="Times New Roman" w:cs="Times New Roman"/>
          <w:sz w:val="24"/>
          <w:szCs w:val="24"/>
        </w:rPr>
        <w:t xml:space="preserve">invitation </w:t>
      </w:r>
      <w:r w:rsidR="00DE457C">
        <w:rPr>
          <w:rFonts w:ascii="Times New Roman" w:hAnsi="Times New Roman" w:cs="Times New Roman"/>
          <w:sz w:val="24"/>
          <w:szCs w:val="24"/>
        </w:rPr>
        <w:t>(</w:t>
      </w:r>
      <w:r w:rsidR="00911C42">
        <w:rPr>
          <w:rFonts w:ascii="Times New Roman" w:hAnsi="Times New Roman" w:cs="Times New Roman"/>
          <w:sz w:val="24"/>
          <w:szCs w:val="24"/>
        </w:rPr>
        <w:t>or</w:t>
      </w:r>
      <w:r w:rsidR="00DE457C">
        <w:rPr>
          <w:rFonts w:ascii="Times New Roman" w:hAnsi="Times New Roman" w:cs="Times New Roman"/>
          <w:sz w:val="24"/>
          <w:szCs w:val="24"/>
        </w:rPr>
        <w:t>, as needed,</w:t>
      </w:r>
      <w:r w:rsidR="00911C42">
        <w:rPr>
          <w:rFonts w:ascii="Times New Roman" w:hAnsi="Times New Roman" w:cs="Times New Roman"/>
          <w:sz w:val="24"/>
          <w:szCs w:val="24"/>
        </w:rPr>
        <w:t xml:space="preserve"> via USPS</w:t>
      </w:r>
      <w:r w:rsidR="005F107B">
        <w:rPr>
          <w:rStyle w:val="FootnoteReference"/>
          <w:rFonts w:ascii="Times New Roman" w:hAnsi="Times New Roman" w:cs="Times New Roman"/>
          <w:sz w:val="24"/>
          <w:szCs w:val="24"/>
        </w:rPr>
        <w:footnoteReference w:id="7"/>
      </w:r>
      <w:r w:rsidR="00DE457C">
        <w:rPr>
          <w:rFonts w:ascii="Times New Roman" w:hAnsi="Times New Roman" w:cs="Times New Roman"/>
          <w:sz w:val="24"/>
          <w:szCs w:val="24"/>
        </w:rPr>
        <w:t>)</w:t>
      </w:r>
      <w:r w:rsidR="001F1E7C">
        <w:rPr>
          <w:rFonts w:ascii="Times New Roman" w:hAnsi="Times New Roman" w:cs="Times New Roman"/>
          <w:sz w:val="24"/>
          <w:szCs w:val="24"/>
        </w:rPr>
        <w:t xml:space="preserve"> asking</w:t>
      </w:r>
      <w:r w:rsidR="00D45B22">
        <w:rPr>
          <w:rFonts w:ascii="Times New Roman" w:hAnsi="Times New Roman" w:cs="Times New Roman"/>
          <w:sz w:val="24"/>
          <w:szCs w:val="24"/>
        </w:rPr>
        <w:t xml:space="preserve"> </w:t>
      </w:r>
      <w:r>
        <w:rPr>
          <w:rFonts w:ascii="Times New Roman" w:hAnsi="Times New Roman" w:cs="Times New Roman"/>
          <w:sz w:val="24"/>
          <w:szCs w:val="24"/>
        </w:rPr>
        <w:t>the POC</w:t>
      </w:r>
      <w:r w:rsidR="00D45B22">
        <w:rPr>
          <w:rFonts w:ascii="Times New Roman" w:hAnsi="Times New Roman" w:cs="Times New Roman"/>
          <w:sz w:val="24"/>
          <w:szCs w:val="24"/>
        </w:rPr>
        <w:t xml:space="preserve"> to complete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questionnaire</w:t>
      </w:r>
      <w:r w:rsidR="00813567">
        <w:rPr>
          <w:rFonts w:ascii="Times New Roman" w:hAnsi="Times New Roman" w:cs="Times New Roman"/>
          <w:sz w:val="24"/>
          <w:szCs w:val="24"/>
        </w:rPr>
        <w:t>s (Quarterly Summaries and Incident Reports)</w:t>
      </w:r>
      <w:r w:rsidR="00D45B22">
        <w:rPr>
          <w:rFonts w:ascii="Times New Roman" w:hAnsi="Times New Roman" w:cs="Times New Roman"/>
          <w:sz w:val="24"/>
          <w:szCs w:val="24"/>
        </w:rPr>
        <w:t xml:space="preserve">. </w:t>
      </w:r>
      <w:r w:rsidR="00523CEA">
        <w:rPr>
          <w:rFonts w:ascii="Times New Roman" w:hAnsi="Times New Roman" w:cs="Times New Roman"/>
          <w:sz w:val="24"/>
          <w:szCs w:val="24"/>
        </w:rPr>
        <w:t>As with</w:t>
      </w:r>
      <w:r w:rsidR="001F1E7C">
        <w:rPr>
          <w:rFonts w:ascii="Times New Roman" w:hAnsi="Times New Roman" w:cs="Times New Roman"/>
          <w:sz w:val="24"/>
          <w:szCs w:val="24"/>
        </w:rPr>
        <w:t xml:space="preserve"> the lead letter, the POC will receive one of </w:t>
      </w:r>
      <w:r w:rsidR="00813567">
        <w:rPr>
          <w:rFonts w:ascii="Times New Roman" w:hAnsi="Times New Roman" w:cs="Times New Roman"/>
          <w:sz w:val="24"/>
          <w:szCs w:val="24"/>
        </w:rPr>
        <w:t>two</w:t>
      </w:r>
      <w:r w:rsidR="001F1E7C">
        <w:rPr>
          <w:rFonts w:ascii="Times New Roman" w:hAnsi="Times New Roman" w:cs="Times New Roman"/>
          <w:sz w:val="24"/>
          <w:szCs w:val="24"/>
        </w:rPr>
        <w:t xml:space="preserve"> versions (see Attachment </w:t>
      </w:r>
      <w:r w:rsidR="00813567">
        <w:rPr>
          <w:rFonts w:ascii="Times New Roman" w:hAnsi="Times New Roman" w:cs="Times New Roman"/>
          <w:sz w:val="24"/>
          <w:szCs w:val="24"/>
        </w:rPr>
        <w:t>K</w:t>
      </w:r>
      <w:r w:rsidR="001F1E7C">
        <w:rPr>
          <w:rFonts w:ascii="Times New Roman" w:hAnsi="Times New Roman" w:cs="Times New Roman"/>
          <w:sz w:val="24"/>
          <w:szCs w:val="24"/>
        </w:rPr>
        <w:t>)</w:t>
      </w:r>
      <w:r w:rsidR="00D40490">
        <w:rPr>
          <w:rFonts w:ascii="Times New Roman" w:hAnsi="Times New Roman" w:cs="Times New Roman"/>
          <w:sz w:val="24"/>
          <w:szCs w:val="24"/>
        </w:rPr>
        <w:t>, depending on whether there is a known e</w:t>
      </w:r>
      <w:r w:rsidR="00865050">
        <w:rPr>
          <w:rFonts w:ascii="Times New Roman" w:hAnsi="Times New Roman" w:cs="Times New Roman"/>
          <w:sz w:val="24"/>
          <w:szCs w:val="24"/>
        </w:rPr>
        <w:t>-</w:t>
      </w:r>
      <w:r w:rsidR="00D40490">
        <w:rPr>
          <w:rFonts w:ascii="Times New Roman" w:hAnsi="Times New Roman" w:cs="Times New Roman"/>
          <w:sz w:val="24"/>
          <w:szCs w:val="24"/>
        </w:rPr>
        <w:t>mail address for the POC</w:t>
      </w:r>
      <w:r w:rsidR="001F1E7C">
        <w:rPr>
          <w:rFonts w:ascii="Times New Roman" w:hAnsi="Times New Roman" w:cs="Times New Roman"/>
          <w:sz w:val="24"/>
          <w:szCs w:val="24"/>
        </w:rPr>
        <w:t>.</w:t>
      </w:r>
      <w:r w:rsidR="00A536C0">
        <w:rPr>
          <w:rFonts w:ascii="Times New Roman" w:hAnsi="Times New Roman" w:cs="Times New Roman"/>
          <w:sz w:val="24"/>
          <w:szCs w:val="24"/>
        </w:rPr>
        <w:t xml:space="preserve"> </w:t>
      </w:r>
      <w:r>
        <w:rPr>
          <w:rFonts w:ascii="Times New Roman" w:hAnsi="Times New Roman" w:cs="Times New Roman"/>
          <w:sz w:val="24"/>
          <w:szCs w:val="24"/>
        </w:rPr>
        <w:t xml:space="preserve">On Day 1, this </w:t>
      </w:r>
      <w:r w:rsidR="00A536C0">
        <w:rPr>
          <w:rFonts w:ascii="Times New Roman" w:hAnsi="Times New Roman" w:cs="Times New Roman"/>
          <w:sz w:val="24"/>
          <w:szCs w:val="24"/>
        </w:rPr>
        <w:t xml:space="preserve">communication will be sent to </w:t>
      </w:r>
      <w:r w:rsidR="00D40490">
        <w:rPr>
          <w:rFonts w:ascii="Times New Roman" w:hAnsi="Times New Roman" w:cs="Times New Roman"/>
          <w:sz w:val="24"/>
          <w:szCs w:val="24"/>
        </w:rPr>
        <w:t>1,</w:t>
      </w:r>
      <w:r w:rsidR="009517EC">
        <w:rPr>
          <w:rFonts w:ascii="Times New Roman" w:hAnsi="Times New Roman" w:cs="Times New Roman"/>
          <w:sz w:val="24"/>
          <w:szCs w:val="24"/>
        </w:rPr>
        <w:t>603</w:t>
      </w:r>
      <w:r w:rsidR="00813567">
        <w:rPr>
          <w:rFonts w:ascii="Times New Roman" w:hAnsi="Times New Roman" w:cs="Times New Roman"/>
          <w:sz w:val="24"/>
          <w:szCs w:val="24"/>
        </w:rPr>
        <w:t xml:space="preserve"> </w:t>
      </w:r>
      <w:r w:rsidR="009517EC">
        <w:rPr>
          <w:rFonts w:ascii="Times New Roman" w:hAnsi="Times New Roman" w:cs="Times New Roman"/>
          <w:sz w:val="24"/>
          <w:szCs w:val="24"/>
        </w:rPr>
        <w:t>respondents</w:t>
      </w:r>
      <w:r w:rsidR="00A536C0">
        <w:rPr>
          <w:rFonts w:ascii="Times New Roman" w:hAnsi="Times New Roman" w:cs="Times New Roman"/>
          <w:sz w:val="24"/>
          <w:szCs w:val="24"/>
        </w:rPr>
        <w:t>.</w:t>
      </w:r>
    </w:p>
    <w:p w14:paraId="4BE28487" w14:textId="48B54981" w:rsidR="00A536C0" w:rsidRDefault="001F1E7C"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On Day </w:t>
      </w:r>
      <w:r w:rsidR="00813567">
        <w:rPr>
          <w:rFonts w:ascii="Times New Roman" w:hAnsi="Times New Roman" w:cs="Times New Roman"/>
          <w:sz w:val="24"/>
          <w:szCs w:val="24"/>
        </w:rPr>
        <w:t>16</w:t>
      </w:r>
      <w:r>
        <w:rPr>
          <w:rFonts w:ascii="Times New Roman" w:hAnsi="Times New Roman" w:cs="Times New Roman"/>
          <w:sz w:val="24"/>
          <w:szCs w:val="24"/>
        </w:rPr>
        <w:t xml:space="preserve"> (i.e., the </w:t>
      </w:r>
      <w:r w:rsidR="00813567">
        <w:rPr>
          <w:rFonts w:ascii="Times New Roman" w:hAnsi="Times New Roman" w:cs="Times New Roman"/>
          <w:sz w:val="24"/>
          <w:szCs w:val="24"/>
        </w:rPr>
        <w:t>16</w:t>
      </w:r>
      <w:r w:rsidR="00813567" w:rsidRPr="00FA2F4E">
        <w:rPr>
          <w:rFonts w:ascii="Times New Roman" w:hAnsi="Times New Roman"/>
          <w:sz w:val="24"/>
        </w:rPr>
        <w:t>th</w:t>
      </w:r>
      <w:r>
        <w:rPr>
          <w:rFonts w:ascii="Times New Roman" w:hAnsi="Times New Roman" w:cs="Times New Roman"/>
          <w:sz w:val="24"/>
          <w:szCs w:val="24"/>
        </w:rPr>
        <w:t xml:space="preserve"> calendar day of data collection), </w:t>
      </w:r>
      <w:r w:rsidR="008F79D2">
        <w:rPr>
          <w:rFonts w:ascii="Times New Roman" w:hAnsi="Times New Roman" w:cs="Times New Roman"/>
          <w:sz w:val="24"/>
          <w:szCs w:val="24"/>
        </w:rPr>
        <w:t>we will send a reminder e-mail</w:t>
      </w:r>
      <w:r w:rsidR="008D7039">
        <w:rPr>
          <w:rFonts w:ascii="Times New Roman" w:hAnsi="Times New Roman" w:cs="Times New Roman"/>
          <w:sz w:val="24"/>
          <w:szCs w:val="24"/>
        </w:rPr>
        <w:t>/</w:t>
      </w:r>
      <w:r w:rsidR="00813567">
        <w:rPr>
          <w:rFonts w:ascii="Times New Roman" w:hAnsi="Times New Roman" w:cs="Times New Roman"/>
          <w:sz w:val="24"/>
          <w:szCs w:val="24"/>
        </w:rPr>
        <w:t>letter</w:t>
      </w:r>
      <w:r w:rsidR="008F79D2">
        <w:rPr>
          <w:rFonts w:ascii="Times New Roman" w:hAnsi="Times New Roman" w:cs="Times New Roman"/>
          <w:sz w:val="24"/>
          <w:szCs w:val="24"/>
        </w:rPr>
        <w:t xml:space="preserve"> to </w:t>
      </w:r>
      <w:r>
        <w:rPr>
          <w:rFonts w:ascii="Times New Roman" w:hAnsi="Times New Roman" w:cs="Times New Roman"/>
          <w:sz w:val="24"/>
          <w:szCs w:val="24"/>
        </w:rPr>
        <w:t xml:space="preserve">any to-date nonrespondents asking them to complete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questionnaire</w:t>
      </w:r>
      <w:r>
        <w:rPr>
          <w:rFonts w:ascii="Times New Roman" w:hAnsi="Times New Roman" w:cs="Times New Roman"/>
          <w:sz w:val="24"/>
          <w:szCs w:val="24"/>
        </w:rPr>
        <w:t xml:space="preserve"> as soon as possible. The POC will receive one of </w:t>
      </w:r>
      <w:r w:rsidR="00813567">
        <w:rPr>
          <w:rFonts w:ascii="Times New Roman" w:hAnsi="Times New Roman" w:cs="Times New Roman"/>
          <w:sz w:val="24"/>
          <w:szCs w:val="24"/>
        </w:rPr>
        <w:t>two</w:t>
      </w:r>
      <w:r>
        <w:rPr>
          <w:rFonts w:ascii="Times New Roman" w:hAnsi="Times New Roman" w:cs="Times New Roman"/>
          <w:sz w:val="24"/>
          <w:szCs w:val="24"/>
        </w:rPr>
        <w:t xml:space="preserve"> versions of this reminder (see Attachment </w:t>
      </w:r>
      <w:r w:rsidR="00813567">
        <w:rPr>
          <w:rFonts w:ascii="Times New Roman" w:hAnsi="Times New Roman" w:cs="Times New Roman"/>
          <w:sz w:val="24"/>
          <w:szCs w:val="24"/>
        </w:rPr>
        <w:t>L</w:t>
      </w:r>
      <w:r>
        <w:rPr>
          <w:rFonts w:ascii="Times New Roman" w:hAnsi="Times New Roman" w:cs="Times New Roman"/>
          <w:sz w:val="24"/>
          <w:szCs w:val="24"/>
        </w:rPr>
        <w:t xml:space="preserve">). </w:t>
      </w:r>
      <w:r w:rsidR="00A536C0">
        <w:rPr>
          <w:rFonts w:ascii="Times New Roman" w:hAnsi="Times New Roman" w:cs="Times New Roman"/>
          <w:sz w:val="24"/>
          <w:szCs w:val="24"/>
        </w:rPr>
        <w:t xml:space="preserve">We estimate that this communication will be sent to 75% of the </w:t>
      </w:r>
      <w:r w:rsidR="008F79D2">
        <w:rPr>
          <w:rFonts w:ascii="Times New Roman" w:hAnsi="Times New Roman" w:cs="Times New Roman"/>
          <w:sz w:val="24"/>
          <w:szCs w:val="24"/>
        </w:rPr>
        <w:t xml:space="preserve">initial </w:t>
      </w:r>
      <w:r w:rsidR="00813567">
        <w:rPr>
          <w:rFonts w:ascii="Times New Roman" w:hAnsi="Times New Roman" w:cs="Times New Roman"/>
          <w:sz w:val="24"/>
          <w:szCs w:val="24"/>
        </w:rPr>
        <w:t>sample (</w:t>
      </w:r>
      <w:r w:rsidR="009517EC">
        <w:rPr>
          <w:rFonts w:ascii="Times New Roman" w:hAnsi="Times New Roman" w:cs="Times New Roman"/>
          <w:sz w:val="24"/>
          <w:szCs w:val="24"/>
        </w:rPr>
        <w:t>1,202</w:t>
      </w:r>
      <w:r w:rsidR="00A536C0">
        <w:rPr>
          <w:rFonts w:ascii="Times New Roman" w:hAnsi="Times New Roman" w:cs="Times New Roman"/>
          <w:sz w:val="24"/>
          <w:szCs w:val="24"/>
        </w:rPr>
        <w:t xml:space="preserve"> </w:t>
      </w:r>
      <w:r w:rsidR="00813567">
        <w:rPr>
          <w:rFonts w:ascii="Times New Roman" w:hAnsi="Times New Roman" w:cs="Times New Roman"/>
          <w:sz w:val="24"/>
          <w:szCs w:val="24"/>
        </w:rPr>
        <w:t>agencies</w:t>
      </w:r>
      <w:r w:rsidR="00A536C0">
        <w:rPr>
          <w:rFonts w:ascii="Times New Roman" w:hAnsi="Times New Roman" w:cs="Times New Roman"/>
          <w:sz w:val="24"/>
          <w:szCs w:val="24"/>
        </w:rPr>
        <w:t xml:space="preserve">). </w:t>
      </w:r>
    </w:p>
    <w:p w14:paraId="4C030A3B" w14:textId="23FE4E80" w:rsidR="00A536C0" w:rsidRDefault="001F1E7C"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On </w:t>
      </w:r>
      <w:r w:rsidR="0016775A">
        <w:rPr>
          <w:rFonts w:ascii="Times New Roman" w:hAnsi="Times New Roman" w:cs="Times New Roman"/>
          <w:sz w:val="24"/>
          <w:szCs w:val="24"/>
        </w:rPr>
        <w:t xml:space="preserve">Day </w:t>
      </w:r>
      <w:r w:rsidR="005A4D08">
        <w:rPr>
          <w:rFonts w:ascii="Times New Roman" w:hAnsi="Times New Roman" w:cs="Times New Roman"/>
          <w:sz w:val="24"/>
          <w:szCs w:val="24"/>
        </w:rPr>
        <w:t>31</w:t>
      </w:r>
      <w:r>
        <w:rPr>
          <w:rFonts w:ascii="Times New Roman" w:hAnsi="Times New Roman" w:cs="Times New Roman"/>
          <w:sz w:val="24"/>
          <w:szCs w:val="24"/>
        </w:rPr>
        <w:t xml:space="preserve">, </w:t>
      </w:r>
      <w:r w:rsidR="008F79D2">
        <w:rPr>
          <w:rFonts w:ascii="Times New Roman" w:hAnsi="Times New Roman" w:cs="Times New Roman"/>
          <w:sz w:val="24"/>
          <w:szCs w:val="24"/>
        </w:rPr>
        <w:t xml:space="preserve">we will send </w:t>
      </w:r>
      <w:r w:rsidR="001F6BE6">
        <w:rPr>
          <w:rFonts w:ascii="Times New Roman" w:hAnsi="Times New Roman" w:cs="Times New Roman"/>
          <w:sz w:val="24"/>
          <w:szCs w:val="24"/>
        </w:rPr>
        <w:t xml:space="preserve">our first nonresponse </w:t>
      </w:r>
      <w:r w:rsidR="005F107B">
        <w:rPr>
          <w:rFonts w:ascii="Times New Roman" w:hAnsi="Times New Roman" w:cs="Times New Roman"/>
          <w:sz w:val="24"/>
          <w:szCs w:val="24"/>
        </w:rPr>
        <w:t xml:space="preserve">message via </w:t>
      </w:r>
      <w:r w:rsidR="008F79D2">
        <w:rPr>
          <w:rFonts w:ascii="Times New Roman" w:hAnsi="Times New Roman" w:cs="Times New Roman"/>
          <w:sz w:val="24"/>
          <w:szCs w:val="24"/>
        </w:rPr>
        <w:t>e-mai</w:t>
      </w:r>
      <w:r w:rsidR="00813567">
        <w:rPr>
          <w:rFonts w:ascii="Times New Roman" w:hAnsi="Times New Roman" w:cs="Times New Roman"/>
          <w:sz w:val="24"/>
          <w:szCs w:val="24"/>
        </w:rPr>
        <w:t>l</w:t>
      </w:r>
      <w:r w:rsidR="008D7039">
        <w:rPr>
          <w:rFonts w:ascii="Times New Roman" w:hAnsi="Times New Roman" w:cs="Times New Roman"/>
          <w:sz w:val="24"/>
          <w:szCs w:val="24"/>
        </w:rPr>
        <w:t>/</w:t>
      </w:r>
      <w:r w:rsidR="00813567">
        <w:rPr>
          <w:rFonts w:ascii="Times New Roman" w:hAnsi="Times New Roman" w:cs="Times New Roman"/>
          <w:sz w:val="24"/>
          <w:szCs w:val="24"/>
        </w:rPr>
        <w:t xml:space="preserve">mail </w:t>
      </w:r>
      <w:r w:rsidR="008F79D2">
        <w:rPr>
          <w:rFonts w:ascii="Times New Roman" w:hAnsi="Times New Roman" w:cs="Times New Roman"/>
          <w:sz w:val="24"/>
          <w:szCs w:val="24"/>
        </w:rPr>
        <w:t xml:space="preserve">to </w:t>
      </w:r>
      <w:r>
        <w:rPr>
          <w:rFonts w:ascii="Times New Roman" w:hAnsi="Times New Roman" w:cs="Times New Roman"/>
          <w:sz w:val="24"/>
          <w:szCs w:val="24"/>
        </w:rPr>
        <w:t xml:space="preserve">any to-date nonrespondents </w:t>
      </w:r>
      <w:r w:rsidR="005E1CD0">
        <w:rPr>
          <w:rFonts w:ascii="Times New Roman" w:hAnsi="Times New Roman" w:cs="Times New Roman"/>
          <w:sz w:val="24"/>
          <w:szCs w:val="24"/>
        </w:rPr>
        <w:t xml:space="preserve">asking them </w:t>
      </w:r>
      <w:r w:rsidR="00BA6B5E">
        <w:rPr>
          <w:rFonts w:ascii="Times New Roman" w:hAnsi="Times New Roman" w:cs="Times New Roman"/>
          <w:sz w:val="24"/>
          <w:szCs w:val="24"/>
        </w:rPr>
        <w:t xml:space="preserve">once again </w:t>
      </w:r>
      <w:r w:rsidR="005E1CD0">
        <w:rPr>
          <w:rFonts w:ascii="Times New Roman" w:hAnsi="Times New Roman" w:cs="Times New Roman"/>
          <w:sz w:val="24"/>
          <w:szCs w:val="24"/>
        </w:rPr>
        <w:t xml:space="preserve">to complete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questionnaire</w:t>
      </w:r>
      <w:r w:rsidR="00BA6B5E">
        <w:rPr>
          <w:rFonts w:ascii="Times New Roman" w:hAnsi="Times New Roman" w:cs="Times New Roman"/>
          <w:sz w:val="24"/>
          <w:szCs w:val="24"/>
        </w:rPr>
        <w:t xml:space="preserve">. This communication </w:t>
      </w:r>
      <w:r w:rsidR="005E1CD0">
        <w:rPr>
          <w:rFonts w:ascii="Times New Roman" w:hAnsi="Times New Roman" w:cs="Times New Roman"/>
          <w:sz w:val="24"/>
          <w:szCs w:val="24"/>
        </w:rPr>
        <w:t xml:space="preserve">will </w:t>
      </w:r>
      <w:r>
        <w:rPr>
          <w:rFonts w:ascii="Times New Roman" w:hAnsi="Times New Roman" w:cs="Times New Roman"/>
          <w:sz w:val="24"/>
          <w:szCs w:val="24"/>
        </w:rPr>
        <w:t>address potential reasons for nonresponse</w:t>
      </w:r>
      <w:r w:rsidR="0016775A">
        <w:rPr>
          <w:rFonts w:ascii="Times New Roman" w:hAnsi="Times New Roman" w:cs="Times New Roman"/>
          <w:sz w:val="24"/>
          <w:szCs w:val="24"/>
        </w:rPr>
        <w:t xml:space="preserve">. </w:t>
      </w:r>
      <w:r w:rsidR="00BA6B5E">
        <w:rPr>
          <w:rFonts w:ascii="Times New Roman" w:hAnsi="Times New Roman" w:cs="Times New Roman"/>
          <w:sz w:val="24"/>
          <w:szCs w:val="24"/>
        </w:rPr>
        <w:t>T</w:t>
      </w:r>
      <w:r w:rsidR="0016775A">
        <w:rPr>
          <w:rFonts w:ascii="Times New Roman" w:hAnsi="Times New Roman" w:cs="Times New Roman"/>
          <w:sz w:val="24"/>
          <w:szCs w:val="24"/>
        </w:rPr>
        <w:t xml:space="preserve">he POC will receive one of </w:t>
      </w:r>
      <w:r w:rsidR="00813567">
        <w:rPr>
          <w:rFonts w:ascii="Times New Roman" w:hAnsi="Times New Roman" w:cs="Times New Roman"/>
          <w:sz w:val="24"/>
          <w:szCs w:val="24"/>
        </w:rPr>
        <w:t>two</w:t>
      </w:r>
      <w:r w:rsidR="0016775A">
        <w:rPr>
          <w:rFonts w:ascii="Times New Roman" w:hAnsi="Times New Roman" w:cs="Times New Roman"/>
          <w:sz w:val="24"/>
          <w:szCs w:val="24"/>
        </w:rPr>
        <w:t xml:space="preserve"> versions</w:t>
      </w:r>
      <w:r>
        <w:rPr>
          <w:rFonts w:ascii="Times New Roman" w:hAnsi="Times New Roman" w:cs="Times New Roman"/>
          <w:sz w:val="24"/>
          <w:szCs w:val="24"/>
        </w:rPr>
        <w:t xml:space="preserve"> (see Attachment </w:t>
      </w:r>
      <w:r w:rsidR="00813567">
        <w:rPr>
          <w:rFonts w:ascii="Times New Roman" w:hAnsi="Times New Roman" w:cs="Times New Roman"/>
          <w:sz w:val="24"/>
          <w:szCs w:val="24"/>
        </w:rPr>
        <w:t>M</w:t>
      </w:r>
      <w:r>
        <w:rPr>
          <w:rFonts w:ascii="Times New Roman" w:hAnsi="Times New Roman" w:cs="Times New Roman"/>
          <w:sz w:val="24"/>
          <w:szCs w:val="24"/>
        </w:rPr>
        <w:t xml:space="preserve">). </w:t>
      </w:r>
      <w:r w:rsidR="00A536C0">
        <w:rPr>
          <w:rFonts w:ascii="Times New Roman" w:hAnsi="Times New Roman" w:cs="Times New Roman"/>
          <w:sz w:val="24"/>
          <w:szCs w:val="24"/>
        </w:rPr>
        <w:t xml:space="preserve">We estimate that this communication will be sent to 66% of our </w:t>
      </w:r>
      <w:r w:rsidR="008F79D2">
        <w:rPr>
          <w:rFonts w:ascii="Times New Roman" w:hAnsi="Times New Roman" w:cs="Times New Roman"/>
          <w:sz w:val="24"/>
          <w:szCs w:val="24"/>
        </w:rPr>
        <w:t xml:space="preserve">initial </w:t>
      </w:r>
      <w:r w:rsidR="00A536C0">
        <w:rPr>
          <w:rFonts w:ascii="Times New Roman" w:hAnsi="Times New Roman" w:cs="Times New Roman"/>
          <w:sz w:val="24"/>
          <w:szCs w:val="24"/>
        </w:rPr>
        <w:t>sample (</w:t>
      </w:r>
      <w:r w:rsidR="00D40490">
        <w:rPr>
          <w:rFonts w:ascii="Times New Roman" w:hAnsi="Times New Roman" w:cs="Times New Roman"/>
          <w:sz w:val="24"/>
          <w:szCs w:val="24"/>
        </w:rPr>
        <w:t>1,</w:t>
      </w:r>
      <w:r w:rsidR="009517EC">
        <w:rPr>
          <w:rFonts w:ascii="Times New Roman" w:hAnsi="Times New Roman" w:cs="Times New Roman"/>
          <w:sz w:val="24"/>
          <w:szCs w:val="24"/>
        </w:rPr>
        <w:t>058</w:t>
      </w:r>
      <w:r w:rsidR="00A536C0">
        <w:rPr>
          <w:rFonts w:ascii="Times New Roman" w:hAnsi="Times New Roman" w:cs="Times New Roman"/>
          <w:sz w:val="24"/>
          <w:szCs w:val="24"/>
        </w:rPr>
        <w:t xml:space="preserve"> </w:t>
      </w:r>
      <w:r w:rsidR="00813567">
        <w:rPr>
          <w:rFonts w:ascii="Times New Roman" w:hAnsi="Times New Roman" w:cs="Times New Roman"/>
          <w:sz w:val="24"/>
          <w:szCs w:val="24"/>
        </w:rPr>
        <w:t>agencies</w:t>
      </w:r>
      <w:r w:rsidR="00A536C0">
        <w:rPr>
          <w:rFonts w:ascii="Times New Roman" w:hAnsi="Times New Roman" w:cs="Times New Roman"/>
          <w:sz w:val="24"/>
          <w:szCs w:val="24"/>
        </w:rPr>
        <w:t>).</w:t>
      </w:r>
    </w:p>
    <w:p w14:paraId="0D56D25B" w14:textId="680365BF" w:rsidR="001F1E7C" w:rsidRDefault="001F1E7C"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On </w:t>
      </w:r>
      <w:r w:rsidR="00813567">
        <w:rPr>
          <w:rFonts w:ascii="Times New Roman" w:hAnsi="Times New Roman" w:cs="Times New Roman"/>
          <w:sz w:val="24"/>
          <w:szCs w:val="24"/>
        </w:rPr>
        <w:t xml:space="preserve">Day </w:t>
      </w:r>
      <w:r w:rsidR="005A4D08">
        <w:rPr>
          <w:rFonts w:ascii="Times New Roman" w:hAnsi="Times New Roman" w:cs="Times New Roman"/>
          <w:sz w:val="24"/>
          <w:szCs w:val="24"/>
        </w:rPr>
        <w:t>46</w:t>
      </w:r>
      <w:r w:rsidR="0016775A">
        <w:rPr>
          <w:rFonts w:ascii="Times New Roman" w:hAnsi="Times New Roman" w:cs="Times New Roman"/>
          <w:sz w:val="24"/>
          <w:szCs w:val="24"/>
        </w:rPr>
        <w:t>,</w:t>
      </w:r>
      <w:r>
        <w:rPr>
          <w:rFonts w:ascii="Times New Roman" w:hAnsi="Times New Roman" w:cs="Times New Roman"/>
          <w:sz w:val="24"/>
          <w:szCs w:val="24"/>
        </w:rPr>
        <w:t xml:space="preserve"> </w:t>
      </w:r>
      <w:r w:rsidR="003B0BA0">
        <w:rPr>
          <w:rFonts w:ascii="Times New Roman" w:hAnsi="Times New Roman" w:cs="Times New Roman"/>
          <w:sz w:val="24"/>
          <w:szCs w:val="24"/>
        </w:rPr>
        <w:t xml:space="preserve">we will send </w:t>
      </w:r>
      <w:r w:rsidR="00483B9D">
        <w:rPr>
          <w:rFonts w:ascii="Times New Roman" w:hAnsi="Times New Roman" w:cs="Times New Roman"/>
          <w:sz w:val="24"/>
          <w:szCs w:val="24"/>
        </w:rPr>
        <w:t xml:space="preserve">our second nonresponse message </w:t>
      </w:r>
      <w:r w:rsidR="003B0BA0">
        <w:rPr>
          <w:rFonts w:ascii="Times New Roman" w:hAnsi="Times New Roman" w:cs="Times New Roman"/>
          <w:sz w:val="24"/>
          <w:szCs w:val="24"/>
        </w:rPr>
        <w:t xml:space="preserve">via USPS to </w:t>
      </w:r>
      <w:r>
        <w:rPr>
          <w:rFonts w:ascii="Times New Roman" w:hAnsi="Times New Roman" w:cs="Times New Roman"/>
          <w:sz w:val="24"/>
          <w:szCs w:val="24"/>
        </w:rPr>
        <w:t xml:space="preserve">any to-date nonrespondents </w:t>
      </w:r>
      <w:r w:rsidR="00F242AF">
        <w:rPr>
          <w:rFonts w:ascii="Times New Roman" w:hAnsi="Times New Roman" w:cs="Times New Roman"/>
          <w:sz w:val="24"/>
          <w:szCs w:val="24"/>
        </w:rPr>
        <w:t xml:space="preserve">because </w:t>
      </w:r>
      <w:r w:rsidR="00DE457C">
        <w:rPr>
          <w:rFonts w:ascii="Times New Roman" w:hAnsi="Times New Roman" w:cs="Times New Roman"/>
          <w:sz w:val="24"/>
          <w:szCs w:val="24"/>
        </w:rPr>
        <w:t>earlier</w:t>
      </w:r>
      <w:r>
        <w:rPr>
          <w:rFonts w:ascii="Times New Roman" w:hAnsi="Times New Roman" w:cs="Times New Roman"/>
          <w:sz w:val="24"/>
          <w:szCs w:val="24"/>
        </w:rPr>
        <w:t xml:space="preserve"> e-mail</w:t>
      </w:r>
      <w:r w:rsidR="0016775A">
        <w:rPr>
          <w:rFonts w:ascii="Times New Roman" w:hAnsi="Times New Roman" w:cs="Times New Roman"/>
          <w:sz w:val="24"/>
          <w:szCs w:val="24"/>
        </w:rPr>
        <w:t>s</w:t>
      </w:r>
      <w:r>
        <w:rPr>
          <w:rFonts w:ascii="Times New Roman" w:hAnsi="Times New Roman" w:cs="Times New Roman"/>
          <w:sz w:val="24"/>
          <w:szCs w:val="24"/>
        </w:rPr>
        <w:t xml:space="preserve"> may have been blocked or unread</w:t>
      </w:r>
      <w:r w:rsidR="00523CEA">
        <w:rPr>
          <w:rFonts w:ascii="Times New Roman" w:hAnsi="Times New Roman" w:cs="Times New Roman"/>
          <w:sz w:val="24"/>
          <w:szCs w:val="24"/>
        </w:rPr>
        <w:t>. The second message will</w:t>
      </w:r>
      <w:r w:rsidR="005E1CD0">
        <w:rPr>
          <w:rFonts w:ascii="Times New Roman" w:hAnsi="Times New Roman" w:cs="Times New Roman"/>
          <w:sz w:val="24"/>
          <w:szCs w:val="24"/>
        </w:rPr>
        <w:t xml:space="preserve"> </w:t>
      </w:r>
      <w:r w:rsidR="00F242AF">
        <w:rPr>
          <w:rFonts w:ascii="Times New Roman" w:hAnsi="Times New Roman" w:cs="Times New Roman"/>
          <w:sz w:val="24"/>
          <w:szCs w:val="24"/>
        </w:rPr>
        <w:t xml:space="preserve">provide </w:t>
      </w:r>
      <w:r w:rsidR="005E1CD0">
        <w:rPr>
          <w:rFonts w:ascii="Times New Roman" w:hAnsi="Times New Roman" w:cs="Times New Roman"/>
          <w:sz w:val="24"/>
          <w:szCs w:val="24"/>
        </w:rPr>
        <w:t xml:space="preserve">information on how to complete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questionnaire</w:t>
      </w:r>
      <w:r>
        <w:rPr>
          <w:rFonts w:ascii="Times New Roman" w:hAnsi="Times New Roman" w:cs="Times New Roman"/>
          <w:sz w:val="24"/>
          <w:szCs w:val="24"/>
        </w:rPr>
        <w:t>.</w:t>
      </w:r>
      <w:r w:rsidR="0016775A">
        <w:rPr>
          <w:rFonts w:ascii="Times New Roman" w:hAnsi="Times New Roman" w:cs="Times New Roman"/>
          <w:sz w:val="24"/>
          <w:szCs w:val="24"/>
        </w:rPr>
        <w:t xml:space="preserve"> The POC will receive one of </w:t>
      </w:r>
      <w:r w:rsidR="00813567">
        <w:rPr>
          <w:rFonts w:ascii="Times New Roman" w:hAnsi="Times New Roman" w:cs="Times New Roman"/>
          <w:sz w:val="24"/>
          <w:szCs w:val="24"/>
        </w:rPr>
        <w:t>two</w:t>
      </w:r>
      <w:r w:rsidR="0016775A">
        <w:rPr>
          <w:rFonts w:ascii="Times New Roman" w:hAnsi="Times New Roman" w:cs="Times New Roman"/>
          <w:sz w:val="24"/>
          <w:szCs w:val="24"/>
        </w:rPr>
        <w:t xml:space="preserve"> versions (see Attachment </w:t>
      </w:r>
      <w:r w:rsidR="00813567">
        <w:rPr>
          <w:rFonts w:ascii="Times New Roman" w:hAnsi="Times New Roman" w:cs="Times New Roman"/>
          <w:sz w:val="24"/>
          <w:szCs w:val="24"/>
        </w:rPr>
        <w:t>N</w:t>
      </w:r>
      <w:r w:rsidR="0016775A">
        <w:rPr>
          <w:rFonts w:ascii="Times New Roman" w:hAnsi="Times New Roman" w:cs="Times New Roman"/>
          <w:sz w:val="24"/>
          <w:szCs w:val="24"/>
        </w:rPr>
        <w:t>).</w:t>
      </w:r>
      <w:r w:rsidR="003B0BA0">
        <w:rPr>
          <w:rFonts w:ascii="Times New Roman" w:hAnsi="Times New Roman" w:cs="Times New Roman"/>
          <w:sz w:val="24"/>
          <w:szCs w:val="24"/>
        </w:rPr>
        <w:t xml:space="preserve"> We anticipate that this communication will be sent to 50% of our full sample </w:t>
      </w:r>
      <w:r w:rsidR="00813567">
        <w:rPr>
          <w:rFonts w:ascii="Times New Roman" w:hAnsi="Times New Roman" w:cs="Times New Roman"/>
          <w:sz w:val="24"/>
          <w:szCs w:val="24"/>
        </w:rPr>
        <w:t>(</w:t>
      </w:r>
      <w:r w:rsidR="009517EC">
        <w:rPr>
          <w:rFonts w:ascii="Times New Roman" w:hAnsi="Times New Roman" w:cs="Times New Roman"/>
          <w:sz w:val="24"/>
          <w:szCs w:val="24"/>
        </w:rPr>
        <w:t>802</w:t>
      </w:r>
      <w:r w:rsidR="00A86DB6">
        <w:rPr>
          <w:rFonts w:ascii="Times New Roman" w:hAnsi="Times New Roman" w:cs="Times New Roman"/>
          <w:sz w:val="24"/>
          <w:szCs w:val="24"/>
        </w:rPr>
        <w:t xml:space="preserve"> </w:t>
      </w:r>
      <w:r w:rsidR="00813567">
        <w:rPr>
          <w:rFonts w:ascii="Times New Roman" w:hAnsi="Times New Roman" w:cs="Times New Roman"/>
          <w:sz w:val="24"/>
          <w:szCs w:val="24"/>
        </w:rPr>
        <w:t>agencie</w:t>
      </w:r>
      <w:r w:rsidR="00A86DB6">
        <w:rPr>
          <w:rFonts w:ascii="Times New Roman" w:hAnsi="Times New Roman" w:cs="Times New Roman"/>
          <w:sz w:val="24"/>
          <w:szCs w:val="24"/>
        </w:rPr>
        <w:t>s).</w:t>
      </w:r>
    </w:p>
    <w:p w14:paraId="56D09BAA" w14:textId="51BF16AB" w:rsidR="005E1CD0" w:rsidRDefault="0016775A"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On Day </w:t>
      </w:r>
      <w:r w:rsidR="005A4D08">
        <w:rPr>
          <w:rFonts w:ascii="Times New Roman" w:hAnsi="Times New Roman" w:cs="Times New Roman"/>
          <w:sz w:val="24"/>
          <w:szCs w:val="24"/>
        </w:rPr>
        <w:t>61</w:t>
      </w:r>
      <w:r>
        <w:rPr>
          <w:rFonts w:ascii="Times New Roman" w:hAnsi="Times New Roman" w:cs="Times New Roman"/>
          <w:sz w:val="24"/>
          <w:szCs w:val="24"/>
        </w:rPr>
        <w:t>, we will begin outreach to the to-date nonrespondents via nonresponse telephone calls. In preparation for thi</w:t>
      </w:r>
      <w:r w:rsidR="00DE3CB8">
        <w:rPr>
          <w:rFonts w:ascii="Times New Roman" w:hAnsi="Times New Roman" w:cs="Times New Roman"/>
          <w:sz w:val="24"/>
          <w:szCs w:val="24"/>
        </w:rPr>
        <w:t xml:space="preserve">s outreach, we will train two additional ALs </w:t>
      </w:r>
      <w:r>
        <w:rPr>
          <w:rFonts w:ascii="Times New Roman" w:hAnsi="Times New Roman" w:cs="Times New Roman"/>
          <w:sz w:val="24"/>
          <w:szCs w:val="24"/>
        </w:rPr>
        <w:t xml:space="preserve">on </w:t>
      </w:r>
      <w:r w:rsidR="008A0229">
        <w:rPr>
          <w:rFonts w:ascii="Times New Roman" w:hAnsi="Times New Roman" w:cs="Times New Roman"/>
          <w:sz w:val="24"/>
          <w:szCs w:val="24"/>
        </w:rPr>
        <w:t xml:space="preserve">the </w:t>
      </w:r>
      <w:r>
        <w:rPr>
          <w:rFonts w:ascii="Times New Roman" w:hAnsi="Times New Roman" w:cs="Times New Roman"/>
          <w:sz w:val="24"/>
          <w:szCs w:val="24"/>
        </w:rPr>
        <w:t>study protocol.</w:t>
      </w:r>
      <w:r w:rsidR="00DE3CB8">
        <w:rPr>
          <w:rFonts w:ascii="Times New Roman" w:hAnsi="Times New Roman" w:cs="Times New Roman"/>
          <w:sz w:val="24"/>
          <w:szCs w:val="24"/>
        </w:rPr>
        <w:t xml:space="preserve"> </w:t>
      </w:r>
      <w:r w:rsidR="005E1CD0">
        <w:rPr>
          <w:rFonts w:ascii="Times New Roman" w:hAnsi="Times New Roman" w:cs="Times New Roman"/>
          <w:sz w:val="24"/>
          <w:szCs w:val="24"/>
        </w:rPr>
        <w:t xml:space="preserve">All ALs will also be trained on the procedures for contacting </w:t>
      </w:r>
      <w:r w:rsidR="0091398E">
        <w:rPr>
          <w:rFonts w:ascii="Times New Roman" w:hAnsi="Times New Roman" w:cs="Times New Roman"/>
          <w:sz w:val="24"/>
          <w:szCs w:val="24"/>
        </w:rPr>
        <w:t xml:space="preserve">nonresponding </w:t>
      </w:r>
      <w:r w:rsidR="005E1CD0">
        <w:rPr>
          <w:rFonts w:ascii="Times New Roman" w:hAnsi="Times New Roman" w:cs="Times New Roman"/>
          <w:sz w:val="24"/>
          <w:szCs w:val="24"/>
        </w:rPr>
        <w:t xml:space="preserve">agencies and asking them to complete the </w:t>
      </w:r>
      <w:r w:rsidR="00865050">
        <w:rPr>
          <w:rFonts w:ascii="Times New Roman" w:hAnsi="Times New Roman" w:cs="Times New Roman"/>
          <w:sz w:val="24"/>
          <w:szCs w:val="24"/>
        </w:rPr>
        <w:t>Web</w:t>
      </w:r>
      <w:r w:rsidR="005E1CD0">
        <w:rPr>
          <w:rFonts w:ascii="Times New Roman" w:hAnsi="Times New Roman" w:cs="Times New Roman"/>
          <w:sz w:val="24"/>
          <w:szCs w:val="24"/>
        </w:rPr>
        <w:t xml:space="preserve"> questionnaire, most notably tracking cases</w:t>
      </w:r>
      <w:r w:rsidR="007023D6">
        <w:rPr>
          <w:rFonts w:ascii="Times New Roman" w:hAnsi="Times New Roman" w:cs="Times New Roman"/>
          <w:sz w:val="24"/>
          <w:szCs w:val="24"/>
        </w:rPr>
        <w:t>,</w:t>
      </w:r>
      <w:r w:rsidR="005E1CD0">
        <w:rPr>
          <w:rFonts w:ascii="Times New Roman" w:hAnsi="Times New Roman" w:cs="Times New Roman"/>
          <w:sz w:val="24"/>
          <w:szCs w:val="24"/>
        </w:rPr>
        <w:t xml:space="preserve"> contact attempts</w:t>
      </w:r>
      <w:r w:rsidR="007023D6">
        <w:rPr>
          <w:rFonts w:ascii="Times New Roman" w:hAnsi="Times New Roman" w:cs="Times New Roman"/>
          <w:sz w:val="24"/>
          <w:szCs w:val="24"/>
        </w:rPr>
        <w:t xml:space="preserve">, and administering the </w:t>
      </w:r>
      <w:r w:rsidR="00865050">
        <w:rPr>
          <w:rFonts w:ascii="Times New Roman" w:hAnsi="Times New Roman" w:cs="Times New Roman"/>
          <w:sz w:val="24"/>
          <w:szCs w:val="24"/>
        </w:rPr>
        <w:t>Web</w:t>
      </w:r>
      <w:r w:rsidR="007023D6">
        <w:rPr>
          <w:rFonts w:ascii="Times New Roman" w:hAnsi="Times New Roman" w:cs="Times New Roman"/>
          <w:sz w:val="24"/>
          <w:szCs w:val="24"/>
        </w:rPr>
        <w:t xml:space="preserve"> questionnaire over the </w:t>
      </w:r>
      <w:r w:rsidR="00523CEA">
        <w:rPr>
          <w:rFonts w:ascii="Times New Roman" w:hAnsi="Times New Roman" w:cs="Times New Roman"/>
          <w:sz w:val="24"/>
          <w:szCs w:val="24"/>
        </w:rPr>
        <w:t>tele</w:t>
      </w:r>
      <w:r w:rsidR="007023D6">
        <w:rPr>
          <w:rFonts w:ascii="Times New Roman" w:hAnsi="Times New Roman" w:cs="Times New Roman"/>
          <w:sz w:val="24"/>
          <w:szCs w:val="24"/>
        </w:rPr>
        <w:t>phone</w:t>
      </w:r>
      <w:r w:rsidR="005E1CD0">
        <w:rPr>
          <w:rFonts w:ascii="Times New Roman" w:hAnsi="Times New Roman" w:cs="Times New Roman"/>
          <w:sz w:val="24"/>
          <w:szCs w:val="24"/>
        </w:rPr>
        <w:t xml:space="preserve">. </w:t>
      </w:r>
      <w:r w:rsidR="00A86DB6">
        <w:rPr>
          <w:rFonts w:ascii="Times New Roman" w:hAnsi="Times New Roman" w:cs="Times New Roman"/>
          <w:sz w:val="24"/>
          <w:szCs w:val="24"/>
        </w:rPr>
        <w:t xml:space="preserve">We anticipate that we will contact 33% of </w:t>
      </w:r>
      <w:r w:rsidR="00C930E9">
        <w:rPr>
          <w:rFonts w:ascii="Times New Roman" w:hAnsi="Times New Roman" w:cs="Times New Roman"/>
          <w:sz w:val="24"/>
          <w:szCs w:val="24"/>
        </w:rPr>
        <w:t>our full sample</w:t>
      </w:r>
      <w:r w:rsidR="00A86DB6">
        <w:rPr>
          <w:rFonts w:ascii="Times New Roman" w:hAnsi="Times New Roman" w:cs="Times New Roman"/>
          <w:sz w:val="24"/>
          <w:szCs w:val="24"/>
        </w:rPr>
        <w:t xml:space="preserve"> (</w:t>
      </w:r>
      <w:r w:rsidR="009517EC">
        <w:rPr>
          <w:rFonts w:ascii="Times New Roman" w:hAnsi="Times New Roman" w:cs="Times New Roman"/>
          <w:sz w:val="24"/>
          <w:szCs w:val="24"/>
        </w:rPr>
        <w:t>529</w:t>
      </w:r>
      <w:r w:rsidR="00813567">
        <w:rPr>
          <w:rFonts w:ascii="Times New Roman" w:hAnsi="Times New Roman" w:cs="Times New Roman"/>
          <w:sz w:val="24"/>
          <w:szCs w:val="24"/>
        </w:rPr>
        <w:t xml:space="preserve"> agencies</w:t>
      </w:r>
      <w:r w:rsidR="00A86DB6">
        <w:rPr>
          <w:rFonts w:ascii="Times New Roman" w:hAnsi="Times New Roman" w:cs="Times New Roman"/>
          <w:sz w:val="24"/>
          <w:szCs w:val="24"/>
        </w:rPr>
        <w:t xml:space="preserve">). </w:t>
      </w:r>
      <w:r w:rsidR="005E1CD0">
        <w:rPr>
          <w:rFonts w:ascii="Times New Roman" w:hAnsi="Times New Roman" w:cs="Times New Roman"/>
          <w:sz w:val="24"/>
          <w:szCs w:val="24"/>
        </w:rPr>
        <w:t xml:space="preserve">We will continue this outreach until Day </w:t>
      </w:r>
      <w:r w:rsidR="00813567">
        <w:rPr>
          <w:rFonts w:ascii="Times New Roman" w:hAnsi="Times New Roman" w:cs="Times New Roman"/>
          <w:sz w:val="24"/>
          <w:szCs w:val="24"/>
        </w:rPr>
        <w:t>90</w:t>
      </w:r>
      <w:r w:rsidR="005E1CD0">
        <w:rPr>
          <w:rFonts w:ascii="Times New Roman" w:hAnsi="Times New Roman" w:cs="Times New Roman"/>
          <w:sz w:val="24"/>
          <w:szCs w:val="24"/>
        </w:rPr>
        <w:t>, the final day of data collection.</w:t>
      </w:r>
    </w:p>
    <w:p w14:paraId="1BF0A1DA" w14:textId="77777777" w:rsidR="00DE457C" w:rsidRDefault="00A17EDA"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 xml:space="preserve">Our final written contact with the POC will occur on Day </w:t>
      </w:r>
      <w:r w:rsidR="00813567">
        <w:rPr>
          <w:rFonts w:ascii="Times New Roman" w:hAnsi="Times New Roman" w:cs="Times New Roman"/>
          <w:sz w:val="24"/>
          <w:szCs w:val="24"/>
        </w:rPr>
        <w:t>83</w:t>
      </w:r>
      <w:r>
        <w:rPr>
          <w:rFonts w:ascii="Times New Roman" w:hAnsi="Times New Roman" w:cs="Times New Roman"/>
          <w:sz w:val="24"/>
          <w:szCs w:val="24"/>
        </w:rPr>
        <w:t xml:space="preserve"> via an end-of-study message. </w:t>
      </w:r>
      <w:r w:rsidR="00A86DB6">
        <w:rPr>
          <w:rFonts w:ascii="Times New Roman" w:hAnsi="Times New Roman" w:cs="Times New Roman"/>
          <w:sz w:val="24"/>
          <w:szCs w:val="24"/>
        </w:rPr>
        <w:t xml:space="preserve">We will send </w:t>
      </w:r>
      <w:r w:rsidR="00AD20A3">
        <w:rPr>
          <w:rFonts w:ascii="Times New Roman" w:hAnsi="Times New Roman" w:cs="Times New Roman"/>
          <w:sz w:val="24"/>
          <w:szCs w:val="24"/>
        </w:rPr>
        <w:t xml:space="preserve">an </w:t>
      </w:r>
      <w:r w:rsidR="00911C42">
        <w:rPr>
          <w:rFonts w:ascii="Times New Roman" w:hAnsi="Times New Roman" w:cs="Times New Roman"/>
          <w:sz w:val="24"/>
          <w:szCs w:val="24"/>
        </w:rPr>
        <w:t xml:space="preserve">e-mail </w:t>
      </w:r>
      <w:r w:rsidR="00A86DB6">
        <w:rPr>
          <w:rFonts w:ascii="Times New Roman" w:hAnsi="Times New Roman" w:cs="Times New Roman"/>
          <w:sz w:val="24"/>
          <w:szCs w:val="24"/>
        </w:rPr>
        <w:t xml:space="preserve">to any to-date nonrespondents to announce the forthcoming closure of the pilot study and make a final appeal to participate </w:t>
      </w:r>
      <w:r w:rsidR="00911C42">
        <w:rPr>
          <w:rFonts w:ascii="Times New Roman" w:hAnsi="Times New Roman" w:cs="Times New Roman"/>
          <w:sz w:val="24"/>
          <w:szCs w:val="24"/>
        </w:rPr>
        <w:t xml:space="preserve">(see Attachment </w:t>
      </w:r>
      <w:r w:rsidR="00813567">
        <w:rPr>
          <w:rFonts w:ascii="Times New Roman" w:hAnsi="Times New Roman" w:cs="Times New Roman"/>
          <w:sz w:val="24"/>
          <w:szCs w:val="24"/>
        </w:rPr>
        <w:t>O</w:t>
      </w:r>
      <w:r w:rsidR="00911C42">
        <w:rPr>
          <w:rFonts w:ascii="Times New Roman" w:hAnsi="Times New Roman" w:cs="Times New Roman"/>
          <w:sz w:val="24"/>
          <w:szCs w:val="24"/>
        </w:rPr>
        <w:t xml:space="preserve">). </w:t>
      </w:r>
    </w:p>
    <w:p w14:paraId="797DDA8B" w14:textId="77777777" w:rsidR="00F459F9" w:rsidRDefault="00F459F9" w:rsidP="00D93858">
      <w:pPr>
        <w:spacing w:after="160" w:line="288" w:lineRule="auto"/>
        <w:rPr>
          <w:rFonts w:ascii="Times New Roman" w:hAnsi="Times New Roman" w:cs="Times New Roman"/>
          <w:sz w:val="24"/>
          <w:szCs w:val="24"/>
        </w:rPr>
      </w:pPr>
      <w:r w:rsidRPr="00F459F9">
        <w:rPr>
          <w:rFonts w:ascii="Times New Roman" w:hAnsi="Times New Roman" w:cs="Times New Roman"/>
          <w:sz w:val="24"/>
          <w:szCs w:val="24"/>
        </w:rPr>
        <w:t>The survey interface is user</w:t>
      </w:r>
      <w:r w:rsidR="00F242AF">
        <w:rPr>
          <w:rFonts w:ascii="Times New Roman" w:hAnsi="Times New Roman" w:cs="Times New Roman"/>
          <w:sz w:val="24"/>
          <w:szCs w:val="24"/>
        </w:rPr>
        <w:t xml:space="preserve"> </w:t>
      </w:r>
      <w:r w:rsidRPr="00F459F9">
        <w:rPr>
          <w:rFonts w:ascii="Times New Roman" w:hAnsi="Times New Roman" w:cs="Times New Roman"/>
          <w:sz w:val="24"/>
          <w:szCs w:val="24"/>
        </w:rPr>
        <w:t>friendly, which ensures more accurate responses. Because online submission is such an important response method, close attention will be paid to the formatting of the Internet survey instrument. Our instrument is also flexible so it can adapt to meet the needs of multiple device types (e.g., desktop computer and tablet), browser types (e.g., Internet Explorer and Google Chrome), and screen sizes. Other features in the instrument include</w:t>
      </w:r>
      <w:r w:rsidR="00F242AF">
        <w:rPr>
          <w:rFonts w:ascii="Times New Roman" w:hAnsi="Times New Roman" w:cs="Times New Roman"/>
          <w:sz w:val="24"/>
          <w:szCs w:val="24"/>
        </w:rPr>
        <w:t xml:space="preserve"> the following</w:t>
      </w:r>
      <w:r w:rsidRPr="00F459F9">
        <w:rPr>
          <w:rFonts w:ascii="Times New Roman" w:hAnsi="Times New Roman" w:cs="Times New Roman"/>
          <w:sz w:val="24"/>
          <w:szCs w:val="24"/>
        </w:rPr>
        <w:t>:</w:t>
      </w:r>
    </w:p>
    <w:p w14:paraId="7007CEA2" w14:textId="77777777" w:rsidR="00F459F9" w:rsidRPr="00F459F9" w:rsidRDefault="00F459F9" w:rsidP="00D93858">
      <w:pPr>
        <w:pStyle w:val="ListParagraph"/>
        <w:numPr>
          <w:ilvl w:val="0"/>
          <w:numId w:val="10"/>
        </w:numPr>
        <w:spacing w:after="0" w:line="288" w:lineRule="auto"/>
        <w:rPr>
          <w:rFonts w:ascii="Times New Roman" w:hAnsi="Times New Roman" w:cs="Times New Roman"/>
          <w:sz w:val="24"/>
          <w:szCs w:val="24"/>
        </w:rPr>
      </w:pPr>
      <w:r w:rsidRPr="00F459F9">
        <w:rPr>
          <w:rFonts w:ascii="Times New Roman" w:hAnsi="Times New Roman" w:cs="Times New Roman"/>
          <w:sz w:val="24"/>
          <w:szCs w:val="24"/>
        </w:rPr>
        <w:t xml:space="preserve">Respondents’ answers will be saved automatically, and they will have the option to leave </w:t>
      </w:r>
      <w:r w:rsidR="008A0229">
        <w:rPr>
          <w:rFonts w:ascii="Times New Roman" w:hAnsi="Times New Roman" w:cs="Times New Roman"/>
          <w:sz w:val="24"/>
          <w:szCs w:val="24"/>
        </w:rPr>
        <w:t>the</w:t>
      </w:r>
      <w:r w:rsidR="008A0229" w:rsidRPr="00F459F9">
        <w:rPr>
          <w:rFonts w:ascii="Times New Roman" w:hAnsi="Times New Roman" w:cs="Times New Roman"/>
          <w:sz w:val="24"/>
          <w:szCs w:val="24"/>
        </w:rPr>
        <w:t xml:space="preserve"> </w:t>
      </w:r>
      <w:r w:rsidRPr="00F459F9">
        <w:rPr>
          <w:rFonts w:ascii="Times New Roman" w:hAnsi="Times New Roman" w:cs="Times New Roman"/>
          <w:sz w:val="24"/>
          <w:szCs w:val="24"/>
        </w:rPr>
        <w:t>survey partway through and return later to finish.</w:t>
      </w:r>
    </w:p>
    <w:p w14:paraId="768F12DC" w14:textId="77777777" w:rsidR="00F459F9" w:rsidRPr="00F459F9" w:rsidRDefault="00F459F9" w:rsidP="00D93858">
      <w:pPr>
        <w:pStyle w:val="ListParagraph"/>
        <w:numPr>
          <w:ilvl w:val="0"/>
          <w:numId w:val="10"/>
        </w:numPr>
        <w:spacing w:after="0" w:line="288" w:lineRule="auto"/>
        <w:rPr>
          <w:rFonts w:ascii="Times New Roman" w:hAnsi="Times New Roman" w:cs="Times New Roman"/>
          <w:sz w:val="24"/>
          <w:szCs w:val="24"/>
        </w:rPr>
      </w:pPr>
      <w:r w:rsidRPr="00F459F9">
        <w:rPr>
          <w:rFonts w:ascii="Times New Roman" w:hAnsi="Times New Roman" w:cs="Times New Roman"/>
          <w:sz w:val="24"/>
          <w:szCs w:val="24"/>
        </w:rPr>
        <w:t xml:space="preserve">The online instrument will be programmed with data consistency checks and automatic prompts to ensure inter-item consistency and </w:t>
      </w:r>
      <w:r w:rsidR="00523CEA">
        <w:rPr>
          <w:rFonts w:ascii="Times New Roman" w:hAnsi="Times New Roman" w:cs="Times New Roman"/>
          <w:sz w:val="24"/>
          <w:szCs w:val="24"/>
        </w:rPr>
        <w:t xml:space="preserve">to </w:t>
      </w:r>
      <w:r w:rsidRPr="00F459F9">
        <w:rPr>
          <w:rFonts w:ascii="Times New Roman" w:hAnsi="Times New Roman" w:cs="Times New Roman"/>
          <w:sz w:val="24"/>
          <w:szCs w:val="24"/>
        </w:rPr>
        <w:t xml:space="preserve">reduce the likelihood of “don’t know” and out-of-range responses. </w:t>
      </w:r>
    </w:p>
    <w:p w14:paraId="69D3856B" w14:textId="77777777" w:rsidR="00F459F9" w:rsidRPr="00F459F9" w:rsidRDefault="00F459F9" w:rsidP="00D93858">
      <w:pPr>
        <w:pStyle w:val="ListParagraph"/>
        <w:numPr>
          <w:ilvl w:val="0"/>
          <w:numId w:val="10"/>
        </w:numPr>
        <w:spacing w:after="0" w:line="288" w:lineRule="auto"/>
        <w:rPr>
          <w:rFonts w:ascii="Times New Roman" w:hAnsi="Times New Roman" w:cs="Times New Roman"/>
          <w:sz w:val="24"/>
          <w:szCs w:val="24"/>
        </w:rPr>
      </w:pPr>
      <w:r w:rsidRPr="00F459F9">
        <w:rPr>
          <w:rFonts w:ascii="Times New Roman" w:hAnsi="Times New Roman" w:cs="Times New Roman"/>
          <w:sz w:val="24"/>
          <w:szCs w:val="24"/>
        </w:rPr>
        <w:t xml:space="preserve">When a respondent enters a response that appears to be out of range for that agency or question, a prompt will appear on the screen instructing the user to double check the response. </w:t>
      </w:r>
    </w:p>
    <w:p w14:paraId="72B251AE" w14:textId="77777777" w:rsidR="00F459F9" w:rsidRPr="00F459F9" w:rsidRDefault="00F459F9" w:rsidP="00D93858">
      <w:pPr>
        <w:pStyle w:val="ListParagraph"/>
        <w:numPr>
          <w:ilvl w:val="0"/>
          <w:numId w:val="10"/>
        </w:numPr>
        <w:spacing w:after="0" w:line="288" w:lineRule="auto"/>
        <w:rPr>
          <w:rFonts w:ascii="Times New Roman" w:hAnsi="Times New Roman" w:cs="Times New Roman"/>
          <w:sz w:val="24"/>
          <w:szCs w:val="24"/>
        </w:rPr>
      </w:pPr>
      <w:r w:rsidRPr="00F459F9">
        <w:rPr>
          <w:rFonts w:ascii="Times New Roman" w:hAnsi="Times New Roman" w:cs="Times New Roman"/>
          <w:sz w:val="24"/>
          <w:szCs w:val="24"/>
        </w:rPr>
        <w:t xml:space="preserve">Respondents will be able to print a copy of their responses for future reference. </w:t>
      </w:r>
    </w:p>
    <w:p w14:paraId="3DF46B0F" w14:textId="77777777" w:rsidR="0063137D" w:rsidRPr="00F459F9" w:rsidRDefault="00F459F9" w:rsidP="00D93858">
      <w:pPr>
        <w:pStyle w:val="ListParagraph"/>
        <w:numPr>
          <w:ilvl w:val="0"/>
          <w:numId w:val="10"/>
        </w:numPr>
        <w:spacing w:after="0" w:line="288" w:lineRule="auto"/>
        <w:rPr>
          <w:rFonts w:ascii="Times New Roman" w:hAnsi="Times New Roman" w:cs="Times New Roman"/>
        </w:rPr>
      </w:pPr>
      <w:r w:rsidRPr="00F459F9">
        <w:rPr>
          <w:rFonts w:ascii="Times New Roman" w:hAnsi="Times New Roman" w:cs="Times New Roman"/>
          <w:sz w:val="24"/>
          <w:szCs w:val="24"/>
        </w:rPr>
        <w:t>Upon submission, respondents will receive a message that confirms receipt of their survey</w:t>
      </w:r>
      <w:r>
        <w:rPr>
          <w:rFonts w:ascii="Times New Roman" w:hAnsi="Times New Roman" w:cs="Times New Roman"/>
          <w:sz w:val="24"/>
          <w:szCs w:val="24"/>
        </w:rPr>
        <w:t>.</w:t>
      </w:r>
    </w:p>
    <w:p w14:paraId="64BBF92F" w14:textId="77777777" w:rsidR="001A2D3A" w:rsidRDefault="001A2D3A" w:rsidP="00A85472">
      <w:pPr>
        <w:spacing w:after="120" w:line="240" w:lineRule="auto"/>
        <w:rPr>
          <w:rFonts w:ascii="Times New Roman" w:hAnsi="Times New Roman" w:cs="Times New Roman"/>
          <w:b/>
          <w:sz w:val="24"/>
          <w:szCs w:val="24"/>
          <w:u w:val="single"/>
        </w:rPr>
      </w:pPr>
    </w:p>
    <w:p w14:paraId="1A537F01" w14:textId="2AD57BEF" w:rsidR="00E82BA9" w:rsidRDefault="00643C10" w:rsidP="00A85472">
      <w:pPr>
        <w:spacing w:after="120" w:line="240" w:lineRule="auto"/>
        <w:rPr>
          <w:rFonts w:ascii="Times New Roman" w:hAnsi="Times New Roman" w:cs="Times New Roman"/>
          <w:b/>
          <w:sz w:val="24"/>
          <w:szCs w:val="24"/>
          <w:u w:val="single"/>
        </w:rPr>
      </w:pPr>
      <w:r w:rsidRPr="00E113CA">
        <w:rPr>
          <w:rFonts w:ascii="Times New Roman" w:hAnsi="Times New Roman" w:cs="Times New Roman"/>
          <w:b/>
          <w:sz w:val="24"/>
          <w:szCs w:val="24"/>
          <w:u w:val="single"/>
        </w:rPr>
        <w:t>Burden</w:t>
      </w:r>
      <w:r w:rsidR="00865050">
        <w:rPr>
          <w:rFonts w:ascii="Times New Roman" w:hAnsi="Times New Roman" w:cs="Times New Roman"/>
          <w:b/>
          <w:sz w:val="24"/>
          <w:szCs w:val="24"/>
          <w:u w:val="single"/>
        </w:rPr>
        <w:t>-</w:t>
      </w:r>
      <w:r w:rsidRPr="00E113CA">
        <w:rPr>
          <w:rFonts w:ascii="Times New Roman" w:hAnsi="Times New Roman" w:cs="Times New Roman"/>
          <w:b/>
          <w:sz w:val="24"/>
          <w:szCs w:val="24"/>
          <w:u w:val="single"/>
        </w:rPr>
        <w:t xml:space="preserve">Hours for </w:t>
      </w:r>
      <w:r w:rsidR="004F247E" w:rsidRPr="00E113CA">
        <w:rPr>
          <w:rFonts w:ascii="Times New Roman" w:hAnsi="Times New Roman" w:cs="Times New Roman"/>
          <w:b/>
          <w:sz w:val="24"/>
          <w:szCs w:val="24"/>
          <w:u w:val="single"/>
        </w:rPr>
        <w:t>the Survey</w:t>
      </w:r>
    </w:p>
    <w:p w14:paraId="103C17AB" w14:textId="28B6BB83" w:rsidR="004959F0" w:rsidRPr="004959F0" w:rsidRDefault="008A0229" w:rsidP="00D93858">
      <w:pPr>
        <w:spacing w:after="160" w:line="288" w:lineRule="auto"/>
        <w:rPr>
          <w:rFonts w:ascii="Times New Roman" w:hAnsi="Times New Roman" w:cs="Times New Roman"/>
          <w:sz w:val="24"/>
          <w:szCs w:val="24"/>
        </w:rPr>
      </w:pPr>
      <w:r>
        <w:rPr>
          <w:rFonts w:ascii="Times New Roman" w:hAnsi="Times New Roman" w:cs="Times New Roman"/>
          <w:sz w:val="24"/>
          <w:szCs w:val="24"/>
        </w:rPr>
        <w:t>We</w:t>
      </w:r>
      <w:r w:rsidR="004959F0" w:rsidRPr="004959F0">
        <w:rPr>
          <w:rFonts w:ascii="Times New Roman" w:hAnsi="Times New Roman" w:cs="Times New Roman"/>
          <w:sz w:val="24"/>
          <w:szCs w:val="24"/>
        </w:rPr>
        <w:t xml:space="preserve"> estimate that the burden to conduct the </w:t>
      </w:r>
      <w:r w:rsidR="000428B6">
        <w:rPr>
          <w:rFonts w:ascii="Times New Roman" w:hAnsi="Times New Roman" w:cs="Times New Roman"/>
          <w:sz w:val="24"/>
          <w:szCs w:val="24"/>
        </w:rPr>
        <w:t>ARD program pilot test</w:t>
      </w:r>
      <w:r w:rsidR="004959F0" w:rsidRPr="004959F0">
        <w:rPr>
          <w:rFonts w:ascii="Times New Roman" w:hAnsi="Times New Roman" w:cs="Times New Roman"/>
          <w:sz w:val="24"/>
          <w:szCs w:val="24"/>
        </w:rPr>
        <w:t xml:space="preserve"> in the </w:t>
      </w:r>
      <w:r w:rsidR="00A45CD4">
        <w:rPr>
          <w:rFonts w:ascii="Times New Roman" w:hAnsi="Times New Roman" w:cs="Times New Roman"/>
          <w:sz w:val="24"/>
          <w:szCs w:val="24"/>
        </w:rPr>
        <w:t>903</w:t>
      </w:r>
      <w:r w:rsidR="004959F0" w:rsidRPr="004959F0">
        <w:rPr>
          <w:rFonts w:ascii="Times New Roman" w:hAnsi="Times New Roman" w:cs="Times New Roman"/>
          <w:sz w:val="24"/>
          <w:szCs w:val="24"/>
        </w:rPr>
        <w:t xml:space="preserve"> sampled </w:t>
      </w:r>
      <w:r w:rsidR="00CC2610">
        <w:rPr>
          <w:rFonts w:ascii="Times New Roman" w:hAnsi="Times New Roman" w:cs="Times New Roman"/>
          <w:sz w:val="24"/>
          <w:szCs w:val="24"/>
        </w:rPr>
        <w:t>LEAs</w:t>
      </w:r>
      <w:r w:rsidR="004959F0" w:rsidRPr="004959F0">
        <w:rPr>
          <w:rFonts w:ascii="Times New Roman" w:hAnsi="Times New Roman" w:cs="Times New Roman"/>
          <w:sz w:val="24"/>
          <w:szCs w:val="24"/>
        </w:rPr>
        <w:t xml:space="preserve"> </w:t>
      </w:r>
      <w:r w:rsidR="000428B6">
        <w:rPr>
          <w:rFonts w:ascii="Times New Roman" w:hAnsi="Times New Roman" w:cs="Times New Roman"/>
          <w:sz w:val="24"/>
          <w:szCs w:val="24"/>
        </w:rPr>
        <w:t xml:space="preserve">and </w:t>
      </w:r>
      <w:r w:rsidR="00A45CD4">
        <w:rPr>
          <w:rFonts w:ascii="Times New Roman" w:hAnsi="Times New Roman" w:cs="Times New Roman"/>
          <w:sz w:val="24"/>
          <w:szCs w:val="24"/>
        </w:rPr>
        <w:t>802</w:t>
      </w:r>
      <w:r w:rsidR="000428B6">
        <w:rPr>
          <w:rFonts w:ascii="Times New Roman" w:hAnsi="Times New Roman" w:cs="Times New Roman"/>
          <w:sz w:val="24"/>
          <w:szCs w:val="24"/>
        </w:rPr>
        <w:t xml:space="preserve"> ME/Cs </w:t>
      </w:r>
      <w:r w:rsidR="004959F0" w:rsidRPr="004959F0">
        <w:rPr>
          <w:rFonts w:ascii="Times New Roman" w:hAnsi="Times New Roman" w:cs="Times New Roman"/>
          <w:sz w:val="24"/>
          <w:szCs w:val="24"/>
        </w:rPr>
        <w:t xml:space="preserve">is </w:t>
      </w:r>
      <w:r w:rsidR="005A4D08">
        <w:rPr>
          <w:rFonts w:ascii="Times New Roman" w:hAnsi="Times New Roman" w:cs="Times New Roman"/>
          <w:sz w:val="24"/>
          <w:szCs w:val="24"/>
        </w:rPr>
        <w:t>8</w:t>
      </w:r>
      <w:r w:rsidR="00A45CD4">
        <w:rPr>
          <w:rFonts w:ascii="Times New Roman" w:hAnsi="Times New Roman" w:cs="Times New Roman"/>
          <w:sz w:val="24"/>
          <w:szCs w:val="24"/>
        </w:rPr>
        <w:t>42</w:t>
      </w:r>
      <w:r w:rsidR="004A0BD9" w:rsidRPr="004959F0">
        <w:rPr>
          <w:rFonts w:ascii="Times New Roman" w:hAnsi="Times New Roman" w:cs="Times New Roman"/>
          <w:sz w:val="24"/>
          <w:szCs w:val="24"/>
        </w:rPr>
        <w:t xml:space="preserve"> </w:t>
      </w:r>
      <w:r w:rsidR="004959F0" w:rsidRPr="004959F0">
        <w:rPr>
          <w:rFonts w:ascii="Times New Roman" w:hAnsi="Times New Roman" w:cs="Times New Roman"/>
          <w:sz w:val="24"/>
          <w:szCs w:val="24"/>
        </w:rPr>
        <w:t>hours</w:t>
      </w:r>
      <w:r w:rsidR="00D9097B">
        <w:rPr>
          <w:rFonts w:ascii="Times New Roman" w:hAnsi="Times New Roman" w:cs="Times New Roman"/>
          <w:sz w:val="24"/>
          <w:szCs w:val="24"/>
        </w:rPr>
        <w:t xml:space="preserve"> (see Table </w:t>
      </w:r>
      <w:r w:rsidR="00523CEA">
        <w:rPr>
          <w:rFonts w:ascii="Times New Roman" w:hAnsi="Times New Roman" w:cs="Times New Roman"/>
          <w:sz w:val="24"/>
          <w:szCs w:val="24"/>
        </w:rPr>
        <w:t>2</w:t>
      </w:r>
      <w:r w:rsidR="00D9097B">
        <w:rPr>
          <w:rFonts w:ascii="Times New Roman" w:hAnsi="Times New Roman" w:cs="Times New Roman"/>
          <w:sz w:val="24"/>
          <w:szCs w:val="24"/>
        </w:rPr>
        <w:t>3)</w:t>
      </w:r>
      <w:r w:rsidR="004959F0" w:rsidRPr="004959F0">
        <w:rPr>
          <w:rFonts w:ascii="Times New Roman" w:hAnsi="Times New Roman" w:cs="Times New Roman"/>
          <w:sz w:val="24"/>
          <w:szCs w:val="24"/>
        </w:rPr>
        <w:t xml:space="preserve">. </w:t>
      </w:r>
      <w:r w:rsidR="000428B6">
        <w:rPr>
          <w:rFonts w:ascii="Times New Roman" w:hAnsi="Times New Roman" w:cs="Times New Roman"/>
          <w:sz w:val="24"/>
          <w:szCs w:val="24"/>
        </w:rPr>
        <w:t>The</w:t>
      </w:r>
      <w:r w:rsidR="00C930E9">
        <w:rPr>
          <w:rFonts w:ascii="Times New Roman" w:hAnsi="Times New Roman" w:cs="Times New Roman"/>
          <w:sz w:val="24"/>
          <w:szCs w:val="24"/>
        </w:rPr>
        <w:t xml:space="preserve"> sample</w:t>
      </w:r>
      <w:r w:rsidR="000428B6">
        <w:rPr>
          <w:rFonts w:ascii="Times New Roman" w:hAnsi="Times New Roman" w:cs="Times New Roman"/>
          <w:sz w:val="24"/>
          <w:szCs w:val="24"/>
        </w:rPr>
        <w:t xml:space="preserve"> of agencies with an identified death</w:t>
      </w:r>
      <w:r w:rsidR="00C930E9">
        <w:rPr>
          <w:rFonts w:ascii="Times New Roman" w:hAnsi="Times New Roman" w:cs="Times New Roman"/>
          <w:sz w:val="24"/>
          <w:szCs w:val="24"/>
        </w:rPr>
        <w:t xml:space="preserve"> </w:t>
      </w:r>
      <w:r w:rsidR="0005414A">
        <w:rPr>
          <w:rFonts w:ascii="Times New Roman" w:hAnsi="Times New Roman" w:cs="Times New Roman"/>
          <w:sz w:val="24"/>
          <w:szCs w:val="24"/>
        </w:rPr>
        <w:t>(</w:t>
      </w:r>
      <w:r w:rsidR="005A4D08">
        <w:rPr>
          <w:rFonts w:ascii="Times New Roman" w:hAnsi="Times New Roman" w:cs="Times New Roman"/>
          <w:sz w:val="24"/>
          <w:szCs w:val="24"/>
        </w:rPr>
        <w:t>318</w:t>
      </w:r>
      <w:r w:rsidR="00C930E9">
        <w:rPr>
          <w:rFonts w:ascii="Times New Roman" w:hAnsi="Times New Roman" w:cs="Times New Roman"/>
          <w:sz w:val="24"/>
          <w:szCs w:val="24"/>
        </w:rPr>
        <w:t xml:space="preserve"> </w:t>
      </w:r>
      <w:r w:rsidR="00C930E9">
        <w:rPr>
          <w:rFonts w:ascii="Times New Roman" w:hAnsi="Times New Roman" w:cs="Times New Roman"/>
          <w:sz w:val="24"/>
          <w:szCs w:val="24"/>
        </w:rPr>
        <w:lastRenderedPageBreak/>
        <w:t>LEAs</w:t>
      </w:r>
      <w:r w:rsidR="000428B6">
        <w:rPr>
          <w:rFonts w:ascii="Times New Roman" w:hAnsi="Times New Roman" w:cs="Times New Roman"/>
          <w:sz w:val="24"/>
          <w:szCs w:val="24"/>
        </w:rPr>
        <w:t xml:space="preserve"> and </w:t>
      </w:r>
      <w:r w:rsidR="005A4D08">
        <w:rPr>
          <w:rFonts w:ascii="Times New Roman" w:hAnsi="Times New Roman" w:cs="Times New Roman"/>
          <w:sz w:val="24"/>
          <w:szCs w:val="24"/>
        </w:rPr>
        <w:t>29</w:t>
      </w:r>
      <w:r w:rsidR="00A45CD4">
        <w:rPr>
          <w:rFonts w:ascii="Times New Roman" w:hAnsi="Times New Roman" w:cs="Times New Roman"/>
          <w:sz w:val="24"/>
          <w:szCs w:val="24"/>
        </w:rPr>
        <w:t>6</w:t>
      </w:r>
      <w:r w:rsidR="000428B6">
        <w:rPr>
          <w:rFonts w:ascii="Times New Roman" w:hAnsi="Times New Roman" w:cs="Times New Roman"/>
          <w:sz w:val="24"/>
          <w:szCs w:val="24"/>
        </w:rPr>
        <w:t xml:space="preserve"> ME/Cs</w:t>
      </w:r>
      <w:r w:rsidR="00C930E9">
        <w:rPr>
          <w:rFonts w:ascii="Times New Roman" w:hAnsi="Times New Roman" w:cs="Times New Roman"/>
          <w:sz w:val="24"/>
          <w:szCs w:val="24"/>
        </w:rPr>
        <w:t xml:space="preserve">) accounts for </w:t>
      </w:r>
      <w:r w:rsidR="005A4D08">
        <w:rPr>
          <w:rFonts w:ascii="Times New Roman" w:hAnsi="Times New Roman" w:cs="Times New Roman"/>
          <w:sz w:val="24"/>
          <w:szCs w:val="24"/>
        </w:rPr>
        <w:t>563</w:t>
      </w:r>
      <w:r w:rsidR="00C930E9">
        <w:rPr>
          <w:rFonts w:ascii="Times New Roman" w:hAnsi="Times New Roman" w:cs="Times New Roman"/>
          <w:sz w:val="24"/>
          <w:szCs w:val="24"/>
        </w:rPr>
        <w:t xml:space="preserve"> hours; the sample</w:t>
      </w:r>
      <w:r w:rsidR="000428B6">
        <w:rPr>
          <w:rFonts w:ascii="Times New Roman" w:hAnsi="Times New Roman" w:cs="Times New Roman"/>
          <w:sz w:val="24"/>
          <w:szCs w:val="24"/>
        </w:rPr>
        <w:t xml:space="preserve"> of agencies without an identified death</w:t>
      </w:r>
      <w:r w:rsidR="00C930E9">
        <w:rPr>
          <w:rFonts w:ascii="Times New Roman" w:hAnsi="Times New Roman" w:cs="Times New Roman"/>
          <w:sz w:val="24"/>
          <w:szCs w:val="24"/>
        </w:rPr>
        <w:t xml:space="preserve"> </w:t>
      </w:r>
      <w:r w:rsidR="0005414A">
        <w:rPr>
          <w:rFonts w:ascii="Times New Roman" w:hAnsi="Times New Roman" w:cs="Times New Roman"/>
          <w:sz w:val="24"/>
          <w:szCs w:val="24"/>
        </w:rPr>
        <w:t>(</w:t>
      </w:r>
      <w:r w:rsidR="005A4D08">
        <w:rPr>
          <w:rFonts w:ascii="Times New Roman" w:hAnsi="Times New Roman" w:cs="Times New Roman"/>
          <w:sz w:val="24"/>
          <w:szCs w:val="24"/>
        </w:rPr>
        <w:t>690</w:t>
      </w:r>
      <w:r w:rsidR="00C930E9">
        <w:rPr>
          <w:rFonts w:ascii="Times New Roman" w:hAnsi="Times New Roman" w:cs="Times New Roman"/>
          <w:sz w:val="24"/>
          <w:szCs w:val="24"/>
        </w:rPr>
        <w:t xml:space="preserve"> LEAs</w:t>
      </w:r>
      <w:r w:rsidR="000428B6">
        <w:rPr>
          <w:rFonts w:ascii="Times New Roman" w:hAnsi="Times New Roman" w:cs="Times New Roman"/>
          <w:sz w:val="24"/>
          <w:szCs w:val="24"/>
        </w:rPr>
        <w:t xml:space="preserve"> and </w:t>
      </w:r>
      <w:r w:rsidR="005A4D08">
        <w:rPr>
          <w:rFonts w:ascii="Times New Roman" w:hAnsi="Times New Roman" w:cs="Times New Roman"/>
          <w:sz w:val="24"/>
          <w:szCs w:val="24"/>
        </w:rPr>
        <w:t>61</w:t>
      </w:r>
      <w:r w:rsidR="0005414A">
        <w:rPr>
          <w:rFonts w:ascii="Times New Roman" w:hAnsi="Times New Roman" w:cs="Times New Roman"/>
          <w:sz w:val="24"/>
          <w:szCs w:val="24"/>
        </w:rPr>
        <w:t>0</w:t>
      </w:r>
      <w:r w:rsidR="005A4D08">
        <w:rPr>
          <w:rFonts w:ascii="Times New Roman" w:hAnsi="Times New Roman" w:cs="Times New Roman"/>
          <w:sz w:val="24"/>
          <w:szCs w:val="24"/>
        </w:rPr>
        <w:t xml:space="preserve"> </w:t>
      </w:r>
      <w:r w:rsidR="000428B6">
        <w:rPr>
          <w:rFonts w:ascii="Times New Roman" w:hAnsi="Times New Roman" w:cs="Times New Roman"/>
          <w:sz w:val="24"/>
          <w:szCs w:val="24"/>
        </w:rPr>
        <w:t>ME/Cs</w:t>
      </w:r>
      <w:r w:rsidR="00C930E9">
        <w:rPr>
          <w:rFonts w:ascii="Times New Roman" w:hAnsi="Times New Roman" w:cs="Times New Roman"/>
          <w:sz w:val="24"/>
          <w:szCs w:val="24"/>
        </w:rPr>
        <w:t xml:space="preserve">) accounts for </w:t>
      </w:r>
      <w:r w:rsidR="00BA5799">
        <w:rPr>
          <w:rFonts w:ascii="Times New Roman" w:hAnsi="Times New Roman" w:cs="Times New Roman"/>
          <w:sz w:val="24"/>
          <w:szCs w:val="24"/>
        </w:rPr>
        <w:t>279</w:t>
      </w:r>
      <w:r w:rsidR="00C930E9">
        <w:rPr>
          <w:rFonts w:ascii="Times New Roman" w:hAnsi="Times New Roman" w:cs="Times New Roman"/>
          <w:sz w:val="24"/>
          <w:szCs w:val="24"/>
        </w:rPr>
        <w:t xml:space="preserve"> hours. </w:t>
      </w:r>
      <w:r w:rsidR="00470687">
        <w:rPr>
          <w:rFonts w:ascii="Times New Roman" w:hAnsi="Times New Roman" w:cs="Times New Roman"/>
          <w:sz w:val="24"/>
          <w:szCs w:val="24"/>
        </w:rPr>
        <w:t>The burden-</w:t>
      </w:r>
      <w:r w:rsidR="002726B3">
        <w:rPr>
          <w:rFonts w:ascii="Times New Roman" w:hAnsi="Times New Roman" w:cs="Times New Roman"/>
          <w:sz w:val="24"/>
          <w:szCs w:val="24"/>
        </w:rPr>
        <w:t xml:space="preserve">hour estimate is divided into </w:t>
      </w:r>
      <w:r w:rsidR="009517EC">
        <w:rPr>
          <w:rFonts w:ascii="Times New Roman" w:hAnsi="Times New Roman" w:cs="Times New Roman"/>
          <w:sz w:val="24"/>
          <w:szCs w:val="24"/>
        </w:rPr>
        <w:t>two</w:t>
      </w:r>
      <w:r w:rsidR="002726B3">
        <w:rPr>
          <w:rFonts w:ascii="Times New Roman" w:hAnsi="Times New Roman" w:cs="Times New Roman"/>
          <w:sz w:val="24"/>
          <w:szCs w:val="24"/>
        </w:rPr>
        <w:t xml:space="preserve"> tasks: </w:t>
      </w:r>
      <w:r w:rsidR="00F242AF">
        <w:rPr>
          <w:rFonts w:ascii="Times New Roman" w:hAnsi="Times New Roman" w:cs="Times New Roman"/>
          <w:sz w:val="24"/>
          <w:szCs w:val="24"/>
        </w:rPr>
        <w:t>(</w:t>
      </w:r>
      <w:r w:rsidR="002726B3">
        <w:rPr>
          <w:rFonts w:ascii="Times New Roman" w:hAnsi="Times New Roman" w:cs="Times New Roman"/>
          <w:sz w:val="24"/>
          <w:szCs w:val="24"/>
        </w:rPr>
        <w:t>1)</w:t>
      </w:r>
      <w:r w:rsidR="00523CEA">
        <w:rPr>
          <w:rFonts w:ascii="Times New Roman" w:hAnsi="Times New Roman" w:cs="Times New Roman"/>
          <w:sz w:val="24"/>
          <w:szCs w:val="24"/>
        </w:rPr>
        <w:t> </w:t>
      </w:r>
      <w:r w:rsidR="002726B3">
        <w:rPr>
          <w:rFonts w:ascii="Times New Roman" w:hAnsi="Times New Roman" w:cs="Times New Roman"/>
          <w:sz w:val="24"/>
          <w:szCs w:val="24"/>
        </w:rPr>
        <w:t>r</w:t>
      </w:r>
      <w:r w:rsidR="007E3DE4">
        <w:rPr>
          <w:rFonts w:ascii="Times New Roman" w:hAnsi="Times New Roman" w:cs="Times New Roman"/>
          <w:sz w:val="24"/>
          <w:szCs w:val="24"/>
        </w:rPr>
        <w:t xml:space="preserve">eview of </w:t>
      </w:r>
      <w:r w:rsidR="0021340A">
        <w:rPr>
          <w:rFonts w:ascii="Times New Roman" w:hAnsi="Times New Roman" w:cs="Times New Roman"/>
          <w:sz w:val="24"/>
          <w:szCs w:val="24"/>
        </w:rPr>
        <w:t xml:space="preserve">contact </w:t>
      </w:r>
      <w:r w:rsidR="007E3DE4" w:rsidRPr="001B0DFC">
        <w:rPr>
          <w:rFonts w:ascii="Times New Roman" w:hAnsi="Times New Roman" w:cs="Times New Roman"/>
          <w:sz w:val="24"/>
          <w:szCs w:val="24"/>
        </w:rPr>
        <w:t>materials</w:t>
      </w:r>
      <w:r w:rsidR="00E113CA">
        <w:rPr>
          <w:rFonts w:ascii="Times New Roman" w:hAnsi="Times New Roman" w:cs="Times New Roman"/>
          <w:sz w:val="24"/>
          <w:szCs w:val="24"/>
        </w:rPr>
        <w:t xml:space="preserve"> and completion of the</w:t>
      </w:r>
      <w:r w:rsidR="007E3DE4">
        <w:rPr>
          <w:rFonts w:ascii="Times New Roman" w:hAnsi="Times New Roman" w:cs="Times New Roman"/>
          <w:sz w:val="24"/>
          <w:szCs w:val="24"/>
        </w:rPr>
        <w:t xml:space="preserve"> </w:t>
      </w:r>
      <w:r w:rsidR="005A4D08">
        <w:rPr>
          <w:rFonts w:ascii="Times New Roman" w:hAnsi="Times New Roman" w:cs="Times New Roman"/>
          <w:sz w:val="24"/>
          <w:szCs w:val="24"/>
        </w:rPr>
        <w:t>Quarterly Summary Form</w:t>
      </w:r>
      <w:r w:rsidR="007E3DE4" w:rsidRPr="001B0DFC">
        <w:rPr>
          <w:rFonts w:ascii="Times New Roman" w:hAnsi="Times New Roman" w:cs="Times New Roman"/>
          <w:sz w:val="24"/>
          <w:szCs w:val="24"/>
        </w:rPr>
        <w:t xml:space="preserve"> (</w:t>
      </w:r>
      <w:r w:rsidR="00E113CA">
        <w:rPr>
          <w:rFonts w:ascii="Times New Roman" w:hAnsi="Times New Roman" w:cs="Times New Roman"/>
          <w:sz w:val="24"/>
          <w:szCs w:val="24"/>
        </w:rPr>
        <w:t>10</w:t>
      </w:r>
      <w:r w:rsidR="00523CEA">
        <w:rPr>
          <w:rFonts w:ascii="Times New Roman" w:hAnsi="Times New Roman" w:cs="Times New Roman"/>
          <w:sz w:val="24"/>
          <w:szCs w:val="24"/>
        </w:rPr>
        <w:t>–</w:t>
      </w:r>
      <w:r w:rsidR="00E113CA">
        <w:rPr>
          <w:rFonts w:ascii="Times New Roman" w:hAnsi="Times New Roman" w:cs="Times New Roman"/>
          <w:sz w:val="24"/>
          <w:szCs w:val="24"/>
        </w:rPr>
        <w:t>24</w:t>
      </w:r>
      <w:r w:rsidR="001B0DFC" w:rsidRPr="001B0DFC">
        <w:rPr>
          <w:rFonts w:ascii="Times New Roman" w:hAnsi="Times New Roman" w:cs="Times New Roman"/>
          <w:sz w:val="24"/>
          <w:szCs w:val="24"/>
        </w:rPr>
        <w:t xml:space="preserve"> </w:t>
      </w:r>
      <w:r w:rsidR="00F459F9" w:rsidRPr="001B0DFC">
        <w:rPr>
          <w:rFonts w:ascii="Times New Roman" w:hAnsi="Times New Roman" w:cs="Times New Roman"/>
          <w:sz w:val="24"/>
          <w:szCs w:val="24"/>
        </w:rPr>
        <w:t>minutes</w:t>
      </w:r>
      <w:r w:rsidR="00F85BE8">
        <w:rPr>
          <w:rFonts w:ascii="Times New Roman" w:hAnsi="Times New Roman" w:cs="Times New Roman"/>
          <w:sz w:val="24"/>
          <w:szCs w:val="24"/>
        </w:rPr>
        <w:t xml:space="preserve"> per participating </w:t>
      </w:r>
      <w:r w:rsidR="000428B6">
        <w:rPr>
          <w:rFonts w:ascii="Times New Roman" w:hAnsi="Times New Roman" w:cs="Times New Roman"/>
          <w:sz w:val="24"/>
          <w:szCs w:val="24"/>
        </w:rPr>
        <w:t>agency</w:t>
      </w:r>
      <w:r w:rsidR="005A4D08">
        <w:rPr>
          <w:rFonts w:ascii="Times New Roman" w:hAnsi="Times New Roman" w:cs="Times New Roman"/>
          <w:sz w:val="24"/>
          <w:szCs w:val="24"/>
        </w:rPr>
        <w:t>, depending on the number of deaths identified through open</w:t>
      </w:r>
      <w:r w:rsidR="008D7039">
        <w:rPr>
          <w:rFonts w:ascii="Times New Roman" w:hAnsi="Times New Roman" w:cs="Times New Roman"/>
          <w:sz w:val="24"/>
          <w:szCs w:val="24"/>
        </w:rPr>
        <w:t>-</w:t>
      </w:r>
      <w:r w:rsidR="005A4D08">
        <w:rPr>
          <w:rFonts w:ascii="Times New Roman" w:hAnsi="Times New Roman" w:cs="Times New Roman"/>
          <w:sz w:val="24"/>
          <w:szCs w:val="24"/>
        </w:rPr>
        <w:t>source review found on the form), and (</w:t>
      </w:r>
      <w:r w:rsidR="0005414A">
        <w:rPr>
          <w:rFonts w:ascii="Times New Roman" w:hAnsi="Times New Roman" w:cs="Times New Roman"/>
          <w:sz w:val="24"/>
          <w:szCs w:val="24"/>
        </w:rPr>
        <w:t>2</w:t>
      </w:r>
      <w:r w:rsidR="005A4D08">
        <w:rPr>
          <w:rFonts w:ascii="Times New Roman" w:hAnsi="Times New Roman" w:cs="Times New Roman"/>
          <w:sz w:val="24"/>
          <w:szCs w:val="24"/>
        </w:rPr>
        <w:t>) completion of the Arrest-</w:t>
      </w:r>
      <w:r w:rsidR="00523CEA">
        <w:rPr>
          <w:rFonts w:ascii="Times New Roman" w:hAnsi="Times New Roman" w:cs="Times New Roman"/>
          <w:sz w:val="24"/>
          <w:szCs w:val="24"/>
        </w:rPr>
        <w:t>R</w:t>
      </w:r>
      <w:r w:rsidR="005A4D08">
        <w:rPr>
          <w:rFonts w:ascii="Times New Roman" w:hAnsi="Times New Roman" w:cs="Times New Roman"/>
          <w:sz w:val="24"/>
          <w:szCs w:val="24"/>
        </w:rPr>
        <w:t>elated Death Incident</w:t>
      </w:r>
      <w:r w:rsidR="00E113CA">
        <w:rPr>
          <w:rFonts w:ascii="Times New Roman" w:hAnsi="Times New Roman" w:cs="Times New Roman"/>
          <w:sz w:val="24"/>
          <w:szCs w:val="24"/>
        </w:rPr>
        <w:t xml:space="preserve"> Report (24</w:t>
      </w:r>
      <w:r w:rsidR="00523CEA">
        <w:rPr>
          <w:rFonts w:ascii="Times New Roman" w:hAnsi="Times New Roman" w:cs="Times New Roman"/>
          <w:sz w:val="24"/>
          <w:szCs w:val="24"/>
        </w:rPr>
        <w:t>–</w:t>
      </w:r>
      <w:r w:rsidR="009517EC">
        <w:rPr>
          <w:rFonts w:ascii="Times New Roman" w:hAnsi="Times New Roman" w:cs="Times New Roman"/>
          <w:sz w:val="24"/>
          <w:szCs w:val="24"/>
        </w:rPr>
        <w:t>3</w:t>
      </w:r>
      <w:r w:rsidR="00E113CA">
        <w:rPr>
          <w:rFonts w:ascii="Times New Roman" w:hAnsi="Times New Roman" w:cs="Times New Roman"/>
          <w:sz w:val="24"/>
          <w:szCs w:val="24"/>
        </w:rPr>
        <w:t>2 minutes, depending on whether the respondent is a LEA or ME/C).</w:t>
      </w:r>
      <w:r w:rsidR="007E3DE4" w:rsidRPr="001B0DFC">
        <w:rPr>
          <w:rFonts w:ascii="Times New Roman" w:hAnsi="Times New Roman" w:cs="Times New Roman"/>
          <w:sz w:val="24"/>
          <w:szCs w:val="24"/>
        </w:rPr>
        <w:t xml:space="preserve"> The burden</w:t>
      </w:r>
      <w:r w:rsidR="00470687">
        <w:rPr>
          <w:rFonts w:ascii="Times New Roman" w:hAnsi="Times New Roman" w:cs="Times New Roman"/>
          <w:sz w:val="24"/>
          <w:szCs w:val="24"/>
        </w:rPr>
        <w:t>-</w:t>
      </w:r>
      <w:r w:rsidR="007E3DE4">
        <w:rPr>
          <w:rFonts w:ascii="Times New Roman" w:hAnsi="Times New Roman" w:cs="Times New Roman"/>
          <w:sz w:val="24"/>
          <w:szCs w:val="24"/>
        </w:rPr>
        <w:t xml:space="preserve">hour estimates are based on the feasibility testing (described </w:t>
      </w:r>
      <w:r w:rsidR="001B0DFC">
        <w:rPr>
          <w:rFonts w:ascii="Times New Roman" w:hAnsi="Times New Roman" w:cs="Times New Roman"/>
          <w:sz w:val="24"/>
          <w:szCs w:val="24"/>
        </w:rPr>
        <w:t xml:space="preserve">in the </w:t>
      </w:r>
      <w:r w:rsidR="001B0DFC">
        <w:rPr>
          <w:rFonts w:ascii="Times New Roman" w:hAnsi="Times New Roman" w:cs="Times New Roman"/>
          <w:i/>
          <w:sz w:val="24"/>
          <w:szCs w:val="24"/>
        </w:rPr>
        <w:t xml:space="preserve">Design of the Survey </w:t>
      </w:r>
      <w:r w:rsidR="001B0DFC">
        <w:rPr>
          <w:rFonts w:ascii="Times New Roman" w:hAnsi="Times New Roman" w:cs="Times New Roman"/>
          <w:sz w:val="24"/>
          <w:szCs w:val="24"/>
        </w:rPr>
        <w:t>section</w:t>
      </w:r>
      <w:r w:rsidR="007E3DE4">
        <w:rPr>
          <w:rFonts w:ascii="Times New Roman" w:hAnsi="Times New Roman" w:cs="Times New Roman"/>
          <w:sz w:val="24"/>
          <w:szCs w:val="24"/>
        </w:rPr>
        <w:t xml:space="preserve">) and the experience of the </w:t>
      </w:r>
      <w:r w:rsidR="00E113CA">
        <w:rPr>
          <w:rFonts w:ascii="Times New Roman" w:hAnsi="Times New Roman" w:cs="Times New Roman"/>
          <w:sz w:val="24"/>
          <w:szCs w:val="24"/>
        </w:rPr>
        <w:t>ARD</w:t>
      </w:r>
      <w:r w:rsidR="007E3DE4">
        <w:rPr>
          <w:rFonts w:ascii="Times New Roman" w:hAnsi="Times New Roman" w:cs="Times New Roman"/>
          <w:sz w:val="24"/>
          <w:szCs w:val="24"/>
        </w:rPr>
        <w:t xml:space="preserve"> team in conducting similar surveys for other </w:t>
      </w:r>
      <w:r w:rsidR="00CC2610">
        <w:rPr>
          <w:rFonts w:ascii="Times New Roman" w:hAnsi="Times New Roman" w:cs="Times New Roman"/>
          <w:sz w:val="24"/>
          <w:szCs w:val="24"/>
        </w:rPr>
        <w:t>studies</w:t>
      </w:r>
      <w:r w:rsidR="007E3DE4">
        <w:rPr>
          <w:rFonts w:ascii="Times New Roman" w:hAnsi="Times New Roman" w:cs="Times New Roman"/>
          <w:sz w:val="24"/>
          <w:szCs w:val="24"/>
        </w:rPr>
        <w:t xml:space="preserve">. </w:t>
      </w:r>
    </w:p>
    <w:p w14:paraId="6C64A77A" w14:textId="77777777" w:rsidR="004918AB" w:rsidRPr="00A536C0" w:rsidRDefault="004918AB" w:rsidP="004918AB">
      <w:pPr>
        <w:spacing w:after="0" w:line="240" w:lineRule="auto"/>
        <w:rPr>
          <w:rFonts w:ascii="Times New Roman" w:hAnsi="Times New Roman" w:cs="Times New Roman"/>
          <w:sz w:val="24"/>
          <w:szCs w:val="24"/>
          <w:highlight w:val="yellow"/>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054"/>
        <w:gridCol w:w="2674"/>
        <w:gridCol w:w="2292"/>
      </w:tblGrid>
      <w:tr w:rsidR="00884724" w:rsidRPr="00884724" w14:paraId="1ACE4C78" w14:textId="77777777" w:rsidTr="00FA2F4E">
        <w:tc>
          <w:tcPr>
            <w:tcW w:w="9360" w:type="dxa"/>
            <w:gridSpan w:val="4"/>
            <w:tcBorders>
              <w:bottom w:val="single" w:sz="4" w:space="0" w:color="auto"/>
            </w:tcBorders>
          </w:tcPr>
          <w:p w14:paraId="6C79E18A" w14:textId="0544596D" w:rsidR="00884724" w:rsidRPr="00884724" w:rsidRDefault="00884724" w:rsidP="00D9097B">
            <w:pPr>
              <w:keepNext/>
              <w:rPr>
                <w:rFonts w:ascii="Times New Roman" w:hAnsi="Times New Roman" w:cs="Times New Roman"/>
                <w:b/>
                <w:szCs w:val="24"/>
              </w:rPr>
            </w:pPr>
            <w:r w:rsidRPr="00884724">
              <w:rPr>
                <w:rFonts w:ascii="Times New Roman" w:hAnsi="Times New Roman" w:cs="Times New Roman"/>
                <w:b/>
                <w:szCs w:val="24"/>
              </w:rPr>
              <w:t xml:space="preserve">Table </w:t>
            </w:r>
            <w:r w:rsidR="00D9097B">
              <w:rPr>
                <w:rFonts w:ascii="Times New Roman" w:hAnsi="Times New Roman" w:cs="Times New Roman"/>
                <w:b/>
                <w:szCs w:val="24"/>
              </w:rPr>
              <w:t>3</w:t>
            </w:r>
            <w:r w:rsidRPr="00884724">
              <w:rPr>
                <w:rFonts w:ascii="Times New Roman" w:hAnsi="Times New Roman" w:cs="Times New Roman"/>
                <w:b/>
                <w:szCs w:val="24"/>
              </w:rPr>
              <w:t>. Burden Estimates</w:t>
            </w:r>
          </w:p>
        </w:tc>
      </w:tr>
      <w:tr w:rsidR="00E113CA" w:rsidRPr="00884724" w14:paraId="6E567951" w14:textId="77777777" w:rsidTr="00FA2F4E">
        <w:tc>
          <w:tcPr>
            <w:tcW w:w="2340" w:type="dxa"/>
            <w:tcBorders>
              <w:top w:val="single" w:sz="4" w:space="0" w:color="auto"/>
              <w:bottom w:val="single" w:sz="4" w:space="0" w:color="auto"/>
            </w:tcBorders>
            <w:vAlign w:val="bottom"/>
          </w:tcPr>
          <w:p w14:paraId="77584945" w14:textId="77777777" w:rsidR="00E113CA" w:rsidRPr="00884724" w:rsidRDefault="00884724" w:rsidP="0005414A">
            <w:pPr>
              <w:keepNext/>
              <w:spacing w:before="60" w:after="60"/>
              <w:rPr>
                <w:rFonts w:ascii="Times New Roman" w:hAnsi="Times New Roman" w:cs="Times New Roman"/>
                <w:szCs w:val="24"/>
              </w:rPr>
            </w:pPr>
            <w:r w:rsidRPr="00884724">
              <w:rPr>
                <w:rFonts w:ascii="Times New Roman" w:hAnsi="Times New Roman" w:cs="Times New Roman"/>
                <w:szCs w:val="24"/>
              </w:rPr>
              <w:t>For</w:t>
            </w:r>
            <w:r>
              <w:rPr>
                <w:rFonts w:ascii="Times New Roman" w:hAnsi="Times New Roman" w:cs="Times New Roman"/>
                <w:szCs w:val="24"/>
              </w:rPr>
              <w:t>m</w:t>
            </w:r>
          </w:p>
        </w:tc>
        <w:tc>
          <w:tcPr>
            <w:tcW w:w="2054" w:type="dxa"/>
            <w:tcBorders>
              <w:top w:val="single" w:sz="4" w:space="0" w:color="auto"/>
              <w:bottom w:val="single" w:sz="4" w:space="0" w:color="auto"/>
            </w:tcBorders>
            <w:vAlign w:val="center"/>
          </w:tcPr>
          <w:p w14:paraId="10FFC651" w14:textId="77777777" w:rsidR="00E113CA" w:rsidRPr="00884724" w:rsidRDefault="00884724" w:rsidP="00FA2F4E">
            <w:pPr>
              <w:keepNext/>
              <w:spacing w:before="60" w:after="60"/>
              <w:jc w:val="center"/>
              <w:rPr>
                <w:rFonts w:ascii="Times New Roman" w:hAnsi="Times New Roman" w:cs="Times New Roman"/>
                <w:szCs w:val="24"/>
              </w:rPr>
            </w:pPr>
            <w:r>
              <w:rPr>
                <w:rFonts w:ascii="Times New Roman" w:hAnsi="Times New Roman" w:cs="Times New Roman"/>
                <w:szCs w:val="24"/>
              </w:rPr>
              <w:t>Estimated minutes to complete form</w:t>
            </w:r>
          </w:p>
        </w:tc>
        <w:tc>
          <w:tcPr>
            <w:tcW w:w="2674" w:type="dxa"/>
            <w:tcBorders>
              <w:top w:val="single" w:sz="4" w:space="0" w:color="auto"/>
              <w:bottom w:val="single" w:sz="4" w:space="0" w:color="auto"/>
            </w:tcBorders>
            <w:vAlign w:val="center"/>
          </w:tcPr>
          <w:p w14:paraId="3F67DAC8" w14:textId="77777777" w:rsidR="00E113CA" w:rsidRPr="00884724" w:rsidRDefault="00884724" w:rsidP="00FA2F4E">
            <w:pPr>
              <w:keepNext/>
              <w:spacing w:before="60" w:after="60"/>
              <w:jc w:val="center"/>
              <w:rPr>
                <w:rFonts w:ascii="Times New Roman" w:hAnsi="Times New Roman" w:cs="Times New Roman"/>
                <w:szCs w:val="24"/>
              </w:rPr>
            </w:pPr>
            <w:r>
              <w:rPr>
                <w:rFonts w:ascii="Times New Roman" w:hAnsi="Times New Roman" w:cs="Times New Roman"/>
                <w:szCs w:val="24"/>
              </w:rPr>
              <w:t>Estimated number of forms completed</w:t>
            </w:r>
          </w:p>
        </w:tc>
        <w:tc>
          <w:tcPr>
            <w:tcW w:w="2292" w:type="dxa"/>
            <w:tcBorders>
              <w:top w:val="single" w:sz="4" w:space="0" w:color="auto"/>
              <w:bottom w:val="single" w:sz="4" w:space="0" w:color="auto"/>
            </w:tcBorders>
            <w:vAlign w:val="center"/>
          </w:tcPr>
          <w:p w14:paraId="0E40FDD4" w14:textId="77777777" w:rsidR="00E113CA" w:rsidRPr="00884724" w:rsidRDefault="00884724" w:rsidP="00FA2F4E">
            <w:pPr>
              <w:keepNext/>
              <w:spacing w:before="60" w:after="60"/>
              <w:jc w:val="center"/>
              <w:rPr>
                <w:rFonts w:ascii="Times New Roman" w:hAnsi="Times New Roman" w:cs="Times New Roman"/>
                <w:szCs w:val="24"/>
              </w:rPr>
            </w:pPr>
            <w:r>
              <w:rPr>
                <w:rFonts w:ascii="Times New Roman" w:hAnsi="Times New Roman" w:cs="Times New Roman"/>
                <w:szCs w:val="24"/>
              </w:rPr>
              <w:t>Burden estimate (hours)</w:t>
            </w:r>
          </w:p>
        </w:tc>
      </w:tr>
      <w:tr w:rsidR="00E113CA" w:rsidRPr="00884724" w14:paraId="239D9AA5" w14:textId="77777777" w:rsidTr="00FA2F4E">
        <w:tc>
          <w:tcPr>
            <w:tcW w:w="2340" w:type="dxa"/>
            <w:tcBorders>
              <w:top w:val="single" w:sz="4" w:space="0" w:color="auto"/>
            </w:tcBorders>
          </w:tcPr>
          <w:p w14:paraId="06790753" w14:textId="77777777" w:rsidR="00E113CA" w:rsidRP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CJ-11</w:t>
            </w:r>
          </w:p>
        </w:tc>
        <w:tc>
          <w:tcPr>
            <w:tcW w:w="2054" w:type="dxa"/>
            <w:tcBorders>
              <w:top w:val="single" w:sz="4" w:space="0" w:color="auto"/>
            </w:tcBorders>
            <w:vAlign w:val="center"/>
          </w:tcPr>
          <w:p w14:paraId="6C1AA808" w14:textId="77777777" w:rsidR="00E113CA" w:rsidRP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20</w:t>
            </w:r>
          </w:p>
        </w:tc>
        <w:tc>
          <w:tcPr>
            <w:tcW w:w="2674" w:type="dxa"/>
            <w:tcBorders>
              <w:top w:val="single" w:sz="4" w:space="0" w:color="auto"/>
            </w:tcBorders>
            <w:vAlign w:val="center"/>
          </w:tcPr>
          <w:p w14:paraId="55AD338A" w14:textId="77777777" w:rsidR="00E113CA" w:rsidRP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318</w:t>
            </w:r>
          </w:p>
        </w:tc>
        <w:tc>
          <w:tcPr>
            <w:tcW w:w="2292" w:type="dxa"/>
            <w:tcBorders>
              <w:top w:val="single" w:sz="4" w:space="0" w:color="auto"/>
            </w:tcBorders>
            <w:vAlign w:val="center"/>
          </w:tcPr>
          <w:p w14:paraId="709F200E" w14:textId="77777777" w:rsidR="00E113CA" w:rsidRP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106.0</w:t>
            </w:r>
          </w:p>
        </w:tc>
      </w:tr>
      <w:tr w:rsidR="00884724" w:rsidRPr="00884724" w14:paraId="232C744D" w14:textId="77777777" w:rsidTr="00FA2F4E">
        <w:tc>
          <w:tcPr>
            <w:tcW w:w="2340" w:type="dxa"/>
          </w:tcPr>
          <w:p w14:paraId="70427299" w14:textId="77777777" w:rsid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CJ-11s</w:t>
            </w:r>
          </w:p>
        </w:tc>
        <w:tc>
          <w:tcPr>
            <w:tcW w:w="2054" w:type="dxa"/>
            <w:vAlign w:val="center"/>
          </w:tcPr>
          <w:p w14:paraId="40333C70"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10</w:t>
            </w:r>
          </w:p>
        </w:tc>
        <w:tc>
          <w:tcPr>
            <w:tcW w:w="2674" w:type="dxa"/>
            <w:vAlign w:val="center"/>
          </w:tcPr>
          <w:p w14:paraId="08A25B0D" w14:textId="7BAEB667" w:rsidR="00884724" w:rsidRDefault="00A45CD4" w:rsidP="0005414A">
            <w:pPr>
              <w:keepNext/>
              <w:spacing w:before="60" w:after="60"/>
              <w:jc w:val="right"/>
              <w:rPr>
                <w:rFonts w:ascii="Times New Roman" w:hAnsi="Times New Roman" w:cs="Times New Roman"/>
                <w:szCs w:val="24"/>
              </w:rPr>
            </w:pPr>
            <w:r>
              <w:rPr>
                <w:rFonts w:ascii="Times New Roman" w:hAnsi="Times New Roman" w:cs="Times New Roman"/>
                <w:szCs w:val="24"/>
              </w:rPr>
              <w:t>585</w:t>
            </w:r>
          </w:p>
        </w:tc>
        <w:tc>
          <w:tcPr>
            <w:tcW w:w="2292" w:type="dxa"/>
            <w:vAlign w:val="center"/>
          </w:tcPr>
          <w:p w14:paraId="578BA457" w14:textId="6D9BE40A" w:rsidR="00884724" w:rsidRDefault="00A45CD4" w:rsidP="00FA2F4E">
            <w:pPr>
              <w:keepNext/>
              <w:spacing w:before="60" w:after="60"/>
              <w:jc w:val="right"/>
              <w:rPr>
                <w:rFonts w:ascii="Times New Roman" w:hAnsi="Times New Roman" w:cs="Times New Roman"/>
                <w:szCs w:val="24"/>
              </w:rPr>
            </w:pPr>
            <w:r>
              <w:rPr>
                <w:rFonts w:ascii="Times New Roman" w:hAnsi="Times New Roman" w:cs="Times New Roman"/>
                <w:szCs w:val="24"/>
              </w:rPr>
              <w:t>97.</w:t>
            </w:r>
            <w:r w:rsidR="00FA2F4E">
              <w:rPr>
                <w:rFonts w:ascii="Times New Roman" w:hAnsi="Times New Roman" w:cs="Times New Roman"/>
                <w:szCs w:val="24"/>
              </w:rPr>
              <w:t>5</w:t>
            </w:r>
          </w:p>
        </w:tc>
      </w:tr>
      <w:tr w:rsidR="00884724" w:rsidRPr="00884724" w14:paraId="4439B15D" w14:textId="77777777" w:rsidTr="00FA2F4E">
        <w:tc>
          <w:tcPr>
            <w:tcW w:w="2340" w:type="dxa"/>
          </w:tcPr>
          <w:p w14:paraId="7B766784" w14:textId="77777777" w:rsid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CJ-11A</w:t>
            </w:r>
          </w:p>
        </w:tc>
        <w:tc>
          <w:tcPr>
            <w:tcW w:w="2054" w:type="dxa"/>
            <w:vAlign w:val="center"/>
          </w:tcPr>
          <w:p w14:paraId="086E1FFA"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32</w:t>
            </w:r>
          </w:p>
        </w:tc>
        <w:tc>
          <w:tcPr>
            <w:tcW w:w="2674" w:type="dxa"/>
            <w:vAlign w:val="center"/>
          </w:tcPr>
          <w:p w14:paraId="03CD7864"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453</w:t>
            </w:r>
          </w:p>
        </w:tc>
        <w:tc>
          <w:tcPr>
            <w:tcW w:w="2292" w:type="dxa"/>
            <w:vAlign w:val="center"/>
          </w:tcPr>
          <w:p w14:paraId="7C903B23" w14:textId="55C0900C" w:rsidR="00884724" w:rsidRDefault="00884724" w:rsidP="00FA2F4E">
            <w:pPr>
              <w:keepNext/>
              <w:spacing w:before="60" w:after="60"/>
              <w:jc w:val="right"/>
              <w:rPr>
                <w:rFonts w:ascii="Times New Roman" w:hAnsi="Times New Roman" w:cs="Times New Roman"/>
                <w:szCs w:val="24"/>
              </w:rPr>
            </w:pPr>
            <w:r>
              <w:rPr>
                <w:rFonts w:ascii="Times New Roman" w:hAnsi="Times New Roman" w:cs="Times New Roman"/>
                <w:szCs w:val="24"/>
              </w:rPr>
              <w:t>241.</w:t>
            </w:r>
            <w:r w:rsidR="00FA2F4E">
              <w:rPr>
                <w:rFonts w:ascii="Times New Roman" w:hAnsi="Times New Roman" w:cs="Times New Roman"/>
                <w:szCs w:val="24"/>
              </w:rPr>
              <w:t>6</w:t>
            </w:r>
          </w:p>
        </w:tc>
      </w:tr>
      <w:tr w:rsidR="00884724" w:rsidRPr="00884724" w14:paraId="4C3568A1" w14:textId="77777777" w:rsidTr="00FA2F4E">
        <w:tc>
          <w:tcPr>
            <w:tcW w:w="2340" w:type="dxa"/>
          </w:tcPr>
          <w:p w14:paraId="74561C2A" w14:textId="40C16E10" w:rsid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CJ-12 (state</w:t>
            </w:r>
            <w:r w:rsidR="000C6C84">
              <w:rPr>
                <w:rFonts w:ascii="Times New Roman" w:hAnsi="Times New Roman" w:cs="Times New Roman"/>
                <w:szCs w:val="24"/>
              </w:rPr>
              <w:t>wide</w:t>
            </w:r>
            <w:r>
              <w:rPr>
                <w:rFonts w:ascii="Times New Roman" w:hAnsi="Times New Roman" w:cs="Times New Roman"/>
                <w:szCs w:val="24"/>
              </w:rPr>
              <w:t xml:space="preserve"> ME)</w:t>
            </w:r>
          </w:p>
        </w:tc>
        <w:tc>
          <w:tcPr>
            <w:tcW w:w="2054" w:type="dxa"/>
            <w:vAlign w:val="center"/>
          </w:tcPr>
          <w:p w14:paraId="2683803B"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24</w:t>
            </w:r>
          </w:p>
        </w:tc>
        <w:tc>
          <w:tcPr>
            <w:tcW w:w="2674" w:type="dxa"/>
            <w:vAlign w:val="center"/>
          </w:tcPr>
          <w:p w14:paraId="1DDB0C69" w14:textId="712D0745" w:rsidR="00884724" w:rsidRDefault="00884724" w:rsidP="00D93858">
            <w:pPr>
              <w:keepNext/>
              <w:spacing w:before="60" w:after="60"/>
              <w:jc w:val="right"/>
              <w:rPr>
                <w:rFonts w:ascii="Times New Roman" w:hAnsi="Times New Roman" w:cs="Times New Roman"/>
                <w:szCs w:val="24"/>
              </w:rPr>
            </w:pPr>
            <w:r>
              <w:rPr>
                <w:rFonts w:ascii="Times New Roman" w:hAnsi="Times New Roman" w:cs="Times New Roman"/>
                <w:szCs w:val="24"/>
              </w:rPr>
              <w:t>14</w:t>
            </w:r>
          </w:p>
        </w:tc>
        <w:tc>
          <w:tcPr>
            <w:tcW w:w="2292" w:type="dxa"/>
            <w:vAlign w:val="center"/>
          </w:tcPr>
          <w:p w14:paraId="7777DBBA"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5.6</w:t>
            </w:r>
          </w:p>
        </w:tc>
      </w:tr>
      <w:tr w:rsidR="00884724" w:rsidRPr="00884724" w14:paraId="0EA0535A" w14:textId="77777777" w:rsidTr="00FA2F4E">
        <w:tc>
          <w:tcPr>
            <w:tcW w:w="2340" w:type="dxa"/>
          </w:tcPr>
          <w:p w14:paraId="37FBBE48" w14:textId="57A821B8" w:rsid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CJ-12 (county ME/C</w:t>
            </w:r>
            <w:r w:rsidR="000C6C84">
              <w:rPr>
                <w:rFonts w:ascii="Times New Roman" w:hAnsi="Times New Roman" w:cs="Times New Roman"/>
                <w:szCs w:val="24"/>
              </w:rPr>
              <w:t>)</w:t>
            </w:r>
          </w:p>
        </w:tc>
        <w:tc>
          <w:tcPr>
            <w:tcW w:w="2054" w:type="dxa"/>
            <w:vAlign w:val="center"/>
          </w:tcPr>
          <w:p w14:paraId="4FBFA92C"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16</w:t>
            </w:r>
          </w:p>
        </w:tc>
        <w:tc>
          <w:tcPr>
            <w:tcW w:w="2674" w:type="dxa"/>
            <w:vAlign w:val="center"/>
          </w:tcPr>
          <w:p w14:paraId="06C9CEBC"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282</w:t>
            </w:r>
          </w:p>
        </w:tc>
        <w:tc>
          <w:tcPr>
            <w:tcW w:w="2292" w:type="dxa"/>
            <w:vAlign w:val="center"/>
          </w:tcPr>
          <w:p w14:paraId="070CBC4C"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75.2</w:t>
            </w:r>
          </w:p>
        </w:tc>
      </w:tr>
      <w:tr w:rsidR="00884724" w:rsidRPr="00884724" w14:paraId="3BACF618" w14:textId="77777777" w:rsidTr="00FA2F4E">
        <w:tc>
          <w:tcPr>
            <w:tcW w:w="2340" w:type="dxa"/>
          </w:tcPr>
          <w:p w14:paraId="37AA6FD3" w14:textId="77777777" w:rsid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CJ-12s</w:t>
            </w:r>
          </w:p>
        </w:tc>
        <w:tc>
          <w:tcPr>
            <w:tcW w:w="2054" w:type="dxa"/>
            <w:vAlign w:val="center"/>
          </w:tcPr>
          <w:p w14:paraId="2090BA1C"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16</w:t>
            </w:r>
          </w:p>
        </w:tc>
        <w:tc>
          <w:tcPr>
            <w:tcW w:w="2674" w:type="dxa"/>
            <w:vAlign w:val="center"/>
          </w:tcPr>
          <w:p w14:paraId="6B409072" w14:textId="0F6F7F3C" w:rsidR="00884724" w:rsidRDefault="00A45CD4" w:rsidP="0005414A">
            <w:pPr>
              <w:keepNext/>
              <w:spacing w:before="60" w:after="60"/>
              <w:jc w:val="right"/>
              <w:rPr>
                <w:rFonts w:ascii="Times New Roman" w:hAnsi="Times New Roman" w:cs="Times New Roman"/>
                <w:szCs w:val="24"/>
              </w:rPr>
            </w:pPr>
            <w:r>
              <w:rPr>
                <w:rFonts w:ascii="Times New Roman" w:hAnsi="Times New Roman" w:cs="Times New Roman"/>
                <w:szCs w:val="24"/>
              </w:rPr>
              <w:t>506</w:t>
            </w:r>
          </w:p>
        </w:tc>
        <w:tc>
          <w:tcPr>
            <w:tcW w:w="2292" w:type="dxa"/>
            <w:vAlign w:val="center"/>
          </w:tcPr>
          <w:p w14:paraId="26F2622C" w14:textId="0BF8E3C7" w:rsidR="00884724" w:rsidRDefault="00A45CD4" w:rsidP="00FA2F4E">
            <w:pPr>
              <w:keepNext/>
              <w:spacing w:before="60" w:after="60"/>
              <w:jc w:val="right"/>
              <w:rPr>
                <w:rFonts w:ascii="Times New Roman" w:hAnsi="Times New Roman" w:cs="Times New Roman"/>
                <w:szCs w:val="24"/>
              </w:rPr>
            </w:pPr>
            <w:r>
              <w:rPr>
                <w:rFonts w:ascii="Times New Roman" w:hAnsi="Times New Roman" w:cs="Times New Roman"/>
                <w:szCs w:val="24"/>
              </w:rPr>
              <w:t>134.</w:t>
            </w:r>
            <w:r w:rsidR="00FA2F4E">
              <w:rPr>
                <w:rFonts w:ascii="Times New Roman" w:hAnsi="Times New Roman" w:cs="Times New Roman"/>
                <w:szCs w:val="24"/>
              </w:rPr>
              <w:t>9</w:t>
            </w:r>
          </w:p>
        </w:tc>
      </w:tr>
      <w:tr w:rsidR="00884724" w:rsidRPr="00884724" w14:paraId="381A5A3D" w14:textId="77777777" w:rsidTr="00FA2F4E">
        <w:tc>
          <w:tcPr>
            <w:tcW w:w="2340" w:type="dxa"/>
            <w:tcBorders>
              <w:bottom w:val="single" w:sz="4" w:space="0" w:color="auto"/>
            </w:tcBorders>
          </w:tcPr>
          <w:p w14:paraId="7569D4D3" w14:textId="77777777" w:rsidR="00884724" w:rsidRDefault="00884724" w:rsidP="0005414A">
            <w:pPr>
              <w:keepNext/>
              <w:spacing w:before="60" w:after="60"/>
              <w:rPr>
                <w:rFonts w:ascii="Times New Roman" w:hAnsi="Times New Roman" w:cs="Times New Roman"/>
                <w:szCs w:val="24"/>
              </w:rPr>
            </w:pPr>
            <w:r>
              <w:rPr>
                <w:rFonts w:ascii="Times New Roman" w:hAnsi="Times New Roman" w:cs="Times New Roman"/>
                <w:szCs w:val="24"/>
              </w:rPr>
              <w:t>CJ-12A</w:t>
            </w:r>
          </w:p>
        </w:tc>
        <w:tc>
          <w:tcPr>
            <w:tcW w:w="2054" w:type="dxa"/>
            <w:tcBorders>
              <w:bottom w:val="single" w:sz="4" w:space="0" w:color="auto"/>
            </w:tcBorders>
            <w:vAlign w:val="center"/>
          </w:tcPr>
          <w:p w14:paraId="7816A83F"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24</w:t>
            </w:r>
          </w:p>
        </w:tc>
        <w:tc>
          <w:tcPr>
            <w:tcW w:w="2674" w:type="dxa"/>
            <w:tcBorders>
              <w:bottom w:val="single" w:sz="4" w:space="0" w:color="auto"/>
            </w:tcBorders>
            <w:vAlign w:val="center"/>
          </w:tcPr>
          <w:p w14:paraId="184173FF" w14:textId="77777777" w:rsidR="00884724" w:rsidRDefault="00884724" w:rsidP="0005414A">
            <w:pPr>
              <w:keepNext/>
              <w:spacing w:before="60" w:after="60"/>
              <w:jc w:val="right"/>
              <w:rPr>
                <w:rFonts w:ascii="Times New Roman" w:hAnsi="Times New Roman" w:cs="Times New Roman"/>
                <w:szCs w:val="24"/>
              </w:rPr>
            </w:pPr>
            <w:r>
              <w:rPr>
                <w:rFonts w:ascii="Times New Roman" w:hAnsi="Times New Roman" w:cs="Times New Roman"/>
                <w:szCs w:val="24"/>
              </w:rPr>
              <w:t>453</w:t>
            </w:r>
          </w:p>
        </w:tc>
        <w:tc>
          <w:tcPr>
            <w:tcW w:w="2292" w:type="dxa"/>
            <w:tcBorders>
              <w:bottom w:val="single" w:sz="4" w:space="0" w:color="auto"/>
            </w:tcBorders>
            <w:vAlign w:val="center"/>
          </w:tcPr>
          <w:p w14:paraId="220BC1E6" w14:textId="4E58AC59" w:rsidR="00884724" w:rsidRDefault="00884724" w:rsidP="00FA2F4E">
            <w:pPr>
              <w:keepNext/>
              <w:spacing w:before="60" w:after="60"/>
              <w:jc w:val="right"/>
              <w:rPr>
                <w:rFonts w:ascii="Times New Roman" w:hAnsi="Times New Roman" w:cs="Times New Roman"/>
                <w:szCs w:val="24"/>
              </w:rPr>
            </w:pPr>
            <w:r>
              <w:rPr>
                <w:rFonts w:ascii="Times New Roman" w:hAnsi="Times New Roman" w:cs="Times New Roman"/>
                <w:szCs w:val="24"/>
              </w:rPr>
              <w:t>181.</w:t>
            </w:r>
            <w:r w:rsidR="00FA2F4E">
              <w:rPr>
                <w:rFonts w:ascii="Times New Roman" w:hAnsi="Times New Roman" w:cs="Times New Roman"/>
                <w:szCs w:val="24"/>
              </w:rPr>
              <w:t>2</w:t>
            </w:r>
          </w:p>
        </w:tc>
      </w:tr>
      <w:tr w:rsidR="00884724" w:rsidRPr="00884724" w14:paraId="511806AD" w14:textId="77777777" w:rsidTr="00FA2F4E">
        <w:tc>
          <w:tcPr>
            <w:tcW w:w="2340" w:type="dxa"/>
            <w:tcBorders>
              <w:top w:val="single" w:sz="4" w:space="0" w:color="auto"/>
              <w:bottom w:val="single" w:sz="4" w:space="0" w:color="auto"/>
            </w:tcBorders>
          </w:tcPr>
          <w:p w14:paraId="6604AD26" w14:textId="77777777" w:rsidR="00884724" w:rsidRDefault="00884724" w:rsidP="00884724">
            <w:pPr>
              <w:spacing w:before="60" w:after="60"/>
              <w:rPr>
                <w:rFonts w:ascii="Times New Roman" w:hAnsi="Times New Roman" w:cs="Times New Roman"/>
                <w:szCs w:val="24"/>
              </w:rPr>
            </w:pPr>
            <w:r>
              <w:rPr>
                <w:rFonts w:ascii="Times New Roman" w:hAnsi="Times New Roman" w:cs="Times New Roman"/>
                <w:szCs w:val="24"/>
              </w:rPr>
              <w:t>Total burden estimate</w:t>
            </w:r>
          </w:p>
        </w:tc>
        <w:tc>
          <w:tcPr>
            <w:tcW w:w="2054" w:type="dxa"/>
            <w:tcBorders>
              <w:top w:val="single" w:sz="4" w:space="0" w:color="auto"/>
              <w:bottom w:val="single" w:sz="4" w:space="0" w:color="auto"/>
            </w:tcBorders>
            <w:vAlign w:val="center"/>
          </w:tcPr>
          <w:p w14:paraId="5C738696" w14:textId="77777777" w:rsidR="00884724" w:rsidRDefault="000C6C84" w:rsidP="00884724">
            <w:pPr>
              <w:spacing w:before="60" w:after="60"/>
              <w:jc w:val="right"/>
              <w:rPr>
                <w:rFonts w:ascii="Times New Roman" w:hAnsi="Times New Roman" w:cs="Times New Roman"/>
                <w:szCs w:val="24"/>
              </w:rPr>
            </w:pPr>
            <w:r>
              <w:rPr>
                <w:rFonts w:ascii="Times New Roman" w:hAnsi="Times New Roman" w:cs="Times New Roman"/>
                <w:szCs w:val="24"/>
              </w:rPr>
              <w:t>—</w:t>
            </w:r>
          </w:p>
        </w:tc>
        <w:tc>
          <w:tcPr>
            <w:tcW w:w="2674" w:type="dxa"/>
            <w:tcBorders>
              <w:top w:val="single" w:sz="4" w:space="0" w:color="auto"/>
              <w:bottom w:val="single" w:sz="4" w:space="0" w:color="auto"/>
            </w:tcBorders>
            <w:vAlign w:val="center"/>
          </w:tcPr>
          <w:p w14:paraId="56FF0507" w14:textId="59EB5A58" w:rsidR="00884724" w:rsidRDefault="00884724" w:rsidP="00A45CD4">
            <w:pPr>
              <w:spacing w:before="60" w:after="60"/>
              <w:jc w:val="right"/>
              <w:rPr>
                <w:rFonts w:ascii="Times New Roman" w:hAnsi="Times New Roman" w:cs="Times New Roman"/>
                <w:szCs w:val="24"/>
              </w:rPr>
            </w:pPr>
            <w:r>
              <w:rPr>
                <w:rFonts w:ascii="Times New Roman" w:hAnsi="Times New Roman" w:cs="Times New Roman"/>
                <w:szCs w:val="24"/>
              </w:rPr>
              <w:t>2,</w:t>
            </w:r>
            <w:r w:rsidR="00A45CD4">
              <w:rPr>
                <w:rFonts w:ascii="Times New Roman" w:hAnsi="Times New Roman" w:cs="Times New Roman"/>
                <w:szCs w:val="24"/>
              </w:rPr>
              <w:t>611</w:t>
            </w:r>
          </w:p>
        </w:tc>
        <w:tc>
          <w:tcPr>
            <w:tcW w:w="2292" w:type="dxa"/>
            <w:tcBorders>
              <w:top w:val="single" w:sz="4" w:space="0" w:color="auto"/>
              <w:bottom w:val="single" w:sz="4" w:space="0" w:color="auto"/>
            </w:tcBorders>
            <w:vAlign w:val="center"/>
          </w:tcPr>
          <w:p w14:paraId="1070C3E6" w14:textId="252C8757" w:rsidR="00884724" w:rsidRDefault="00884724" w:rsidP="00FA2F4E">
            <w:pPr>
              <w:spacing w:before="60" w:after="60"/>
              <w:jc w:val="right"/>
              <w:rPr>
                <w:rFonts w:ascii="Times New Roman" w:hAnsi="Times New Roman" w:cs="Times New Roman"/>
                <w:szCs w:val="24"/>
              </w:rPr>
            </w:pPr>
            <w:r>
              <w:rPr>
                <w:rFonts w:ascii="Times New Roman" w:hAnsi="Times New Roman" w:cs="Times New Roman"/>
                <w:szCs w:val="24"/>
              </w:rPr>
              <w:t>8</w:t>
            </w:r>
            <w:r w:rsidR="00A45CD4">
              <w:rPr>
                <w:rFonts w:ascii="Times New Roman" w:hAnsi="Times New Roman" w:cs="Times New Roman"/>
                <w:szCs w:val="24"/>
              </w:rPr>
              <w:t>42.</w:t>
            </w:r>
            <w:r w:rsidR="00FA2F4E">
              <w:rPr>
                <w:rFonts w:ascii="Times New Roman" w:hAnsi="Times New Roman" w:cs="Times New Roman"/>
                <w:szCs w:val="24"/>
              </w:rPr>
              <w:t>0</w:t>
            </w:r>
          </w:p>
        </w:tc>
      </w:tr>
    </w:tbl>
    <w:p w14:paraId="21C4F690" w14:textId="77777777" w:rsidR="00643C10" w:rsidRPr="00985F06" w:rsidRDefault="00643C10" w:rsidP="004918AB">
      <w:pPr>
        <w:spacing w:after="0" w:line="240" w:lineRule="auto"/>
        <w:rPr>
          <w:rFonts w:ascii="Times New Roman" w:hAnsi="Times New Roman" w:cs="Times New Roman"/>
          <w:b/>
          <w:sz w:val="24"/>
          <w:szCs w:val="24"/>
          <w:u w:val="single"/>
        </w:rPr>
      </w:pPr>
    </w:p>
    <w:p w14:paraId="1C33B261" w14:textId="77777777" w:rsidR="00884724" w:rsidRPr="00985F06" w:rsidRDefault="00884724" w:rsidP="009517EC">
      <w:pPr>
        <w:keepNext/>
        <w:spacing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Analyses</w:t>
      </w:r>
      <w:r w:rsidRPr="00884724">
        <w:rPr>
          <w:rFonts w:ascii="Times New Roman" w:hAnsi="Times New Roman" w:cs="Times New Roman"/>
          <w:b/>
          <w:sz w:val="24"/>
          <w:szCs w:val="24"/>
          <w:u w:val="single"/>
        </w:rPr>
        <w:t xml:space="preserve"> </w:t>
      </w:r>
    </w:p>
    <w:p w14:paraId="064EF255" w14:textId="68227BBD" w:rsidR="00884724" w:rsidRDefault="00884724" w:rsidP="009517EC">
      <w:pPr>
        <w:keepNext/>
        <w:spacing w:after="120" w:line="288" w:lineRule="auto"/>
        <w:rPr>
          <w:rFonts w:ascii="Times New Roman" w:hAnsi="Times New Roman" w:cs="Times New Roman"/>
          <w:sz w:val="24"/>
          <w:szCs w:val="24"/>
        </w:rPr>
      </w:pPr>
      <w:r>
        <w:rPr>
          <w:rFonts w:ascii="Times New Roman" w:hAnsi="Times New Roman" w:cs="Times New Roman"/>
          <w:sz w:val="24"/>
          <w:szCs w:val="24"/>
        </w:rPr>
        <w:t>Statistical analyses will be conducted to inform recommendations for future ARD program data collections. These analyses will support findings related to</w:t>
      </w:r>
      <w:r w:rsidR="000C6C84">
        <w:rPr>
          <w:rFonts w:ascii="Times New Roman" w:hAnsi="Times New Roman" w:cs="Times New Roman"/>
          <w:sz w:val="24"/>
          <w:szCs w:val="24"/>
        </w:rPr>
        <w:t xml:space="preserve"> the</w:t>
      </w:r>
    </w:p>
    <w:p w14:paraId="1DB3581C" w14:textId="2B7E84E3" w:rsidR="00884724"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n</w:t>
      </w:r>
      <w:r w:rsidR="00884724">
        <w:rPr>
          <w:rFonts w:ascii="Times New Roman" w:hAnsi="Times New Roman" w:cs="Times New Roman"/>
          <w:sz w:val="24"/>
          <w:szCs w:val="24"/>
        </w:rPr>
        <w:t>umber, type (ME/C or LEA)</w:t>
      </w:r>
      <w:r>
        <w:rPr>
          <w:rFonts w:ascii="Times New Roman" w:hAnsi="Times New Roman" w:cs="Times New Roman"/>
          <w:sz w:val="24"/>
          <w:szCs w:val="24"/>
        </w:rPr>
        <w:t>,</w:t>
      </w:r>
      <w:r w:rsidR="00884724">
        <w:rPr>
          <w:rFonts w:ascii="Times New Roman" w:hAnsi="Times New Roman" w:cs="Times New Roman"/>
          <w:sz w:val="24"/>
          <w:szCs w:val="24"/>
        </w:rPr>
        <w:t xml:space="preserve"> and characteristics </w:t>
      </w:r>
      <w:r w:rsidR="00BD5CF6">
        <w:rPr>
          <w:rFonts w:ascii="Times New Roman" w:hAnsi="Times New Roman" w:cs="Times New Roman"/>
          <w:sz w:val="24"/>
          <w:szCs w:val="24"/>
        </w:rPr>
        <w:t xml:space="preserve">(e.g., size of population served) </w:t>
      </w:r>
      <w:r w:rsidR="00884724">
        <w:rPr>
          <w:rFonts w:ascii="Times New Roman" w:hAnsi="Times New Roman" w:cs="Times New Roman"/>
          <w:sz w:val="24"/>
          <w:szCs w:val="24"/>
        </w:rPr>
        <w:t>of responding agencies</w:t>
      </w:r>
      <w:r>
        <w:rPr>
          <w:rFonts w:ascii="Times New Roman" w:hAnsi="Times New Roman" w:cs="Times New Roman"/>
          <w:sz w:val="24"/>
          <w:szCs w:val="24"/>
        </w:rPr>
        <w:t>;</w:t>
      </w:r>
    </w:p>
    <w:p w14:paraId="0447EA9D" w14:textId="770B4C77" w:rsidR="00BD5CF6"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t</w:t>
      </w:r>
      <w:r w:rsidR="00BD5CF6">
        <w:rPr>
          <w:rFonts w:ascii="Times New Roman" w:hAnsi="Times New Roman" w:cs="Times New Roman"/>
          <w:sz w:val="24"/>
          <w:szCs w:val="24"/>
        </w:rPr>
        <w:t>ime from pilot survey invitation to survey completion, by type of agency and number of deaths identified</w:t>
      </w:r>
      <w:r>
        <w:rPr>
          <w:rFonts w:ascii="Times New Roman" w:hAnsi="Times New Roman" w:cs="Times New Roman"/>
          <w:sz w:val="24"/>
          <w:szCs w:val="24"/>
        </w:rPr>
        <w:t>;</w:t>
      </w:r>
    </w:p>
    <w:p w14:paraId="5600449A" w14:textId="58E9297B" w:rsidR="00BD5CF6"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i</w:t>
      </w:r>
      <w:r w:rsidR="00BD5CF6">
        <w:rPr>
          <w:rFonts w:ascii="Times New Roman" w:hAnsi="Times New Roman" w:cs="Times New Roman"/>
          <w:sz w:val="24"/>
          <w:szCs w:val="24"/>
        </w:rPr>
        <w:t>tem nonresponse</w:t>
      </w:r>
      <w:r>
        <w:rPr>
          <w:rFonts w:ascii="Times New Roman" w:hAnsi="Times New Roman" w:cs="Times New Roman"/>
          <w:sz w:val="24"/>
          <w:szCs w:val="24"/>
        </w:rPr>
        <w:t>;</w:t>
      </w:r>
    </w:p>
    <w:p w14:paraId="6354B14B" w14:textId="73CCAC22" w:rsidR="00BD5CF6"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p</w:t>
      </w:r>
      <w:r w:rsidR="00BD5CF6">
        <w:rPr>
          <w:rFonts w:ascii="Times New Roman" w:hAnsi="Times New Roman" w:cs="Times New Roman"/>
          <w:sz w:val="24"/>
          <w:szCs w:val="24"/>
        </w:rPr>
        <w:t>roportion of deaths identified through open</w:t>
      </w:r>
      <w:r w:rsidR="008D7039">
        <w:rPr>
          <w:rFonts w:ascii="Times New Roman" w:hAnsi="Times New Roman" w:cs="Times New Roman"/>
          <w:sz w:val="24"/>
          <w:szCs w:val="24"/>
        </w:rPr>
        <w:t>-</w:t>
      </w:r>
      <w:r w:rsidR="00BD5CF6">
        <w:rPr>
          <w:rFonts w:ascii="Times New Roman" w:hAnsi="Times New Roman" w:cs="Times New Roman"/>
          <w:sz w:val="24"/>
          <w:szCs w:val="24"/>
        </w:rPr>
        <w:t>source review that were</w:t>
      </w:r>
      <w:r>
        <w:rPr>
          <w:rFonts w:ascii="Times New Roman" w:hAnsi="Times New Roman" w:cs="Times New Roman"/>
          <w:sz w:val="24"/>
          <w:szCs w:val="24"/>
        </w:rPr>
        <w:t xml:space="preserve"> or </w:t>
      </w:r>
      <w:r w:rsidR="00BD5CF6">
        <w:rPr>
          <w:rFonts w:ascii="Times New Roman" w:hAnsi="Times New Roman" w:cs="Times New Roman"/>
          <w:sz w:val="24"/>
          <w:szCs w:val="24"/>
        </w:rPr>
        <w:t>were not confirmed through agency-level follow-up</w:t>
      </w:r>
      <w:r>
        <w:rPr>
          <w:rFonts w:ascii="Times New Roman" w:hAnsi="Times New Roman" w:cs="Times New Roman"/>
          <w:sz w:val="24"/>
          <w:szCs w:val="24"/>
        </w:rPr>
        <w:t>;</w:t>
      </w:r>
    </w:p>
    <w:p w14:paraId="432272EC" w14:textId="79753298" w:rsidR="00BD5CF6"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n</w:t>
      </w:r>
      <w:r w:rsidR="00BD5CF6">
        <w:rPr>
          <w:rFonts w:ascii="Times New Roman" w:hAnsi="Times New Roman" w:cs="Times New Roman"/>
          <w:sz w:val="24"/>
          <w:szCs w:val="24"/>
        </w:rPr>
        <w:t>umber of deaths identified by agencies, but not found through open-source review</w:t>
      </w:r>
      <w:r>
        <w:rPr>
          <w:rFonts w:ascii="Times New Roman" w:hAnsi="Times New Roman" w:cs="Times New Roman"/>
          <w:sz w:val="24"/>
          <w:szCs w:val="24"/>
        </w:rPr>
        <w:t>;</w:t>
      </w:r>
    </w:p>
    <w:p w14:paraId="1B9F980F" w14:textId="75304999" w:rsidR="00BD5CF6"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t</w:t>
      </w:r>
      <w:r w:rsidR="00BD5CF6">
        <w:rPr>
          <w:rFonts w:ascii="Times New Roman" w:hAnsi="Times New Roman" w:cs="Times New Roman"/>
          <w:sz w:val="24"/>
          <w:szCs w:val="24"/>
        </w:rPr>
        <w:t>otal number of arrest-related deaths identified, by identification source</w:t>
      </w:r>
      <w:r>
        <w:rPr>
          <w:rFonts w:ascii="Times New Roman" w:hAnsi="Times New Roman" w:cs="Times New Roman"/>
          <w:sz w:val="24"/>
          <w:szCs w:val="24"/>
        </w:rPr>
        <w:t>; and</w:t>
      </w:r>
    </w:p>
    <w:p w14:paraId="5499467F" w14:textId="58847BB3" w:rsidR="00BD5CF6" w:rsidRPr="00884724" w:rsidRDefault="000C6C84" w:rsidP="00884724">
      <w:pPr>
        <w:pStyle w:val="ListParagraph"/>
        <w:numPr>
          <w:ilvl w:val="0"/>
          <w:numId w:val="21"/>
        </w:numPr>
        <w:spacing w:after="120" w:line="288" w:lineRule="auto"/>
        <w:rPr>
          <w:rFonts w:ascii="Times New Roman" w:hAnsi="Times New Roman" w:cs="Times New Roman"/>
          <w:sz w:val="24"/>
          <w:szCs w:val="24"/>
        </w:rPr>
      </w:pPr>
      <w:r>
        <w:rPr>
          <w:rFonts w:ascii="Times New Roman" w:hAnsi="Times New Roman" w:cs="Times New Roman"/>
          <w:sz w:val="24"/>
          <w:szCs w:val="24"/>
        </w:rPr>
        <w:t>c</w:t>
      </w:r>
      <w:r w:rsidR="00BD5CF6">
        <w:rPr>
          <w:rFonts w:ascii="Times New Roman" w:hAnsi="Times New Roman" w:cs="Times New Roman"/>
          <w:sz w:val="24"/>
          <w:szCs w:val="24"/>
        </w:rPr>
        <w:t>haracteristics of arrest-related deaths, including decedent characteristics and circumstances surrounding the death.</w:t>
      </w:r>
    </w:p>
    <w:p w14:paraId="552B6B67" w14:textId="333E516B" w:rsidR="00A45CD4" w:rsidRPr="00A45CD4" w:rsidRDefault="000C6C84" w:rsidP="00A45CD4">
      <w:pPr>
        <w:rPr>
          <w:rFonts w:ascii="Times New Roman" w:hAnsi="Times New Roman" w:cs="Times New Roman"/>
          <w:sz w:val="24"/>
          <w:szCs w:val="24"/>
        </w:rPr>
      </w:pPr>
      <w:r>
        <w:rPr>
          <w:rFonts w:ascii="Times New Roman" w:hAnsi="Times New Roman" w:cs="Times New Roman"/>
          <w:sz w:val="24"/>
          <w:szCs w:val="24"/>
        </w:rPr>
        <w:lastRenderedPageBreak/>
        <w:t>T</w:t>
      </w:r>
      <w:r w:rsidR="00A45CD4" w:rsidRPr="00A45CD4">
        <w:rPr>
          <w:rFonts w:ascii="Times New Roman" w:hAnsi="Times New Roman" w:cs="Times New Roman"/>
          <w:sz w:val="24"/>
          <w:szCs w:val="24"/>
        </w:rPr>
        <w:t xml:space="preserve">o assess the coverage of the open-source ARD collection, </w:t>
      </w:r>
      <w:r w:rsidR="009517EC">
        <w:rPr>
          <w:rFonts w:ascii="Times New Roman" w:hAnsi="Times New Roman" w:cs="Times New Roman"/>
          <w:sz w:val="24"/>
          <w:szCs w:val="24"/>
        </w:rPr>
        <w:t>BJS</w:t>
      </w:r>
      <w:r w:rsidR="00A45CD4" w:rsidRPr="00A45CD4">
        <w:rPr>
          <w:rFonts w:ascii="Times New Roman" w:hAnsi="Times New Roman" w:cs="Times New Roman"/>
          <w:sz w:val="24"/>
          <w:szCs w:val="24"/>
        </w:rPr>
        <w:t xml:space="preserve"> will use capture-recapture techniques in conjunction with two or more open-source lists </w:t>
      </w:r>
      <w:r w:rsidR="00BA5799">
        <w:rPr>
          <w:rFonts w:ascii="Times New Roman" w:hAnsi="Times New Roman" w:cs="Times New Roman"/>
          <w:sz w:val="24"/>
          <w:szCs w:val="24"/>
        </w:rPr>
        <w:t>that most closely align with the definition of an arrest-related death used by the ARD program (e.g., The Counted, mai</w:t>
      </w:r>
      <w:r w:rsidR="00A45CD4" w:rsidRPr="00A45CD4">
        <w:rPr>
          <w:rFonts w:ascii="Times New Roman" w:hAnsi="Times New Roman" w:cs="Times New Roman"/>
          <w:sz w:val="24"/>
          <w:szCs w:val="24"/>
        </w:rPr>
        <w:t>ntained by the Guardian, and KilledByPolice.net</w:t>
      </w:r>
      <w:r w:rsidR="00BA5799">
        <w:rPr>
          <w:rFonts w:ascii="Times New Roman" w:hAnsi="Times New Roman" w:cs="Times New Roman"/>
          <w:sz w:val="24"/>
          <w:szCs w:val="24"/>
        </w:rPr>
        <w:t>)</w:t>
      </w:r>
      <w:r w:rsidR="00A45CD4" w:rsidRPr="00A45CD4">
        <w:rPr>
          <w:rFonts w:ascii="Times New Roman" w:hAnsi="Times New Roman" w:cs="Times New Roman"/>
          <w:sz w:val="24"/>
          <w:szCs w:val="24"/>
        </w:rPr>
        <w:t>. These lists all have national coverage and comparable target populations (</w:t>
      </w:r>
      <w:r w:rsidR="009517EC">
        <w:rPr>
          <w:rFonts w:ascii="Times New Roman" w:hAnsi="Times New Roman" w:cs="Times New Roman"/>
          <w:sz w:val="24"/>
          <w:szCs w:val="24"/>
        </w:rPr>
        <w:t xml:space="preserve">although </w:t>
      </w:r>
      <w:r w:rsidR="00A45CD4" w:rsidRPr="00A45CD4">
        <w:rPr>
          <w:rFonts w:ascii="Times New Roman" w:hAnsi="Times New Roman" w:cs="Times New Roman"/>
          <w:sz w:val="24"/>
          <w:szCs w:val="24"/>
        </w:rPr>
        <w:t xml:space="preserve">some filtering of out out-of-scope decedents may be necessary) and can be assessed for overlap to arrive at a total decedent population figure through use of </w:t>
      </w:r>
      <w:r w:rsidRPr="00A45CD4">
        <w:rPr>
          <w:rFonts w:ascii="Times New Roman" w:hAnsi="Times New Roman" w:cs="Times New Roman"/>
          <w:sz w:val="24"/>
          <w:szCs w:val="24"/>
        </w:rPr>
        <w:t xml:space="preserve">either </w:t>
      </w:r>
      <w:r w:rsidR="00A45CD4" w:rsidRPr="00A45CD4">
        <w:rPr>
          <w:rFonts w:ascii="Times New Roman" w:hAnsi="Times New Roman" w:cs="Times New Roman"/>
          <w:sz w:val="24"/>
          <w:szCs w:val="24"/>
        </w:rPr>
        <w:t xml:space="preserve">model-based estimation or a stratified Chapman estimator. Once a total population estimate is obtained, we will take the ratio of the count of unique ARD decedents and the estimated population size to obtain a coverage estimate that encompasses all open sources used in the ARD </w:t>
      </w:r>
      <w:r w:rsidR="009517EC">
        <w:rPr>
          <w:rFonts w:ascii="Times New Roman" w:hAnsi="Times New Roman" w:cs="Times New Roman"/>
          <w:sz w:val="24"/>
          <w:szCs w:val="24"/>
        </w:rPr>
        <w:t>program pilot study</w:t>
      </w:r>
      <w:r w:rsidR="00A45CD4" w:rsidRPr="00A45CD4">
        <w:rPr>
          <w:rFonts w:ascii="Times New Roman" w:hAnsi="Times New Roman" w:cs="Times New Roman"/>
          <w:sz w:val="24"/>
          <w:szCs w:val="24"/>
        </w:rPr>
        <w:t>. Given the high probability for list dependence across sources, the population estimate may contain some deflationary bias</w:t>
      </w:r>
      <w:r w:rsidR="00BA5799">
        <w:rPr>
          <w:rFonts w:ascii="Times New Roman" w:hAnsi="Times New Roman" w:cs="Times New Roman"/>
          <w:sz w:val="24"/>
          <w:szCs w:val="24"/>
        </w:rPr>
        <w:t>. W</w:t>
      </w:r>
      <w:r w:rsidR="00A45CD4" w:rsidRPr="00A45CD4">
        <w:rPr>
          <w:rFonts w:ascii="Times New Roman" w:hAnsi="Times New Roman" w:cs="Times New Roman"/>
          <w:sz w:val="24"/>
          <w:szCs w:val="24"/>
        </w:rPr>
        <w:t xml:space="preserve">e will make our best effort to mitigate this bias given the tools and data available, </w:t>
      </w:r>
      <w:r>
        <w:rPr>
          <w:rFonts w:ascii="Times New Roman" w:hAnsi="Times New Roman" w:cs="Times New Roman"/>
          <w:sz w:val="24"/>
          <w:szCs w:val="24"/>
        </w:rPr>
        <w:t>al</w:t>
      </w:r>
      <w:r w:rsidR="00A45CD4" w:rsidRPr="00A45CD4">
        <w:rPr>
          <w:rFonts w:ascii="Times New Roman" w:hAnsi="Times New Roman" w:cs="Times New Roman"/>
          <w:sz w:val="24"/>
          <w:szCs w:val="24"/>
        </w:rPr>
        <w:t>though the resulting coverage estimate can be safely interpreted as an upper bound even in the presence of list dependence bias.</w:t>
      </w:r>
    </w:p>
    <w:p w14:paraId="03D371B9" w14:textId="77777777" w:rsidR="00643C10" w:rsidRPr="00985F06" w:rsidRDefault="00D83163" w:rsidP="00A85472">
      <w:pPr>
        <w:spacing w:after="120" w:line="240" w:lineRule="auto"/>
        <w:rPr>
          <w:rFonts w:ascii="Times New Roman" w:hAnsi="Times New Roman" w:cs="Times New Roman"/>
          <w:b/>
          <w:sz w:val="24"/>
          <w:szCs w:val="24"/>
          <w:u w:val="single"/>
        </w:rPr>
      </w:pPr>
      <w:r w:rsidRPr="00985F06">
        <w:rPr>
          <w:rFonts w:ascii="Times New Roman" w:hAnsi="Times New Roman" w:cs="Times New Roman"/>
          <w:b/>
          <w:sz w:val="24"/>
          <w:szCs w:val="24"/>
          <w:u w:val="single"/>
        </w:rPr>
        <w:t xml:space="preserve">Informed Consent and </w:t>
      </w:r>
      <w:r w:rsidR="00643C10" w:rsidRPr="00985F06">
        <w:rPr>
          <w:rFonts w:ascii="Times New Roman" w:hAnsi="Times New Roman" w:cs="Times New Roman"/>
          <w:b/>
          <w:sz w:val="24"/>
          <w:szCs w:val="24"/>
          <w:u w:val="single"/>
        </w:rPr>
        <w:t>Data Confidentiality</w:t>
      </w:r>
    </w:p>
    <w:p w14:paraId="61BE84D8" w14:textId="6B00E9E2" w:rsidR="00D83163" w:rsidRPr="00985F06" w:rsidRDefault="00D55FDE" w:rsidP="00D93858">
      <w:pPr>
        <w:pStyle w:val="L1-FlLSp12"/>
        <w:spacing w:after="160" w:line="288" w:lineRule="auto"/>
        <w:rPr>
          <w:rFonts w:ascii="Times New Roman" w:hAnsi="Times New Roman"/>
          <w:szCs w:val="24"/>
        </w:rPr>
      </w:pPr>
      <w:r>
        <w:rPr>
          <w:rFonts w:ascii="Times New Roman" w:hAnsi="Times New Roman"/>
          <w:szCs w:val="24"/>
        </w:rPr>
        <w:t xml:space="preserve">The lead letter and e-mail invitations that will be sent to agencies </w:t>
      </w:r>
      <w:r w:rsidR="00F031BF">
        <w:rPr>
          <w:rFonts w:ascii="Times New Roman" w:hAnsi="Times New Roman"/>
          <w:szCs w:val="24"/>
        </w:rPr>
        <w:t xml:space="preserve">will </w:t>
      </w:r>
      <w:r>
        <w:rPr>
          <w:rFonts w:ascii="Times New Roman" w:hAnsi="Times New Roman"/>
          <w:szCs w:val="24"/>
        </w:rPr>
        <w:t xml:space="preserve">fully explain the purpose of </w:t>
      </w:r>
      <w:r w:rsidR="000428B6">
        <w:rPr>
          <w:rFonts w:ascii="Times New Roman" w:hAnsi="Times New Roman"/>
          <w:szCs w:val="24"/>
        </w:rPr>
        <w:t>ARD program pilot test</w:t>
      </w:r>
      <w:r>
        <w:rPr>
          <w:rFonts w:ascii="Times New Roman" w:hAnsi="Times New Roman"/>
          <w:szCs w:val="24"/>
        </w:rPr>
        <w:t xml:space="preserve"> and </w:t>
      </w:r>
      <w:r w:rsidR="000C6C84">
        <w:rPr>
          <w:rFonts w:ascii="Times New Roman" w:hAnsi="Times New Roman"/>
          <w:szCs w:val="24"/>
        </w:rPr>
        <w:t xml:space="preserve">specifically </w:t>
      </w:r>
      <w:r>
        <w:rPr>
          <w:rFonts w:ascii="Times New Roman" w:hAnsi="Times New Roman"/>
          <w:szCs w:val="24"/>
        </w:rPr>
        <w:t xml:space="preserve">the objectives of the survey. </w:t>
      </w:r>
      <w:r w:rsidR="00D83163" w:rsidRPr="00985F06">
        <w:rPr>
          <w:rFonts w:ascii="Times New Roman" w:hAnsi="Times New Roman"/>
          <w:szCs w:val="24"/>
        </w:rPr>
        <w:t xml:space="preserve">The </w:t>
      </w:r>
      <w:r w:rsidR="003A2B2E" w:rsidRPr="00985F06">
        <w:rPr>
          <w:rFonts w:ascii="Times New Roman" w:hAnsi="Times New Roman"/>
          <w:szCs w:val="24"/>
        </w:rPr>
        <w:t xml:space="preserve">survey is </w:t>
      </w:r>
      <w:r w:rsidR="00D83163" w:rsidRPr="00985F06">
        <w:rPr>
          <w:rFonts w:ascii="Times New Roman" w:hAnsi="Times New Roman"/>
          <w:szCs w:val="24"/>
        </w:rPr>
        <w:t>not intended to collect information on individual</w:t>
      </w:r>
      <w:r w:rsidR="00FA2F4E">
        <w:rPr>
          <w:rFonts w:ascii="Times New Roman" w:hAnsi="Times New Roman"/>
          <w:szCs w:val="24"/>
        </w:rPr>
        <w:t xml:space="preserve"> officers </w:t>
      </w:r>
      <w:r w:rsidR="00D83163" w:rsidRPr="00985F06">
        <w:rPr>
          <w:rFonts w:ascii="Times New Roman" w:hAnsi="Times New Roman"/>
          <w:szCs w:val="24"/>
        </w:rPr>
        <w:t xml:space="preserve">or information that would otherwise be considered sensitive in nature. As such, the activities associated with this task are not considered human subjects research. However, participants will be informed </w:t>
      </w:r>
      <w:r w:rsidR="00D93858">
        <w:rPr>
          <w:rFonts w:ascii="Times New Roman" w:hAnsi="Times New Roman"/>
          <w:szCs w:val="24"/>
        </w:rPr>
        <w:t xml:space="preserve">that their participation in the </w:t>
      </w:r>
      <w:r w:rsidR="003A2B2E" w:rsidRPr="00985F06">
        <w:rPr>
          <w:rFonts w:ascii="Times New Roman" w:hAnsi="Times New Roman"/>
          <w:szCs w:val="24"/>
        </w:rPr>
        <w:t>survey</w:t>
      </w:r>
      <w:r w:rsidR="00D83163" w:rsidRPr="00985F06">
        <w:rPr>
          <w:rFonts w:ascii="Times New Roman" w:hAnsi="Times New Roman"/>
          <w:szCs w:val="24"/>
        </w:rPr>
        <w:t xml:space="preserve"> is voluntary, </w:t>
      </w:r>
      <w:r w:rsidR="00D72EE2">
        <w:rPr>
          <w:rFonts w:ascii="Times New Roman" w:hAnsi="Times New Roman"/>
          <w:szCs w:val="24"/>
        </w:rPr>
        <w:t xml:space="preserve">they may </w:t>
      </w:r>
      <w:r w:rsidR="00D83163" w:rsidRPr="00985F06">
        <w:rPr>
          <w:rFonts w:ascii="Times New Roman" w:hAnsi="Times New Roman"/>
          <w:szCs w:val="24"/>
        </w:rPr>
        <w:t xml:space="preserve">decline to answer any </w:t>
      </w:r>
      <w:r w:rsidR="000C6C84">
        <w:rPr>
          <w:rFonts w:ascii="Times New Roman" w:hAnsi="Times New Roman"/>
          <w:szCs w:val="24"/>
        </w:rPr>
        <w:t>or</w:t>
      </w:r>
      <w:r w:rsidR="000C6C84" w:rsidRPr="00985F06">
        <w:rPr>
          <w:rFonts w:ascii="Times New Roman" w:hAnsi="Times New Roman"/>
          <w:szCs w:val="24"/>
        </w:rPr>
        <w:t xml:space="preserve"> </w:t>
      </w:r>
      <w:r w:rsidR="00D83163" w:rsidRPr="00985F06">
        <w:rPr>
          <w:rFonts w:ascii="Times New Roman" w:hAnsi="Times New Roman"/>
          <w:szCs w:val="24"/>
        </w:rPr>
        <w:t>all questions</w:t>
      </w:r>
      <w:r w:rsidR="00D72EE2">
        <w:rPr>
          <w:rFonts w:ascii="Times New Roman" w:hAnsi="Times New Roman"/>
          <w:szCs w:val="24"/>
        </w:rPr>
        <w:t>,</w:t>
      </w:r>
      <w:r w:rsidR="00D83163" w:rsidRPr="00985F06">
        <w:rPr>
          <w:rFonts w:ascii="Times New Roman" w:hAnsi="Times New Roman"/>
          <w:szCs w:val="24"/>
        </w:rPr>
        <w:t xml:space="preserve"> and </w:t>
      </w:r>
      <w:r w:rsidR="008A0229">
        <w:rPr>
          <w:rFonts w:ascii="Times New Roman" w:hAnsi="Times New Roman"/>
          <w:szCs w:val="24"/>
        </w:rPr>
        <w:t xml:space="preserve">they </w:t>
      </w:r>
      <w:r w:rsidR="00D83163" w:rsidRPr="00985F06">
        <w:rPr>
          <w:rFonts w:ascii="Times New Roman" w:hAnsi="Times New Roman"/>
          <w:szCs w:val="24"/>
        </w:rPr>
        <w:t>may stop their participation at any time.</w:t>
      </w:r>
    </w:p>
    <w:p w14:paraId="64FB4CF9" w14:textId="77777777" w:rsidR="00643C10" w:rsidRPr="00985F06" w:rsidRDefault="00643C10" w:rsidP="004918AB">
      <w:pPr>
        <w:spacing w:after="0" w:line="240" w:lineRule="auto"/>
        <w:rPr>
          <w:rFonts w:ascii="Times New Roman" w:hAnsi="Times New Roman" w:cs="Times New Roman"/>
          <w:b/>
          <w:sz w:val="24"/>
          <w:szCs w:val="24"/>
          <w:u w:val="single"/>
        </w:rPr>
      </w:pPr>
    </w:p>
    <w:p w14:paraId="17C4EBFD" w14:textId="77777777" w:rsidR="00643C10" w:rsidRPr="00985F06" w:rsidRDefault="00643C10" w:rsidP="009517EC">
      <w:pPr>
        <w:keepNext/>
        <w:rPr>
          <w:rFonts w:ascii="Times New Roman" w:hAnsi="Times New Roman" w:cs="Times New Roman"/>
          <w:b/>
          <w:sz w:val="24"/>
          <w:szCs w:val="24"/>
          <w:u w:val="single"/>
        </w:rPr>
      </w:pPr>
      <w:r w:rsidRPr="00013209">
        <w:rPr>
          <w:rFonts w:ascii="Times New Roman" w:hAnsi="Times New Roman" w:cs="Times New Roman"/>
          <w:b/>
          <w:sz w:val="24"/>
          <w:szCs w:val="24"/>
          <w:u w:val="single"/>
        </w:rPr>
        <w:t>Data Security</w:t>
      </w:r>
    </w:p>
    <w:p w14:paraId="789E023A" w14:textId="726E0B84" w:rsidR="004E431D" w:rsidRPr="004E431D" w:rsidRDefault="004E431D" w:rsidP="00D93858">
      <w:pPr>
        <w:spacing w:after="0" w:line="288" w:lineRule="auto"/>
        <w:rPr>
          <w:rFonts w:ascii="Times New Roman" w:hAnsi="Times New Roman" w:cs="Times New Roman"/>
          <w:sz w:val="24"/>
          <w:szCs w:val="24"/>
        </w:rPr>
      </w:pPr>
      <w:r w:rsidRPr="004E431D">
        <w:rPr>
          <w:rFonts w:ascii="Times New Roman" w:hAnsi="Times New Roman" w:cs="Times New Roman"/>
          <w:sz w:val="24"/>
          <w:szCs w:val="24"/>
        </w:rPr>
        <w:t>Data security is paramount to the success of any research study.</w:t>
      </w:r>
      <w:r w:rsidR="00CA37E1">
        <w:rPr>
          <w:rFonts w:ascii="Times New Roman" w:hAnsi="Times New Roman" w:cs="Times New Roman"/>
          <w:sz w:val="24"/>
          <w:szCs w:val="24"/>
        </w:rPr>
        <w:t xml:space="preserve"> </w:t>
      </w:r>
      <w:r w:rsidRPr="004E431D">
        <w:rPr>
          <w:rFonts w:ascii="Times New Roman" w:hAnsi="Times New Roman" w:cs="Times New Roman"/>
          <w:sz w:val="24"/>
          <w:szCs w:val="24"/>
        </w:rPr>
        <w:t xml:space="preserve">Our </w:t>
      </w:r>
      <w:r w:rsidR="00865050">
        <w:rPr>
          <w:rFonts w:ascii="Times New Roman" w:hAnsi="Times New Roman" w:cs="Times New Roman"/>
          <w:sz w:val="24"/>
          <w:szCs w:val="24"/>
        </w:rPr>
        <w:t>Web</w:t>
      </w:r>
      <w:r w:rsidRPr="004E431D">
        <w:rPr>
          <w:rFonts w:ascii="Times New Roman" w:hAnsi="Times New Roman" w:cs="Times New Roman"/>
          <w:sz w:val="24"/>
          <w:szCs w:val="24"/>
        </w:rPr>
        <w:t xml:space="preserve"> survey resides in an environment that has passed a</w:t>
      </w:r>
      <w:r w:rsidR="00BE6378">
        <w:rPr>
          <w:rFonts w:ascii="Times New Roman" w:hAnsi="Times New Roman" w:cs="Times New Roman"/>
          <w:sz w:val="24"/>
          <w:szCs w:val="24"/>
        </w:rPr>
        <w:t>n</w:t>
      </w:r>
      <w:r w:rsidRPr="004E431D">
        <w:rPr>
          <w:rFonts w:ascii="Times New Roman" w:hAnsi="Times New Roman" w:cs="Times New Roman"/>
          <w:sz w:val="24"/>
          <w:szCs w:val="24"/>
        </w:rPr>
        <w:t xml:space="preserve"> SSAE-16 SOC 2 audit, which is a rigorous private</w:t>
      </w:r>
      <w:r w:rsidR="000C6C84">
        <w:rPr>
          <w:rFonts w:ascii="Times New Roman" w:hAnsi="Times New Roman" w:cs="Times New Roman"/>
          <w:sz w:val="24"/>
          <w:szCs w:val="24"/>
        </w:rPr>
        <w:t>-</w:t>
      </w:r>
      <w:r w:rsidRPr="004E431D">
        <w:rPr>
          <w:rFonts w:ascii="Times New Roman" w:hAnsi="Times New Roman" w:cs="Times New Roman"/>
          <w:sz w:val="24"/>
          <w:szCs w:val="24"/>
        </w:rPr>
        <w:t>sector security accreditation.</w:t>
      </w:r>
      <w:r w:rsidR="00CA37E1">
        <w:rPr>
          <w:rFonts w:ascii="Times New Roman" w:hAnsi="Times New Roman" w:cs="Times New Roman"/>
          <w:sz w:val="24"/>
          <w:szCs w:val="24"/>
        </w:rPr>
        <w:t xml:space="preserve"> </w:t>
      </w:r>
      <w:r w:rsidRPr="004E431D">
        <w:rPr>
          <w:rFonts w:ascii="Times New Roman" w:hAnsi="Times New Roman" w:cs="Times New Roman"/>
          <w:sz w:val="24"/>
          <w:szCs w:val="24"/>
        </w:rPr>
        <w:t>All survey data are encrypted in</w:t>
      </w:r>
      <w:r w:rsidR="00BE6378">
        <w:rPr>
          <w:rFonts w:ascii="Times New Roman" w:hAnsi="Times New Roman" w:cs="Times New Roman"/>
          <w:sz w:val="24"/>
          <w:szCs w:val="24"/>
        </w:rPr>
        <w:t xml:space="preserve"> </w:t>
      </w:r>
      <w:r w:rsidRPr="004E431D">
        <w:rPr>
          <w:rFonts w:ascii="Times New Roman" w:hAnsi="Times New Roman" w:cs="Times New Roman"/>
          <w:sz w:val="24"/>
          <w:szCs w:val="24"/>
        </w:rPr>
        <w:t>transit and at</w:t>
      </w:r>
      <w:r w:rsidR="00BE6378">
        <w:rPr>
          <w:rFonts w:ascii="Times New Roman" w:hAnsi="Times New Roman" w:cs="Times New Roman"/>
          <w:sz w:val="24"/>
          <w:szCs w:val="24"/>
        </w:rPr>
        <w:t xml:space="preserve"> </w:t>
      </w:r>
      <w:r w:rsidRPr="004E431D">
        <w:rPr>
          <w:rFonts w:ascii="Times New Roman" w:hAnsi="Times New Roman" w:cs="Times New Roman"/>
          <w:sz w:val="24"/>
          <w:szCs w:val="24"/>
        </w:rPr>
        <w:t>rest during data collection.</w:t>
      </w:r>
    </w:p>
    <w:p w14:paraId="60C8698C" w14:textId="77777777" w:rsidR="004E431D" w:rsidRDefault="004E431D" w:rsidP="00884724">
      <w:pPr>
        <w:spacing w:after="0" w:line="288" w:lineRule="auto"/>
        <w:rPr>
          <w:rFonts w:ascii="Times New Roman" w:hAnsi="Times New Roman" w:cs="Times New Roman"/>
          <w:sz w:val="24"/>
          <w:szCs w:val="24"/>
        </w:rPr>
      </w:pPr>
      <w:r w:rsidRPr="004E431D">
        <w:rPr>
          <w:rFonts w:ascii="Times New Roman" w:hAnsi="Times New Roman" w:cs="Times New Roman"/>
          <w:sz w:val="24"/>
          <w:szCs w:val="24"/>
        </w:rPr>
        <w:t xml:space="preserve">To ensure confidentiality of data and contact information collected on behalf of </w:t>
      </w:r>
      <w:r w:rsidR="00BE6378">
        <w:rPr>
          <w:rFonts w:ascii="Times New Roman" w:hAnsi="Times New Roman" w:cs="Times New Roman"/>
          <w:sz w:val="24"/>
          <w:szCs w:val="24"/>
        </w:rPr>
        <w:t>BJS</w:t>
      </w:r>
      <w:r w:rsidRPr="004E431D">
        <w:rPr>
          <w:rFonts w:ascii="Times New Roman" w:hAnsi="Times New Roman" w:cs="Times New Roman"/>
          <w:sz w:val="24"/>
          <w:szCs w:val="24"/>
        </w:rPr>
        <w:t xml:space="preserve">, the following procedures will be implemented where possible: </w:t>
      </w:r>
    </w:p>
    <w:p w14:paraId="03861114" w14:textId="77777777" w:rsidR="004E431D" w:rsidRDefault="004E431D" w:rsidP="00884724">
      <w:pPr>
        <w:spacing w:after="0" w:line="288" w:lineRule="auto"/>
        <w:rPr>
          <w:rFonts w:ascii="Times New Roman" w:hAnsi="Times New Roman" w:cs="Times New Roman"/>
          <w:sz w:val="24"/>
          <w:szCs w:val="24"/>
        </w:rPr>
      </w:pPr>
    </w:p>
    <w:p w14:paraId="4949F159" w14:textId="77777777" w:rsidR="004E431D" w:rsidRDefault="004E431D" w:rsidP="00884724">
      <w:pPr>
        <w:pStyle w:val="ListParagraph"/>
        <w:numPr>
          <w:ilvl w:val="0"/>
          <w:numId w:val="7"/>
        </w:numPr>
        <w:spacing w:after="0" w:line="288" w:lineRule="auto"/>
        <w:rPr>
          <w:rFonts w:ascii="Times New Roman" w:hAnsi="Times New Roman" w:cs="Times New Roman"/>
          <w:sz w:val="24"/>
          <w:szCs w:val="24"/>
        </w:rPr>
      </w:pPr>
      <w:r w:rsidRPr="00285EBA">
        <w:rPr>
          <w:rFonts w:ascii="Times New Roman" w:hAnsi="Times New Roman" w:cs="Times New Roman"/>
          <w:sz w:val="24"/>
          <w:szCs w:val="24"/>
        </w:rPr>
        <w:t>Only research team members will have access to the survey data for analysis. Unique user names and passwords will be created</w:t>
      </w:r>
      <w:r w:rsidR="000C6C84">
        <w:rPr>
          <w:rFonts w:ascii="Times New Roman" w:hAnsi="Times New Roman" w:cs="Times New Roman"/>
          <w:sz w:val="24"/>
          <w:szCs w:val="24"/>
        </w:rPr>
        <w:t>,</w:t>
      </w:r>
      <w:r w:rsidRPr="00285EBA">
        <w:rPr>
          <w:rFonts w:ascii="Times New Roman" w:hAnsi="Times New Roman" w:cs="Times New Roman"/>
          <w:sz w:val="24"/>
          <w:szCs w:val="24"/>
        </w:rPr>
        <w:t xml:space="preserve"> and access to data will be restricted to research team members.</w:t>
      </w:r>
    </w:p>
    <w:p w14:paraId="34BCCF4E" w14:textId="77777777" w:rsidR="004E431D" w:rsidRDefault="004E431D" w:rsidP="00884724">
      <w:pPr>
        <w:pStyle w:val="ListParagraph"/>
        <w:numPr>
          <w:ilvl w:val="0"/>
          <w:numId w:val="7"/>
        </w:numPr>
        <w:spacing w:after="0" w:line="288" w:lineRule="auto"/>
        <w:rPr>
          <w:rFonts w:ascii="Times New Roman" w:hAnsi="Times New Roman" w:cs="Times New Roman"/>
          <w:sz w:val="24"/>
          <w:szCs w:val="24"/>
        </w:rPr>
      </w:pPr>
      <w:r w:rsidRPr="00F946C5">
        <w:rPr>
          <w:rFonts w:ascii="Times New Roman" w:hAnsi="Times New Roman" w:cs="Times New Roman"/>
          <w:sz w:val="24"/>
          <w:szCs w:val="24"/>
        </w:rPr>
        <w:t>Only research team members</w:t>
      </w:r>
      <w:r w:rsidR="00620D61">
        <w:rPr>
          <w:rFonts w:ascii="Times New Roman" w:hAnsi="Times New Roman" w:cs="Times New Roman"/>
          <w:sz w:val="24"/>
          <w:szCs w:val="24"/>
        </w:rPr>
        <w:t xml:space="preserve"> directly</w:t>
      </w:r>
      <w:r w:rsidRPr="00F946C5">
        <w:rPr>
          <w:rFonts w:ascii="Times New Roman" w:hAnsi="Times New Roman" w:cs="Times New Roman"/>
          <w:sz w:val="24"/>
          <w:szCs w:val="24"/>
        </w:rPr>
        <w:t xml:space="preserve"> </w:t>
      </w:r>
      <w:r w:rsidR="00620D61">
        <w:rPr>
          <w:rFonts w:ascii="Times New Roman" w:hAnsi="Times New Roman" w:cs="Times New Roman"/>
          <w:sz w:val="24"/>
          <w:szCs w:val="24"/>
        </w:rPr>
        <w:t xml:space="preserve">involved in analysis tasks </w:t>
      </w:r>
      <w:r w:rsidRPr="00F946C5">
        <w:rPr>
          <w:rFonts w:ascii="Times New Roman" w:hAnsi="Times New Roman" w:cs="Times New Roman"/>
          <w:sz w:val="24"/>
          <w:szCs w:val="24"/>
        </w:rPr>
        <w:t>will be allowed to download survey response data.</w:t>
      </w:r>
    </w:p>
    <w:p w14:paraId="4A69B35C" w14:textId="58E46350" w:rsidR="004E431D" w:rsidRDefault="004E431D" w:rsidP="00884724">
      <w:pPr>
        <w:pStyle w:val="ListParagraph"/>
        <w:numPr>
          <w:ilvl w:val="0"/>
          <w:numId w:val="7"/>
        </w:numPr>
        <w:spacing w:after="0" w:line="288" w:lineRule="auto"/>
        <w:rPr>
          <w:rFonts w:ascii="Times New Roman" w:hAnsi="Times New Roman" w:cs="Times New Roman"/>
          <w:sz w:val="24"/>
          <w:szCs w:val="24"/>
        </w:rPr>
      </w:pPr>
      <w:r w:rsidRPr="004175E1">
        <w:rPr>
          <w:rFonts w:ascii="Times New Roman" w:hAnsi="Times New Roman" w:cs="Times New Roman"/>
          <w:sz w:val="24"/>
          <w:szCs w:val="24"/>
        </w:rPr>
        <w:t xml:space="preserve">Training </w:t>
      </w:r>
      <w:r w:rsidR="00BE4C00" w:rsidRPr="004175E1">
        <w:rPr>
          <w:rFonts w:ascii="Times New Roman" w:hAnsi="Times New Roman" w:cs="Times New Roman"/>
          <w:sz w:val="24"/>
          <w:szCs w:val="24"/>
        </w:rPr>
        <w:t xml:space="preserve">on the protection of confidentiality </w:t>
      </w:r>
      <w:r w:rsidRPr="004175E1">
        <w:rPr>
          <w:rFonts w:ascii="Times New Roman" w:hAnsi="Times New Roman" w:cs="Times New Roman"/>
          <w:sz w:val="24"/>
          <w:szCs w:val="24"/>
        </w:rPr>
        <w:t xml:space="preserve">will be provided to all staff </w:t>
      </w:r>
      <w:r w:rsidR="00BE4C00" w:rsidRPr="004175E1">
        <w:rPr>
          <w:rFonts w:ascii="Times New Roman" w:hAnsi="Times New Roman" w:cs="Times New Roman"/>
          <w:sz w:val="24"/>
          <w:szCs w:val="24"/>
        </w:rPr>
        <w:t>as needed</w:t>
      </w:r>
      <w:r w:rsidRPr="004175E1">
        <w:rPr>
          <w:rFonts w:ascii="Times New Roman" w:hAnsi="Times New Roman" w:cs="Times New Roman"/>
          <w:sz w:val="24"/>
          <w:szCs w:val="24"/>
        </w:rPr>
        <w:t>.</w:t>
      </w:r>
    </w:p>
    <w:p w14:paraId="5412A9F6" w14:textId="77777777" w:rsidR="004E431D" w:rsidRDefault="004E431D" w:rsidP="00884724">
      <w:pPr>
        <w:pStyle w:val="ListParagraph"/>
        <w:numPr>
          <w:ilvl w:val="0"/>
          <w:numId w:val="7"/>
        </w:numPr>
        <w:spacing w:after="0" w:line="288" w:lineRule="auto"/>
        <w:rPr>
          <w:rFonts w:ascii="Times New Roman" w:hAnsi="Times New Roman" w:cs="Times New Roman"/>
          <w:sz w:val="24"/>
          <w:szCs w:val="24"/>
        </w:rPr>
      </w:pPr>
      <w:r w:rsidRPr="00F957BC">
        <w:rPr>
          <w:rFonts w:ascii="Times New Roman" w:hAnsi="Times New Roman" w:cs="Times New Roman"/>
          <w:sz w:val="24"/>
          <w:szCs w:val="24"/>
        </w:rPr>
        <w:t>Any staff person engaged in the collection</w:t>
      </w:r>
      <w:r w:rsidR="00BE6378">
        <w:rPr>
          <w:rFonts w:ascii="Times New Roman" w:hAnsi="Times New Roman" w:cs="Times New Roman"/>
          <w:sz w:val="24"/>
          <w:szCs w:val="24"/>
        </w:rPr>
        <w:t>,</w:t>
      </w:r>
      <w:r w:rsidRPr="00F957BC">
        <w:rPr>
          <w:rFonts w:ascii="Times New Roman" w:hAnsi="Times New Roman" w:cs="Times New Roman"/>
          <w:sz w:val="24"/>
          <w:szCs w:val="24"/>
        </w:rPr>
        <w:t xml:space="preserve"> management</w:t>
      </w:r>
      <w:r w:rsidR="00BE6378">
        <w:rPr>
          <w:rFonts w:ascii="Times New Roman" w:hAnsi="Times New Roman" w:cs="Times New Roman"/>
          <w:sz w:val="24"/>
          <w:szCs w:val="24"/>
        </w:rPr>
        <w:t xml:space="preserve">, </w:t>
      </w:r>
      <w:r w:rsidRPr="00F957BC">
        <w:rPr>
          <w:rFonts w:ascii="Times New Roman" w:hAnsi="Times New Roman" w:cs="Times New Roman"/>
          <w:sz w:val="24"/>
          <w:szCs w:val="24"/>
        </w:rPr>
        <w:t xml:space="preserve">or analysis of data will be required to sign a confidentiality agreement, which will specify requisite privacy </w:t>
      </w:r>
      <w:r w:rsidRPr="00F957BC">
        <w:rPr>
          <w:rFonts w:ascii="Times New Roman" w:hAnsi="Times New Roman" w:cs="Times New Roman"/>
          <w:sz w:val="24"/>
          <w:szCs w:val="24"/>
        </w:rPr>
        <w:lastRenderedPageBreak/>
        <w:t>regulations. In signing the confidentiality agreement, staff indicate their willingness to comply with privacy regulations.</w:t>
      </w:r>
      <w:r w:rsidR="00954F02">
        <w:rPr>
          <w:rFonts w:ascii="Times New Roman" w:hAnsi="Times New Roman" w:cs="Times New Roman"/>
          <w:sz w:val="24"/>
          <w:szCs w:val="24"/>
        </w:rPr>
        <w:t xml:space="preserve"> See Attachment </w:t>
      </w:r>
      <w:r w:rsidR="00413120">
        <w:rPr>
          <w:rFonts w:ascii="Times New Roman" w:hAnsi="Times New Roman" w:cs="Times New Roman"/>
          <w:sz w:val="24"/>
          <w:szCs w:val="24"/>
        </w:rPr>
        <w:t>P</w:t>
      </w:r>
      <w:r w:rsidR="00954F02">
        <w:rPr>
          <w:rFonts w:ascii="Times New Roman" w:hAnsi="Times New Roman" w:cs="Times New Roman"/>
          <w:sz w:val="24"/>
          <w:szCs w:val="24"/>
        </w:rPr>
        <w:t>.</w:t>
      </w:r>
    </w:p>
    <w:p w14:paraId="6B0F1E87" w14:textId="7A51A02F" w:rsidR="004E431D" w:rsidRPr="004E431D" w:rsidRDefault="009517EC" w:rsidP="00884724">
      <w:pPr>
        <w:pStyle w:val="ListParagraph"/>
        <w:numPr>
          <w:ilvl w:val="0"/>
          <w:numId w:val="7"/>
        </w:numPr>
        <w:spacing w:after="0" w:line="288" w:lineRule="auto"/>
        <w:rPr>
          <w:rFonts w:ascii="Times New Roman" w:hAnsi="Times New Roman" w:cs="Times New Roman"/>
          <w:sz w:val="24"/>
          <w:szCs w:val="24"/>
        </w:rPr>
      </w:pPr>
      <w:r>
        <w:rPr>
          <w:rFonts w:ascii="Times New Roman" w:hAnsi="Times New Roman" w:cs="Times New Roman"/>
          <w:sz w:val="24"/>
          <w:szCs w:val="24"/>
        </w:rPr>
        <w:t>A</w:t>
      </w:r>
      <w:r w:rsidR="004E431D" w:rsidRPr="00A069A4">
        <w:rPr>
          <w:rFonts w:ascii="Times New Roman" w:hAnsi="Times New Roman" w:cs="Times New Roman"/>
          <w:sz w:val="24"/>
          <w:szCs w:val="24"/>
        </w:rPr>
        <w:t xml:space="preserve">ll electronic response data </w:t>
      </w:r>
      <w:r w:rsidR="00BE4C00">
        <w:rPr>
          <w:rFonts w:ascii="Times New Roman" w:hAnsi="Times New Roman" w:cs="Times New Roman"/>
          <w:sz w:val="24"/>
          <w:szCs w:val="24"/>
        </w:rPr>
        <w:t xml:space="preserve">will </w:t>
      </w:r>
      <w:r>
        <w:rPr>
          <w:rFonts w:ascii="Times New Roman" w:hAnsi="Times New Roman" w:cs="Times New Roman"/>
          <w:sz w:val="24"/>
          <w:szCs w:val="24"/>
        </w:rPr>
        <w:t xml:space="preserve">be </w:t>
      </w:r>
      <w:r w:rsidR="00BE4C00" w:rsidRPr="00A069A4">
        <w:rPr>
          <w:rFonts w:ascii="Times New Roman" w:hAnsi="Times New Roman" w:cs="Times New Roman"/>
          <w:sz w:val="24"/>
          <w:szCs w:val="24"/>
        </w:rPr>
        <w:t xml:space="preserve">permanently </w:t>
      </w:r>
      <w:r w:rsidRPr="00A069A4">
        <w:rPr>
          <w:rFonts w:ascii="Times New Roman" w:hAnsi="Times New Roman" w:cs="Times New Roman"/>
          <w:sz w:val="24"/>
          <w:szCs w:val="24"/>
        </w:rPr>
        <w:t>destroy</w:t>
      </w:r>
      <w:r w:rsidR="00844E60">
        <w:rPr>
          <w:rFonts w:ascii="Times New Roman" w:hAnsi="Times New Roman" w:cs="Times New Roman"/>
          <w:sz w:val="24"/>
          <w:szCs w:val="24"/>
        </w:rPr>
        <w:t>ed</w:t>
      </w:r>
      <w:r w:rsidRPr="00A069A4">
        <w:rPr>
          <w:rFonts w:ascii="Times New Roman" w:hAnsi="Times New Roman" w:cs="Times New Roman"/>
          <w:sz w:val="24"/>
          <w:szCs w:val="24"/>
        </w:rPr>
        <w:t xml:space="preserve"> </w:t>
      </w:r>
      <w:r w:rsidR="004E431D" w:rsidRPr="00A069A4">
        <w:rPr>
          <w:rFonts w:ascii="Times New Roman" w:hAnsi="Times New Roman" w:cs="Times New Roman"/>
          <w:sz w:val="24"/>
          <w:szCs w:val="24"/>
        </w:rPr>
        <w:t>at the conclusion of the contract.</w:t>
      </w:r>
    </w:p>
    <w:p w14:paraId="3E130AEB" w14:textId="77777777" w:rsidR="004E431D" w:rsidRPr="00985F06" w:rsidRDefault="004E431D" w:rsidP="004918AB">
      <w:pPr>
        <w:spacing w:after="0" w:line="240" w:lineRule="auto"/>
        <w:rPr>
          <w:rFonts w:ascii="Times New Roman" w:hAnsi="Times New Roman" w:cs="Times New Roman"/>
          <w:b/>
          <w:sz w:val="24"/>
          <w:szCs w:val="24"/>
          <w:u w:val="single"/>
        </w:rPr>
      </w:pPr>
    </w:p>
    <w:p w14:paraId="7B96A62B" w14:textId="77777777" w:rsidR="00643C10" w:rsidRPr="00985F06" w:rsidRDefault="00643C10" w:rsidP="00D93858">
      <w:pPr>
        <w:keepNext/>
        <w:spacing w:after="120" w:line="240" w:lineRule="auto"/>
        <w:rPr>
          <w:rFonts w:ascii="Times New Roman" w:hAnsi="Times New Roman" w:cs="Times New Roman"/>
          <w:b/>
          <w:sz w:val="24"/>
          <w:szCs w:val="24"/>
          <w:u w:val="single"/>
        </w:rPr>
      </w:pPr>
      <w:r w:rsidRPr="00985F06">
        <w:rPr>
          <w:rFonts w:ascii="Times New Roman" w:hAnsi="Times New Roman" w:cs="Times New Roman"/>
          <w:b/>
          <w:sz w:val="24"/>
          <w:szCs w:val="24"/>
          <w:u w:val="single"/>
        </w:rPr>
        <w:t>Contact Information</w:t>
      </w:r>
    </w:p>
    <w:p w14:paraId="5D71C6CA" w14:textId="287B1E64" w:rsidR="00643C10" w:rsidRPr="00985F06" w:rsidRDefault="00643C10" w:rsidP="00D93858">
      <w:pPr>
        <w:keepNext/>
        <w:spacing w:after="0" w:line="240" w:lineRule="auto"/>
        <w:rPr>
          <w:rFonts w:ascii="Times New Roman" w:hAnsi="Times New Roman" w:cs="Times New Roman"/>
          <w:sz w:val="24"/>
          <w:szCs w:val="24"/>
        </w:rPr>
      </w:pPr>
      <w:r w:rsidRPr="00985F06">
        <w:rPr>
          <w:rFonts w:ascii="Times New Roman" w:hAnsi="Times New Roman" w:cs="Times New Roman"/>
          <w:sz w:val="24"/>
          <w:szCs w:val="24"/>
        </w:rPr>
        <w:t>Questions regarding any aspect of this project can be directed to</w:t>
      </w:r>
      <w:r w:rsidR="00BE3703">
        <w:rPr>
          <w:rFonts w:ascii="Times New Roman" w:hAnsi="Times New Roman" w:cs="Times New Roman"/>
          <w:sz w:val="24"/>
          <w:szCs w:val="24"/>
        </w:rPr>
        <w:t>—</w:t>
      </w:r>
      <w:r w:rsidR="00470687">
        <w:rPr>
          <w:rFonts w:ascii="Times New Roman" w:hAnsi="Times New Roman" w:cs="Times New Roman"/>
          <w:sz w:val="24"/>
          <w:szCs w:val="24"/>
        </w:rPr>
        <w:t>—</w:t>
      </w:r>
    </w:p>
    <w:p w14:paraId="70E4274B" w14:textId="77777777" w:rsidR="00643C10" w:rsidRPr="00985F06" w:rsidRDefault="00643C10" w:rsidP="00D93858">
      <w:pPr>
        <w:keepNext/>
        <w:spacing w:after="0" w:line="240" w:lineRule="auto"/>
        <w:rPr>
          <w:rFonts w:ascii="Times New Roman" w:hAnsi="Times New Roman" w:cs="Times New Roman"/>
          <w:sz w:val="24"/>
          <w:szCs w:val="24"/>
        </w:rPr>
      </w:pPr>
    </w:p>
    <w:p w14:paraId="7BC4685F" w14:textId="77777777" w:rsidR="00CE51BC" w:rsidRPr="00CE51BC" w:rsidRDefault="000428B6" w:rsidP="00D93858">
      <w:pPr>
        <w:keepNext/>
        <w:spacing w:after="0" w:line="240" w:lineRule="auto"/>
        <w:ind w:left="720"/>
        <w:rPr>
          <w:rFonts w:ascii="Times New Roman" w:hAnsi="Times New Roman" w:cs="Times New Roman"/>
          <w:sz w:val="24"/>
          <w:szCs w:val="24"/>
        </w:rPr>
      </w:pPr>
      <w:r>
        <w:rPr>
          <w:rFonts w:ascii="Times New Roman" w:hAnsi="Times New Roman" w:cs="Times New Roman"/>
          <w:sz w:val="24"/>
          <w:szCs w:val="24"/>
        </w:rPr>
        <w:t>Michael Planty</w:t>
      </w:r>
      <w:r w:rsidR="00CE51BC" w:rsidRPr="00CE51BC">
        <w:rPr>
          <w:rFonts w:ascii="Times New Roman" w:hAnsi="Times New Roman" w:cs="Times New Roman"/>
          <w:sz w:val="24"/>
          <w:szCs w:val="24"/>
        </w:rPr>
        <w:t>, PhD</w:t>
      </w:r>
    </w:p>
    <w:p w14:paraId="38E4F5BB" w14:textId="77777777" w:rsidR="00CE51BC" w:rsidRPr="00CE51BC" w:rsidRDefault="00CE51BC" w:rsidP="00D93858">
      <w:pPr>
        <w:keepNext/>
        <w:spacing w:after="0" w:line="240" w:lineRule="auto"/>
        <w:ind w:left="720"/>
        <w:rPr>
          <w:rFonts w:ascii="Times New Roman" w:hAnsi="Times New Roman" w:cs="Times New Roman"/>
          <w:sz w:val="24"/>
          <w:szCs w:val="24"/>
        </w:rPr>
      </w:pPr>
      <w:r w:rsidRPr="00CE51BC">
        <w:rPr>
          <w:rFonts w:ascii="Times New Roman" w:hAnsi="Times New Roman" w:cs="Times New Roman"/>
          <w:sz w:val="24"/>
          <w:szCs w:val="24"/>
        </w:rPr>
        <w:t xml:space="preserve">Chief, </w:t>
      </w:r>
      <w:r w:rsidR="000428B6">
        <w:rPr>
          <w:rFonts w:ascii="Times New Roman" w:hAnsi="Times New Roman" w:cs="Times New Roman"/>
          <w:sz w:val="24"/>
          <w:szCs w:val="24"/>
        </w:rPr>
        <w:t>Victimization</w:t>
      </w:r>
      <w:r w:rsidR="00844117" w:rsidRPr="00CE51BC">
        <w:rPr>
          <w:rFonts w:ascii="Times New Roman" w:hAnsi="Times New Roman" w:cs="Times New Roman"/>
          <w:sz w:val="24"/>
          <w:szCs w:val="24"/>
        </w:rPr>
        <w:t xml:space="preserve"> </w:t>
      </w:r>
      <w:r w:rsidRPr="00CE51BC">
        <w:rPr>
          <w:rFonts w:ascii="Times New Roman" w:hAnsi="Times New Roman" w:cs="Times New Roman"/>
          <w:sz w:val="24"/>
          <w:szCs w:val="24"/>
        </w:rPr>
        <w:t>Statistics</w:t>
      </w:r>
    </w:p>
    <w:p w14:paraId="42B3CC18" w14:textId="77777777" w:rsidR="00CE51BC" w:rsidRPr="00CE51BC" w:rsidRDefault="00CE51BC" w:rsidP="00D93858">
      <w:pPr>
        <w:keepNext/>
        <w:spacing w:after="0" w:line="240" w:lineRule="auto"/>
        <w:ind w:left="720"/>
        <w:rPr>
          <w:rFonts w:ascii="Times New Roman" w:hAnsi="Times New Roman" w:cs="Times New Roman"/>
          <w:sz w:val="24"/>
          <w:szCs w:val="24"/>
        </w:rPr>
      </w:pPr>
      <w:r w:rsidRPr="00CE51BC">
        <w:rPr>
          <w:rFonts w:ascii="Times New Roman" w:hAnsi="Times New Roman" w:cs="Times New Roman"/>
          <w:sz w:val="24"/>
          <w:szCs w:val="24"/>
        </w:rPr>
        <w:t>Bureau of Justice Statistics</w:t>
      </w:r>
    </w:p>
    <w:p w14:paraId="06A9814D" w14:textId="77777777" w:rsidR="00CE51BC" w:rsidRPr="00CE51BC" w:rsidRDefault="00CE51BC" w:rsidP="00D93858">
      <w:pPr>
        <w:keepNext/>
        <w:spacing w:after="0" w:line="240" w:lineRule="auto"/>
        <w:ind w:left="720"/>
        <w:rPr>
          <w:rFonts w:ascii="Times New Roman" w:hAnsi="Times New Roman" w:cs="Times New Roman"/>
          <w:sz w:val="24"/>
          <w:szCs w:val="24"/>
        </w:rPr>
      </w:pPr>
      <w:r w:rsidRPr="00CE51BC">
        <w:rPr>
          <w:rFonts w:ascii="Times New Roman" w:hAnsi="Times New Roman" w:cs="Times New Roman"/>
          <w:sz w:val="24"/>
          <w:szCs w:val="24"/>
        </w:rPr>
        <w:t>U.S. Department of Justice</w:t>
      </w:r>
    </w:p>
    <w:p w14:paraId="2FD20C83" w14:textId="77777777" w:rsidR="00CE51BC" w:rsidRPr="00CE51BC" w:rsidRDefault="00CE51BC" w:rsidP="00D93858">
      <w:pPr>
        <w:keepNext/>
        <w:spacing w:after="0" w:line="240" w:lineRule="auto"/>
        <w:ind w:left="720"/>
        <w:rPr>
          <w:rFonts w:ascii="Times New Roman" w:hAnsi="Times New Roman" w:cs="Times New Roman"/>
          <w:sz w:val="24"/>
          <w:szCs w:val="24"/>
        </w:rPr>
      </w:pPr>
      <w:r w:rsidRPr="00CE51BC">
        <w:rPr>
          <w:rFonts w:ascii="Times New Roman" w:hAnsi="Times New Roman" w:cs="Times New Roman"/>
          <w:sz w:val="24"/>
          <w:szCs w:val="24"/>
        </w:rPr>
        <w:t>810 7th Street, NW, Room 2250</w:t>
      </w:r>
    </w:p>
    <w:p w14:paraId="2836D781" w14:textId="77777777" w:rsidR="00CE51BC" w:rsidRPr="00CE51BC" w:rsidRDefault="00CE51BC" w:rsidP="00D93858">
      <w:pPr>
        <w:keepNext/>
        <w:spacing w:after="0" w:line="240" w:lineRule="auto"/>
        <w:ind w:left="720"/>
        <w:rPr>
          <w:rFonts w:ascii="Times New Roman" w:hAnsi="Times New Roman" w:cs="Times New Roman"/>
          <w:sz w:val="24"/>
          <w:szCs w:val="24"/>
        </w:rPr>
      </w:pPr>
      <w:r w:rsidRPr="00CE51BC">
        <w:rPr>
          <w:rFonts w:ascii="Times New Roman" w:hAnsi="Times New Roman" w:cs="Times New Roman"/>
          <w:sz w:val="24"/>
          <w:szCs w:val="24"/>
        </w:rPr>
        <w:t>Washington, DC 20531</w:t>
      </w:r>
    </w:p>
    <w:p w14:paraId="5AF64881" w14:textId="7EE7D165" w:rsidR="00CE51BC" w:rsidRPr="00CE51BC" w:rsidRDefault="00523CEA" w:rsidP="00D93858">
      <w:pPr>
        <w:keepNext/>
        <w:spacing w:after="0" w:line="240" w:lineRule="auto"/>
        <w:ind w:left="720"/>
        <w:rPr>
          <w:rFonts w:ascii="Times New Roman" w:hAnsi="Times New Roman" w:cs="Times New Roman"/>
          <w:sz w:val="24"/>
          <w:szCs w:val="24"/>
        </w:rPr>
      </w:pPr>
      <w:r>
        <w:rPr>
          <w:rFonts w:ascii="Times New Roman" w:hAnsi="Times New Roman" w:cs="Times New Roman"/>
          <w:sz w:val="24"/>
          <w:szCs w:val="24"/>
        </w:rPr>
        <w:t>Telep</w:t>
      </w:r>
      <w:r w:rsidR="00CE51BC">
        <w:rPr>
          <w:rFonts w:ascii="Times New Roman" w:hAnsi="Times New Roman" w:cs="Times New Roman"/>
          <w:sz w:val="24"/>
          <w:szCs w:val="24"/>
        </w:rPr>
        <w:t>hone:</w:t>
      </w:r>
      <w:r w:rsidR="00CE51BC" w:rsidRPr="00CE51BC">
        <w:rPr>
          <w:rFonts w:ascii="Times New Roman" w:hAnsi="Times New Roman" w:cs="Times New Roman"/>
          <w:sz w:val="24"/>
          <w:szCs w:val="24"/>
        </w:rPr>
        <w:t xml:space="preserve"> </w:t>
      </w:r>
      <w:r w:rsidR="000428B6" w:rsidRPr="000428B6">
        <w:rPr>
          <w:rFonts w:ascii="Times New Roman" w:eastAsia="Times New Roman" w:hAnsi="Times New Roman"/>
          <w:sz w:val="24"/>
          <w:szCs w:val="24"/>
        </w:rPr>
        <w:t>(202) 514-9746</w:t>
      </w:r>
    </w:p>
    <w:p w14:paraId="35485222" w14:textId="77777777" w:rsidR="00CE51BC" w:rsidRDefault="00CE51BC" w:rsidP="00CE51BC">
      <w:pPr>
        <w:spacing w:after="0" w:line="240" w:lineRule="auto"/>
        <w:ind w:left="720"/>
        <w:rPr>
          <w:rFonts w:ascii="Times New Roman" w:eastAsia="Times New Roman" w:hAnsi="Times New Roman"/>
          <w:sz w:val="24"/>
          <w:szCs w:val="24"/>
        </w:rPr>
      </w:pPr>
      <w:r>
        <w:rPr>
          <w:rFonts w:ascii="Times New Roman" w:hAnsi="Times New Roman" w:cs="Times New Roman"/>
          <w:sz w:val="24"/>
          <w:szCs w:val="24"/>
        </w:rPr>
        <w:t xml:space="preserve">E-mail: </w:t>
      </w:r>
      <w:hyperlink r:id="rId11" w:history="1">
        <w:r w:rsidR="000428B6" w:rsidRPr="00580382">
          <w:rPr>
            <w:rStyle w:val="Hyperlink"/>
            <w:rFonts w:ascii="Times New Roman" w:eastAsia="Times New Roman" w:hAnsi="Times New Roman"/>
            <w:sz w:val="24"/>
            <w:szCs w:val="24"/>
          </w:rPr>
          <w:t>Michael.Planty@usdoj.gov</w:t>
        </w:r>
      </w:hyperlink>
    </w:p>
    <w:p w14:paraId="3283B0F4" w14:textId="77777777" w:rsidR="000428B6" w:rsidRDefault="000428B6" w:rsidP="00CE51BC">
      <w:pPr>
        <w:spacing w:after="0" w:line="240" w:lineRule="auto"/>
        <w:ind w:left="720"/>
        <w:rPr>
          <w:rFonts w:ascii="Times New Roman" w:hAnsi="Times New Roman" w:cs="Times New Roman"/>
          <w:sz w:val="24"/>
          <w:szCs w:val="24"/>
        </w:rPr>
      </w:pPr>
    </w:p>
    <w:p w14:paraId="012848E0" w14:textId="77777777" w:rsidR="00643C10" w:rsidRPr="00985F06" w:rsidRDefault="00643C10" w:rsidP="00547959">
      <w:pPr>
        <w:spacing w:after="0" w:line="240" w:lineRule="auto"/>
        <w:ind w:left="720"/>
        <w:rPr>
          <w:rFonts w:ascii="Times New Roman" w:hAnsi="Times New Roman" w:cs="Times New Roman"/>
          <w:sz w:val="24"/>
          <w:szCs w:val="24"/>
        </w:rPr>
      </w:pPr>
    </w:p>
    <w:p w14:paraId="018070C0" w14:textId="77777777" w:rsidR="001A2D3A" w:rsidRDefault="001A2D3A" w:rsidP="00A85472">
      <w:pPr>
        <w:spacing w:after="120" w:line="240" w:lineRule="auto"/>
        <w:rPr>
          <w:rFonts w:ascii="Times New Roman" w:hAnsi="Times New Roman" w:cs="Times New Roman"/>
          <w:b/>
          <w:sz w:val="24"/>
          <w:szCs w:val="24"/>
          <w:u w:val="single"/>
        </w:rPr>
      </w:pPr>
    </w:p>
    <w:p w14:paraId="37723225" w14:textId="77777777" w:rsidR="00204951" w:rsidRDefault="0020495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2FA83DA" w14:textId="77777777" w:rsidR="00643C10" w:rsidRPr="00985F06" w:rsidRDefault="00643C10" w:rsidP="00A85472">
      <w:pPr>
        <w:spacing w:after="120" w:line="240" w:lineRule="auto"/>
        <w:rPr>
          <w:rFonts w:ascii="Times New Roman" w:hAnsi="Times New Roman" w:cs="Times New Roman"/>
          <w:b/>
          <w:sz w:val="24"/>
          <w:szCs w:val="24"/>
          <w:u w:val="single"/>
        </w:rPr>
      </w:pPr>
      <w:r w:rsidRPr="00044F0C">
        <w:rPr>
          <w:rFonts w:ascii="Times New Roman" w:hAnsi="Times New Roman" w:cs="Times New Roman"/>
          <w:b/>
          <w:sz w:val="24"/>
          <w:szCs w:val="24"/>
          <w:u w:val="single"/>
        </w:rPr>
        <w:lastRenderedPageBreak/>
        <w:t>Attachments</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830"/>
      </w:tblGrid>
      <w:tr w:rsidR="001C25C7" w14:paraId="4F16B998" w14:textId="77777777" w:rsidTr="0044401E">
        <w:tc>
          <w:tcPr>
            <w:tcW w:w="1800" w:type="dxa"/>
          </w:tcPr>
          <w:p w14:paraId="4FA11B96"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A</w:t>
            </w:r>
          </w:p>
        </w:tc>
        <w:tc>
          <w:tcPr>
            <w:tcW w:w="7830" w:type="dxa"/>
          </w:tcPr>
          <w:p w14:paraId="72AC17B7"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 xml:space="preserve">Form CJ-11: Arrest-related deaths quarterly summary for law enforcement agencies with an identified death </w:t>
            </w:r>
          </w:p>
        </w:tc>
      </w:tr>
      <w:tr w:rsidR="001C25C7" w14:paraId="79185DC9" w14:textId="77777777" w:rsidTr="0044401E">
        <w:tc>
          <w:tcPr>
            <w:tcW w:w="1800" w:type="dxa"/>
          </w:tcPr>
          <w:p w14:paraId="35DAEEA3"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B</w:t>
            </w:r>
          </w:p>
        </w:tc>
        <w:tc>
          <w:tcPr>
            <w:tcW w:w="7830" w:type="dxa"/>
          </w:tcPr>
          <w:p w14:paraId="2B01A4B4"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Form CJ-11s: Arrest-related deaths quarterly summary for sampled law enforcement agencies without an identified death</w:t>
            </w:r>
          </w:p>
        </w:tc>
      </w:tr>
      <w:tr w:rsidR="001C25C7" w14:paraId="7E5EDE33" w14:textId="77777777" w:rsidTr="0044401E">
        <w:tc>
          <w:tcPr>
            <w:tcW w:w="1800" w:type="dxa"/>
          </w:tcPr>
          <w:p w14:paraId="36D2E467"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C</w:t>
            </w:r>
          </w:p>
        </w:tc>
        <w:tc>
          <w:tcPr>
            <w:tcW w:w="7830" w:type="dxa"/>
          </w:tcPr>
          <w:p w14:paraId="53910AF9"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Form CJ-11A: Arrest-related death incident report for law enforcement agencies</w:t>
            </w:r>
          </w:p>
        </w:tc>
      </w:tr>
      <w:tr w:rsidR="001C25C7" w14:paraId="6488596A" w14:textId="77777777" w:rsidTr="0044401E">
        <w:tc>
          <w:tcPr>
            <w:tcW w:w="1800" w:type="dxa"/>
          </w:tcPr>
          <w:p w14:paraId="187F5260"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D</w:t>
            </w:r>
          </w:p>
        </w:tc>
        <w:tc>
          <w:tcPr>
            <w:tcW w:w="7830" w:type="dxa"/>
          </w:tcPr>
          <w:p w14:paraId="6787EC7D" w14:textId="1E590D33"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Form CJ-12: Arrest-related deaths quarterly summary for medical examiner</w:t>
            </w:r>
            <w:r w:rsidR="008D7039">
              <w:rPr>
                <w:rFonts w:ascii="Times New Roman" w:hAnsi="Times New Roman" w:cs="Times New Roman"/>
                <w:szCs w:val="24"/>
              </w:rPr>
              <w:t>/</w:t>
            </w:r>
            <w:r>
              <w:rPr>
                <w:rFonts w:ascii="Times New Roman" w:hAnsi="Times New Roman" w:cs="Times New Roman"/>
                <w:szCs w:val="24"/>
              </w:rPr>
              <w:t xml:space="preserve">coroner’s offices with </w:t>
            </w:r>
            <w:r w:rsidR="00BE4C00">
              <w:rPr>
                <w:rFonts w:ascii="Times New Roman" w:hAnsi="Times New Roman" w:cs="Times New Roman"/>
                <w:szCs w:val="24"/>
              </w:rPr>
              <w:t xml:space="preserve">concurrent jurisdictions with law enforcement agencies with </w:t>
            </w:r>
            <w:r>
              <w:rPr>
                <w:rFonts w:ascii="Times New Roman" w:hAnsi="Times New Roman" w:cs="Times New Roman"/>
                <w:szCs w:val="24"/>
              </w:rPr>
              <w:t xml:space="preserve">an identified death </w:t>
            </w:r>
          </w:p>
        </w:tc>
      </w:tr>
      <w:tr w:rsidR="001C25C7" w14:paraId="2B8EF7F4" w14:textId="77777777" w:rsidTr="0044401E">
        <w:tc>
          <w:tcPr>
            <w:tcW w:w="1800" w:type="dxa"/>
          </w:tcPr>
          <w:p w14:paraId="5DDB27D3"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E</w:t>
            </w:r>
          </w:p>
        </w:tc>
        <w:tc>
          <w:tcPr>
            <w:tcW w:w="7830" w:type="dxa"/>
          </w:tcPr>
          <w:p w14:paraId="3B93AE35" w14:textId="595C1A98"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Form CJ-1</w:t>
            </w:r>
            <w:r w:rsidR="00204951">
              <w:rPr>
                <w:rFonts w:ascii="Times New Roman" w:hAnsi="Times New Roman" w:cs="Times New Roman"/>
                <w:szCs w:val="24"/>
              </w:rPr>
              <w:t>2</w:t>
            </w:r>
            <w:r>
              <w:rPr>
                <w:rFonts w:ascii="Times New Roman" w:hAnsi="Times New Roman" w:cs="Times New Roman"/>
                <w:szCs w:val="24"/>
              </w:rPr>
              <w:t>s: Arrest-related deaths quarterly summary for sampled medical examiner</w:t>
            </w:r>
            <w:r w:rsidR="008D7039">
              <w:rPr>
                <w:rFonts w:ascii="Times New Roman" w:hAnsi="Times New Roman" w:cs="Times New Roman"/>
                <w:szCs w:val="24"/>
              </w:rPr>
              <w:t>/</w:t>
            </w:r>
            <w:r>
              <w:rPr>
                <w:rFonts w:ascii="Times New Roman" w:hAnsi="Times New Roman" w:cs="Times New Roman"/>
                <w:szCs w:val="24"/>
              </w:rPr>
              <w:t xml:space="preserve">coroner’s offices </w:t>
            </w:r>
            <w:r w:rsidR="00BE4C00">
              <w:rPr>
                <w:rFonts w:ascii="Times New Roman" w:hAnsi="Times New Roman" w:cs="Times New Roman"/>
                <w:szCs w:val="24"/>
              </w:rPr>
              <w:t xml:space="preserve">with concurrent jurisdictions with law enforcement agencies </w:t>
            </w:r>
            <w:r>
              <w:rPr>
                <w:rFonts w:ascii="Times New Roman" w:hAnsi="Times New Roman" w:cs="Times New Roman"/>
                <w:szCs w:val="24"/>
              </w:rPr>
              <w:t>without an identified death</w:t>
            </w:r>
          </w:p>
        </w:tc>
      </w:tr>
      <w:tr w:rsidR="001C25C7" w14:paraId="5D3CC854" w14:textId="77777777" w:rsidTr="0044401E">
        <w:tc>
          <w:tcPr>
            <w:tcW w:w="1800" w:type="dxa"/>
          </w:tcPr>
          <w:p w14:paraId="26CB172C"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F</w:t>
            </w:r>
          </w:p>
        </w:tc>
        <w:tc>
          <w:tcPr>
            <w:tcW w:w="7830" w:type="dxa"/>
          </w:tcPr>
          <w:p w14:paraId="5844AA0E" w14:textId="3D75147B"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Form CJ-1</w:t>
            </w:r>
            <w:r w:rsidR="00204951">
              <w:rPr>
                <w:rFonts w:ascii="Times New Roman" w:hAnsi="Times New Roman" w:cs="Times New Roman"/>
                <w:szCs w:val="24"/>
              </w:rPr>
              <w:t>2</w:t>
            </w:r>
            <w:r>
              <w:rPr>
                <w:rFonts w:ascii="Times New Roman" w:hAnsi="Times New Roman" w:cs="Times New Roman"/>
                <w:szCs w:val="24"/>
              </w:rPr>
              <w:t>A: Arrest-related death incident report for medical examiner</w:t>
            </w:r>
            <w:r w:rsidR="008D7039">
              <w:rPr>
                <w:rFonts w:ascii="Times New Roman" w:hAnsi="Times New Roman" w:cs="Times New Roman"/>
                <w:szCs w:val="24"/>
              </w:rPr>
              <w:t>/</w:t>
            </w:r>
            <w:r>
              <w:rPr>
                <w:rFonts w:ascii="Times New Roman" w:hAnsi="Times New Roman" w:cs="Times New Roman"/>
                <w:szCs w:val="24"/>
              </w:rPr>
              <w:t>coroner’s offices</w:t>
            </w:r>
          </w:p>
        </w:tc>
      </w:tr>
      <w:tr w:rsidR="001C25C7" w14:paraId="274210BF" w14:textId="77777777" w:rsidTr="0044401E">
        <w:tc>
          <w:tcPr>
            <w:tcW w:w="1800" w:type="dxa"/>
          </w:tcPr>
          <w:p w14:paraId="7FDE3845"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 G</w:t>
            </w:r>
          </w:p>
        </w:tc>
        <w:tc>
          <w:tcPr>
            <w:tcW w:w="7830" w:type="dxa"/>
          </w:tcPr>
          <w:p w14:paraId="0B21B5A4"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state coordinator letter for states without legislative reporting mandates</w:t>
            </w:r>
          </w:p>
        </w:tc>
      </w:tr>
      <w:tr w:rsidR="001C25C7" w14:paraId="7AE0AB64" w14:textId="77777777" w:rsidTr="0044401E">
        <w:tc>
          <w:tcPr>
            <w:tcW w:w="1800" w:type="dxa"/>
          </w:tcPr>
          <w:p w14:paraId="2C8943C2" w14:textId="77777777" w:rsidR="001C25C7" w:rsidRDefault="00AD2A0E" w:rsidP="007C542F">
            <w:pPr>
              <w:spacing w:before="60" w:after="120"/>
              <w:rPr>
                <w:rFonts w:ascii="Times New Roman" w:hAnsi="Times New Roman" w:cs="Times New Roman"/>
                <w:szCs w:val="24"/>
              </w:rPr>
            </w:pPr>
            <w:r>
              <w:rPr>
                <w:rFonts w:ascii="Times New Roman" w:hAnsi="Times New Roman" w:cs="Times New Roman"/>
                <w:szCs w:val="24"/>
              </w:rPr>
              <w:t>Attachment H</w:t>
            </w:r>
          </w:p>
        </w:tc>
        <w:tc>
          <w:tcPr>
            <w:tcW w:w="7830" w:type="dxa"/>
          </w:tcPr>
          <w:p w14:paraId="28F9312F"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state coordinator letter for states with legislative reporting mandates (Texas, California</w:t>
            </w:r>
            <w:r w:rsidR="00BE4C00">
              <w:rPr>
                <w:rFonts w:ascii="Times New Roman" w:hAnsi="Times New Roman" w:cs="Times New Roman"/>
                <w:szCs w:val="24"/>
              </w:rPr>
              <w:t>,</w:t>
            </w:r>
            <w:r>
              <w:rPr>
                <w:rFonts w:ascii="Times New Roman" w:hAnsi="Times New Roman" w:cs="Times New Roman"/>
                <w:szCs w:val="24"/>
              </w:rPr>
              <w:t xml:space="preserve"> and Maryland)</w:t>
            </w:r>
          </w:p>
        </w:tc>
      </w:tr>
      <w:tr w:rsidR="001C25C7" w14:paraId="55781207" w14:textId="77777777" w:rsidTr="0044401E">
        <w:tc>
          <w:tcPr>
            <w:tcW w:w="1800" w:type="dxa"/>
          </w:tcPr>
          <w:p w14:paraId="2937ED87" w14:textId="4F9F95AA"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Attachment</w:t>
            </w:r>
            <w:r w:rsidR="00F7707D">
              <w:rPr>
                <w:rFonts w:ascii="Times New Roman" w:hAnsi="Times New Roman" w:cs="Times New Roman"/>
                <w:szCs w:val="24"/>
              </w:rPr>
              <w:t xml:space="preserve"> I</w:t>
            </w:r>
          </w:p>
        </w:tc>
        <w:tc>
          <w:tcPr>
            <w:tcW w:w="7830" w:type="dxa"/>
          </w:tcPr>
          <w:p w14:paraId="61A015FA"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lead letter</w:t>
            </w:r>
          </w:p>
        </w:tc>
      </w:tr>
      <w:tr w:rsidR="001C25C7" w14:paraId="61635392" w14:textId="77777777" w:rsidTr="0044401E">
        <w:tc>
          <w:tcPr>
            <w:tcW w:w="1800" w:type="dxa"/>
          </w:tcPr>
          <w:p w14:paraId="7A587A32" w14:textId="383D7293" w:rsidR="001C25C7" w:rsidRPr="001C25C7" w:rsidRDefault="001C25C7" w:rsidP="00F7707D">
            <w:pPr>
              <w:spacing w:before="60" w:after="120"/>
              <w:rPr>
                <w:rFonts w:ascii="Times New Roman" w:hAnsi="Times New Roman" w:cs="Times New Roman"/>
                <w:b/>
                <w:szCs w:val="24"/>
              </w:rPr>
            </w:pPr>
            <w:r>
              <w:rPr>
                <w:rFonts w:ascii="Times New Roman" w:hAnsi="Times New Roman" w:cs="Times New Roman"/>
                <w:szCs w:val="24"/>
              </w:rPr>
              <w:t>Attachment</w:t>
            </w:r>
            <w:r w:rsidR="00AD2A0E">
              <w:rPr>
                <w:rFonts w:ascii="Times New Roman" w:hAnsi="Times New Roman" w:cs="Times New Roman"/>
                <w:szCs w:val="24"/>
              </w:rPr>
              <w:t xml:space="preserve"> </w:t>
            </w:r>
            <w:r w:rsidR="00F7707D">
              <w:rPr>
                <w:rFonts w:ascii="Times New Roman" w:hAnsi="Times New Roman" w:cs="Times New Roman"/>
                <w:szCs w:val="24"/>
              </w:rPr>
              <w:t>J</w:t>
            </w:r>
          </w:p>
        </w:tc>
        <w:tc>
          <w:tcPr>
            <w:tcW w:w="7830" w:type="dxa"/>
          </w:tcPr>
          <w:p w14:paraId="2F54C055"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questionnaire invitation</w:t>
            </w:r>
          </w:p>
        </w:tc>
      </w:tr>
      <w:tr w:rsidR="001C25C7" w14:paraId="680084AD" w14:textId="77777777" w:rsidTr="0044401E">
        <w:tc>
          <w:tcPr>
            <w:tcW w:w="1800" w:type="dxa"/>
          </w:tcPr>
          <w:p w14:paraId="3A89E7F3" w14:textId="286146BF" w:rsidR="001C25C7" w:rsidRPr="001C25C7" w:rsidRDefault="001C25C7" w:rsidP="00F7707D">
            <w:pPr>
              <w:spacing w:before="60" w:after="120"/>
              <w:rPr>
                <w:rFonts w:ascii="Times New Roman" w:hAnsi="Times New Roman" w:cs="Times New Roman"/>
                <w:b/>
                <w:szCs w:val="24"/>
              </w:rPr>
            </w:pPr>
            <w:r>
              <w:rPr>
                <w:rFonts w:ascii="Times New Roman" w:hAnsi="Times New Roman" w:cs="Times New Roman"/>
                <w:szCs w:val="24"/>
              </w:rPr>
              <w:t>Attachment</w:t>
            </w:r>
            <w:r w:rsidR="00AD2A0E">
              <w:rPr>
                <w:rFonts w:ascii="Times New Roman" w:hAnsi="Times New Roman" w:cs="Times New Roman"/>
                <w:szCs w:val="24"/>
              </w:rPr>
              <w:t xml:space="preserve"> </w:t>
            </w:r>
            <w:r w:rsidR="00F7707D">
              <w:rPr>
                <w:rFonts w:ascii="Times New Roman" w:hAnsi="Times New Roman" w:cs="Times New Roman"/>
                <w:szCs w:val="24"/>
              </w:rPr>
              <w:t>K</w:t>
            </w:r>
          </w:p>
        </w:tc>
        <w:tc>
          <w:tcPr>
            <w:tcW w:w="7830" w:type="dxa"/>
          </w:tcPr>
          <w:p w14:paraId="57941BEF"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questionnaire reminder</w:t>
            </w:r>
          </w:p>
        </w:tc>
      </w:tr>
      <w:tr w:rsidR="001C25C7" w14:paraId="612C79BA" w14:textId="77777777" w:rsidTr="0044401E">
        <w:tc>
          <w:tcPr>
            <w:tcW w:w="1800" w:type="dxa"/>
          </w:tcPr>
          <w:p w14:paraId="76EECD6A" w14:textId="36E3E2F5" w:rsidR="001C25C7" w:rsidRDefault="001C25C7" w:rsidP="00F7707D">
            <w:pPr>
              <w:spacing w:before="60" w:after="120"/>
              <w:rPr>
                <w:rFonts w:ascii="Times New Roman" w:hAnsi="Times New Roman" w:cs="Times New Roman"/>
                <w:szCs w:val="24"/>
              </w:rPr>
            </w:pPr>
            <w:r>
              <w:rPr>
                <w:rFonts w:ascii="Times New Roman" w:hAnsi="Times New Roman" w:cs="Times New Roman"/>
                <w:szCs w:val="24"/>
              </w:rPr>
              <w:t>Attachment</w:t>
            </w:r>
            <w:r w:rsidR="00AD2A0E">
              <w:rPr>
                <w:rFonts w:ascii="Times New Roman" w:hAnsi="Times New Roman" w:cs="Times New Roman"/>
                <w:szCs w:val="24"/>
              </w:rPr>
              <w:t xml:space="preserve"> </w:t>
            </w:r>
            <w:r w:rsidR="00F7707D">
              <w:rPr>
                <w:rFonts w:ascii="Times New Roman" w:hAnsi="Times New Roman" w:cs="Times New Roman"/>
                <w:szCs w:val="24"/>
              </w:rPr>
              <w:t>L</w:t>
            </w:r>
          </w:p>
        </w:tc>
        <w:tc>
          <w:tcPr>
            <w:tcW w:w="7830" w:type="dxa"/>
          </w:tcPr>
          <w:p w14:paraId="424B6347"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questionnaire first nonresponse message</w:t>
            </w:r>
          </w:p>
        </w:tc>
      </w:tr>
      <w:tr w:rsidR="001C25C7" w14:paraId="10F5608F" w14:textId="77777777" w:rsidTr="0044401E">
        <w:tc>
          <w:tcPr>
            <w:tcW w:w="1800" w:type="dxa"/>
          </w:tcPr>
          <w:p w14:paraId="0246B3BC" w14:textId="5F86951D" w:rsidR="001C25C7" w:rsidRDefault="001C25C7" w:rsidP="00F7707D">
            <w:pPr>
              <w:spacing w:before="60" w:after="120"/>
              <w:rPr>
                <w:rFonts w:ascii="Times New Roman" w:hAnsi="Times New Roman" w:cs="Times New Roman"/>
                <w:szCs w:val="24"/>
              </w:rPr>
            </w:pPr>
            <w:r>
              <w:rPr>
                <w:rFonts w:ascii="Times New Roman" w:hAnsi="Times New Roman" w:cs="Times New Roman"/>
                <w:szCs w:val="24"/>
              </w:rPr>
              <w:t>Attachment</w:t>
            </w:r>
            <w:r w:rsidR="00AD2A0E">
              <w:rPr>
                <w:rFonts w:ascii="Times New Roman" w:hAnsi="Times New Roman" w:cs="Times New Roman"/>
                <w:szCs w:val="24"/>
              </w:rPr>
              <w:t xml:space="preserve"> </w:t>
            </w:r>
            <w:r w:rsidR="00F7707D">
              <w:rPr>
                <w:rFonts w:ascii="Times New Roman" w:hAnsi="Times New Roman" w:cs="Times New Roman"/>
                <w:szCs w:val="24"/>
              </w:rPr>
              <w:t>M</w:t>
            </w:r>
          </w:p>
        </w:tc>
        <w:tc>
          <w:tcPr>
            <w:tcW w:w="7830" w:type="dxa"/>
          </w:tcPr>
          <w:p w14:paraId="6D69DAA2"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questionnaire second nonresponse message</w:t>
            </w:r>
          </w:p>
        </w:tc>
      </w:tr>
      <w:tr w:rsidR="001C25C7" w14:paraId="56527CE4" w14:textId="77777777" w:rsidTr="0044401E">
        <w:tc>
          <w:tcPr>
            <w:tcW w:w="1800" w:type="dxa"/>
          </w:tcPr>
          <w:p w14:paraId="30860120" w14:textId="491357A5" w:rsidR="001C25C7" w:rsidRDefault="001C25C7" w:rsidP="00F7707D">
            <w:pPr>
              <w:spacing w:before="60" w:after="120"/>
              <w:rPr>
                <w:rFonts w:ascii="Times New Roman" w:hAnsi="Times New Roman" w:cs="Times New Roman"/>
                <w:szCs w:val="24"/>
              </w:rPr>
            </w:pPr>
            <w:r>
              <w:rPr>
                <w:rFonts w:ascii="Times New Roman" w:hAnsi="Times New Roman" w:cs="Times New Roman"/>
                <w:szCs w:val="24"/>
              </w:rPr>
              <w:t>Attachment</w:t>
            </w:r>
            <w:r w:rsidR="00AD2A0E">
              <w:rPr>
                <w:rFonts w:ascii="Times New Roman" w:hAnsi="Times New Roman" w:cs="Times New Roman"/>
                <w:szCs w:val="24"/>
              </w:rPr>
              <w:t xml:space="preserve"> </w:t>
            </w:r>
            <w:r w:rsidR="00F7707D">
              <w:rPr>
                <w:rFonts w:ascii="Times New Roman" w:hAnsi="Times New Roman" w:cs="Times New Roman"/>
                <w:szCs w:val="24"/>
              </w:rPr>
              <w:t>N</w:t>
            </w:r>
          </w:p>
        </w:tc>
        <w:tc>
          <w:tcPr>
            <w:tcW w:w="7830" w:type="dxa"/>
          </w:tcPr>
          <w:p w14:paraId="1FE604CA"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ARD program pilot study end-of-study message</w:t>
            </w:r>
          </w:p>
        </w:tc>
      </w:tr>
      <w:tr w:rsidR="001C25C7" w14:paraId="35F4474A" w14:textId="77777777" w:rsidTr="0044401E">
        <w:tc>
          <w:tcPr>
            <w:tcW w:w="1800" w:type="dxa"/>
          </w:tcPr>
          <w:p w14:paraId="358E29EB" w14:textId="0616342E" w:rsidR="001C25C7" w:rsidRDefault="001C25C7" w:rsidP="00F7707D">
            <w:pPr>
              <w:spacing w:before="60" w:after="120"/>
              <w:rPr>
                <w:rFonts w:ascii="Times New Roman" w:hAnsi="Times New Roman" w:cs="Times New Roman"/>
                <w:szCs w:val="24"/>
              </w:rPr>
            </w:pPr>
            <w:r>
              <w:rPr>
                <w:rFonts w:ascii="Times New Roman" w:hAnsi="Times New Roman" w:cs="Times New Roman"/>
                <w:szCs w:val="24"/>
              </w:rPr>
              <w:t>Attachment</w:t>
            </w:r>
            <w:r w:rsidR="00AD2A0E">
              <w:rPr>
                <w:rFonts w:ascii="Times New Roman" w:hAnsi="Times New Roman" w:cs="Times New Roman"/>
                <w:szCs w:val="24"/>
              </w:rPr>
              <w:t xml:space="preserve"> </w:t>
            </w:r>
            <w:r w:rsidR="00F7707D">
              <w:rPr>
                <w:rFonts w:ascii="Times New Roman" w:hAnsi="Times New Roman" w:cs="Times New Roman"/>
                <w:szCs w:val="24"/>
              </w:rPr>
              <w:t>O</w:t>
            </w:r>
          </w:p>
        </w:tc>
        <w:tc>
          <w:tcPr>
            <w:tcW w:w="7830" w:type="dxa"/>
          </w:tcPr>
          <w:p w14:paraId="29EAF636" w14:textId="77777777" w:rsidR="001C25C7" w:rsidRDefault="001C25C7" w:rsidP="007C542F">
            <w:pPr>
              <w:spacing w:before="60" w:after="120"/>
              <w:rPr>
                <w:rFonts w:ascii="Times New Roman" w:hAnsi="Times New Roman" w:cs="Times New Roman"/>
                <w:szCs w:val="24"/>
              </w:rPr>
            </w:pPr>
            <w:r>
              <w:rPr>
                <w:rFonts w:ascii="Times New Roman" w:hAnsi="Times New Roman" w:cs="Times New Roman"/>
                <w:szCs w:val="24"/>
              </w:rPr>
              <w:t>Confidentiality agreement</w:t>
            </w:r>
          </w:p>
        </w:tc>
      </w:tr>
    </w:tbl>
    <w:p w14:paraId="775FBB45" w14:textId="77777777" w:rsidR="001C25C7" w:rsidRDefault="001C25C7" w:rsidP="001C25C7">
      <w:pPr>
        <w:spacing w:after="0" w:line="240" w:lineRule="auto"/>
        <w:ind w:left="2160" w:hanging="2160"/>
        <w:rPr>
          <w:rFonts w:ascii="Times New Roman" w:hAnsi="Times New Roman" w:cs="Times New Roman"/>
          <w:sz w:val="24"/>
          <w:szCs w:val="24"/>
        </w:rPr>
      </w:pPr>
    </w:p>
    <w:sectPr w:rsidR="001C25C7" w:rsidSect="00E50D6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FCF9A" w14:textId="77777777" w:rsidR="00FA2F4E" w:rsidRDefault="00FA2F4E" w:rsidP="00B92907">
      <w:pPr>
        <w:spacing w:after="0" w:line="240" w:lineRule="auto"/>
      </w:pPr>
      <w:r>
        <w:separator/>
      </w:r>
    </w:p>
  </w:endnote>
  <w:endnote w:type="continuationSeparator" w:id="0">
    <w:p w14:paraId="13FEDD6D" w14:textId="77777777" w:rsidR="00FA2F4E" w:rsidRDefault="00FA2F4E" w:rsidP="00B92907">
      <w:pPr>
        <w:spacing w:after="0" w:line="240" w:lineRule="auto"/>
      </w:pPr>
      <w:r>
        <w:continuationSeparator/>
      </w:r>
    </w:p>
  </w:endnote>
  <w:endnote w:type="continuationNotice" w:id="1">
    <w:p w14:paraId="40D9A015" w14:textId="77777777" w:rsidR="00FA2F4E" w:rsidRDefault="00FA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283498"/>
      <w:docPartObj>
        <w:docPartGallery w:val="Page Numbers (Bottom of Page)"/>
        <w:docPartUnique/>
      </w:docPartObj>
    </w:sdtPr>
    <w:sdtEndPr>
      <w:rPr>
        <w:noProof/>
      </w:rPr>
    </w:sdtEndPr>
    <w:sdtContent>
      <w:p w14:paraId="0E08DB2B" w14:textId="77777777" w:rsidR="00FA2F4E" w:rsidRDefault="00FA2F4E">
        <w:pPr>
          <w:pStyle w:val="Footer"/>
          <w:jc w:val="center"/>
        </w:pPr>
        <w:r w:rsidRPr="00884724">
          <w:rPr>
            <w:rFonts w:ascii="Times New Roman" w:hAnsi="Times New Roman" w:cs="Times New Roman"/>
          </w:rPr>
          <w:fldChar w:fldCharType="begin"/>
        </w:r>
        <w:r w:rsidRPr="00884724">
          <w:rPr>
            <w:rFonts w:ascii="Times New Roman" w:hAnsi="Times New Roman" w:cs="Times New Roman"/>
          </w:rPr>
          <w:instrText xml:space="preserve"> PAGE   \* MERGEFORMAT </w:instrText>
        </w:r>
        <w:r w:rsidRPr="00884724">
          <w:rPr>
            <w:rFonts w:ascii="Times New Roman" w:hAnsi="Times New Roman" w:cs="Times New Roman"/>
          </w:rPr>
          <w:fldChar w:fldCharType="separate"/>
        </w:r>
        <w:r w:rsidR="00AA18F8">
          <w:rPr>
            <w:rFonts w:ascii="Times New Roman" w:hAnsi="Times New Roman" w:cs="Times New Roman"/>
            <w:noProof/>
          </w:rPr>
          <w:t>1</w:t>
        </w:r>
        <w:r w:rsidRPr="00884724">
          <w:rPr>
            <w:rFonts w:ascii="Times New Roman" w:hAnsi="Times New Roman" w:cs="Times New Roman"/>
            <w:noProof/>
          </w:rPr>
          <w:fldChar w:fldCharType="end"/>
        </w:r>
      </w:p>
    </w:sdtContent>
  </w:sdt>
  <w:p w14:paraId="04CCBE71" w14:textId="77777777" w:rsidR="00FA2F4E" w:rsidRDefault="00FA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AED2D" w14:textId="77777777" w:rsidR="00FA2F4E" w:rsidRDefault="00FA2F4E" w:rsidP="00B92907">
      <w:pPr>
        <w:spacing w:after="0" w:line="240" w:lineRule="auto"/>
      </w:pPr>
      <w:r>
        <w:separator/>
      </w:r>
    </w:p>
  </w:footnote>
  <w:footnote w:type="continuationSeparator" w:id="0">
    <w:p w14:paraId="1851FE52" w14:textId="77777777" w:rsidR="00FA2F4E" w:rsidRDefault="00FA2F4E" w:rsidP="00B92907">
      <w:pPr>
        <w:spacing w:after="0" w:line="240" w:lineRule="auto"/>
      </w:pPr>
      <w:r>
        <w:continuationSeparator/>
      </w:r>
    </w:p>
  </w:footnote>
  <w:footnote w:type="continuationNotice" w:id="1">
    <w:p w14:paraId="4440679F" w14:textId="77777777" w:rsidR="00FA2F4E" w:rsidRDefault="00FA2F4E">
      <w:pPr>
        <w:spacing w:after="0" w:line="240" w:lineRule="auto"/>
      </w:pPr>
    </w:p>
  </w:footnote>
  <w:footnote w:id="2">
    <w:p w14:paraId="3E9E8412" w14:textId="50CEB808" w:rsidR="00FA2F4E" w:rsidRPr="0019140B" w:rsidRDefault="00FA2F4E" w:rsidP="007C542F">
      <w:pPr>
        <w:pStyle w:val="FootnoteText"/>
        <w:rPr>
          <w:rFonts w:ascii="Times New Roman" w:hAnsi="Times New Roman" w:cs="Times New Roman"/>
        </w:rPr>
      </w:pPr>
      <w:r w:rsidRPr="0019140B">
        <w:rPr>
          <w:rStyle w:val="FootnoteReference"/>
          <w:rFonts w:ascii="Times New Roman" w:hAnsi="Times New Roman" w:cs="Times New Roman"/>
        </w:rPr>
        <w:footnoteRef/>
      </w:r>
      <w:r w:rsidRPr="0019140B">
        <w:rPr>
          <w:rFonts w:ascii="Times New Roman" w:hAnsi="Times New Roman" w:cs="Times New Roman"/>
        </w:rPr>
        <w:t xml:space="preserve"> The Death in Custody Reporting Act (DICRA) expired in 2006, although BJS continued to maintain its DCRP data collections. The Death in Custody Reporting Act of 2013 was passed by Congress and became law in December 2014. The 2013 DICRA requires any state receiving funds from the Department of Justice to report on a quarterly basis information regarding the death of any person who is detained, under arrest, in the process of being arrested, is en route to be</w:t>
      </w:r>
      <w:r>
        <w:rPr>
          <w:rFonts w:ascii="Times New Roman" w:hAnsi="Times New Roman" w:cs="Times New Roman"/>
        </w:rPr>
        <w:t>ing</w:t>
      </w:r>
      <w:r w:rsidRPr="0019140B">
        <w:rPr>
          <w:rFonts w:ascii="Times New Roman" w:hAnsi="Times New Roman" w:cs="Times New Roman"/>
        </w:rPr>
        <w:t xml:space="preserve"> incarcerated, or is incarcerated.</w:t>
      </w:r>
    </w:p>
    <w:p w14:paraId="623D7F07" w14:textId="77777777" w:rsidR="00FA2F4E" w:rsidRDefault="00FA2F4E" w:rsidP="007C542F">
      <w:pPr>
        <w:pStyle w:val="FootnoteText"/>
      </w:pPr>
    </w:p>
  </w:footnote>
  <w:footnote w:id="3">
    <w:p w14:paraId="50F4F794" w14:textId="0E1E8FEE" w:rsidR="00FA2F4E" w:rsidRPr="006D479F" w:rsidRDefault="00FA2F4E">
      <w:pPr>
        <w:pStyle w:val="FootnoteText"/>
        <w:rPr>
          <w:rFonts w:ascii="Times New Roman" w:hAnsi="Times New Roman" w:cs="Times New Roman"/>
        </w:rPr>
      </w:pPr>
      <w:r w:rsidRPr="006D479F">
        <w:rPr>
          <w:rStyle w:val="FootnoteReference"/>
          <w:rFonts w:ascii="Times New Roman" w:hAnsi="Times New Roman" w:cs="Times New Roman"/>
        </w:rPr>
        <w:footnoteRef/>
      </w:r>
      <w:r w:rsidRPr="006D479F">
        <w:rPr>
          <w:rFonts w:ascii="Times New Roman" w:hAnsi="Times New Roman" w:cs="Times New Roman"/>
        </w:rPr>
        <w:t xml:space="preserve"> </w:t>
      </w:r>
      <w:hyperlink r:id="rId1" w:history="1">
        <w:r w:rsidRPr="006D479F">
          <w:rPr>
            <w:rStyle w:val="Hyperlink"/>
            <w:rFonts w:ascii="Times New Roman" w:hAnsi="Times New Roman" w:cs="Times New Roman"/>
          </w:rPr>
          <w:t>http://apps.who.int/classifications/icd10/browse/2016/en</w:t>
        </w:r>
      </w:hyperlink>
    </w:p>
  </w:footnote>
  <w:footnote w:id="4">
    <w:p w14:paraId="22DA3123" w14:textId="657FE5E5" w:rsidR="00FA2F4E" w:rsidRPr="00F57391" w:rsidRDefault="00FA2F4E">
      <w:pPr>
        <w:pStyle w:val="FootnoteText"/>
        <w:rPr>
          <w:rFonts w:ascii="Times New Roman" w:hAnsi="Times New Roman" w:cs="Times New Roman"/>
        </w:rPr>
      </w:pPr>
      <w:r w:rsidRPr="00F57391">
        <w:rPr>
          <w:rStyle w:val="FootnoteReference"/>
          <w:rFonts w:ascii="Times New Roman" w:hAnsi="Times New Roman" w:cs="Times New Roman"/>
        </w:rPr>
        <w:footnoteRef/>
      </w:r>
      <w:r w:rsidRPr="00F57391">
        <w:rPr>
          <w:rFonts w:ascii="Times New Roman" w:hAnsi="Times New Roman" w:cs="Times New Roman"/>
        </w:rPr>
        <w:t xml:space="preserve"> Approximately 16% of the potential arrest-related deaths identified from June 1 through August 31, 2015</w:t>
      </w:r>
      <w:r>
        <w:rPr>
          <w:rFonts w:ascii="Times New Roman" w:hAnsi="Times New Roman" w:cs="Times New Roman"/>
        </w:rPr>
        <w:t>,</w:t>
      </w:r>
      <w:r w:rsidRPr="00F57391">
        <w:rPr>
          <w:rFonts w:ascii="Times New Roman" w:hAnsi="Times New Roman" w:cs="Times New Roman"/>
        </w:rPr>
        <w:t xml:space="preserve"> </w:t>
      </w:r>
      <w:r>
        <w:rPr>
          <w:rFonts w:ascii="Times New Roman" w:hAnsi="Times New Roman" w:cs="Times New Roman"/>
        </w:rPr>
        <w:t>occurred</w:t>
      </w:r>
      <w:r w:rsidRPr="00F57391">
        <w:rPr>
          <w:rFonts w:ascii="Times New Roman" w:hAnsi="Times New Roman" w:cs="Times New Roman"/>
        </w:rPr>
        <w:t xml:space="preserve"> in states with a centralized state medical examiner system.</w:t>
      </w:r>
    </w:p>
  </w:footnote>
  <w:footnote w:id="5">
    <w:p w14:paraId="6329B2FD" w14:textId="4F1F91A6" w:rsidR="00FA2F4E" w:rsidRPr="00FF4B27" w:rsidRDefault="00FA2F4E">
      <w:pPr>
        <w:pStyle w:val="FootnoteText"/>
        <w:rPr>
          <w:rFonts w:ascii="Times New Roman" w:hAnsi="Times New Roman" w:cs="Times New Roman"/>
        </w:rPr>
      </w:pPr>
      <w:r w:rsidRPr="00FF4B27">
        <w:rPr>
          <w:rStyle w:val="FootnoteReference"/>
          <w:rFonts w:ascii="Times New Roman" w:hAnsi="Times New Roman" w:cs="Times New Roman"/>
        </w:rPr>
        <w:footnoteRef/>
      </w:r>
      <w:r w:rsidRPr="00FF4B27">
        <w:rPr>
          <w:rFonts w:ascii="Times New Roman" w:hAnsi="Times New Roman" w:cs="Times New Roman"/>
        </w:rPr>
        <w:t xml:space="preserve"> Preliminary estimates indicate that 159 </w:t>
      </w:r>
      <w:r>
        <w:rPr>
          <w:rFonts w:ascii="Times New Roman" w:hAnsi="Times New Roman" w:cs="Times New Roman"/>
        </w:rPr>
        <w:t xml:space="preserve">ARD Program-eligible </w:t>
      </w:r>
      <w:r w:rsidRPr="00844E60">
        <w:rPr>
          <w:rFonts w:ascii="Times New Roman" w:hAnsi="Times New Roman" w:cs="Times New Roman"/>
        </w:rPr>
        <w:t>LEA</w:t>
      </w:r>
      <w:r w:rsidRPr="00FF4B27">
        <w:rPr>
          <w:rFonts w:ascii="Times New Roman" w:hAnsi="Times New Roman" w:cs="Times New Roman"/>
        </w:rPr>
        <w:t xml:space="preserve">s </w:t>
      </w:r>
      <w:r>
        <w:rPr>
          <w:rFonts w:ascii="Times New Roman" w:hAnsi="Times New Roman" w:cs="Times New Roman"/>
        </w:rPr>
        <w:t>have</w:t>
      </w:r>
      <w:r w:rsidRPr="00FF4B27">
        <w:rPr>
          <w:rFonts w:ascii="Times New Roman" w:hAnsi="Times New Roman" w:cs="Times New Roman"/>
        </w:rPr>
        <w:t xml:space="preserve"> 500 or more full-time sworn officers </w:t>
      </w:r>
      <w:r>
        <w:rPr>
          <w:rFonts w:ascii="Times New Roman" w:hAnsi="Times New Roman" w:cs="Times New Roman"/>
        </w:rPr>
        <w:t>and that</w:t>
      </w:r>
      <w:r w:rsidRPr="00FF4B27">
        <w:rPr>
          <w:rFonts w:ascii="Times New Roman" w:hAnsi="Times New Roman" w:cs="Times New Roman"/>
        </w:rPr>
        <w:t xml:space="preserve"> 74 of </w:t>
      </w:r>
      <w:r>
        <w:rPr>
          <w:rFonts w:ascii="Times New Roman" w:hAnsi="Times New Roman" w:cs="Times New Roman"/>
        </w:rPr>
        <w:t>them</w:t>
      </w:r>
      <w:r w:rsidRPr="00FF4B27">
        <w:rPr>
          <w:rFonts w:ascii="Times New Roman" w:hAnsi="Times New Roman" w:cs="Times New Roman"/>
        </w:rPr>
        <w:t xml:space="preserve"> will have an arrest-related death identified through open</w:t>
      </w:r>
      <w:r>
        <w:rPr>
          <w:rFonts w:ascii="Times New Roman" w:hAnsi="Times New Roman" w:cs="Times New Roman"/>
        </w:rPr>
        <w:t>-</w:t>
      </w:r>
      <w:r w:rsidRPr="00FF4B27">
        <w:rPr>
          <w:rFonts w:ascii="Times New Roman" w:hAnsi="Times New Roman" w:cs="Times New Roman"/>
        </w:rPr>
        <w:t>source review. The remaining 85 agencies with 500 or more officers will be included as part of subsample 3.</w:t>
      </w:r>
    </w:p>
  </w:footnote>
  <w:footnote w:id="6">
    <w:p w14:paraId="2088E5DC" w14:textId="77777777" w:rsidR="00FA2F4E" w:rsidRPr="009517EC" w:rsidRDefault="00FA2F4E" w:rsidP="009517EC">
      <w:pPr>
        <w:pStyle w:val="FootnoteText"/>
        <w:rPr>
          <w:rFonts w:ascii="Times New Roman" w:hAnsi="Times New Roman" w:cs="Times New Roman"/>
        </w:rPr>
      </w:pPr>
      <w:r w:rsidRPr="009517EC">
        <w:rPr>
          <w:rStyle w:val="FootnoteReference"/>
          <w:rFonts w:ascii="Times New Roman" w:hAnsi="Times New Roman" w:cs="Times New Roman"/>
        </w:rPr>
        <w:footnoteRef/>
      </w:r>
      <w:r w:rsidRPr="009517EC">
        <w:rPr>
          <w:rFonts w:ascii="Times New Roman" w:hAnsi="Times New Roman" w:cs="Times New Roman"/>
        </w:rPr>
        <w:t xml:space="preserve"> Of the estimated 1,705 agencies to be sampled, 105 are in one of the three mandated reporting states.</w:t>
      </w:r>
    </w:p>
  </w:footnote>
  <w:footnote w:id="7">
    <w:p w14:paraId="4C518400" w14:textId="09236E91" w:rsidR="00FA2F4E" w:rsidRPr="00CA37E1" w:rsidRDefault="00FA2F4E" w:rsidP="00CA37E1">
      <w:pPr>
        <w:pStyle w:val="FootnoteText"/>
        <w:rPr>
          <w:rFonts w:ascii="Times New Roman" w:hAnsi="Times New Roman" w:cs="Times New Roman"/>
        </w:rPr>
      </w:pPr>
      <w:r w:rsidRPr="00CA37E1">
        <w:rPr>
          <w:rStyle w:val="FootnoteReference"/>
          <w:rFonts w:ascii="Times New Roman" w:hAnsi="Times New Roman" w:cs="Times New Roman"/>
        </w:rPr>
        <w:footnoteRef/>
      </w:r>
      <w:r w:rsidRPr="00CA37E1">
        <w:rPr>
          <w:rFonts w:ascii="Times New Roman" w:hAnsi="Times New Roman" w:cs="Times New Roman"/>
        </w:rPr>
        <w:t xml:space="preserve"> All </w:t>
      </w:r>
      <w:r>
        <w:rPr>
          <w:rFonts w:ascii="Times New Roman" w:hAnsi="Times New Roman" w:cs="Times New Roman"/>
        </w:rPr>
        <w:t>e-mail contacts</w:t>
      </w:r>
      <w:r w:rsidRPr="00CA37E1">
        <w:rPr>
          <w:rFonts w:ascii="Times New Roman" w:hAnsi="Times New Roman" w:cs="Times New Roman"/>
        </w:rPr>
        <w:t xml:space="preserve"> will </w:t>
      </w:r>
      <w:r>
        <w:rPr>
          <w:rFonts w:ascii="Times New Roman" w:hAnsi="Times New Roman" w:cs="Times New Roman"/>
        </w:rPr>
        <w:t>be sent</w:t>
      </w:r>
      <w:r w:rsidRPr="00CA37E1">
        <w:rPr>
          <w:rFonts w:ascii="Times New Roman" w:hAnsi="Times New Roman" w:cs="Times New Roman"/>
        </w:rPr>
        <w:t xml:space="preserve"> a corresponding USPS letter version if the LEA does not have an e-mail address on file.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43C98" w14:textId="77777777" w:rsidR="00FA2F4E" w:rsidRDefault="00FA2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A7CAC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E77CD"/>
    <w:multiLevelType w:val="hybridMultilevel"/>
    <w:tmpl w:val="79321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54E1C"/>
    <w:multiLevelType w:val="hybridMultilevel"/>
    <w:tmpl w:val="3414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F6ACB"/>
    <w:multiLevelType w:val="hybridMultilevel"/>
    <w:tmpl w:val="875A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771B5"/>
    <w:multiLevelType w:val="hybridMultilevel"/>
    <w:tmpl w:val="1E6C7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F38EA"/>
    <w:multiLevelType w:val="hybridMultilevel"/>
    <w:tmpl w:val="BE2AD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F17A1"/>
    <w:multiLevelType w:val="hybridMultilevel"/>
    <w:tmpl w:val="668ED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256DF2"/>
    <w:multiLevelType w:val="hybridMultilevel"/>
    <w:tmpl w:val="3414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10"/>
  </w:num>
  <w:num w:numId="5">
    <w:abstractNumId w:val="2"/>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8"/>
  </w:num>
  <w:num w:numId="10">
    <w:abstractNumId w:val="6"/>
  </w:num>
  <w:num w:numId="11">
    <w:abstractNumId w:val="19"/>
  </w:num>
  <w:num w:numId="12">
    <w:abstractNumId w:val="14"/>
  </w:num>
  <w:num w:numId="13">
    <w:abstractNumId w:val="20"/>
  </w:num>
  <w:num w:numId="14">
    <w:abstractNumId w:val="7"/>
  </w:num>
  <w:num w:numId="15">
    <w:abstractNumId w:val="18"/>
  </w:num>
  <w:num w:numId="16">
    <w:abstractNumId w:val="17"/>
  </w:num>
  <w:num w:numId="17">
    <w:abstractNumId w:val="5"/>
  </w:num>
  <w:num w:numId="18">
    <w:abstractNumId w:val="0"/>
  </w:num>
  <w:num w:numId="19">
    <w:abstractNumId w:val="15"/>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13209"/>
    <w:rsid w:val="0001722D"/>
    <w:rsid w:val="00022ECC"/>
    <w:rsid w:val="00025C19"/>
    <w:rsid w:val="00026C74"/>
    <w:rsid w:val="00030B7D"/>
    <w:rsid w:val="000428B6"/>
    <w:rsid w:val="00044F0C"/>
    <w:rsid w:val="0005414A"/>
    <w:rsid w:val="00060997"/>
    <w:rsid w:val="000636F7"/>
    <w:rsid w:val="00070D7D"/>
    <w:rsid w:val="000738F9"/>
    <w:rsid w:val="00086A4C"/>
    <w:rsid w:val="00087EDA"/>
    <w:rsid w:val="000915CB"/>
    <w:rsid w:val="000A5356"/>
    <w:rsid w:val="000B09D9"/>
    <w:rsid w:val="000B43E3"/>
    <w:rsid w:val="000C22CB"/>
    <w:rsid w:val="000C6C84"/>
    <w:rsid w:val="000C7222"/>
    <w:rsid w:val="000F1EA7"/>
    <w:rsid w:val="000F2B36"/>
    <w:rsid w:val="00104295"/>
    <w:rsid w:val="00107DA5"/>
    <w:rsid w:val="00115833"/>
    <w:rsid w:val="001159F0"/>
    <w:rsid w:val="00134EBE"/>
    <w:rsid w:val="00135521"/>
    <w:rsid w:val="001355CE"/>
    <w:rsid w:val="0016775A"/>
    <w:rsid w:val="0017665D"/>
    <w:rsid w:val="001779E6"/>
    <w:rsid w:val="00177ACC"/>
    <w:rsid w:val="0018568D"/>
    <w:rsid w:val="00185A1B"/>
    <w:rsid w:val="0019140B"/>
    <w:rsid w:val="001A2D3A"/>
    <w:rsid w:val="001A2D5F"/>
    <w:rsid w:val="001B07FB"/>
    <w:rsid w:val="001B0DFC"/>
    <w:rsid w:val="001B2DDA"/>
    <w:rsid w:val="001B432C"/>
    <w:rsid w:val="001B638A"/>
    <w:rsid w:val="001B6E10"/>
    <w:rsid w:val="001B75D3"/>
    <w:rsid w:val="001C25C7"/>
    <w:rsid w:val="001E4D7C"/>
    <w:rsid w:val="001E662F"/>
    <w:rsid w:val="001E78B7"/>
    <w:rsid w:val="001F1E7C"/>
    <w:rsid w:val="001F6BE6"/>
    <w:rsid w:val="00204951"/>
    <w:rsid w:val="00205315"/>
    <w:rsid w:val="002129DF"/>
    <w:rsid w:val="0021340A"/>
    <w:rsid w:val="0022390B"/>
    <w:rsid w:val="00241582"/>
    <w:rsid w:val="00242877"/>
    <w:rsid w:val="002455D2"/>
    <w:rsid w:val="00246BD9"/>
    <w:rsid w:val="002616E9"/>
    <w:rsid w:val="002666CD"/>
    <w:rsid w:val="00266F4E"/>
    <w:rsid w:val="002726B3"/>
    <w:rsid w:val="002746FB"/>
    <w:rsid w:val="00277800"/>
    <w:rsid w:val="00283FCD"/>
    <w:rsid w:val="002867D7"/>
    <w:rsid w:val="00294EF6"/>
    <w:rsid w:val="00295A8C"/>
    <w:rsid w:val="002B332A"/>
    <w:rsid w:val="002C4F6E"/>
    <w:rsid w:val="002D4AB7"/>
    <w:rsid w:val="002F0843"/>
    <w:rsid w:val="002F120C"/>
    <w:rsid w:val="002F2106"/>
    <w:rsid w:val="002F2961"/>
    <w:rsid w:val="00301269"/>
    <w:rsid w:val="003022FB"/>
    <w:rsid w:val="003124FF"/>
    <w:rsid w:val="0031776A"/>
    <w:rsid w:val="0032403E"/>
    <w:rsid w:val="00333E3B"/>
    <w:rsid w:val="003440B9"/>
    <w:rsid w:val="00360A13"/>
    <w:rsid w:val="00362F45"/>
    <w:rsid w:val="003712C4"/>
    <w:rsid w:val="00374FD3"/>
    <w:rsid w:val="003750E7"/>
    <w:rsid w:val="0038253E"/>
    <w:rsid w:val="00390913"/>
    <w:rsid w:val="003A2B2E"/>
    <w:rsid w:val="003A61AF"/>
    <w:rsid w:val="003A726C"/>
    <w:rsid w:val="003B0BA0"/>
    <w:rsid w:val="003C118C"/>
    <w:rsid w:val="003C1A54"/>
    <w:rsid w:val="003C3C1D"/>
    <w:rsid w:val="003C46C0"/>
    <w:rsid w:val="003C754D"/>
    <w:rsid w:val="003D4D98"/>
    <w:rsid w:val="003D4F27"/>
    <w:rsid w:val="003D70DC"/>
    <w:rsid w:val="003D7381"/>
    <w:rsid w:val="003D7485"/>
    <w:rsid w:val="003E0457"/>
    <w:rsid w:val="003F03E1"/>
    <w:rsid w:val="0040162D"/>
    <w:rsid w:val="00401FB4"/>
    <w:rsid w:val="00405B97"/>
    <w:rsid w:val="00411C0D"/>
    <w:rsid w:val="00413120"/>
    <w:rsid w:val="0042062A"/>
    <w:rsid w:val="004334F2"/>
    <w:rsid w:val="00441889"/>
    <w:rsid w:val="00441F70"/>
    <w:rsid w:val="0044401E"/>
    <w:rsid w:val="00470687"/>
    <w:rsid w:val="00473EC8"/>
    <w:rsid w:val="00474130"/>
    <w:rsid w:val="004753E9"/>
    <w:rsid w:val="00483B9D"/>
    <w:rsid w:val="004874C1"/>
    <w:rsid w:val="00490D4F"/>
    <w:rsid w:val="004915EF"/>
    <w:rsid w:val="004918AB"/>
    <w:rsid w:val="0049442E"/>
    <w:rsid w:val="004959F0"/>
    <w:rsid w:val="00497B81"/>
    <w:rsid w:val="004A0BD9"/>
    <w:rsid w:val="004A7310"/>
    <w:rsid w:val="004B309A"/>
    <w:rsid w:val="004C01C5"/>
    <w:rsid w:val="004C504F"/>
    <w:rsid w:val="004D1CC0"/>
    <w:rsid w:val="004D2E99"/>
    <w:rsid w:val="004E431D"/>
    <w:rsid w:val="004E6C54"/>
    <w:rsid w:val="004F247E"/>
    <w:rsid w:val="004F7F31"/>
    <w:rsid w:val="0050104E"/>
    <w:rsid w:val="00515499"/>
    <w:rsid w:val="00516347"/>
    <w:rsid w:val="005177E2"/>
    <w:rsid w:val="005178C2"/>
    <w:rsid w:val="005207BF"/>
    <w:rsid w:val="00523CEA"/>
    <w:rsid w:val="005244A2"/>
    <w:rsid w:val="00526215"/>
    <w:rsid w:val="00534769"/>
    <w:rsid w:val="00541B46"/>
    <w:rsid w:val="00547959"/>
    <w:rsid w:val="0055136C"/>
    <w:rsid w:val="00561998"/>
    <w:rsid w:val="0056245B"/>
    <w:rsid w:val="0057365D"/>
    <w:rsid w:val="005761CA"/>
    <w:rsid w:val="005772EB"/>
    <w:rsid w:val="005872A0"/>
    <w:rsid w:val="00591E09"/>
    <w:rsid w:val="005927ED"/>
    <w:rsid w:val="00594CAC"/>
    <w:rsid w:val="00595189"/>
    <w:rsid w:val="005A4D08"/>
    <w:rsid w:val="005A7EA6"/>
    <w:rsid w:val="005B46FD"/>
    <w:rsid w:val="005C340B"/>
    <w:rsid w:val="005D5066"/>
    <w:rsid w:val="005D6965"/>
    <w:rsid w:val="005E00CA"/>
    <w:rsid w:val="005E1CD0"/>
    <w:rsid w:val="005E3E2E"/>
    <w:rsid w:val="005F107B"/>
    <w:rsid w:val="005F32A4"/>
    <w:rsid w:val="005F5064"/>
    <w:rsid w:val="005F7549"/>
    <w:rsid w:val="006117E2"/>
    <w:rsid w:val="006149A7"/>
    <w:rsid w:val="00620D61"/>
    <w:rsid w:val="006222B0"/>
    <w:rsid w:val="00624D26"/>
    <w:rsid w:val="0063137D"/>
    <w:rsid w:val="00641243"/>
    <w:rsid w:val="00643C10"/>
    <w:rsid w:val="00655058"/>
    <w:rsid w:val="00691CBB"/>
    <w:rsid w:val="0069772C"/>
    <w:rsid w:val="006A13BC"/>
    <w:rsid w:val="006B11B9"/>
    <w:rsid w:val="006B1D83"/>
    <w:rsid w:val="006D0142"/>
    <w:rsid w:val="006D479F"/>
    <w:rsid w:val="006D639A"/>
    <w:rsid w:val="006D72B5"/>
    <w:rsid w:val="006E1A10"/>
    <w:rsid w:val="006E2CF3"/>
    <w:rsid w:val="006F6ADC"/>
    <w:rsid w:val="007020A9"/>
    <w:rsid w:val="007023D6"/>
    <w:rsid w:val="007047AF"/>
    <w:rsid w:val="00705608"/>
    <w:rsid w:val="00714EA2"/>
    <w:rsid w:val="0071760C"/>
    <w:rsid w:val="00722811"/>
    <w:rsid w:val="00724CB6"/>
    <w:rsid w:val="00745049"/>
    <w:rsid w:val="0075115E"/>
    <w:rsid w:val="00752D30"/>
    <w:rsid w:val="007620BD"/>
    <w:rsid w:val="00763E93"/>
    <w:rsid w:val="00765E38"/>
    <w:rsid w:val="00771EFC"/>
    <w:rsid w:val="00772D9E"/>
    <w:rsid w:val="00782920"/>
    <w:rsid w:val="007839AE"/>
    <w:rsid w:val="00791004"/>
    <w:rsid w:val="00797BEF"/>
    <w:rsid w:val="007A4C19"/>
    <w:rsid w:val="007B16A6"/>
    <w:rsid w:val="007C542F"/>
    <w:rsid w:val="007C5E64"/>
    <w:rsid w:val="007E10F2"/>
    <w:rsid w:val="007E3DE4"/>
    <w:rsid w:val="007F430F"/>
    <w:rsid w:val="007F51BB"/>
    <w:rsid w:val="007F670E"/>
    <w:rsid w:val="00802389"/>
    <w:rsid w:val="00802AEE"/>
    <w:rsid w:val="008035EC"/>
    <w:rsid w:val="00813567"/>
    <w:rsid w:val="00817ED5"/>
    <w:rsid w:val="00823AFD"/>
    <w:rsid w:val="00837888"/>
    <w:rsid w:val="00844117"/>
    <w:rsid w:val="00844E60"/>
    <w:rsid w:val="008509B5"/>
    <w:rsid w:val="0086234F"/>
    <w:rsid w:val="00864F12"/>
    <w:rsid w:val="00865050"/>
    <w:rsid w:val="00866C5E"/>
    <w:rsid w:val="00871280"/>
    <w:rsid w:val="00872C08"/>
    <w:rsid w:val="008843C5"/>
    <w:rsid w:val="00884724"/>
    <w:rsid w:val="00891213"/>
    <w:rsid w:val="008A0229"/>
    <w:rsid w:val="008A7025"/>
    <w:rsid w:val="008C0159"/>
    <w:rsid w:val="008D2CCF"/>
    <w:rsid w:val="008D4D25"/>
    <w:rsid w:val="008D7039"/>
    <w:rsid w:val="008E1942"/>
    <w:rsid w:val="008E587A"/>
    <w:rsid w:val="008F08D1"/>
    <w:rsid w:val="008F16FB"/>
    <w:rsid w:val="008F79D2"/>
    <w:rsid w:val="009105C1"/>
    <w:rsid w:val="00911C42"/>
    <w:rsid w:val="0091398E"/>
    <w:rsid w:val="00914BBF"/>
    <w:rsid w:val="00917605"/>
    <w:rsid w:val="00920437"/>
    <w:rsid w:val="00921561"/>
    <w:rsid w:val="00921760"/>
    <w:rsid w:val="00921EC5"/>
    <w:rsid w:val="00943FA3"/>
    <w:rsid w:val="00947421"/>
    <w:rsid w:val="009517EC"/>
    <w:rsid w:val="00951ADF"/>
    <w:rsid w:val="0095394A"/>
    <w:rsid w:val="00954F02"/>
    <w:rsid w:val="00970FD3"/>
    <w:rsid w:val="00985F06"/>
    <w:rsid w:val="009923D4"/>
    <w:rsid w:val="009A28FC"/>
    <w:rsid w:val="009A7070"/>
    <w:rsid w:val="009B1C8C"/>
    <w:rsid w:val="009B5426"/>
    <w:rsid w:val="009B5C66"/>
    <w:rsid w:val="009B7AA5"/>
    <w:rsid w:val="009D114F"/>
    <w:rsid w:val="00A12F91"/>
    <w:rsid w:val="00A17EDA"/>
    <w:rsid w:val="00A3726A"/>
    <w:rsid w:val="00A43BDF"/>
    <w:rsid w:val="00A45CD4"/>
    <w:rsid w:val="00A504B2"/>
    <w:rsid w:val="00A536C0"/>
    <w:rsid w:val="00A66263"/>
    <w:rsid w:val="00A738F3"/>
    <w:rsid w:val="00A85472"/>
    <w:rsid w:val="00A86DB6"/>
    <w:rsid w:val="00AA18F8"/>
    <w:rsid w:val="00AC0B71"/>
    <w:rsid w:val="00AC6DE0"/>
    <w:rsid w:val="00AD0849"/>
    <w:rsid w:val="00AD20A3"/>
    <w:rsid w:val="00AD2A0E"/>
    <w:rsid w:val="00AD79EF"/>
    <w:rsid w:val="00AE0378"/>
    <w:rsid w:val="00AE0588"/>
    <w:rsid w:val="00AE5B17"/>
    <w:rsid w:val="00B01023"/>
    <w:rsid w:val="00B05DE9"/>
    <w:rsid w:val="00B17995"/>
    <w:rsid w:val="00B22D8E"/>
    <w:rsid w:val="00B251C9"/>
    <w:rsid w:val="00B2692E"/>
    <w:rsid w:val="00B273D7"/>
    <w:rsid w:val="00B30945"/>
    <w:rsid w:val="00B44832"/>
    <w:rsid w:val="00B45CB7"/>
    <w:rsid w:val="00B46CD5"/>
    <w:rsid w:val="00B6315B"/>
    <w:rsid w:val="00B71B29"/>
    <w:rsid w:val="00B875FB"/>
    <w:rsid w:val="00B87E58"/>
    <w:rsid w:val="00B87E91"/>
    <w:rsid w:val="00B90D9A"/>
    <w:rsid w:val="00B92907"/>
    <w:rsid w:val="00BA5799"/>
    <w:rsid w:val="00BA6B5E"/>
    <w:rsid w:val="00BA79E3"/>
    <w:rsid w:val="00BC150D"/>
    <w:rsid w:val="00BC3C3D"/>
    <w:rsid w:val="00BC4998"/>
    <w:rsid w:val="00BD4470"/>
    <w:rsid w:val="00BD5CF6"/>
    <w:rsid w:val="00BE3703"/>
    <w:rsid w:val="00BE4C00"/>
    <w:rsid w:val="00BE6378"/>
    <w:rsid w:val="00BE67D6"/>
    <w:rsid w:val="00C01D51"/>
    <w:rsid w:val="00C03490"/>
    <w:rsid w:val="00C10F56"/>
    <w:rsid w:val="00C138DC"/>
    <w:rsid w:val="00C16BD0"/>
    <w:rsid w:val="00C17B4C"/>
    <w:rsid w:val="00C230E2"/>
    <w:rsid w:val="00C408EE"/>
    <w:rsid w:val="00C47B66"/>
    <w:rsid w:val="00C512FD"/>
    <w:rsid w:val="00C55A5F"/>
    <w:rsid w:val="00C65106"/>
    <w:rsid w:val="00C76124"/>
    <w:rsid w:val="00C7782D"/>
    <w:rsid w:val="00C8049C"/>
    <w:rsid w:val="00C81CFD"/>
    <w:rsid w:val="00C87EF8"/>
    <w:rsid w:val="00C914DD"/>
    <w:rsid w:val="00C930E9"/>
    <w:rsid w:val="00CA37E1"/>
    <w:rsid w:val="00CA66B5"/>
    <w:rsid w:val="00CA67C9"/>
    <w:rsid w:val="00CB3908"/>
    <w:rsid w:val="00CB66B6"/>
    <w:rsid w:val="00CB6BBF"/>
    <w:rsid w:val="00CC2610"/>
    <w:rsid w:val="00CC7A91"/>
    <w:rsid w:val="00CE51BC"/>
    <w:rsid w:val="00CE7C8C"/>
    <w:rsid w:val="00CF00D4"/>
    <w:rsid w:val="00CF2CCA"/>
    <w:rsid w:val="00D07214"/>
    <w:rsid w:val="00D17CED"/>
    <w:rsid w:val="00D21EB5"/>
    <w:rsid w:val="00D23AF7"/>
    <w:rsid w:val="00D25C26"/>
    <w:rsid w:val="00D35404"/>
    <w:rsid w:val="00D40490"/>
    <w:rsid w:val="00D438DC"/>
    <w:rsid w:val="00D45B22"/>
    <w:rsid w:val="00D53C57"/>
    <w:rsid w:val="00D55FDE"/>
    <w:rsid w:val="00D72EE2"/>
    <w:rsid w:val="00D83163"/>
    <w:rsid w:val="00D9097B"/>
    <w:rsid w:val="00D93858"/>
    <w:rsid w:val="00DA223D"/>
    <w:rsid w:val="00DB109A"/>
    <w:rsid w:val="00DC636A"/>
    <w:rsid w:val="00DC6D37"/>
    <w:rsid w:val="00DC71F7"/>
    <w:rsid w:val="00DC7558"/>
    <w:rsid w:val="00DD2F7E"/>
    <w:rsid w:val="00DD4A3A"/>
    <w:rsid w:val="00DE3CB8"/>
    <w:rsid w:val="00DE457C"/>
    <w:rsid w:val="00DF2F22"/>
    <w:rsid w:val="00DF4991"/>
    <w:rsid w:val="00E00673"/>
    <w:rsid w:val="00E008B3"/>
    <w:rsid w:val="00E113CA"/>
    <w:rsid w:val="00E2405C"/>
    <w:rsid w:val="00E273F0"/>
    <w:rsid w:val="00E34734"/>
    <w:rsid w:val="00E37609"/>
    <w:rsid w:val="00E46B99"/>
    <w:rsid w:val="00E50D6B"/>
    <w:rsid w:val="00E540C7"/>
    <w:rsid w:val="00E546F6"/>
    <w:rsid w:val="00E54FB9"/>
    <w:rsid w:val="00E6554E"/>
    <w:rsid w:val="00E82BA9"/>
    <w:rsid w:val="00E96D58"/>
    <w:rsid w:val="00EA1AAC"/>
    <w:rsid w:val="00EA245A"/>
    <w:rsid w:val="00EA31F1"/>
    <w:rsid w:val="00ED09E0"/>
    <w:rsid w:val="00ED2C92"/>
    <w:rsid w:val="00ED3E8B"/>
    <w:rsid w:val="00EE2AF6"/>
    <w:rsid w:val="00EE5C95"/>
    <w:rsid w:val="00EF6FD7"/>
    <w:rsid w:val="00EF7146"/>
    <w:rsid w:val="00F02FB0"/>
    <w:rsid w:val="00F031BF"/>
    <w:rsid w:val="00F242AF"/>
    <w:rsid w:val="00F2517D"/>
    <w:rsid w:val="00F270D6"/>
    <w:rsid w:val="00F36E44"/>
    <w:rsid w:val="00F404A0"/>
    <w:rsid w:val="00F459F9"/>
    <w:rsid w:val="00F57391"/>
    <w:rsid w:val="00F7594A"/>
    <w:rsid w:val="00F7707D"/>
    <w:rsid w:val="00F84A52"/>
    <w:rsid w:val="00F85BE8"/>
    <w:rsid w:val="00F9299C"/>
    <w:rsid w:val="00F939A4"/>
    <w:rsid w:val="00FA2F4E"/>
    <w:rsid w:val="00FA3BC6"/>
    <w:rsid w:val="00FC6904"/>
    <w:rsid w:val="00FF4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31CD9F"/>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47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customStyle="1" w:styleId="BodyText3">
    <w:name w:val="Body Text3"/>
    <w:basedOn w:val="Normal"/>
    <w:link w:val="BodyText3Char"/>
    <w:rsid w:val="007C542F"/>
    <w:pPr>
      <w:spacing w:before="120" w:after="120" w:line="240" w:lineRule="auto"/>
      <w:ind w:firstLine="720"/>
    </w:pPr>
    <w:rPr>
      <w:rFonts w:ascii="Times New Roman" w:eastAsia="Times New Roman" w:hAnsi="Times New Roman" w:cs="Times New Roman"/>
      <w:szCs w:val="20"/>
    </w:rPr>
  </w:style>
  <w:style w:type="character" w:customStyle="1" w:styleId="BodyText3Char">
    <w:name w:val="Body Text3 Char"/>
    <w:basedOn w:val="DefaultParagraphFont"/>
    <w:link w:val="BodyText3"/>
    <w:rsid w:val="007C542F"/>
    <w:rPr>
      <w:rFonts w:ascii="Times New Roman" w:eastAsia="Times New Roman" w:hAnsi="Times New Roman" w:cs="Times New Roman"/>
      <w:szCs w:val="20"/>
    </w:rPr>
  </w:style>
  <w:style w:type="paragraph" w:styleId="ListBullet">
    <w:name w:val="List Bullet"/>
    <w:basedOn w:val="Normal"/>
    <w:uiPriority w:val="99"/>
    <w:unhideWhenUsed/>
    <w:rsid w:val="00782920"/>
    <w:pPr>
      <w:numPr>
        <w:numId w:val="18"/>
      </w:numPr>
      <w:contextualSpacing/>
    </w:pPr>
  </w:style>
  <w:style w:type="character" w:customStyle="1" w:styleId="Heading1Char">
    <w:name w:val="Heading 1 Char"/>
    <w:basedOn w:val="DefaultParagraphFont"/>
    <w:link w:val="Heading1"/>
    <w:uiPriority w:val="9"/>
    <w:rsid w:val="006D479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5741">
      <w:bodyDiv w:val="1"/>
      <w:marLeft w:val="0"/>
      <w:marRight w:val="0"/>
      <w:marTop w:val="0"/>
      <w:marBottom w:val="0"/>
      <w:divBdr>
        <w:top w:val="none" w:sz="0" w:space="0" w:color="auto"/>
        <w:left w:val="none" w:sz="0" w:space="0" w:color="auto"/>
        <w:bottom w:val="none" w:sz="0" w:space="0" w:color="auto"/>
        <w:right w:val="none" w:sz="0" w:space="0" w:color="auto"/>
      </w:divBdr>
    </w:div>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888958017">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057824900">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 w:id="1758092550">
      <w:bodyDiv w:val="1"/>
      <w:marLeft w:val="0"/>
      <w:marRight w:val="0"/>
      <w:marTop w:val="0"/>
      <w:marBottom w:val="0"/>
      <w:divBdr>
        <w:top w:val="none" w:sz="0" w:space="0" w:color="auto"/>
        <w:left w:val="none" w:sz="0" w:space="0" w:color="auto"/>
        <w:bottom w:val="none" w:sz="0" w:space="0" w:color="auto"/>
        <w:right w:val="none" w:sz="0" w:space="0" w:color="auto"/>
      </w:divBdr>
    </w:div>
    <w:div w:id="178553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Planty@usdoj.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js.gov/content/pub/pdf/acardp.pdf" TargetMode="External"/><Relationship Id="rId4" Type="http://schemas.openxmlformats.org/officeDocument/2006/relationships/settings" Target="settings.xml"/><Relationship Id="rId9" Type="http://schemas.openxmlformats.org/officeDocument/2006/relationships/hyperlink" Target="http://www.bjs.gov/index.cfm?ty=tp&amp;tid=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ps.who.int/classifications/icd10/browse/20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A34AD-85E9-405D-8BE9-AC485645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5082</Words>
  <Characters>28973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mlombardo</dc:creator>
  <cp:lastModifiedBy>Adams, Devon</cp:lastModifiedBy>
  <cp:revision>2</cp:revision>
  <cp:lastPrinted>2015-10-08T15:03:00Z</cp:lastPrinted>
  <dcterms:created xsi:type="dcterms:W3CDTF">2015-10-13T14:32:00Z</dcterms:created>
  <dcterms:modified xsi:type="dcterms:W3CDTF">2015-10-13T14:32:00Z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173254253</vt:i4>
  </property>
</Properties>
</file>