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97E" w:rsidRPr="00877111" w:rsidRDefault="000C797E" w:rsidP="00592257">
      <w:pPr>
        <w:jc w:val="center"/>
        <w:rPr>
          <w:rFonts w:ascii="Times New Roman" w:hAnsi="Times New Roman"/>
          <w:b/>
          <w:sz w:val="28"/>
          <w:szCs w:val="28"/>
        </w:rPr>
      </w:pPr>
      <w:bookmarkStart w:id="0" w:name="_GoBack"/>
      <w:bookmarkEnd w:id="0"/>
      <w:r w:rsidRPr="00877111">
        <w:rPr>
          <w:rFonts w:ascii="Times New Roman" w:hAnsi="Times New Roman"/>
          <w:b/>
          <w:sz w:val="28"/>
          <w:szCs w:val="28"/>
        </w:rPr>
        <w:t>Supporting Statement for Paperwork Reduction Act Submission</w:t>
      </w:r>
    </w:p>
    <w:p w:rsidR="000C797E" w:rsidRPr="001620C0" w:rsidRDefault="000C797E">
      <w:pPr>
        <w:widowControl/>
        <w:rPr>
          <w:rFonts w:ascii="Times New Roman" w:hAnsi="Times New Roman"/>
        </w:rPr>
      </w:pPr>
    </w:p>
    <w:p w:rsidR="000C797E" w:rsidRPr="001620C0" w:rsidRDefault="000C797E">
      <w:pPr>
        <w:widowControl/>
        <w:rPr>
          <w:rFonts w:ascii="Times New Roman" w:hAnsi="Times New Roman"/>
        </w:rPr>
      </w:pPr>
    </w:p>
    <w:p w:rsidR="000C797E" w:rsidRPr="001620C0" w:rsidRDefault="000C797E">
      <w:pPr>
        <w:widowControl/>
        <w:rPr>
          <w:rFonts w:ascii="Times New Roman" w:hAnsi="Times New Roman"/>
        </w:rPr>
      </w:pPr>
      <w:r w:rsidRPr="001620C0">
        <w:rPr>
          <w:rFonts w:ascii="Times New Roman" w:hAnsi="Times New Roman"/>
          <w:b/>
          <w:bCs/>
        </w:rPr>
        <w:t>AGENCY:</w:t>
      </w:r>
      <w:r w:rsidRPr="001620C0">
        <w:rPr>
          <w:rFonts w:ascii="Times New Roman" w:hAnsi="Times New Roman"/>
        </w:rPr>
        <w:tab/>
        <w:t xml:space="preserve">Pension Benefit Guaranty Corporation </w:t>
      </w:r>
    </w:p>
    <w:p w:rsidR="000C797E" w:rsidRPr="001620C0" w:rsidRDefault="000C797E">
      <w:pPr>
        <w:widowControl/>
        <w:rPr>
          <w:rFonts w:ascii="Times New Roman" w:hAnsi="Times New Roman"/>
        </w:rPr>
      </w:pPr>
    </w:p>
    <w:p w:rsidR="000C797E" w:rsidRPr="001620C0" w:rsidRDefault="000C797E">
      <w:pPr>
        <w:widowControl/>
        <w:tabs>
          <w:tab w:val="left" w:pos="-1440"/>
        </w:tabs>
        <w:ind w:left="1440" w:hanging="1440"/>
        <w:rPr>
          <w:rFonts w:ascii="Times New Roman" w:hAnsi="Times New Roman"/>
        </w:rPr>
      </w:pPr>
      <w:r w:rsidRPr="001620C0">
        <w:rPr>
          <w:rFonts w:ascii="Times New Roman" w:hAnsi="Times New Roman"/>
          <w:b/>
          <w:bCs/>
        </w:rPr>
        <w:t>TITLE:</w:t>
      </w:r>
      <w:r w:rsidRPr="001620C0">
        <w:rPr>
          <w:rFonts w:ascii="Times New Roman" w:hAnsi="Times New Roman"/>
        </w:rPr>
        <w:tab/>
        <w:t xml:space="preserve">Duties of Plan Sponsor Following Mass Withdrawal (29 CFR Part 4281) </w:t>
      </w:r>
    </w:p>
    <w:p w:rsidR="000C797E" w:rsidRPr="001620C0" w:rsidRDefault="000C797E">
      <w:pPr>
        <w:widowControl/>
        <w:rPr>
          <w:rFonts w:ascii="Times New Roman" w:hAnsi="Times New Roman"/>
        </w:rPr>
      </w:pPr>
    </w:p>
    <w:p w:rsidR="000C797E" w:rsidRPr="001620C0" w:rsidRDefault="000C797E">
      <w:pPr>
        <w:widowControl/>
        <w:tabs>
          <w:tab w:val="left" w:pos="-1440"/>
        </w:tabs>
        <w:ind w:left="1440" w:hanging="1440"/>
        <w:rPr>
          <w:rFonts w:ascii="Times New Roman" w:hAnsi="Times New Roman"/>
        </w:rPr>
      </w:pPr>
      <w:r w:rsidRPr="001620C0">
        <w:rPr>
          <w:rFonts w:ascii="Times New Roman" w:hAnsi="Times New Roman"/>
          <w:b/>
          <w:bCs/>
        </w:rPr>
        <w:t>STATUS:</w:t>
      </w:r>
      <w:r w:rsidRPr="001620C0">
        <w:rPr>
          <w:rFonts w:ascii="Times New Roman" w:hAnsi="Times New Roman"/>
        </w:rPr>
        <w:tab/>
        <w:t>Request for</w:t>
      </w:r>
      <w:r w:rsidR="008A0FC0">
        <w:rPr>
          <w:rFonts w:ascii="Times New Roman" w:hAnsi="Times New Roman"/>
        </w:rPr>
        <w:t xml:space="preserve"> approval of a revision</w:t>
      </w:r>
      <w:r w:rsidRPr="001620C0">
        <w:rPr>
          <w:rFonts w:ascii="Times New Roman" w:hAnsi="Times New Roman"/>
        </w:rPr>
        <w:t xml:space="preserve"> of </w:t>
      </w:r>
      <w:r w:rsidR="008A0FC0">
        <w:rPr>
          <w:rFonts w:ascii="Times New Roman" w:hAnsi="Times New Roman"/>
        </w:rPr>
        <w:t xml:space="preserve">a </w:t>
      </w:r>
      <w:r w:rsidRPr="001620C0">
        <w:rPr>
          <w:rFonts w:ascii="Times New Roman" w:hAnsi="Times New Roman"/>
        </w:rPr>
        <w:t>currently approved collection (OMB control number 1212</w:t>
      </w:r>
      <w:r w:rsidR="009D23DE" w:rsidRPr="001620C0">
        <w:rPr>
          <w:rFonts w:ascii="Times New Roman" w:hAnsi="Times New Roman"/>
        </w:rPr>
        <w:t xml:space="preserve">-0032; expires </w:t>
      </w:r>
      <w:r w:rsidR="00F17EE0">
        <w:rPr>
          <w:rFonts w:ascii="Times New Roman" w:hAnsi="Times New Roman"/>
        </w:rPr>
        <w:t>Ju</w:t>
      </w:r>
      <w:r w:rsidR="00026CBF">
        <w:rPr>
          <w:rFonts w:ascii="Times New Roman" w:hAnsi="Times New Roman"/>
        </w:rPr>
        <w:t>ly</w:t>
      </w:r>
      <w:r w:rsidR="00F17EE0">
        <w:rPr>
          <w:rFonts w:ascii="Times New Roman" w:hAnsi="Times New Roman"/>
        </w:rPr>
        <w:t xml:space="preserve"> 3</w:t>
      </w:r>
      <w:r w:rsidR="00026CBF">
        <w:rPr>
          <w:rFonts w:ascii="Times New Roman" w:hAnsi="Times New Roman"/>
        </w:rPr>
        <w:t>1</w:t>
      </w:r>
      <w:r w:rsidR="008A0FC0">
        <w:rPr>
          <w:rFonts w:ascii="Times New Roman" w:hAnsi="Times New Roman"/>
        </w:rPr>
        <w:t>, 2017</w:t>
      </w:r>
      <w:r w:rsidRPr="001620C0">
        <w:rPr>
          <w:rFonts w:ascii="Times New Roman" w:hAnsi="Times New Roman"/>
        </w:rPr>
        <w:t xml:space="preserve">) </w:t>
      </w:r>
    </w:p>
    <w:p w:rsidR="000C797E" w:rsidRPr="001620C0" w:rsidRDefault="000C797E">
      <w:pPr>
        <w:widowControl/>
        <w:rPr>
          <w:rFonts w:ascii="Times New Roman" w:hAnsi="Times New Roman"/>
        </w:rPr>
      </w:pPr>
    </w:p>
    <w:p w:rsidR="000C797E" w:rsidRPr="001620C0" w:rsidRDefault="000C797E" w:rsidP="00C47D21">
      <w:pPr>
        <w:widowControl/>
        <w:ind w:left="1440" w:hanging="1440"/>
        <w:rPr>
          <w:rFonts w:ascii="Times New Roman" w:hAnsi="Times New Roman"/>
        </w:rPr>
      </w:pPr>
      <w:r w:rsidRPr="001620C0">
        <w:rPr>
          <w:rFonts w:ascii="Times New Roman" w:hAnsi="Times New Roman"/>
          <w:b/>
          <w:bCs/>
        </w:rPr>
        <w:t>CONTACT:</w:t>
      </w:r>
      <w:r w:rsidR="00FA0292" w:rsidRPr="001620C0">
        <w:rPr>
          <w:rFonts w:ascii="Times New Roman" w:hAnsi="Times New Roman"/>
        </w:rPr>
        <w:tab/>
      </w:r>
      <w:r w:rsidR="00235173">
        <w:rPr>
          <w:rFonts w:ascii="Times New Roman" w:hAnsi="Times New Roman"/>
        </w:rPr>
        <w:t>Donald F. McCabe (326-4400 x3872)</w:t>
      </w:r>
      <w:r w:rsidR="00C747A5">
        <w:rPr>
          <w:rFonts w:ascii="Times New Roman" w:hAnsi="Times New Roman"/>
        </w:rPr>
        <w:t xml:space="preserve"> or Catherine Klion (326-4400 x3041)</w:t>
      </w:r>
    </w:p>
    <w:p w:rsidR="000C797E" w:rsidRPr="001620C0" w:rsidRDefault="000C797E">
      <w:pPr>
        <w:widowControl/>
        <w:rPr>
          <w:rFonts w:ascii="Times New Roman" w:hAnsi="Times New Roman"/>
        </w:rPr>
      </w:pPr>
    </w:p>
    <w:p w:rsidR="000C797E" w:rsidRPr="001620C0" w:rsidRDefault="000C797E">
      <w:pPr>
        <w:widowControl/>
        <w:rPr>
          <w:rFonts w:ascii="Times New Roman" w:hAnsi="Times New Roman"/>
        </w:rPr>
      </w:pPr>
    </w:p>
    <w:p w:rsidR="003A52F3"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  </w:t>
      </w:r>
      <w:r w:rsidRPr="001620C0">
        <w:rPr>
          <w:rFonts w:ascii="Times New Roman" w:hAnsi="Times New Roman"/>
          <w:u w:val="single"/>
        </w:rPr>
        <w:t>Need for collection.</w:t>
      </w:r>
      <w:r w:rsidRPr="001620C0">
        <w:rPr>
          <w:rFonts w:ascii="Times New Roman" w:hAnsi="Times New Roman"/>
        </w:rPr>
        <w:t xml:space="preserve">  Section 4281 of the Employee Retirement Income Security Act of 1974 (ERISA) provides rules for multiemployer pension plans that have terminated by mass withdrawal under section 4041A of ERISA.  Under section 4281, if the annual valuation of a plan shows that plan assets are not sufficient to satisfy all nonforfeitable benefits under the plan, the plan sponsor must amend the plan to eliminate benefits that are not eligible for </w:t>
      </w:r>
      <w:r w:rsidR="00FA0292" w:rsidRPr="001620C0">
        <w:rPr>
          <w:rFonts w:ascii="Times New Roman" w:hAnsi="Times New Roman"/>
        </w:rPr>
        <w:t>PBGC</w:t>
      </w:r>
      <w:r w:rsidR="00E17FEF">
        <w:rPr>
          <w:rFonts w:ascii="Times New Roman" w:hAnsi="Times New Roman"/>
        </w:rPr>
        <w:t>’</w:t>
      </w:r>
      <w:r w:rsidRPr="001620C0">
        <w:rPr>
          <w:rFonts w:ascii="Times New Roman" w:hAnsi="Times New Roman"/>
        </w:rPr>
        <w:t>s guarantee to the extent necessary to ensure that plan assets are sufficient (as determined and certified in accordance with PBGC regulations) for all remaining nonforfeitable benefits (subsection (c)).  If, after such an amendment, the plan becomes insolvent (</w:t>
      </w:r>
      <w:r w:rsidRPr="001620C0">
        <w:rPr>
          <w:rFonts w:ascii="Times New Roman" w:hAnsi="Times New Roman"/>
          <w:i/>
          <w:iCs/>
        </w:rPr>
        <w:t>i.e.</w:t>
      </w:r>
      <w:r w:rsidRPr="001620C0">
        <w:rPr>
          <w:rFonts w:ascii="Times New Roman" w:hAnsi="Times New Roman"/>
        </w:rPr>
        <w:t>, unable to pay benefits when due for a plan year), the plan sponsor must suspend benefits in excess of guaranteed benefits to the extent that their payment cannot be supported by the plan</w:t>
      </w:r>
      <w:r w:rsidR="00E17FEF">
        <w:rPr>
          <w:rFonts w:ascii="Times New Roman" w:hAnsi="Times New Roman"/>
        </w:rPr>
        <w:t>’s</w:t>
      </w:r>
      <w:r w:rsidRPr="001620C0">
        <w:rPr>
          <w:rFonts w:ascii="Times New Roman" w:hAnsi="Times New Roman"/>
        </w:rPr>
        <w:t xml:space="preserve"> available resources.  If the plan</w:t>
      </w:r>
      <w:r w:rsidR="00E17FEF">
        <w:rPr>
          <w:rFonts w:ascii="Times New Roman" w:hAnsi="Times New Roman"/>
        </w:rPr>
        <w:t>’s</w:t>
      </w:r>
      <w:r w:rsidRPr="001620C0">
        <w:rPr>
          <w:rFonts w:ascii="Times New Roman" w:hAnsi="Times New Roman"/>
        </w:rPr>
        <w:t xml:space="preserve"> available resources are inadequate to pay guaranteed benefits, the plan sponsor must request financial assistance from </w:t>
      </w:r>
      <w:r w:rsidR="00FA0292" w:rsidRPr="001620C0">
        <w:rPr>
          <w:rFonts w:ascii="Times New Roman" w:hAnsi="Times New Roman"/>
        </w:rPr>
        <w:t>PBGC</w:t>
      </w:r>
      <w:r w:rsidRPr="001620C0">
        <w:rPr>
          <w:rFonts w:ascii="Times New Roman" w:hAnsi="Times New Roman"/>
        </w:rPr>
        <w:t xml:space="preserve"> (see also sections 4245(f) and 4261).  </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lastRenderedPageBreak/>
        <w:t xml:space="preserve">Section 4281 also requires </w:t>
      </w:r>
      <w:r w:rsidR="00FA0292" w:rsidRPr="001620C0">
        <w:rPr>
          <w:rFonts w:ascii="Times New Roman" w:hAnsi="Times New Roman"/>
        </w:rPr>
        <w:t>PBGC</w:t>
      </w:r>
      <w:r w:rsidRPr="001620C0">
        <w:rPr>
          <w:rFonts w:ascii="Times New Roman" w:hAnsi="Times New Roman"/>
        </w:rPr>
        <w:t xml:space="preserve"> to issue regulations governing the exercise of the plan sponsor</w:t>
      </w:r>
      <w:r w:rsidR="00E17FEF">
        <w:rPr>
          <w:rFonts w:ascii="Times New Roman" w:hAnsi="Times New Roman"/>
        </w:rPr>
        <w:t>’</w:t>
      </w:r>
      <w:r w:rsidRPr="001620C0">
        <w:rPr>
          <w:rFonts w:ascii="Times New Roman" w:hAnsi="Times New Roman"/>
        </w:rPr>
        <w:t>s powers and duties thereunder (subsection (d</w:t>
      </w:r>
      <w:proofErr w:type="gramStart"/>
      <w:r w:rsidRPr="001620C0">
        <w:rPr>
          <w:rFonts w:ascii="Times New Roman" w:hAnsi="Times New Roman"/>
        </w:rPr>
        <w:t>)(</w:t>
      </w:r>
      <w:proofErr w:type="gramEnd"/>
      <w:r w:rsidRPr="001620C0">
        <w:rPr>
          <w:rFonts w:ascii="Times New Roman" w:hAnsi="Times New Roman"/>
        </w:rPr>
        <w:t xml:space="preserve">3)).  In addition, section 4041A(f)(2) of ERISA authorizes </w:t>
      </w:r>
      <w:r w:rsidR="00FA0292" w:rsidRPr="001620C0">
        <w:rPr>
          <w:rFonts w:ascii="Times New Roman" w:hAnsi="Times New Roman"/>
        </w:rPr>
        <w:t>PBGC</w:t>
      </w:r>
      <w:r w:rsidRPr="001620C0">
        <w:rPr>
          <w:rFonts w:ascii="Times New Roman" w:hAnsi="Times New Roman"/>
        </w:rPr>
        <w:t xml:space="preserve"> to prescribe such reporting requirements and other rules and standards for administering terminated plans as it considers appropriate to protect plan participants and beneficiaries or to prevent unreasonable loss to </w:t>
      </w:r>
      <w:r w:rsidR="00FA0292" w:rsidRPr="001620C0">
        <w:rPr>
          <w:rFonts w:ascii="Times New Roman" w:hAnsi="Times New Roman"/>
        </w:rPr>
        <w:t>PBGC</w:t>
      </w:r>
      <w:r w:rsidRPr="001620C0">
        <w:rPr>
          <w:rFonts w:ascii="Times New Roman" w:hAnsi="Times New Roman"/>
        </w:rPr>
        <w:t xml:space="preserve">.  </w:t>
      </w:r>
    </w:p>
    <w:p w:rsidR="000C797E" w:rsidRPr="001620C0" w:rsidRDefault="00FA0292" w:rsidP="00877111">
      <w:pPr>
        <w:widowControl/>
        <w:spacing w:line="480" w:lineRule="auto"/>
        <w:ind w:firstLine="720"/>
        <w:rPr>
          <w:rFonts w:ascii="Times New Roman" w:hAnsi="Times New Roman"/>
        </w:rPr>
      </w:pPr>
      <w:r w:rsidRPr="001620C0">
        <w:rPr>
          <w:rFonts w:ascii="Times New Roman" w:hAnsi="Times New Roman"/>
        </w:rPr>
        <w:t>PBGC</w:t>
      </w:r>
      <w:r w:rsidR="00E17FEF">
        <w:rPr>
          <w:rFonts w:ascii="Times New Roman" w:hAnsi="Times New Roman"/>
        </w:rPr>
        <w:t>’</w:t>
      </w:r>
      <w:r w:rsidR="000C797E" w:rsidRPr="001620C0">
        <w:rPr>
          <w:rFonts w:ascii="Times New Roman" w:hAnsi="Times New Roman"/>
        </w:rPr>
        <w:t>s regulation on Duties of Plan Sponsor Following Mass Withdrawal (29 CFR Part 4281) implements the requirements of section 4281.  The regulation prescribes rules under which plan sponsors must: (1) give notices of benefit reduction (</w:t>
      </w:r>
      <w:r w:rsidR="000C797E" w:rsidRPr="001620C0">
        <w:rPr>
          <w:rFonts w:ascii="Times New Roman" w:hAnsi="Times New Roman"/>
          <w:i/>
          <w:iCs/>
        </w:rPr>
        <w:t>i.e.</w:t>
      </w:r>
      <w:r w:rsidR="000C797E" w:rsidRPr="001620C0">
        <w:rPr>
          <w:rFonts w:ascii="Times New Roman" w:hAnsi="Times New Roman"/>
        </w:rPr>
        <w:t xml:space="preserve">, of the adoption of a plan amendment reducing benefits) to </w:t>
      </w:r>
      <w:r w:rsidRPr="001620C0">
        <w:rPr>
          <w:rFonts w:ascii="Times New Roman" w:hAnsi="Times New Roman"/>
        </w:rPr>
        <w:t>PBGC</w:t>
      </w:r>
      <w:r w:rsidR="000C797E" w:rsidRPr="001620C0">
        <w:rPr>
          <w:rFonts w:ascii="Times New Roman" w:hAnsi="Times New Roman"/>
        </w:rPr>
        <w:t xml:space="preserve"> and to affected participants and beneficiaries, and a notice to </w:t>
      </w:r>
      <w:r w:rsidRPr="001620C0">
        <w:rPr>
          <w:rFonts w:ascii="Times New Roman" w:hAnsi="Times New Roman"/>
        </w:rPr>
        <w:t>PBGC</w:t>
      </w:r>
      <w:r w:rsidR="000C797E" w:rsidRPr="001620C0">
        <w:rPr>
          <w:rFonts w:ascii="Times New Roman" w:hAnsi="Times New Roman"/>
        </w:rPr>
        <w:t xml:space="preserve"> of any restoration of benefits </w:t>
      </w:r>
      <w:r w:rsidR="003157D5" w:rsidRPr="001620C0">
        <w:rPr>
          <w:rFonts w:ascii="Times New Roman" w:hAnsi="Times New Roman"/>
        </w:rPr>
        <w:t>(</w:t>
      </w:r>
      <w:r w:rsidR="003157D5">
        <w:rPr>
          <w:rFonts w:ascii="Times New Roman" w:hAnsi="Times New Roman"/>
        </w:rPr>
        <w:t xml:space="preserve">§§ </w:t>
      </w:r>
      <w:r w:rsidR="000C797E" w:rsidRPr="001620C0">
        <w:rPr>
          <w:rFonts w:ascii="Times New Roman" w:hAnsi="Times New Roman"/>
        </w:rPr>
        <w:t xml:space="preserve">4281.32 and 4281.33); (2) give notices to </w:t>
      </w:r>
      <w:r w:rsidRPr="001620C0">
        <w:rPr>
          <w:rFonts w:ascii="Times New Roman" w:hAnsi="Times New Roman"/>
        </w:rPr>
        <w:t>PBGC</w:t>
      </w:r>
      <w:r w:rsidR="000C797E" w:rsidRPr="001620C0">
        <w:rPr>
          <w:rFonts w:ascii="Times New Roman" w:hAnsi="Times New Roman"/>
        </w:rPr>
        <w:t xml:space="preserve"> and to participants and beneficiaries that a plan is, or will be, insolvent, </w:t>
      </w:r>
      <w:r w:rsidR="003157D5" w:rsidRPr="001620C0">
        <w:rPr>
          <w:rFonts w:ascii="Times New Roman" w:hAnsi="Times New Roman"/>
        </w:rPr>
        <w:t>(</w:t>
      </w:r>
      <w:r w:rsidR="003157D5">
        <w:rPr>
          <w:rFonts w:ascii="Times New Roman" w:hAnsi="Times New Roman"/>
        </w:rPr>
        <w:t>§§</w:t>
      </w:r>
      <w:r w:rsidR="003157D5" w:rsidRPr="001620C0">
        <w:rPr>
          <w:rFonts w:ascii="Times New Roman" w:hAnsi="Times New Roman"/>
        </w:rPr>
        <w:t> </w:t>
      </w:r>
      <w:r w:rsidR="000C797E" w:rsidRPr="001620C0">
        <w:rPr>
          <w:rFonts w:ascii="Times New Roman" w:hAnsi="Times New Roman"/>
        </w:rPr>
        <w:t xml:space="preserve">4281.43 and 4281.44); (3) give notices of insolvency benefit level to </w:t>
      </w:r>
      <w:r w:rsidRPr="001620C0">
        <w:rPr>
          <w:rFonts w:ascii="Times New Roman" w:hAnsi="Times New Roman"/>
        </w:rPr>
        <w:t>PBGC</w:t>
      </w:r>
      <w:r w:rsidR="000C797E" w:rsidRPr="001620C0">
        <w:rPr>
          <w:rFonts w:ascii="Times New Roman" w:hAnsi="Times New Roman"/>
        </w:rPr>
        <w:t xml:space="preserve"> and to participants and beneficiaries who are in pay status or may reasonably be expected to enter pay status during the year </w:t>
      </w:r>
      <w:r w:rsidR="003157D5" w:rsidRPr="001620C0">
        <w:rPr>
          <w:rFonts w:ascii="Times New Roman" w:hAnsi="Times New Roman"/>
        </w:rPr>
        <w:t>(</w:t>
      </w:r>
      <w:r w:rsidR="003157D5">
        <w:rPr>
          <w:rFonts w:ascii="Times New Roman" w:hAnsi="Times New Roman"/>
        </w:rPr>
        <w:t>§§</w:t>
      </w:r>
      <w:r w:rsidR="003157D5" w:rsidRPr="001620C0">
        <w:rPr>
          <w:rFonts w:ascii="Times New Roman" w:hAnsi="Times New Roman"/>
        </w:rPr>
        <w:t> </w:t>
      </w:r>
      <w:r w:rsidR="000C797E" w:rsidRPr="001620C0">
        <w:rPr>
          <w:rFonts w:ascii="Times New Roman" w:hAnsi="Times New Roman"/>
        </w:rPr>
        <w:t xml:space="preserve">4281.45 and 4281.46); and (4) submit an application to </w:t>
      </w:r>
      <w:r w:rsidRPr="001620C0">
        <w:rPr>
          <w:rFonts w:ascii="Times New Roman" w:hAnsi="Times New Roman"/>
        </w:rPr>
        <w:t>PBGC</w:t>
      </w:r>
      <w:r w:rsidR="000C797E" w:rsidRPr="001620C0">
        <w:rPr>
          <w:rFonts w:ascii="Times New Roman" w:hAnsi="Times New Roman"/>
        </w:rPr>
        <w:t xml:space="preserve"> for financial assistance if a plan is, or will be, unable to pay guaranteed benefits when due </w:t>
      </w:r>
      <w:r w:rsidR="003157D5" w:rsidRPr="001620C0">
        <w:rPr>
          <w:rFonts w:ascii="Times New Roman" w:hAnsi="Times New Roman"/>
        </w:rPr>
        <w:t>(</w:t>
      </w:r>
      <w:r w:rsidR="003157D5">
        <w:rPr>
          <w:rFonts w:ascii="Times New Roman" w:hAnsi="Times New Roman"/>
        </w:rPr>
        <w:t>§ </w:t>
      </w:r>
      <w:r w:rsidR="000C797E" w:rsidRPr="001620C0">
        <w:rPr>
          <w:rFonts w:ascii="Times New Roman" w:hAnsi="Times New Roman"/>
        </w:rPr>
        <w:t xml:space="preserve">4281.47).  </w:t>
      </w:r>
    </w:p>
    <w:p w:rsidR="00E6015E" w:rsidRDefault="000C797E" w:rsidP="00877111">
      <w:pPr>
        <w:widowControl/>
        <w:spacing w:line="480" w:lineRule="auto"/>
        <w:ind w:firstLine="720"/>
        <w:rPr>
          <w:rFonts w:ascii="Times New Roman" w:hAnsi="Times New Roman"/>
        </w:rPr>
      </w:pPr>
      <w:r w:rsidRPr="001620C0">
        <w:rPr>
          <w:rFonts w:ascii="Times New Roman" w:hAnsi="Times New Roman"/>
        </w:rPr>
        <w:t xml:space="preserve">These rules are necessary to assure the consistency and adequate quality of notices required by law and to enable </w:t>
      </w:r>
      <w:r w:rsidR="00FA0292" w:rsidRPr="001620C0">
        <w:rPr>
          <w:rFonts w:ascii="Times New Roman" w:hAnsi="Times New Roman"/>
        </w:rPr>
        <w:t>PBGC</w:t>
      </w:r>
      <w:r w:rsidRPr="001620C0">
        <w:rPr>
          <w:rFonts w:ascii="Times New Roman" w:hAnsi="Times New Roman"/>
        </w:rPr>
        <w:t xml:space="preserve"> to provide financial assistance to terminated plans in a timely manner.  </w:t>
      </w:r>
    </w:p>
    <w:p w:rsidR="00460D8F" w:rsidRDefault="00CB6A97" w:rsidP="00877111">
      <w:pPr>
        <w:widowControl/>
        <w:spacing w:line="480" w:lineRule="auto"/>
        <w:ind w:firstLine="720"/>
        <w:rPr>
          <w:rFonts w:ascii="Times New Roman" w:hAnsi="Times New Roman"/>
        </w:rPr>
      </w:pPr>
      <w:r>
        <w:rPr>
          <w:rFonts w:ascii="Times New Roman" w:hAnsi="Times New Roman"/>
        </w:rPr>
        <w:lastRenderedPageBreak/>
        <w:t>On April 3, 2015 (80 Fed. Reg</w:t>
      </w:r>
      <w:r w:rsidR="00877111">
        <w:rPr>
          <w:rFonts w:ascii="Times New Roman" w:hAnsi="Times New Roman"/>
        </w:rPr>
        <w:t>18172</w:t>
      </w:r>
      <w:r>
        <w:rPr>
          <w:rFonts w:ascii="Times New Roman" w:hAnsi="Times New Roman"/>
        </w:rPr>
        <w:t>), PBGC published</w:t>
      </w:r>
      <w:r w:rsidR="00460D8F">
        <w:rPr>
          <w:rFonts w:ascii="Times New Roman" w:hAnsi="Times New Roman"/>
        </w:rPr>
        <w:t xml:space="preserve"> a proposed rule that would </w:t>
      </w:r>
      <w:r w:rsidR="00AC7E20">
        <w:rPr>
          <w:rFonts w:ascii="Times New Roman" w:hAnsi="Times New Roman"/>
        </w:rPr>
        <w:t xml:space="preserve">require that plans file notices </w:t>
      </w:r>
      <w:r w:rsidR="008A16A8">
        <w:rPr>
          <w:rFonts w:ascii="Times New Roman" w:hAnsi="Times New Roman"/>
        </w:rPr>
        <w:t xml:space="preserve">of insolvency and of insolvency benefit level and applications for financial assistance </w:t>
      </w:r>
      <w:r w:rsidR="00AC7E20">
        <w:rPr>
          <w:rFonts w:ascii="Times New Roman" w:hAnsi="Times New Roman"/>
        </w:rPr>
        <w:t>under this regulation electronically, starting 2016.</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2.  </w:t>
      </w:r>
      <w:r w:rsidRPr="001620C0">
        <w:rPr>
          <w:rFonts w:ascii="Times New Roman" w:hAnsi="Times New Roman"/>
          <w:u w:val="single"/>
        </w:rPr>
        <w:t>Use of information.</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uses the information it receives to make determinations required by ERISA, to identify and estimate the cash needed for financial assistance to </w:t>
      </w:r>
      <w:proofErr w:type="gramStart"/>
      <w:r w:rsidRPr="001620C0">
        <w:rPr>
          <w:rFonts w:ascii="Times New Roman" w:hAnsi="Times New Roman"/>
        </w:rPr>
        <w:t>terminated</w:t>
      </w:r>
      <w:proofErr w:type="gramEnd"/>
      <w:r w:rsidRPr="001620C0">
        <w:rPr>
          <w:rFonts w:ascii="Times New Roman" w:hAnsi="Times New Roman"/>
        </w:rPr>
        <w:t xml:space="preserve"> plans, and to verify the appropriateness of financial assistance payments.  Plan participants and beneficiaries use the information to make personal financial decisions.  </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3.  </w:t>
      </w:r>
      <w:r w:rsidRPr="001620C0">
        <w:rPr>
          <w:rFonts w:ascii="Times New Roman" w:hAnsi="Times New Roman"/>
          <w:u w:val="single"/>
        </w:rPr>
        <w:t>Information technology.</w:t>
      </w:r>
      <w:r w:rsidRPr="001620C0">
        <w:rPr>
          <w:rFonts w:ascii="Times New Roman" w:hAnsi="Times New Roman"/>
        </w:rPr>
        <w:t xml:space="preserve">  </w:t>
      </w:r>
      <w:r w:rsidR="004F28B6">
        <w:rPr>
          <w:rFonts w:ascii="Times New Roman" w:hAnsi="Times New Roman"/>
        </w:rPr>
        <w:t xml:space="preserve">PBGC has proposed that notices </w:t>
      </w:r>
      <w:r w:rsidR="00CA79F4">
        <w:rPr>
          <w:rFonts w:ascii="Times New Roman" w:hAnsi="Times New Roman"/>
        </w:rPr>
        <w:t xml:space="preserve">of insolvency and insolvency benefit level and applications for financial assistance </w:t>
      </w:r>
      <w:r w:rsidR="004F28B6">
        <w:rPr>
          <w:rFonts w:ascii="Times New Roman" w:hAnsi="Times New Roman"/>
        </w:rPr>
        <w:t>be filed electronically, starting 2016.</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4.  </w:t>
      </w:r>
      <w:r w:rsidRPr="001620C0">
        <w:rPr>
          <w:rFonts w:ascii="Times New Roman" w:hAnsi="Times New Roman"/>
          <w:u w:val="single"/>
        </w:rPr>
        <w:t>Duplicate or similar information.</w:t>
      </w:r>
      <w:r w:rsidRPr="001620C0">
        <w:rPr>
          <w:rFonts w:ascii="Times New Roman" w:hAnsi="Times New Roman"/>
        </w:rPr>
        <w:t xml:space="preserve">  Under </w:t>
      </w:r>
      <w:r w:rsidR="003157D5">
        <w:rPr>
          <w:rFonts w:ascii="Times New Roman" w:hAnsi="Times New Roman"/>
        </w:rPr>
        <w:t>§§</w:t>
      </w:r>
      <w:r w:rsidR="003157D5" w:rsidRPr="001620C0">
        <w:rPr>
          <w:rFonts w:ascii="Times New Roman" w:hAnsi="Times New Roman"/>
        </w:rPr>
        <w:t> </w:t>
      </w:r>
      <w:r w:rsidRPr="001620C0">
        <w:rPr>
          <w:rFonts w:ascii="Times New Roman" w:hAnsi="Times New Roman"/>
        </w:rPr>
        <w:t>4281.44(a</w:t>
      </w:r>
      <w:proofErr w:type="gramStart"/>
      <w:r w:rsidRPr="001620C0">
        <w:rPr>
          <w:rFonts w:ascii="Times New Roman" w:hAnsi="Times New Roman"/>
        </w:rPr>
        <w:t>)(</w:t>
      </w:r>
      <w:proofErr w:type="gramEnd"/>
      <w:r w:rsidRPr="001620C0">
        <w:rPr>
          <w:rFonts w:ascii="Times New Roman" w:hAnsi="Times New Roman"/>
        </w:rPr>
        <w:t xml:space="preserve">7) and (8), a plan sponsor may note the date of a prior submission of a plan document or actuarial valuation rather than resubmitting the document.  After issuance of a notice of insolvency, a plan sponsor need only issue an abbreviated annual update for subsequent insolvency years.  Also, no annual update for an insolvency year is required for participants and beneficiaries who receive a notice of insolvency benefit level for that year.  </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5.  </w:t>
      </w:r>
      <w:r w:rsidRPr="001620C0">
        <w:rPr>
          <w:rFonts w:ascii="Times New Roman" w:hAnsi="Times New Roman"/>
          <w:u w:val="single"/>
        </w:rPr>
        <w:t>Reducing the burden on small entities.</w:t>
      </w:r>
      <w:r w:rsidRPr="001620C0">
        <w:rPr>
          <w:rFonts w:ascii="Times New Roman" w:hAnsi="Times New Roman"/>
        </w:rPr>
        <w:t xml:space="preserve">  </w:t>
      </w:r>
      <w:proofErr w:type="gramStart"/>
      <w:r w:rsidRPr="001620C0">
        <w:rPr>
          <w:rFonts w:ascii="Times New Roman" w:hAnsi="Times New Roman"/>
        </w:rPr>
        <w:t>Inapplicable.</w:t>
      </w:r>
      <w:proofErr w:type="gramEnd"/>
      <w:r w:rsidRPr="001620C0">
        <w:rPr>
          <w:rFonts w:ascii="Times New Roman" w:hAnsi="Times New Roman"/>
        </w:rPr>
        <w:t xml:space="preserve">  </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6.  </w:t>
      </w:r>
      <w:r w:rsidRPr="001620C0">
        <w:rPr>
          <w:rFonts w:ascii="Times New Roman" w:hAnsi="Times New Roman"/>
          <w:u w:val="single"/>
        </w:rPr>
        <w:t>Consequence of reduced collection.</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needs an early warning of threatened insolvency, and its consequent impact on benefit payments, to be able to estimate </w:t>
      </w:r>
      <w:r w:rsidR="00FA0292" w:rsidRPr="001620C0">
        <w:rPr>
          <w:rFonts w:ascii="Times New Roman" w:hAnsi="Times New Roman"/>
        </w:rPr>
        <w:t>PBGC</w:t>
      </w:r>
      <w:r w:rsidR="00E17FEF">
        <w:rPr>
          <w:rFonts w:ascii="Times New Roman" w:hAnsi="Times New Roman"/>
        </w:rPr>
        <w:t>’</w:t>
      </w:r>
      <w:r w:rsidRPr="001620C0">
        <w:rPr>
          <w:rFonts w:ascii="Times New Roman" w:hAnsi="Times New Roman"/>
        </w:rPr>
        <w:t xml:space="preserve">s cash needs to provide financial assistance to insolvent terminated plans.  Once a plan sponsor </w:t>
      </w:r>
      <w:r w:rsidRPr="001620C0">
        <w:rPr>
          <w:rFonts w:ascii="Times New Roman" w:hAnsi="Times New Roman"/>
        </w:rPr>
        <w:lastRenderedPageBreak/>
        <w:t xml:space="preserve">determines that an insolvency situation may arise, a lack of expeditious notification or application could delay PBGC assistance.  Delay in notification may also interfere with the financial decisions of participants and beneficiaries and delay their search for alternative income sources.  Further, without this regulation, the notices required by ERISA section 4281 would be inconsistently given and of varying quality, as plan sponsors applied their individual interpretations of the law.  </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7.  </w:t>
      </w:r>
      <w:r w:rsidRPr="001620C0">
        <w:rPr>
          <w:rFonts w:ascii="Times New Roman" w:hAnsi="Times New Roman"/>
          <w:u w:val="single"/>
        </w:rPr>
        <w:t>Consistency with guidelines.</w:t>
      </w:r>
      <w:r w:rsidRPr="001620C0">
        <w:rPr>
          <w:rFonts w:ascii="Times New Roman" w:hAnsi="Times New Roman"/>
        </w:rPr>
        <w:t xml:space="preserve">  The information collection is not conducted in a manner inconsistent with 5 CFR </w:t>
      </w:r>
      <w:r w:rsidR="003157D5">
        <w:rPr>
          <w:rFonts w:ascii="Times New Roman" w:hAnsi="Times New Roman"/>
        </w:rPr>
        <w:t>§</w:t>
      </w:r>
      <w:r w:rsidR="003157D5" w:rsidRPr="001620C0">
        <w:rPr>
          <w:rFonts w:ascii="Times New Roman" w:hAnsi="Times New Roman"/>
        </w:rPr>
        <w:t> </w:t>
      </w:r>
      <w:r w:rsidRPr="001620C0">
        <w:rPr>
          <w:rFonts w:ascii="Times New Roman" w:hAnsi="Times New Roman"/>
        </w:rPr>
        <w:t>1320.5(d</w:t>
      </w:r>
      <w:proofErr w:type="gramStart"/>
      <w:r w:rsidRPr="001620C0">
        <w:rPr>
          <w:rFonts w:ascii="Times New Roman" w:hAnsi="Times New Roman"/>
        </w:rPr>
        <w:t>)(</w:t>
      </w:r>
      <w:proofErr w:type="gramEnd"/>
      <w:r w:rsidRPr="001620C0">
        <w:rPr>
          <w:rFonts w:ascii="Times New Roman" w:hAnsi="Times New Roman"/>
        </w:rPr>
        <w:t xml:space="preserve">2).  </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8.  </w:t>
      </w:r>
      <w:r w:rsidRPr="001620C0">
        <w:rPr>
          <w:rFonts w:ascii="Times New Roman" w:hAnsi="Times New Roman"/>
          <w:u w:val="single"/>
        </w:rPr>
        <w:t>Outside input.</w:t>
      </w:r>
      <w:r w:rsidR="00F32339" w:rsidRPr="001620C0">
        <w:rPr>
          <w:rFonts w:ascii="Times New Roman" w:hAnsi="Times New Roman"/>
        </w:rPr>
        <w:t xml:space="preserve">  </w:t>
      </w:r>
      <w:r w:rsidR="005B093A" w:rsidRPr="005B093A">
        <w:rPr>
          <w:rFonts w:ascii="Times New Roman" w:hAnsi="Times New Roman"/>
        </w:rPr>
        <w:t xml:space="preserve"> </w:t>
      </w:r>
      <w:r w:rsidR="005B093A">
        <w:rPr>
          <w:rFonts w:ascii="Times New Roman" w:hAnsi="Times New Roman"/>
        </w:rPr>
        <w:t xml:space="preserve">On April 3, 2015 (80 Fed. Reg. </w:t>
      </w:r>
      <w:r w:rsidR="00877111">
        <w:rPr>
          <w:rFonts w:ascii="Times New Roman" w:hAnsi="Times New Roman"/>
        </w:rPr>
        <w:t>18172</w:t>
      </w:r>
      <w:r w:rsidR="005B093A">
        <w:rPr>
          <w:rFonts w:ascii="Times New Roman" w:hAnsi="Times New Roman"/>
        </w:rPr>
        <w:t xml:space="preserve">), </w:t>
      </w:r>
      <w:r w:rsidR="005B093A" w:rsidRPr="005B53E4">
        <w:rPr>
          <w:rFonts w:ascii="Times New Roman" w:hAnsi="Times New Roman"/>
        </w:rPr>
        <w:t xml:space="preserve">PBGC published </w:t>
      </w:r>
      <w:r w:rsidR="005B093A">
        <w:rPr>
          <w:rFonts w:ascii="Times New Roman" w:hAnsi="Times New Roman"/>
        </w:rPr>
        <w:t>a proposed rule that would require electronic filing of notices</w:t>
      </w:r>
      <w:r w:rsidR="002C111D">
        <w:rPr>
          <w:rFonts w:ascii="Times New Roman" w:hAnsi="Times New Roman"/>
        </w:rPr>
        <w:t xml:space="preserve"> of insolvency and of insolvency benefit level</w:t>
      </w:r>
      <w:r w:rsidR="008A16A8">
        <w:rPr>
          <w:rFonts w:ascii="Times New Roman" w:hAnsi="Times New Roman"/>
        </w:rPr>
        <w:t xml:space="preserve"> and </w:t>
      </w:r>
      <w:r w:rsidR="002C111D">
        <w:rPr>
          <w:rFonts w:ascii="Times New Roman" w:hAnsi="Times New Roman"/>
        </w:rPr>
        <w:t>applications for financial assistance</w:t>
      </w:r>
      <w:r w:rsidR="005B093A">
        <w:rPr>
          <w:rFonts w:ascii="Times New Roman" w:hAnsi="Times New Roman"/>
        </w:rPr>
        <w:t xml:space="preserve"> under this regulation.   Comments are due by June 2, 2015.</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9.  </w:t>
      </w:r>
      <w:r w:rsidRPr="001620C0">
        <w:rPr>
          <w:rFonts w:ascii="Times New Roman" w:hAnsi="Times New Roman"/>
          <w:u w:val="single"/>
        </w:rPr>
        <w:t>Payment to respondents.</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provides no payments or gifts to respondents in connection with this collection of information.  </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10.  </w:t>
      </w:r>
      <w:r w:rsidRPr="001620C0">
        <w:rPr>
          <w:rFonts w:ascii="Times New Roman" w:hAnsi="Times New Roman"/>
          <w:u w:val="single"/>
        </w:rPr>
        <w:t>Confidentiality.</w:t>
      </w:r>
      <w:r w:rsidRPr="001620C0">
        <w:rPr>
          <w:rFonts w:ascii="Times New Roman" w:hAnsi="Times New Roman"/>
        </w:rPr>
        <w:t xml:space="preserve">  The regulation gives no assurance of confidentiality, but information submitted to </w:t>
      </w:r>
      <w:r w:rsidR="00FA0292" w:rsidRPr="001620C0">
        <w:rPr>
          <w:rFonts w:ascii="Times New Roman" w:hAnsi="Times New Roman"/>
        </w:rPr>
        <w:t>PBGC</w:t>
      </w:r>
      <w:r w:rsidRPr="001620C0">
        <w:rPr>
          <w:rFonts w:ascii="Times New Roman" w:hAnsi="Times New Roman"/>
        </w:rPr>
        <w:t xml:space="preserve"> under the regulation is accessible only in accordance with applicable law and regulations.  </w:t>
      </w:r>
      <w:r w:rsidR="00FA0292" w:rsidRPr="001620C0">
        <w:rPr>
          <w:rFonts w:ascii="Times New Roman" w:hAnsi="Times New Roman"/>
        </w:rPr>
        <w:t>PBGC</w:t>
      </w:r>
      <w:r w:rsidR="00E17FEF">
        <w:rPr>
          <w:rFonts w:ascii="Times New Roman" w:hAnsi="Times New Roman"/>
        </w:rPr>
        <w:t>’</w:t>
      </w:r>
      <w:r w:rsidRPr="001620C0">
        <w:rPr>
          <w:rFonts w:ascii="Times New Roman" w:hAnsi="Times New Roman"/>
        </w:rPr>
        <w:t xml:space="preserve">s rules providing and restricting access to its records are set forth in 29 CFR Part 4901.  </w:t>
      </w:r>
    </w:p>
    <w:p w:rsidR="001028D1"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11.  </w:t>
      </w:r>
      <w:r w:rsidRPr="001620C0">
        <w:rPr>
          <w:rFonts w:ascii="Times New Roman" w:hAnsi="Times New Roman"/>
          <w:u w:val="single"/>
        </w:rPr>
        <w:t>Personal questions.</w:t>
      </w:r>
      <w:r w:rsidRPr="001620C0">
        <w:rPr>
          <w:rFonts w:ascii="Times New Roman" w:hAnsi="Times New Roman"/>
        </w:rPr>
        <w:t xml:space="preserve">  The regulation does not call for submission of information of a sensitive nature.  </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lastRenderedPageBreak/>
        <w:t xml:space="preserve">12.  </w:t>
      </w:r>
      <w:r w:rsidRPr="001620C0">
        <w:rPr>
          <w:rFonts w:ascii="Times New Roman" w:hAnsi="Times New Roman"/>
          <w:u w:val="single"/>
        </w:rPr>
        <w:t>Hour burden on the public.</w:t>
      </w:r>
      <w:r w:rsidRPr="001620C0">
        <w:rPr>
          <w:rFonts w:ascii="Times New Roman" w:hAnsi="Times New Roman"/>
        </w:rPr>
        <w:t xml:space="preserve">  Most insufficient mass</w:t>
      </w:r>
      <w:r w:rsidRPr="001620C0">
        <w:rPr>
          <w:rFonts w:ascii="Times New Roman" w:hAnsi="Times New Roman"/>
        </w:rPr>
        <w:noBreakHyphen/>
        <w:t>withdrawal</w:t>
      </w:r>
      <w:r w:rsidRPr="001620C0">
        <w:rPr>
          <w:rFonts w:ascii="Times New Roman" w:hAnsi="Times New Roman"/>
        </w:rPr>
        <w:noBreakHyphen/>
        <w:t>terminated plans become insolvent over the course of time and, once insolvent, do not regain solvency.  Analysis of re</w:t>
      </w:r>
      <w:r w:rsidR="009A634E" w:rsidRPr="001620C0">
        <w:rPr>
          <w:rFonts w:ascii="Times New Roman" w:hAnsi="Times New Roman"/>
        </w:rPr>
        <w:t xml:space="preserve">cent data indicates that about </w:t>
      </w:r>
      <w:r w:rsidR="008F793E">
        <w:rPr>
          <w:rFonts w:ascii="Times New Roman" w:hAnsi="Times New Roman"/>
        </w:rPr>
        <w:t>10</w:t>
      </w:r>
      <w:r w:rsidRPr="001620C0">
        <w:rPr>
          <w:rFonts w:ascii="Times New Roman" w:hAnsi="Times New Roman"/>
        </w:rPr>
        <w:t xml:space="preserve"> mass</w:t>
      </w:r>
      <w:r w:rsidRPr="001620C0">
        <w:rPr>
          <w:rFonts w:ascii="Times New Roman" w:hAnsi="Times New Roman"/>
        </w:rPr>
        <w:noBreakHyphen/>
        <w:t>withdrawal</w:t>
      </w:r>
      <w:r w:rsidRPr="001620C0">
        <w:rPr>
          <w:rFonts w:ascii="Times New Roman" w:hAnsi="Times New Roman"/>
        </w:rPr>
        <w:noBreakHyphen/>
        <w:t xml:space="preserve">terminated plans will become insolvent each year over the next three years, and each of these plans will issue notices of insolvency; </w:t>
      </w:r>
      <w:r w:rsidR="008F793E">
        <w:rPr>
          <w:rFonts w:ascii="Times New Roman" w:hAnsi="Times New Roman"/>
        </w:rPr>
        <w:t>5</w:t>
      </w:r>
      <w:r w:rsidRPr="001620C0">
        <w:rPr>
          <w:rFonts w:ascii="Times New Roman" w:hAnsi="Times New Roman"/>
        </w:rPr>
        <w:t xml:space="preserve"> plans per year are expected to issue benefit reduction</w:t>
      </w:r>
      <w:r w:rsidR="007B6212" w:rsidRPr="001620C0">
        <w:rPr>
          <w:rFonts w:ascii="Times New Roman" w:hAnsi="Times New Roman"/>
        </w:rPr>
        <w:t xml:space="preserve"> notices.  There currently are </w:t>
      </w:r>
      <w:r w:rsidR="00E615E2">
        <w:rPr>
          <w:rFonts w:ascii="Times New Roman" w:hAnsi="Times New Roman"/>
        </w:rPr>
        <w:t>51</w:t>
      </w:r>
      <w:r w:rsidRPr="001620C0">
        <w:rPr>
          <w:rFonts w:ascii="Times New Roman" w:hAnsi="Times New Roman"/>
        </w:rPr>
        <w:t xml:space="preserve"> insolvency cases, in each of which </w:t>
      </w:r>
      <w:r w:rsidR="00FA0292" w:rsidRPr="001620C0">
        <w:rPr>
          <w:rFonts w:ascii="Times New Roman" w:hAnsi="Times New Roman"/>
        </w:rPr>
        <w:t>PBGC</w:t>
      </w:r>
      <w:r w:rsidRPr="001620C0">
        <w:rPr>
          <w:rFonts w:ascii="Times New Roman" w:hAnsi="Times New Roman"/>
        </w:rPr>
        <w:t xml:space="preserve"> is providing finan</w:t>
      </w:r>
      <w:r w:rsidR="00280FB4">
        <w:rPr>
          <w:rFonts w:ascii="Times New Roman" w:hAnsi="Times New Roman"/>
        </w:rPr>
        <w:t>cial assistance.  Based on this</w:t>
      </w:r>
      <w:r w:rsidRPr="001620C0">
        <w:rPr>
          <w:rFonts w:ascii="Times New Roman" w:hAnsi="Times New Roman"/>
        </w:rPr>
        <w:t xml:space="preserve"> data, </w:t>
      </w:r>
      <w:r w:rsidR="0057281A" w:rsidRPr="001620C0">
        <w:rPr>
          <w:rFonts w:ascii="Times New Roman" w:hAnsi="Times New Roman"/>
        </w:rPr>
        <w:t xml:space="preserve">PBGC </w:t>
      </w:r>
      <w:r w:rsidRPr="001620C0">
        <w:rPr>
          <w:rFonts w:ascii="Times New Roman" w:hAnsi="Times New Roman"/>
        </w:rPr>
        <w:t>estimate</w:t>
      </w:r>
      <w:r w:rsidR="0057281A" w:rsidRPr="001620C0">
        <w:rPr>
          <w:rFonts w:ascii="Times New Roman" w:hAnsi="Times New Roman"/>
        </w:rPr>
        <w:t>s</w:t>
      </w:r>
      <w:r w:rsidR="007B6212" w:rsidRPr="001620C0">
        <w:rPr>
          <w:rFonts w:ascii="Times New Roman" w:hAnsi="Times New Roman"/>
        </w:rPr>
        <w:t xml:space="preserve"> that an average of 54</w:t>
      </w:r>
      <w:r w:rsidRPr="001620C0">
        <w:rPr>
          <w:rFonts w:ascii="Times New Roman" w:hAnsi="Times New Roman"/>
        </w:rPr>
        <w:t xml:space="preserve"> insolvent plans per year will issue notices of insolvency benefit level, and will submit quarterly financial assistance requ</w:t>
      </w:r>
      <w:r w:rsidR="007B6212" w:rsidRPr="001620C0">
        <w:rPr>
          <w:rFonts w:ascii="Times New Roman" w:hAnsi="Times New Roman"/>
        </w:rPr>
        <w:t>ests, over the next three years.</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w:t>
      </w:r>
      <w:r w:rsidR="00FA0292" w:rsidRPr="001620C0">
        <w:rPr>
          <w:rFonts w:ascii="Times New Roman" w:hAnsi="Times New Roman"/>
        </w:rPr>
        <w:t>PBGC</w:t>
      </w:r>
      <w:r w:rsidRPr="001620C0">
        <w:rPr>
          <w:rFonts w:ascii="Times New Roman" w:hAnsi="Times New Roman"/>
        </w:rPr>
        <w:t xml:space="preserve"> has never received a benefit restoration notice, and none are expected.)</w:t>
      </w:r>
    </w:p>
    <w:p w:rsidR="009056A9" w:rsidRPr="001620C0" w:rsidRDefault="009056A9" w:rsidP="00877111">
      <w:pPr>
        <w:widowControl/>
        <w:spacing w:line="480" w:lineRule="auto"/>
        <w:ind w:firstLine="720"/>
        <w:rPr>
          <w:rFonts w:ascii="Times New Roman" w:hAnsi="Times New Roman"/>
        </w:rPr>
      </w:pPr>
      <w:r w:rsidRPr="001620C0">
        <w:rPr>
          <w:rFonts w:ascii="Times New Roman" w:hAnsi="Times New Roman"/>
        </w:rPr>
        <w:t xml:space="preserve">PBGC believes, based on its experience, that virtually all of these notices and applications are prepared by outside consultants and estimates that a plan administrator </w:t>
      </w:r>
      <w:r w:rsidR="00330834">
        <w:rPr>
          <w:rFonts w:ascii="Times New Roman" w:hAnsi="Times New Roman"/>
        </w:rPr>
        <w:t>previously, before the proposed mandatory e-filing rule, spent</w:t>
      </w:r>
      <w:r w:rsidRPr="001620C0">
        <w:rPr>
          <w:rFonts w:ascii="Times New Roman" w:hAnsi="Times New Roman"/>
        </w:rPr>
        <w:t xml:space="preserve"> </w:t>
      </w:r>
      <w:r w:rsidR="00330834">
        <w:rPr>
          <w:rFonts w:ascii="Times New Roman" w:hAnsi="Times New Roman"/>
        </w:rPr>
        <w:t>only some 15</w:t>
      </w:r>
      <w:r w:rsidRPr="001620C0">
        <w:rPr>
          <w:rFonts w:ascii="Times New Roman" w:hAnsi="Times New Roman"/>
        </w:rPr>
        <w:t xml:space="preserve"> minutes</w:t>
      </w:r>
      <w:r w:rsidR="00330834">
        <w:rPr>
          <w:rFonts w:ascii="Times New Roman" w:hAnsi="Times New Roman"/>
        </w:rPr>
        <w:t xml:space="preserve"> for each plan</w:t>
      </w:r>
      <w:r w:rsidRPr="001620C0">
        <w:rPr>
          <w:rFonts w:ascii="Times New Roman" w:hAnsi="Times New Roman"/>
        </w:rPr>
        <w:t xml:space="preserve"> in engaging the services of such consultants</w:t>
      </w:r>
      <w:r w:rsidR="00330834">
        <w:rPr>
          <w:rFonts w:ascii="Times New Roman" w:hAnsi="Times New Roman"/>
        </w:rPr>
        <w:t>, and that this is reduced by 25</w:t>
      </w:r>
      <w:r w:rsidR="004416E9">
        <w:rPr>
          <w:rFonts w:ascii="Times New Roman" w:hAnsi="Times New Roman"/>
        </w:rPr>
        <w:t xml:space="preserve"> percent</w:t>
      </w:r>
      <w:r w:rsidR="00330834">
        <w:rPr>
          <w:rFonts w:ascii="Times New Roman" w:hAnsi="Times New Roman"/>
        </w:rPr>
        <w:t xml:space="preserve"> by the proposed rule</w:t>
      </w:r>
      <w:r w:rsidRPr="001620C0">
        <w:rPr>
          <w:rFonts w:ascii="Times New Roman" w:hAnsi="Times New Roman"/>
        </w:rPr>
        <w:t xml:space="preserve">.  </w:t>
      </w:r>
      <w:r w:rsidR="00330834">
        <w:rPr>
          <w:rFonts w:ascii="Times New Roman" w:hAnsi="Times New Roman"/>
        </w:rPr>
        <w:t>This is in place of the prior estimate</w:t>
      </w:r>
      <w:r w:rsidR="003C1A17">
        <w:rPr>
          <w:rFonts w:ascii="Times New Roman" w:hAnsi="Times New Roman"/>
        </w:rPr>
        <w:t>, for last year’s submission,</w:t>
      </w:r>
      <w:r w:rsidR="00330834">
        <w:rPr>
          <w:rFonts w:ascii="Times New Roman" w:hAnsi="Times New Roman"/>
        </w:rPr>
        <w:t xml:space="preserve"> of very few minutes per plan and 1 hour in total for all plans.  Thus, the total hour burden for all plans is now estimated to be 61 hours.</w:t>
      </w:r>
      <w:r>
        <w:rPr>
          <w:rFonts w:ascii="Times New Roman" w:hAnsi="Times New Roman"/>
        </w:rPr>
        <w:t xml:space="preserve">  </w:t>
      </w:r>
    </w:p>
    <w:p w:rsidR="009056A9" w:rsidRPr="009056A9" w:rsidRDefault="000C797E" w:rsidP="00877111">
      <w:pPr>
        <w:widowControl/>
        <w:spacing w:line="480" w:lineRule="auto"/>
        <w:ind w:firstLine="720"/>
        <w:rPr>
          <w:rFonts w:ascii="Times New Roman" w:hAnsi="Times New Roman"/>
        </w:rPr>
      </w:pPr>
      <w:r w:rsidRPr="001620C0">
        <w:rPr>
          <w:rFonts w:ascii="Times New Roman" w:hAnsi="Times New Roman"/>
        </w:rPr>
        <w:t xml:space="preserve">13.  </w:t>
      </w:r>
      <w:r w:rsidRPr="001620C0">
        <w:rPr>
          <w:rFonts w:ascii="Times New Roman" w:hAnsi="Times New Roman"/>
          <w:u w:val="single"/>
        </w:rPr>
        <w:t>Cost burden on the public.</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estimates the cost of postage and supplies for distributing notices to participants at </w:t>
      </w:r>
      <w:r w:rsidR="00C61E4E" w:rsidRPr="001620C0">
        <w:rPr>
          <w:rFonts w:ascii="Times New Roman" w:hAnsi="Times New Roman"/>
        </w:rPr>
        <w:t>61</w:t>
      </w:r>
      <w:r w:rsidRPr="001620C0">
        <w:rPr>
          <w:rFonts w:ascii="Times New Roman" w:hAnsi="Times New Roman"/>
        </w:rPr>
        <w:t xml:space="preserve"> cents per particip</w:t>
      </w:r>
      <w:r w:rsidR="009F0874" w:rsidRPr="001620C0">
        <w:rPr>
          <w:rFonts w:ascii="Times New Roman" w:hAnsi="Times New Roman"/>
        </w:rPr>
        <w:t>ant</w:t>
      </w:r>
      <w:r w:rsidR="009056A9">
        <w:rPr>
          <w:rFonts w:ascii="Times New Roman" w:hAnsi="Times New Roman"/>
        </w:rPr>
        <w:t xml:space="preserve">.  </w:t>
      </w:r>
      <w:r w:rsidR="00E215EE">
        <w:rPr>
          <w:rFonts w:ascii="Times New Roman" w:hAnsi="Times New Roman"/>
        </w:rPr>
        <w:t xml:space="preserve">The cost burden calculation is </w:t>
      </w:r>
      <w:r w:rsidR="009056A9" w:rsidRPr="009056A9">
        <w:rPr>
          <w:rFonts w:ascii="Times New Roman" w:hAnsi="Times New Roman"/>
        </w:rPr>
        <w:t xml:space="preserve">based on the following assumptions: </w:t>
      </w:r>
    </w:p>
    <w:p w:rsidR="009056A9" w:rsidRPr="009056A9" w:rsidRDefault="009056A9" w:rsidP="00877111">
      <w:pPr>
        <w:widowControl/>
        <w:numPr>
          <w:ilvl w:val="0"/>
          <w:numId w:val="1"/>
        </w:numPr>
        <w:contextualSpacing/>
        <w:rPr>
          <w:rFonts w:ascii="Times New Roman" w:hAnsi="Times New Roman"/>
        </w:rPr>
      </w:pPr>
      <w:r w:rsidRPr="009056A9">
        <w:rPr>
          <w:rFonts w:ascii="Times New Roman" w:hAnsi="Times New Roman"/>
        </w:rPr>
        <w:lastRenderedPageBreak/>
        <w:t xml:space="preserve">Wage rates account for </w:t>
      </w:r>
      <w:r w:rsidRPr="0093063C">
        <w:rPr>
          <w:rFonts w:ascii="Times New Roman" w:hAnsi="Times New Roman"/>
        </w:rPr>
        <w:t>70</w:t>
      </w:r>
      <w:r w:rsidR="004416E9">
        <w:rPr>
          <w:rFonts w:ascii="Times New Roman" w:hAnsi="Times New Roman"/>
        </w:rPr>
        <w:t xml:space="preserve"> percent </w:t>
      </w:r>
      <w:r w:rsidRPr="009056A9">
        <w:rPr>
          <w:rFonts w:ascii="Times New Roman" w:hAnsi="Times New Roman"/>
        </w:rPr>
        <w:t xml:space="preserve">of total labor costs, with the remaining </w:t>
      </w:r>
      <w:r w:rsidRPr="0093063C">
        <w:rPr>
          <w:rFonts w:ascii="Times New Roman" w:hAnsi="Times New Roman"/>
        </w:rPr>
        <w:t>30</w:t>
      </w:r>
      <w:r w:rsidR="004416E9">
        <w:rPr>
          <w:rFonts w:ascii="Times New Roman" w:hAnsi="Times New Roman"/>
        </w:rPr>
        <w:t xml:space="preserve"> percent</w:t>
      </w:r>
      <w:r w:rsidRPr="009056A9">
        <w:rPr>
          <w:rFonts w:ascii="Times New Roman" w:hAnsi="Times New Roman"/>
        </w:rPr>
        <w:t xml:space="preserve"> attributable to benefits costs.</w:t>
      </w:r>
      <w:r w:rsidRPr="009056A9">
        <w:rPr>
          <w:rFonts w:ascii="Times New Roman" w:hAnsi="Times New Roman"/>
          <w:vertAlign w:val="superscript"/>
        </w:rPr>
        <w:footnoteReference w:id="2"/>
      </w:r>
      <w:r w:rsidRPr="009056A9">
        <w:rPr>
          <w:rFonts w:ascii="Times New Roman" w:hAnsi="Times New Roman"/>
          <w:vertAlign w:val="superscript"/>
        </w:rPr>
        <w:t xml:space="preserve">  </w:t>
      </w:r>
    </w:p>
    <w:p w:rsidR="009056A9" w:rsidRPr="009056A9" w:rsidRDefault="009056A9" w:rsidP="00877111">
      <w:pPr>
        <w:widowControl/>
        <w:ind w:left="720"/>
        <w:contextualSpacing/>
        <w:rPr>
          <w:rFonts w:ascii="Times New Roman" w:hAnsi="Times New Roman"/>
        </w:rPr>
      </w:pPr>
    </w:p>
    <w:p w:rsidR="009056A9" w:rsidRDefault="009056A9" w:rsidP="00877111">
      <w:pPr>
        <w:widowControl/>
        <w:numPr>
          <w:ilvl w:val="0"/>
          <w:numId w:val="1"/>
        </w:numPr>
        <w:contextualSpacing/>
        <w:rPr>
          <w:rFonts w:ascii="Times New Roman" w:hAnsi="Times New Roman"/>
        </w:rPr>
      </w:pPr>
      <w:r>
        <w:rPr>
          <w:rFonts w:ascii="Times New Roman" w:hAnsi="Times New Roman"/>
        </w:rPr>
        <w:t>Outside consultant</w:t>
      </w:r>
      <w:r w:rsidRPr="009056A9">
        <w:rPr>
          <w:rFonts w:ascii="Times New Roman" w:hAnsi="Times New Roman"/>
        </w:rPr>
        <w:t xml:space="preserve"> hours performed by a</w:t>
      </w:r>
      <w:r w:rsidR="005E262F">
        <w:rPr>
          <w:rFonts w:ascii="Times New Roman" w:hAnsi="Times New Roman"/>
        </w:rPr>
        <w:t xml:space="preserve"> combination of professional lawyer</w:t>
      </w:r>
      <w:r w:rsidR="001B3547">
        <w:rPr>
          <w:rFonts w:ascii="Times New Roman" w:hAnsi="Times New Roman"/>
        </w:rPr>
        <w:t>s</w:t>
      </w:r>
      <w:r w:rsidR="005E262F">
        <w:rPr>
          <w:rFonts w:ascii="Times New Roman" w:hAnsi="Times New Roman"/>
        </w:rPr>
        <w:t xml:space="preserve"> </w:t>
      </w:r>
      <w:r w:rsidR="005E262F" w:rsidRPr="009056A9">
        <w:rPr>
          <w:rFonts w:ascii="Times New Roman" w:hAnsi="Times New Roman"/>
        </w:rPr>
        <w:t>(occupational code</w:t>
      </w:r>
      <w:r w:rsidR="005E262F">
        <w:rPr>
          <w:rFonts w:ascii="Times New Roman" w:hAnsi="Times New Roman"/>
        </w:rPr>
        <w:t xml:space="preserve"> 23-1011 at a mean hourly wage rate of $</w:t>
      </w:r>
      <w:r w:rsidR="00E615E2">
        <w:rPr>
          <w:rFonts w:ascii="Times New Roman" w:hAnsi="Times New Roman"/>
        </w:rPr>
        <w:t>63.46</w:t>
      </w:r>
      <w:r w:rsidR="001B3547">
        <w:rPr>
          <w:rFonts w:ascii="Times New Roman" w:hAnsi="Times New Roman"/>
        </w:rPr>
        <w:t>,</w:t>
      </w:r>
      <w:r w:rsidR="005E262F" w:rsidRPr="009056A9">
        <w:rPr>
          <w:rFonts w:ascii="Times New Roman" w:hAnsi="Times New Roman"/>
        </w:rPr>
        <w:t xml:space="preserve"> </w:t>
      </w:r>
      <w:r w:rsidR="005E262F">
        <w:rPr>
          <w:rFonts w:ascii="Times New Roman" w:hAnsi="Times New Roman"/>
        </w:rPr>
        <w:t>$</w:t>
      </w:r>
      <w:r w:rsidR="00E615E2">
        <w:rPr>
          <w:rFonts w:ascii="Times New Roman" w:hAnsi="Times New Roman"/>
        </w:rPr>
        <w:t>90.66</w:t>
      </w:r>
      <w:r w:rsidR="005E262F" w:rsidRPr="009056A9">
        <w:rPr>
          <w:rFonts w:ascii="Times New Roman" w:hAnsi="Times New Roman"/>
        </w:rPr>
        <w:t xml:space="preserve"> per hour including benefits)</w:t>
      </w:r>
      <w:r w:rsidR="001B3547">
        <w:rPr>
          <w:rFonts w:ascii="Times New Roman" w:hAnsi="Times New Roman"/>
        </w:rPr>
        <w:t xml:space="preserve"> and actuaries (</w:t>
      </w:r>
      <w:r w:rsidR="001B3547" w:rsidRPr="009056A9">
        <w:rPr>
          <w:rFonts w:ascii="Times New Roman" w:hAnsi="Times New Roman"/>
        </w:rPr>
        <w:t>occupational code</w:t>
      </w:r>
      <w:r w:rsidR="001B3547">
        <w:rPr>
          <w:rFonts w:ascii="Times New Roman" w:hAnsi="Times New Roman"/>
        </w:rPr>
        <w:t xml:space="preserve"> 15-2011 at a mean hourly wage rate of $</w:t>
      </w:r>
      <w:r w:rsidR="00E615E2">
        <w:rPr>
          <w:rFonts w:ascii="Times New Roman" w:hAnsi="Times New Roman"/>
        </w:rPr>
        <w:t>51.80</w:t>
      </w:r>
      <w:r w:rsidR="00E62FCE" w:rsidRPr="00E62FCE">
        <w:rPr>
          <w:rFonts w:ascii="Times New Roman" w:hAnsi="Times New Roman"/>
        </w:rPr>
        <w:t xml:space="preserve"> using a load factor of 1.43</w:t>
      </w:r>
      <w:r w:rsidR="001B3547">
        <w:rPr>
          <w:rFonts w:ascii="Times New Roman" w:hAnsi="Times New Roman"/>
        </w:rPr>
        <w:t>,</w:t>
      </w:r>
      <w:r w:rsidR="001B3547" w:rsidRPr="009056A9">
        <w:rPr>
          <w:rFonts w:ascii="Times New Roman" w:hAnsi="Times New Roman"/>
        </w:rPr>
        <w:t xml:space="preserve"> </w:t>
      </w:r>
      <w:r w:rsidR="001B3547">
        <w:rPr>
          <w:rFonts w:ascii="Times New Roman" w:hAnsi="Times New Roman"/>
        </w:rPr>
        <w:t>$</w:t>
      </w:r>
      <w:r w:rsidR="00E615E2">
        <w:rPr>
          <w:rFonts w:ascii="Times New Roman" w:hAnsi="Times New Roman"/>
        </w:rPr>
        <w:t>74.00</w:t>
      </w:r>
      <w:r w:rsidR="001B3547">
        <w:rPr>
          <w:rFonts w:ascii="Times New Roman" w:hAnsi="Times New Roman"/>
        </w:rPr>
        <w:t xml:space="preserve"> </w:t>
      </w:r>
      <w:r w:rsidR="001B3547" w:rsidRPr="009056A9">
        <w:rPr>
          <w:rFonts w:ascii="Times New Roman" w:hAnsi="Times New Roman"/>
        </w:rPr>
        <w:t>per hour including benefits)</w:t>
      </w:r>
      <w:r w:rsidRPr="009056A9">
        <w:rPr>
          <w:rFonts w:ascii="Times New Roman" w:hAnsi="Times New Roman"/>
        </w:rPr>
        <w:t>.</w:t>
      </w:r>
      <w:r w:rsidRPr="009056A9">
        <w:rPr>
          <w:rStyle w:val="FootnoteReference"/>
          <w:rFonts w:ascii="Times New Roman" w:hAnsi="Times New Roman"/>
          <w:vertAlign w:val="superscript"/>
        </w:rPr>
        <w:footnoteReference w:id="3"/>
      </w:r>
      <w:r w:rsidR="00E215EE">
        <w:rPr>
          <w:rFonts w:ascii="Times New Roman" w:hAnsi="Times New Roman"/>
        </w:rPr>
        <w:t xml:space="preserve">  Weighting these two rates equally results in a blended rate for professional consulting services of $82.33.</w:t>
      </w:r>
    </w:p>
    <w:p w:rsidR="009056A9" w:rsidRDefault="009056A9" w:rsidP="00877111">
      <w:pPr>
        <w:pStyle w:val="ListParagraph"/>
        <w:rPr>
          <w:rFonts w:ascii="Times New Roman" w:hAnsi="Times New Roman"/>
        </w:rPr>
      </w:pPr>
    </w:p>
    <w:p w:rsidR="009056A9" w:rsidRDefault="009056A9" w:rsidP="00877111">
      <w:pPr>
        <w:widowControl/>
        <w:numPr>
          <w:ilvl w:val="0"/>
          <w:numId w:val="1"/>
        </w:numPr>
        <w:contextualSpacing/>
        <w:rPr>
          <w:rFonts w:ascii="Times New Roman" w:hAnsi="Times New Roman"/>
        </w:rPr>
      </w:pPr>
      <w:r>
        <w:rPr>
          <w:rFonts w:ascii="Times New Roman" w:hAnsi="Times New Roman"/>
        </w:rPr>
        <w:t>Outside consultant</w:t>
      </w:r>
      <w:r w:rsidRPr="009056A9">
        <w:rPr>
          <w:rFonts w:ascii="Times New Roman" w:hAnsi="Times New Roman"/>
        </w:rPr>
        <w:t xml:space="preserve"> hours performed by a </w:t>
      </w:r>
      <w:r w:rsidR="001B3547">
        <w:rPr>
          <w:rFonts w:ascii="Times New Roman" w:hAnsi="Times New Roman"/>
        </w:rPr>
        <w:t>compensation and benefits manager</w:t>
      </w:r>
      <w:r>
        <w:rPr>
          <w:rFonts w:ascii="Times New Roman" w:hAnsi="Times New Roman"/>
        </w:rPr>
        <w:t xml:space="preserve"> </w:t>
      </w:r>
      <w:r w:rsidRPr="009056A9">
        <w:rPr>
          <w:rFonts w:ascii="Times New Roman" w:hAnsi="Times New Roman"/>
        </w:rPr>
        <w:t xml:space="preserve">(occupational code </w:t>
      </w:r>
      <w:r w:rsidR="001B3547">
        <w:rPr>
          <w:rFonts w:ascii="Times New Roman" w:hAnsi="Times New Roman"/>
        </w:rPr>
        <w:t>11-311</w:t>
      </w:r>
      <w:r w:rsidRPr="009056A9">
        <w:rPr>
          <w:rFonts w:ascii="Times New Roman" w:hAnsi="Times New Roman"/>
        </w:rPr>
        <w:t xml:space="preserve">, </w:t>
      </w:r>
      <w:r>
        <w:rPr>
          <w:rFonts w:ascii="Times New Roman" w:hAnsi="Times New Roman"/>
        </w:rPr>
        <w:t xml:space="preserve">are at a </w:t>
      </w:r>
      <w:r w:rsidRPr="009056A9">
        <w:rPr>
          <w:rFonts w:ascii="Times New Roman" w:hAnsi="Times New Roman"/>
        </w:rPr>
        <w:t>mean hourly wage rate $</w:t>
      </w:r>
      <w:r w:rsidR="00E615E2">
        <w:rPr>
          <w:rFonts w:ascii="Times New Roman" w:hAnsi="Times New Roman"/>
        </w:rPr>
        <w:t>53.87</w:t>
      </w:r>
      <w:r w:rsidRPr="009056A9">
        <w:rPr>
          <w:rFonts w:ascii="Times New Roman" w:hAnsi="Times New Roman"/>
        </w:rPr>
        <w:t xml:space="preserve"> per hour, </w:t>
      </w:r>
      <w:r>
        <w:rPr>
          <w:rFonts w:ascii="Times New Roman" w:hAnsi="Times New Roman"/>
        </w:rPr>
        <w:t>$</w:t>
      </w:r>
      <w:r w:rsidR="00E615E2">
        <w:rPr>
          <w:rFonts w:ascii="Times New Roman" w:hAnsi="Times New Roman"/>
        </w:rPr>
        <w:t>76.96</w:t>
      </w:r>
      <w:r w:rsidRPr="009056A9">
        <w:rPr>
          <w:rFonts w:ascii="Times New Roman" w:hAnsi="Times New Roman"/>
        </w:rPr>
        <w:t xml:space="preserve"> per hour including benefits).</w:t>
      </w:r>
      <w:r w:rsidRPr="009056A9">
        <w:rPr>
          <w:rStyle w:val="FootnoteReference"/>
          <w:rFonts w:ascii="Times New Roman" w:hAnsi="Times New Roman"/>
          <w:vertAlign w:val="superscript"/>
        </w:rPr>
        <w:footnoteReference w:id="4"/>
      </w:r>
    </w:p>
    <w:p w:rsidR="009056A9" w:rsidRDefault="009056A9" w:rsidP="00877111">
      <w:pPr>
        <w:pStyle w:val="ListParagraph"/>
        <w:rPr>
          <w:rFonts w:ascii="Times New Roman" w:hAnsi="Times New Roman"/>
        </w:rPr>
      </w:pPr>
    </w:p>
    <w:p w:rsidR="009056A9" w:rsidRPr="009056A9" w:rsidRDefault="009056A9" w:rsidP="00877111">
      <w:pPr>
        <w:widowControl/>
        <w:numPr>
          <w:ilvl w:val="0"/>
          <w:numId w:val="1"/>
        </w:numPr>
        <w:contextualSpacing/>
        <w:rPr>
          <w:rFonts w:ascii="Times New Roman" w:hAnsi="Times New Roman"/>
        </w:rPr>
      </w:pPr>
      <w:r>
        <w:rPr>
          <w:rFonts w:ascii="Times New Roman" w:hAnsi="Times New Roman"/>
        </w:rPr>
        <w:t>Outside consultant</w:t>
      </w:r>
      <w:r w:rsidR="00A275F6">
        <w:rPr>
          <w:rFonts w:ascii="Times New Roman" w:hAnsi="Times New Roman"/>
        </w:rPr>
        <w:t xml:space="preserve"> hours performed by a legal clerical support staff </w:t>
      </w:r>
      <w:r w:rsidRPr="009056A9">
        <w:rPr>
          <w:rFonts w:ascii="Times New Roman" w:hAnsi="Times New Roman"/>
        </w:rPr>
        <w:t>(occupational code</w:t>
      </w:r>
      <w:r w:rsidR="00A275F6">
        <w:rPr>
          <w:rFonts w:ascii="Times New Roman" w:hAnsi="Times New Roman"/>
        </w:rPr>
        <w:t xml:space="preserve"> 23-2000</w:t>
      </w:r>
      <w:r w:rsidRPr="009056A9">
        <w:rPr>
          <w:rFonts w:ascii="Times New Roman" w:hAnsi="Times New Roman"/>
        </w:rPr>
        <w:t xml:space="preserve">, </w:t>
      </w:r>
      <w:r>
        <w:rPr>
          <w:rFonts w:ascii="Times New Roman" w:hAnsi="Times New Roman"/>
        </w:rPr>
        <w:t xml:space="preserve">are at a </w:t>
      </w:r>
      <w:r w:rsidRPr="009056A9">
        <w:rPr>
          <w:rFonts w:ascii="Times New Roman" w:hAnsi="Times New Roman"/>
        </w:rPr>
        <w:t>mean hourly wage rate $</w:t>
      </w:r>
      <w:r w:rsidR="00E615E2">
        <w:rPr>
          <w:rFonts w:ascii="Times New Roman" w:hAnsi="Times New Roman"/>
        </w:rPr>
        <w:t>25.02</w:t>
      </w:r>
      <w:r w:rsidRPr="009056A9">
        <w:rPr>
          <w:rFonts w:ascii="Times New Roman" w:hAnsi="Times New Roman"/>
        </w:rPr>
        <w:t xml:space="preserve"> per hour, </w:t>
      </w:r>
      <w:r>
        <w:rPr>
          <w:rFonts w:ascii="Times New Roman" w:hAnsi="Times New Roman"/>
        </w:rPr>
        <w:t>$</w:t>
      </w:r>
      <w:r w:rsidR="00E615E2">
        <w:rPr>
          <w:rFonts w:ascii="Times New Roman" w:hAnsi="Times New Roman"/>
        </w:rPr>
        <w:t>35.74</w:t>
      </w:r>
      <w:r w:rsidRPr="009056A9">
        <w:rPr>
          <w:rFonts w:ascii="Times New Roman" w:hAnsi="Times New Roman"/>
        </w:rPr>
        <w:t xml:space="preserve"> per hour including benefits).</w:t>
      </w:r>
      <w:r w:rsidRPr="009056A9">
        <w:rPr>
          <w:rStyle w:val="FootnoteReference"/>
          <w:rFonts w:ascii="Times New Roman" w:hAnsi="Times New Roman"/>
          <w:vertAlign w:val="superscript"/>
        </w:rPr>
        <w:footnoteReference w:id="5"/>
      </w:r>
    </w:p>
    <w:p w:rsidR="009056A9" w:rsidRPr="009056A9" w:rsidRDefault="009056A9" w:rsidP="00877111">
      <w:pPr>
        <w:widowControl/>
        <w:spacing w:line="480" w:lineRule="auto"/>
        <w:ind w:left="720"/>
        <w:contextualSpacing/>
        <w:rPr>
          <w:rFonts w:ascii="Times New Roman" w:hAnsi="Times New Roman"/>
        </w:rPr>
      </w:pPr>
    </w:p>
    <w:p w:rsidR="009056A9" w:rsidRPr="001620C0" w:rsidRDefault="009056A9" w:rsidP="00877111">
      <w:pPr>
        <w:widowControl/>
        <w:spacing w:line="480" w:lineRule="auto"/>
        <w:ind w:firstLine="720"/>
        <w:rPr>
          <w:rFonts w:ascii="Times New Roman" w:hAnsi="Times New Roman"/>
        </w:rPr>
      </w:pPr>
      <w:r w:rsidRPr="001620C0">
        <w:rPr>
          <w:rFonts w:ascii="Times New Roman" w:hAnsi="Times New Roman"/>
        </w:rPr>
        <w:t xml:space="preserve">Based on the assumption that the average multiemployer plan subject to the regulation has about </w:t>
      </w:r>
      <w:r>
        <w:rPr>
          <w:rFonts w:ascii="Times New Roman" w:hAnsi="Times New Roman"/>
        </w:rPr>
        <w:t>2,329</w:t>
      </w:r>
      <w:r w:rsidRPr="001620C0">
        <w:rPr>
          <w:rFonts w:ascii="Times New Roman" w:hAnsi="Times New Roman"/>
        </w:rPr>
        <w:t xml:space="preserve"> participants, about </w:t>
      </w:r>
      <w:r>
        <w:rPr>
          <w:rFonts w:ascii="Times New Roman" w:hAnsi="Times New Roman"/>
        </w:rPr>
        <w:t>605</w:t>
      </w:r>
      <w:r w:rsidRPr="001620C0">
        <w:rPr>
          <w:rFonts w:ascii="Times New Roman" w:hAnsi="Times New Roman"/>
        </w:rPr>
        <w:t xml:space="preserve"> of whom are retirees, PBGC</w:t>
      </w:r>
      <w:r w:rsidR="00F97A1E">
        <w:rPr>
          <w:rFonts w:ascii="Times New Roman" w:hAnsi="Times New Roman"/>
        </w:rPr>
        <w:t>, at the time of last year’s submission</w:t>
      </w:r>
      <w:r w:rsidR="009C182F">
        <w:rPr>
          <w:rFonts w:ascii="Times New Roman" w:hAnsi="Times New Roman"/>
        </w:rPr>
        <w:t xml:space="preserve"> (i.e., without the proposed rule changes)</w:t>
      </w:r>
      <w:r w:rsidR="00F97A1E">
        <w:rPr>
          <w:rFonts w:ascii="Times New Roman" w:hAnsi="Times New Roman"/>
        </w:rPr>
        <w:t>,</w:t>
      </w:r>
      <w:r w:rsidRPr="001620C0">
        <w:rPr>
          <w:rFonts w:ascii="Times New Roman" w:hAnsi="Times New Roman"/>
        </w:rPr>
        <w:t xml:space="preserve"> estimate</w:t>
      </w:r>
      <w:r w:rsidR="00F97A1E">
        <w:rPr>
          <w:rFonts w:ascii="Times New Roman" w:hAnsi="Times New Roman"/>
        </w:rPr>
        <w:t>d</w:t>
      </w:r>
      <w:r w:rsidRPr="001620C0">
        <w:rPr>
          <w:rFonts w:ascii="Times New Roman" w:hAnsi="Times New Roman"/>
        </w:rPr>
        <w:t xml:space="preserve"> the time needed to prepare, file, and distribute each notice or application as follows: </w:t>
      </w:r>
    </w:p>
    <w:p w:rsidR="009056A9" w:rsidRDefault="009056A9" w:rsidP="00CA79F4">
      <w:pPr>
        <w:widowControl/>
        <w:numPr>
          <w:ilvl w:val="0"/>
          <w:numId w:val="3"/>
        </w:numPr>
        <w:rPr>
          <w:rFonts w:ascii="Times New Roman" w:hAnsi="Times New Roman"/>
        </w:rPr>
      </w:pPr>
      <w:r w:rsidRPr="001620C0">
        <w:rPr>
          <w:rFonts w:ascii="Times New Roman" w:hAnsi="Times New Roman"/>
        </w:rPr>
        <w:t>For a notice of benefit reduction (</w:t>
      </w:r>
      <w:r>
        <w:rPr>
          <w:rFonts w:ascii="Times New Roman" w:hAnsi="Times New Roman"/>
        </w:rPr>
        <w:t>5</w:t>
      </w:r>
      <w:r w:rsidRPr="001620C0">
        <w:rPr>
          <w:rFonts w:ascii="Times New Roman" w:hAnsi="Times New Roman"/>
        </w:rPr>
        <w:t xml:space="preserve"> per year): 1 hour of professional time and 7 hours of clerical time per year, or a total of </w:t>
      </w:r>
      <w:r>
        <w:rPr>
          <w:rFonts w:ascii="Times New Roman" w:hAnsi="Times New Roman"/>
        </w:rPr>
        <w:t>5</w:t>
      </w:r>
      <w:r w:rsidRPr="001620C0">
        <w:rPr>
          <w:rFonts w:ascii="Times New Roman" w:hAnsi="Times New Roman"/>
        </w:rPr>
        <w:t xml:space="preserve"> hours of professional time and </w:t>
      </w:r>
      <w:r>
        <w:rPr>
          <w:rFonts w:ascii="Times New Roman" w:hAnsi="Times New Roman"/>
        </w:rPr>
        <w:t>35</w:t>
      </w:r>
      <w:r w:rsidRPr="001620C0">
        <w:rPr>
          <w:rFonts w:ascii="Times New Roman" w:hAnsi="Times New Roman"/>
        </w:rPr>
        <w:t xml:space="preserve"> hours of clerical time per year</w:t>
      </w:r>
      <w:r w:rsidR="000B5724">
        <w:rPr>
          <w:rFonts w:ascii="Times New Roman" w:hAnsi="Times New Roman"/>
        </w:rPr>
        <w:t>.</w:t>
      </w:r>
    </w:p>
    <w:p w:rsidR="00CA79F4" w:rsidRPr="001620C0" w:rsidRDefault="00CA79F4" w:rsidP="00CA79F4">
      <w:pPr>
        <w:widowControl/>
        <w:ind w:left="720"/>
        <w:rPr>
          <w:rFonts w:ascii="Times New Roman" w:hAnsi="Times New Roman"/>
        </w:rPr>
      </w:pPr>
    </w:p>
    <w:p w:rsidR="009056A9" w:rsidRDefault="009056A9" w:rsidP="00CA79F4">
      <w:pPr>
        <w:widowControl/>
        <w:numPr>
          <w:ilvl w:val="0"/>
          <w:numId w:val="3"/>
        </w:numPr>
        <w:rPr>
          <w:rFonts w:ascii="Times New Roman" w:hAnsi="Times New Roman"/>
        </w:rPr>
      </w:pPr>
      <w:r w:rsidRPr="001620C0">
        <w:rPr>
          <w:rFonts w:ascii="Times New Roman" w:hAnsi="Times New Roman"/>
        </w:rPr>
        <w:t>For a notice of insolvency (</w:t>
      </w:r>
      <w:r>
        <w:rPr>
          <w:rFonts w:ascii="Times New Roman" w:hAnsi="Times New Roman"/>
        </w:rPr>
        <w:t>10</w:t>
      </w:r>
      <w:r w:rsidRPr="001620C0">
        <w:rPr>
          <w:rFonts w:ascii="Times New Roman" w:hAnsi="Times New Roman"/>
        </w:rPr>
        <w:t xml:space="preserve"> per year): 1 hour of managerial time, 1 hour of professional time, and 7 hours of clerical time per notice, or a total of </w:t>
      </w:r>
      <w:r>
        <w:rPr>
          <w:rFonts w:ascii="Times New Roman" w:hAnsi="Times New Roman"/>
        </w:rPr>
        <w:t>10</w:t>
      </w:r>
      <w:r w:rsidRPr="001620C0">
        <w:rPr>
          <w:rFonts w:ascii="Times New Roman" w:hAnsi="Times New Roman"/>
        </w:rPr>
        <w:t xml:space="preserve"> hours of managerial time, </w:t>
      </w:r>
      <w:r>
        <w:rPr>
          <w:rFonts w:ascii="Times New Roman" w:hAnsi="Times New Roman"/>
        </w:rPr>
        <w:t>10</w:t>
      </w:r>
      <w:r w:rsidRPr="001620C0">
        <w:rPr>
          <w:rFonts w:ascii="Times New Roman" w:hAnsi="Times New Roman"/>
        </w:rPr>
        <w:t xml:space="preserve"> hours of professional time, and </w:t>
      </w:r>
      <w:r>
        <w:rPr>
          <w:rFonts w:ascii="Times New Roman" w:hAnsi="Times New Roman"/>
        </w:rPr>
        <w:t>70</w:t>
      </w:r>
      <w:r w:rsidRPr="001620C0">
        <w:rPr>
          <w:rFonts w:ascii="Times New Roman" w:hAnsi="Times New Roman"/>
        </w:rPr>
        <w:t xml:space="preserve"> hours of clerical time per year</w:t>
      </w:r>
      <w:r w:rsidR="000B5724">
        <w:rPr>
          <w:rFonts w:ascii="Times New Roman" w:hAnsi="Times New Roman"/>
        </w:rPr>
        <w:t>.</w:t>
      </w:r>
      <w:r w:rsidR="000B5724" w:rsidRPr="001620C0">
        <w:rPr>
          <w:rFonts w:ascii="Times New Roman" w:hAnsi="Times New Roman"/>
        </w:rPr>
        <w:t xml:space="preserve"> </w:t>
      </w:r>
    </w:p>
    <w:p w:rsidR="00CA79F4" w:rsidRDefault="00CA79F4" w:rsidP="00CA79F4">
      <w:pPr>
        <w:pStyle w:val="ListParagraph"/>
        <w:rPr>
          <w:rFonts w:ascii="Times New Roman" w:hAnsi="Times New Roman"/>
        </w:rPr>
      </w:pPr>
    </w:p>
    <w:p w:rsidR="009056A9" w:rsidRDefault="009056A9" w:rsidP="00CA79F4">
      <w:pPr>
        <w:widowControl/>
        <w:numPr>
          <w:ilvl w:val="0"/>
          <w:numId w:val="3"/>
        </w:numPr>
        <w:rPr>
          <w:rFonts w:ascii="Times New Roman" w:hAnsi="Times New Roman"/>
        </w:rPr>
      </w:pPr>
      <w:bookmarkStart w:id="1" w:name="QuickMark"/>
      <w:bookmarkEnd w:id="1"/>
      <w:r w:rsidRPr="001620C0">
        <w:rPr>
          <w:rFonts w:ascii="Times New Roman" w:hAnsi="Times New Roman"/>
        </w:rPr>
        <w:t>For a notice of insolvency benefit level (54 per year): 75 hours and 40 minutes of managerial time, one hour of professional time, and 15 hours and 8 minutes of clerical time per notice, or a total of 4,086 hours managerial time,</w:t>
      </w:r>
      <w:r w:rsidR="00CA79F4">
        <w:rPr>
          <w:rFonts w:ascii="Times New Roman" w:hAnsi="Times New Roman"/>
        </w:rPr>
        <w:t xml:space="preserve"> 54 hours of professional time, </w:t>
      </w:r>
      <w:r w:rsidRPr="001620C0">
        <w:rPr>
          <w:rFonts w:ascii="Times New Roman" w:hAnsi="Times New Roman"/>
        </w:rPr>
        <w:t>and 817 hours and 12 minutes of clerical time per year</w:t>
      </w:r>
      <w:r w:rsidR="000B5724">
        <w:rPr>
          <w:rFonts w:ascii="Times New Roman" w:hAnsi="Times New Roman"/>
        </w:rPr>
        <w:t>.</w:t>
      </w:r>
      <w:r w:rsidR="000B5724" w:rsidRPr="001620C0">
        <w:rPr>
          <w:rFonts w:ascii="Times New Roman" w:hAnsi="Times New Roman"/>
        </w:rPr>
        <w:t xml:space="preserve"> </w:t>
      </w:r>
    </w:p>
    <w:p w:rsidR="00CA79F4" w:rsidRPr="001620C0" w:rsidRDefault="00CA79F4" w:rsidP="00CA79F4">
      <w:pPr>
        <w:widowControl/>
        <w:ind w:left="720"/>
        <w:rPr>
          <w:rFonts w:ascii="Times New Roman" w:hAnsi="Times New Roman"/>
        </w:rPr>
      </w:pPr>
    </w:p>
    <w:p w:rsidR="009056A9" w:rsidRDefault="009056A9" w:rsidP="00CA79F4">
      <w:pPr>
        <w:widowControl/>
        <w:numPr>
          <w:ilvl w:val="0"/>
          <w:numId w:val="3"/>
        </w:numPr>
        <w:rPr>
          <w:rFonts w:ascii="Times New Roman" w:hAnsi="Times New Roman"/>
        </w:rPr>
      </w:pPr>
      <w:r w:rsidRPr="001620C0">
        <w:rPr>
          <w:rFonts w:ascii="Times New Roman" w:hAnsi="Times New Roman"/>
        </w:rPr>
        <w:t>For an initial application for financial assistance (7 per year): 4 hours of managerial time per application, or a total of 28 hours of managerial time per year</w:t>
      </w:r>
      <w:r w:rsidR="000B5724">
        <w:rPr>
          <w:rFonts w:ascii="Times New Roman" w:hAnsi="Times New Roman"/>
        </w:rPr>
        <w:t>.</w:t>
      </w:r>
      <w:r w:rsidRPr="001620C0">
        <w:rPr>
          <w:rFonts w:ascii="Times New Roman" w:hAnsi="Times New Roman"/>
        </w:rPr>
        <w:t xml:space="preserve"> </w:t>
      </w:r>
    </w:p>
    <w:p w:rsidR="00CA79F4" w:rsidRDefault="00CA79F4" w:rsidP="00CA79F4">
      <w:pPr>
        <w:pStyle w:val="ListParagraph"/>
        <w:rPr>
          <w:rFonts w:ascii="Times New Roman" w:hAnsi="Times New Roman"/>
        </w:rPr>
      </w:pPr>
    </w:p>
    <w:p w:rsidR="00AD0449" w:rsidRDefault="009056A9" w:rsidP="00CA79F4">
      <w:pPr>
        <w:widowControl/>
        <w:numPr>
          <w:ilvl w:val="0"/>
          <w:numId w:val="3"/>
        </w:numPr>
        <w:rPr>
          <w:rFonts w:ascii="Times New Roman" w:hAnsi="Times New Roman"/>
        </w:rPr>
      </w:pPr>
      <w:r w:rsidRPr="001620C0">
        <w:rPr>
          <w:rFonts w:ascii="Times New Roman" w:hAnsi="Times New Roman"/>
        </w:rPr>
        <w:t>For non-initial applications for financial assistance (</w:t>
      </w:r>
      <w:r>
        <w:rPr>
          <w:rFonts w:ascii="Times New Roman" w:hAnsi="Times New Roman"/>
        </w:rPr>
        <w:t>248</w:t>
      </w:r>
      <w:r w:rsidRPr="001620C0">
        <w:rPr>
          <w:rFonts w:ascii="Times New Roman" w:hAnsi="Times New Roman"/>
        </w:rPr>
        <w:t xml:space="preserve"> per year): 2 hours of managerial time per application, or a total of </w:t>
      </w:r>
      <w:r>
        <w:rPr>
          <w:rFonts w:ascii="Times New Roman" w:hAnsi="Times New Roman"/>
        </w:rPr>
        <w:t>496</w:t>
      </w:r>
      <w:r w:rsidRPr="001620C0">
        <w:rPr>
          <w:rFonts w:ascii="Times New Roman" w:hAnsi="Times New Roman"/>
        </w:rPr>
        <w:t xml:space="preserve"> hours of managerial time per year.</w:t>
      </w:r>
      <w:r w:rsidR="00AD0449" w:rsidRPr="00AD0449">
        <w:rPr>
          <w:rFonts w:ascii="Times New Roman" w:hAnsi="Times New Roman"/>
        </w:rPr>
        <w:t xml:space="preserve"> </w:t>
      </w:r>
    </w:p>
    <w:p w:rsidR="00CA79F4" w:rsidRDefault="00CA79F4" w:rsidP="00CA79F4">
      <w:pPr>
        <w:widowControl/>
        <w:ind w:left="720"/>
        <w:rPr>
          <w:rFonts w:ascii="Times New Roman" w:hAnsi="Times New Roman"/>
        </w:rPr>
      </w:pPr>
    </w:p>
    <w:p w:rsidR="00F97A1E" w:rsidRDefault="00CA79F4" w:rsidP="00CA79F4">
      <w:pPr>
        <w:widowControl/>
        <w:spacing w:line="480" w:lineRule="auto"/>
        <w:ind w:firstLine="720"/>
        <w:rPr>
          <w:rFonts w:ascii="Times New Roman" w:hAnsi="Times New Roman"/>
        </w:rPr>
      </w:pPr>
      <w:r>
        <w:rPr>
          <w:rFonts w:ascii="Times New Roman" w:hAnsi="Times New Roman"/>
        </w:rPr>
        <w:t>PBGC estimates that a</w:t>
      </w:r>
      <w:r w:rsidR="00F97A1E">
        <w:rPr>
          <w:rFonts w:ascii="Times New Roman" w:hAnsi="Times New Roman"/>
        </w:rPr>
        <w:t xml:space="preserve">ll of these burdens except for (1) notices of benefit reduction </w:t>
      </w:r>
      <w:r>
        <w:rPr>
          <w:rFonts w:ascii="Times New Roman" w:hAnsi="Times New Roman"/>
        </w:rPr>
        <w:t>would be</w:t>
      </w:r>
      <w:r w:rsidR="00F97A1E">
        <w:rPr>
          <w:rFonts w:ascii="Times New Roman" w:hAnsi="Times New Roman"/>
        </w:rPr>
        <w:t xml:space="preserve"> reduced by 25</w:t>
      </w:r>
      <w:r w:rsidR="004416E9">
        <w:rPr>
          <w:rFonts w:ascii="Times New Roman" w:hAnsi="Times New Roman"/>
        </w:rPr>
        <w:t xml:space="preserve"> percent</w:t>
      </w:r>
      <w:r w:rsidR="00F97A1E">
        <w:rPr>
          <w:rFonts w:ascii="Times New Roman" w:hAnsi="Times New Roman"/>
        </w:rPr>
        <w:t xml:space="preserve"> on account of the proposed rule on mandatory e-filing.</w:t>
      </w:r>
      <w:r w:rsidR="003D64E2">
        <w:rPr>
          <w:rFonts w:ascii="Times New Roman" w:hAnsi="Times New Roman"/>
        </w:rPr>
        <w:t xml:space="preserve">  Thus, all the hours totals for (2) through </w:t>
      </w:r>
      <w:r w:rsidR="003C1A17">
        <w:rPr>
          <w:rFonts w:ascii="Times New Roman" w:hAnsi="Times New Roman"/>
        </w:rPr>
        <w:t>(</w:t>
      </w:r>
      <w:r w:rsidR="003D64E2">
        <w:rPr>
          <w:rFonts w:ascii="Times New Roman" w:hAnsi="Times New Roman"/>
        </w:rPr>
        <w:t>5</w:t>
      </w:r>
      <w:r w:rsidR="003C1A17">
        <w:rPr>
          <w:rFonts w:ascii="Times New Roman" w:hAnsi="Times New Roman"/>
        </w:rPr>
        <w:t>)</w:t>
      </w:r>
      <w:r w:rsidR="003D64E2">
        <w:rPr>
          <w:rFonts w:ascii="Times New Roman" w:hAnsi="Times New Roman"/>
        </w:rPr>
        <w:t xml:space="preserve"> </w:t>
      </w:r>
      <w:r>
        <w:rPr>
          <w:rFonts w:ascii="Times New Roman" w:hAnsi="Times New Roman"/>
        </w:rPr>
        <w:t xml:space="preserve">would be </w:t>
      </w:r>
      <w:r w:rsidR="003D64E2">
        <w:rPr>
          <w:rFonts w:ascii="Times New Roman" w:hAnsi="Times New Roman"/>
        </w:rPr>
        <w:t>reduced by 25</w:t>
      </w:r>
      <w:r w:rsidR="004416E9">
        <w:rPr>
          <w:rFonts w:ascii="Times New Roman" w:hAnsi="Times New Roman"/>
        </w:rPr>
        <w:t xml:space="preserve"> percent</w:t>
      </w:r>
      <w:r w:rsidR="003D64E2">
        <w:rPr>
          <w:rFonts w:ascii="Times New Roman" w:hAnsi="Times New Roman"/>
        </w:rPr>
        <w:t>.</w:t>
      </w:r>
    </w:p>
    <w:p w:rsidR="000C797E" w:rsidRPr="001620C0" w:rsidRDefault="00AD0449" w:rsidP="00877111">
      <w:pPr>
        <w:widowControl/>
        <w:spacing w:line="480" w:lineRule="auto"/>
        <w:ind w:firstLine="720"/>
        <w:rPr>
          <w:rFonts w:ascii="Times New Roman" w:hAnsi="Times New Roman"/>
        </w:rPr>
      </w:pPr>
      <w:r>
        <w:rPr>
          <w:rFonts w:ascii="Times New Roman" w:hAnsi="Times New Roman"/>
        </w:rPr>
        <w:t>T</w:t>
      </w:r>
      <w:r w:rsidRPr="001620C0">
        <w:rPr>
          <w:rFonts w:ascii="Times New Roman" w:hAnsi="Times New Roman"/>
        </w:rPr>
        <w:t xml:space="preserve">herefore, the estimated annual cost burden of the collection of information is </w:t>
      </w:r>
      <w:r w:rsidR="005C23C6">
        <w:rPr>
          <w:rFonts w:ascii="Times New Roman" w:hAnsi="Times New Roman"/>
        </w:rPr>
        <w:t>(700.4 x 35.74)</w:t>
      </w:r>
      <w:r w:rsidRPr="001A0BA5">
        <w:rPr>
          <w:rFonts w:ascii="Times New Roman" w:hAnsi="Times New Roman"/>
        </w:rPr>
        <w:t xml:space="preserve"> + </w:t>
      </w:r>
      <w:r w:rsidR="003860CF">
        <w:rPr>
          <w:rFonts w:ascii="Times New Roman" w:hAnsi="Times New Roman"/>
        </w:rPr>
        <w:t>(3,465 x $76.96)</w:t>
      </w:r>
      <w:r w:rsidRPr="001A0BA5">
        <w:rPr>
          <w:rFonts w:ascii="Times New Roman" w:hAnsi="Times New Roman"/>
        </w:rPr>
        <w:t xml:space="preserve"> + </w:t>
      </w:r>
      <w:r w:rsidR="003860CF">
        <w:rPr>
          <w:rFonts w:ascii="Times New Roman" w:hAnsi="Times New Roman"/>
        </w:rPr>
        <w:t>(53 x 82.33)</w:t>
      </w:r>
      <w:r w:rsidRPr="001A0BA5">
        <w:rPr>
          <w:rFonts w:ascii="Times New Roman" w:hAnsi="Times New Roman"/>
        </w:rPr>
        <w:t xml:space="preserve"> + (</w:t>
      </w:r>
      <w:r w:rsidR="00E7683A" w:rsidRPr="00E7683A">
        <w:rPr>
          <w:rFonts w:ascii="Times New Roman" w:hAnsi="Times New Roman"/>
        </w:rPr>
        <w:t>21</w:t>
      </w:r>
      <w:r w:rsidR="00E7683A">
        <w:rPr>
          <w:rFonts w:ascii="Times New Roman" w:hAnsi="Times New Roman"/>
        </w:rPr>
        <w:t>,</w:t>
      </w:r>
      <w:r w:rsidR="00E7683A" w:rsidRPr="00E7683A">
        <w:rPr>
          <w:rFonts w:ascii="Times New Roman" w:hAnsi="Times New Roman"/>
        </w:rPr>
        <w:t>243</w:t>
      </w:r>
      <w:r w:rsidRPr="001A0BA5">
        <w:rPr>
          <w:rFonts w:ascii="Times New Roman" w:hAnsi="Times New Roman"/>
        </w:rPr>
        <w:t xml:space="preserve"> x $0.61) = $</w:t>
      </w:r>
      <w:r w:rsidR="005C23C6">
        <w:rPr>
          <w:rFonts w:ascii="Times New Roman" w:hAnsi="Times New Roman"/>
        </w:rPr>
        <w:t>25,032.30</w:t>
      </w:r>
      <w:r w:rsidRPr="001A0BA5">
        <w:rPr>
          <w:rFonts w:ascii="Times New Roman" w:hAnsi="Times New Roman"/>
        </w:rPr>
        <w:t xml:space="preserve"> + $</w:t>
      </w:r>
      <w:r w:rsidR="003860CF">
        <w:rPr>
          <w:rFonts w:ascii="Times New Roman" w:hAnsi="Times New Roman"/>
        </w:rPr>
        <w:t>266,666.40</w:t>
      </w:r>
      <w:r w:rsidRPr="001A0BA5">
        <w:rPr>
          <w:rFonts w:ascii="Times New Roman" w:hAnsi="Times New Roman"/>
        </w:rPr>
        <w:t xml:space="preserve"> + $</w:t>
      </w:r>
      <w:r w:rsidR="003860CF">
        <w:rPr>
          <w:rFonts w:ascii="Times New Roman" w:hAnsi="Times New Roman"/>
        </w:rPr>
        <w:t>4,363.49</w:t>
      </w:r>
      <w:r w:rsidRPr="001A0BA5">
        <w:rPr>
          <w:rFonts w:ascii="Times New Roman" w:hAnsi="Times New Roman"/>
        </w:rPr>
        <w:t xml:space="preserve"> + $</w:t>
      </w:r>
      <w:r w:rsidR="00E7683A" w:rsidRPr="00E7683A">
        <w:rPr>
          <w:rFonts w:ascii="Times New Roman" w:hAnsi="Times New Roman"/>
        </w:rPr>
        <w:t>12</w:t>
      </w:r>
      <w:r w:rsidR="00E7683A">
        <w:rPr>
          <w:rFonts w:ascii="Times New Roman" w:hAnsi="Times New Roman"/>
        </w:rPr>
        <w:t>,</w:t>
      </w:r>
      <w:r w:rsidR="00E7683A" w:rsidRPr="00E7683A">
        <w:rPr>
          <w:rFonts w:ascii="Times New Roman" w:hAnsi="Times New Roman"/>
        </w:rPr>
        <w:t>958.23</w:t>
      </w:r>
      <w:r w:rsidRPr="001A0BA5">
        <w:rPr>
          <w:rFonts w:ascii="Times New Roman" w:hAnsi="Times New Roman"/>
        </w:rPr>
        <w:t xml:space="preserve"> =</w:t>
      </w:r>
      <w:r w:rsidR="000560C9">
        <w:rPr>
          <w:rFonts w:ascii="Times New Roman" w:hAnsi="Times New Roman"/>
        </w:rPr>
        <w:t xml:space="preserve"> $</w:t>
      </w:r>
      <w:r w:rsidR="003860CF">
        <w:rPr>
          <w:rFonts w:ascii="Times New Roman" w:hAnsi="Times New Roman"/>
        </w:rPr>
        <w:t>309,020.42, or approximately $309,000</w:t>
      </w:r>
      <w:r w:rsidR="000140FF">
        <w:rPr>
          <w:rFonts w:ascii="Times New Roman" w:hAnsi="Times New Roman"/>
        </w:rPr>
        <w:t>.</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14.  </w:t>
      </w:r>
      <w:r w:rsidRPr="001620C0">
        <w:rPr>
          <w:rFonts w:ascii="Times New Roman" w:hAnsi="Times New Roman"/>
          <w:u w:val="single"/>
        </w:rPr>
        <w:t>Cost to the government.</w:t>
      </w:r>
      <w:r w:rsidR="00AD0449">
        <w:rPr>
          <w:rFonts w:ascii="Times New Roman" w:hAnsi="Times New Roman"/>
        </w:rPr>
        <w:t xml:space="preserve">  As discussed in item 13</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estimates that on ave</w:t>
      </w:r>
      <w:r w:rsidR="00AE54B4" w:rsidRPr="001620C0">
        <w:rPr>
          <w:rFonts w:ascii="Times New Roman" w:hAnsi="Times New Roman"/>
        </w:rPr>
        <w:t xml:space="preserve">rage, it will annually receive </w:t>
      </w:r>
      <w:r w:rsidR="00C61921">
        <w:rPr>
          <w:rFonts w:ascii="Times New Roman" w:hAnsi="Times New Roman"/>
        </w:rPr>
        <w:t>5</w:t>
      </w:r>
      <w:r w:rsidR="00AE54B4" w:rsidRPr="001620C0">
        <w:rPr>
          <w:rFonts w:ascii="Times New Roman" w:hAnsi="Times New Roman"/>
        </w:rPr>
        <w:t xml:space="preserve"> benefit reduction notices; </w:t>
      </w:r>
      <w:r w:rsidR="00C61921">
        <w:rPr>
          <w:rFonts w:ascii="Times New Roman" w:hAnsi="Times New Roman"/>
        </w:rPr>
        <w:t>10</w:t>
      </w:r>
      <w:r w:rsidRPr="001620C0">
        <w:rPr>
          <w:rFonts w:ascii="Times New Roman" w:hAnsi="Times New Roman"/>
        </w:rPr>
        <w:t xml:space="preserve"> notices of insolvency; </w:t>
      </w:r>
      <w:r w:rsidR="00AE54B4" w:rsidRPr="001620C0">
        <w:rPr>
          <w:rFonts w:ascii="Times New Roman" w:hAnsi="Times New Roman"/>
        </w:rPr>
        <w:t>54</w:t>
      </w:r>
      <w:r w:rsidRPr="001620C0">
        <w:rPr>
          <w:rFonts w:ascii="Times New Roman" w:hAnsi="Times New Roman"/>
        </w:rPr>
        <w:t xml:space="preserve"> notices of insolvency benefit level; </w:t>
      </w:r>
      <w:r w:rsidR="00AE54B4" w:rsidRPr="001620C0">
        <w:rPr>
          <w:rFonts w:ascii="Times New Roman" w:hAnsi="Times New Roman"/>
        </w:rPr>
        <w:t>7</w:t>
      </w:r>
      <w:r w:rsidRPr="001620C0">
        <w:rPr>
          <w:rFonts w:ascii="Times New Roman" w:hAnsi="Times New Roman"/>
        </w:rPr>
        <w:t xml:space="preserve"> initial applications for financial assistance; and </w:t>
      </w:r>
      <w:r w:rsidR="00C61921">
        <w:rPr>
          <w:rFonts w:ascii="Times New Roman" w:hAnsi="Times New Roman"/>
        </w:rPr>
        <w:t>248</w:t>
      </w:r>
      <w:r w:rsidRPr="001620C0">
        <w:rPr>
          <w:rFonts w:ascii="Times New Roman" w:hAnsi="Times New Roman"/>
        </w:rPr>
        <w:t xml:space="preserve"> non-initial applications for financial assistance. </w:t>
      </w:r>
    </w:p>
    <w:p w:rsidR="000C797E" w:rsidRPr="001620C0" w:rsidRDefault="000C797E" w:rsidP="00877111">
      <w:pPr>
        <w:widowControl/>
        <w:spacing w:line="480" w:lineRule="auto"/>
        <w:ind w:firstLine="720"/>
        <w:rPr>
          <w:rFonts w:ascii="Times New Roman" w:hAnsi="Times New Roman"/>
        </w:rPr>
        <w:sectPr w:rsidR="000C797E" w:rsidRPr="001620C0">
          <w:headerReference w:type="default" r:id="rId10"/>
          <w:footerReference w:type="default" r:id="rId11"/>
          <w:type w:val="continuous"/>
          <w:pgSz w:w="12240" w:h="15840"/>
          <w:pgMar w:top="1440" w:right="1440" w:bottom="1440" w:left="1440" w:header="1440" w:footer="1440" w:gutter="0"/>
          <w:cols w:space="720"/>
          <w:noEndnote/>
        </w:sectPr>
      </w:pPr>
    </w:p>
    <w:p w:rsidR="00AD0449" w:rsidRDefault="00AD0449" w:rsidP="00877111">
      <w:pPr>
        <w:widowControl/>
        <w:spacing w:line="480" w:lineRule="auto"/>
        <w:ind w:firstLine="720"/>
        <w:rPr>
          <w:rFonts w:ascii="Times New Roman" w:hAnsi="Times New Roman"/>
        </w:rPr>
      </w:pPr>
      <w:r w:rsidRPr="001620C0">
        <w:rPr>
          <w:rFonts w:ascii="Times New Roman" w:hAnsi="Times New Roman"/>
        </w:rPr>
        <w:lastRenderedPageBreak/>
        <w:t xml:space="preserve">PBGC expects to spend </w:t>
      </w:r>
      <w:r w:rsidR="007B3434">
        <w:rPr>
          <w:rFonts w:ascii="Times New Roman" w:hAnsi="Times New Roman"/>
        </w:rPr>
        <w:t>828</w:t>
      </w:r>
      <w:r w:rsidRPr="001620C0">
        <w:rPr>
          <w:rFonts w:ascii="Times New Roman" w:hAnsi="Times New Roman"/>
        </w:rPr>
        <w:t xml:space="preserve"> hours per year processing collections of information under the regulation</w:t>
      </w:r>
      <w:r>
        <w:rPr>
          <w:rFonts w:ascii="Times New Roman" w:hAnsi="Times New Roman"/>
        </w:rPr>
        <w:t xml:space="preserve"> based on the following assumptions: </w:t>
      </w:r>
    </w:p>
    <w:p w:rsidR="00AD0449" w:rsidRDefault="00AD0449" w:rsidP="00CA79F4">
      <w:pPr>
        <w:widowControl/>
        <w:numPr>
          <w:ilvl w:val="0"/>
          <w:numId w:val="2"/>
        </w:numPr>
        <w:contextualSpacing/>
        <w:rPr>
          <w:rFonts w:ascii="Times New Roman" w:hAnsi="Times New Roman"/>
        </w:rPr>
      </w:pPr>
      <w:r>
        <w:rPr>
          <w:rFonts w:ascii="Times New Roman" w:hAnsi="Times New Roman"/>
        </w:rPr>
        <w:t xml:space="preserve">Eight hours of staff time for an initial application for financial assistance </w:t>
      </w:r>
      <w:r w:rsidRPr="00AD0449">
        <w:rPr>
          <w:rFonts w:ascii="Times New Roman" w:hAnsi="Times New Roman"/>
        </w:rPr>
        <w:t>performed by a</w:t>
      </w:r>
      <w:r w:rsidR="0093063C">
        <w:rPr>
          <w:rFonts w:ascii="Times New Roman" w:hAnsi="Times New Roman"/>
        </w:rPr>
        <w:t>n</w:t>
      </w:r>
      <w:r w:rsidRPr="00AD0449">
        <w:rPr>
          <w:rFonts w:ascii="Times New Roman" w:hAnsi="Times New Roman"/>
        </w:rPr>
        <w:t xml:space="preserve"> </w:t>
      </w:r>
      <w:r w:rsidR="000A4ECE" w:rsidRPr="0093063C">
        <w:rPr>
          <w:rFonts w:ascii="Times New Roman" w:hAnsi="Times New Roman"/>
        </w:rPr>
        <w:t>auditor</w:t>
      </w:r>
      <w:r w:rsidRPr="0093063C">
        <w:rPr>
          <w:rFonts w:ascii="Times New Roman" w:hAnsi="Times New Roman"/>
        </w:rPr>
        <w:t xml:space="preserve"> (range of salary GS 11-14, average GS 13 step </w:t>
      </w:r>
      <w:r w:rsidR="000A4ECE">
        <w:rPr>
          <w:rFonts w:ascii="Times New Roman" w:hAnsi="Times New Roman"/>
        </w:rPr>
        <w:t>5</w:t>
      </w:r>
      <w:r w:rsidRPr="00AD0449">
        <w:rPr>
          <w:rFonts w:ascii="Times New Roman" w:hAnsi="Times New Roman"/>
        </w:rPr>
        <w:t>.</w:t>
      </w:r>
    </w:p>
    <w:p w:rsidR="00CA79F4" w:rsidRDefault="00CA79F4" w:rsidP="00CA79F4">
      <w:pPr>
        <w:widowControl/>
        <w:ind w:left="720"/>
        <w:contextualSpacing/>
        <w:rPr>
          <w:rFonts w:ascii="Times New Roman" w:hAnsi="Times New Roman"/>
        </w:rPr>
      </w:pPr>
    </w:p>
    <w:p w:rsidR="00AD0449" w:rsidRDefault="00AD0449" w:rsidP="00CA79F4">
      <w:pPr>
        <w:widowControl/>
        <w:numPr>
          <w:ilvl w:val="0"/>
          <w:numId w:val="2"/>
        </w:numPr>
        <w:contextualSpacing/>
        <w:rPr>
          <w:rFonts w:ascii="Times New Roman" w:hAnsi="Times New Roman"/>
        </w:rPr>
      </w:pPr>
      <w:r>
        <w:rPr>
          <w:rFonts w:ascii="Times New Roman" w:hAnsi="Times New Roman"/>
        </w:rPr>
        <w:lastRenderedPageBreak/>
        <w:t xml:space="preserve">Two hours of staff time for non-initial applications for financial assistance </w:t>
      </w:r>
      <w:r w:rsidRPr="00AD0449">
        <w:rPr>
          <w:rFonts w:ascii="Times New Roman" w:hAnsi="Times New Roman"/>
        </w:rPr>
        <w:t>performed by a</w:t>
      </w:r>
      <w:r w:rsidR="0093063C">
        <w:rPr>
          <w:rFonts w:ascii="Times New Roman" w:hAnsi="Times New Roman"/>
        </w:rPr>
        <w:t>n</w:t>
      </w:r>
      <w:r w:rsidRPr="00AD0449">
        <w:rPr>
          <w:rFonts w:ascii="Times New Roman" w:hAnsi="Times New Roman"/>
        </w:rPr>
        <w:t xml:space="preserve"> </w:t>
      </w:r>
      <w:r w:rsidR="000A4ECE" w:rsidRPr="0093063C">
        <w:rPr>
          <w:rFonts w:ascii="Times New Roman" w:hAnsi="Times New Roman"/>
        </w:rPr>
        <w:t>auditor</w:t>
      </w:r>
      <w:r w:rsidRPr="0093063C">
        <w:rPr>
          <w:rFonts w:ascii="Times New Roman" w:hAnsi="Times New Roman"/>
        </w:rPr>
        <w:t xml:space="preserve"> (range of salary GS 11-14, average GS 13 step </w:t>
      </w:r>
      <w:r w:rsidR="000A4ECE" w:rsidRPr="0093063C">
        <w:rPr>
          <w:rFonts w:ascii="Times New Roman" w:hAnsi="Times New Roman"/>
        </w:rPr>
        <w:t>5</w:t>
      </w:r>
      <w:r w:rsidRPr="0093063C">
        <w:rPr>
          <w:rFonts w:ascii="Times New Roman" w:hAnsi="Times New Roman"/>
        </w:rPr>
        <w:t>)</w:t>
      </w:r>
      <w:r w:rsidRPr="00AD0449">
        <w:rPr>
          <w:rFonts w:ascii="Times New Roman" w:hAnsi="Times New Roman"/>
        </w:rPr>
        <w:t>.</w:t>
      </w:r>
    </w:p>
    <w:p w:rsidR="00AD0449" w:rsidRDefault="00AD0449" w:rsidP="00CA79F4">
      <w:pPr>
        <w:pStyle w:val="ListParagraph"/>
        <w:rPr>
          <w:rFonts w:ascii="Times New Roman" w:hAnsi="Times New Roman"/>
        </w:rPr>
      </w:pPr>
    </w:p>
    <w:p w:rsidR="00AD0449" w:rsidRDefault="00AD0449" w:rsidP="00CA79F4">
      <w:pPr>
        <w:widowControl/>
        <w:numPr>
          <w:ilvl w:val="0"/>
          <w:numId w:val="2"/>
        </w:numPr>
        <w:contextualSpacing/>
        <w:rPr>
          <w:rFonts w:ascii="Times New Roman" w:hAnsi="Times New Roman"/>
        </w:rPr>
      </w:pPr>
      <w:r>
        <w:rPr>
          <w:rFonts w:ascii="Times New Roman" w:hAnsi="Times New Roman"/>
        </w:rPr>
        <w:t xml:space="preserve">Four hours of staff time for other submissions </w:t>
      </w:r>
      <w:r w:rsidRPr="00AD0449">
        <w:rPr>
          <w:rFonts w:ascii="Times New Roman" w:hAnsi="Times New Roman"/>
        </w:rPr>
        <w:t>performed by a</w:t>
      </w:r>
      <w:r w:rsidR="0093063C">
        <w:rPr>
          <w:rFonts w:ascii="Times New Roman" w:hAnsi="Times New Roman"/>
        </w:rPr>
        <w:t>n</w:t>
      </w:r>
      <w:r w:rsidRPr="00AD0449">
        <w:rPr>
          <w:rFonts w:ascii="Times New Roman" w:hAnsi="Times New Roman"/>
        </w:rPr>
        <w:t xml:space="preserve"> </w:t>
      </w:r>
      <w:r w:rsidR="000A4ECE" w:rsidRPr="0093063C">
        <w:rPr>
          <w:rFonts w:ascii="Times New Roman" w:hAnsi="Times New Roman"/>
        </w:rPr>
        <w:t>auditor</w:t>
      </w:r>
      <w:r w:rsidRPr="0093063C">
        <w:rPr>
          <w:rFonts w:ascii="Times New Roman" w:hAnsi="Times New Roman"/>
        </w:rPr>
        <w:t xml:space="preserve"> (range of salary GS 11-14, average GS 13 step </w:t>
      </w:r>
      <w:r w:rsidR="000A4ECE" w:rsidRPr="0093063C">
        <w:rPr>
          <w:rFonts w:ascii="Times New Roman" w:hAnsi="Times New Roman"/>
        </w:rPr>
        <w:t>5</w:t>
      </w:r>
      <w:r w:rsidRPr="0093063C">
        <w:rPr>
          <w:rFonts w:ascii="Times New Roman" w:hAnsi="Times New Roman"/>
        </w:rPr>
        <w:t>)</w:t>
      </w:r>
      <w:r w:rsidR="0093063C">
        <w:rPr>
          <w:rFonts w:ascii="Times New Roman" w:hAnsi="Times New Roman"/>
        </w:rPr>
        <w:t>.</w:t>
      </w:r>
    </w:p>
    <w:p w:rsidR="008469B9" w:rsidRDefault="008469B9" w:rsidP="00877111">
      <w:pPr>
        <w:widowControl/>
        <w:spacing w:line="480" w:lineRule="auto"/>
        <w:ind w:firstLine="720"/>
        <w:rPr>
          <w:rFonts w:ascii="Times New Roman" w:hAnsi="Times New Roman"/>
        </w:rPr>
      </w:pPr>
    </w:p>
    <w:p w:rsidR="00AD0449" w:rsidRDefault="00AD0449" w:rsidP="00877111">
      <w:pPr>
        <w:widowControl/>
        <w:spacing w:line="480" w:lineRule="auto"/>
        <w:ind w:firstLine="720"/>
        <w:rPr>
          <w:rFonts w:ascii="Times New Roman" w:hAnsi="Times New Roman"/>
        </w:rPr>
      </w:pPr>
      <w:r w:rsidRPr="00AD0449">
        <w:rPr>
          <w:rFonts w:ascii="Times New Roman" w:hAnsi="Times New Roman"/>
        </w:rPr>
        <w:t>Assuming a blended rate of $</w:t>
      </w:r>
      <w:r w:rsidR="00E215EE">
        <w:rPr>
          <w:rFonts w:ascii="Times New Roman" w:hAnsi="Times New Roman"/>
        </w:rPr>
        <w:t>69.76</w:t>
      </w:r>
      <w:r w:rsidRPr="00AD0449">
        <w:rPr>
          <w:rFonts w:ascii="Times New Roman" w:hAnsi="Times New Roman"/>
        </w:rPr>
        <w:t xml:space="preserve"> per hour ($</w:t>
      </w:r>
      <w:r w:rsidR="00E215EE">
        <w:rPr>
          <w:rFonts w:ascii="Times New Roman" w:hAnsi="Times New Roman"/>
        </w:rPr>
        <w:t>48.83</w:t>
      </w:r>
      <w:r w:rsidR="001216D7">
        <w:rPr>
          <w:rFonts w:ascii="Times New Roman" w:hAnsi="Times New Roman"/>
        </w:rPr>
        <w:t xml:space="preserve"> </w:t>
      </w:r>
      <w:r w:rsidRPr="00AD0449">
        <w:rPr>
          <w:rFonts w:ascii="Times New Roman" w:hAnsi="Times New Roman"/>
        </w:rPr>
        <w:t>attributable to wages</w:t>
      </w:r>
      <w:r w:rsidRPr="00AD0449">
        <w:rPr>
          <w:rFonts w:ascii="Times New Roman" w:hAnsi="Times New Roman"/>
          <w:vertAlign w:val="superscript"/>
        </w:rPr>
        <w:footnoteReference w:id="6"/>
      </w:r>
      <w:r w:rsidRPr="00AD0449">
        <w:rPr>
          <w:rFonts w:ascii="Times New Roman" w:hAnsi="Times New Roman"/>
        </w:rPr>
        <w:t xml:space="preserve"> and $</w:t>
      </w:r>
      <w:r w:rsidR="00E215EE">
        <w:rPr>
          <w:rFonts w:ascii="Times New Roman" w:hAnsi="Times New Roman"/>
        </w:rPr>
        <w:t>20.93</w:t>
      </w:r>
      <w:r w:rsidRPr="00AD0449">
        <w:rPr>
          <w:rFonts w:ascii="Times New Roman" w:hAnsi="Times New Roman"/>
        </w:rPr>
        <w:t xml:space="preserve"> attributable to benefits), PBGC estimates that the total annual cost to the government is $</w:t>
      </w:r>
      <w:r w:rsidR="007B3434">
        <w:rPr>
          <w:rFonts w:ascii="Times New Roman" w:hAnsi="Times New Roman"/>
        </w:rPr>
        <w:t>57</w:t>
      </w:r>
      <w:r w:rsidR="00E215EE">
        <w:rPr>
          <w:rFonts w:ascii="Times New Roman" w:hAnsi="Times New Roman"/>
        </w:rPr>
        <w:t>,</w:t>
      </w:r>
      <w:r w:rsidR="007B3434">
        <w:rPr>
          <w:rFonts w:ascii="Times New Roman" w:hAnsi="Times New Roman"/>
        </w:rPr>
        <w:t>761</w:t>
      </w:r>
      <w:r w:rsidR="00E215EE">
        <w:rPr>
          <w:rFonts w:ascii="Times New Roman" w:hAnsi="Times New Roman"/>
        </w:rPr>
        <w:t>.</w:t>
      </w:r>
      <w:r w:rsidR="007B3434">
        <w:rPr>
          <w:rFonts w:ascii="Times New Roman" w:hAnsi="Times New Roman"/>
        </w:rPr>
        <w:t>28</w:t>
      </w:r>
      <w:r w:rsidRPr="00AD0449">
        <w:rPr>
          <w:rFonts w:ascii="Times New Roman" w:hAnsi="Times New Roman"/>
        </w:rPr>
        <w:t xml:space="preserve"> (</w:t>
      </w:r>
      <w:r w:rsidR="008469B9">
        <w:rPr>
          <w:rFonts w:ascii="Times New Roman" w:hAnsi="Times New Roman"/>
        </w:rPr>
        <w:t xml:space="preserve">(7 responses for initial applications for financial assistance x 8 hours at </w:t>
      </w:r>
      <w:r w:rsidR="00E215EE">
        <w:rPr>
          <w:rFonts w:ascii="Times New Roman" w:hAnsi="Times New Roman"/>
        </w:rPr>
        <w:t>69.76</w:t>
      </w:r>
      <w:r w:rsidR="008469B9">
        <w:rPr>
          <w:rFonts w:ascii="Times New Roman" w:hAnsi="Times New Roman"/>
        </w:rPr>
        <w:t xml:space="preserve"> per hour) + (248</w:t>
      </w:r>
      <w:r w:rsidRPr="00AD0449">
        <w:rPr>
          <w:rFonts w:ascii="Times New Roman" w:hAnsi="Times New Roman"/>
        </w:rPr>
        <w:t xml:space="preserve"> responses </w:t>
      </w:r>
      <w:r w:rsidR="008469B9">
        <w:rPr>
          <w:rFonts w:ascii="Times New Roman" w:hAnsi="Times New Roman"/>
        </w:rPr>
        <w:t>for non-initial applications for financial assistance</w:t>
      </w:r>
      <w:r w:rsidR="008469B9" w:rsidRPr="00AD0449">
        <w:rPr>
          <w:rFonts w:ascii="Times New Roman" w:hAnsi="Times New Roman"/>
        </w:rPr>
        <w:t xml:space="preserve"> </w:t>
      </w:r>
      <w:r w:rsidRPr="00AD0449">
        <w:rPr>
          <w:rFonts w:ascii="Times New Roman" w:hAnsi="Times New Roman"/>
        </w:rPr>
        <w:t xml:space="preserve">x </w:t>
      </w:r>
      <w:r w:rsidR="008469B9">
        <w:rPr>
          <w:rFonts w:ascii="Times New Roman" w:hAnsi="Times New Roman"/>
        </w:rPr>
        <w:t>2</w:t>
      </w:r>
      <w:r w:rsidRPr="00AD0449">
        <w:rPr>
          <w:rFonts w:ascii="Times New Roman" w:hAnsi="Times New Roman"/>
        </w:rPr>
        <w:t xml:space="preserve"> hours x $</w:t>
      </w:r>
      <w:r w:rsidR="00E215EE">
        <w:rPr>
          <w:rFonts w:ascii="Times New Roman" w:hAnsi="Times New Roman"/>
        </w:rPr>
        <w:t>69.76</w:t>
      </w:r>
      <w:r w:rsidR="008469B9">
        <w:rPr>
          <w:rFonts w:ascii="Times New Roman" w:hAnsi="Times New Roman"/>
        </w:rPr>
        <w:t xml:space="preserve"> per hour</w:t>
      </w:r>
      <w:r w:rsidRPr="00AD0449">
        <w:rPr>
          <w:rFonts w:ascii="Times New Roman" w:hAnsi="Times New Roman"/>
        </w:rPr>
        <w:t>)</w:t>
      </w:r>
      <w:r w:rsidR="008469B9">
        <w:rPr>
          <w:rFonts w:ascii="Times New Roman" w:hAnsi="Times New Roman"/>
        </w:rPr>
        <w:t xml:space="preserve"> + (</w:t>
      </w:r>
      <w:r w:rsidR="007B3434">
        <w:rPr>
          <w:rFonts w:ascii="Times New Roman" w:hAnsi="Times New Roman"/>
        </w:rPr>
        <w:t>69</w:t>
      </w:r>
      <w:r w:rsidR="008469B9">
        <w:rPr>
          <w:rFonts w:ascii="Times New Roman" w:hAnsi="Times New Roman"/>
        </w:rPr>
        <w:t xml:space="preserve"> responses for other submissions x 4 hours x $</w:t>
      </w:r>
      <w:r w:rsidR="00E215EE">
        <w:rPr>
          <w:rFonts w:ascii="Times New Roman" w:hAnsi="Times New Roman"/>
        </w:rPr>
        <w:t>69.76</w:t>
      </w:r>
      <w:r w:rsidR="008469B9">
        <w:rPr>
          <w:rFonts w:ascii="Times New Roman" w:hAnsi="Times New Roman"/>
        </w:rPr>
        <w:t xml:space="preserve"> per hour))</w:t>
      </w:r>
      <w:r w:rsidRPr="00AD0449">
        <w:rPr>
          <w:rFonts w:ascii="Times New Roman" w:hAnsi="Times New Roman"/>
        </w:rPr>
        <w:t>.</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15.  </w:t>
      </w:r>
      <w:r w:rsidRPr="001620C0">
        <w:rPr>
          <w:rFonts w:ascii="Times New Roman" w:hAnsi="Times New Roman"/>
          <w:u w:val="single"/>
        </w:rPr>
        <w:t>Explanation of burden changes.</w:t>
      </w:r>
      <w:r w:rsidRPr="001620C0">
        <w:rPr>
          <w:rFonts w:ascii="Times New Roman" w:hAnsi="Times New Roman"/>
        </w:rPr>
        <w:t xml:space="preserve">  </w:t>
      </w:r>
      <w:r w:rsidR="006E5E4E">
        <w:rPr>
          <w:rFonts w:ascii="Times New Roman" w:hAnsi="Times New Roman"/>
        </w:rPr>
        <w:t>The change in burden estimates is a result of the proposed rule changes and a change in PBGC’s assumptions for estimating costs.</w:t>
      </w:r>
    </w:p>
    <w:p w:rsidR="000C797E"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16.  </w:t>
      </w:r>
      <w:r w:rsidRPr="001620C0">
        <w:rPr>
          <w:rFonts w:ascii="Times New Roman" w:hAnsi="Times New Roman"/>
          <w:u w:val="single"/>
        </w:rPr>
        <w:t>Publication plans.</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does not intend to publish the results of this collection of information. </w:t>
      </w:r>
    </w:p>
    <w:p w:rsidR="00886813" w:rsidRPr="001620C0" w:rsidRDefault="000C797E" w:rsidP="00877111">
      <w:pPr>
        <w:widowControl/>
        <w:spacing w:line="480" w:lineRule="auto"/>
        <w:ind w:firstLine="720"/>
        <w:rPr>
          <w:rFonts w:ascii="Times New Roman" w:hAnsi="Times New Roman"/>
        </w:rPr>
      </w:pPr>
      <w:r w:rsidRPr="001620C0">
        <w:rPr>
          <w:rFonts w:ascii="Times New Roman" w:hAnsi="Times New Roman"/>
        </w:rPr>
        <w:t xml:space="preserve">17.  </w:t>
      </w:r>
      <w:r w:rsidRPr="001620C0">
        <w:rPr>
          <w:rFonts w:ascii="Times New Roman" w:hAnsi="Times New Roman"/>
          <w:u w:val="single"/>
        </w:rPr>
        <w:t>Display of expiration date.</w:t>
      </w:r>
      <w:r w:rsidRPr="001620C0">
        <w:rPr>
          <w:rFonts w:ascii="Times New Roman" w:hAnsi="Times New Roman"/>
        </w:rPr>
        <w:t xml:space="preserve">  </w:t>
      </w:r>
      <w:r w:rsidR="00FA0292" w:rsidRPr="001620C0">
        <w:rPr>
          <w:rFonts w:ascii="Times New Roman" w:hAnsi="Times New Roman"/>
        </w:rPr>
        <w:t>PBGC</w:t>
      </w:r>
      <w:r w:rsidRPr="001620C0">
        <w:rPr>
          <w:rFonts w:ascii="Times New Roman" w:hAnsi="Times New Roman"/>
        </w:rPr>
        <w:t xml:space="preserve"> is not seeking approval to not display the expiration date for OMB approval of this information collection.  </w:t>
      </w:r>
    </w:p>
    <w:p w:rsidR="000C797E" w:rsidRPr="00F17EE0" w:rsidRDefault="000C797E" w:rsidP="00877111">
      <w:pPr>
        <w:widowControl/>
        <w:spacing w:line="480" w:lineRule="auto"/>
        <w:ind w:firstLine="720"/>
        <w:rPr>
          <w:rFonts w:ascii="Times New Roman" w:hAnsi="Times New Roman"/>
        </w:rPr>
      </w:pPr>
      <w:r w:rsidRPr="001620C0">
        <w:rPr>
          <w:rFonts w:ascii="Times New Roman" w:hAnsi="Times New Roman"/>
        </w:rPr>
        <w:t xml:space="preserve">18.  </w:t>
      </w:r>
      <w:r w:rsidRPr="001620C0">
        <w:rPr>
          <w:rFonts w:ascii="Times New Roman" w:hAnsi="Times New Roman"/>
          <w:u w:val="single"/>
        </w:rPr>
        <w:t>Exceptions to certification statement.</w:t>
      </w:r>
      <w:r w:rsidRPr="001620C0">
        <w:rPr>
          <w:rFonts w:ascii="Times New Roman" w:hAnsi="Times New Roman"/>
        </w:rPr>
        <w:t xml:space="preserve">  There are no exceptions to the certification statement. </w:t>
      </w:r>
    </w:p>
    <w:sectPr w:rsidR="000C797E" w:rsidRPr="00F17EE0" w:rsidSect="000C797E">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C03" w:rsidRDefault="00D44C03">
      <w:r>
        <w:separator/>
      </w:r>
    </w:p>
  </w:endnote>
  <w:endnote w:type="continuationSeparator" w:id="0">
    <w:p w:rsidR="00D44C03" w:rsidRDefault="00D44C03">
      <w:r>
        <w:continuationSeparator/>
      </w:r>
    </w:p>
  </w:endnote>
  <w:endnote w:type="continuationNotice" w:id="1">
    <w:p w:rsidR="00D44C03" w:rsidRDefault="00D44C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F6B" w:rsidRPr="00592257" w:rsidRDefault="00502F6B">
    <w:pPr>
      <w:pStyle w:val="Footer"/>
      <w:jc w:val="center"/>
      <w:rPr>
        <w:rFonts w:ascii="Times New Roman" w:hAnsi="Times New Roman"/>
      </w:rPr>
    </w:pPr>
    <w:r w:rsidRPr="00592257">
      <w:rPr>
        <w:rFonts w:ascii="Times New Roman" w:hAnsi="Times New Roman"/>
      </w:rPr>
      <w:fldChar w:fldCharType="begin"/>
    </w:r>
    <w:r w:rsidRPr="00592257">
      <w:rPr>
        <w:rFonts w:ascii="Times New Roman" w:hAnsi="Times New Roman"/>
      </w:rPr>
      <w:instrText xml:space="preserve"> PAGE   \* MERGEFORMAT </w:instrText>
    </w:r>
    <w:r w:rsidRPr="00592257">
      <w:rPr>
        <w:rFonts w:ascii="Times New Roman" w:hAnsi="Times New Roman"/>
      </w:rPr>
      <w:fldChar w:fldCharType="separate"/>
    </w:r>
    <w:r w:rsidR="006C1FBC">
      <w:rPr>
        <w:rFonts w:ascii="Times New Roman" w:hAnsi="Times New Roman"/>
        <w:noProof/>
      </w:rPr>
      <w:t>1</w:t>
    </w:r>
    <w:r w:rsidRPr="00592257">
      <w:rPr>
        <w:rFonts w:ascii="Times New Roman" w:hAnsi="Times New Roman"/>
      </w:rPr>
      <w:fldChar w:fldCharType="end"/>
    </w:r>
  </w:p>
  <w:p w:rsidR="00502F6B" w:rsidRDefault="00502F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C03" w:rsidRDefault="00D44C03">
      <w:r>
        <w:separator/>
      </w:r>
    </w:p>
  </w:footnote>
  <w:footnote w:type="continuationSeparator" w:id="0">
    <w:p w:rsidR="00D44C03" w:rsidRDefault="00D44C03">
      <w:r>
        <w:continuationSeparator/>
      </w:r>
    </w:p>
  </w:footnote>
  <w:footnote w:type="continuationNotice" w:id="1">
    <w:p w:rsidR="00D44C03" w:rsidRDefault="00D44C03"/>
  </w:footnote>
  <w:footnote w:id="2">
    <w:p w:rsidR="009056A9" w:rsidRPr="00CC4BCE" w:rsidRDefault="009056A9" w:rsidP="009056A9">
      <w:pPr>
        <w:pStyle w:val="FootnoteText"/>
      </w:pPr>
      <w:r w:rsidRPr="00CC4BCE">
        <w:rPr>
          <w:rStyle w:val="FootnoteReference"/>
          <w:rFonts w:ascii="Times New Roman" w:hAnsi="Times New Roman"/>
          <w:vertAlign w:val="superscript"/>
        </w:rPr>
        <w:footnoteRef/>
      </w:r>
      <w:r w:rsidRPr="00CC4BCE">
        <w:rPr>
          <w:vertAlign w:val="superscript"/>
        </w:rPr>
        <w:t xml:space="preserve"> </w:t>
      </w:r>
      <w:hyperlink r:id="rId1" w:history="1">
        <w:r w:rsidRPr="00CC4BCE">
          <w:rPr>
            <w:rStyle w:val="Hyperlink"/>
            <w:rFonts w:ascii="Times New Roman" w:hAnsi="Times New Roman"/>
          </w:rPr>
          <w:t>http://www.bls.gov/news.release/ecec.nr0.htm</w:t>
        </w:r>
      </w:hyperlink>
      <w:r w:rsidRPr="00CC4BCE">
        <w:rPr>
          <w:rFonts w:ascii="Times New Roman" w:hAnsi="Times New Roman"/>
          <w:color w:val="000000"/>
        </w:rPr>
        <w:t xml:space="preserve"> (see first paragraph)</w:t>
      </w:r>
      <w:r>
        <w:rPr>
          <w:rFonts w:ascii="Times New Roman" w:hAnsi="Times New Roman"/>
          <w:color w:val="000000"/>
        </w:rPr>
        <w:t>.</w:t>
      </w:r>
    </w:p>
  </w:footnote>
  <w:footnote w:id="3">
    <w:p w:rsidR="009056A9" w:rsidRPr="009056A9" w:rsidRDefault="009056A9">
      <w:pPr>
        <w:pStyle w:val="FootnoteText"/>
        <w:rPr>
          <w:rFonts w:ascii="Times New Roman" w:hAnsi="Times New Roman"/>
        </w:rPr>
      </w:pPr>
      <w:r w:rsidRPr="009056A9">
        <w:rPr>
          <w:rStyle w:val="FootnoteReference"/>
          <w:rFonts w:ascii="Times New Roman" w:hAnsi="Times New Roman"/>
        </w:rPr>
        <w:footnoteRef/>
      </w:r>
      <w:r w:rsidR="00315372">
        <w:rPr>
          <w:rFonts w:ascii="Times New Roman" w:hAnsi="Times New Roman"/>
        </w:rPr>
        <w:t xml:space="preserve">  </w:t>
      </w:r>
      <w:hyperlink r:id="rId2" w:history="1">
        <w:r w:rsidR="00E615E2" w:rsidRPr="00B20FFF">
          <w:rPr>
            <w:rStyle w:val="Hyperlink"/>
            <w:rFonts w:ascii="Times New Roman" w:hAnsi="Times New Roman"/>
          </w:rPr>
          <w:t>http://www.bls.gov/oes/current/oes231011.htm</w:t>
        </w:r>
      </w:hyperlink>
      <w:r w:rsidR="00E615E2">
        <w:rPr>
          <w:rFonts w:ascii="Times New Roman" w:hAnsi="Times New Roman"/>
        </w:rPr>
        <w:t xml:space="preserve"> and </w:t>
      </w:r>
      <w:r w:rsidR="00E615E2" w:rsidRPr="00E615E2">
        <w:rPr>
          <w:rFonts w:ascii="Times New Roman" w:hAnsi="Times New Roman"/>
        </w:rPr>
        <w:t>http://www.bls.gov/oes/current/oes152011.htm</w:t>
      </w:r>
    </w:p>
  </w:footnote>
  <w:footnote w:id="4">
    <w:p w:rsidR="009056A9" w:rsidRPr="009056A9" w:rsidRDefault="009056A9">
      <w:pPr>
        <w:pStyle w:val="FootnoteText"/>
        <w:rPr>
          <w:rFonts w:ascii="Times New Roman" w:hAnsi="Times New Roman"/>
        </w:rPr>
      </w:pPr>
      <w:r w:rsidRPr="009056A9">
        <w:rPr>
          <w:rStyle w:val="FootnoteReference"/>
          <w:rFonts w:ascii="Times New Roman" w:hAnsi="Times New Roman"/>
        </w:rPr>
        <w:footnoteRef/>
      </w:r>
      <w:r w:rsidR="00A275F6">
        <w:rPr>
          <w:rFonts w:ascii="Times New Roman" w:hAnsi="Times New Roman"/>
        </w:rPr>
        <w:t xml:space="preserve"> </w:t>
      </w:r>
      <w:r w:rsidR="00E615E2" w:rsidRPr="00E615E2">
        <w:rPr>
          <w:rFonts w:ascii="Times New Roman" w:hAnsi="Times New Roman"/>
        </w:rPr>
        <w:t>http://www.bls.gov/oes/current/oes113111.htm</w:t>
      </w:r>
    </w:p>
  </w:footnote>
  <w:footnote w:id="5">
    <w:p w:rsidR="009056A9" w:rsidRPr="009056A9" w:rsidRDefault="009056A9">
      <w:pPr>
        <w:pStyle w:val="FootnoteText"/>
        <w:rPr>
          <w:rFonts w:ascii="Times New Roman" w:hAnsi="Times New Roman"/>
        </w:rPr>
      </w:pPr>
      <w:r w:rsidRPr="009056A9">
        <w:rPr>
          <w:rStyle w:val="FootnoteReference"/>
          <w:rFonts w:ascii="Times New Roman" w:hAnsi="Times New Roman"/>
        </w:rPr>
        <w:footnoteRef/>
      </w:r>
      <w:r w:rsidRPr="009056A9">
        <w:rPr>
          <w:rFonts w:ascii="Times New Roman" w:hAnsi="Times New Roman"/>
        </w:rPr>
        <w:t xml:space="preserve"> </w:t>
      </w:r>
      <w:hyperlink r:id="rId3" w:anchor="23-0000" w:history="1">
        <w:r w:rsidR="00315372" w:rsidRPr="00213BE2">
          <w:rPr>
            <w:rStyle w:val="Hyperlink"/>
            <w:rFonts w:ascii="Times New Roman" w:hAnsi="Times New Roman"/>
          </w:rPr>
          <w:t>http://www.bls.gov/oes/current/oes_nat.htm#23-0000</w:t>
        </w:r>
      </w:hyperlink>
      <w:r w:rsidR="008E7EA8">
        <w:rPr>
          <w:rFonts w:ascii="Times New Roman" w:hAnsi="Times New Roman"/>
        </w:rPr>
        <w:t xml:space="preserve"> (see “Legal Support Workers”)</w:t>
      </w:r>
      <w:r w:rsidR="00592257">
        <w:rPr>
          <w:rFonts w:ascii="Times New Roman" w:hAnsi="Times New Roman"/>
        </w:rPr>
        <w:t>.</w:t>
      </w:r>
      <w:r w:rsidR="00315372">
        <w:rPr>
          <w:rFonts w:ascii="Times New Roman" w:hAnsi="Times New Roman"/>
        </w:rPr>
        <w:tab/>
      </w:r>
      <w:r w:rsidR="00315372" w:rsidRPr="00315372">
        <w:rPr>
          <w:rFonts w:ascii="Times New Roman" w:hAnsi="Times New Roman"/>
        </w:rPr>
        <w:t xml:space="preserve"> </w:t>
      </w:r>
    </w:p>
  </w:footnote>
  <w:footnote w:id="6">
    <w:p w:rsidR="00AD0449" w:rsidRPr="00277504" w:rsidRDefault="00AD0449" w:rsidP="00AD0449">
      <w:pPr>
        <w:rPr>
          <w:rFonts w:ascii="Times New Roman" w:hAnsi="Times New Roman"/>
          <w:sz w:val="20"/>
          <w:szCs w:val="20"/>
        </w:rPr>
      </w:pPr>
      <w:r w:rsidRPr="00311F94">
        <w:rPr>
          <w:rStyle w:val="FootnoteReference"/>
          <w:rFonts w:ascii="Times New Roman" w:hAnsi="Times New Roman"/>
          <w:sz w:val="20"/>
          <w:szCs w:val="20"/>
          <w:vertAlign w:val="superscript"/>
        </w:rPr>
        <w:footnoteRef/>
      </w:r>
      <w:r w:rsidRPr="00311F94">
        <w:rPr>
          <w:rFonts w:ascii="Times New Roman" w:hAnsi="Times New Roman"/>
          <w:sz w:val="20"/>
          <w:szCs w:val="20"/>
          <w:vertAlign w:val="superscript"/>
        </w:rPr>
        <w:t xml:space="preserve"> </w:t>
      </w:r>
      <w:hyperlink r:id="rId4" w:history="1">
        <w:r w:rsidR="00F806D8" w:rsidRPr="00596D1B">
          <w:rPr>
            <w:rStyle w:val="Hyperlink"/>
            <w:rFonts w:ascii="Times New Roman" w:hAnsi="Times New Roman"/>
            <w:sz w:val="20"/>
            <w:szCs w:val="20"/>
          </w:rPr>
          <w:t>http://www.opm.gov/policy-data-oversight/pay-leave/salaries-wages/salary-tables/14Tables/pdf/DCB_h.pdf</w:t>
        </w:r>
      </w:hyperlink>
      <w:r w:rsidR="00F806D8">
        <w:rPr>
          <w:rFonts w:ascii="Times New Roman" w:hAnsi="Times New Roman"/>
          <w:sz w:val="20"/>
          <w:szCs w:val="20"/>
        </w:rPr>
        <w:t xml:space="preserve"> </w:t>
      </w:r>
      <w:r w:rsidR="003157D5">
        <w:rPr>
          <w:rStyle w:val="Hyperlink"/>
          <w:rFonts w:ascii="Times New Roman" w:hAnsi="Times New Roman"/>
          <w:color w:val="auto"/>
          <w:sz w:val="20"/>
          <w:szCs w:val="20"/>
        </w:rPr>
        <w:t>.</w:t>
      </w:r>
    </w:p>
    <w:p w:rsidR="00AD0449" w:rsidRDefault="00AD0449" w:rsidP="00AD0449">
      <w:pPr>
        <w:rPr>
          <w:rFonts w:ascii="Times New Roman" w:hAnsi="Times New Roman"/>
          <w:color w:val="000000"/>
        </w:rPr>
      </w:pPr>
    </w:p>
    <w:p w:rsidR="00AD0449" w:rsidRDefault="00AD0449" w:rsidP="00AD044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251" w:rsidRDefault="00127251">
    <w:pPr>
      <w:framePr w:w="9361" w:wrap="notBeside" w:vAnchor="text" w:hAnchor="text" w:x="1" w:y="1"/>
      <w:jc w:val="center"/>
    </w:pPr>
  </w:p>
  <w:p w:rsidR="00127251" w:rsidRDefault="00127251">
    <w:pPr>
      <w:rPr>
        <w:rFonts w:ascii="Shruti" w:hAnsi="Shruti" w:cs="Shruti"/>
      </w:rPr>
    </w:pPr>
  </w:p>
  <w:p w:rsidR="00127251" w:rsidRDefault="00127251">
    <w:pPr>
      <w:rPr>
        <w:rFonts w:ascii="Shruti" w:hAnsi="Shruti" w:cs="Shruti"/>
      </w:rPr>
    </w:pPr>
  </w:p>
  <w:p w:rsidR="00127251" w:rsidRDefault="00127251">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00D04"/>
    <w:multiLevelType w:val="hybridMultilevel"/>
    <w:tmpl w:val="D8A6DD54"/>
    <w:lvl w:ilvl="0" w:tplc="A6CED12A">
      <w:start w:val="1"/>
      <w:numFmt w:val="decimal"/>
      <w:lvlText w:val="(%1)"/>
      <w:lvlJc w:val="left"/>
      <w:pPr>
        <w:ind w:left="1776" w:hanging="105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F183A78"/>
    <w:multiLevelType w:val="hybridMultilevel"/>
    <w:tmpl w:val="7E1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217A38"/>
    <w:multiLevelType w:val="hybridMultilevel"/>
    <w:tmpl w:val="F9143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C797E"/>
    <w:rsid w:val="000140FF"/>
    <w:rsid w:val="000246AC"/>
    <w:rsid w:val="00026CBF"/>
    <w:rsid w:val="00046B80"/>
    <w:rsid w:val="000560C9"/>
    <w:rsid w:val="00065BF2"/>
    <w:rsid w:val="00072A12"/>
    <w:rsid w:val="000A4ECE"/>
    <w:rsid w:val="000A78C7"/>
    <w:rsid w:val="000A7F6E"/>
    <w:rsid w:val="000B5724"/>
    <w:rsid w:val="000B7B02"/>
    <w:rsid w:val="000C20A8"/>
    <w:rsid w:val="000C797E"/>
    <w:rsid w:val="000C7EB2"/>
    <w:rsid w:val="000E07BB"/>
    <w:rsid w:val="000E2443"/>
    <w:rsid w:val="000F7C9B"/>
    <w:rsid w:val="001028D1"/>
    <w:rsid w:val="001067FC"/>
    <w:rsid w:val="0011389D"/>
    <w:rsid w:val="001216D7"/>
    <w:rsid w:val="00121C7A"/>
    <w:rsid w:val="00123757"/>
    <w:rsid w:val="00125227"/>
    <w:rsid w:val="001266EA"/>
    <w:rsid w:val="00127251"/>
    <w:rsid w:val="00134C06"/>
    <w:rsid w:val="001620C0"/>
    <w:rsid w:val="00167932"/>
    <w:rsid w:val="001A0BA5"/>
    <w:rsid w:val="001B3547"/>
    <w:rsid w:val="001E04DF"/>
    <w:rsid w:val="00235173"/>
    <w:rsid w:val="002502CA"/>
    <w:rsid w:val="0025400D"/>
    <w:rsid w:val="002604F5"/>
    <w:rsid w:val="0026484E"/>
    <w:rsid w:val="00264EC2"/>
    <w:rsid w:val="00280FB4"/>
    <w:rsid w:val="00284BA5"/>
    <w:rsid w:val="002A43B1"/>
    <w:rsid w:val="002C111D"/>
    <w:rsid w:val="002C3B62"/>
    <w:rsid w:val="002D5B02"/>
    <w:rsid w:val="00315372"/>
    <w:rsid w:val="003157D5"/>
    <w:rsid w:val="0032323D"/>
    <w:rsid w:val="00330834"/>
    <w:rsid w:val="00352B1E"/>
    <w:rsid w:val="00360FCB"/>
    <w:rsid w:val="00372FDE"/>
    <w:rsid w:val="00374B28"/>
    <w:rsid w:val="003860CF"/>
    <w:rsid w:val="00391108"/>
    <w:rsid w:val="003A52F3"/>
    <w:rsid w:val="003C1A17"/>
    <w:rsid w:val="003D1329"/>
    <w:rsid w:val="003D3238"/>
    <w:rsid w:val="003D5E7D"/>
    <w:rsid w:val="003D64E2"/>
    <w:rsid w:val="003F1C8C"/>
    <w:rsid w:val="00407459"/>
    <w:rsid w:val="00410A57"/>
    <w:rsid w:val="004124AE"/>
    <w:rsid w:val="004232A9"/>
    <w:rsid w:val="004416E9"/>
    <w:rsid w:val="0044563A"/>
    <w:rsid w:val="00460D8F"/>
    <w:rsid w:val="004831A1"/>
    <w:rsid w:val="004A089B"/>
    <w:rsid w:val="004A7835"/>
    <w:rsid w:val="004B42C2"/>
    <w:rsid w:val="004D64A9"/>
    <w:rsid w:val="004F28B6"/>
    <w:rsid w:val="00502F6B"/>
    <w:rsid w:val="00516D63"/>
    <w:rsid w:val="00520047"/>
    <w:rsid w:val="00565CB6"/>
    <w:rsid w:val="0057281A"/>
    <w:rsid w:val="00573968"/>
    <w:rsid w:val="00576846"/>
    <w:rsid w:val="00582C2F"/>
    <w:rsid w:val="00592257"/>
    <w:rsid w:val="005B093A"/>
    <w:rsid w:val="005B40B1"/>
    <w:rsid w:val="005B54A3"/>
    <w:rsid w:val="005C23C6"/>
    <w:rsid w:val="005E00A1"/>
    <w:rsid w:val="005E262F"/>
    <w:rsid w:val="005F5924"/>
    <w:rsid w:val="00606FF9"/>
    <w:rsid w:val="00662E60"/>
    <w:rsid w:val="006B7C9D"/>
    <w:rsid w:val="006C1FBC"/>
    <w:rsid w:val="006E257A"/>
    <w:rsid w:val="006E5E4E"/>
    <w:rsid w:val="006E7A3E"/>
    <w:rsid w:val="00702A00"/>
    <w:rsid w:val="0070780E"/>
    <w:rsid w:val="00720C0B"/>
    <w:rsid w:val="007543C7"/>
    <w:rsid w:val="00771704"/>
    <w:rsid w:val="007A050E"/>
    <w:rsid w:val="007B3434"/>
    <w:rsid w:val="007B6212"/>
    <w:rsid w:val="007F0811"/>
    <w:rsid w:val="007F7CE9"/>
    <w:rsid w:val="0083183C"/>
    <w:rsid w:val="008469B9"/>
    <w:rsid w:val="00871EEF"/>
    <w:rsid w:val="00877111"/>
    <w:rsid w:val="00877175"/>
    <w:rsid w:val="00886813"/>
    <w:rsid w:val="008A0FC0"/>
    <w:rsid w:val="008A16A8"/>
    <w:rsid w:val="008D7353"/>
    <w:rsid w:val="008E7EA8"/>
    <w:rsid w:val="008F793E"/>
    <w:rsid w:val="009056A9"/>
    <w:rsid w:val="00914759"/>
    <w:rsid w:val="00927FA8"/>
    <w:rsid w:val="0093063C"/>
    <w:rsid w:val="00935897"/>
    <w:rsid w:val="009412EA"/>
    <w:rsid w:val="00961017"/>
    <w:rsid w:val="009772E0"/>
    <w:rsid w:val="00992275"/>
    <w:rsid w:val="009A26B0"/>
    <w:rsid w:val="009A634E"/>
    <w:rsid w:val="009B2410"/>
    <w:rsid w:val="009B2B83"/>
    <w:rsid w:val="009C182F"/>
    <w:rsid w:val="009D23DE"/>
    <w:rsid w:val="009F0874"/>
    <w:rsid w:val="009F29A4"/>
    <w:rsid w:val="00A00DEB"/>
    <w:rsid w:val="00A054F4"/>
    <w:rsid w:val="00A10612"/>
    <w:rsid w:val="00A26C17"/>
    <w:rsid w:val="00A275F6"/>
    <w:rsid w:val="00A30855"/>
    <w:rsid w:val="00A367EB"/>
    <w:rsid w:val="00A47217"/>
    <w:rsid w:val="00A65E18"/>
    <w:rsid w:val="00A709C8"/>
    <w:rsid w:val="00AC7E20"/>
    <w:rsid w:val="00AD0449"/>
    <w:rsid w:val="00AD7C61"/>
    <w:rsid w:val="00AE54B4"/>
    <w:rsid w:val="00AF0313"/>
    <w:rsid w:val="00B05C22"/>
    <w:rsid w:val="00B16E4D"/>
    <w:rsid w:val="00B43D3D"/>
    <w:rsid w:val="00B50D04"/>
    <w:rsid w:val="00B52A04"/>
    <w:rsid w:val="00B62C6A"/>
    <w:rsid w:val="00B640FA"/>
    <w:rsid w:val="00B97F8E"/>
    <w:rsid w:val="00C07854"/>
    <w:rsid w:val="00C13DAC"/>
    <w:rsid w:val="00C41FE6"/>
    <w:rsid w:val="00C43B1D"/>
    <w:rsid w:val="00C4667C"/>
    <w:rsid w:val="00C47D21"/>
    <w:rsid w:val="00C56DD8"/>
    <w:rsid w:val="00C570F0"/>
    <w:rsid w:val="00C61921"/>
    <w:rsid w:val="00C61E4E"/>
    <w:rsid w:val="00C70C1B"/>
    <w:rsid w:val="00C73C1B"/>
    <w:rsid w:val="00C747A5"/>
    <w:rsid w:val="00C87877"/>
    <w:rsid w:val="00CA79F4"/>
    <w:rsid w:val="00CB528D"/>
    <w:rsid w:val="00CB6A97"/>
    <w:rsid w:val="00D0203E"/>
    <w:rsid w:val="00D05C54"/>
    <w:rsid w:val="00D16F72"/>
    <w:rsid w:val="00D3324E"/>
    <w:rsid w:val="00D44C03"/>
    <w:rsid w:val="00D81F94"/>
    <w:rsid w:val="00D91A58"/>
    <w:rsid w:val="00D94478"/>
    <w:rsid w:val="00DC7F9D"/>
    <w:rsid w:val="00DF2105"/>
    <w:rsid w:val="00E033AB"/>
    <w:rsid w:val="00E17FEF"/>
    <w:rsid w:val="00E215EE"/>
    <w:rsid w:val="00E4250D"/>
    <w:rsid w:val="00E6015E"/>
    <w:rsid w:val="00E615E2"/>
    <w:rsid w:val="00E62FCE"/>
    <w:rsid w:val="00E63F09"/>
    <w:rsid w:val="00E661C7"/>
    <w:rsid w:val="00E7683A"/>
    <w:rsid w:val="00E77D5E"/>
    <w:rsid w:val="00E96FB4"/>
    <w:rsid w:val="00EB5958"/>
    <w:rsid w:val="00EE248A"/>
    <w:rsid w:val="00EE5410"/>
    <w:rsid w:val="00F10E1D"/>
    <w:rsid w:val="00F12AFE"/>
    <w:rsid w:val="00F17EE0"/>
    <w:rsid w:val="00F31800"/>
    <w:rsid w:val="00F32339"/>
    <w:rsid w:val="00F40235"/>
    <w:rsid w:val="00F406D5"/>
    <w:rsid w:val="00F42692"/>
    <w:rsid w:val="00F539A0"/>
    <w:rsid w:val="00F739F8"/>
    <w:rsid w:val="00F806D8"/>
    <w:rsid w:val="00F81E6B"/>
    <w:rsid w:val="00F84CC9"/>
    <w:rsid w:val="00F97A1E"/>
    <w:rsid w:val="00FA0292"/>
    <w:rsid w:val="00FC453B"/>
    <w:rsid w:val="00FD439D"/>
    <w:rsid w:val="00FD6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0C7EB2"/>
    <w:pPr>
      <w:tabs>
        <w:tab w:val="center" w:pos="4320"/>
        <w:tab w:val="right" w:pos="8640"/>
      </w:tabs>
    </w:pPr>
  </w:style>
  <w:style w:type="paragraph" w:styleId="Footer">
    <w:name w:val="footer"/>
    <w:basedOn w:val="Normal"/>
    <w:link w:val="FooterChar"/>
    <w:uiPriority w:val="99"/>
    <w:rsid w:val="000C7EB2"/>
    <w:pPr>
      <w:tabs>
        <w:tab w:val="center" w:pos="4320"/>
        <w:tab w:val="right" w:pos="8640"/>
      </w:tabs>
    </w:pPr>
  </w:style>
  <w:style w:type="character" w:styleId="PageNumber">
    <w:name w:val="page number"/>
    <w:basedOn w:val="DefaultParagraphFont"/>
    <w:rsid w:val="00FD439D"/>
  </w:style>
  <w:style w:type="paragraph" w:styleId="BalloonText">
    <w:name w:val="Balloon Text"/>
    <w:basedOn w:val="Normal"/>
    <w:link w:val="BalloonTextChar"/>
    <w:rsid w:val="001620C0"/>
    <w:rPr>
      <w:rFonts w:ascii="Tahoma" w:hAnsi="Tahoma" w:cs="Tahoma"/>
      <w:sz w:val="16"/>
      <w:szCs w:val="16"/>
    </w:rPr>
  </w:style>
  <w:style w:type="character" w:customStyle="1" w:styleId="BalloonTextChar">
    <w:name w:val="Balloon Text Char"/>
    <w:link w:val="BalloonText"/>
    <w:rsid w:val="001620C0"/>
    <w:rPr>
      <w:rFonts w:ascii="Tahoma" w:hAnsi="Tahoma" w:cs="Tahoma"/>
      <w:sz w:val="16"/>
      <w:szCs w:val="16"/>
    </w:rPr>
  </w:style>
  <w:style w:type="character" w:customStyle="1" w:styleId="FooterChar">
    <w:name w:val="Footer Char"/>
    <w:link w:val="Footer"/>
    <w:uiPriority w:val="99"/>
    <w:rsid w:val="00502F6B"/>
    <w:rPr>
      <w:rFonts w:ascii="Courier" w:hAnsi="Courier"/>
      <w:sz w:val="24"/>
      <w:szCs w:val="24"/>
    </w:rPr>
  </w:style>
  <w:style w:type="character" w:styleId="Hyperlink">
    <w:name w:val="Hyperlink"/>
    <w:rsid w:val="009056A9"/>
    <w:rPr>
      <w:strike w:val="0"/>
      <w:dstrike w:val="0"/>
      <w:color w:val="000080"/>
      <w:u w:val="none"/>
      <w:effect w:val="none"/>
    </w:rPr>
  </w:style>
  <w:style w:type="paragraph" w:styleId="FootnoteText">
    <w:name w:val="footnote text"/>
    <w:basedOn w:val="Normal"/>
    <w:link w:val="FootnoteTextChar"/>
    <w:rsid w:val="009056A9"/>
    <w:rPr>
      <w:sz w:val="20"/>
      <w:szCs w:val="20"/>
    </w:rPr>
  </w:style>
  <w:style w:type="character" w:customStyle="1" w:styleId="FootnoteTextChar">
    <w:name w:val="Footnote Text Char"/>
    <w:link w:val="FootnoteText"/>
    <w:rsid w:val="009056A9"/>
    <w:rPr>
      <w:rFonts w:ascii="Courier" w:hAnsi="Courier"/>
    </w:rPr>
  </w:style>
  <w:style w:type="paragraph" w:styleId="ListParagraph">
    <w:name w:val="List Paragraph"/>
    <w:basedOn w:val="Normal"/>
    <w:uiPriority w:val="34"/>
    <w:qFormat/>
    <w:rsid w:val="009056A9"/>
    <w:pPr>
      <w:ind w:left="720"/>
    </w:pPr>
  </w:style>
  <w:style w:type="character" w:styleId="CommentReference">
    <w:name w:val="annotation reference"/>
    <w:rsid w:val="00AD0449"/>
    <w:rPr>
      <w:sz w:val="16"/>
      <w:szCs w:val="16"/>
    </w:rPr>
  </w:style>
  <w:style w:type="paragraph" w:styleId="CommentText">
    <w:name w:val="annotation text"/>
    <w:basedOn w:val="Normal"/>
    <w:link w:val="CommentTextChar"/>
    <w:rsid w:val="00AD0449"/>
    <w:rPr>
      <w:sz w:val="20"/>
      <w:szCs w:val="20"/>
    </w:rPr>
  </w:style>
  <w:style w:type="character" w:customStyle="1" w:styleId="CommentTextChar">
    <w:name w:val="Comment Text Char"/>
    <w:link w:val="CommentText"/>
    <w:rsid w:val="00AD0449"/>
    <w:rPr>
      <w:rFonts w:ascii="Courier" w:hAnsi="Courier"/>
    </w:rPr>
  </w:style>
  <w:style w:type="paragraph" w:styleId="CommentSubject">
    <w:name w:val="annotation subject"/>
    <w:basedOn w:val="CommentText"/>
    <w:next w:val="CommentText"/>
    <w:link w:val="CommentSubjectChar"/>
    <w:rsid w:val="00AD0449"/>
    <w:rPr>
      <w:b/>
      <w:bCs/>
    </w:rPr>
  </w:style>
  <w:style w:type="character" w:customStyle="1" w:styleId="CommentSubjectChar">
    <w:name w:val="Comment Subject Char"/>
    <w:link w:val="CommentSubject"/>
    <w:rsid w:val="00AD0449"/>
    <w:rPr>
      <w:rFonts w:ascii="Courier" w:hAnsi="Courier"/>
      <w:b/>
      <w:bCs/>
    </w:rPr>
  </w:style>
  <w:style w:type="character" w:styleId="FollowedHyperlink">
    <w:name w:val="FollowedHyperlink"/>
    <w:rsid w:val="00E615E2"/>
    <w:rPr>
      <w:color w:val="800080"/>
      <w:u w:val="single"/>
    </w:rPr>
  </w:style>
  <w:style w:type="paragraph" w:styleId="Revision">
    <w:name w:val="Revision"/>
    <w:hidden/>
    <w:uiPriority w:val="99"/>
    <w:semiHidden/>
    <w:rsid w:val="0070780E"/>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0C7EB2"/>
    <w:pPr>
      <w:tabs>
        <w:tab w:val="center" w:pos="4320"/>
        <w:tab w:val="right" w:pos="8640"/>
      </w:tabs>
    </w:pPr>
  </w:style>
  <w:style w:type="paragraph" w:styleId="Footer">
    <w:name w:val="footer"/>
    <w:basedOn w:val="Normal"/>
    <w:link w:val="FooterChar"/>
    <w:uiPriority w:val="99"/>
    <w:rsid w:val="000C7EB2"/>
    <w:pPr>
      <w:tabs>
        <w:tab w:val="center" w:pos="4320"/>
        <w:tab w:val="right" w:pos="8640"/>
      </w:tabs>
    </w:pPr>
  </w:style>
  <w:style w:type="character" w:styleId="PageNumber">
    <w:name w:val="page number"/>
    <w:basedOn w:val="DefaultParagraphFont"/>
    <w:rsid w:val="00FD439D"/>
  </w:style>
  <w:style w:type="paragraph" w:styleId="BalloonText">
    <w:name w:val="Balloon Text"/>
    <w:basedOn w:val="Normal"/>
    <w:link w:val="BalloonTextChar"/>
    <w:rsid w:val="001620C0"/>
    <w:rPr>
      <w:rFonts w:ascii="Tahoma" w:hAnsi="Tahoma" w:cs="Tahoma"/>
      <w:sz w:val="16"/>
      <w:szCs w:val="16"/>
    </w:rPr>
  </w:style>
  <w:style w:type="character" w:customStyle="1" w:styleId="BalloonTextChar">
    <w:name w:val="Balloon Text Char"/>
    <w:link w:val="BalloonText"/>
    <w:rsid w:val="001620C0"/>
    <w:rPr>
      <w:rFonts w:ascii="Tahoma" w:hAnsi="Tahoma" w:cs="Tahoma"/>
      <w:sz w:val="16"/>
      <w:szCs w:val="16"/>
    </w:rPr>
  </w:style>
  <w:style w:type="character" w:customStyle="1" w:styleId="FooterChar">
    <w:name w:val="Footer Char"/>
    <w:link w:val="Footer"/>
    <w:uiPriority w:val="99"/>
    <w:rsid w:val="00502F6B"/>
    <w:rPr>
      <w:rFonts w:ascii="Courier" w:hAnsi="Courier"/>
      <w:sz w:val="24"/>
      <w:szCs w:val="24"/>
    </w:rPr>
  </w:style>
  <w:style w:type="character" w:styleId="Hyperlink">
    <w:name w:val="Hyperlink"/>
    <w:rsid w:val="009056A9"/>
    <w:rPr>
      <w:strike w:val="0"/>
      <w:dstrike w:val="0"/>
      <w:color w:val="000080"/>
      <w:u w:val="none"/>
      <w:effect w:val="none"/>
    </w:rPr>
  </w:style>
  <w:style w:type="paragraph" w:styleId="FootnoteText">
    <w:name w:val="footnote text"/>
    <w:basedOn w:val="Normal"/>
    <w:link w:val="FootnoteTextChar"/>
    <w:rsid w:val="009056A9"/>
    <w:rPr>
      <w:sz w:val="20"/>
      <w:szCs w:val="20"/>
    </w:rPr>
  </w:style>
  <w:style w:type="character" w:customStyle="1" w:styleId="FootnoteTextChar">
    <w:name w:val="Footnote Text Char"/>
    <w:link w:val="FootnoteText"/>
    <w:rsid w:val="009056A9"/>
    <w:rPr>
      <w:rFonts w:ascii="Courier" w:hAnsi="Courier"/>
    </w:rPr>
  </w:style>
  <w:style w:type="paragraph" w:styleId="ListParagraph">
    <w:name w:val="List Paragraph"/>
    <w:basedOn w:val="Normal"/>
    <w:uiPriority w:val="34"/>
    <w:qFormat/>
    <w:rsid w:val="009056A9"/>
    <w:pPr>
      <w:ind w:left="720"/>
    </w:pPr>
  </w:style>
  <w:style w:type="character" w:styleId="CommentReference">
    <w:name w:val="annotation reference"/>
    <w:rsid w:val="00AD0449"/>
    <w:rPr>
      <w:sz w:val="16"/>
      <w:szCs w:val="16"/>
    </w:rPr>
  </w:style>
  <w:style w:type="paragraph" w:styleId="CommentText">
    <w:name w:val="annotation text"/>
    <w:basedOn w:val="Normal"/>
    <w:link w:val="CommentTextChar"/>
    <w:rsid w:val="00AD0449"/>
    <w:rPr>
      <w:sz w:val="20"/>
      <w:szCs w:val="20"/>
    </w:rPr>
  </w:style>
  <w:style w:type="character" w:customStyle="1" w:styleId="CommentTextChar">
    <w:name w:val="Comment Text Char"/>
    <w:link w:val="CommentText"/>
    <w:rsid w:val="00AD0449"/>
    <w:rPr>
      <w:rFonts w:ascii="Courier" w:hAnsi="Courier"/>
    </w:rPr>
  </w:style>
  <w:style w:type="paragraph" w:styleId="CommentSubject">
    <w:name w:val="annotation subject"/>
    <w:basedOn w:val="CommentText"/>
    <w:next w:val="CommentText"/>
    <w:link w:val="CommentSubjectChar"/>
    <w:rsid w:val="00AD0449"/>
    <w:rPr>
      <w:b/>
      <w:bCs/>
    </w:rPr>
  </w:style>
  <w:style w:type="character" w:customStyle="1" w:styleId="CommentSubjectChar">
    <w:name w:val="Comment Subject Char"/>
    <w:link w:val="CommentSubject"/>
    <w:rsid w:val="00AD0449"/>
    <w:rPr>
      <w:rFonts w:ascii="Courier" w:hAnsi="Courier"/>
      <w:b/>
      <w:bCs/>
    </w:rPr>
  </w:style>
  <w:style w:type="character" w:styleId="FollowedHyperlink">
    <w:name w:val="FollowedHyperlink"/>
    <w:rsid w:val="00E615E2"/>
    <w:rPr>
      <w:color w:val="800080"/>
      <w:u w:val="single"/>
    </w:rPr>
  </w:style>
  <w:style w:type="paragraph" w:styleId="Revision">
    <w:name w:val="Revision"/>
    <w:hidden/>
    <w:uiPriority w:val="99"/>
    <w:semiHidden/>
    <w:rsid w:val="0070780E"/>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_nat.htm" TargetMode="External"/><Relationship Id="rId2" Type="http://schemas.openxmlformats.org/officeDocument/2006/relationships/hyperlink" Target="http://www.bls.gov/oes/current/oes231011.htm" TargetMode="External"/><Relationship Id="rId1" Type="http://schemas.openxmlformats.org/officeDocument/2006/relationships/hyperlink" Target="http://www.bls.gov/news.release/ecec.nr0.htm" TargetMode="External"/><Relationship Id="rId4" Type="http://schemas.openxmlformats.org/officeDocument/2006/relationships/hyperlink" Target="http://www.opm.gov/policy-data-oversight/pay-leave/salaries-wages/salary-tables/14Tables/pdf/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9F356-458B-48EC-B669-13F345D82C56}">
  <ds:schemaRefs>
    <ds:schemaRef ds:uri="http://schemas.openxmlformats.org/officeDocument/2006/bibliography"/>
  </ds:schemaRefs>
</ds:datastoreItem>
</file>

<file path=customXml/itemProps2.xml><?xml version="1.0" encoding="utf-8"?>
<ds:datastoreItem xmlns:ds="http://schemas.openxmlformats.org/officeDocument/2006/customXml" ds:itemID="{B414EEA2-E208-4D9C-86ED-719965BE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1862</Words>
  <Characters>10616</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I:\WP51\RM\Paperwork\MULTI\Rollover</vt:lpstr>
    </vt:vector>
  </TitlesOfParts>
  <Company>PBGC</Company>
  <LinksUpToDate>false</LinksUpToDate>
  <CharactersWithSpaces>12454</CharactersWithSpaces>
  <SharedDoc>false</SharedDoc>
  <HLinks>
    <vt:vector size="24" baseType="variant">
      <vt:variant>
        <vt:i4>7209025</vt:i4>
      </vt:variant>
      <vt:variant>
        <vt:i4>9</vt:i4>
      </vt:variant>
      <vt:variant>
        <vt:i4>0</vt:i4>
      </vt:variant>
      <vt:variant>
        <vt:i4>5</vt:i4>
      </vt:variant>
      <vt:variant>
        <vt:lpwstr>http://www.opm.gov/policy-data-oversight/pay-leave/salaries-wages/salary-tables/14Tables/pdf/DCB_h.pdf</vt:lpwstr>
      </vt:variant>
      <vt:variant>
        <vt:lpwstr/>
      </vt:variant>
      <vt:variant>
        <vt:i4>458864</vt:i4>
      </vt:variant>
      <vt:variant>
        <vt:i4>6</vt:i4>
      </vt:variant>
      <vt:variant>
        <vt:i4>0</vt:i4>
      </vt:variant>
      <vt:variant>
        <vt:i4>5</vt:i4>
      </vt:variant>
      <vt:variant>
        <vt:lpwstr>http://www.bls.gov/oes/current/oes_nat.htm</vt:lpwstr>
      </vt:variant>
      <vt:variant>
        <vt:lpwstr>23-0000</vt:lpwstr>
      </vt:variant>
      <vt:variant>
        <vt:i4>1835091</vt:i4>
      </vt:variant>
      <vt:variant>
        <vt:i4>3</vt:i4>
      </vt:variant>
      <vt:variant>
        <vt:i4>0</vt:i4>
      </vt:variant>
      <vt:variant>
        <vt:i4>5</vt:i4>
      </vt:variant>
      <vt:variant>
        <vt:lpwstr>http://www.bls.gov/oes/current/oes231011.htm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I:\WP51\RM\Paperwork\MULTI\Rollover</dc:title>
  <dc:creator>PBGC User</dc:creator>
  <cp:lastModifiedBy>McCabe Donald</cp:lastModifiedBy>
  <cp:revision>2</cp:revision>
  <cp:lastPrinted>2015-04-06T17:00:00Z</cp:lastPrinted>
  <dcterms:created xsi:type="dcterms:W3CDTF">2015-04-09T14:06:00Z</dcterms:created>
  <dcterms:modified xsi:type="dcterms:W3CDTF">2015-04-09T14:06:00Z</dcterms:modified>
</cp:coreProperties>
</file>