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0EF" w:rsidRDefault="00FE40EF" w:rsidP="00FE40EF">
      <w:pPr>
        <w:pStyle w:val="Heading2"/>
        <w:spacing w:before="0" w:line="240" w:lineRule="auto"/>
        <w:jc w:val="center"/>
        <w:rPr>
          <w:szCs w:val="24"/>
        </w:rPr>
      </w:pPr>
      <w:r>
        <w:rPr>
          <w:szCs w:val="24"/>
        </w:rPr>
        <w:t>OMB Number 1506-0061</w:t>
      </w:r>
    </w:p>
    <w:p w:rsidR="00FE40EF" w:rsidRDefault="00FE40EF" w:rsidP="00FE40EF">
      <w:pPr>
        <w:jc w:val="center"/>
        <w:rPr>
          <w:rFonts w:ascii="Times New Roman" w:hAnsi="Times New Roman" w:cs="Times New Roman"/>
          <w:sz w:val="24"/>
          <w:szCs w:val="24"/>
        </w:rPr>
      </w:pPr>
      <w:r>
        <w:rPr>
          <w:rFonts w:ascii="Times New Roman" w:hAnsi="Times New Roman" w:cs="Times New Roman"/>
          <w:sz w:val="24"/>
          <w:szCs w:val="24"/>
        </w:rPr>
        <w:t xml:space="preserve">Suspicious Activity Report Filing Requirements for Residential </w:t>
      </w:r>
    </w:p>
    <w:p w:rsidR="00FE40EF" w:rsidRDefault="00FE40EF" w:rsidP="00FE40EF">
      <w:pPr>
        <w:pStyle w:val="Heading2"/>
        <w:spacing w:before="0" w:line="240" w:lineRule="auto"/>
        <w:jc w:val="center"/>
        <w:rPr>
          <w:szCs w:val="24"/>
        </w:rPr>
      </w:pPr>
      <w:r>
        <w:rPr>
          <w:szCs w:val="24"/>
        </w:rPr>
        <w:t xml:space="preserve">Mortgage Lenders and Originators </w:t>
      </w:r>
    </w:p>
    <w:p w:rsidR="00FE40EF" w:rsidRDefault="00FE40EF" w:rsidP="00FE40EF">
      <w:pPr>
        <w:jc w:val="center"/>
        <w:rPr>
          <w:rFonts w:ascii="Times New Roman" w:hAnsi="Times New Roman" w:cs="Times New Roman"/>
          <w:sz w:val="24"/>
          <w:szCs w:val="24"/>
        </w:rPr>
      </w:pPr>
    </w:p>
    <w:p w:rsidR="00FE40EF" w:rsidRDefault="00FE40EF" w:rsidP="00FE40EF">
      <w:pPr>
        <w:pStyle w:val="Heading2"/>
        <w:spacing w:before="0" w:line="240" w:lineRule="auto"/>
        <w:jc w:val="center"/>
        <w:rPr>
          <w:szCs w:val="24"/>
        </w:rPr>
      </w:pPr>
      <w:r>
        <w:rPr>
          <w:szCs w:val="24"/>
        </w:rPr>
        <w:t>Supporting Statement</w:t>
      </w:r>
    </w:p>
    <w:p w:rsidR="00FE40EF" w:rsidRPr="000659BC" w:rsidRDefault="00FE40EF" w:rsidP="00FE40EF">
      <w:pPr>
        <w:jc w:val="center"/>
        <w:rPr>
          <w:rFonts w:ascii="Times New Roman" w:hAnsi="Times New Roman" w:cs="Times New Roman"/>
          <w:sz w:val="24"/>
          <w:szCs w:val="24"/>
        </w:rPr>
      </w:pPr>
    </w:p>
    <w:p w:rsidR="00FE40EF" w:rsidRPr="000402FE" w:rsidRDefault="00FE40EF" w:rsidP="00FE40EF">
      <w:pPr>
        <w:rPr>
          <w:rFonts w:ascii="Times New Roman" w:hAnsi="Times New Roman" w:cs="Times New Roman"/>
          <w:sz w:val="24"/>
          <w:szCs w:val="24"/>
        </w:rPr>
      </w:pPr>
    </w:p>
    <w:p w:rsidR="00FE40EF" w:rsidRPr="000402FE" w:rsidRDefault="00FE40EF" w:rsidP="00FE40EF">
      <w:pPr>
        <w:widowControl/>
        <w:numPr>
          <w:ilvl w:val="0"/>
          <w:numId w:val="2"/>
        </w:numPr>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u w:val="single"/>
        </w:rPr>
        <w:t>Circumstances Necessitating Collection of Information</w:t>
      </w:r>
      <w:r w:rsidR="0008429F">
        <w:rPr>
          <w:rFonts w:ascii="Times New Roman" w:hAnsi="Times New Roman" w:cs="Times New Roman"/>
          <w:sz w:val="24"/>
          <w:szCs w:val="24"/>
          <w:u w:val="single"/>
        </w:rPr>
        <w:t>.</w:t>
      </w:r>
      <w:r w:rsidRPr="000402FE">
        <w:rPr>
          <w:rFonts w:ascii="Times New Roman" w:hAnsi="Times New Roman" w:cs="Times New Roman"/>
          <w:sz w:val="24"/>
          <w:szCs w:val="24"/>
          <w:u w:val="single"/>
        </w:rPr>
        <w:t xml:space="preserve">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E43969" w:rsidP="00E43969">
      <w:pPr>
        <w:widowControl/>
        <w:rPr>
          <w:rFonts w:ascii="Times New Roman" w:hAnsi="Times New Roman" w:cs="Times New Roman"/>
          <w:sz w:val="24"/>
          <w:szCs w:val="24"/>
        </w:rPr>
      </w:pPr>
      <w:r>
        <w:rPr>
          <w:rFonts w:ascii="Times New Roman" w:hAnsi="Times New Roman" w:cs="Times New Roman"/>
          <w:sz w:val="24"/>
          <w:szCs w:val="24"/>
        </w:rPr>
        <w:tab/>
      </w:r>
      <w:r w:rsidR="00FE40EF" w:rsidRPr="000402FE">
        <w:rPr>
          <w:rFonts w:ascii="Times New Roman" w:hAnsi="Times New Roman" w:cs="Times New Roman"/>
          <w:sz w:val="24"/>
          <w:szCs w:val="24"/>
        </w:rPr>
        <w:t xml:space="preserve">The Bank Secrecy Act, Titles I and II of Pub. L. 91-508, as amended, codified at 12 U.S.C. 1829, 12 U.S.C. 1951-1959, and 31 U.S.C. 5311-5330, authorizes the Secretary of the Treasury, </w:t>
      </w:r>
      <w:r w:rsidR="00FE40EF" w:rsidRPr="000402FE">
        <w:rPr>
          <w:rFonts w:ascii="Times New Roman" w:hAnsi="Times New Roman" w:cs="Times New Roman"/>
          <w:i/>
          <w:iCs/>
          <w:sz w:val="24"/>
          <w:szCs w:val="24"/>
        </w:rPr>
        <w:t>inter alia</w:t>
      </w:r>
      <w:r w:rsidR="00FE40EF" w:rsidRPr="000402FE">
        <w:rPr>
          <w:rFonts w:ascii="Times New Roman" w:hAnsi="Times New Roman" w:cs="Times New Roman"/>
          <w:sz w:val="24"/>
          <w:szCs w:val="24"/>
        </w:rPr>
        <w:t xml:space="preserve">, to issue regulations requiring records and reports that are determined to have a high degree of usefulness in criminal, tax, and regulatory matters.  Regulations implementing Title II of the Bank Secrecy Act (codified at 31 U.S. C. 5311-5330) appear at 31 CFR </w:t>
      </w:r>
      <w:r w:rsidR="00FE40EF">
        <w:rPr>
          <w:rFonts w:ascii="Times New Roman" w:hAnsi="Times New Roman" w:cs="Times New Roman"/>
          <w:sz w:val="24"/>
          <w:szCs w:val="24"/>
        </w:rPr>
        <w:t>Chapter X</w:t>
      </w:r>
      <w:r w:rsidR="00FE40EF" w:rsidRPr="000402FE">
        <w:rPr>
          <w:rFonts w:ascii="Times New Roman" w:hAnsi="Times New Roman" w:cs="Times New Roman"/>
          <w:sz w:val="24"/>
          <w:szCs w:val="24"/>
        </w:rPr>
        <w:t>.  The authority of the Secretary to administer the Bank Secrecy Act regulations has been delegated to the Director of the Financi</w:t>
      </w:r>
      <w:r w:rsidR="00FE40EF">
        <w:rPr>
          <w:rFonts w:ascii="Times New Roman" w:hAnsi="Times New Roman" w:cs="Times New Roman"/>
          <w:sz w:val="24"/>
          <w:szCs w:val="24"/>
        </w:rPr>
        <w:t xml:space="preserve">al Crimes Enforcement Network. </w:t>
      </w:r>
      <w:r w:rsidR="0008429F">
        <w:rPr>
          <w:rFonts w:ascii="Times New Roman" w:hAnsi="Times New Roman" w:cs="Times New Roman"/>
          <w:sz w:val="24"/>
          <w:szCs w:val="24"/>
        </w:rPr>
        <w:t xml:space="preserve"> </w:t>
      </w:r>
      <w:r w:rsidR="00FE40EF">
        <w:rPr>
          <w:rFonts w:ascii="Times New Roman" w:hAnsi="Times New Roman" w:cs="Times New Roman"/>
          <w:sz w:val="24"/>
          <w:szCs w:val="24"/>
        </w:rPr>
        <w:t xml:space="preserve">FinCEN </w:t>
      </w:r>
      <w:r w:rsidR="00FE40EF" w:rsidRPr="000402FE">
        <w:rPr>
          <w:rFonts w:ascii="Times New Roman" w:hAnsi="Times New Roman" w:cs="Times New Roman"/>
          <w:sz w:val="24"/>
          <w:szCs w:val="24"/>
        </w:rPr>
        <w:t xml:space="preserve">has determined that reports of suspicious transactions </w:t>
      </w:r>
      <w:r w:rsidR="0047305B">
        <w:rPr>
          <w:rFonts w:ascii="Times New Roman" w:hAnsi="Times New Roman" w:cs="Times New Roman"/>
          <w:sz w:val="24"/>
          <w:szCs w:val="24"/>
        </w:rPr>
        <w:t>are</w:t>
      </w:r>
      <w:r w:rsidR="00FE40EF" w:rsidRPr="000402FE">
        <w:rPr>
          <w:rFonts w:ascii="Times New Roman" w:hAnsi="Times New Roman" w:cs="Times New Roman"/>
          <w:sz w:val="24"/>
          <w:szCs w:val="24"/>
        </w:rPr>
        <w:t xml:space="preserve"> necessary to prevent and detect the laundering of money and other funds </w:t>
      </w:r>
      <w:r w:rsidR="0008429F">
        <w:rPr>
          <w:rFonts w:ascii="Times New Roman" w:hAnsi="Times New Roman" w:cs="Times New Roman"/>
          <w:sz w:val="24"/>
          <w:szCs w:val="24"/>
        </w:rPr>
        <w:t>involving</w:t>
      </w:r>
      <w:r w:rsidR="0008429F" w:rsidRPr="000402FE">
        <w:rPr>
          <w:rFonts w:ascii="Times New Roman" w:hAnsi="Times New Roman" w:cs="Times New Roman"/>
          <w:sz w:val="24"/>
          <w:szCs w:val="24"/>
        </w:rPr>
        <w:t xml:space="preserve"> </w:t>
      </w:r>
      <w:r w:rsidR="00FE40EF" w:rsidRPr="000402FE">
        <w:rPr>
          <w:rFonts w:ascii="Times New Roman" w:hAnsi="Times New Roman" w:cs="Times New Roman"/>
          <w:sz w:val="24"/>
          <w:szCs w:val="24"/>
        </w:rPr>
        <w:t>residential mortgage lenders and originators (See 31 CFR 10</w:t>
      </w:r>
      <w:r w:rsidR="00FE40EF">
        <w:rPr>
          <w:rFonts w:ascii="Times New Roman" w:hAnsi="Times New Roman" w:cs="Times New Roman"/>
          <w:sz w:val="24"/>
          <w:szCs w:val="24"/>
        </w:rPr>
        <w:t>29</w:t>
      </w:r>
      <w:r w:rsidR="00FE40EF" w:rsidRPr="000402FE">
        <w:rPr>
          <w:rFonts w:ascii="Times New Roman" w:hAnsi="Times New Roman" w:cs="Times New Roman"/>
          <w:sz w:val="24"/>
          <w:szCs w:val="24"/>
        </w:rPr>
        <w:t>.</w:t>
      </w:r>
      <w:r w:rsidR="00FE40EF">
        <w:rPr>
          <w:rFonts w:ascii="Times New Roman" w:hAnsi="Times New Roman" w:cs="Times New Roman"/>
          <w:sz w:val="24"/>
          <w:szCs w:val="24"/>
        </w:rPr>
        <w:t>320</w:t>
      </w:r>
      <w:r w:rsidR="00FE40EF" w:rsidRPr="000402FE">
        <w:rPr>
          <w:rFonts w:ascii="Times New Roman" w:hAnsi="Times New Roman" w:cs="Times New Roman"/>
          <w:sz w:val="24"/>
          <w:szCs w:val="24"/>
        </w:rPr>
        <w:t>).</w:t>
      </w:r>
    </w:p>
    <w:p w:rsidR="00FE40EF" w:rsidRPr="000402FE" w:rsidRDefault="00FE40EF" w:rsidP="00E43969">
      <w:pPr>
        <w:rPr>
          <w:rFonts w:ascii="Times New Roman" w:hAnsi="Times New Roman" w:cs="Times New Roman"/>
          <w:sz w:val="24"/>
          <w:szCs w:val="24"/>
        </w:rPr>
      </w:pPr>
    </w:p>
    <w:p w:rsidR="00FE40EF" w:rsidRDefault="00FE40EF" w:rsidP="00E43969">
      <w:pPr>
        <w:rPr>
          <w:rFonts w:ascii="Times New Roman" w:hAnsi="Times New Roman" w:cs="Times New Roman"/>
          <w:sz w:val="24"/>
          <w:szCs w:val="24"/>
        </w:rPr>
      </w:pPr>
      <w:r w:rsidRPr="000402FE">
        <w:rPr>
          <w:rFonts w:ascii="Times New Roman" w:hAnsi="Times New Roman" w:cs="Times New Roman"/>
          <w:sz w:val="24"/>
          <w:szCs w:val="24"/>
        </w:rPr>
        <w:tab/>
        <w:t xml:space="preserve">Residential mortgage lenders and originators are required to report suspicious transactions to </w:t>
      </w:r>
      <w:r w:rsidR="0008429F">
        <w:rPr>
          <w:rFonts w:ascii="Times New Roman" w:hAnsi="Times New Roman" w:cs="Times New Roman"/>
          <w:sz w:val="24"/>
          <w:szCs w:val="24"/>
        </w:rPr>
        <w:t xml:space="preserve">the Department of the </w:t>
      </w:r>
      <w:r w:rsidRPr="000402FE">
        <w:rPr>
          <w:rFonts w:ascii="Times New Roman" w:hAnsi="Times New Roman" w:cs="Times New Roman"/>
          <w:sz w:val="24"/>
          <w:szCs w:val="24"/>
        </w:rPr>
        <w:t>Treasury.  A transaction would require reporting under the rule if the transaction is conducted or attempted by, at, or through the residential mortgage lender and originator, involves or aggregates funds of at least $5,000 and the residential mortgage lender and originator suspects, or has reason to suspect that the transaction or the pattern of transactions of which the transaction is a part:</w:t>
      </w:r>
    </w:p>
    <w:p w:rsidR="00FE40EF" w:rsidRPr="000402FE" w:rsidRDefault="00FE40EF" w:rsidP="00E43969">
      <w:pPr>
        <w:rPr>
          <w:rFonts w:ascii="Times New Roman" w:hAnsi="Times New Roman" w:cs="Times New Roman"/>
          <w:sz w:val="24"/>
          <w:szCs w:val="24"/>
        </w:rPr>
      </w:pPr>
    </w:p>
    <w:p w:rsidR="00FE40EF" w:rsidRDefault="00E43969" w:rsidP="00E43969">
      <w:pPr>
        <w:widowControl/>
        <w:tabs>
          <w:tab w:val="left" w:pos="1080"/>
        </w:tabs>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sidR="00FE40EF" w:rsidRPr="000402FE">
        <w:rPr>
          <w:rFonts w:ascii="Times New Roman" w:hAnsi="Times New Roman" w:cs="Times New Roman"/>
          <w:sz w:val="24"/>
          <w:szCs w:val="24"/>
        </w:rPr>
        <w:t>involves</w:t>
      </w:r>
      <w:proofErr w:type="gramEnd"/>
      <w:r w:rsidR="00FE40EF" w:rsidRPr="000402FE">
        <w:rPr>
          <w:rFonts w:ascii="Times New Roman" w:hAnsi="Times New Roman" w:cs="Times New Roman"/>
          <w:sz w:val="24"/>
          <w:szCs w:val="24"/>
        </w:rPr>
        <w:t xml:space="preserve"> funds derived from illegal activity or is intended or conducted in order to hide or disguise funds or assets derived from illegal-activity; </w:t>
      </w:r>
    </w:p>
    <w:p w:rsidR="00FE40EF" w:rsidRPr="000402FE" w:rsidRDefault="00FE40EF" w:rsidP="00E43969">
      <w:pPr>
        <w:widowControl/>
        <w:tabs>
          <w:tab w:val="left" w:pos="1080"/>
        </w:tabs>
        <w:rPr>
          <w:rFonts w:ascii="Times New Roman" w:hAnsi="Times New Roman" w:cs="Times New Roman"/>
          <w:sz w:val="24"/>
          <w:szCs w:val="24"/>
        </w:rPr>
      </w:pPr>
    </w:p>
    <w:p w:rsidR="00FE40EF" w:rsidRDefault="00E43969" w:rsidP="00E43969">
      <w:pPr>
        <w:widowControl/>
        <w:tabs>
          <w:tab w:val="left" w:pos="1080"/>
        </w:tabs>
        <w:rPr>
          <w:rFonts w:ascii="Times New Roman" w:hAnsi="Times New Roman" w:cs="Times New Roman"/>
          <w:sz w:val="24"/>
          <w:szCs w:val="24"/>
        </w:rPr>
      </w:pPr>
      <w:r>
        <w:rPr>
          <w:rFonts w:ascii="Times New Roman" w:hAnsi="Times New Roman" w:cs="Times New Roman"/>
          <w:sz w:val="24"/>
          <w:szCs w:val="24"/>
        </w:rPr>
        <w:t xml:space="preserve">(ii) </w:t>
      </w:r>
      <w:proofErr w:type="gramStart"/>
      <w:r w:rsidR="00FE40EF" w:rsidRPr="000402FE">
        <w:rPr>
          <w:rFonts w:ascii="Times New Roman" w:hAnsi="Times New Roman" w:cs="Times New Roman"/>
          <w:sz w:val="24"/>
          <w:szCs w:val="24"/>
        </w:rPr>
        <w:t>is</w:t>
      </w:r>
      <w:proofErr w:type="gramEnd"/>
      <w:r w:rsidR="00FE40EF" w:rsidRPr="000402FE">
        <w:rPr>
          <w:rFonts w:ascii="Times New Roman" w:hAnsi="Times New Roman" w:cs="Times New Roman"/>
          <w:sz w:val="24"/>
          <w:szCs w:val="24"/>
        </w:rPr>
        <w:t xml:space="preserve"> designed to evade a recordkeeping or reporting requirement of a regulation promulgated under the Bank Secrecy Act;  </w:t>
      </w:r>
    </w:p>
    <w:p w:rsidR="00FE40EF" w:rsidRPr="000402FE" w:rsidRDefault="00FE40EF" w:rsidP="00E43969">
      <w:pPr>
        <w:widowControl/>
        <w:tabs>
          <w:tab w:val="left" w:pos="1080"/>
        </w:tabs>
        <w:rPr>
          <w:rFonts w:ascii="Times New Roman" w:hAnsi="Times New Roman" w:cs="Times New Roman"/>
          <w:sz w:val="24"/>
          <w:szCs w:val="24"/>
        </w:rPr>
      </w:pPr>
    </w:p>
    <w:p w:rsidR="00FE40EF" w:rsidRDefault="00E43969" w:rsidP="00E43969">
      <w:pPr>
        <w:widowControl/>
        <w:tabs>
          <w:tab w:val="left" w:pos="1080"/>
        </w:tabs>
        <w:rPr>
          <w:rFonts w:ascii="Times New Roman" w:hAnsi="Times New Roman" w:cs="Times New Roman"/>
          <w:sz w:val="24"/>
          <w:szCs w:val="24"/>
        </w:rPr>
      </w:pPr>
      <w:r>
        <w:rPr>
          <w:rFonts w:ascii="Times New Roman" w:hAnsi="Times New Roman" w:cs="Times New Roman"/>
          <w:sz w:val="24"/>
          <w:szCs w:val="24"/>
        </w:rPr>
        <w:t xml:space="preserve">(iii) </w:t>
      </w:r>
      <w:proofErr w:type="gramStart"/>
      <w:r w:rsidR="00FE40EF" w:rsidRPr="000402FE">
        <w:rPr>
          <w:rFonts w:ascii="Times New Roman" w:hAnsi="Times New Roman" w:cs="Times New Roman"/>
          <w:sz w:val="24"/>
          <w:szCs w:val="24"/>
        </w:rPr>
        <w:t>serves</w:t>
      </w:r>
      <w:proofErr w:type="gramEnd"/>
      <w:r w:rsidR="00FE40EF" w:rsidRPr="000402FE">
        <w:rPr>
          <w:rFonts w:ascii="Times New Roman" w:hAnsi="Times New Roman" w:cs="Times New Roman"/>
          <w:sz w:val="24"/>
          <w:szCs w:val="24"/>
        </w:rPr>
        <w:t xml:space="preserve"> no business or apparent lawful purpose; or</w:t>
      </w:r>
    </w:p>
    <w:p w:rsidR="00FE40EF" w:rsidRPr="000402FE" w:rsidRDefault="00FE40EF" w:rsidP="00E43969">
      <w:pPr>
        <w:widowControl/>
        <w:tabs>
          <w:tab w:val="left" w:pos="1080"/>
        </w:tabs>
        <w:rPr>
          <w:rFonts w:ascii="Times New Roman" w:hAnsi="Times New Roman" w:cs="Times New Roman"/>
          <w:sz w:val="24"/>
          <w:szCs w:val="24"/>
        </w:rPr>
      </w:pPr>
    </w:p>
    <w:p w:rsidR="00FE40EF" w:rsidRDefault="00E43969" w:rsidP="00E43969">
      <w:pPr>
        <w:widowControl/>
        <w:tabs>
          <w:tab w:val="left" w:pos="1080"/>
        </w:tabs>
        <w:rPr>
          <w:rFonts w:ascii="Times New Roman" w:hAnsi="Times New Roman" w:cs="Times New Roman"/>
          <w:sz w:val="24"/>
          <w:szCs w:val="24"/>
        </w:rPr>
      </w:pPr>
      <w:r>
        <w:rPr>
          <w:rFonts w:ascii="Times New Roman" w:hAnsi="Times New Roman" w:cs="Times New Roman"/>
          <w:sz w:val="24"/>
          <w:szCs w:val="24"/>
        </w:rPr>
        <w:t xml:space="preserve">(iv) </w:t>
      </w:r>
      <w:proofErr w:type="gramStart"/>
      <w:r w:rsidR="00FE40EF" w:rsidRPr="000402FE">
        <w:rPr>
          <w:rFonts w:ascii="Times New Roman" w:hAnsi="Times New Roman" w:cs="Times New Roman"/>
          <w:sz w:val="24"/>
          <w:szCs w:val="24"/>
        </w:rPr>
        <w:t>involves</w:t>
      </w:r>
      <w:proofErr w:type="gramEnd"/>
      <w:r w:rsidR="00FE40EF" w:rsidRPr="000402FE">
        <w:rPr>
          <w:rFonts w:ascii="Times New Roman" w:hAnsi="Times New Roman" w:cs="Times New Roman"/>
          <w:sz w:val="24"/>
          <w:szCs w:val="24"/>
        </w:rPr>
        <w:t xml:space="preserve"> the use of the business to facilitate criminal activity. </w:t>
      </w:r>
    </w:p>
    <w:p w:rsidR="00FE40EF" w:rsidRPr="000402FE" w:rsidRDefault="00FE40EF" w:rsidP="00E43969">
      <w:pPr>
        <w:widowControl/>
        <w:rPr>
          <w:rFonts w:ascii="Times New Roman" w:hAnsi="Times New Roman" w:cs="Times New Roman"/>
          <w:sz w:val="24"/>
          <w:szCs w:val="24"/>
        </w:rPr>
      </w:pPr>
    </w:p>
    <w:p w:rsidR="00FE40EF" w:rsidRDefault="00E43969" w:rsidP="00E43969">
      <w:pPr>
        <w:widowControl/>
        <w:rPr>
          <w:rFonts w:ascii="Times New Roman" w:hAnsi="Times New Roman" w:cs="Times New Roman"/>
          <w:sz w:val="24"/>
          <w:szCs w:val="24"/>
        </w:rPr>
      </w:pPr>
      <w:r>
        <w:rPr>
          <w:rFonts w:ascii="Times New Roman" w:hAnsi="Times New Roman" w:cs="Times New Roman"/>
          <w:sz w:val="24"/>
          <w:szCs w:val="24"/>
        </w:rPr>
        <w:tab/>
      </w:r>
      <w:r w:rsidR="00FE40EF" w:rsidRPr="000402FE">
        <w:rPr>
          <w:rFonts w:ascii="Times New Roman" w:hAnsi="Times New Roman" w:cs="Times New Roman"/>
          <w:sz w:val="24"/>
          <w:szCs w:val="24"/>
        </w:rPr>
        <w:t>Under 31 CFR 10</w:t>
      </w:r>
      <w:r w:rsidR="00FE40EF">
        <w:rPr>
          <w:rFonts w:ascii="Times New Roman" w:hAnsi="Times New Roman" w:cs="Times New Roman"/>
          <w:sz w:val="24"/>
          <w:szCs w:val="24"/>
        </w:rPr>
        <w:t>29</w:t>
      </w:r>
      <w:r w:rsidR="00FE40EF" w:rsidRPr="000402FE">
        <w:rPr>
          <w:rFonts w:ascii="Times New Roman" w:hAnsi="Times New Roman" w:cs="Times New Roman"/>
          <w:sz w:val="24"/>
          <w:szCs w:val="24"/>
        </w:rPr>
        <w:t>.</w:t>
      </w:r>
      <w:r w:rsidR="00FE40EF">
        <w:rPr>
          <w:rFonts w:ascii="Times New Roman" w:hAnsi="Times New Roman" w:cs="Times New Roman"/>
          <w:sz w:val="24"/>
          <w:szCs w:val="24"/>
        </w:rPr>
        <w:t>320</w:t>
      </w:r>
      <w:r w:rsidR="00FE40EF" w:rsidRPr="000402FE">
        <w:rPr>
          <w:rFonts w:ascii="Times New Roman" w:hAnsi="Times New Roman" w:cs="Times New Roman"/>
          <w:sz w:val="24"/>
          <w:szCs w:val="24"/>
        </w:rPr>
        <w:t>(c), and 31 CFR 10</w:t>
      </w:r>
      <w:r w:rsidR="00FE40EF">
        <w:rPr>
          <w:rFonts w:ascii="Times New Roman" w:hAnsi="Times New Roman" w:cs="Times New Roman"/>
          <w:sz w:val="24"/>
          <w:szCs w:val="24"/>
        </w:rPr>
        <w:t>10</w:t>
      </w:r>
      <w:r w:rsidR="00FE40EF" w:rsidRPr="000402FE">
        <w:rPr>
          <w:rFonts w:ascii="Times New Roman" w:hAnsi="Times New Roman" w:cs="Times New Roman"/>
          <w:sz w:val="24"/>
          <w:szCs w:val="24"/>
        </w:rPr>
        <w:t>.</w:t>
      </w:r>
      <w:r w:rsidR="00FE40EF">
        <w:rPr>
          <w:rFonts w:ascii="Times New Roman" w:hAnsi="Times New Roman" w:cs="Times New Roman"/>
          <w:sz w:val="24"/>
          <w:szCs w:val="24"/>
        </w:rPr>
        <w:t>430</w:t>
      </w:r>
      <w:r w:rsidR="00FE40EF" w:rsidRPr="000402FE">
        <w:rPr>
          <w:rFonts w:ascii="Times New Roman" w:hAnsi="Times New Roman" w:cs="Times New Roman"/>
          <w:sz w:val="24"/>
          <w:szCs w:val="24"/>
        </w:rPr>
        <w:t>(d) residential mortgage lenders and originators are required to retain a copy of the any Suspicious Activity Report filed and supporting documentation for the Suspicious Activity Report for five years.  These documents are necessary for criminal investigations and prosecution</w:t>
      </w:r>
      <w:r w:rsidR="00FE40EF">
        <w:rPr>
          <w:rFonts w:ascii="Times New Roman" w:hAnsi="Times New Roman" w:cs="Times New Roman"/>
          <w:sz w:val="24"/>
          <w:szCs w:val="24"/>
        </w:rPr>
        <w:t xml:space="preserve">. </w:t>
      </w:r>
    </w:p>
    <w:p w:rsidR="00FE40EF" w:rsidRPr="000402FE" w:rsidRDefault="00FE40EF" w:rsidP="00E43969">
      <w:pPr>
        <w:widowControl/>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rPr>
      </w:pPr>
      <w:r w:rsidRPr="000402FE">
        <w:rPr>
          <w:rFonts w:ascii="Times New Roman" w:hAnsi="Times New Roman" w:cs="Times New Roman"/>
          <w:sz w:val="24"/>
          <w:szCs w:val="24"/>
        </w:rPr>
        <w:tab/>
      </w:r>
      <w:r>
        <w:rPr>
          <w:rFonts w:ascii="Times New Roman" w:hAnsi="Times New Roman" w:cs="Times New Roman"/>
          <w:sz w:val="24"/>
          <w:szCs w:val="24"/>
        </w:rPr>
        <w:tab/>
      </w:r>
    </w:p>
    <w:p w:rsidR="00FE40EF" w:rsidRPr="000402FE" w:rsidRDefault="00FE40EF" w:rsidP="00FE40EF">
      <w:pPr>
        <w:widowControl/>
        <w:tabs>
          <w:tab w:val="left" w:pos="540"/>
        </w:tabs>
        <w:ind w:left="540" w:hanging="540"/>
        <w:rPr>
          <w:rFonts w:ascii="Times New Roman" w:hAnsi="Times New Roman" w:cs="Times New Roman"/>
          <w:sz w:val="24"/>
          <w:szCs w:val="24"/>
        </w:rPr>
      </w:pPr>
      <w:r w:rsidRPr="000402FE">
        <w:rPr>
          <w:rFonts w:ascii="Times New Roman" w:hAnsi="Times New Roman" w:cs="Times New Roman"/>
          <w:sz w:val="24"/>
          <w:szCs w:val="24"/>
        </w:rPr>
        <w:t>2.</w:t>
      </w:r>
      <w:r>
        <w:rPr>
          <w:rFonts w:ascii="Times New Roman" w:hAnsi="Times New Roman" w:cs="Times New Roman"/>
          <w:sz w:val="24"/>
          <w:szCs w:val="24"/>
        </w:rPr>
        <w:tab/>
      </w:r>
      <w:r w:rsidRPr="000402FE">
        <w:rPr>
          <w:rFonts w:ascii="Times New Roman" w:hAnsi="Times New Roman" w:cs="Times New Roman"/>
          <w:sz w:val="24"/>
          <w:szCs w:val="24"/>
          <w:u w:val="single"/>
        </w:rPr>
        <w:t xml:space="preserve">Method of Collection and Use of Data.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E43969">
      <w:pPr>
        <w:widowControl/>
        <w:tabs>
          <w:tab w:val="left" w:pos="0"/>
        </w:tabs>
        <w:rPr>
          <w:rFonts w:ascii="Times New Roman" w:hAnsi="Times New Roman" w:cs="Times New Roman"/>
          <w:sz w:val="24"/>
          <w:szCs w:val="24"/>
        </w:rPr>
      </w:pPr>
      <w:r>
        <w:rPr>
          <w:rFonts w:ascii="Times New Roman" w:hAnsi="Times New Roman" w:cs="Times New Roman"/>
          <w:sz w:val="24"/>
          <w:szCs w:val="24"/>
        </w:rPr>
        <w:tab/>
      </w:r>
      <w:r w:rsidRPr="000402FE">
        <w:rPr>
          <w:rFonts w:ascii="Times New Roman" w:hAnsi="Times New Roman" w:cs="Times New Roman"/>
          <w:sz w:val="24"/>
          <w:szCs w:val="24"/>
        </w:rPr>
        <w:t xml:space="preserve">The Financial Crimes Enforcement Network and law enforcement agencies will use the information on the Suspicious Activity Report by residential mortgage lenders and originators for criminal investigation and prosecution purposes.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3.</w:t>
      </w:r>
      <w:r>
        <w:rPr>
          <w:rFonts w:ascii="Times New Roman" w:hAnsi="Times New Roman" w:cs="Times New Roman"/>
          <w:sz w:val="24"/>
          <w:szCs w:val="24"/>
        </w:rPr>
        <w:tab/>
      </w:r>
      <w:r w:rsidRPr="000402FE">
        <w:rPr>
          <w:rFonts w:ascii="Times New Roman" w:hAnsi="Times New Roman" w:cs="Times New Roman"/>
          <w:sz w:val="24"/>
          <w:szCs w:val="24"/>
          <w:u w:val="single"/>
        </w:rPr>
        <w:t xml:space="preserve">Use of Improved Information Technology to Reduce Burden. </w:t>
      </w:r>
    </w:p>
    <w:p w:rsidR="00FE40EF" w:rsidRDefault="00FE40EF" w:rsidP="00FE40EF">
      <w:pPr>
        <w:pStyle w:val="BodyText2"/>
        <w:tabs>
          <w:tab w:val="left" w:pos="540"/>
        </w:tabs>
        <w:spacing w:before="0" w:line="240" w:lineRule="auto"/>
        <w:ind w:left="540" w:hanging="540"/>
        <w:rPr>
          <w:color w:val="auto"/>
        </w:rPr>
      </w:pPr>
    </w:p>
    <w:p w:rsidR="00FE40EF" w:rsidRDefault="00FE40EF" w:rsidP="00FE40EF">
      <w:pPr>
        <w:rPr>
          <w:rFonts w:ascii="Times New Roman" w:hAnsi="Times New Roman"/>
          <w:sz w:val="24"/>
        </w:rPr>
      </w:pPr>
      <w:r>
        <w:tab/>
      </w:r>
      <w:r>
        <w:rPr>
          <w:rFonts w:ascii="Times New Roman" w:hAnsi="Times New Roman"/>
          <w:sz w:val="24"/>
        </w:rPr>
        <w:t xml:space="preserve">By using </w:t>
      </w:r>
      <w:proofErr w:type="spellStart"/>
      <w:r>
        <w:rPr>
          <w:rFonts w:ascii="Times New Roman" w:hAnsi="Times New Roman"/>
          <w:sz w:val="24"/>
        </w:rPr>
        <w:t>FinCEN’s</w:t>
      </w:r>
      <w:proofErr w:type="spellEnd"/>
      <w:r>
        <w:rPr>
          <w:rFonts w:ascii="Times New Roman" w:hAnsi="Times New Roman"/>
          <w:sz w:val="24"/>
        </w:rPr>
        <w:t xml:space="preserve"> computerized filing system (BSA E-filing), a bank can reduce the </w:t>
      </w:r>
      <w:r>
        <w:rPr>
          <w:rFonts w:ascii="Times New Roman" w:hAnsi="Times New Roman"/>
          <w:sz w:val="24"/>
        </w:rPr>
        <w:lastRenderedPageBreak/>
        <w:t xml:space="preserve">time required for its compliance staff to complete the report.  Discrete and batch versions are available on the FinCEN BSA E-File web site at </w:t>
      </w:r>
      <w:hyperlink r:id="rId8" w:history="1">
        <w:r w:rsidRPr="00A61B2B">
          <w:rPr>
            <w:rStyle w:val="Hyperlink"/>
            <w:rFonts w:ascii="Times New Roman" w:hAnsi="Times New Roman"/>
            <w:sz w:val="24"/>
          </w:rPr>
          <w:t>http://bsaefiling.fincen.treas.gov/main.html</w:t>
        </w:r>
      </w:hyperlink>
      <w:r>
        <w:rPr>
          <w:rFonts w:ascii="Times New Roman" w:hAnsi="Times New Roman"/>
          <w:sz w:val="24"/>
        </w:rPr>
        <w:t xml:space="preserve">. </w:t>
      </w:r>
    </w:p>
    <w:p w:rsidR="00FE40EF" w:rsidRDefault="00FE40EF" w:rsidP="00FE40EF">
      <w:pPr>
        <w:pStyle w:val="BodyText2"/>
        <w:tabs>
          <w:tab w:val="left" w:pos="540"/>
        </w:tabs>
        <w:spacing w:before="0" w:line="240" w:lineRule="auto"/>
        <w:ind w:left="540" w:hanging="540"/>
      </w:pP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4.</w:t>
      </w:r>
      <w:r>
        <w:rPr>
          <w:rFonts w:ascii="Times New Roman" w:hAnsi="Times New Roman" w:cs="Times New Roman"/>
          <w:sz w:val="24"/>
          <w:szCs w:val="24"/>
        </w:rPr>
        <w:tab/>
      </w:r>
      <w:r w:rsidRPr="000402FE">
        <w:rPr>
          <w:rFonts w:ascii="Times New Roman" w:hAnsi="Times New Roman" w:cs="Times New Roman"/>
          <w:sz w:val="24"/>
          <w:szCs w:val="24"/>
          <w:u w:val="single"/>
        </w:rPr>
        <w:t xml:space="preserve">Efforts to Identify Duplication.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402FE">
        <w:rPr>
          <w:rFonts w:ascii="Times New Roman" w:hAnsi="Times New Roman" w:cs="Times New Roman"/>
          <w:sz w:val="24"/>
          <w:szCs w:val="24"/>
        </w:rPr>
        <w:t xml:space="preserve">No other similar information exists.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5.</w:t>
      </w:r>
      <w:r>
        <w:rPr>
          <w:rFonts w:ascii="Times New Roman" w:hAnsi="Times New Roman" w:cs="Times New Roman"/>
          <w:sz w:val="24"/>
          <w:szCs w:val="24"/>
        </w:rPr>
        <w:tab/>
      </w:r>
      <w:r w:rsidRPr="000402FE">
        <w:rPr>
          <w:rFonts w:ascii="Times New Roman" w:hAnsi="Times New Roman" w:cs="Times New Roman"/>
          <w:sz w:val="24"/>
          <w:szCs w:val="24"/>
          <w:u w:val="single"/>
        </w:rPr>
        <w:t xml:space="preserve">Methods to Minimize Burden on Small Businesses or Other Small Entities. </w:t>
      </w:r>
    </w:p>
    <w:p w:rsidR="00FE40EF" w:rsidRPr="000402FE" w:rsidRDefault="00FE40EF" w:rsidP="00FE40EF">
      <w:pPr>
        <w:tabs>
          <w:tab w:val="left" w:pos="540"/>
        </w:tabs>
        <w:ind w:left="540" w:hanging="540"/>
        <w:rPr>
          <w:rFonts w:ascii="Times New Roman" w:hAnsi="Times New Roman" w:cs="Times New Roman"/>
          <w:sz w:val="24"/>
          <w:szCs w:val="24"/>
        </w:rPr>
      </w:pPr>
    </w:p>
    <w:p w:rsidR="00FE40EF" w:rsidRPr="000402FE" w:rsidRDefault="00FE40EF" w:rsidP="00E43969">
      <w:pPr>
        <w:widowControl/>
        <w:tabs>
          <w:tab w:val="left" w:pos="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sz w:val="24"/>
        </w:rPr>
        <w:t xml:space="preserve">The design of the </w:t>
      </w:r>
      <w:r w:rsidR="0008429F">
        <w:rPr>
          <w:rFonts w:ascii="Times New Roman" w:hAnsi="Times New Roman"/>
          <w:sz w:val="24"/>
        </w:rPr>
        <w:t xml:space="preserve">Suspicious Activity Report </w:t>
      </w:r>
      <w:r>
        <w:rPr>
          <w:rFonts w:ascii="Times New Roman" w:hAnsi="Times New Roman"/>
          <w:sz w:val="24"/>
        </w:rPr>
        <w:t>is such that only the fields normally associated with the filing institution are displayed.  This design minimizes the time required to complete the report and thus the impact on small businesses.</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6.</w:t>
      </w:r>
      <w:r>
        <w:rPr>
          <w:rFonts w:ascii="Times New Roman" w:hAnsi="Times New Roman" w:cs="Times New Roman"/>
          <w:sz w:val="24"/>
          <w:szCs w:val="24"/>
        </w:rPr>
        <w:tab/>
      </w:r>
      <w:r w:rsidRPr="000402FE">
        <w:rPr>
          <w:rFonts w:ascii="Times New Roman" w:hAnsi="Times New Roman" w:cs="Times New Roman"/>
          <w:sz w:val="24"/>
          <w:szCs w:val="24"/>
          <w:u w:val="single"/>
        </w:rPr>
        <w:t xml:space="preserve">Consequences to the Federal Government of not </w:t>
      </w:r>
      <w:proofErr w:type="gramStart"/>
      <w:r w:rsidRPr="000402FE">
        <w:rPr>
          <w:rFonts w:ascii="Times New Roman" w:hAnsi="Times New Roman" w:cs="Times New Roman"/>
          <w:sz w:val="24"/>
          <w:szCs w:val="24"/>
          <w:u w:val="single"/>
        </w:rPr>
        <w:t>Collecting</w:t>
      </w:r>
      <w:proofErr w:type="gramEnd"/>
      <w:r w:rsidRPr="000402FE">
        <w:rPr>
          <w:rFonts w:ascii="Times New Roman" w:hAnsi="Times New Roman" w:cs="Times New Roman"/>
          <w:sz w:val="24"/>
          <w:szCs w:val="24"/>
          <w:u w:val="single"/>
        </w:rPr>
        <w:t xml:space="preserve"> the Information. </w:t>
      </w: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p>
    <w:p w:rsidR="00FE40EF" w:rsidRPr="000402FE" w:rsidRDefault="00FE40EF" w:rsidP="00E43969">
      <w:pPr>
        <w:widowControl/>
        <w:tabs>
          <w:tab w:val="left" w:pos="0"/>
        </w:tabs>
        <w:rPr>
          <w:rFonts w:ascii="Times New Roman" w:hAnsi="Times New Roman" w:cs="Times New Roman"/>
          <w:sz w:val="24"/>
          <w:szCs w:val="24"/>
        </w:rPr>
      </w:pPr>
      <w:r>
        <w:rPr>
          <w:rFonts w:ascii="Times New Roman" w:hAnsi="Times New Roman" w:cs="Times New Roman"/>
          <w:sz w:val="24"/>
          <w:szCs w:val="24"/>
        </w:rPr>
        <w:tab/>
      </w:r>
      <w:r w:rsidRPr="000402FE">
        <w:rPr>
          <w:rFonts w:ascii="Times New Roman" w:hAnsi="Times New Roman" w:cs="Times New Roman"/>
          <w:sz w:val="24"/>
          <w:szCs w:val="24"/>
        </w:rPr>
        <w:t xml:space="preserve">With the Suspicious Activity Report both law enforcement and industry benefit from improved detection of financial crime, analysis of trends, and coordination of investigative efforts.  Failure to collect this information would limit law enforcement's ability to investigate and prosecute money laundering and other financial crimes conducted at or through these businesses.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7.</w:t>
      </w:r>
      <w:r>
        <w:rPr>
          <w:rFonts w:ascii="Times New Roman" w:hAnsi="Times New Roman" w:cs="Times New Roman"/>
          <w:sz w:val="24"/>
          <w:szCs w:val="24"/>
        </w:rPr>
        <w:tab/>
      </w:r>
      <w:r w:rsidRPr="000402FE">
        <w:rPr>
          <w:rFonts w:ascii="Times New Roman" w:hAnsi="Times New Roman" w:cs="Times New Roman"/>
          <w:sz w:val="24"/>
          <w:szCs w:val="24"/>
          <w:u w:val="single"/>
        </w:rPr>
        <w:t>Special Circumstances Requiring Data Collection Inconsistent with Guidelines.</w:t>
      </w:r>
    </w:p>
    <w:p w:rsidR="00FE40EF" w:rsidRDefault="00FE40EF" w:rsidP="00FE40EF">
      <w:pPr>
        <w:widowControl/>
        <w:tabs>
          <w:tab w:val="left" w:pos="540"/>
        </w:tabs>
        <w:ind w:left="540" w:hanging="540"/>
        <w:rPr>
          <w:rFonts w:ascii="Times New Roman" w:hAnsi="Times New Roman" w:cs="Times New Roman"/>
          <w:sz w:val="24"/>
          <w:szCs w:val="24"/>
        </w:rPr>
      </w:pPr>
      <w:r>
        <w:rPr>
          <w:rFonts w:ascii="Times New Roman" w:hAnsi="Times New Roman" w:cs="Times New Roman"/>
          <w:sz w:val="24"/>
          <w:szCs w:val="24"/>
        </w:rPr>
        <w:tab/>
      </w:r>
    </w:p>
    <w:p w:rsidR="00FE40EF" w:rsidRPr="000402FE" w:rsidRDefault="00FE40EF" w:rsidP="00E43969">
      <w:pPr>
        <w:widowControl/>
        <w:tabs>
          <w:tab w:val="left" w:pos="0"/>
        </w:tabs>
        <w:rPr>
          <w:rFonts w:ascii="Times New Roman" w:hAnsi="Times New Roman" w:cs="Times New Roman"/>
          <w:sz w:val="24"/>
          <w:szCs w:val="24"/>
          <w:u w:val="single"/>
        </w:rPr>
      </w:pPr>
      <w:r>
        <w:rPr>
          <w:rFonts w:ascii="Times New Roman" w:hAnsi="Times New Roman" w:cs="Times New Roman"/>
          <w:sz w:val="24"/>
          <w:szCs w:val="24"/>
        </w:rPr>
        <w:tab/>
      </w:r>
      <w:r w:rsidRPr="000402FE">
        <w:rPr>
          <w:rFonts w:ascii="Times New Roman" w:hAnsi="Times New Roman" w:cs="Times New Roman"/>
          <w:sz w:val="24"/>
          <w:szCs w:val="24"/>
        </w:rPr>
        <w:t>Respondents must report a suspicious transaction within 30 days but not later than 60 days after the transaction, which may result in reporting more frequently than quarterly.  Prompt reporting is vital to the detection of money laundering and other financial crime, including the financing of terrorism, mortgage loan fraud or mortgage loan scams.</w:t>
      </w:r>
      <w:r w:rsidRPr="000402FE">
        <w:rPr>
          <w:rFonts w:ascii="Times New Roman" w:hAnsi="Times New Roman" w:cs="Times New Roman"/>
          <w:sz w:val="24"/>
          <w:szCs w:val="24"/>
          <w:u w:val="single"/>
        </w:rPr>
        <w:t xml:space="preserve">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8.</w:t>
      </w:r>
      <w:r>
        <w:rPr>
          <w:rFonts w:ascii="Times New Roman" w:hAnsi="Times New Roman" w:cs="Times New Roman"/>
          <w:sz w:val="24"/>
          <w:szCs w:val="24"/>
        </w:rPr>
        <w:tab/>
      </w:r>
      <w:r w:rsidRPr="000402FE">
        <w:rPr>
          <w:rFonts w:ascii="Times New Roman" w:hAnsi="Times New Roman" w:cs="Times New Roman"/>
          <w:sz w:val="24"/>
          <w:szCs w:val="24"/>
          <w:u w:val="single"/>
        </w:rPr>
        <w:t xml:space="preserve">Consultation with Individuals Outside of the Agency on Availability of Data.  </w:t>
      </w:r>
      <w:proofErr w:type="gramStart"/>
      <w:r w:rsidRPr="000402FE">
        <w:rPr>
          <w:rFonts w:ascii="Times New Roman" w:hAnsi="Times New Roman" w:cs="Times New Roman"/>
          <w:sz w:val="24"/>
          <w:szCs w:val="24"/>
          <w:u w:val="single"/>
        </w:rPr>
        <w:t>Frequency of Collection, Clarity of Instructions and Forms, and Data Elements.</w:t>
      </w:r>
      <w:proofErr w:type="gramEnd"/>
      <w:r w:rsidRPr="000402FE">
        <w:rPr>
          <w:rFonts w:ascii="Times New Roman" w:hAnsi="Times New Roman" w:cs="Times New Roman"/>
          <w:sz w:val="24"/>
          <w:szCs w:val="24"/>
          <w:u w:val="single"/>
        </w:rPr>
        <w:t xml:space="preserve"> </w:t>
      </w:r>
    </w:p>
    <w:p w:rsidR="00FE40EF" w:rsidRPr="000402FE" w:rsidRDefault="00FE40EF" w:rsidP="00FE40EF">
      <w:pPr>
        <w:pStyle w:val="BodyText"/>
        <w:tabs>
          <w:tab w:val="left" w:pos="540"/>
        </w:tabs>
        <w:spacing w:before="0" w:line="240" w:lineRule="auto"/>
        <w:ind w:left="540" w:hanging="540"/>
        <w:rPr>
          <w:color w:val="auto"/>
        </w:rPr>
      </w:pPr>
    </w:p>
    <w:p w:rsidR="00FE40EF" w:rsidRDefault="00E43969" w:rsidP="00E43969">
      <w:pPr>
        <w:pStyle w:val="BodyText"/>
        <w:ind w:firstLine="90"/>
        <w:rPr>
          <w:color w:val="auto"/>
        </w:rPr>
      </w:pPr>
      <w:r>
        <w:rPr>
          <w:color w:val="auto"/>
        </w:rPr>
        <w:tab/>
      </w:r>
      <w:r w:rsidR="00FE40EF">
        <w:rPr>
          <w:color w:val="auto"/>
        </w:rPr>
        <w:t xml:space="preserve">On February 10, 2015, the Financial Crimes Enforcement Network published in the Federal Register a notice inviting comment for 60 days on the reporting of suspicious activity by </w:t>
      </w:r>
      <w:r w:rsidR="00FE40EF" w:rsidRPr="000402FE">
        <w:t xml:space="preserve">residential mortgage lenders and originators </w:t>
      </w:r>
      <w:r w:rsidR="00FE40EF">
        <w:rPr>
          <w:color w:val="auto"/>
        </w:rPr>
        <w:t>31 CFR 1029.320.</w:t>
      </w:r>
      <w:r w:rsidR="0008429F">
        <w:rPr>
          <w:color w:val="auto"/>
        </w:rPr>
        <w:t xml:space="preserve"> </w:t>
      </w:r>
      <w:r w:rsidR="00FE40EF">
        <w:rPr>
          <w:color w:val="auto"/>
        </w:rPr>
        <w:t xml:space="preserve"> See 80 FR </w:t>
      </w:r>
      <w:r>
        <w:rPr>
          <w:color w:val="auto"/>
        </w:rPr>
        <w:t>7526</w:t>
      </w:r>
      <w:r w:rsidR="00FE40EF">
        <w:rPr>
          <w:color w:val="auto"/>
        </w:rPr>
        <w:t>.</w:t>
      </w:r>
      <w:r w:rsidR="0008429F">
        <w:rPr>
          <w:color w:val="auto"/>
        </w:rPr>
        <w:t xml:space="preserve"> </w:t>
      </w:r>
      <w:r w:rsidR="00FE40EF">
        <w:rPr>
          <w:color w:val="auto"/>
        </w:rPr>
        <w:t xml:space="preserve"> FinCEN received no comments in response to the notice.  </w:t>
      </w:r>
    </w:p>
    <w:p w:rsidR="00FE40EF" w:rsidRPr="000402FE" w:rsidRDefault="00FE40EF" w:rsidP="00FE40EF">
      <w:pPr>
        <w:pStyle w:val="BodyText"/>
        <w:tabs>
          <w:tab w:val="left" w:pos="540"/>
        </w:tabs>
        <w:spacing w:before="0" w:line="240" w:lineRule="auto"/>
        <w:ind w:left="540" w:hanging="540"/>
        <w:rPr>
          <w:color w:val="auto"/>
        </w:rPr>
      </w:pPr>
    </w:p>
    <w:p w:rsidR="00FE40EF"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9.</w:t>
      </w:r>
      <w:r>
        <w:rPr>
          <w:rFonts w:ascii="Times New Roman" w:hAnsi="Times New Roman" w:cs="Times New Roman"/>
          <w:sz w:val="24"/>
          <w:szCs w:val="24"/>
        </w:rPr>
        <w:tab/>
      </w:r>
      <w:r w:rsidRPr="000402FE">
        <w:rPr>
          <w:rFonts w:ascii="Times New Roman" w:hAnsi="Times New Roman" w:cs="Times New Roman"/>
          <w:sz w:val="24"/>
          <w:szCs w:val="24"/>
          <w:u w:val="single"/>
        </w:rPr>
        <w:t>Payments or Gifts.</w:t>
      </w: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p>
    <w:p w:rsidR="00FE40EF" w:rsidRPr="000402FE" w:rsidRDefault="00FE40EF" w:rsidP="00FE40EF">
      <w:pPr>
        <w:widowControl/>
        <w:tabs>
          <w:tab w:val="left" w:pos="540"/>
        </w:tabs>
        <w:ind w:left="540" w:hanging="540"/>
        <w:rPr>
          <w:rFonts w:ascii="Times New Roman" w:hAnsi="Times New Roman" w:cs="Times New Roman"/>
          <w:sz w:val="24"/>
          <w:szCs w:val="24"/>
        </w:rPr>
      </w:pPr>
      <w:r w:rsidRPr="000402FE">
        <w:rPr>
          <w:rFonts w:ascii="Times New Roman" w:hAnsi="Times New Roman" w:cs="Times New Roman"/>
          <w:sz w:val="24"/>
          <w:szCs w:val="24"/>
        </w:rPr>
        <w:tab/>
      </w:r>
      <w:r>
        <w:rPr>
          <w:rFonts w:ascii="Times New Roman" w:hAnsi="Times New Roman" w:cs="Times New Roman"/>
          <w:sz w:val="24"/>
          <w:szCs w:val="24"/>
        </w:rPr>
        <w:tab/>
      </w:r>
      <w:r w:rsidRPr="000402FE">
        <w:rPr>
          <w:rFonts w:ascii="Times New Roman" w:hAnsi="Times New Roman" w:cs="Times New Roman"/>
          <w:sz w:val="24"/>
          <w:szCs w:val="24"/>
        </w:rPr>
        <w:t>No payments or gifts will be made to respondents.</w:t>
      </w:r>
    </w:p>
    <w:p w:rsidR="00FE40EF" w:rsidRPr="000402FE"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10.</w:t>
      </w:r>
      <w:r>
        <w:rPr>
          <w:rFonts w:ascii="Times New Roman" w:hAnsi="Times New Roman" w:cs="Times New Roman"/>
          <w:sz w:val="24"/>
          <w:szCs w:val="24"/>
        </w:rPr>
        <w:tab/>
      </w:r>
      <w:r w:rsidRPr="000402FE">
        <w:rPr>
          <w:rFonts w:ascii="Times New Roman" w:hAnsi="Times New Roman" w:cs="Times New Roman"/>
          <w:sz w:val="24"/>
          <w:szCs w:val="24"/>
          <w:u w:val="single"/>
        </w:rPr>
        <w:t xml:space="preserve">Assurance of Confidentiality of Responses.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E43969">
      <w:pPr>
        <w:widowControl/>
        <w:tabs>
          <w:tab w:val="left" w:pos="54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402FE">
        <w:rPr>
          <w:rFonts w:ascii="Times New Roman" w:hAnsi="Times New Roman" w:cs="Times New Roman"/>
          <w:sz w:val="24"/>
          <w:szCs w:val="24"/>
        </w:rPr>
        <w:t>Information provided to the government on the Suspicious Activity Report form is expressly prohibited from disclosure to any person involved in the transaction under 31 U.S.C. 5318(g) (2), and implementing regulations, and the participating agencies' Privacy Act notice</w:t>
      </w:r>
      <w:r w:rsidR="00DF668E">
        <w:rPr>
          <w:rFonts w:ascii="Times New Roman" w:hAnsi="Times New Roman" w:cs="Times New Roman"/>
          <w:sz w:val="24"/>
          <w:szCs w:val="24"/>
        </w:rPr>
        <w:t>s</w:t>
      </w:r>
      <w:r w:rsidRPr="000402FE">
        <w:rPr>
          <w:rFonts w:ascii="Times New Roman" w:hAnsi="Times New Roman" w:cs="Times New Roman"/>
          <w:sz w:val="24"/>
          <w:szCs w:val="24"/>
        </w:rPr>
        <w:t xml:space="preserve"> make clear that the system of records is intended for the official use of law enforcement</w:t>
      </w:r>
      <w:r w:rsidR="00EB75DE">
        <w:rPr>
          <w:rFonts w:ascii="Times New Roman" w:hAnsi="Times New Roman" w:cs="Times New Roman"/>
          <w:sz w:val="24"/>
          <w:szCs w:val="24"/>
        </w:rPr>
        <w:t xml:space="preserve"> and regulatory agencies</w:t>
      </w:r>
      <w:r w:rsidRPr="000402FE">
        <w:rPr>
          <w:rFonts w:ascii="Times New Roman" w:hAnsi="Times New Roman" w:cs="Times New Roman"/>
          <w:sz w:val="24"/>
          <w:szCs w:val="24"/>
        </w:rPr>
        <w:t xml:space="preserve">.  Appropriate system security safeguards will be put in place to protect against unauthorized access.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rPr>
      </w:pPr>
      <w:r w:rsidRPr="000402FE">
        <w:rPr>
          <w:rFonts w:ascii="Times New Roman" w:hAnsi="Times New Roman" w:cs="Times New Roman"/>
          <w:sz w:val="24"/>
          <w:szCs w:val="24"/>
        </w:rPr>
        <w:t>11.</w:t>
      </w:r>
      <w:r>
        <w:rPr>
          <w:rFonts w:ascii="Times New Roman" w:hAnsi="Times New Roman" w:cs="Times New Roman"/>
          <w:sz w:val="24"/>
          <w:szCs w:val="24"/>
        </w:rPr>
        <w:tab/>
      </w:r>
      <w:r w:rsidRPr="000402FE">
        <w:rPr>
          <w:rFonts w:ascii="Times New Roman" w:hAnsi="Times New Roman" w:cs="Times New Roman"/>
          <w:sz w:val="24"/>
          <w:szCs w:val="24"/>
          <w:u w:val="single"/>
        </w:rPr>
        <w:t>Justification of Sensitive Questions</w:t>
      </w:r>
      <w:r w:rsidRPr="000402FE">
        <w:rPr>
          <w:rFonts w:ascii="Times New Roman" w:hAnsi="Times New Roman" w:cs="Times New Roman"/>
          <w:sz w:val="24"/>
          <w:szCs w:val="24"/>
        </w:rPr>
        <w:t xml:space="preserve">. </w:t>
      </w:r>
    </w:p>
    <w:p w:rsidR="00E43969" w:rsidRDefault="00FE40EF" w:rsidP="00E43969">
      <w:pPr>
        <w:widowControl/>
        <w:tabs>
          <w:tab w:val="left" w:pos="90"/>
        </w:tabs>
        <w:spacing w:before="240" w:line="240" w:lineRule="exact"/>
        <w:rPr>
          <w:rFonts w:ascii="Times New Roman" w:hAnsi="Times New Roman"/>
          <w:sz w:val="24"/>
          <w:szCs w:val="24"/>
        </w:rPr>
      </w:pPr>
      <w:r>
        <w:rPr>
          <w:rFonts w:ascii="Times New Roman" w:hAnsi="Times New Roman" w:cs="Times New Roman"/>
          <w:sz w:val="24"/>
          <w:szCs w:val="24"/>
        </w:rPr>
        <w:lastRenderedPageBreak/>
        <w:tab/>
      </w:r>
      <w:r w:rsidR="00E43969">
        <w:rPr>
          <w:rFonts w:ascii="Times New Roman" w:hAnsi="Times New Roman" w:cs="Times New Roman"/>
          <w:sz w:val="24"/>
          <w:szCs w:val="24"/>
        </w:rPr>
        <w:tab/>
      </w:r>
      <w:r w:rsidR="00E43969" w:rsidRPr="00537765">
        <w:rPr>
          <w:rFonts w:ascii="Times New Roman" w:hAnsi="Times New Roman"/>
          <w:sz w:val="24"/>
          <w:szCs w:val="24"/>
        </w:rPr>
        <w:t xml:space="preserve">There are no questions of a sensitive nature in the collection of information.  Any </w:t>
      </w:r>
      <w:r w:rsidR="00E43969">
        <w:rPr>
          <w:rFonts w:ascii="Times New Roman" w:hAnsi="Times New Roman"/>
          <w:sz w:val="24"/>
          <w:szCs w:val="24"/>
        </w:rPr>
        <w:t>personally identifiable</w:t>
      </w:r>
      <w:r w:rsidR="00E43969" w:rsidRPr="00537765">
        <w:rPr>
          <w:rFonts w:ascii="Times New Roman" w:hAnsi="Times New Roman"/>
          <w:sz w:val="24"/>
          <w:szCs w:val="24"/>
        </w:rPr>
        <w:t xml:space="preserve"> information collected under the </w:t>
      </w:r>
      <w:r w:rsidR="00DF668E">
        <w:rPr>
          <w:rFonts w:ascii="Times New Roman" w:hAnsi="Times New Roman"/>
          <w:sz w:val="24"/>
          <w:szCs w:val="24"/>
        </w:rPr>
        <w:t>Bank Secrecy Act</w:t>
      </w:r>
      <w:r w:rsidR="00DF668E" w:rsidRPr="00537765">
        <w:rPr>
          <w:rFonts w:ascii="Times New Roman" w:hAnsi="Times New Roman"/>
          <w:sz w:val="24"/>
          <w:szCs w:val="24"/>
        </w:rPr>
        <w:t xml:space="preserve"> </w:t>
      </w:r>
      <w:r w:rsidR="00E43969" w:rsidRPr="00537765">
        <w:rPr>
          <w:rFonts w:ascii="Times New Roman" w:hAnsi="Times New Roman"/>
          <w:sz w:val="24"/>
          <w:szCs w:val="24"/>
        </w:rPr>
        <w:t xml:space="preserve">is strictly controlled as outlined in the </w:t>
      </w:r>
      <w:proofErr w:type="spellStart"/>
      <w:r w:rsidR="00E43969" w:rsidRPr="00537765">
        <w:rPr>
          <w:rFonts w:ascii="Times New Roman" w:hAnsi="Times New Roman"/>
          <w:sz w:val="24"/>
          <w:szCs w:val="24"/>
        </w:rPr>
        <w:t>FinCEN’s</w:t>
      </w:r>
      <w:proofErr w:type="spellEnd"/>
      <w:r w:rsidR="00E43969" w:rsidRPr="00537765">
        <w:rPr>
          <w:rFonts w:ascii="Times New Roman" w:hAnsi="Times New Roman"/>
          <w:sz w:val="24"/>
          <w:szCs w:val="24"/>
        </w:rPr>
        <w:t xml:space="preserve"> Systems of Records Notice</w:t>
      </w:r>
      <w:r w:rsidR="00E43969" w:rsidRPr="00537765">
        <w:rPr>
          <w:rFonts w:ascii="Times New Roman" w:hAnsi="Times New Roman"/>
          <w:color w:val="1F497D"/>
          <w:sz w:val="24"/>
          <w:szCs w:val="24"/>
        </w:rPr>
        <w:t xml:space="preserve"> </w:t>
      </w:r>
      <w:hyperlink r:id="rId9" w:history="1">
        <w:r w:rsidR="00E43969" w:rsidRPr="00537765">
          <w:rPr>
            <w:rStyle w:val="Hyperlink"/>
            <w:rFonts w:ascii="Times New Roman" w:hAnsi="Times New Roman"/>
            <w:sz w:val="24"/>
            <w:szCs w:val="24"/>
          </w:rPr>
          <w:t>http://www.fincen.gov/foia/files/FinCEN_79_FR_20969.pdf</w:t>
        </w:r>
      </w:hyperlink>
      <w:r w:rsidR="00E43969" w:rsidRPr="00537765">
        <w:rPr>
          <w:rFonts w:ascii="Times New Roman" w:hAnsi="Times New Roman"/>
          <w:sz w:val="24"/>
          <w:szCs w:val="24"/>
        </w:rPr>
        <w:t>.</w:t>
      </w:r>
    </w:p>
    <w:p w:rsidR="00FE40EF" w:rsidRDefault="00FE40EF" w:rsidP="00FE40EF">
      <w:pPr>
        <w:widowControl/>
        <w:tabs>
          <w:tab w:val="left" w:pos="540"/>
        </w:tabs>
        <w:ind w:left="540" w:hanging="540"/>
        <w:rPr>
          <w:rFonts w:ascii="Times New Roman" w:hAnsi="Times New Roman" w:cs="Times New Roman"/>
          <w:sz w:val="24"/>
          <w:szCs w:val="24"/>
          <w:u w:val="single"/>
        </w:rPr>
      </w:pP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12.</w:t>
      </w:r>
      <w:r w:rsidRPr="000402FE">
        <w:rPr>
          <w:rFonts w:ascii="Times New Roman" w:hAnsi="Times New Roman" w:cs="Times New Roman"/>
          <w:sz w:val="24"/>
          <w:szCs w:val="24"/>
        </w:rPr>
        <w:tab/>
      </w:r>
      <w:r w:rsidRPr="000402FE">
        <w:rPr>
          <w:rFonts w:ascii="Times New Roman" w:hAnsi="Times New Roman" w:cs="Times New Roman"/>
          <w:sz w:val="24"/>
          <w:szCs w:val="24"/>
          <w:u w:val="single"/>
        </w:rPr>
        <w:t>Estimate</w:t>
      </w:r>
      <w:r>
        <w:rPr>
          <w:rFonts w:ascii="Times New Roman" w:hAnsi="Times New Roman" w:cs="Times New Roman"/>
          <w:sz w:val="24"/>
          <w:szCs w:val="24"/>
          <w:u w:val="single"/>
        </w:rPr>
        <w:t>d</w:t>
      </w:r>
      <w:r w:rsidRPr="000402FE">
        <w:rPr>
          <w:rFonts w:ascii="Times New Roman" w:hAnsi="Times New Roman" w:cs="Times New Roman"/>
          <w:sz w:val="24"/>
          <w:szCs w:val="24"/>
          <w:u w:val="single"/>
        </w:rPr>
        <w:t xml:space="preserve"> Annual Burden</w:t>
      </w:r>
      <w:r>
        <w:rPr>
          <w:rFonts w:ascii="Times New Roman" w:hAnsi="Times New Roman" w:cs="Times New Roman"/>
          <w:sz w:val="24"/>
          <w:szCs w:val="24"/>
          <w:u w:val="single"/>
        </w:rPr>
        <w:t>.</w:t>
      </w:r>
    </w:p>
    <w:p w:rsidR="00FE40EF" w:rsidRDefault="00FE40EF" w:rsidP="00FE40EF">
      <w:pPr>
        <w:widowControl/>
        <w:tabs>
          <w:tab w:val="left" w:pos="540"/>
        </w:tabs>
        <w:ind w:left="540" w:hanging="540"/>
        <w:rPr>
          <w:rFonts w:ascii="Times New Roman" w:hAnsi="Times New Roman" w:cs="Times New Roman"/>
          <w:sz w:val="24"/>
          <w:szCs w:val="24"/>
        </w:rPr>
      </w:pPr>
    </w:p>
    <w:p w:rsidR="00E43969" w:rsidRPr="004F47EF" w:rsidRDefault="00FE40EF" w:rsidP="00E43969">
      <w:pPr>
        <w:widowControl/>
        <w:ind w:left="90" w:firstLine="450"/>
        <w:rPr>
          <w:rFonts w:ascii="Times New Roman" w:hAnsi="Times New Roman"/>
          <w:sz w:val="24"/>
          <w:szCs w:val="24"/>
        </w:rPr>
      </w:pPr>
      <w:r>
        <w:rPr>
          <w:rFonts w:ascii="Times New Roman" w:hAnsi="Times New Roman" w:cs="Times New Roman"/>
          <w:sz w:val="24"/>
          <w:szCs w:val="24"/>
        </w:rPr>
        <w:tab/>
      </w:r>
      <w:r w:rsidR="00E43969" w:rsidRPr="004F47EF">
        <w:rPr>
          <w:rFonts w:ascii="Times New Roman" w:hAnsi="Times New Roman"/>
          <w:sz w:val="24"/>
          <w:szCs w:val="24"/>
        </w:rPr>
        <w:t xml:space="preserve">The administrative burden of </w:t>
      </w:r>
      <w:r w:rsidR="0047305B">
        <w:rPr>
          <w:rFonts w:ascii="Times New Roman" w:hAnsi="Times New Roman"/>
          <w:sz w:val="24"/>
          <w:szCs w:val="24"/>
        </w:rPr>
        <w:t>one</w:t>
      </w:r>
      <w:r w:rsidR="00E43969" w:rsidRPr="004F47EF">
        <w:rPr>
          <w:rFonts w:ascii="Times New Roman" w:hAnsi="Times New Roman"/>
          <w:sz w:val="24"/>
          <w:szCs w:val="24"/>
        </w:rPr>
        <w:t xml:space="preserve"> hour is assigned to maintain the</w:t>
      </w:r>
      <w:r w:rsidR="00E43969">
        <w:rPr>
          <w:rFonts w:ascii="Times New Roman" w:hAnsi="Times New Roman"/>
          <w:sz w:val="24"/>
          <w:szCs w:val="24"/>
        </w:rPr>
        <w:t xml:space="preserve"> regulatory </w:t>
      </w:r>
      <w:r w:rsidR="00E43969" w:rsidRPr="004F47EF">
        <w:rPr>
          <w:rFonts w:ascii="Times New Roman" w:hAnsi="Times New Roman"/>
          <w:sz w:val="24"/>
          <w:szCs w:val="24"/>
        </w:rPr>
        <w:t>requirement in force. The burden for actual reporting is reflected in OMB Control number 1506–0065.</w:t>
      </w:r>
    </w:p>
    <w:p w:rsidR="00FE40EF" w:rsidRDefault="00FE40EF" w:rsidP="00E43969">
      <w:pPr>
        <w:widowControl/>
        <w:tabs>
          <w:tab w:val="left" w:pos="540"/>
        </w:tabs>
        <w:ind w:left="90" w:firstLine="45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13.</w:t>
      </w:r>
      <w:r>
        <w:rPr>
          <w:rFonts w:ascii="Times New Roman" w:hAnsi="Times New Roman" w:cs="Times New Roman"/>
          <w:sz w:val="24"/>
          <w:szCs w:val="24"/>
        </w:rPr>
        <w:tab/>
      </w:r>
      <w:r w:rsidRPr="000402FE">
        <w:rPr>
          <w:rFonts w:ascii="Times New Roman" w:hAnsi="Times New Roman" w:cs="Times New Roman"/>
          <w:sz w:val="24"/>
          <w:szCs w:val="24"/>
          <w:u w:val="single"/>
        </w:rPr>
        <w:t xml:space="preserve">Estimated Annual Cost to </w:t>
      </w:r>
      <w:r w:rsidR="00C63201">
        <w:rPr>
          <w:rFonts w:ascii="Times New Roman" w:hAnsi="Times New Roman" w:cs="Times New Roman"/>
          <w:sz w:val="24"/>
          <w:szCs w:val="24"/>
          <w:u w:val="single"/>
        </w:rPr>
        <w:t>R</w:t>
      </w:r>
      <w:r w:rsidRPr="000402FE">
        <w:rPr>
          <w:rFonts w:ascii="Times New Roman" w:hAnsi="Times New Roman" w:cs="Times New Roman"/>
          <w:sz w:val="24"/>
          <w:szCs w:val="24"/>
          <w:u w:val="single"/>
        </w:rPr>
        <w:t>espondents.</w:t>
      </w:r>
    </w:p>
    <w:p w:rsidR="00FE40EF" w:rsidRDefault="00FE40EF" w:rsidP="00FE40EF">
      <w:pPr>
        <w:widowControl/>
        <w:tabs>
          <w:tab w:val="left" w:pos="540"/>
        </w:tabs>
        <w:ind w:left="547" w:hanging="540"/>
        <w:rPr>
          <w:rFonts w:ascii="Times New Roman" w:hAnsi="Times New Roman" w:cs="Times New Roman"/>
          <w:sz w:val="24"/>
          <w:szCs w:val="24"/>
        </w:rPr>
      </w:pPr>
    </w:p>
    <w:p w:rsidR="00FE40EF" w:rsidRDefault="00FE40EF" w:rsidP="00FE40EF">
      <w:pPr>
        <w:widowControl/>
        <w:tabs>
          <w:tab w:val="left" w:pos="540"/>
        </w:tabs>
        <w:ind w:left="547" w:hanging="540"/>
        <w:rPr>
          <w:rFonts w:ascii="Times New Roman" w:hAnsi="Times New Roman" w:cs="Times New Roman"/>
          <w:sz w:val="24"/>
          <w:szCs w:val="24"/>
        </w:rPr>
      </w:pPr>
      <w:r>
        <w:rPr>
          <w:rFonts w:ascii="Times New Roman" w:hAnsi="Times New Roman" w:cs="Times New Roman"/>
          <w:sz w:val="24"/>
          <w:szCs w:val="24"/>
        </w:rPr>
        <w:tab/>
      </w:r>
      <w:r w:rsidRPr="000402FE">
        <w:rPr>
          <w:rFonts w:ascii="Times New Roman" w:hAnsi="Times New Roman" w:cs="Times New Roman"/>
          <w:sz w:val="24"/>
          <w:szCs w:val="24"/>
        </w:rPr>
        <w:t xml:space="preserve">Not applicable. </w:t>
      </w:r>
    </w:p>
    <w:p w:rsidR="00FE40EF" w:rsidRDefault="00FE40EF" w:rsidP="00FE40EF">
      <w:pPr>
        <w:widowControl/>
        <w:tabs>
          <w:tab w:val="left" w:pos="540"/>
        </w:tabs>
        <w:ind w:left="547"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14.</w:t>
      </w:r>
      <w:r>
        <w:rPr>
          <w:rFonts w:ascii="Times New Roman" w:hAnsi="Times New Roman" w:cs="Times New Roman"/>
          <w:sz w:val="24"/>
          <w:szCs w:val="24"/>
        </w:rPr>
        <w:tab/>
      </w:r>
      <w:r w:rsidRPr="000402FE">
        <w:rPr>
          <w:rFonts w:ascii="Times New Roman" w:hAnsi="Times New Roman" w:cs="Times New Roman"/>
          <w:sz w:val="24"/>
          <w:szCs w:val="24"/>
          <w:u w:val="single"/>
        </w:rPr>
        <w:t>Estimated Annual Cost to the Federal Government</w:t>
      </w:r>
      <w:r w:rsidR="00DF668E">
        <w:rPr>
          <w:rFonts w:ascii="Times New Roman" w:hAnsi="Times New Roman" w:cs="Times New Roman"/>
          <w:sz w:val="24"/>
          <w:szCs w:val="24"/>
          <w:u w:val="single"/>
        </w:rPr>
        <w:t>.</w:t>
      </w:r>
      <w:r w:rsidRPr="000402FE">
        <w:rPr>
          <w:rFonts w:ascii="Times New Roman" w:hAnsi="Times New Roman" w:cs="Times New Roman"/>
          <w:sz w:val="24"/>
          <w:szCs w:val="24"/>
          <w:u w:val="single"/>
        </w:rPr>
        <w:t xml:space="preserve">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Default="00FE40EF" w:rsidP="00FE40EF">
      <w:pPr>
        <w:widowControl/>
        <w:tabs>
          <w:tab w:val="left" w:pos="540"/>
        </w:tabs>
        <w:ind w:left="540" w:hanging="540"/>
        <w:rPr>
          <w:rFonts w:ascii="Times New Roman" w:hAnsi="Times New Roman" w:cs="Times New Roman"/>
          <w:sz w:val="24"/>
          <w:szCs w:val="24"/>
        </w:rPr>
      </w:pPr>
      <w:r>
        <w:rPr>
          <w:rFonts w:ascii="Times New Roman" w:hAnsi="Times New Roman" w:cs="Times New Roman"/>
          <w:sz w:val="24"/>
          <w:szCs w:val="24"/>
        </w:rPr>
        <w:tab/>
      </w:r>
      <w:r w:rsidRPr="000402FE">
        <w:rPr>
          <w:rFonts w:ascii="Times New Roman" w:hAnsi="Times New Roman" w:cs="Times New Roman"/>
          <w:sz w:val="24"/>
          <w:szCs w:val="24"/>
        </w:rPr>
        <w:t xml:space="preserve">Not applicable. </w:t>
      </w:r>
    </w:p>
    <w:p w:rsidR="00FE40EF" w:rsidRPr="000402FE"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rPr>
      </w:pPr>
      <w:r w:rsidRPr="000402FE">
        <w:rPr>
          <w:rFonts w:ascii="Times New Roman" w:hAnsi="Times New Roman" w:cs="Times New Roman"/>
          <w:sz w:val="24"/>
          <w:szCs w:val="24"/>
        </w:rPr>
        <w:t>15.</w:t>
      </w:r>
      <w:r>
        <w:rPr>
          <w:rFonts w:ascii="Times New Roman" w:hAnsi="Times New Roman" w:cs="Times New Roman"/>
          <w:sz w:val="24"/>
          <w:szCs w:val="24"/>
        </w:rPr>
        <w:tab/>
      </w:r>
      <w:r w:rsidRPr="000402FE">
        <w:rPr>
          <w:rFonts w:ascii="Times New Roman" w:hAnsi="Times New Roman" w:cs="Times New Roman"/>
          <w:sz w:val="24"/>
          <w:szCs w:val="24"/>
          <w:u w:val="single"/>
        </w:rPr>
        <w:t>Reasons for Change in Burden.</w:t>
      </w:r>
      <w:r w:rsidRPr="000402FE">
        <w:rPr>
          <w:rFonts w:ascii="Times New Roman" w:hAnsi="Times New Roman" w:cs="Times New Roman"/>
          <w:sz w:val="24"/>
          <w:szCs w:val="24"/>
        </w:rPr>
        <w:t xml:space="preserve"> </w:t>
      </w:r>
    </w:p>
    <w:p w:rsidR="00FE40EF" w:rsidRPr="000402FE" w:rsidRDefault="00FE40EF" w:rsidP="00FE40EF">
      <w:pPr>
        <w:tabs>
          <w:tab w:val="left" w:pos="540"/>
        </w:tabs>
        <w:ind w:left="540" w:hanging="540"/>
        <w:rPr>
          <w:rFonts w:ascii="Times New Roman" w:hAnsi="Times New Roman" w:cs="Times New Roman"/>
          <w:sz w:val="24"/>
          <w:szCs w:val="24"/>
        </w:rPr>
      </w:pPr>
    </w:p>
    <w:p w:rsidR="00FE40EF" w:rsidRPr="000402FE" w:rsidRDefault="00FE40EF" w:rsidP="00FE40EF">
      <w:pPr>
        <w:tabs>
          <w:tab w:val="left" w:pos="540"/>
        </w:tabs>
        <w:ind w:left="540" w:hanging="540"/>
        <w:rPr>
          <w:rFonts w:ascii="Times New Roman" w:hAnsi="Times New Roman" w:cs="Times New Roman"/>
          <w:sz w:val="24"/>
          <w:szCs w:val="24"/>
        </w:rPr>
      </w:pPr>
      <w:r w:rsidRPr="000402FE">
        <w:rPr>
          <w:rFonts w:ascii="Times New Roman" w:hAnsi="Times New Roman" w:cs="Times New Roman"/>
          <w:sz w:val="24"/>
          <w:szCs w:val="24"/>
        </w:rPr>
        <w:tab/>
        <w:t xml:space="preserve">This is </w:t>
      </w:r>
      <w:r w:rsidR="00E43969">
        <w:rPr>
          <w:rFonts w:ascii="Times New Roman" w:hAnsi="Times New Roman" w:cs="Times New Roman"/>
          <w:sz w:val="24"/>
          <w:szCs w:val="24"/>
        </w:rPr>
        <w:t>no change</w:t>
      </w:r>
      <w:r w:rsidRPr="000402FE">
        <w:rPr>
          <w:rFonts w:ascii="Times New Roman" w:hAnsi="Times New Roman" w:cs="Times New Roman"/>
          <w:sz w:val="24"/>
          <w:szCs w:val="24"/>
        </w:rPr>
        <w:t xml:space="preserve">.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rPr>
      </w:pPr>
      <w:r w:rsidRPr="000402FE">
        <w:rPr>
          <w:rFonts w:ascii="Times New Roman" w:hAnsi="Times New Roman" w:cs="Times New Roman"/>
          <w:sz w:val="24"/>
          <w:szCs w:val="24"/>
        </w:rPr>
        <w:t>16.</w:t>
      </w:r>
      <w:r>
        <w:rPr>
          <w:rFonts w:ascii="Times New Roman" w:hAnsi="Times New Roman" w:cs="Times New Roman"/>
          <w:sz w:val="24"/>
          <w:szCs w:val="24"/>
        </w:rPr>
        <w:tab/>
      </w:r>
      <w:r w:rsidRPr="000402FE">
        <w:rPr>
          <w:rFonts w:ascii="Times New Roman" w:hAnsi="Times New Roman" w:cs="Times New Roman"/>
          <w:sz w:val="24"/>
          <w:szCs w:val="24"/>
          <w:u w:val="single"/>
        </w:rPr>
        <w:t>Plans for Tabulation, Statistical Analysis, and Publication.</w:t>
      </w:r>
      <w:r w:rsidRPr="000402FE">
        <w:rPr>
          <w:rFonts w:ascii="Times New Roman" w:hAnsi="Times New Roman" w:cs="Times New Roman"/>
          <w:sz w:val="24"/>
          <w:szCs w:val="24"/>
        </w:rPr>
        <w:t xml:space="preserve">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rPr>
      </w:pPr>
      <w:r>
        <w:rPr>
          <w:rFonts w:ascii="Times New Roman" w:hAnsi="Times New Roman" w:cs="Times New Roman"/>
          <w:sz w:val="24"/>
          <w:szCs w:val="24"/>
        </w:rPr>
        <w:tab/>
      </w:r>
      <w:r w:rsidRPr="000402FE">
        <w:rPr>
          <w:rFonts w:ascii="Times New Roman" w:hAnsi="Times New Roman" w:cs="Times New Roman"/>
          <w:sz w:val="24"/>
          <w:szCs w:val="24"/>
        </w:rPr>
        <w:t xml:space="preserve">Not applicable.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17.</w:t>
      </w:r>
      <w:r>
        <w:rPr>
          <w:rFonts w:ascii="Times New Roman" w:hAnsi="Times New Roman" w:cs="Times New Roman"/>
          <w:sz w:val="24"/>
          <w:szCs w:val="24"/>
        </w:rPr>
        <w:tab/>
      </w:r>
      <w:r w:rsidRPr="000402FE">
        <w:rPr>
          <w:rFonts w:ascii="Times New Roman" w:hAnsi="Times New Roman" w:cs="Times New Roman"/>
          <w:sz w:val="24"/>
          <w:szCs w:val="24"/>
          <w:u w:val="single"/>
        </w:rPr>
        <w:t>Request not to Display Expiration Date of OMB Control Number.</w:t>
      </w:r>
    </w:p>
    <w:p w:rsidR="00FE40EF" w:rsidRPr="000402FE" w:rsidRDefault="00FE40EF" w:rsidP="00FE40EF">
      <w:pPr>
        <w:tabs>
          <w:tab w:val="left" w:pos="540"/>
        </w:tabs>
        <w:ind w:left="540" w:hanging="540"/>
        <w:rPr>
          <w:rFonts w:ascii="Times New Roman" w:hAnsi="Times New Roman" w:cs="Times New Roman"/>
          <w:sz w:val="24"/>
          <w:szCs w:val="24"/>
        </w:rPr>
      </w:pPr>
    </w:p>
    <w:p w:rsidR="00FE40EF" w:rsidRPr="000402FE" w:rsidRDefault="00FE40EF" w:rsidP="00E43969">
      <w:pPr>
        <w:tabs>
          <w:tab w:val="left" w:pos="0"/>
        </w:tabs>
        <w:rPr>
          <w:rFonts w:ascii="Times New Roman" w:hAnsi="Times New Roman" w:cs="Times New Roman"/>
          <w:sz w:val="24"/>
          <w:szCs w:val="24"/>
          <w:u w:val="single"/>
        </w:rPr>
      </w:pPr>
      <w:r>
        <w:rPr>
          <w:rFonts w:ascii="Times New Roman" w:hAnsi="Times New Roman" w:cs="Times New Roman"/>
          <w:sz w:val="24"/>
          <w:szCs w:val="24"/>
        </w:rPr>
        <w:tab/>
      </w:r>
      <w:r w:rsidRPr="000402FE">
        <w:rPr>
          <w:rFonts w:ascii="Times New Roman" w:hAnsi="Times New Roman" w:cs="Times New Roman"/>
          <w:sz w:val="24"/>
          <w:szCs w:val="24"/>
        </w:rPr>
        <w:t>To avoid having to reprint the form to show a new date, we are requesting permission not to display the Office of Management and Budget expiration date on the Suspicious Activity Report.</w:t>
      </w:r>
      <w:bookmarkStart w:id="0" w:name="_GoBack"/>
      <w:bookmarkEnd w:id="0"/>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u w:val="single"/>
        </w:rPr>
      </w:pPr>
      <w:r w:rsidRPr="000402FE">
        <w:rPr>
          <w:rFonts w:ascii="Times New Roman" w:hAnsi="Times New Roman" w:cs="Times New Roman"/>
          <w:sz w:val="24"/>
          <w:szCs w:val="24"/>
        </w:rPr>
        <w:t>18.</w:t>
      </w:r>
      <w:r>
        <w:rPr>
          <w:rFonts w:ascii="Times New Roman" w:hAnsi="Times New Roman" w:cs="Times New Roman"/>
          <w:sz w:val="24"/>
          <w:szCs w:val="24"/>
        </w:rPr>
        <w:tab/>
      </w:r>
      <w:r w:rsidRPr="000402FE">
        <w:rPr>
          <w:rFonts w:ascii="Times New Roman" w:hAnsi="Times New Roman" w:cs="Times New Roman"/>
          <w:sz w:val="24"/>
          <w:szCs w:val="24"/>
          <w:u w:val="single"/>
        </w:rPr>
        <w:t>Exceptions.</w:t>
      </w:r>
      <w:r w:rsidRPr="000402FE">
        <w:rPr>
          <w:rFonts w:ascii="Times New Roman" w:hAnsi="Times New Roman" w:cs="Times New Roman"/>
          <w:sz w:val="24"/>
          <w:szCs w:val="24"/>
        </w:rPr>
        <w:t xml:space="preserve"> </w:t>
      </w:r>
    </w:p>
    <w:p w:rsidR="00FE40EF" w:rsidRDefault="00FE40EF" w:rsidP="00FE40EF">
      <w:pPr>
        <w:widowControl/>
        <w:tabs>
          <w:tab w:val="left" w:pos="540"/>
        </w:tabs>
        <w:ind w:left="540" w:hanging="540"/>
        <w:rPr>
          <w:rFonts w:ascii="Times New Roman" w:hAnsi="Times New Roman" w:cs="Times New Roman"/>
          <w:sz w:val="24"/>
          <w:szCs w:val="24"/>
        </w:rPr>
      </w:pPr>
    </w:p>
    <w:p w:rsidR="00FE40EF" w:rsidRPr="000402FE" w:rsidRDefault="00FE40EF" w:rsidP="00FE40EF">
      <w:pPr>
        <w:widowControl/>
        <w:tabs>
          <w:tab w:val="left" w:pos="540"/>
        </w:tabs>
        <w:ind w:left="540" w:hanging="540"/>
        <w:rPr>
          <w:rFonts w:ascii="Times New Roman" w:hAnsi="Times New Roman" w:cs="Times New Roman"/>
          <w:sz w:val="24"/>
          <w:szCs w:val="24"/>
        </w:rPr>
      </w:pPr>
      <w:r>
        <w:rPr>
          <w:rFonts w:ascii="Times New Roman" w:hAnsi="Times New Roman" w:cs="Times New Roman"/>
          <w:sz w:val="24"/>
          <w:szCs w:val="24"/>
        </w:rPr>
        <w:tab/>
      </w:r>
      <w:r w:rsidRPr="000402FE">
        <w:rPr>
          <w:rFonts w:ascii="Times New Roman" w:hAnsi="Times New Roman" w:cs="Times New Roman"/>
          <w:sz w:val="24"/>
          <w:szCs w:val="24"/>
        </w:rPr>
        <w:t xml:space="preserve">Not applicable.  </w:t>
      </w:r>
    </w:p>
    <w:p w:rsidR="00835114" w:rsidRDefault="00835114"/>
    <w:sectPr w:rsidR="00835114" w:rsidSect="00E43969">
      <w:footerReference w:type="default" r:id="rId10"/>
      <w:footnotePr>
        <w:numRestart w:val="eachPage"/>
      </w:footnotePr>
      <w:pgSz w:w="12240" w:h="15840" w:code="1"/>
      <w:pgMar w:top="720" w:right="1440" w:bottom="72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6E4" w:rsidRDefault="000806E4">
      <w:r>
        <w:separator/>
      </w:r>
    </w:p>
  </w:endnote>
  <w:endnote w:type="continuationSeparator" w:id="0">
    <w:p w:rsidR="000806E4" w:rsidRDefault="0008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65" w:rsidRPr="000D6962" w:rsidRDefault="00B76F7C">
    <w:pPr>
      <w:pStyle w:val="Footer"/>
      <w:jc w:val="right"/>
      <w:rPr>
        <w:rFonts w:ascii="Times New Roman" w:hAnsi="Times New Roman" w:cs="Times New Roman"/>
        <w:sz w:val="24"/>
        <w:szCs w:val="24"/>
      </w:rPr>
    </w:pPr>
    <w:r w:rsidRPr="000D6962">
      <w:rPr>
        <w:rFonts w:ascii="Times New Roman" w:hAnsi="Times New Roman" w:cs="Times New Roman"/>
        <w:sz w:val="24"/>
        <w:szCs w:val="24"/>
      </w:rPr>
      <w:fldChar w:fldCharType="begin"/>
    </w:r>
    <w:r w:rsidRPr="000D6962">
      <w:rPr>
        <w:rFonts w:ascii="Times New Roman" w:hAnsi="Times New Roman" w:cs="Times New Roman"/>
        <w:sz w:val="24"/>
        <w:szCs w:val="24"/>
      </w:rPr>
      <w:instrText xml:space="preserve"> PAGE   \* MERGEFORMAT </w:instrText>
    </w:r>
    <w:r w:rsidRPr="000D6962">
      <w:rPr>
        <w:rFonts w:ascii="Times New Roman" w:hAnsi="Times New Roman" w:cs="Times New Roman"/>
        <w:sz w:val="24"/>
        <w:szCs w:val="24"/>
      </w:rPr>
      <w:fldChar w:fldCharType="separate"/>
    </w:r>
    <w:r w:rsidR="00EB75DE">
      <w:rPr>
        <w:rFonts w:ascii="Times New Roman" w:hAnsi="Times New Roman" w:cs="Times New Roman"/>
        <w:noProof/>
        <w:sz w:val="24"/>
        <w:szCs w:val="24"/>
      </w:rPr>
      <w:t>3</w:t>
    </w:r>
    <w:r w:rsidRPr="000D6962">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6E4" w:rsidRDefault="000806E4">
      <w:r>
        <w:separator/>
      </w:r>
    </w:p>
  </w:footnote>
  <w:footnote w:type="continuationSeparator" w:id="0">
    <w:p w:rsidR="000806E4" w:rsidRDefault="00080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584"/>
    <w:multiLevelType w:val="hybridMultilevel"/>
    <w:tmpl w:val="13B4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E5A9B"/>
    <w:multiLevelType w:val="hybridMultilevel"/>
    <w:tmpl w:val="897A949C"/>
    <w:lvl w:ilvl="0" w:tplc="A86017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EF"/>
    <w:rsid w:val="000806E4"/>
    <w:rsid w:val="0008429F"/>
    <w:rsid w:val="0047305B"/>
    <w:rsid w:val="005B58D0"/>
    <w:rsid w:val="00835114"/>
    <w:rsid w:val="00925375"/>
    <w:rsid w:val="009903BB"/>
    <w:rsid w:val="009B5251"/>
    <w:rsid w:val="00B76F7C"/>
    <w:rsid w:val="00C63201"/>
    <w:rsid w:val="00C664E5"/>
    <w:rsid w:val="00D75F46"/>
    <w:rsid w:val="00DF668E"/>
    <w:rsid w:val="00E43969"/>
    <w:rsid w:val="00EB75DE"/>
    <w:rsid w:val="00F11877"/>
    <w:rsid w:val="00FE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EF"/>
    <w:pPr>
      <w:widowControl w:val="0"/>
      <w:autoSpaceDE w:val="0"/>
      <w:autoSpaceDN w:val="0"/>
      <w:adjustRightInd w:val="0"/>
    </w:pPr>
    <w:rPr>
      <w:rFonts w:ascii="Arial" w:eastAsia="Times New Roman" w:hAnsi="Arial" w:cs="Arial"/>
      <w:sz w:val="20"/>
      <w:szCs w:val="20"/>
    </w:rPr>
  </w:style>
  <w:style w:type="paragraph" w:styleId="Heading2">
    <w:name w:val="heading 2"/>
    <w:basedOn w:val="Normal"/>
    <w:next w:val="Normal"/>
    <w:link w:val="Heading2Char"/>
    <w:qFormat/>
    <w:rsid w:val="00FE40EF"/>
    <w:pPr>
      <w:keepNext/>
      <w:widowControl/>
      <w:tabs>
        <w:tab w:val="center" w:pos="11430"/>
      </w:tabs>
      <w:spacing w:before="307" w:line="259" w:lineRule="exact"/>
      <w:ind w:right="-30"/>
      <w:outlineLvl w:val="1"/>
    </w:pPr>
    <w:rPr>
      <w:rFonts w:ascii="Times New Roman" w:hAnsi="Times New Roman"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903BB"/>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9903BB"/>
    <w:rPr>
      <w:rFonts w:eastAsiaTheme="majorEastAsia" w:cstheme="majorBidi"/>
    </w:rPr>
  </w:style>
  <w:style w:type="character" w:customStyle="1" w:styleId="Heading2Char">
    <w:name w:val="Heading 2 Char"/>
    <w:basedOn w:val="DefaultParagraphFont"/>
    <w:link w:val="Heading2"/>
    <w:rsid w:val="00FE40EF"/>
    <w:rPr>
      <w:rFonts w:eastAsia="Times New Roman" w:cs="Times New Roman"/>
    </w:rPr>
  </w:style>
  <w:style w:type="paragraph" w:styleId="BodyText2">
    <w:name w:val="Body Text 2"/>
    <w:basedOn w:val="Normal"/>
    <w:link w:val="BodyText2Char"/>
    <w:rsid w:val="00FE40EF"/>
    <w:pPr>
      <w:widowControl/>
      <w:spacing w:before="288" w:line="230" w:lineRule="exact"/>
    </w:pPr>
    <w:rPr>
      <w:rFonts w:ascii="Times New Roman" w:hAnsi="Times New Roman" w:cs="Times New Roman"/>
      <w:color w:val="00FFFF"/>
      <w:sz w:val="24"/>
      <w:szCs w:val="24"/>
    </w:rPr>
  </w:style>
  <w:style w:type="character" w:customStyle="1" w:styleId="BodyText2Char">
    <w:name w:val="Body Text 2 Char"/>
    <w:basedOn w:val="DefaultParagraphFont"/>
    <w:link w:val="BodyText2"/>
    <w:rsid w:val="00FE40EF"/>
    <w:rPr>
      <w:rFonts w:eastAsia="Times New Roman" w:cs="Times New Roman"/>
      <w:color w:val="00FFFF"/>
      <w:szCs w:val="24"/>
    </w:rPr>
  </w:style>
  <w:style w:type="paragraph" w:styleId="BodyText">
    <w:name w:val="Body Text"/>
    <w:basedOn w:val="Normal"/>
    <w:link w:val="BodyTextChar"/>
    <w:rsid w:val="00FE40EF"/>
    <w:pPr>
      <w:widowControl/>
      <w:spacing w:before="33" w:line="244" w:lineRule="exact"/>
    </w:pPr>
    <w:rPr>
      <w:rFonts w:ascii="Times New Roman" w:hAnsi="Times New Roman" w:cs="Times New Roman"/>
      <w:color w:val="000000"/>
      <w:sz w:val="24"/>
      <w:szCs w:val="24"/>
    </w:rPr>
  </w:style>
  <w:style w:type="character" w:customStyle="1" w:styleId="BodyTextChar">
    <w:name w:val="Body Text Char"/>
    <w:basedOn w:val="DefaultParagraphFont"/>
    <w:link w:val="BodyText"/>
    <w:rsid w:val="00FE40EF"/>
    <w:rPr>
      <w:rFonts w:eastAsia="Times New Roman" w:cs="Times New Roman"/>
      <w:color w:val="000000"/>
      <w:szCs w:val="24"/>
    </w:rPr>
  </w:style>
  <w:style w:type="paragraph" w:styleId="Footer">
    <w:name w:val="footer"/>
    <w:basedOn w:val="Normal"/>
    <w:link w:val="FooterChar"/>
    <w:uiPriority w:val="99"/>
    <w:rsid w:val="00FE40EF"/>
    <w:pPr>
      <w:tabs>
        <w:tab w:val="center" w:pos="4680"/>
        <w:tab w:val="right" w:pos="9360"/>
      </w:tabs>
    </w:pPr>
  </w:style>
  <w:style w:type="character" w:customStyle="1" w:styleId="FooterChar">
    <w:name w:val="Footer Char"/>
    <w:basedOn w:val="DefaultParagraphFont"/>
    <w:link w:val="Footer"/>
    <w:uiPriority w:val="99"/>
    <w:rsid w:val="00FE40EF"/>
    <w:rPr>
      <w:rFonts w:ascii="Arial" w:eastAsia="Times New Roman" w:hAnsi="Arial" w:cs="Arial"/>
      <w:sz w:val="20"/>
      <w:szCs w:val="20"/>
    </w:rPr>
  </w:style>
  <w:style w:type="character" w:styleId="Hyperlink">
    <w:name w:val="Hyperlink"/>
    <w:rsid w:val="00FE40EF"/>
    <w:rPr>
      <w:color w:val="0000FF"/>
      <w:u w:val="single"/>
    </w:rPr>
  </w:style>
  <w:style w:type="paragraph" w:styleId="ListParagraph">
    <w:name w:val="List Paragraph"/>
    <w:basedOn w:val="Normal"/>
    <w:uiPriority w:val="34"/>
    <w:qFormat/>
    <w:rsid w:val="00E43969"/>
    <w:pPr>
      <w:ind w:left="720"/>
      <w:contextualSpacing/>
    </w:pPr>
  </w:style>
  <w:style w:type="character" w:styleId="CommentReference">
    <w:name w:val="annotation reference"/>
    <w:basedOn w:val="DefaultParagraphFont"/>
    <w:uiPriority w:val="99"/>
    <w:semiHidden/>
    <w:unhideWhenUsed/>
    <w:rsid w:val="0008429F"/>
    <w:rPr>
      <w:sz w:val="16"/>
      <w:szCs w:val="16"/>
    </w:rPr>
  </w:style>
  <w:style w:type="paragraph" w:styleId="CommentText">
    <w:name w:val="annotation text"/>
    <w:basedOn w:val="Normal"/>
    <w:link w:val="CommentTextChar"/>
    <w:uiPriority w:val="99"/>
    <w:semiHidden/>
    <w:unhideWhenUsed/>
    <w:rsid w:val="0008429F"/>
  </w:style>
  <w:style w:type="character" w:customStyle="1" w:styleId="CommentTextChar">
    <w:name w:val="Comment Text Char"/>
    <w:basedOn w:val="DefaultParagraphFont"/>
    <w:link w:val="CommentText"/>
    <w:uiPriority w:val="99"/>
    <w:semiHidden/>
    <w:rsid w:val="0008429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8429F"/>
    <w:rPr>
      <w:b/>
      <w:bCs/>
    </w:rPr>
  </w:style>
  <w:style w:type="character" w:customStyle="1" w:styleId="CommentSubjectChar">
    <w:name w:val="Comment Subject Char"/>
    <w:basedOn w:val="CommentTextChar"/>
    <w:link w:val="CommentSubject"/>
    <w:uiPriority w:val="99"/>
    <w:semiHidden/>
    <w:rsid w:val="0008429F"/>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08429F"/>
    <w:rPr>
      <w:rFonts w:ascii="Tahoma" w:hAnsi="Tahoma" w:cs="Tahoma"/>
      <w:sz w:val="16"/>
      <w:szCs w:val="16"/>
    </w:rPr>
  </w:style>
  <w:style w:type="character" w:customStyle="1" w:styleId="BalloonTextChar">
    <w:name w:val="Balloon Text Char"/>
    <w:basedOn w:val="DefaultParagraphFont"/>
    <w:link w:val="BalloonText"/>
    <w:uiPriority w:val="99"/>
    <w:semiHidden/>
    <w:rsid w:val="000842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EF"/>
    <w:pPr>
      <w:widowControl w:val="0"/>
      <w:autoSpaceDE w:val="0"/>
      <w:autoSpaceDN w:val="0"/>
      <w:adjustRightInd w:val="0"/>
    </w:pPr>
    <w:rPr>
      <w:rFonts w:ascii="Arial" w:eastAsia="Times New Roman" w:hAnsi="Arial" w:cs="Arial"/>
      <w:sz w:val="20"/>
      <w:szCs w:val="20"/>
    </w:rPr>
  </w:style>
  <w:style w:type="paragraph" w:styleId="Heading2">
    <w:name w:val="heading 2"/>
    <w:basedOn w:val="Normal"/>
    <w:next w:val="Normal"/>
    <w:link w:val="Heading2Char"/>
    <w:qFormat/>
    <w:rsid w:val="00FE40EF"/>
    <w:pPr>
      <w:keepNext/>
      <w:widowControl/>
      <w:tabs>
        <w:tab w:val="center" w:pos="11430"/>
      </w:tabs>
      <w:spacing w:before="307" w:line="259" w:lineRule="exact"/>
      <w:ind w:right="-30"/>
      <w:outlineLvl w:val="1"/>
    </w:pPr>
    <w:rPr>
      <w:rFonts w:ascii="Times New Roman" w:hAnsi="Times New Roman"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903BB"/>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9903BB"/>
    <w:rPr>
      <w:rFonts w:eastAsiaTheme="majorEastAsia" w:cstheme="majorBidi"/>
    </w:rPr>
  </w:style>
  <w:style w:type="character" w:customStyle="1" w:styleId="Heading2Char">
    <w:name w:val="Heading 2 Char"/>
    <w:basedOn w:val="DefaultParagraphFont"/>
    <w:link w:val="Heading2"/>
    <w:rsid w:val="00FE40EF"/>
    <w:rPr>
      <w:rFonts w:eastAsia="Times New Roman" w:cs="Times New Roman"/>
    </w:rPr>
  </w:style>
  <w:style w:type="paragraph" w:styleId="BodyText2">
    <w:name w:val="Body Text 2"/>
    <w:basedOn w:val="Normal"/>
    <w:link w:val="BodyText2Char"/>
    <w:rsid w:val="00FE40EF"/>
    <w:pPr>
      <w:widowControl/>
      <w:spacing w:before="288" w:line="230" w:lineRule="exact"/>
    </w:pPr>
    <w:rPr>
      <w:rFonts w:ascii="Times New Roman" w:hAnsi="Times New Roman" w:cs="Times New Roman"/>
      <w:color w:val="00FFFF"/>
      <w:sz w:val="24"/>
      <w:szCs w:val="24"/>
    </w:rPr>
  </w:style>
  <w:style w:type="character" w:customStyle="1" w:styleId="BodyText2Char">
    <w:name w:val="Body Text 2 Char"/>
    <w:basedOn w:val="DefaultParagraphFont"/>
    <w:link w:val="BodyText2"/>
    <w:rsid w:val="00FE40EF"/>
    <w:rPr>
      <w:rFonts w:eastAsia="Times New Roman" w:cs="Times New Roman"/>
      <w:color w:val="00FFFF"/>
      <w:szCs w:val="24"/>
    </w:rPr>
  </w:style>
  <w:style w:type="paragraph" w:styleId="BodyText">
    <w:name w:val="Body Text"/>
    <w:basedOn w:val="Normal"/>
    <w:link w:val="BodyTextChar"/>
    <w:rsid w:val="00FE40EF"/>
    <w:pPr>
      <w:widowControl/>
      <w:spacing w:before="33" w:line="244" w:lineRule="exact"/>
    </w:pPr>
    <w:rPr>
      <w:rFonts w:ascii="Times New Roman" w:hAnsi="Times New Roman" w:cs="Times New Roman"/>
      <w:color w:val="000000"/>
      <w:sz w:val="24"/>
      <w:szCs w:val="24"/>
    </w:rPr>
  </w:style>
  <w:style w:type="character" w:customStyle="1" w:styleId="BodyTextChar">
    <w:name w:val="Body Text Char"/>
    <w:basedOn w:val="DefaultParagraphFont"/>
    <w:link w:val="BodyText"/>
    <w:rsid w:val="00FE40EF"/>
    <w:rPr>
      <w:rFonts w:eastAsia="Times New Roman" w:cs="Times New Roman"/>
      <w:color w:val="000000"/>
      <w:szCs w:val="24"/>
    </w:rPr>
  </w:style>
  <w:style w:type="paragraph" w:styleId="Footer">
    <w:name w:val="footer"/>
    <w:basedOn w:val="Normal"/>
    <w:link w:val="FooterChar"/>
    <w:uiPriority w:val="99"/>
    <w:rsid w:val="00FE40EF"/>
    <w:pPr>
      <w:tabs>
        <w:tab w:val="center" w:pos="4680"/>
        <w:tab w:val="right" w:pos="9360"/>
      </w:tabs>
    </w:pPr>
  </w:style>
  <w:style w:type="character" w:customStyle="1" w:styleId="FooterChar">
    <w:name w:val="Footer Char"/>
    <w:basedOn w:val="DefaultParagraphFont"/>
    <w:link w:val="Footer"/>
    <w:uiPriority w:val="99"/>
    <w:rsid w:val="00FE40EF"/>
    <w:rPr>
      <w:rFonts w:ascii="Arial" w:eastAsia="Times New Roman" w:hAnsi="Arial" w:cs="Arial"/>
      <w:sz w:val="20"/>
      <w:szCs w:val="20"/>
    </w:rPr>
  </w:style>
  <w:style w:type="character" w:styleId="Hyperlink">
    <w:name w:val="Hyperlink"/>
    <w:rsid w:val="00FE40EF"/>
    <w:rPr>
      <w:color w:val="0000FF"/>
      <w:u w:val="single"/>
    </w:rPr>
  </w:style>
  <w:style w:type="paragraph" w:styleId="ListParagraph">
    <w:name w:val="List Paragraph"/>
    <w:basedOn w:val="Normal"/>
    <w:uiPriority w:val="34"/>
    <w:qFormat/>
    <w:rsid w:val="00E43969"/>
    <w:pPr>
      <w:ind w:left="720"/>
      <w:contextualSpacing/>
    </w:pPr>
  </w:style>
  <w:style w:type="character" w:styleId="CommentReference">
    <w:name w:val="annotation reference"/>
    <w:basedOn w:val="DefaultParagraphFont"/>
    <w:uiPriority w:val="99"/>
    <w:semiHidden/>
    <w:unhideWhenUsed/>
    <w:rsid w:val="0008429F"/>
    <w:rPr>
      <w:sz w:val="16"/>
      <w:szCs w:val="16"/>
    </w:rPr>
  </w:style>
  <w:style w:type="paragraph" w:styleId="CommentText">
    <w:name w:val="annotation text"/>
    <w:basedOn w:val="Normal"/>
    <w:link w:val="CommentTextChar"/>
    <w:uiPriority w:val="99"/>
    <w:semiHidden/>
    <w:unhideWhenUsed/>
    <w:rsid w:val="0008429F"/>
  </w:style>
  <w:style w:type="character" w:customStyle="1" w:styleId="CommentTextChar">
    <w:name w:val="Comment Text Char"/>
    <w:basedOn w:val="DefaultParagraphFont"/>
    <w:link w:val="CommentText"/>
    <w:uiPriority w:val="99"/>
    <w:semiHidden/>
    <w:rsid w:val="0008429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8429F"/>
    <w:rPr>
      <w:b/>
      <w:bCs/>
    </w:rPr>
  </w:style>
  <w:style w:type="character" w:customStyle="1" w:styleId="CommentSubjectChar">
    <w:name w:val="Comment Subject Char"/>
    <w:basedOn w:val="CommentTextChar"/>
    <w:link w:val="CommentSubject"/>
    <w:uiPriority w:val="99"/>
    <w:semiHidden/>
    <w:rsid w:val="0008429F"/>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08429F"/>
    <w:rPr>
      <w:rFonts w:ascii="Tahoma" w:hAnsi="Tahoma" w:cs="Tahoma"/>
      <w:sz w:val="16"/>
      <w:szCs w:val="16"/>
    </w:rPr>
  </w:style>
  <w:style w:type="character" w:customStyle="1" w:styleId="BalloonTextChar">
    <w:name w:val="Balloon Text Char"/>
    <w:basedOn w:val="DefaultParagraphFont"/>
    <w:link w:val="BalloonText"/>
    <w:uiPriority w:val="99"/>
    <w:semiHidden/>
    <w:rsid w:val="000842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saefiling.fincen.treas.gov/mai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cen.gov/foia/files/FinCEN_79_FR_2096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stephr</dc:creator>
  <cp:lastModifiedBy>Stephenson, Russell</cp:lastModifiedBy>
  <cp:revision>2</cp:revision>
  <dcterms:created xsi:type="dcterms:W3CDTF">2015-03-25T13:42:00Z</dcterms:created>
  <dcterms:modified xsi:type="dcterms:W3CDTF">2015-03-25T13:42:00Z</dcterms:modified>
</cp:coreProperties>
</file>