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07" w:rsidRPr="00424B12" w:rsidRDefault="00E70907" w:rsidP="00E70907">
      <w:pPr>
        <w:pStyle w:val="CoverTextRed16pt"/>
        <w:ind w:left="5760"/>
        <w:rPr>
          <w:noProof/>
          <w:color w:val="000000" w:themeColor="text1"/>
        </w:rPr>
      </w:pPr>
      <w:bookmarkStart w:id="0" w:name="_GoBack"/>
      <w:bookmarkEnd w:id="0"/>
      <w:r w:rsidRPr="00A63B6C">
        <w:rPr>
          <w:noProof/>
          <w:color w:val="000000" w:themeColor="text1"/>
        </w:rPr>
        <w:drawing>
          <wp:anchor distT="0" distB="0" distL="114300" distR="114300" simplePos="0" relativeHeight="251659264" behindDoc="0" locked="0" layoutInCell="1" allowOverlap="1" wp14:anchorId="75520E6D" wp14:editId="6800643B">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r w:rsidRPr="00A63B6C">
        <w:rPr>
          <w:noProof/>
          <w:color w:val="000000" w:themeColor="text1"/>
        </w:rPr>
        <w:t xml:space="preserve">Part A: Supporting Statement for Paperwork </w:t>
      </w:r>
      <w:r w:rsidRPr="00424B12">
        <w:rPr>
          <w:noProof/>
          <w:color w:val="000000" w:themeColor="text1"/>
        </w:rPr>
        <w:t>Reduction Act Submission</w:t>
      </w:r>
    </w:p>
    <w:p w:rsidR="00E70907" w:rsidRPr="00424B12" w:rsidRDefault="00E70907" w:rsidP="00E70907">
      <w:pPr>
        <w:pStyle w:val="CoverText-Address"/>
        <w:rPr>
          <w:noProof/>
          <w:color w:val="000000" w:themeColor="text1"/>
        </w:rPr>
      </w:pPr>
    </w:p>
    <w:p w:rsidR="00E70907" w:rsidRPr="00424B12" w:rsidRDefault="00E70907" w:rsidP="00E70907">
      <w:pPr>
        <w:pStyle w:val="CoverText-Address"/>
        <w:rPr>
          <w:noProof/>
          <w:color w:val="000000" w:themeColor="text1"/>
        </w:rPr>
      </w:pPr>
    </w:p>
    <w:p w:rsidR="00E70907" w:rsidRPr="00424B12" w:rsidRDefault="00E70907" w:rsidP="00E70907">
      <w:pPr>
        <w:pStyle w:val="CoverText-Address"/>
        <w:rPr>
          <w:noProof/>
          <w:color w:val="000000" w:themeColor="text1"/>
        </w:rPr>
      </w:pPr>
    </w:p>
    <w:p w:rsidR="00E70907" w:rsidRPr="00424B12" w:rsidRDefault="00E70907" w:rsidP="00E70907">
      <w:pPr>
        <w:pStyle w:val="CoverTextRed16pt"/>
        <w:ind w:left="5760"/>
        <w:rPr>
          <w:noProof/>
          <w:color w:val="000000" w:themeColor="text1"/>
        </w:rPr>
      </w:pPr>
      <w:r w:rsidRPr="00424B12">
        <w:rPr>
          <w:noProof/>
          <w:color w:val="000000" w:themeColor="text1"/>
        </w:rPr>
        <w:t xml:space="preserve">Effectiveness of Promising Strategies in Federal College Access Programs: Study of </w:t>
      </w:r>
      <w:r w:rsidR="008800B5">
        <w:rPr>
          <w:noProof/>
          <w:color w:val="000000" w:themeColor="text1"/>
        </w:rPr>
        <w:t xml:space="preserve">Student Messaging in </w:t>
      </w:r>
      <w:r w:rsidRPr="00424B12">
        <w:rPr>
          <w:noProof/>
          <w:color w:val="000000" w:themeColor="text1"/>
        </w:rPr>
        <w:t xml:space="preserve">GEAR UP </w:t>
      </w:r>
    </w:p>
    <w:p w:rsidR="00E70907" w:rsidRPr="00424B12" w:rsidRDefault="00E70907" w:rsidP="00E70907">
      <w:pPr>
        <w:pStyle w:val="CoverText-Address"/>
        <w:rPr>
          <w:color w:val="000000" w:themeColor="text1"/>
        </w:rPr>
      </w:pPr>
    </w:p>
    <w:p w:rsidR="00E70907" w:rsidRPr="00424B12" w:rsidRDefault="00E70907" w:rsidP="00E70907">
      <w:pPr>
        <w:pStyle w:val="CoverTextGreyBold"/>
        <w:rPr>
          <w:color w:val="000000" w:themeColor="text1"/>
        </w:rPr>
      </w:pPr>
    </w:p>
    <w:p w:rsidR="00E70907" w:rsidRPr="00424B12" w:rsidRDefault="00E70907" w:rsidP="00E70907">
      <w:pPr>
        <w:pStyle w:val="CoverText-Address"/>
        <w:rPr>
          <w:color w:val="000000" w:themeColor="text1"/>
        </w:rPr>
      </w:pPr>
    </w:p>
    <w:p w:rsidR="00E70907" w:rsidRPr="00424B12" w:rsidRDefault="00E70907" w:rsidP="00E70907">
      <w:pPr>
        <w:pStyle w:val="CoverText-Address"/>
        <w:rPr>
          <w:color w:val="000000" w:themeColor="text1"/>
        </w:rPr>
      </w:pPr>
    </w:p>
    <w:p w:rsidR="00E70907" w:rsidRDefault="00E70907" w:rsidP="00E70907">
      <w:pPr>
        <w:pStyle w:val="CoverText-Address"/>
        <w:rPr>
          <w:b/>
        </w:rPr>
      </w:pPr>
    </w:p>
    <w:p w:rsidR="00E70907" w:rsidRPr="00A63B6C" w:rsidRDefault="00E70907" w:rsidP="00E70907">
      <w:pPr>
        <w:pStyle w:val="CoverText-Address"/>
        <w:rPr>
          <w:b/>
          <w:color w:val="000000" w:themeColor="text1"/>
        </w:rPr>
      </w:pPr>
    </w:p>
    <w:p w:rsidR="00E70907" w:rsidRPr="00A63B6C" w:rsidRDefault="00E70907" w:rsidP="00E70907">
      <w:pPr>
        <w:pStyle w:val="CoverText-Address"/>
        <w:rPr>
          <w:color w:val="000000" w:themeColor="text1"/>
        </w:rPr>
      </w:pPr>
    </w:p>
    <w:p w:rsidR="00E70907" w:rsidRPr="00A63B6C" w:rsidRDefault="00E70907" w:rsidP="00E70907">
      <w:pPr>
        <w:tabs>
          <w:tab w:val="left" w:pos="720"/>
          <w:tab w:val="left" w:pos="1080"/>
          <w:tab w:val="left" w:pos="1440"/>
          <w:tab w:val="left" w:pos="1800"/>
          <w:tab w:val="left" w:pos="6660"/>
        </w:tabs>
        <w:spacing w:after="0"/>
        <w:ind w:left="6490" w:right="-540"/>
        <w:jc w:val="right"/>
        <w:rPr>
          <w:rFonts w:ascii="Arial" w:hAnsi="Arial"/>
          <w:color w:val="000000" w:themeColor="text1"/>
        </w:rPr>
      </w:pPr>
    </w:p>
    <w:p w:rsidR="00E70907" w:rsidRPr="00A63B6C" w:rsidRDefault="00E70907" w:rsidP="00E70907">
      <w:pPr>
        <w:pStyle w:val="CoverText11pt"/>
        <w:rPr>
          <w:color w:val="000000" w:themeColor="text1"/>
        </w:rPr>
      </w:pPr>
      <w:r w:rsidRPr="00A63B6C">
        <w:rPr>
          <w:color w:val="000000" w:themeColor="text1"/>
        </w:rPr>
        <w:t>Prepared for:</w:t>
      </w:r>
    </w:p>
    <w:p w:rsidR="00E70907" w:rsidRPr="00A63B6C" w:rsidRDefault="00E70907" w:rsidP="00E70907">
      <w:pPr>
        <w:pStyle w:val="CoverText-Address"/>
        <w:ind w:left="5760"/>
        <w:rPr>
          <w:color w:val="000000" w:themeColor="text1"/>
        </w:rPr>
      </w:pPr>
      <w:r w:rsidRPr="00A63B6C">
        <w:rPr>
          <w:color w:val="000000" w:themeColor="text1"/>
        </w:rPr>
        <w:t>Marsha Silverberg</w:t>
      </w:r>
    </w:p>
    <w:p w:rsidR="00E70907" w:rsidRPr="00A63B6C" w:rsidRDefault="00E70907" w:rsidP="00E70907">
      <w:pPr>
        <w:pStyle w:val="CoverText-Address"/>
        <w:ind w:left="5760"/>
        <w:rPr>
          <w:b/>
          <w:color w:val="000000" w:themeColor="text1"/>
        </w:rPr>
      </w:pPr>
      <w:r w:rsidRPr="00A63B6C">
        <w:rPr>
          <w:b/>
          <w:color w:val="000000" w:themeColor="text1"/>
        </w:rPr>
        <w:t>U.S. Department of Education</w:t>
      </w:r>
    </w:p>
    <w:p w:rsidR="00E70907" w:rsidRPr="00A63B6C" w:rsidRDefault="00E70907" w:rsidP="00E70907">
      <w:pPr>
        <w:pStyle w:val="CoverText-Address"/>
        <w:ind w:left="5760"/>
        <w:rPr>
          <w:color w:val="000000" w:themeColor="text1"/>
        </w:rPr>
      </w:pPr>
      <w:r w:rsidRPr="00A63B6C">
        <w:rPr>
          <w:color w:val="000000" w:themeColor="text1"/>
        </w:rPr>
        <w:t>555 New Jersey Ave, NW</w:t>
      </w:r>
    </w:p>
    <w:p w:rsidR="00E70907" w:rsidRPr="00A63B6C" w:rsidRDefault="00E70907" w:rsidP="00E70907">
      <w:pPr>
        <w:pStyle w:val="CoverText-Address"/>
        <w:ind w:left="5760"/>
        <w:rPr>
          <w:color w:val="000000" w:themeColor="text1"/>
        </w:rPr>
      </w:pPr>
      <w:r w:rsidRPr="00A63B6C">
        <w:rPr>
          <w:color w:val="000000" w:themeColor="text1"/>
        </w:rPr>
        <w:t>Room 502I</w:t>
      </w:r>
    </w:p>
    <w:p w:rsidR="00E70907" w:rsidRPr="00A63B6C" w:rsidRDefault="00E70907" w:rsidP="00E70907">
      <w:pPr>
        <w:pStyle w:val="CoverText-Address"/>
        <w:ind w:left="5760"/>
        <w:rPr>
          <w:color w:val="000000" w:themeColor="text1"/>
        </w:rPr>
      </w:pPr>
      <w:r w:rsidRPr="00A63B6C">
        <w:rPr>
          <w:color w:val="000000" w:themeColor="text1"/>
        </w:rPr>
        <w:t>Washington, DC 20208-5500</w:t>
      </w:r>
    </w:p>
    <w:p w:rsidR="00E70907" w:rsidRPr="00A63B6C" w:rsidRDefault="00E70907" w:rsidP="00E70907">
      <w:pPr>
        <w:pStyle w:val="CoverText-Address"/>
        <w:rPr>
          <w:color w:val="000000" w:themeColor="text1"/>
        </w:rPr>
      </w:pPr>
    </w:p>
    <w:p w:rsidR="00E70907" w:rsidRPr="00A63B6C" w:rsidRDefault="00E70907" w:rsidP="00E70907">
      <w:pPr>
        <w:pStyle w:val="CoverText-Address"/>
        <w:rPr>
          <w:color w:val="000000" w:themeColor="text1"/>
        </w:rPr>
      </w:pPr>
    </w:p>
    <w:p w:rsidR="00E70907" w:rsidRPr="00A63B6C" w:rsidRDefault="00E70907" w:rsidP="00E70907">
      <w:pPr>
        <w:pStyle w:val="CoverText-Address"/>
        <w:rPr>
          <w:color w:val="000000" w:themeColor="text1"/>
        </w:rPr>
      </w:pPr>
    </w:p>
    <w:p w:rsidR="00E70907" w:rsidRPr="00A63B6C" w:rsidRDefault="00E70907" w:rsidP="00E70907">
      <w:pPr>
        <w:pStyle w:val="CoverText11pt"/>
        <w:rPr>
          <w:color w:val="000000" w:themeColor="text1"/>
        </w:rPr>
      </w:pPr>
      <w:r w:rsidRPr="00A63B6C">
        <w:rPr>
          <w:color w:val="000000" w:themeColor="text1"/>
        </w:rPr>
        <w:t>Submitted by:</w:t>
      </w:r>
    </w:p>
    <w:p w:rsidR="00E70907" w:rsidRPr="00A63B6C" w:rsidRDefault="00E70907" w:rsidP="00E70907">
      <w:pPr>
        <w:pStyle w:val="CoverText-Address"/>
        <w:rPr>
          <w:b/>
          <w:color w:val="000000" w:themeColor="text1"/>
        </w:rPr>
      </w:pPr>
      <w:proofErr w:type="spellStart"/>
      <w:r w:rsidRPr="00A63B6C">
        <w:rPr>
          <w:b/>
          <w:color w:val="000000" w:themeColor="text1"/>
        </w:rPr>
        <w:t>Abt</w:t>
      </w:r>
      <w:proofErr w:type="spellEnd"/>
      <w:r w:rsidRPr="00A63B6C">
        <w:rPr>
          <w:b/>
          <w:color w:val="000000" w:themeColor="text1"/>
        </w:rPr>
        <w:t xml:space="preserve"> Associates Inc.</w:t>
      </w:r>
    </w:p>
    <w:p w:rsidR="00E70907" w:rsidRPr="00A63B6C" w:rsidRDefault="00E70907" w:rsidP="00E70907">
      <w:pPr>
        <w:pStyle w:val="CoverText-Address"/>
        <w:rPr>
          <w:color w:val="000000" w:themeColor="text1"/>
        </w:rPr>
      </w:pPr>
      <w:r w:rsidRPr="00A63B6C">
        <w:rPr>
          <w:color w:val="000000" w:themeColor="text1"/>
        </w:rPr>
        <w:t>55 Wheeler Street</w:t>
      </w:r>
    </w:p>
    <w:p w:rsidR="00E70907" w:rsidRPr="001E2CF1" w:rsidRDefault="00E70907" w:rsidP="00E70907">
      <w:pPr>
        <w:pStyle w:val="CoverText-Address"/>
      </w:pPr>
      <w:r w:rsidRPr="00A63B6C">
        <w:rPr>
          <w:color w:val="000000" w:themeColor="text1"/>
        </w:rPr>
        <w:t>Cambridge, MA 02138</w:t>
      </w:r>
    </w:p>
    <w:p w:rsidR="00E70907" w:rsidRDefault="00E70907" w:rsidP="00E70907">
      <w:pPr>
        <w:pStyle w:val="CoverText-Address"/>
      </w:pPr>
    </w:p>
    <w:p w:rsidR="00E70907" w:rsidRDefault="00E70907" w:rsidP="00E70907">
      <w:pPr>
        <w:pStyle w:val="CoverText-Address"/>
      </w:pPr>
    </w:p>
    <w:p w:rsidR="00E70907" w:rsidRDefault="00E70907" w:rsidP="00E70907">
      <w:pPr>
        <w:pStyle w:val="CoverText-Address"/>
      </w:pPr>
    </w:p>
    <w:p w:rsidR="00E70907" w:rsidRPr="001E2CF1" w:rsidRDefault="00E70907" w:rsidP="00E70907">
      <w:pPr>
        <w:pStyle w:val="CoverText-Address"/>
      </w:pPr>
    </w:p>
    <w:p w:rsidR="00E70907" w:rsidRPr="001E2CF1" w:rsidRDefault="00E70907" w:rsidP="00E70907">
      <w:pPr>
        <w:pStyle w:val="CoverText-Address"/>
      </w:pPr>
    </w:p>
    <w:p w:rsidR="00E70907" w:rsidRDefault="00E70907" w:rsidP="00E70907">
      <w:pPr>
        <w:pStyle w:val="ReportTitle-TOCPage"/>
        <w:sectPr w:rsidR="00E70907" w:rsidSect="00045B6C">
          <w:headerReference w:type="default" r:id="rId10"/>
          <w:footerReference w:type="default" r:id="rId11"/>
          <w:headerReference w:type="first" r:id="rId12"/>
          <w:footerReference w:type="first" r:id="rId13"/>
          <w:pgSz w:w="12240" w:h="15840" w:code="1"/>
          <w:pgMar w:top="1440" w:right="1440" w:bottom="1440" w:left="1800" w:header="1080" w:footer="720" w:gutter="0"/>
          <w:pgNumType w:fmt="lowerRoman" w:start="1"/>
          <w:cols w:space="720"/>
          <w:titlePg/>
          <w:docGrid w:linePitch="299"/>
        </w:sectPr>
      </w:pPr>
    </w:p>
    <w:p w:rsidR="00E70907" w:rsidRPr="006B1DA6" w:rsidRDefault="00E70907" w:rsidP="00541C15">
      <w:pPr>
        <w:pStyle w:val="Heading1"/>
        <w:numPr>
          <w:ilvl w:val="0"/>
          <w:numId w:val="0"/>
        </w:numPr>
        <w:ind w:left="432" w:hanging="432"/>
      </w:pPr>
      <w:bookmarkStart w:id="1" w:name="_Toc421022220"/>
      <w:r>
        <w:lastRenderedPageBreak/>
        <w:t>Part A: Supporting Statement for Paperwork Reduction Act Submission</w:t>
      </w:r>
      <w:bookmarkEnd w:id="1"/>
    </w:p>
    <w:p w:rsidR="00E70907" w:rsidRPr="00A178FC" w:rsidRDefault="00E70907" w:rsidP="00E70907">
      <w:pPr>
        <w:pStyle w:val="TOCHeader"/>
      </w:pPr>
      <w:r w:rsidRPr="00A178FC">
        <w:t>Table of Contents</w:t>
      </w:r>
    </w:p>
    <w:p w:rsidR="007C1B09" w:rsidRDefault="00E70907">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421022220" w:history="1">
        <w:r w:rsidR="007C1B09" w:rsidRPr="005A31AB">
          <w:rPr>
            <w:rStyle w:val="Hyperlink"/>
          </w:rPr>
          <w:t>Part A: Supporting Statement for Paperwork Reduction Act Submission</w:t>
        </w:r>
        <w:r w:rsidR="007C1B09">
          <w:rPr>
            <w:webHidden/>
          </w:rPr>
          <w:tab/>
        </w:r>
        <w:r w:rsidR="007C1B09">
          <w:rPr>
            <w:webHidden/>
          </w:rPr>
          <w:fldChar w:fldCharType="begin"/>
        </w:r>
        <w:r w:rsidR="007C1B09">
          <w:rPr>
            <w:webHidden/>
          </w:rPr>
          <w:instrText xml:space="preserve"> PAGEREF _Toc421022220 \h </w:instrText>
        </w:r>
        <w:r w:rsidR="007C1B09">
          <w:rPr>
            <w:webHidden/>
          </w:rPr>
        </w:r>
        <w:r w:rsidR="007C1B09">
          <w:rPr>
            <w:webHidden/>
          </w:rPr>
          <w:fldChar w:fldCharType="separate"/>
        </w:r>
        <w:r w:rsidR="007C1B09">
          <w:rPr>
            <w:webHidden/>
          </w:rPr>
          <w:t>i</w:t>
        </w:r>
        <w:r w:rsidR="007C1B09">
          <w:rPr>
            <w:webHidden/>
          </w:rPr>
          <w:fldChar w:fldCharType="end"/>
        </w:r>
      </w:hyperlink>
    </w:p>
    <w:p w:rsidR="007C1B09" w:rsidRDefault="00692C17">
      <w:pPr>
        <w:pStyle w:val="TOC1"/>
        <w:rPr>
          <w:rFonts w:asciiTheme="minorHAnsi" w:eastAsiaTheme="minorEastAsia" w:hAnsiTheme="minorHAnsi" w:cstheme="minorBidi"/>
          <w:b w:val="0"/>
          <w:szCs w:val="22"/>
        </w:rPr>
      </w:pPr>
      <w:hyperlink w:anchor="_Toc421022221" w:history="1">
        <w:r w:rsidR="007C1B09" w:rsidRPr="005A31AB">
          <w:rPr>
            <w:rStyle w:val="Hyperlink"/>
          </w:rPr>
          <w:t>A.</w:t>
        </w:r>
        <w:r w:rsidR="007C1B09">
          <w:rPr>
            <w:rFonts w:asciiTheme="minorHAnsi" w:eastAsiaTheme="minorEastAsia" w:hAnsiTheme="minorHAnsi" w:cstheme="minorBidi"/>
            <w:b w:val="0"/>
            <w:szCs w:val="22"/>
          </w:rPr>
          <w:tab/>
        </w:r>
        <w:r w:rsidR="007C1B09" w:rsidRPr="005A31AB">
          <w:rPr>
            <w:rStyle w:val="Hyperlink"/>
          </w:rPr>
          <w:t>Justification</w:t>
        </w:r>
        <w:r w:rsidR="007C1B09">
          <w:rPr>
            <w:webHidden/>
          </w:rPr>
          <w:tab/>
        </w:r>
        <w:r w:rsidR="007C1B09">
          <w:rPr>
            <w:webHidden/>
          </w:rPr>
          <w:fldChar w:fldCharType="begin"/>
        </w:r>
        <w:r w:rsidR="007C1B09">
          <w:rPr>
            <w:webHidden/>
          </w:rPr>
          <w:instrText xml:space="preserve"> PAGEREF _Toc421022221 \h </w:instrText>
        </w:r>
        <w:r w:rsidR="007C1B09">
          <w:rPr>
            <w:webHidden/>
          </w:rPr>
        </w:r>
        <w:r w:rsidR="007C1B09">
          <w:rPr>
            <w:webHidden/>
          </w:rPr>
          <w:fldChar w:fldCharType="separate"/>
        </w:r>
        <w:r w:rsidR="007C1B09">
          <w:rPr>
            <w:webHidden/>
          </w:rPr>
          <w:t>A-1</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22" w:history="1">
        <w:r w:rsidR="007C1B09" w:rsidRPr="005A31AB">
          <w:rPr>
            <w:rStyle w:val="Hyperlink"/>
          </w:rPr>
          <w:t>Introduction</w:t>
        </w:r>
        <w:r w:rsidR="007C1B09">
          <w:rPr>
            <w:webHidden/>
          </w:rPr>
          <w:tab/>
        </w:r>
        <w:r w:rsidR="007C1B09">
          <w:rPr>
            <w:webHidden/>
          </w:rPr>
          <w:fldChar w:fldCharType="begin"/>
        </w:r>
        <w:r w:rsidR="007C1B09">
          <w:rPr>
            <w:webHidden/>
          </w:rPr>
          <w:instrText xml:space="preserve"> PAGEREF _Toc421022222 \h </w:instrText>
        </w:r>
        <w:r w:rsidR="007C1B09">
          <w:rPr>
            <w:webHidden/>
          </w:rPr>
        </w:r>
        <w:r w:rsidR="007C1B09">
          <w:rPr>
            <w:webHidden/>
          </w:rPr>
          <w:fldChar w:fldCharType="separate"/>
        </w:r>
        <w:r w:rsidR="007C1B09">
          <w:rPr>
            <w:webHidden/>
          </w:rPr>
          <w:t>A-1</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23" w:history="1">
        <w:r w:rsidR="007C1B09" w:rsidRPr="005A31AB">
          <w:rPr>
            <w:rStyle w:val="Hyperlink"/>
          </w:rPr>
          <w:t>A.1</w:t>
        </w:r>
        <w:r w:rsidR="007C1B09">
          <w:rPr>
            <w:rFonts w:asciiTheme="minorHAnsi" w:eastAsiaTheme="minorEastAsia" w:hAnsiTheme="minorHAnsi" w:cstheme="minorBidi"/>
            <w:szCs w:val="22"/>
          </w:rPr>
          <w:tab/>
        </w:r>
        <w:r w:rsidR="007C1B09" w:rsidRPr="005A31AB">
          <w:rPr>
            <w:rStyle w:val="Hyperlink"/>
          </w:rPr>
          <w:t>Circumstances Making the Collection of Information Necessary</w:t>
        </w:r>
        <w:r w:rsidR="007C1B09">
          <w:rPr>
            <w:webHidden/>
          </w:rPr>
          <w:tab/>
        </w:r>
        <w:r w:rsidR="007C1B09">
          <w:rPr>
            <w:webHidden/>
          </w:rPr>
          <w:fldChar w:fldCharType="begin"/>
        </w:r>
        <w:r w:rsidR="007C1B09">
          <w:rPr>
            <w:webHidden/>
          </w:rPr>
          <w:instrText xml:space="preserve"> PAGEREF _Toc421022223 \h </w:instrText>
        </w:r>
        <w:r w:rsidR="007C1B09">
          <w:rPr>
            <w:webHidden/>
          </w:rPr>
        </w:r>
        <w:r w:rsidR="007C1B09">
          <w:rPr>
            <w:webHidden/>
          </w:rPr>
          <w:fldChar w:fldCharType="separate"/>
        </w:r>
        <w:r w:rsidR="007C1B09">
          <w:rPr>
            <w:webHidden/>
          </w:rPr>
          <w:t>A-6</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24" w:history="1">
        <w:r w:rsidR="007C1B09" w:rsidRPr="005A31AB">
          <w:rPr>
            <w:rStyle w:val="Hyperlink"/>
          </w:rPr>
          <w:t>A.2</w:t>
        </w:r>
        <w:r w:rsidR="007C1B09">
          <w:rPr>
            <w:rFonts w:asciiTheme="minorHAnsi" w:eastAsiaTheme="minorEastAsia" w:hAnsiTheme="minorHAnsi" w:cstheme="minorBidi"/>
            <w:szCs w:val="22"/>
          </w:rPr>
          <w:tab/>
        </w:r>
        <w:r w:rsidR="007C1B09" w:rsidRPr="005A31AB">
          <w:rPr>
            <w:rStyle w:val="Hyperlink"/>
          </w:rPr>
          <w:t>Purposes and Use of the Information Collection</w:t>
        </w:r>
        <w:r w:rsidR="007C1B09">
          <w:rPr>
            <w:webHidden/>
          </w:rPr>
          <w:tab/>
        </w:r>
        <w:r w:rsidR="007C1B09">
          <w:rPr>
            <w:webHidden/>
          </w:rPr>
          <w:fldChar w:fldCharType="begin"/>
        </w:r>
        <w:r w:rsidR="007C1B09">
          <w:rPr>
            <w:webHidden/>
          </w:rPr>
          <w:instrText xml:space="preserve"> PAGEREF _Toc421022224 \h </w:instrText>
        </w:r>
        <w:r w:rsidR="007C1B09">
          <w:rPr>
            <w:webHidden/>
          </w:rPr>
        </w:r>
        <w:r w:rsidR="007C1B09">
          <w:rPr>
            <w:webHidden/>
          </w:rPr>
          <w:fldChar w:fldCharType="separate"/>
        </w:r>
        <w:r w:rsidR="007C1B09">
          <w:rPr>
            <w:webHidden/>
          </w:rPr>
          <w:t>A-7</w:t>
        </w:r>
        <w:r w:rsidR="007C1B09">
          <w:rPr>
            <w:webHidden/>
          </w:rPr>
          <w:fldChar w:fldCharType="end"/>
        </w:r>
      </w:hyperlink>
    </w:p>
    <w:p w:rsidR="007C1B09" w:rsidRDefault="00692C17">
      <w:pPr>
        <w:pStyle w:val="TOC3"/>
        <w:rPr>
          <w:rFonts w:asciiTheme="minorHAnsi" w:eastAsiaTheme="minorEastAsia" w:hAnsiTheme="minorHAnsi" w:cstheme="minorBidi"/>
          <w:szCs w:val="22"/>
        </w:rPr>
      </w:pPr>
      <w:hyperlink w:anchor="_Toc421022225" w:history="1">
        <w:r w:rsidR="007C1B09" w:rsidRPr="005A31AB">
          <w:rPr>
            <w:rStyle w:val="Hyperlink"/>
          </w:rPr>
          <w:t>A.2.1</w:t>
        </w:r>
        <w:r w:rsidR="007C1B09">
          <w:rPr>
            <w:rFonts w:asciiTheme="minorHAnsi" w:eastAsiaTheme="minorEastAsia" w:hAnsiTheme="minorHAnsi" w:cstheme="minorBidi"/>
            <w:szCs w:val="22"/>
          </w:rPr>
          <w:tab/>
        </w:r>
        <w:r w:rsidR="007C1B09" w:rsidRPr="005A31AB">
          <w:rPr>
            <w:rStyle w:val="Hyperlink"/>
          </w:rPr>
          <w:t>Data to Be Collected</w:t>
        </w:r>
        <w:r w:rsidR="007C1B09">
          <w:rPr>
            <w:webHidden/>
          </w:rPr>
          <w:tab/>
        </w:r>
        <w:r w:rsidR="007C1B09">
          <w:rPr>
            <w:webHidden/>
          </w:rPr>
          <w:fldChar w:fldCharType="begin"/>
        </w:r>
        <w:r w:rsidR="007C1B09">
          <w:rPr>
            <w:webHidden/>
          </w:rPr>
          <w:instrText xml:space="preserve"> PAGEREF _Toc421022225 \h </w:instrText>
        </w:r>
        <w:r w:rsidR="007C1B09">
          <w:rPr>
            <w:webHidden/>
          </w:rPr>
        </w:r>
        <w:r w:rsidR="007C1B09">
          <w:rPr>
            <w:webHidden/>
          </w:rPr>
          <w:fldChar w:fldCharType="separate"/>
        </w:r>
        <w:r w:rsidR="007C1B09">
          <w:rPr>
            <w:webHidden/>
          </w:rPr>
          <w:t>A-7</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26" w:history="1">
        <w:r w:rsidR="007C1B09" w:rsidRPr="005A31AB">
          <w:rPr>
            <w:rStyle w:val="Hyperlink"/>
          </w:rPr>
          <w:t>A.3</w:t>
        </w:r>
        <w:r w:rsidR="007C1B09">
          <w:rPr>
            <w:rFonts w:asciiTheme="minorHAnsi" w:eastAsiaTheme="minorEastAsia" w:hAnsiTheme="minorHAnsi" w:cstheme="minorBidi"/>
            <w:szCs w:val="22"/>
          </w:rPr>
          <w:tab/>
        </w:r>
        <w:r w:rsidR="007C1B09" w:rsidRPr="005A31AB">
          <w:rPr>
            <w:rStyle w:val="Hyperlink"/>
          </w:rPr>
          <w:t>Use of Information Technology and Burden Reduction</w:t>
        </w:r>
        <w:r w:rsidR="007C1B09">
          <w:rPr>
            <w:webHidden/>
          </w:rPr>
          <w:tab/>
        </w:r>
        <w:r w:rsidR="007C1B09">
          <w:rPr>
            <w:webHidden/>
          </w:rPr>
          <w:fldChar w:fldCharType="begin"/>
        </w:r>
        <w:r w:rsidR="007C1B09">
          <w:rPr>
            <w:webHidden/>
          </w:rPr>
          <w:instrText xml:space="preserve"> PAGEREF _Toc421022226 \h </w:instrText>
        </w:r>
        <w:r w:rsidR="007C1B09">
          <w:rPr>
            <w:webHidden/>
          </w:rPr>
        </w:r>
        <w:r w:rsidR="007C1B09">
          <w:rPr>
            <w:webHidden/>
          </w:rPr>
          <w:fldChar w:fldCharType="separate"/>
        </w:r>
        <w:r w:rsidR="007C1B09">
          <w:rPr>
            <w:webHidden/>
          </w:rPr>
          <w:t>A-9</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27" w:history="1">
        <w:r w:rsidR="007C1B09" w:rsidRPr="005A31AB">
          <w:rPr>
            <w:rStyle w:val="Hyperlink"/>
          </w:rPr>
          <w:t>A.4</w:t>
        </w:r>
        <w:r w:rsidR="007C1B09">
          <w:rPr>
            <w:rFonts w:asciiTheme="minorHAnsi" w:eastAsiaTheme="minorEastAsia" w:hAnsiTheme="minorHAnsi" w:cstheme="minorBidi"/>
            <w:szCs w:val="22"/>
          </w:rPr>
          <w:tab/>
        </w:r>
        <w:r w:rsidR="007C1B09" w:rsidRPr="005A31AB">
          <w:rPr>
            <w:rStyle w:val="Hyperlink"/>
          </w:rPr>
          <w:t>Efforts to Identify Duplication</w:t>
        </w:r>
        <w:r w:rsidR="007C1B09">
          <w:rPr>
            <w:webHidden/>
          </w:rPr>
          <w:tab/>
        </w:r>
        <w:r w:rsidR="007C1B09">
          <w:rPr>
            <w:webHidden/>
          </w:rPr>
          <w:fldChar w:fldCharType="begin"/>
        </w:r>
        <w:r w:rsidR="007C1B09">
          <w:rPr>
            <w:webHidden/>
          </w:rPr>
          <w:instrText xml:space="preserve"> PAGEREF _Toc421022227 \h </w:instrText>
        </w:r>
        <w:r w:rsidR="007C1B09">
          <w:rPr>
            <w:webHidden/>
          </w:rPr>
        </w:r>
        <w:r w:rsidR="007C1B09">
          <w:rPr>
            <w:webHidden/>
          </w:rPr>
          <w:fldChar w:fldCharType="separate"/>
        </w:r>
        <w:r w:rsidR="007C1B09">
          <w:rPr>
            <w:webHidden/>
          </w:rPr>
          <w:t>A-9</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28" w:history="1">
        <w:r w:rsidR="007C1B09" w:rsidRPr="005A31AB">
          <w:rPr>
            <w:rStyle w:val="Hyperlink"/>
          </w:rPr>
          <w:t>A.5</w:t>
        </w:r>
        <w:r w:rsidR="007C1B09">
          <w:rPr>
            <w:rFonts w:asciiTheme="minorHAnsi" w:eastAsiaTheme="minorEastAsia" w:hAnsiTheme="minorHAnsi" w:cstheme="minorBidi"/>
            <w:szCs w:val="22"/>
          </w:rPr>
          <w:tab/>
        </w:r>
        <w:r w:rsidR="007C1B09" w:rsidRPr="005A31AB">
          <w:rPr>
            <w:rStyle w:val="Hyperlink"/>
          </w:rPr>
          <w:t>Efforts to Minimize Burden in Small Businesses</w:t>
        </w:r>
        <w:r w:rsidR="007C1B09">
          <w:rPr>
            <w:webHidden/>
          </w:rPr>
          <w:tab/>
        </w:r>
        <w:r w:rsidR="007C1B09">
          <w:rPr>
            <w:webHidden/>
          </w:rPr>
          <w:fldChar w:fldCharType="begin"/>
        </w:r>
        <w:r w:rsidR="007C1B09">
          <w:rPr>
            <w:webHidden/>
          </w:rPr>
          <w:instrText xml:space="preserve"> PAGEREF _Toc421022228 \h </w:instrText>
        </w:r>
        <w:r w:rsidR="007C1B09">
          <w:rPr>
            <w:webHidden/>
          </w:rPr>
        </w:r>
        <w:r w:rsidR="007C1B09">
          <w:rPr>
            <w:webHidden/>
          </w:rPr>
          <w:fldChar w:fldCharType="separate"/>
        </w:r>
        <w:r w:rsidR="007C1B09">
          <w:rPr>
            <w:webHidden/>
          </w:rPr>
          <w:t>A-10</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29" w:history="1">
        <w:r w:rsidR="007C1B09" w:rsidRPr="005A31AB">
          <w:rPr>
            <w:rStyle w:val="Hyperlink"/>
          </w:rPr>
          <w:t>A.6</w:t>
        </w:r>
        <w:r w:rsidR="007C1B09">
          <w:rPr>
            <w:rFonts w:asciiTheme="minorHAnsi" w:eastAsiaTheme="minorEastAsia" w:hAnsiTheme="minorHAnsi" w:cstheme="minorBidi"/>
            <w:szCs w:val="22"/>
          </w:rPr>
          <w:tab/>
        </w:r>
        <w:r w:rsidR="007C1B09" w:rsidRPr="005A31AB">
          <w:rPr>
            <w:rStyle w:val="Hyperlink"/>
          </w:rPr>
          <w:t>Consequences of Not Collecting the Information</w:t>
        </w:r>
        <w:r w:rsidR="007C1B09">
          <w:rPr>
            <w:webHidden/>
          </w:rPr>
          <w:tab/>
        </w:r>
        <w:r w:rsidR="007C1B09">
          <w:rPr>
            <w:webHidden/>
          </w:rPr>
          <w:fldChar w:fldCharType="begin"/>
        </w:r>
        <w:r w:rsidR="007C1B09">
          <w:rPr>
            <w:webHidden/>
          </w:rPr>
          <w:instrText xml:space="preserve"> PAGEREF _Toc421022229 \h </w:instrText>
        </w:r>
        <w:r w:rsidR="007C1B09">
          <w:rPr>
            <w:webHidden/>
          </w:rPr>
        </w:r>
        <w:r w:rsidR="007C1B09">
          <w:rPr>
            <w:webHidden/>
          </w:rPr>
          <w:fldChar w:fldCharType="separate"/>
        </w:r>
        <w:r w:rsidR="007C1B09">
          <w:rPr>
            <w:webHidden/>
          </w:rPr>
          <w:t>A-10</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30" w:history="1">
        <w:r w:rsidR="007C1B09" w:rsidRPr="005A31AB">
          <w:rPr>
            <w:rStyle w:val="Hyperlink"/>
          </w:rPr>
          <w:t>A.7</w:t>
        </w:r>
        <w:r w:rsidR="007C1B09">
          <w:rPr>
            <w:rFonts w:asciiTheme="minorHAnsi" w:eastAsiaTheme="minorEastAsia" w:hAnsiTheme="minorHAnsi" w:cstheme="minorBidi"/>
            <w:szCs w:val="22"/>
          </w:rPr>
          <w:tab/>
        </w:r>
        <w:r w:rsidR="007C1B09" w:rsidRPr="005A31AB">
          <w:rPr>
            <w:rStyle w:val="Hyperlink"/>
          </w:rPr>
          <w:t>Special Circumstances Justifying Inconsistencies with Guidelines in 5 CFR 1320.6</w:t>
        </w:r>
        <w:r w:rsidR="007C1B09">
          <w:rPr>
            <w:webHidden/>
          </w:rPr>
          <w:tab/>
        </w:r>
        <w:r w:rsidR="007C1B09">
          <w:rPr>
            <w:webHidden/>
          </w:rPr>
          <w:fldChar w:fldCharType="begin"/>
        </w:r>
        <w:r w:rsidR="007C1B09">
          <w:rPr>
            <w:webHidden/>
          </w:rPr>
          <w:instrText xml:space="preserve"> PAGEREF _Toc421022230 \h </w:instrText>
        </w:r>
        <w:r w:rsidR="007C1B09">
          <w:rPr>
            <w:webHidden/>
          </w:rPr>
        </w:r>
        <w:r w:rsidR="007C1B09">
          <w:rPr>
            <w:webHidden/>
          </w:rPr>
          <w:fldChar w:fldCharType="separate"/>
        </w:r>
        <w:r w:rsidR="007C1B09">
          <w:rPr>
            <w:webHidden/>
          </w:rPr>
          <w:t>A-10</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31" w:history="1">
        <w:r w:rsidR="007C1B09" w:rsidRPr="005A31AB">
          <w:rPr>
            <w:rStyle w:val="Hyperlink"/>
          </w:rPr>
          <w:t>A.8</w:t>
        </w:r>
        <w:r w:rsidR="007C1B09">
          <w:rPr>
            <w:rFonts w:asciiTheme="minorHAnsi" w:eastAsiaTheme="minorEastAsia" w:hAnsiTheme="minorHAnsi" w:cstheme="minorBidi"/>
            <w:szCs w:val="22"/>
          </w:rPr>
          <w:tab/>
        </w:r>
        <w:r w:rsidR="007C1B09" w:rsidRPr="005A31AB">
          <w:rPr>
            <w:rStyle w:val="Hyperlink"/>
          </w:rPr>
          <w:t>Consultation Outside the Agency</w:t>
        </w:r>
        <w:r w:rsidR="007C1B09">
          <w:rPr>
            <w:webHidden/>
          </w:rPr>
          <w:tab/>
        </w:r>
        <w:r w:rsidR="007C1B09">
          <w:rPr>
            <w:webHidden/>
          </w:rPr>
          <w:fldChar w:fldCharType="begin"/>
        </w:r>
        <w:r w:rsidR="007C1B09">
          <w:rPr>
            <w:webHidden/>
          </w:rPr>
          <w:instrText xml:space="preserve"> PAGEREF _Toc421022231 \h </w:instrText>
        </w:r>
        <w:r w:rsidR="007C1B09">
          <w:rPr>
            <w:webHidden/>
          </w:rPr>
        </w:r>
        <w:r w:rsidR="007C1B09">
          <w:rPr>
            <w:webHidden/>
          </w:rPr>
          <w:fldChar w:fldCharType="separate"/>
        </w:r>
        <w:r w:rsidR="007C1B09">
          <w:rPr>
            <w:webHidden/>
          </w:rPr>
          <w:t>A-10</w:t>
        </w:r>
        <w:r w:rsidR="007C1B09">
          <w:rPr>
            <w:webHidden/>
          </w:rPr>
          <w:fldChar w:fldCharType="end"/>
        </w:r>
      </w:hyperlink>
    </w:p>
    <w:p w:rsidR="007C1B09" w:rsidRDefault="00692C17">
      <w:pPr>
        <w:pStyle w:val="TOC3"/>
        <w:rPr>
          <w:rFonts w:asciiTheme="minorHAnsi" w:eastAsiaTheme="minorEastAsia" w:hAnsiTheme="minorHAnsi" w:cstheme="minorBidi"/>
          <w:szCs w:val="22"/>
        </w:rPr>
      </w:pPr>
      <w:hyperlink w:anchor="_Toc421022232" w:history="1">
        <w:r w:rsidR="007C1B09" w:rsidRPr="005A31AB">
          <w:rPr>
            <w:rStyle w:val="Hyperlink"/>
          </w:rPr>
          <w:t>A.8.1</w:t>
        </w:r>
        <w:r w:rsidR="007C1B09">
          <w:rPr>
            <w:rFonts w:asciiTheme="minorHAnsi" w:eastAsiaTheme="minorEastAsia" w:hAnsiTheme="minorHAnsi" w:cstheme="minorBidi"/>
            <w:szCs w:val="22"/>
          </w:rPr>
          <w:tab/>
        </w:r>
        <w:r w:rsidR="007C1B09" w:rsidRPr="005A31AB">
          <w:rPr>
            <w:rStyle w:val="Hyperlink"/>
            <w:i/>
          </w:rPr>
          <w:t>Federal Registrar</w:t>
        </w:r>
        <w:r w:rsidR="007C1B09" w:rsidRPr="005A31AB">
          <w:rPr>
            <w:rStyle w:val="Hyperlink"/>
          </w:rPr>
          <w:t xml:space="preserve"> Announcement</w:t>
        </w:r>
        <w:r w:rsidR="007C1B09">
          <w:rPr>
            <w:webHidden/>
          </w:rPr>
          <w:tab/>
        </w:r>
        <w:r w:rsidR="007C1B09">
          <w:rPr>
            <w:webHidden/>
          </w:rPr>
          <w:fldChar w:fldCharType="begin"/>
        </w:r>
        <w:r w:rsidR="007C1B09">
          <w:rPr>
            <w:webHidden/>
          </w:rPr>
          <w:instrText xml:space="preserve"> PAGEREF _Toc421022232 \h </w:instrText>
        </w:r>
        <w:r w:rsidR="007C1B09">
          <w:rPr>
            <w:webHidden/>
          </w:rPr>
        </w:r>
        <w:r w:rsidR="007C1B09">
          <w:rPr>
            <w:webHidden/>
          </w:rPr>
          <w:fldChar w:fldCharType="separate"/>
        </w:r>
        <w:r w:rsidR="007C1B09">
          <w:rPr>
            <w:webHidden/>
          </w:rPr>
          <w:t>A-10</w:t>
        </w:r>
        <w:r w:rsidR="007C1B09">
          <w:rPr>
            <w:webHidden/>
          </w:rPr>
          <w:fldChar w:fldCharType="end"/>
        </w:r>
      </w:hyperlink>
    </w:p>
    <w:p w:rsidR="007C1B09" w:rsidRDefault="00692C17">
      <w:pPr>
        <w:pStyle w:val="TOC3"/>
        <w:rPr>
          <w:rFonts w:asciiTheme="minorHAnsi" w:eastAsiaTheme="minorEastAsia" w:hAnsiTheme="minorHAnsi" w:cstheme="minorBidi"/>
          <w:szCs w:val="22"/>
        </w:rPr>
      </w:pPr>
      <w:hyperlink w:anchor="_Toc421022233" w:history="1">
        <w:r w:rsidR="007C1B09" w:rsidRPr="005A31AB">
          <w:rPr>
            <w:rStyle w:val="Hyperlink"/>
          </w:rPr>
          <w:t>A.8.2</w:t>
        </w:r>
        <w:r w:rsidR="007C1B09">
          <w:rPr>
            <w:rFonts w:asciiTheme="minorHAnsi" w:eastAsiaTheme="minorEastAsia" w:hAnsiTheme="minorHAnsi" w:cstheme="minorBidi"/>
            <w:szCs w:val="22"/>
          </w:rPr>
          <w:tab/>
        </w:r>
        <w:r w:rsidR="007C1B09" w:rsidRPr="005A31AB">
          <w:rPr>
            <w:rStyle w:val="Hyperlink"/>
          </w:rPr>
          <w:t>Consultations Outside the Agency</w:t>
        </w:r>
        <w:r w:rsidR="007C1B09">
          <w:rPr>
            <w:webHidden/>
          </w:rPr>
          <w:tab/>
        </w:r>
        <w:r w:rsidR="007C1B09">
          <w:rPr>
            <w:webHidden/>
          </w:rPr>
          <w:fldChar w:fldCharType="begin"/>
        </w:r>
        <w:r w:rsidR="007C1B09">
          <w:rPr>
            <w:webHidden/>
          </w:rPr>
          <w:instrText xml:space="preserve"> PAGEREF _Toc421022233 \h </w:instrText>
        </w:r>
        <w:r w:rsidR="007C1B09">
          <w:rPr>
            <w:webHidden/>
          </w:rPr>
        </w:r>
        <w:r w:rsidR="007C1B09">
          <w:rPr>
            <w:webHidden/>
          </w:rPr>
          <w:fldChar w:fldCharType="separate"/>
        </w:r>
        <w:r w:rsidR="007C1B09">
          <w:rPr>
            <w:webHidden/>
          </w:rPr>
          <w:t>A-10</w:t>
        </w:r>
        <w:r w:rsidR="007C1B09">
          <w:rPr>
            <w:webHidden/>
          </w:rPr>
          <w:fldChar w:fldCharType="end"/>
        </w:r>
      </w:hyperlink>
    </w:p>
    <w:p w:rsidR="007C1B09" w:rsidRDefault="00692C17">
      <w:pPr>
        <w:pStyle w:val="TOC3"/>
        <w:rPr>
          <w:rFonts w:asciiTheme="minorHAnsi" w:eastAsiaTheme="minorEastAsia" w:hAnsiTheme="minorHAnsi" w:cstheme="minorBidi"/>
          <w:szCs w:val="22"/>
        </w:rPr>
      </w:pPr>
      <w:hyperlink w:anchor="_Toc421022234" w:history="1">
        <w:r w:rsidR="007C1B09" w:rsidRPr="005A31AB">
          <w:rPr>
            <w:rStyle w:val="Hyperlink"/>
          </w:rPr>
          <w:t>A.8.3</w:t>
        </w:r>
        <w:r w:rsidR="007C1B09">
          <w:rPr>
            <w:rFonts w:asciiTheme="minorHAnsi" w:eastAsiaTheme="minorEastAsia" w:hAnsiTheme="minorHAnsi" w:cstheme="minorBidi"/>
            <w:szCs w:val="22"/>
          </w:rPr>
          <w:tab/>
        </w:r>
        <w:r w:rsidR="007C1B09" w:rsidRPr="005A31AB">
          <w:rPr>
            <w:rStyle w:val="Hyperlink"/>
          </w:rPr>
          <w:t>Unresolved Issues</w:t>
        </w:r>
        <w:r w:rsidR="007C1B09">
          <w:rPr>
            <w:webHidden/>
          </w:rPr>
          <w:tab/>
        </w:r>
        <w:r w:rsidR="007C1B09">
          <w:rPr>
            <w:webHidden/>
          </w:rPr>
          <w:fldChar w:fldCharType="begin"/>
        </w:r>
        <w:r w:rsidR="007C1B09">
          <w:rPr>
            <w:webHidden/>
          </w:rPr>
          <w:instrText xml:space="preserve"> PAGEREF _Toc421022234 \h </w:instrText>
        </w:r>
        <w:r w:rsidR="007C1B09">
          <w:rPr>
            <w:webHidden/>
          </w:rPr>
        </w:r>
        <w:r w:rsidR="007C1B09">
          <w:rPr>
            <w:webHidden/>
          </w:rPr>
          <w:fldChar w:fldCharType="separate"/>
        </w:r>
        <w:r w:rsidR="007C1B09">
          <w:rPr>
            <w:webHidden/>
          </w:rPr>
          <w:t>A-10</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35" w:history="1">
        <w:r w:rsidR="007C1B09" w:rsidRPr="005A31AB">
          <w:rPr>
            <w:rStyle w:val="Hyperlink"/>
          </w:rPr>
          <w:t>A.9</w:t>
        </w:r>
        <w:r w:rsidR="007C1B09">
          <w:rPr>
            <w:rFonts w:asciiTheme="minorHAnsi" w:eastAsiaTheme="minorEastAsia" w:hAnsiTheme="minorHAnsi" w:cstheme="minorBidi"/>
            <w:szCs w:val="22"/>
          </w:rPr>
          <w:tab/>
        </w:r>
        <w:r w:rsidR="007C1B09" w:rsidRPr="005A31AB">
          <w:rPr>
            <w:rStyle w:val="Hyperlink"/>
          </w:rPr>
          <w:t>Payments or Gifts to Respondents</w:t>
        </w:r>
        <w:r w:rsidR="007C1B09">
          <w:rPr>
            <w:webHidden/>
          </w:rPr>
          <w:tab/>
        </w:r>
        <w:r w:rsidR="007C1B09">
          <w:rPr>
            <w:webHidden/>
          </w:rPr>
          <w:fldChar w:fldCharType="begin"/>
        </w:r>
        <w:r w:rsidR="007C1B09">
          <w:rPr>
            <w:webHidden/>
          </w:rPr>
          <w:instrText xml:space="preserve"> PAGEREF _Toc421022235 \h </w:instrText>
        </w:r>
        <w:r w:rsidR="007C1B09">
          <w:rPr>
            <w:webHidden/>
          </w:rPr>
        </w:r>
        <w:r w:rsidR="007C1B09">
          <w:rPr>
            <w:webHidden/>
          </w:rPr>
          <w:fldChar w:fldCharType="separate"/>
        </w:r>
        <w:r w:rsidR="007C1B09">
          <w:rPr>
            <w:webHidden/>
          </w:rPr>
          <w:t>A-10</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36" w:history="1">
        <w:r w:rsidR="007C1B09" w:rsidRPr="005A31AB">
          <w:rPr>
            <w:rStyle w:val="Hyperlink"/>
          </w:rPr>
          <w:t>A.10</w:t>
        </w:r>
        <w:r w:rsidR="007C1B09">
          <w:rPr>
            <w:rFonts w:asciiTheme="minorHAnsi" w:eastAsiaTheme="minorEastAsia" w:hAnsiTheme="minorHAnsi" w:cstheme="minorBidi"/>
            <w:szCs w:val="22"/>
          </w:rPr>
          <w:tab/>
        </w:r>
        <w:r w:rsidR="007C1B09" w:rsidRPr="005A31AB">
          <w:rPr>
            <w:rStyle w:val="Hyperlink"/>
          </w:rPr>
          <w:t>Assurance of Confidentiality</w:t>
        </w:r>
        <w:r w:rsidR="007C1B09">
          <w:rPr>
            <w:webHidden/>
          </w:rPr>
          <w:tab/>
        </w:r>
        <w:r w:rsidR="007C1B09">
          <w:rPr>
            <w:webHidden/>
          </w:rPr>
          <w:fldChar w:fldCharType="begin"/>
        </w:r>
        <w:r w:rsidR="007C1B09">
          <w:rPr>
            <w:webHidden/>
          </w:rPr>
          <w:instrText xml:space="preserve"> PAGEREF _Toc421022236 \h </w:instrText>
        </w:r>
        <w:r w:rsidR="007C1B09">
          <w:rPr>
            <w:webHidden/>
          </w:rPr>
        </w:r>
        <w:r w:rsidR="007C1B09">
          <w:rPr>
            <w:webHidden/>
          </w:rPr>
          <w:fldChar w:fldCharType="separate"/>
        </w:r>
        <w:r w:rsidR="007C1B09">
          <w:rPr>
            <w:webHidden/>
          </w:rPr>
          <w:t>A-11</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37" w:history="1">
        <w:r w:rsidR="007C1B09" w:rsidRPr="005A31AB">
          <w:rPr>
            <w:rStyle w:val="Hyperlink"/>
          </w:rPr>
          <w:t>A.11</w:t>
        </w:r>
        <w:r w:rsidR="007C1B09">
          <w:rPr>
            <w:rFonts w:asciiTheme="minorHAnsi" w:eastAsiaTheme="minorEastAsia" w:hAnsiTheme="minorHAnsi" w:cstheme="minorBidi"/>
            <w:szCs w:val="22"/>
          </w:rPr>
          <w:tab/>
        </w:r>
        <w:r w:rsidR="007C1B09" w:rsidRPr="005A31AB">
          <w:rPr>
            <w:rStyle w:val="Hyperlink"/>
          </w:rPr>
          <w:t>Questions of a Sensitive Nature</w:t>
        </w:r>
        <w:r w:rsidR="007C1B09">
          <w:rPr>
            <w:webHidden/>
          </w:rPr>
          <w:tab/>
        </w:r>
        <w:r w:rsidR="007C1B09">
          <w:rPr>
            <w:webHidden/>
          </w:rPr>
          <w:fldChar w:fldCharType="begin"/>
        </w:r>
        <w:r w:rsidR="007C1B09">
          <w:rPr>
            <w:webHidden/>
          </w:rPr>
          <w:instrText xml:space="preserve"> PAGEREF _Toc421022237 \h </w:instrText>
        </w:r>
        <w:r w:rsidR="007C1B09">
          <w:rPr>
            <w:webHidden/>
          </w:rPr>
        </w:r>
        <w:r w:rsidR="007C1B09">
          <w:rPr>
            <w:webHidden/>
          </w:rPr>
          <w:fldChar w:fldCharType="separate"/>
        </w:r>
        <w:r w:rsidR="007C1B09">
          <w:rPr>
            <w:webHidden/>
          </w:rPr>
          <w:t>A-12</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38" w:history="1">
        <w:r w:rsidR="007C1B09" w:rsidRPr="005A31AB">
          <w:rPr>
            <w:rStyle w:val="Hyperlink"/>
          </w:rPr>
          <w:t>A.12</w:t>
        </w:r>
        <w:r w:rsidR="007C1B09">
          <w:rPr>
            <w:rFonts w:asciiTheme="minorHAnsi" w:eastAsiaTheme="minorEastAsia" w:hAnsiTheme="minorHAnsi" w:cstheme="minorBidi"/>
            <w:szCs w:val="22"/>
          </w:rPr>
          <w:tab/>
        </w:r>
        <w:r w:rsidR="007C1B09" w:rsidRPr="005A31AB">
          <w:rPr>
            <w:rStyle w:val="Hyperlink"/>
          </w:rPr>
          <w:t>Estimate of Response Burden</w:t>
        </w:r>
        <w:r w:rsidR="007C1B09">
          <w:rPr>
            <w:webHidden/>
          </w:rPr>
          <w:tab/>
        </w:r>
        <w:r w:rsidR="007C1B09">
          <w:rPr>
            <w:webHidden/>
          </w:rPr>
          <w:fldChar w:fldCharType="begin"/>
        </w:r>
        <w:r w:rsidR="007C1B09">
          <w:rPr>
            <w:webHidden/>
          </w:rPr>
          <w:instrText xml:space="preserve"> PAGEREF _Toc421022238 \h </w:instrText>
        </w:r>
        <w:r w:rsidR="007C1B09">
          <w:rPr>
            <w:webHidden/>
          </w:rPr>
        </w:r>
        <w:r w:rsidR="007C1B09">
          <w:rPr>
            <w:webHidden/>
          </w:rPr>
          <w:fldChar w:fldCharType="separate"/>
        </w:r>
        <w:r w:rsidR="007C1B09">
          <w:rPr>
            <w:webHidden/>
          </w:rPr>
          <w:t>A-12</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39" w:history="1">
        <w:r w:rsidR="007C1B09" w:rsidRPr="005A31AB">
          <w:rPr>
            <w:rStyle w:val="Hyperlink"/>
          </w:rPr>
          <w:t>A.13</w:t>
        </w:r>
        <w:r w:rsidR="007C1B09">
          <w:rPr>
            <w:rFonts w:asciiTheme="minorHAnsi" w:eastAsiaTheme="minorEastAsia" w:hAnsiTheme="minorHAnsi" w:cstheme="minorBidi"/>
            <w:szCs w:val="22"/>
          </w:rPr>
          <w:tab/>
        </w:r>
        <w:r w:rsidR="007C1B09" w:rsidRPr="005A31AB">
          <w:rPr>
            <w:rStyle w:val="Hyperlink"/>
          </w:rPr>
          <w:t>Estimate of Total Capital and Startup Costs/Operation and Maintenance Costs to Respondents or Record-Keepers</w:t>
        </w:r>
        <w:r w:rsidR="007C1B09">
          <w:rPr>
            <w:webHidden/>
          </w:rPr>
          <w:tab/>
        </w:r>
        <w:r w:rsidR="007C1B09">
          <w:rPr>
            <w:webHidden/>
          </w:rPr>
          <w:fldChar w:fldCharType="begin"/>
        </w:r>
        <w:r w:rsidR="007C1B09">
          <w:rPr>
            <w:webHidden/>
          </w:rPr>
          <w:instrText xml:space="preserve"> PAGEREF _Toc421022239 \h </w:instrText>
        </w:r>
        <w:r w:rsidR="007C1B09">
          <w:rPr>
            <w:webHidden/>
          </w:rPr>
        </w:r>
        <w:r w:rsidR="007C1B09">
          <w:rPr>
            <w:webHidden/>
          </w:rPr>
          <w:fldChar w:fldCharType="separate"/>
        </w:r>
        <w:r w:rsidR="007C1B09">
          <w:rPr>
            <w:webHidden/>
          </w:rPr>
          <w:t>A-13</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40" w:history="1">
        <w:r w:rsidR="007C1B09" w:rsidRPr="005A31AB">
          <w:rPr>
            <w:rStyle w:val="Hyperlink"/>
          </w:rPr>
          <w:t>A.14</w:t>
        </w:r>
        <w:r w:rsidR="007C1B09">
          <w:rPr>
            <w:rFonts w:asciiTheme="minorHAnsi" w:eastAsiaTheme="minorEastAsia" w:hAnsiTheme="minorHAnsi" w:cstheme="minorBidi"/>
            <w:szCs w:val="22"/>
          </w:rPr>
          <w:tab/>
        </w:r>
        <w:r w:rsidR="007C1B09" w:rsidRPr="005A31AB">
          <w:rPr>
            <w:rStyle w:val="Hyperlink"/>
          </w:rPr>
          <w:t>Estimates of Costs to the Federal Government</w:t>
        </w:r>
        <w:r w:rsidR="007C1B09">
          <w:rPr>
            <w:webHidden/>
          </w:rPr>
          <w:tab/>
        </w:r>
        <w:r w:rsidR="007C1B09">
          <w:rPr>
            <w:webHidden/>
          </w:rPr>
          <w:fldChar w:fldCharType="begin"/>
        </w:r>
        <w:r w:rsidR="007C1B09">
          <w:rPr>
            <w:webHidden/>
          </w:rPr>
          <w:instrText xml:space="preserve"> PAGEREF _Toc421022240 \h </w:instrText>
        </w:r>
        <w:r w:rsidR="007C1B09">
          <w:rPr>
            <w:webHidden/>
          </w:rPr>
        </w:r>
        <w:r w:rsidR="007C1B09">
          <w:rPr>
            <w:webHidden/>
          </w:rPr>
          <w:fldChar w:fldCharType="separate"/>
        </w:r>
        <w:r w:rsidR="007C1B09">
          <w:rPr>
            <w:webHidden/>
          </w:rPr>
          <w:t>A-13</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41" w:history="1">
        <w:r w:rsidR="007C1B09" w:rsidRPr="005A31AB">
          <w:rPr>
            <w:rStyle w:val="Hyperlink"/>
          </w:rPr>
          <w:t>A.15</w:t>
        </w:r>
        <w:r w:rsidR="007C1B09">
          <w:rPr>
            <w:rFonts w:asciiTheme="minorHAnsi" w:eastAsiaTheme="minorEastAsia" w:hAnsiTheme="minorHAnsi" w:cstheme="minorBidi"/>
            <w:szCs w:val="22"/>
          </w:rPr>
          <w:tab/>
        </w:r>
        <w:r w:rsidR="007C1B09" w:rsidRPr="005A31AB">
          <w:rPr>
            <w:rStyle w:val="Hyperlink"/>
          </w:rPr>
          <w:t>Changes in Burden</w:t>
        </w:r>
        <w:r w:rsidR="007C1B09">
          <w:rPr>
            <w:webHidden/>
          </w:rPr>
          <w:tab/>
        </w:r>
        <w:r w:rsidR="007C1B09">
          <w:rPr>
            <w:webHidden/>
          </w:rPr>
          <w:fldChar w:fldCharType="begin"/>
        </w:r>
        <w:r w:rsidR="007C1B09">
          <w:rPr>
            <w:webHidden/>
          </w:rPr>
          <w:instrText xml:space="preserve"> PAGEREF _Toc421022241 \h </w:instrText>
        </w:r>
        <w:r w:rsidR="007C1B09">
          <w:rPr>
            <w:webHidden/>
          </w:rPr>
        </w:r>
        <w:r w:rsidR="007C1B09">
          <w:rPr>
            <w:webHidden/>
          </w:rPr>
          <w:fldChar w:fldCharType="separate"/>
        </w:r>
        <w:r w:rsidR="007C1B09">
          <w:rPr>
            <w:webHidden/>
          </w:rPr>
          <w:t>A-13</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42" w:history="1">
        <w:r w:rsidR="007C1B09" w:rsidRPr="005A31AB">
          <w:rPr>
            <w:rStyle w:val="Hyperlink"/>
          </w:rPr>
          <w:t>A.16</w:t>
        </w:r>
        <w:r w:rsidR="007C1B09">
          <w:rPr>
            <w:rFonts w:asciiTheme="minorHAnsi" w:eastAsiaTheme="minorEastAsia" w:hAnsiTheme="minorHAnsi" w:cstheme="minorBidi"/>
            <w:szCs w:val="22"/>
          </w:rPr>
          <w:tab/>
        </w:r>
        <w:r w:rsidR="007C1B09" w:rsidRPr="005A31AB">
          <w:rPr>
            <w:rStyle w:val="Hyperlink"/>
          </w:rPr>
          <w:t>Plans for Analysis, Publication and Schedule</w:t>
        </w:r>
        <w:r w:rsidR="007C1B09">
          <w:rPr>
            <w:webHidden/>
          </w:rPr>
          <w:tab/>
        </w:r>
        <w:r w:rsidR="007C1B09">
          <w:rPr>
            <w:webHidden/>
          </w:rPr>
          <w:fldChar w:fldCharType="begin"/>
        </w:r>
        <w:r w:rsidR="007C1B09">
          <w:rPr>
            <w:webHidden/>
          </w:rPr>
          <w:instrText xml:space="preserve"> PAGEREF _Toc421022242 \h </w:instrText>
        </w:r>
        <w:r w:rsidR="007C1B09">
          <w:rPr>
            <w:webHidden/>
          </w:rPr>
        </w:r>
        <w:r w:rsidR="007C1B09">
          <w:rPr>
            <w:webHidden/>
          </w:rPr>
          <w:fldChar w:fldCharType="separate"/>
        </w:r>
        <w:r w:rsidR="007C1B09">
          <w:rPr>
            <w:webHidden/>
          </w:rPr>
          <w:t>A-13</w:t>
        </w:r>
        <w:r w:rsidR="007C1B09">
          <w:rPr>
            <w:webHidden/>
          </w:rPr>
          <w:fldChar w:fldCharType="end"/>
        </w:r>
      </w:hyperlink>
    </w:p>
    <w:p w:rsidR="007C1B09" w:rsidRDefault="00692C17">
      <w:pPr>
        <w:pStyle w:val="TOC3"/>
        <w:rPr>
          <w:rFonts w:asciiTheme="minorHAnsi" w:eastAsiaTheme="minorEastAsia" w:hAnsiTheme="minorHAnsi" w:cstheme="minorBidi"/>
          <w:szCs w:val="22"/>
        </w:rPr>
      </w:pPr>
      <w:hyperlink w:anchor="_Toc421022243" w:history="1">
        <w:r w:rsidR="007C1B09" w:rsidRPr="005A31AB">
          <w:rPr>
            <w:rStyle w:val="Hyperlink"/>
          </w:rPr>
          <w:t>A.16.1</w:t>
        </w:r>
        <w:r w:rsidR="007C1B09">
          <w:rPr>
            <w:rFonts w:asciiTheme="minorHAnsi" w:eastAsiaTheme="minorEastAsia" w:hAnsiTheme="minorHAnsi" w:cstheme="minorBidi"/>
            <w:szCs w:val="22"/>
          </w:rPr>
          <w:tab/>
        </w:r>
        <w:r w:rsidR="007C1B09" w:rsidRPr="005A31AB">
          <w:rPr>
            <w:rStyle w:val="Hyperlink"/>
          </w:rPr>
          <w:t>Analysis Plans</w:t>
        </w:r>
        <w:r w:rsidR="007C1B09">
          <w:rPr>
            <w:webHidden/>
          </w:rPr>
          <w:tab/>
        </w:r>
        <w:r w:rsidR="007C1B09">
          <w:rPr>
            <w:webHidden/>
          </w:rPr>
          <w:fldChar w:fldCharType="begin"/>
        </w:r>
        <w:r w:rsidR="007C1B09">
          <w:rPr>
            <w:webHidden/>
          </w:rPr>
          <w:instrText xml:space="preserve"> PAGEREF _Toc421022243 \h </w:instrText>
        </w:r>
        <w:r w:rsidR="007C1B09">
          <w:rPr>
            <w:webHidden/>
          </w:rPr>
        </w:r>
        <w:r w:rsidR="007C1B09">
          <w:rPr>
            <w:webHidden/>
          </w:rPr>
          <w:fldChar w:fldCharType="separate"/>
        </w:r>
        <w:r w:rsidR="007C1B09">
          <w:rPr>
            <w:webHidden/>
          </w:rPr>
          <w:t>A-13</w:t>
        </w:r>
        <w:r w:rsidR="007C1B09">
          <w:rPr>
            <w:webHidden/>
          </w:rPr>
          <w:fldChar w:fldCharType="end"/>
        </w:r>
      </w:hyperlink>
    </w:p>
    <w:p w:rsidR="007C1B09" w:rsidRDefault="00692C17">
      <w:pPr>
        <w:pStyle w:val="TOC3"/>
        <w:rPr>
          <w:rFonts w:asciiTheme="minorHAnsi" w:eastAsiaTheme="minorEastAsia" w:hAnsiTheme="minorHAnsi" w:cstheme="minorBidi"/>
          <w:szCs w:val="22"/>
        </w:rPr>
      </w:pPr>
      <w:hyperlink w:anchor="_Toc421022244" w:history="1">
        <w:r w:rsidR="007C1B09" w:rsidRPr="005A31AB">
          <w:rPr>
            <w:rStyle w:val="Hyperlink"/>
          </w:rPr>
          <w:t>A.16.2</w:t>
        </w:r>
        <w:r w:rsidR="007C1B09">
          <w:rPr>
            <w:rFonts w:asciiTheme="minorHAnsi" w:eastAsiaTheme="minorEastAsia" w:hAnsiTheme="minorHAnsi" w:cstheme="minorBidi"/>
            <w:szCs w:val="22"/>
          </w:rPr>
          <w:tab/>
        </w:r>
        <w:r w:rsidR="007C1B09" w:rsidRPr="005A31AB">
          <w:rPr>
            <w:rStyle w:val="Hyperlink"/>
          </w:rPr>
          <w:t>Timeline and Publication plans</w:t>
        </w:r>
        <w:r w:rsidR="007C1B09">
          <w:rPr>
            <w:webHidden/>
          </w:rPr>
          <w:tab/>
        </w:r>
        <w:r w:rsidR="007C1B09">
          <w:rPr>
            <w:webHidden/>
          </w:rPr>
          <w:fldChar w:fldCharType="begin"/>
        </w:r>
        <w:r w:rsidR="007C1B09">
          <w:rPr>
            <w:webHidden/>
          </w:rPr>
          <w:instrText xml:space="preserve"> PAGEREF _Toc421022244 \h </w:instrText>
        </w:r>
        <w:r w:rsidR="007C1B09">
          <w:rPr>
            <w:webHidden/>
          </w:rPr>
        </w:r>
        <w:r w:rsidR="007C1B09">
          <w:rPr>
            <w:webHidden/>
          </w:rPr>
          <w:fldChar w:fldCharType="separate"/>
        </w:r>
        <w:r w:rsidR="007C1B09">
          <w:rPr>
            <w:webHidden/>
          </w:rPr>
          <w:t>A-15</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45" w:history="1">
        <w:r w:rsidR="007C1B09" w:rsidRPr="005A31AB">
          <w:rPr>
            <w:rStyle w:val="Hyperlink"/>
          </w:rPr>
          <w:t>A.17</w:t>
        </w:r>
        <w:r w:rsidR="007C1B09">
          <w:rPr>
            <w:rFonts w:asciiTheme="minorHAnsi" w:eastAsiaTheme="minorEastAsia" w:hAnsiTheme="minorHAnsi" w:cstheme="minorBidi"/>
            <w:szCs w:val="22"/>
          </w:rPr>
          <w:tab/>
        </w:r>
        <w:r w:rsidR="007C1B09" w:rsidRPr="005A31AB">
          <w:rPr>
            <w:rStyle w:val="Hyperlink"/>
          </w:rPr>
          <w:t>Approval to Not Display Expiration Date</w:t>
        </w:r>
        <w:r w:rsidR="007C1B09">
          <w:rPr>
            <w:webHidden/>
          </w:rPr>
          <w:tab/>
        </w:r>
        <w:r w:rsidR="007C1B09">
          <w:rPr>
            <w:webHidden/>
          </w:rPr>
          <w:fldChar w:fldCharType="begin"/>
        </w:r>
        <w:r w:rsidR="007C1B09">
          <w:rPr>
            <w:webHidden/>
          </w:rPr>
          <w:instrText xml:space="preserve"> PAGEREF _Toc421022245 \h </w:instrText>
        </w:r>
        <w:r w:rsidR="007C1B09">
          <w:rPr>
            <w:webHidden/>
          </w:rPr>
        </w:r>
        <w:r w:rsidR="007C1B09">
          <w:rPr>
            <w:webHidden/>
          </w:rPr>
          <w:fldChar w:fldCharType="separate"/>
        </w:r>
        <w:r w:rsidR="007C1B09">
          <w:rPr>
            <w:webHidden/>
          </w:rPr>
          <w:t>A-16</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46" w:history="1">
        <w:r w:rsidR="007C1B09" w:rsidRPr="005A31AB">
          <w:rPr>
            <w:rStyle w:val="Hyperlink"/>
          </w:rPr>
          <w:t>A.18</w:t>
        </w:r>
        <w:r w:rsidR="007C1B09">
          <w:rPr>
            <w:rFonts w:asciiTheme="minorHAnsi" w:eastAsiaTheme="minorEastAsia" w:hAnsiTheme="minorHAnsi" w:cstheme="minorBidi"/>
            <w:szCs w:val="22"/>
          </w:rPr>
          <w:tab/>
        </w:r>
        <w:r w:rsidR="007C1B09" w:rsidRPr="005A31AB">
          <w:rPr>
            <w:rStyle w:val="Hyperlink"/>
          </w:rPr>
          <w:t>Exceptions to Item 19 of OMB Form 83-1</w:t>
        </w:r>
        <w:r w:rsidR="007C1B09">
          <w:rPr>
            <w:webHidden/>
          </w:rPr>
          <w:tab/>
        </w:r>
        <w:r w:rsidR="007C1B09">
          <w:rPr>
            <w:webHidden/>
          </w:rPr>
          <w:fldChar w:fldCharType="begin"/>
        </w:r>
        <w:r w:rsidR="007C1B09">
          <w:rPr>
            <w:webHidden/>
          </w:rPr>
          <w:instrText xml:space="preserve"> PAGEREF _Toc421022246 \h </w:instrText>
        </w:r>
        <w:r w:rsidR="007C1B09">
          <w:rPr>
            <w:webHidden/>
          </w:rPr>
        </w:r>
        <w:r w:rsidR="007C1B09">
          <w:rPr>
            <w:webHidden/>
          </w:rPr>
          <w:fldChar w:fldCharType="separate"/>
        </w:r>
        <w:r w:rsidR="007C1B09">
          <w:rPr>
            <w:webHidden/>
          </w:rPr>
          <w:t>A-16</w:t>
        </w:r>
        <w:r w:rsidR="007C1B09">
          <w:rPr>
            <w:webHidden/>
          </w:rPr>
          <w:fldChar w:fldCharType="end"/>
        </w:r>
      </w:hyperlink>
    </w:p>
    <w:p w:rsidR="007C1B09" w:rsidRDefault="00692C17">
      <w:pPr>
        <w:pStyle w:val="TOC2"/>
        <w:rPr>
          <w:rFonts w:asciiTheme="minorHAnsi" w:eastAsiaTheme="minorEastAsia" w:hAnsiTheme="minorHAnsi" w:cstheme="minorBidi"/>
          <w:szCs w:val="22"/>
        </w:rPr>
      </w:pPr>
      <w:hyperlink w:anchor="_Toc421022247" w:history="1">
        <w:r w:rsidR="007C1B09" w:rsidRPr="005A31AB">
          <w:rPr>
            <w:rStyle w:val="Hyperlink"/>
          </w:rPr>
          <w:t>References</w:t>
        </w:r>
        <w:r w:rsidR="007C1B09">
          <w:rPr>
            <w:webHidden/>
          </w:rPr>
          <w:tab/>
        </w:r>
        <w:r w:rsidR="007C1B09">
          <w:rPr>
            <w:webHidden/>
          </w:rPr>
          <w:fldChar w:fldCharType="begin"/>
        </w:r>
        <w:r w:rsidR="007C1B09">
          <w:rPr>
            <w:webHidden/>
          </w:rPr>
          <w:instrText xml:space="preserve"> PAGEREF _Toc421022247 \h </w:instrText>
        </w:r>
        <w:r w:rsidR="007C1B09">
          <w:rPr>
            <w:webHidden/>
          </w:rPr>
        </w:r>
        <w:r w:rsidR="007C1B09">
          <w:rPr>
            <w:webHidden/>
          </w:rPr>
          <w:fldChar w:fldCharType="separate"/>
        </w:r>
        <w:r w:rsidR="007C1B09">
          <w:rPr>
            <w:webHidden/>
          </w:rPr>
          <w:t>A-17</w:t>
        </w:r>
        <w:r w:rsidR="007C1B09">
          <w:rPr>
            <w:webHidden/>
          </w:rPr>
          <w:fldChar w:fldCharType="end"/>
        </w:r>
      </w:hyperlink>
    </w:p>
    <w:p w:rsidR="00E70907" w:rsidRDefault="00E70907" w:rsidP="00E70907">
      <w:pPr>
        <w:pStyle w:val="BodyText"/>
      </w:pPr>
      <w:r>
        <w:fldChar w:fldCharType="end"/>
      </w:r>
    </w:p>
    <w:p w:rsidR="00E70907" w:rsidRPr="00FC40CB" w:rsidRDefault="00E70907" w:rsidP="00E70907">
      <w:pPr>
        <w:pStyle w:val="BodyText"/>
        <w:sectPr w:rsidR="00E70907" w:rsidRPr="00FC40CB" w:rsidSect="00045B6C">
          <w:headerReference w:type="first" r:id="rId14"/>
          <w:footerReference w:type="first" r:id="rId15"/>
          <w:pgSz w:w="12240" w:h="15840" w:code="1"/>
          <w:pgMar w:top="1440" w:right="1440" w:bottom="1440" w:left="1800" w:header="864" w:footer="720" w:gutter="0"/>
          <w:pgNumType w:fmt="lowerRoman" w:start="1"/>
          <w:cols w:space="720"/>
          <w:titlePg/>
          <w:docGrid w:linePitch="299"/>
        </w:sectPr>
      </w:pPr>
    </w:p>
    <w:p w:rsidR="00E70907" w:rsidRPr="007057ED" w:rsidRDefault="00E70907" w:rsidP="00E70907">
      <w:pPr>
        <w:pStyle w:val="Heading1"/>
        <w:tabs>
          <w:tab w:val="clear" w:pos="432"/>
          <w:tab w:val="num" w:pos="720"/>
        </w:tabs>
        <w:ind w:left="720" w:hanging="720"/>
      </w:pPr>
      <w:bookmarkStart w:id="2" w:name="_Toc421022221"/>
      <w:r>
        <w:lastRenderedPageBreak/>
        <w:t>Justification</w:t>
      </w:r>
      <w:bookmarkEnd w:id="2"/>
    </w:p>
    <w:p w:rsidR="00E70907" w:rsidRDefault="00E70907" w:rsidP="00E70907">
      <w:pPr>
        <w:pStyle w:val="Heading2"/>
        <w:numPr>
          <w:ilvl w:val="0"/>
          <w:numId w:val="0"/>
        </w:numPr>
        <w:ind w:left="720" w:hanging="720"/>
      </w:pPr>
      <w:bookmarkStart w:id="3" w:name="_Toc421022222"/>
      <w:r>
        <w:t>Introduction</w:t>
      </w:r>
      <w:bookmarkEnd w:id="3"/>
    </w:p>
    <w:p w:rsidR="005E741D" w:rsidRDefault="00E70907" w:rsidP="009563C4">
      <w:r>
        <w:t>The U.S. Department of Education (ED) will conduct a demonstration to test the effectiveness</w:t>
      </w:r>
      <w:r w:rsidRPr="006C6918">
        <w:t xml:space="preserve"> </w:t>
      </w:r>
      <w:r>
        <w:t xml:space="preserve">of </w:t>
      </w:r>
      <w:r w:rsidR="005E741D">
        <w:t>promising strateg</w:t>
      </w:r>
      <w:r w:rsidR="00C437D9">
        <w:t>ies</w:t>
      </w:r>
      <w:r w:rsidR="005E741D">
        <w:t xml:space="preserve"> to improve college-related outcomes in the federal college access program Gaining Early Awareness and Readiness for Undergraduate Programs (GEAR UP).</w:t>
      </w:r>
      <w:r w:rsidR="00D503A3">
        <w:t xml:space="preserve"> The demonstration will use a randomized controlled trial (RCT) design to test the </w:t>
      </w:r>
      <w:r w:rsidR="00A10677">
        <w:t>effectiveness</w:t>
      </w:r>
      <w:r w:rsidR="00D503A3">
        <w:t xml:space="preserve"> of </w:t>
      </w:r>
      <w:r w:rsidR="005E741D">
        <w:t xml:space="preserve">sending </w:t>
      </w:r>
      <w:r>
        <w:t>customized messaging to students</w:t>
      </w:r>
      <w:r w:rsidR="005E741D">
        <w:t xml:space="preserve">, </w:t>
      </w:r>
      <w:r>
        <w:t xml:space="preserve">during the summer </w:t>
      </w:r>
      <w:r w:rsidR="00D503A3">
        <w:t>after high school graduation</w:t>
      </w:r>
      <w:r>
        <w:t xml:space="preserve"> and </w:t>
      </w:r>
      <w:r w:rsidR="005E741D">
        <w:t>in</w:t>
      </w:r>
      <w:r w:rsidR="00D503A3">
        <w:t xml:space="preserve"> the fall and spring of</w:t>
      </w:r>
      <w:r>
        <w:t xml:space="preserve"> their expected first year of college. </w:t>
      </w:r>
    </w:p>
    <w:p w:rsidR="00E70907" w:rsidRDefault="00E70907" w:rsidP="009563C4">
      <w:r w:rsidRPr="00532E9D">
        <w:t xml:space="preserve">This study </w:t>
      </w:r>
      <w:r w:rsidR="00D503A3">
        <w:t xml:space="preserve">is being sponsored by ED’s </w:t>
      </w:r>
      <w:r w:rsidRPr="00532E9D">
        <w:t>Institute of Education Sciences (IES)</w:t>
      </w:r>
      <w:r w:rsidR="00FC3881" w:rsidRPr="00A74170">
        <w:t>, in collaboration with the Office of Postsecondary Education,</w:t>
      </w:r>
      <w:r w:rsidR="00D503A3">
        <w:t xml:space="preserve"> and </w:t>
      </w:r>
      <w:r w:rsidRPr="00532E9D">
        <w:t xml:space="preserve">implemented by </w:t>
      </w:r>
      <w:proofErr w:type="spellStart"/>
      <w:r w:rsidRPr="00532E9D">
        <w:t>Abt</w:t>
      </w:r>
      <w:proofErr w:type="spellEnd"/>
      <w:r w:rsidRPr="00532E9D">
        <w:t xml:space="preserve"> Associates Inc. and its partners, Survey Research Management (SRM), </w:t>
      </w:r>
      <w:r>
        <w:t xml:space="preserve">Program and Policy Insight (PPI), Digital Design Group (DDG), and consultant Ben </w:t>
      </w:r>
      <w:proofErr w:type="spellStart"/>
      <w:r>
        <w:t>Castleman</w:t>
      </w:r>
      <w:proofErr w:type="spellEnd"/>
      <w:r>
        <w:t xml:space="preserve"> </w:t>
      </w:r>
      <w:r w:rsidRPr="00532E9D">
        <w:t>(</w:t>
      </w:r>
      <w:r w:rsidR="00D503A3">
        <w:t xml:space="preserve">together, </w:t>
      </w:r>
      <w:r w:rsidRPr="00532E9D">
        <w:t>the “</w:t>
      </w:r>
      <w:r w:rsidR="00D503A3">
        <w:t>study team</w:t>
      </w:r>
      <w:r w:rsidRPr="00532E9D">
        <w:t>”).</w:t>
      </w:r>
    </w:p>
    <w:p w:rsidR="00E70907" w:rsidRDefault="00E70907" w:rsidP="009563C4">
      <w:pPr>
        <w:rPr>
          <w:b/>
          <w:i/>
        </w:rPr>
      </w:pPr>
      <w:r w:rsidRPr="007C772C">
        <w:rPr>
          <w:b/>
          <w:i/>
        </w:rPr>
        <w:t xml:space="preserve">Overview of the GEAR UP Program </w:t>
      </w:r>
    </w:p>
    <w:p w:rsidR="001D2B35" w:rsidRDefault="00212293" w:rsidP="009563C4">
      <w:pPr>
        <w:rPr>
          <w:szCs w:val="22"/>
        </w:rPr>
      </w:pPr>
      <w:r>
        <w:rPr>
          <w:color w:val="000000"/>
          <w:szCs w:val="22"/>
        </w:rPr>
        <w:t xml:space="preserve">Chapter 2 of Subpart 2 of </w:t>
      </w:r>
      <w:r w:rsidR="00FD364D">
        <w:rPr>
          <w:color w:val="000000"/>
          <w:szCs w:val="22"/>
        </w:rPr>
        <w:t>Part A</w:t>
      </w:r>
      <w:r w:rsidR="00A87814" w:rsidRPr="00A87814">
        <w:rPr>
          <w:color w:val="000000"/>
          <w:szCs w:val="22"/>
        </w:rPr>
        <w:t xml:space="preserve"> of </w:t>
      </w:r>
      <w:r w:rsidR="00FD364D">
        <w:rPr>
          <w:color w:val="000000"/>
          <w:szCs w:val="22"/>
        </w:rPr>
        <w:t xml:space="preserve">Title IV of </w:t>
      </w:r>
      <w:r w:rsidR="00A87814" w:rsidRPr="00A87814">
        <w:rPr>
          <w:color w:val="000000"/>
          <w:szCs w:val="22"/>
        </w:rPr>
        <w:t xml:space="preserve">the Higher Education Act of 1965, </w:t>
      </w:r>
      <w:r w:rsidR="00FD364D">
        <w:rPr>
          <w:color w:val="000000"/>
          <w:szCs w:val="22"/>
        </w:rPr>
        <w:t xml:space="preserve">as </w:t>
      </w:r>
      <w:r w:rsidR="00A87814" w:rsidRPr="00A87814">
        <w:rPr>
          <w:color w:val="000000"/>
          <w:szCs w:val="22"/>
        </w:rPr>
        <w:t>amended</w:t>
      </w:r>
      <w:r w:rsidR="00FD364D">
        <w:rPr>
          <w:color w:val="000000"/>
          <w:szCs w:val="22"/>
        </w:rPr>
        <w:t xml:space="preserve"> (HEA)</w:t>
      </w:r>
      <w:r w:rsidR="00A87814" w:rsidRPr="00A87814">
        <w:rPr>
          <w:color w:val="000000"/>
          <w:szCs w:val="22"/>
        </w:rPr>
        <w:t xml:space="preserve">  authorizes the GEAR UP program. </w:t>
      </w:r>
      <w:r w:rsidR="00E70907" w:rsidRPr="00BA6FAA">
        <w:rPr>
          <w:color w:val="000000"/>
          <w:szCs w:val="22"/>
        </w:rPr>
        <w:t xml:space="preserve">The program provides </w:t>
      </w:r>
      <w:r w:rsidR="009736A9">
        <w:rPr>
          <w:color w:val="000000"/>
          <w:szCs w:val="22"/>
        </w:rPr>
        <w:t>funding –</w:t>
      </w:r>
      <w:r w:rsidR="00325AF3">
        <w:rPr>
          <w:color w:val="000000"/>
          <w:szCs w:val="22"/>
        </w:rPr>
        <w:t xml:space="preserve"> </w:t>
      </w:r>
      <w:r w:rsidR="00E70907" w:rsidRPr="00BA6FAA">
        <w:rPr>
          <w:color w:val="000000"/>
          <w:szCs w:val="22"/>
        </w:rPr>
        <w:t xml:space="preserve">over $300 million </w:t>
      </w:r>
      <w:r w:rsidR="009736A9">
        <w:rPr>
          <w:color w:val="000000"/>
          <w:szCs w:val="22"/>
        </w:rPr>
        <w:t xml:space="preserve">in FY </w:t>
      </w:r>
      <w:r w:rsidR="00FD364D">
        <w:rPr>
          <w:color w:val="000000"/>
          <w:szCs w:val="22"/>
        </w:rPr>
        <w:t xml:space="preserve">2015 </w:t>
      </w:r>
      <w:r w:rsidR="009736A9">
        <w:rPr>
          <w:color w:val="000000"/>
          <w:szCs w:val="22"/>
        </w:rPr>
        <w:t>–</w:t>
      </w:r>
      <w:r w:rsidR="00325AF3">
        <w:rPr>
          <w:color w:val="000000"/>
          <w:szCs w:val="22"/>
        </w:rPr>
        <w:t xml:space="preserve"> </w:t>
      </w:r>
      <w:r w:rsidR="00E70907" w:rsidRPr="00BA6FAA">
        <w:rPr>
          <w:color w:val="000000"/>
          <w:szCs w:val="22"/>
        </w:rPr>
        <w:t xml:space="preserve">to state agencies and local partnerships to support disadvantaged students in obtaining a high school diploma and to prepare them for success in postsecondary education. Grantees are expected to provide a comprehensive set of intervention services such as academic support, counseling, mentoring, and </w:t>
      </w:r>
      <w:r w:rsidR="00E70907" w:rsidRPr="009563C4">
        <w:t>outreach</w:t>
      </w:r>
      <w:r w:rsidR="00E70907" w:rsidRPr="00BA6FAA">
        <w:rPr>
          <w:color w:val="000000"/>
          <w:szCs w:val="22"/>
        </w:rPr>
        <w:t xml:space="preserve"> to disadvantaged middle and high school students, as well as information about college financial aid options and the benefits of postsecondary education to students and their families. </w:t>
      </w:r>
      <w:r w:rsidR="00D71BC9">
        <w:rPr>
          <w:color w:val="000000"/>
          <w:szCs w:val="22"/>
        </w:rPr>
        <w:t xml:space="preserve">State grantees may, and partnership grantees must, focus on a cohort of students (typically </w:t>
      </w:r>
      <w:r w:rsidR="00FD364D">
        <w:rPr>
          <w:color w:val="000000"/>
          <w:szCs w:val="22"/>
        </w:rPr>
        <w:t>beginning</w:t>
      </w:r>
      <w:r w:rsidR="00D71BC9">
        <w:rPr>
          <w:color w:val="000000"/>
          <w:szCs w:val="22"/>
        </w:rPr>
        <w:t xml:space="preserve"> in 7</w:t>
      </w:r>
      <w:r w:rsidR="00D71BC9" w:rsidRPr="002B1054">
        <w:rPr>
          <w:color w:val="000000"/>
          <w:szCs w:val="22"/>
          <w:vertAlign w:val="superscript"/>
        </w:rPr>
        <w:t>th</w:t>
      </w:r>
      <w:r w:rsidR="00D71BC9">
        <w:rPr>
          <w:color w:val="000000"/>
          <w:szCs w:val="22"/>
        </w:rPr>
        <w:t xml:space="preserve"> grade) and provide services to them through high school, though funds can be used to serve other students as well. </w:t>
      </w:r>
      <w:r w:rsidR="00A87814">
        <w:rPr>
          <w:szCs w:val="22"/>
        </w:rPr>
        <w:t xml:space="preserve">State grantees are required to, and local partnership can, also provide scholarships to help participating students pay for college attendance. </w:t>
      </w:r>
      <w:r w:rsidR="00E70907" w:rsidRPr="00BA6FAA">
        <w:rPr>
          <w:color w:val="000000"/>
          <w:szCs w:val="22"/>
        </w:rPr>
        <w:t xml:space="preserve"> </w:t>
      </w:r>
    </w:p>
    <w:p w:rsidR="00D71BC9" w:rsidRDefault="00104B59" w:rsidP="009563C4">
      <w:pPr>
        <w:rPr>
          <w:szCs w:val="22"/>
        </w:rPr>
      </w:pPr>
      <w:r>
        <w:rPr>
          <w:color w:val="000000"/>
          <w:szCs w:val="22"/>
        </w:rPr>
        <w:t xml:space="preserve">Importantly, starting with the </w:t>
      </w:r>
      <w:r w:rsidR="00857F99">
        <w:rPr>
          <w:color w:val="000000"/>
          <w:szCs w:val="22"/>
        </w:rPr>
        <w:t>2008 H</w:t>
      </w:r>
      <w:r w:rsidR="009736A9">
        <w:rPr>
          <w:color w:val="000000"/>
          <w:szCs w:val="22"/>
        </w:rPr>
        <w:t xml:space="preserve">igher </w:t>
      </w:r>
      <w:r w:rsidR="00857F99">
        <w:rPr>
          <w:color w:val="000000"/>
          <w:szCs w:val="22"/>
        </w:rPr>
        <w:t>E</w:t>
      </w:r>
      <w:r w:rsidR="009736A9">
        <w:rPr>
          <w:color w:val="000000"/>
          <w:szCs w:val="22"/>
        </w:rPr>
        <w:t xml:space="preserve">ducation </w:t>
      </w:r>
      <w:r w:rsidR="00857F99">
        <w:rPr>
          <w:color w:val="000000"/>
          <w:szCs w:val="22"/>
        </w:rPr>
        <w:t>O</w:t>
      </w:r>
      <w:r w:rsidR="009736A9">
        <w:rPr>
          <w:color w:val="000000"/>
          <w:szCs w:val="22"/>
        </w:rPr>
        <w:t>pportunity Act</w:t>
      </w:r>
      <w:r w:rsidR="00857F99">
        <w:rPr>
          <w:color w:val="000000"/>
          <w:szCs w:val="22"/>
        </w:rPr>
        <w:t xml:space="preserve">, </w:t>
      </w:r>
      <w:r w:rsidR="00D71BC9" w:rsidRPr="00BA6FAA">
        <w:rPr>
          <w:color w:val="000000"/>
          <w:szCs w:val="22"/>
        </w:rPr>
        <w:t xml:space="preserve">GEAR UP grantees may </w:t>
      </w:r>
      <w:r w:rsidR="00857F99">
        <w:rPr>
          <w:color w:val="000000"/>
          <w:szCs w:val="22"/>
        </w:rPr>
        <w:t xml:space="preserve">now </w:t>
      </w:r>
      <w:r w:rsidR="00D71BC9" w:rsidRPr="00BA6FAA">
        <w:rPr>
          <w:color w:val="000000"/>
          <w:szCs w:val="22"/>
        </w:rPr>
        <w:t xml:space="preserve">apply for a seventh year of funding to </w:t>
      </w:r>
      <w:r w:rsidR="00857F99">
        <w:rPr>
          <w:color w:val="000000"/>
          <w:szCs w:val="22"/>
        </w:rPr>
        <w:t>support</w:t>
      </w:r>
      <w:r w:rsidR="00D71BC9" w:rsidRPr="00BA6FAA">
        <w:rPr>
          <w:color w:val="000000"/>
          <w:szCs w:val="22"/>
        </w:rPr>
        <w:t xml:space="preserve"> students into their first year of college</w:t>
      </w:r>
      <w:r w:rsidR="00857F99">
        <w:rPr>
          <w:color w:val="000000"/>
          <w:szCs w:val="22"/>
        </w:rPr>
        <w:t xml:space="preserve"> in order to improve college enrollment and persistence</w:t>
      </w:r>
      <w:r w:rsidR="000B3764">
        <w:rPr>
          <w:color w:val="000000"/>
          <w:szCs w:val="22"/>
        </w:rPr>
        <w:t xml:space="preserve"> (referred to as the 7</w:t>
      </w:r>
      <w:r w:rsidR="000B3764" w:rsidRPr="000B3764">
        <w:rPr>
          <w:color w:val="000000"/>
          <w:szCs w:val="22"/>
          <w:vertAlign w:val="superscript"/>
        </w:rPr>
        <w:t>th</w:t>
      </w:r>
      <w:r w:rsidR="000B3764">
        <w:rPr>
          <w:color w:val="000000"/>
          <w:szCs w:val="22"/>
        </w:rPr>
        <w:t xml:space="preserve"> year)</w:t>
      </w:r>
      <w:r w:rsidR="00D71BC9" w:rsidRPr="00BA6FAA">
        <w:rPr>
          <w:color w:val="000000"/>
          <w:szCs w:val="22"/>
        </w:rPr>
        <w:t>.</w:t>
      </w:r>
      <w:r w:rsidR="00857F99">
        <w:rPr>
          <w:color w:val="000000"/>
          <w:szCs w:val="22"/>
        </w:rPr>
        <w:t xml:space="preserve">  The first group of grantees with this funding, those awarded grants in FY 2011, will begin providing extended services to 2016-2017 seniors transitioning to postsecondary education the following year.</w:t>
      </w:r>
    </w:p>
    <w:p w:rsidR="004419E2" w:rsidRPr="00EB5395" w:rsidRDefault="004419E2" w:rsidP="009563C4">
      <w:pPr>
        <w:rPr>
          <w:b/>
          <w:i/>
        </w:rPr>
      </w:pPr>
      <w:r w:rsidRPr="00EB5395">
        <w:rPr>
          <w:b/>
          <w:i/>
        </w:rPr>
        <w:t xml:space="preserve">Overview of the </w:t>
      </w:r>
      <w:r w:rsidR="00EB5395" w:rsidRPr="00EB5395">
        <w:rPr>
          <w:b/>
          <w:i/>
        </w:rPr>
        <w:t xml:space="preserve">Student Messaging </w:t>
      </w:r>
      <w:r w:rsidR="00A10677">
        <w:rPr>
          <w:b/>
          <w:i/>
        </w:rPr>
        <w:t xml:space="preserve">in GEAR UP </w:t>
      </w:r>
      <w:r w:rsidR="00EB5395" w:rsidRPr="00EB5395">
        <w:rPr>
          <w:b/>
          <w:i/>
        </w:rPr>
        <w:t>Demonstration</w:t>
      </w:r>
    </w:p>
    <w:p w:rsidR="00EA1593" w:rsidRDefault="00EA1593" w:rsidP="009563C4">
      <w:r>
        <w:t>T</w:t>
      </w:r>
      <w:r w:rsidR="00A87814">
        <w:t xml:space="preserve">his demonstration </w:t>
      </w:r>
      <w:r>
        <w:t>is designed to address a new need among GEAR U</w:t>
      </w:r>
      <w:r w:rsidR="00FF43BC">
        <w:t>P</w:t>
      </w:r>
      <w:r>
        <w:t xml:space="preserve"> grantees for strategies to serve students during the 7</w:t>
      </w:r>
      <w:r w:rsidRPr="00FF43BC">
        <w:rPr>
          <w:vertAlign w:val="superscript"/>
        </w:rPr>
        <w:t>th</w:t>
      </w:r>
      <w:r>
        <w:t xml:space="preserve"> year.  </w:t>
      </w:r>
      <w:r w:rsidRPr="0014033A">
        <w:rPr>
          <w:color w:val="000000"/>
          <w:szCs w:val="22"/>
        </w:rPr>
        <w:t xml:space="preserve">According to recent focus groups conducted by </w:t>
      </w:r>
      <w:proofErr w:type="spellStart"/>
      <w:r w:rsidRPr="0014033A">
        <w:rPr>
          <w:color w:val="000000"/>
          <w:szCs w:val="22"/>
        </w:rPr>
        <w:t>Abt</w:t>
      </w:r>
      <w:proofErr w:type="spellEnd"/>
      <w:r w:rsidRPr="0014033A">
        <w:rPr>
          <w:color w:val="000000"/>
          <w:szCs w:val="22"/>
        </w:rPr>
        <w:t xml:space="preserve"> with GEAR UP grantees, grantees find it difficult to reach every GEAR UP student on a one-on-one basis while in high school, </w:t>
      </w:r>
      <w:r w:rsidR="009D139B">
        <w:rPr>
          <w:color w:val="000000"/>
          <w:szCs w:val="22"/>
        </w:rPr>
        <w:t xml:space="preserve">and </w:t>
      </w:r>
      <w:r w:rsidRPr="0014033A">
        <w:rPr>
          <w:color w:val="000000"/>
          <w:szCs w:val="22"/>
        </w:rPr>
        <w:t>to track and support students as they leave s</w:t>
      </w:r>
      <w:r>
        <w:rPr>
          <w:color w:val="000000"/>
          <w:szCs w:val="22"/>
        </w:rPr>
        <w:t>chool and transition to college, particularly since students may be scattered across a variety of postsecondary institutions both in and out of state.</w:t>
      </w:r>
      <w:r w:rsidR="005B7183">
        <w:rPr>
          <w:color w:val="000000"/>
          <w:szCs w:val="22"/>
        </w:rPr>
        <w:t xml:space="preserve">  Nationally, a</w:t>
      </w:r>
      <w:r w:rsidR="005B7183">
        <w:t xml:space="preserve">s many as 40 percent of first-generation, low-income high school seniors intending to go to college fail to enroll the following </w:t>
      </w:r>
      <w:r w:rsidR="009D139B">
        <w:t xml:space="preserve"> </w:t>
      </w:r>
      <w:r w:rsidR="005B7183">
        <w:t xml:space="preserve">fall, with information gaps, logistical complexities, and concerns about </w:t>
      </w:r>
      <w:r w:rsidR="00FA29AD">
        <w:t xml:space="preserve"> </w:t>
      </w:r>
      <w:r w:rsidR="005B7183">
        <w:t xml:space="preserve">fitting </w:t>
      </w:r>
      <w:r w:rsidR="009D139B">
        <w:t xml:space="preserve">in </w:t>
      </w:r>
      <w:r w:rsidR="005B7183">
        <w:t>identified as primary explanations of this “summer melt” (</w:t>
      </w:r>
      <w:proofErr w:type="spellStart"/>
      <w:r w:rsidR="005B7183">
        <w:t>Castleman</w:t>
      </w:r>
      <w:proofErr w:type="spellEnd"/>
      <w:r w:rsidR="005B7183">
        <w:t xml:space="preserve"> and Paige, 2014).  </w:t>
      </w:r>
      <w:r w:rsidR="00FA29AD">
        <w:t xml:space="preserve">Of those who matriculate, many students drop out during their first </w:t>
      </w:r>
      <w:r w:rsidR="00FA29AD">
        <w:lastRenderedPageBreak/>
        <w:t>year or fail to re-enroll the second year</w:t>
      </w:r>
      <w:r w:rsidR="00E222D3">
        <w:t xml:space="preserve"> (</w:t>
      </w:r>
      <w:r w:rsidR="00590A86">
        <w:t>NSC, 2014</w:t>
      </w:r>
      <w:r w:rsidR="00E222D3">
        <w:t>b), and p</w:t>
      </w:r>
      <w:r w:rsidR="00590A86">
        <w:t xml:space="preserve">ersistence is lower </w:t>
      </w:r>
      <w:r w:rsidR="00E222D3">
        <w:t>among students from low-income and high minority high schools (NSC, 2014a)</w:t>
      </w:r>
      <w:r w:rsidR="00146C8B">
        <w:t>.</w:t>
      </w:r>
    </w:p>
    <w:p w:rsidR="00A618A2" w:rsidRDefault="00F83BFB" w:rsidP="009563C4">
      <w:r>
        <w:t xml:space="preserve">The demonstration </w:t>
      </w:r>
      <w:r w:rsidR="008D6441">
        <w:t xml:space="preserve">will </w:t>
      </w:r>
      <w:r w:rsidR="00B642CB">
        <w:t>investigate</w:t>
      </w:r>
      <w:r w:rsidR="00A87814">
        <w:t xml:space="preserve"> promising approach</w:t>
      </w:r>
      <w:r w:rsidR="00D64751">
        <w:t>es</w:t>
      </w:r>
      <w:r w:rsidR="00A87814">
        <w:t xml:space="preserve"> emerging from recent rigorous research </w:t>
      </w:r>
      <w:r w:rsidR="00416BCE">
        <w:t>that has investigated</w:t>
      </w:r>
      <w:r w:rsidR="00C437D9">
        <w:t xml:space="preserve"> low-cost student messaging </w:t>
      </w:r>
      <w:r w:rsidR="00A87814">
        <w:t>to improve college matriculation (</w:t>
      </w:r>
      <w:proofErr w:type="spellStart"/>
      <w:r w:rsidR="009D6AE2">
        <w:rPr>
          <w:color w:val="000000"/>
          <w:szCs w:val="22"/>
        </w:rPr>
        <w:t>Castleman</w:t>
      </w:r>
      <w:proofErr w:type="spellEnd"/>
      <w:r w:rsidR="009D6AE2">
        <w:rPr>
          <w:color w:val="000000"/>
          <w:szCs w:val="22"/>
        </w:rPr>
        <w:t xml:space="preserve"> &amp; Page 2013)</w:t>
      </w:r>
      <w:r w:rsidR="00A87814">
        <w:t xml:space="preserve"> and college persistence (</w:t>
      </w:r>
      <w:proofErr w:type="spellStart"/>
      <w:r w:rsidR="00A87814">
        <w:t>Castleman</w:t>
      </w:r>
      <w:proofErr w:type="spellEnd"/>
      <w:r w:rsidR="00A87814">
        <w:t xml:space="preserve"> &amp; Page, 2014)</w:t>
      </w:r>
      <w:r w:rsidR="00C437D9">
        <w:t xml:space="preserve">, </w:t>
      </w:r>
      <w:r w:rsidR="00481F85">
        <w:t xml:space="preserve">and </w:t>
      </w:r>
      <w:r w:rsidR="00D534B7">
        <w:t>targeted</w:t>
      </w:r>
      <w:r w:rsidR="00D64751">
        <w:t xml:space="preserve"> </w:t>
      </w:r>
      <w:r w:rsidR="00D534B7">
        <w:t>interventions to develop growth mindset or individuals’ beliefs that abilities</w:t>
      </w:r>
      <w:r w:rsidR="008A4CDF">
        <w:t xml:space="preserve">, particularly academic abilities, </w:t>
      </w:r>
      <w:r w:rsidR="00D534B7">
        <w:t>can be developed through effort (</w:t>
      </w:r>
      <w:r w:rsidR="00A618A2">
        <w:t xml:space="preserve">Yeager, </w:t>
      </w:r>
      <w:r w:rsidR="00D534B7">
        <w:t>Walton &amp; Cohen 201</w:t>
      </w:r>
      <w:r w:rsidR="00A618A2">
        <w:t>3</w:t>
      </w:r>
      <w:r w:rsidR="0001188E">
        <w:t>)</w:t>
      </w:r>
      <w:r w:rsidR="00D534B7">
        <w:t xml:space="preserve">. </w:t>
      </w:r>
      <w:r w:rsidR="00C437D9">
        <w:t xml:space="preserve"> </w:t>
      </w:r>
      <w:r w:rsidR="008A4CDF" w:rsidRPr="0002583C">
        <w:t xml:space="preserve">Outcomes for this study will include college enrollment, FAFSA completion, and persistence, which will be drawn from </w:t>
      </w:r>
      <w:r w:rsidR="008A4CDF">
        <w:t>administrative</w:t>
      </w:r>
      <w:r w:rsidR="008A4CDF" w:rsidRPr="0002583C">
        <w:t xml:space="preserve"> data.</w:t>
      </w:r>
    </w:p>
    <w:p w:rsidR="00F3134C" w:rsidRDefault="00C437D9" w:rsidP="009563C4">
      <w:r>
        <w:t>T</w:t>
      </w:r>
      <w:r w:rsidR="00F3134C">
        <w:t>o</w:t>
      </w:r>
      <w:r w:rsidR="00416BCE">
        <w:t xml:space="preserve"> test whether t</w:t>
      </w:r>
      <w:r>
        <w:t xml:space="preserve">hese approaches </w:t>
      </w:r>
      <w:r w:rsidR="00B642CB">
        <w:t>enhance the existing GEAR UP services</w:t>
      </w:r>
      <w:r w:rsidR="00416BCE">
        <w:t>, c</w:t>
      </w:r>
      <w:r w:rsidR="00A10677" w:rsidRPr="00B80FD5">
        <w:t>ustomized messages</w:t>
      </w:r>
      <w:r w:rsidR="00314C58">
        <w:t>,</w:t>
      </w:r>
      <w:r w:rsidR="00A10677" w:rsidRPr="00B80FD5">
        <w:t xml:space="preserve"> </w:t>
      </w:r>
      <w:r w:rsidR="00A618A2" w:rsidRPr="009A2759">
        <w:t xml:space="preserve">delivered </w:t>
      </w:r>
      <w:r w:rsidR="00A618A2">
        <w:t>via a digital format (phone texting)</w:t>
      </w:r>
      <w:r w:rsidR="00314C58">
        <w:t>,</w:t>
      </w:r>
      <w:r w:rsidR="00A618A2">
        <w:t xml:space="preserve"> </w:t>
      </w:r>
      <w:r w:rsidR="00A10677" w:rsidRPr="00B80FD5">
        <w:t xml:space="preserve">will be </w:t>
      </w:r>
      <w:r w:rsidR="00A10677">
        <w:t>sent</w:t>
      </w:r>
      <w:r w:rsidR="00A10677" w:rsidRPr="00B80FD5">
        <w:t xml:space="preserve"> to students </w:t>
      </w:r>
      <w:r w:rsidR="00A10677">
        <w:t>identified as seniors</w:t>
      </w:r>
      <w:r w:rsidR="00E57FF7">
        <w:t>, who intend to go to college,</w:t>
      </w:r>
      <w:r w:rsidR="00A10677">
        <w:t xml:space="preserve"> in</w:t>
      </w:r>
      <w:r w:rsidR="00A10677" w:rsidRPr="006931A8">
        <w:t xml:space="preserve"> high schools that are part of the GEAR UP program</w:t>
      </w:r>
      <w:r w:rsidR="00A10677">
        <w:t xml:space="preserve">. </w:t>
      </w:r>
      <w:r w:rsidR="00A618A2">
        <w:t>Two independent treatments of s</w:t>
      </w:r>
      <w:r w:rsidR="00A618A2" w:rsidRPr="0002583C">
        <w:t xml:space="preserve">tudent messaging will </w:t>
      </w:r>
      <w:r w:rsidR="00A618A2">
        <w:t>be tested; both treatments will consist of text messages sent to students during the summer that follows their senior year in high school and extending into their freshman year in college</w:t>
      </w:r>
      <w:r w:rsidR="00A618A2" w:rsidRPr="0002583C">
        <w:t xml:space="preserve">. </w:t>
      </w:r>
      <w:r w:rsidR="00D93856">
        <w:t xml:space="preserve">Treatment 1 (milestone messages) will consist of text messages </w:t>
      </w:r>
      <w:r w:rsidR="00F528B4">
        <w:t xml:space="preserve">to </w:t>
      </w:r>
      <w:r w:rsidR="00D93856">
        <w:t>remind students of key milestones related to college matriculation and college persistence, and direct students to where they can receive additional support</w:t>
      </w:r>
      <w:r w:rsidR="005E77B2">
        <w:t>, including from GEAR UP advisors</w:t>
      </w:r>
      <w:r w:rsidR="00D93856">
        <w:t xml:space="preserve">. Treatment 2 (enhanced messages) will include the milestone messages plus messages designed to reinforce a growth mindset </w:t>
      </w:r>
      <w:r w:rsidR="005E77B2">
        <w:t>or an understanding that intelligence can be developed</w:t>
      </w:r>
      <w:r w:rsidR="00D93856">
        <w:t>. In both treatments, students will be able to respond to the message to receive additional support from a counselor.</w:t>
      </w:r>
      <w:r w:rsidR="008A4CDF">
        <w:t xml:space="preserve"> </w:t>
      </w:r>
      <w:r w:rsidR="00F3134C" w:rsidRPr="0002583C">
        <w:t xml:space="preserve">All students will continue to be eligible for any regular GEAR UP services provided. </w:t>
      </w:r>
    </w:p>
    <w:p w:rsidR="00F94105" w:rsidRDefault="00F94105" w:rsidP="009563C4">
      <w:r>
        <w:t>Students randomly assigned to</w:t>
      </w:r>
      <w:r w:rsidR="00F0739D">
        <w:t xml:space="preserve"> </w:t>
      </w:r>
      <w:r>
        <w:t xml:space="preserve">Treatment 1 </w:t>
      </w:r>
      <w:r w:rsidR="008A4CDF">
        <w:t xml:space="preserve">(milestone messages) </w:t>
      </w:r>
      <w:r>
        <w:t>will receive a minimum of 10 messages</w:t>
      </w:r>
      <w:r w:rsidR="00410FBC">
        <w:t xml:space="preserve"> over the summer</w:t>
      </w:r>
      <w:r>
        <w:t xml:space="preserve"> designed to relay information that students may not be aware of or may not have easy access to. The messages will inform students </w:t>
      </w:r>
      <w:r w:rsidRPr="009D4071">
        <w:t>about key enrollment-related tasks they need to complete such as submitting a deposit, filling out the housing form, submitting their</w:t>
      </w:r>
      <w:r>
        <w:t xml:space="preserve"> proof of health insurance form, registering for classes, etc. Students will receive a minimum of </w:t>
      </w:r>
      <w:r w:rsidR="008A6744">
        <w:t>12</w:t>
      </w:r>
      <w:r>
        <w:t xml:space="preserve"> messages </w:t>
      </w:r>
      <w:r w:rsidR="00410FBC">
        <w:t xml:space="preserve">during their freshman year </w:t>
      </w:r>
      <w:r>
        <w:t xml:space="preserve">designed to support </w:t>
      </w:r>
      <w:r w:rsidR="0023626B">
        <w:t xml:space="preserve">students’ </w:t>
      </w:r>
      <w:r w:rsidR="004C3A07">
        <w:t>completion</w:t>
      </w:r>
      <w:r>
        <w:t xml:space="preserve"> </w:t>
      </w:r>
      <w:r w:rsidR="004C3A07">
        <w:t xml:space="preserve">of </w:t>
      </w:r>
      <w:r>
        <w:t>their first semester and persist</w:t>
      </w:r>
      <w:r w:rsidR="004C3A07">
        <w:t>ence</w:t>
      </w:r>
      <w:r>
        <w:t xml:space="preserve"> into the second semester. These messages will focus on key tasks </w:t>
      </w:r>
      <w:r w:rsidR="004C3A07">
        <w:t>to</w:t>
      </w:r>
      <w:r>
        <w:t xml:space="preserve"> complete such as paying tuition and registering for the next semester as well as common challenges faced in the first semester such as academic unpreparedness and lack of knowledge about campus supports.</w:t>
      </w:r>
    </w:p>
    <w:p w:rsidR="00E4691E" w:rsidRDefault="00A618A2" w:rsidP="009563C4">
      <w:r>
        <w:t>Treatment 2 (enhanced messages) will consist of the milestone messages, plus additional messages that involve growth mindset messaging. These messages will consist of an activity that engage</w:t>
      </w:r>
      <w:r w:rsidR="008A4CDF">
        <w:t>s</w:t>
      </w:r>
      <w:r>
        <w:t xml:space="preserve"> students with the </w:t>
      </w:r>
      <w:r w:rsidR="00E4691E">
        <w:t xml:space="preserve">idea that intelligence is malleable. </w:t>
      </w:r>
      <w:r w:rsidR="00410FBC">
        <w:t>Students randomly assigned to Treatment 2 will receive</w:t>
      </w:r>
      <w:r w:rsidR="000661DB">
        <w:t xml:space="preserve"> the milestone messages</w:t>
      </w:r>
      <w:r w:rsidR="008D5C4C">
        <w:t>,</w:t>
      </w:r>
      <w:r w:rsidR="00E4647B">
        <w:t xml:space="preserve"> plus</w:t>
      </w:r>
      <w:r w:rsidR="00E4691E">
        <w:t xml:space="preserve"> approximately </w:t>
      </w:r>
      <w:r w:rsidR="008A4CDF">
        <w:t xml:space="preserve">three additional </w:t>
      </w:r>
      <w:r w:rsidR="004C3A07">
        <w:t xml:space="preserve">growth mindset </w:t>
      </w:r>
      <w:r w:rsidR="008A4CDF">
        <w:t>messages</w:t>
      </w:r>
      <w:r w:rsidR="00E4691E">
        <w:t xml:space="preserve"> over </w:t>
      </w:r>
      <w:r w:rsidR="007456F5">
        <w:t xml:space="preserve">the </w:t>
      </w:r>
      <w:r w:rsidR="00E4691E">
        <w:t xml:space="preserve">summer and </w:t>
      </w:r>
      <w:r w:rsidR="007456F5">
        <w:t xml:space="preserve">an </w:t>
      </w:r>
      <w:r w:rsidR="008D5C4C">
        <w:t>additional</w:t>
      </w:r>
      <w:r w:rsidR="007456F5">
        <w:t xml:space="preserve"> five</w:t>
      </w:r>
      <w:r w:rsidR="008A4CDF">
        <w:t xml:space="preserve"> </w:t>
      </w:r>
      <w:r w:rsidR="00E4691E">
        <w:t>during their freshman year.</w:t>
      </w:r>
    </w:p>
    <w:p w:rsidR="00F94105" w:rsidRDefault="00F94105" w:rsidP="00F94105">
      <w:pPr>
        <w:autoSpaceDE w:val="0"/>
        <w:autoSpaceDN w:val="0"/>
        <w:adjustRightInd w:val="0"/>
      </w:pPr>
      <w:r>
        <w:t xml:space="preserve">All messages will be grounded in both social psychological and behavioral economic research suggesting that the messages be aligned to </w:t>
      </w:r>
      <w:r w:rsidRPr="00441AD0">
        <w:rPr>
          <w:i/>
        </w:rPr>
        <w:t xml:space="preserve">key </w:t>
      </w:r>
      <w:r>
        <w:rPr>
          <w:i/>
        </w:rPr>
        <w:t>time points</w:t>
      </w:r>
      <w:r>
        <w:t xml:space="preserve"> such as housing deadlines, registration deadlines, tuition payment due dates, the add/drop period, and mid-term exams and that the messages be </w:t>
      </w:r>
      <w:r w:rsidRPr="00441AD0">
        <w:rPr>
          <w:i/>
        </w:rPr>
        <w:t>action oriented</w:t>
      </w:r>
      <w:r>
        <w:t xml:space="preserve"> such as </w:t>
      </w:r>
      <w:r w:rsidRPr="004F0186">
        <w:rPr>
          <w:u w:val="single"/>
        </w:rPr>
        <w:t>submit</w:t>
      </w:r>
      <w:r>
        <w:t xml:space="preserve"> your housing form</w:t>
      </w:r>
      <w:r w:rsidR="00F0739D">
        <w:t xml:space="preserve"> and</w:t>
      </w:r>
      <w:r>
        <w:t xml:space="preserve"> </w:t>
      </w:r>
      <w:r w:rsidRPr="004F0186">
        <w:rPr>
          <w:u w:val="single"/>
        </w:rPr>
        <w:t>go to</w:t>
      </w:r>
      <w:r>
        <w:t xml:space="preserve"> this webpage to register for classes. </w:t>
      </w:r>
      <w:r w:rsidR="000137D4">
        <w:t>Students will also be able to respond to the messages to receive support from a GEAR UP advisor.</w:t>
      </w:r>
    </w:p>
    <w:p w:rsidR="00F94105" w:rsidRDefault="00F94105" w:rsidP="00F94105">
      <w:pPr>
        <w:autoSpaceDE w:val="0"/>
        <w:autoSpaceDN w:val="0"/>
        <w:adjustRightInd w:val="0"/>
      </w:pPr>
      <w:r>
        <w:t xml:space="preserve">To the extent possible, messages will be customized for each student based on the information they provide on the baseline survey about college intentions. For example, deadlines for submitting </w:t>
      </w:r>
      <w:r>
        <w:lastRenderedPageBreak/>
        <w:t>particular forms and links to find more information will be specific to the college a student indicated as the planned college of enrollment on the</w:t>
      </w:r>
      <w:r w:rsidR="004C3A07">
        <w:t>ir</w:t>
      </w:r>
      <w:r>
        <w:t xml:space="preserve"> baseline survey. </w:t>
      </w:r>
    </w:p>
    <w:p w:rsidR="00F94105" w:rsidRDefault="00F94105" w:rsidP="00F94105">
      <w:pPr>
        <w:autoSpaceDE w:val="0"/>
        <w:autoSpaceDN w:val="0"/>
        <w:adjustRightInd w:val="0"/>
      </w:pPr>
      <w:r>
        <w:t xml:space="preserve">Exhibit </w:t>
      </w:r>
      <w:r w:rsidR="00B85D5E">
        <w:t>A-</w:t>
      </w:r>
      <w:r>
        <w:t xml:space="preserve">1 contains a preliminary outline of key prompts that are timed to key milestones or pressure points in enrolling and persisting in college. </w:t>
      </w:r>
    </w:p>
    <w:p w:rsidR="00F94105" w:rsidRPr="009563C4" w:rsidRDefault="00F94105" w:rsidP="009563C4">
      <w:pPr>
        <w:pStyle w:val="Caption"/>
      </w:pPr>
      <w:proofErr w:type="gramStart"/>
      <w:r w:rsidRPr="009563C4">
        <w:t xml:space="preserve">Exhibit </w:t>
      </w:r>
      <w:r w:rsidR="00B85D5E" w:rsidRPr="009563C4">
        <w:t>A-</w:t>
      </w:r>
      <w:r w:rsidRPr="009563C4">
        <w:t>1.</w:t>
      </w:r>
      <w:proofErr w:type="gramEnd"/>
      <w:r w:rsidRPr="009563C4">
        <w:t xml:space="preserve"> Draft Outline of Student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612"/>
      </w:tblGrid>
      <w:tr w:rsidR="00F94105" w:rsidRPr="007A5755" w:rsidTr="00A618A2">
        <w:tc>
          <w:tcPr>
            <w:tcW w:w="4604" w:type="dxa"/>
            <w:shd w:val="clear" w:color="auto" w:fill="A6A6A6" w:themeFill="background1" w:themeFillShade="A6"/>
          </w:tcPr>
          <w:p w:rsidR="00F94105" w:rsidRPr="007926A3" w:rsidRDefault="00F94105" w:rsidP="009563C4">
            <w:pPr>
              <w:autoSpaceDE w:val="0"/>
              <w:autoSpaceDN w:val="0"/>
              <w:adjustRightInd w:val="0"/>
              <w:spacing w:after="0"/>
              <w:rPr>
                <w:b/>
                <w:bCs/>
                <w:szCs w:val="22"/>
              </w:rPr>
            </w:pPr>
            <w:r w:rsidRPr="00FF2B20">
              <w:rPr>
                <w:b/>
                <w:bCs/>
                <w:szCs w:val="22"/>
              </w:rPr>
              <w:t>Topic</w:t>
            </w:r>
          </w:p>
        </w:tc>
        <w:tc>
          <w:tcPr>
            <w:tcW w:w="4612" w:type="dxa"/>
            <w:shd w:val="clear" w:color="auto" w:fill="A6A6A6" w:themeFill="background1" w:themeFillShade="A6"/>
          </w:tcPr>
          <w:p w:rsidR="00F94105" w:rsidRPr="00274896" w:rsidRDefault="00F94105" w:rsidP="009563C4">
            <w:pPr>
              <w:autoSpaceDE w:val="0"/>
              <w:autoSpaceDN w:val="0"/>
              <w:adjustRightInd w:val="0"/>
              <w:spacing w:after="0"/>
              <w:rPr>
                <w:b/>
                <w:bCs/>
                <w:szCs w:val="22"/>
              </w:rPr>
            </w:pPr>
            <w:r w:rsidRPr="007926A3">
              <w:rPr>
                <w:b/>
                <w:bCs/>
                <w:szCs w:val="22"/>
              </w:rPr>
              <w:t>Personalization</w:t>
            </w:r>
          </w:p>
        </w:tc>
      </w:tr>
      <w:tr w:rsidR="00410FBC" w:rsidRPr="00410FBC" w:rsidTr="00A618A2">
        <w:tc>
          <w:tcPr>
            <w:tcW w:w="9216" w:type="dxa"/>
            <w:gridSpan w:val="2"/>
            <w:shd w:val="clear" w:color="auto" w:fill="D9D9D9" w:themeFill="background1" w:themeFillShade="D9"/>
          </w:tcPr>
          <w:p w:rsidR="00410FBC" w:rsidRPr="00410FBC" w:rsidRDefault="00410FBC" w:rsidP="00410FBC">
            <w:pPr>
              <w:autoSpaceDE w:val="0"/>
              <w:autoSpaceDN w:val="0"/>
              <w:adjustRightInd w:val="0"/>
              <w:spacing w:after="0"/>
              <w:rPr>
                <w:b/>
                <w:i/>
                <w:szCs w:val="22"/>
              </w:rPr>
            </w:pPr>
            <w:r w:rsidRPr="00410FBC">
              <w:rPr>
                <w:b/>
                <w:i/>
                <w:szCs w:val="22"/>
              </w:rPr>
              <w:t xml:space="preserve">Treatment </w:t>
            </w:r>
            <w:r>
              <w:rPr>
                <w:b/>
                <w:i/>
                <w:szCs w:val="22"/>
              </w:rPr>
              <w:t>1</w:t>
            </w:r>
          </w:p>
        </w:tc>
      </w:tr>
      <w:tr w:rsidR="00F94105" w:rsidRPr="007A5755" w:rsidTr="00E4691E">
        <w:tc>
          <w:tcPr>
            <w:tcW w:w="9216" w:type="dxa"/>
            <w:gridSpan w:val="2"/>
            <w:shd w:val="clear" w:color="auto" w:fill="auto"/>
          </w:tcPr>
          <w:p w:rsidR="00F94105" w:rsidRPr="004F0186" w:rsidRDefault="00410FBC" w:rsidP="00410FBC">
            <w:pPr>
              <w:autoSpaceDE w:val="0"/>
              <w:autoSpaceDN w:val="0"/>
              <w:adjustRightInd w:val="0"/>
              <w:spacing w:after="0"/>
              <w:rPr>
                <w:i/>
                <w:szCs w:val="22"/>
              </w:rPr>
            </w:pPr>
            <w:r>
              <w:rPr>
                <w:i/>
                <w:szCs w:val="22"/>
              </w:rPr>
              <w:t xml:space="preserve">Summer messages </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Log into college's web portal to access important</w:t>
            </w:r>
            <w:r>
              <w:rPr>
                <w:szCs w:val="22"/>
              </w:rPr>
              <w:t xml:space="preserve"> </w:t>
            </w:r>
            <w:r w:rsidRPr="007926A3">
              <w:rPr>
                <w:szCs w:val="22"/>
              </w:rPr>
              <w:t>paperwork and deadlines</w:t>
            </w:r>
          </w:p>
        </w:tc>
        <w:tc>
          <w:tcPr>
            <w:tcW w:w="4612" w:type="dxa"/>
            <w:shd w:val="clear" w:color="auto" w:fill="auto"/>
          </w:tcPr>
          <w:p w:rsidR="00F94105" w:rsidRPr="005B406D" w:rsidRDefault="00F94105" w:rsidP="009563C4">
            <w:pPr>
              <w:autoSpaceDE w:val="0"/>
              <w:autoSpaceDN w:val="0"/>
              <w:adjustRightInd w:val="0"/>
              <w:spacing w:after="0"/>
              <w:rPr>
                <w:b/>
                <w:bCs/>
                <w:szCs w:val="22"/>
              </w:rPr>
            </w:pPr>
            <w:r w:rsidRPr="00274896">
              <w:rPr>
                <w:szCs w:val="22"/>
              </w:rPr>
              <w:t>Link to specific website</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Register for orientation and plac</w:t>
            </w:r>
            <w:r w:rsidRPr="007926A3">
              <w:rPr>
                <w:szCs w:val="22"/>
              </w:rPr>
              <w:t>ement tests</w:t>
            </w:r>
          </w:p>
        </w:tc>
        <w:tc>
          <w:tcPr>
            <w:tcW w:w="4612" w:type="dxa"/>
            <w:shd w:val="clear" w:color="auto" w:fill="auto"/>
          </w:tcPr>
          <w:p w:rsidR="00F94105" w:rsidRPr="00274896" w:rsidRDefault="00F94105" w:rsidP="009563C4">
            <w:pPr>
              <w:autoSpaceDE w:val="0"/>
              <w:autoSpaceDN w:val="0"/>
              <w:adjustRightInd w:val="0"/>
              <w:spacing w:after="0"/>
              <w:rPr>
                <w:szCs w:val="22"/>
              </w:rPr>
            </w:pPr>
            <w:r w:rsidRPr="00274896">
              <w:rPr>
                <w:szCs w:val="22"/>
              </w:rPr>
              <w:t>Institution-specific registration deadlines</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Complete housing forms</w:t>
            </w:r>
          </w:p>
        </w:tc>
        <w:tc>
          <w:tcPr>
            <w:tcW w:w="4612" w:type="dxa"/>
            <w:shd w:val="clear" w:color="auto" w:fill="auto"/>
          </w:tcPr>
          <w:p w:rsidR="00F94105" w:rsidRPr="00274896" w:rsidRDefault="00F94105" w:rsidP="009563C4">
            <w:pPr>
              <w:autoSpaceDE w:val="0"/>
              <w:autoSpaceDN w:val="0"/>
              <w:adjustRightInd w:val="0"/>
              <w:spacing w:after="0"/>
              <w:rPr>
                <w:szCs w:val="22"/>
              </w:rPr>
            </w:pPr>
            <w:r w:rsidRPr="007926A3">
              <w:rPr>
                <w:szCs w:val="22"/>
              </w:rPr>
              <w:t>Link to specific forms, include deadlines</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Sign up or waive health insurance (if relevant)</w:t>
            </w:r>
          </w:p>
        </w:tc>
        <w:tc>
          <w:tcPr>
            <w:tcW w:w="4612" w:type="dxa"/>
            <w:shd w:val="clear" w:color="auto" w:fill="auto"/>
          </w:tcPr>
          <w:p w:rsidR="00F94105" w:rsidRPr="00274896" w:rsidRDefault="00F94105" w:rsidP="009563C4">
            <w:pPr>
              <w:autoSpaceDE w:val="0"/>
              <w:autoSpaceDN w:val="0"/>
              <w:adjustRightInd w:val="0"/>
              <w:spacing w:after="0"/>
              <w:rPr>
                <w:szCs w:val="22"/>
              </w:rPr>
            </w:pPr>
            <w:r w:rsidRPr="007926A3">
              <w:rPr>
                <w:szCs w:val="22"/>
              </w:rPr>
              <w:t>Link to specific forms, include deadlines</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Submit deposit for fall enrollment</w:t>
            </w:r>
          </w:p>
        </w:tc>
        <w:tc>
          <w:tcPr>
            <w:tcW w:w="4612" w:type="dxa"/>
            <w:shd w:val="clear" w:color="auto" w:fill="auto"/>
          </w:tcPr>
          <w:p w:rsidR="00F94105" w:rsidRPr="00274896" w:rsidRDefault="00F94105" w:rsidP="009563C4">
            <w:pPr>
              <w:autoSpaceDE w:val="0"/>
              <w:autoSpaceDN w:val="0"/>
              <w:adjustRightInd w:val="0"/>
              <w:spacing w:after="0"/>
              <w:rPr>
                <w:szCs w:val="22"/>
              </w:rPr>
            </w:pPr>
            <w:r w:rsidRPr="007926A3">
              <w:rPr>
                <w:szCs w:val="22"/>
              </w:rPr>
              <w:t>Institution-specific deposit deadlines</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Register for fall classes</w:t>
            </w:r>
          </w:p>
        </w:tc>
        <w:tc>
          <w:tcPr>
            <w:tcW w:w="4612" w:type="dxa"/>
            <w:shd w:val="clear" w:color="auto" w:fill="auto"/>
          </w:tcPr>
          <w:p w:rsidR="00F94105" w:rsidRPr="00274896" w:rsidRDefault="00F94105" w:rsidP="009563C4">
            <w:pPr>
              <w:autoSpaceDE w:val="0"/>
              <w:autoSpaceDN w:val="0"/>
              <w:adjustRightInd w:val="0"/>
              <w:spacing w:after="0"/>
              <w:rPr>
                <w:szCs w:val="22"/>
              </w:rPr>
            </w:pPr>
            <w:r w:rsidRPr="007926A3">
              <w:rPr>
                <w:szCs w:val="22"/>
              </w:rPr>
              <w:t>Institution-specific registration deadlines</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Reminder of orientation and/or welcome activities dates</w:t>
            </w:r>
          </w:p>
        </w:tc>
        <w:tc>
          <w:tcPr>
            <w:tcW w:w="4612" w:type="dxa"/>
            <w:shd w:val="clear" w:color="auto" w:fill="auto"/>
          </w:tcPr>
          <w:p w:rsidR="00F94105" w:rsidRPr="00274896" w:rsidRDefault="00F94105" w:rsidP="009563C4">
            <w:pPr>
              <w:autoSpaceDE w:val="0"/>
              <w:autoSpaceDN w:val="0"/>
              <w:adjustRightInd w:val="0"/>
              <w:spacing w:after="0"/>
              <w:rPr>
                <w:szCs w:val="22"/>
              </w:rPr>
            </w:pPr>
            <w:r w:rsidRPr="007926A3">
              <w:rPr>
                <w:szCs w:val="22"/>
              </w:rPr>
              <w:t>Inst</w:t>
            </w:r>
            <w:r w:rsidRPr="00274896">
              <w:rPr>
                <w:szCs w:val="22"/>
              </w:rPr>
              <w:t>itution-specific dates/activities</w:t>
            </w:r>
          </w:p>
        </w:tc>
      </w:tr>
      <w:tr w:rsidR="00F94105" w:rsidRPr="007A5755" w:rsidTr="00E4691E">
        <w:tc>
          <w:tcPr>
            <w:tcW w:w="9216" w:type="dxa"/>
            <w:gridSpan w:val="2"/>
            <w:shd w:val="clear" w:color="auto" w:fill="auto"/>
          </w:tcPr>
          <w:p w:rsidR="00F94105" w:rsidRPr="004F0186" w:rsidRDefault="00410FBC" w:rsidP="00410FBC">
            <w:pPr>
              <w:autoSpaceDE w:val="0"/>
              <w:autoSpaceDN w:val="0"/>
              <w:adjustRightInd w:val="0"/>
              <w:spacing w:after="0"/>
              <w:rPr>
                <w:i/>
                <w:szCs w:val="22"/>
              </w:rPr>
            </w:pPr>
            <w:r>
              <w:rPr>
                <w:i/>
                <w:szCs w:val="22"/>
              </w:rPr>
              <w:t>College messages</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Provide links to campus resources for student support</w:t>
            </w:r>
          </w:p>
        </w:tc>
        <w:tc>
          <w:tcPr>
            <w:tcW w:w="4612" w:type="dxa"/>
            <w:shd w:val="clear" w:color="auto" w:fill="auto"/>
          </w:tcPr>
          <w:p w:rsidR="00F94105" w:rsidRPr="00274896" w:rsidRDefault="00F94105" w:rsidP="009563C4">
            <w:pPr>
              <w:autoSpaceDE w:val="0"/>
              <w:autoSpaceDN w:val="0"/>
              <w:adjustRightInd w:val="0"/>
              <w:spacing w:after="0"/>
              <w:rPr>
                <w:szCs w:val="22"/>
              </w:rPr>
            </w:pPr>
            <w:r w:rsidRPr="007926A3">
              <w:rPr>
                <w:szCs w:val="22"/>
              </w:rPr>
              <w:t>Links to specific resources</w:t>
            </w:r>
          </w:p>
        </w:tc>
      </w:tr>
      <w:tr w:rsidR="00F94105" w:rsidRPr="007A5755" w:rsidTr="00A618A2">
        <w:tc>
          <w:tcPr>
            <w:tcW w:w="4604" w:type="dxa"/>
            <w:shd w:val="clear" w:color="auto" w:fill="auto"/>
          </w:tcPr>
          <w:p w:rsidR="00F94105" w:rsidRPr="00FF2B20" w:rsidRDefault="00F94105" w:rsidP="009563C4">
            <w:pPr>
              <w:autoSpaceDE w:val="0"/>
              <w:autoSpaceDN w:val="0"/>
              <w:adjustRightInd w:val="0"/>
              <w:spacing w:after="0"/>
              <w:rPr>
                <w:szCs w:val="22"/>
              </w:rPr>
            </w:pPr>
            <w:r>
              <w:rPr>
                <w:szCs w:val="22"/>
              </w:rPr>
              <w:t>Reminder about upcoming midterms</w:t>
            </w:r>
          </w:p>
        </w:tc>
        <w:tc>
          <w:tcPr>
            <w:tcW w:w="4612" w:type="dxa"/>
            <w:shd w:val="clear" w:color="auto" w:fill="auto"/>
          </w:tcPr>
          <w:p w:rsidR="00F94105" w:rsidRPr="007926A3" w:rsidRDefault="00F94105" w:rsidP="009563C4">
            <w:pPr>
              <w:autoSpaceDE w:val="0"/>
              <w:autoSpaceDN w:val="0"/>
              <w:adjustRightInd w:val="0"/>
              <w:spacing w:after="0"/>
              <w:rPr>
                <w:szCs w:val="22"/>
              </w:rPr>
            </w:pPr>
            <w:r>
              <w:rPr>
                <w:szCs w:val="22"/>
              </w:rPr>
              <w:t>Link to campus specific academic support center</w:t>
            </w:r>
          </w:p>
        </w:tc>
      </w:tr>
      <w:tr w:rsidR="00F94105" w:rsidRPr="007A5755" w:rsidTr="00A618A2">
        <w:tc>
          <w:tcPr>
            <w:tcW w:w="4604" w:type="dxa"/>
            <w:shd w:val="clear" w:color="auto" w:fill="auto"/>
          </w:tcPr>
          <w:p w:rsidR="00F94105" w:rsidRDefault="00F94105" w:rsidP="009563C4">
            <w:pPr>
              <w:autoSpaceDE w:val="0"/>
              <w:autoSpaceDN w:val="0"/>
              <w:adjustRightInd w:val="0"/>
              <w:spacing w:after="0"/>
              <w:rPr>
                <w:szCs w:val="22"/>
              </w:rPr>
            </w:pPr>
            <w:r>
              <w:rPr>
                <w:szCs w:val="22"/>
              </w:rPr>
              <w:t>Mindset booster on overcoming challenges in college</w:t>
            </w:r>
          </w:p>
        </w:tc>
        <w:tc>
          <w:tcPr>
            <w:tcW w:w="4612" w:type="dxa"/>
            <w:shd w:val="clear" w:color="auto" w:fill="auto"/>
          </w:tcPr>
          <w:p w:rsidR="00F94105" w:rsidRDefault="00F94105" w:rsidP="009563C4">
            <w:pPr>
              <w:autoSpaceDE w:val="0"/>
              <w:autoSpaceDN w:val="0"/>
              <w:adjustRightInd w:val="0"/>
              <w:spacing w:after="0"/>
              <w:rPr>
                <w:szCs w:val="22"/>
              </w:rPr>
            </w:pPr>
            <w:r>
              <w:rPr>
                <w:szCs w:val="22"/>
              </w:rPr>
              <w:t>Link to campus counseling center</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Check financial aid eligibility for second year</w:t>
            </w:r>
          </w:p>
        </w:tc>
        <w:tc>
          <w:tcPr>
            <w:tcW w:w="4612" w:type="dxa"/>
            <w:shd w:val="clear" w:color="auto" w:fill="auto"/>
          </w:tcPr>
          <w:p w:rsidR="00F94105" w:rsidRPr="005B406D" w:rsidRDefault="00F94105" w:rsidP="009563C4">
            <w:pPr>
              <w:autoSpaceDE w:val="0"/>
              <w:autoSpaceDN w:val="0"/>
              <w:adjustRightInd w:val="0"/>
              <w:spacing w:after="0"/>
              <w:rPr>
                <w:szCs w:val="22"/>
              </w:rPr>
            </w:pPr>
            <w:r w:rsidRPr="007926A3">
              <w:rPr>
                <w:szCs w:val="22"/>
              </w:rPr>
              <w:t>Link to requirements</w:t>
            </w:r>
          </w:p>
        </w:tc>
      </w:tr>
      <w:tr w:rsidR="00F94105" w:rsidRPr="007A5755" w:rsidTr="00A618A2">
        <w:tc>
          <w:tcPr>
            <w:tcW w:w="4604" w:type="dxa"/>
            <w:shd w:val="clear" w:color="auto" w:fill="auto"/>
          </w:tcPr>
          <w:p w:rsidR="00F94105" w:rsidRPr="007926A3" w:rsidRDefault="00F94105" w:rsidP="009563C4">
            <w:pPr>
              <w:autoSpaceDE w:val="0"/>
              <w:autoSpaceDN w:val="0"/>
              <w:adjustRightInd w:val="0"/>
              <w:spacing w:after="0"/>
              <w:rPr>
                <w:b/>
                <w:bCs/>
                <w:szCs w:val="22"/>
              </w:rPr>
            </w:pPr>
            <w:r w:rsidRPr="00FF2B20">
              <w:rPr>
                <w:szCs w:val="22"/>
              </w:rPr>
              <w:t>Register for spring classes</w:t>
            </w:r>
          </w:p>
        </w:tc>
        <w:tc>
          <w:tcPr>
            <w:tcW w:w="4612" w:type="dxa"/>
            <w:shd w:val="clear" w:color="auto" w:fill="auto"/>
          </w:tcPr>
          <w:p w:rsidR="00F94105" w:rsidRPr="00274896" w:rsidRDefault="00F94105" w:rsidP="009563C4">
            <w:pPr>
              <w:autoSpaceDE w:val="0"/>
              <w:autoSpaceDN w:val="0"/>
              <w:adjustRightInd w:val="0"/>
              <w:spacing w:after="0"/>
              <w:rPr>
                <w:szCs w:val="22"/>
              </w:rPr>
            </w:pPr>
            <w:r w:rsidRPr="007926A3">
              <w:rPr>
                <w:szCs w:val="22"/>
              </w:rPr>
              <w:t>Institution-specific registration deadlines</w:t>
            </w:r>
          </w:p>
        </w:tc>
      </w:tr>
      <w:tr w:rsidR="009B34D7" w:rsidRPr="00410FBC" w:rsidTr="009B34D7">
        <w:tc>
          <w:tcPr>
            <w:tcW w:w="9216" w:type="dxa"/>
            <w:gridSpan w:val="2"/>
            <w:shd w:val="clear" w:color="auto" w:fill="D9D9D9" w:themeFill="background1" w:themeFillShade="D9"/>
          </w:tcPr>
          <w:p w:rsidR="009B34D7" w:rsidRPr="00410FBC" w:rsidRDefault="009B34D7" w:rsidP="009563C4">
            <w:pPr>
              <w:autoSpaceDE w:val="0"/>
              <w:autoSpaceDN w:val="0"/>
              <w:adjustRightInd w:val="0"/>
              <w:spacing w:after="0"/>
              <w:rPr>
                <w:b/>
                <w:i/>
                <w:szCs w:val="22"/>
              </w:rPr>
            </w:pPr>
            <w:r w:rsidRPr="00410FBC">
              <w:rPr>
                <w:b/>
                <w:i/>
                <w:szCs w:val="22"/>
              </w:rPr>
              <w:t>Treatment 2</w:t>
            </w:r>
            <w:r w:rsidR="00474A1B">
              <w:rPr>
                <w:b/>
                <w:i/>
                <w:szCs w:val="22"/>
              </w:rPr>
              <w:t xml:space="preserve"> </w:t>
            </w:r>
            <w:r>
              <w:rPr>
                <w:b/>
                <w:i/>
                <w:szCs w:val="22"/>
              </w:rPr>
              <w:t>(all messages above, plus the enhancements below)</w:t>
            </w:r>
          </w:p>
        </w:tc>
      </w:tr>
      <w:tr w:rsidR="00410FBC" w:rsidRPr="007A5755" w:rsidTr="00A618A2">
        <w:tc>
          <w:tcPr>
            <w:tcW w:w="4604" w:type="dxa"/>
            <w:shd w:val="clear" w:color="auto" w:fill="auto"/>
          </w:tcPr>
          <w:p w:rsidR="00410FBC" w:rsidRPr="00FF2B20" w:rsidRDefault="008A6744" w:rsidP="009563C4">
            <w:pPr>
              <w:autoSpaceDE w:val="0"/>
              <w:autoSpaceDN w:val="0"/>
              <w:adjustRightInd w:val="0"/>
              <w:spacing w:after="0"/>
              <w:rPr>
                <w:szCs w:val="22"/>
              </w:rPr>
            </w:pPr>
            <w:r>
              <w:rPr>
                <w:szCs w:val="22"/>
              </w:rPr>
              <w:t xml:space="preserve">Summer </w:t>
            </w:r>
            <w:r w:rsidR="00715914">
              <w:rPr>
                <w:szCs w:val="22"/>
              </w:rPr>
              <w:t>message to introduce intelligence as something that can grow</w:t>
            </w:r>
          </w:p>
        </w:tc>
        <w:tc>
          <w:tcPr>
            <w:tcW w:w="4612" w:type="dxa"/>
            <w:shd w:val="clear" w:color="auto" w:fill="auto"/>
          </w:tcPr>
          <w:p w:rsidR="00410FBC" w:rsidRPr="007926A3" w:rsidRDefault="00410FBC" w:rsidP="009563C4">
            <w:pPr>
              <w:autoSpaceDE w:val="0"/>
              <w:autoSpaceDN w:val="0"/>
              <w:adjustRightInd w:val="0"/>
              <w:spacing w:after="0"/>
              <w:rPr>
                <w:szCs w:val="22"/>
              </w:rPr>
            </w:pPr>
          </w:p>
        </w:tc>
      </w:tr>
      <w:tr w:rsidR="00715914" w:rsidRPr="007A5755" w:rsidTr="00A618A2">
        <w:tc>
          <w:tcPr>
            <w:tcW w:w="4604" w:type="dxa"/>
            <w:shd w:val="clear" w:color="auto" w:fill="auto"/>
          </w:tcPr>
          <w:p w:rsidR="00715914" w:rsidRDefault="00715914" w:rsidP="008A6744">
            <w:pPr>
              <w:autoSpaceDE w:val="0"/>
              <w:autoSpaceDN w:val="0"/>
              <w:adjustRightInd w:val="0"/>
              <w:spacing w:after="0"/>
              <w:rPr>
                <w:szCs w:val="22"/>
              </w:rPr>
            </w:pPr>
            <w:r>
              <w:rPr>
                <w:szCs w:val="22"/>
              </w:rPr>
              <w:t>Links to activit</w:t>
            </w:r>
            <w:r w:rsidR="008A4CDF">
              <w:rPr>
                <w:szCs w:val="22"/>
              </w:rPr>
              <w:t>ies</w:t>
            </w:r>
            <w:r>
              <w:rPr>
                <w:szCs w:val="22"/>
              </w:rPr>
              <w:t xml:space="preserve"> that promote growth mindset</w:t>
            </w:r>
          </w:p>
        </w:tc>
        <w:tc>
          <w:tcPr>
            <w:tcW w:w="4612" w:type="dxa"/>
            <w:shd w:val="clear" w:color="auto" w:fill="auto"/>
          </w:tcPr>
          <w:p w:rsidR="00715914" w:rsidRPr="007926A3" w:rsidRDefault="00715914" w:rsidP="009563C4">
            <w:pPr>
              <w:autoSpaceDE w:val="0"/>
              <w:autoSpaceDN w:val="0"/>
              <w:adjustRightInd w:val="0"/>
              <w:spacing w:after="0"/>
              <w:rPr>
                <w:szCs w:val="22"/>
              </w:rPr>
            </w:pPr>
          </w:p>
        </w:tc>
      </w:tr>
      <w:tr w:rsidR="00410FBC" w:rsidRPr="007A5755" w:rsidTr="00A618A2">
        <w:tc>
          <w:tcPr>
            <w:tcW w:w="4604" w:type="dxa"/>
            <w:shd w:val="clear" w:color="auto" w:fill="auto"/>
          </w:tcPr>
          <w:p w:rsidR="00410FBC" w:rsidRPr="00FF2B20" w:rsidRDefault="008A6744" w:rsidP="008A6744">
            <w:pPr>
              <w:autoSpaceDE w:val="0"/>
              <w:autoSpaceDN w:val="0"/>
              <w:adjustRightInd w:val="0"/>
              <w:spacing w:after="0"/>
              <w:rPr>
                <w:szCs w:val="22"/>
              </w:rPr>
            </w:pPr>
            <w:r>
              <w:rPr>
                <w:szCs w:val="22"/>
              </w:rPr>
              <w:t xml:space="preserve">Pre-midterm exams reminder that intelligence can grow through </w:t>
            </w:r>
            <w:r w:rsidR="008A4CDF">
              <w:rPr>
                <w:szCs w:val="22"/>
              </w:rPr>
              <w:t xml:space="preserve">dedicated </w:t>
            </w:r>
            <w:r>
              <w:rPr>
                <w:szCs w:val="22"/>
              </w:rPr>
              <w:t>study</w:t>
            </w:r>
          </w:p>
        </w:tc>
        <w:tc>
          <w:tcPr>
            <w:tcW w:w="4612" w:type="dxa"/>
            <w:shd w:val="clear" w:color="auto" w:fill="auto"/>
          </w:tcPr>
          <w:p w:rsidR="00410FBC" w:rsidRPr="007926A3" w:rsidRDefault="00410FBC" w:rsidP="009563C4">
            <w:pPr>
              <w:autoSpaceDE w:val="0"/>
              <w:autoSpaceDN w:val="0"/>
              <w:adjustRightInd w:val="0"/>
              <w:spacing w:after="0"/>
              <w:rPr>
                <w:szCs w:val="22"/>
              </w:rPr>
            </w:pPr>
          </w:p>
        </w:tc>
      </w:tr>
      <w:tr w:rsidR="008A6744" w:rsidRPr="007A5755" w:rsidTr="00A618A2">
        <w:tc>
          <w:tcPr>
            <w:tcW w:w="4604" w:type="dxa"/>
            <w:shd w:val="clear" w:color="auto" w:fill="auto"/>
          </w:tcPr>
          <w:p w:rsidR="008A6744" w:rsidRDefault="008A6744" w:rsidP="008A6744">
            <w:pPr>
              <w:autoSpaceDE w:val="0"/>
              <w:autoSpaceDN w:val="0"/>
              <w:adjustRightInd w:val="0"/>
              <w:spacing w:after="0"/>
              <w:rPr>
                <w:szCs w:val="22"/>
              </w:rPr>
            </w:pPr>
            <w:r>
              <w:rPr>
                <w:szCs w:val="22"/>
              </w:rPr>
              <w:t>Post-midterm check on how exams went</w:t>
            </w:r>
          </w:p>
        </w:tc>
        <w:tc>
          <w:tcPr>
            <w:tcW w:w="4612" w:type="dxa"/>
            <w:shd w:val="clear" w:color="auto" w:fill="auto"/>
          </w:tcPr>
          <w:p w:rsidR="008A6744" w:rsidRPr="007926A3" w:rsidRDefault="008A6744" w:rsidP="009563C4">
            <w:pPr>
              <w:autoSpaceDE w:val="0"/>
              <w:autoSpaceDN w:val="0"/>
              <w:adjustRightInd w:val="0"/>
              <w:spacing w:after="0"/>
              <w:rPr>
                <w:szCs w:val="22"/>
              </w:rPr>
            </w:pPr>
          </w:p>
        </w:tc>
      </w:tr>
      <w:tr w:rsidR="00410FBC" w:rsidRPr="007A5755" w:rsidTr="00A618A2">
        <w:tc>
          <w:tcPr>
            <w:tcW w:w="4604" w:type="dxa"/>
            <w:shd w:val="clear" w:color="auto" w:fill="auto"/>
          </w:tcPr>
          <w:p w:rsidR="00410FBC" w:rsidRPr="00FF2B20" w:rsidRDefault="008A6744" w:rsidP="008A6744">
            <w:pPr>
              <w:autoSpaceDE w:val="0"/>
              <w:autoSpaceDN w:val="0"/>
              <w:adjustRightInd w:val="0"/>
              <w:spacing w:after="0"/>
              <w:rPr>
                <w:szCs w:val="22"/>
              </w:rPr>
            </w:pPr>
            <w:r>
              <w:rPr>
                <w:szCs w:val="22"/>
              </w:rPr>
              <w:t xml:space="preserve">Pre-final exams link to video about growing intelligence </w:t>
            </w:r>
          </w:p>
        </w:tc>
        <w:tc>
          <w:tcPr>
            <w:tcW w:w="4612" w:type="dxa"/>
            <w:shd w:val="clear" w:color="auto" w:fill="auto"/>
          </w:tcPr>
          <w:p w:rsidR="00410FBC" w:rsidRPr="007926A3" w:rsidRDefault="00410FBC" w:rsidP="009563C4">
            <w:pPr>
              <w:autoSpaceDE w:val="0"/>
              <w:autoSpaceDN w:val="0"/>
              <w:adjustRightInd w:val="0"/>
              <w:spacing w:after="0"/>
              <w:rPr>
                <w:szCs w:val="22"/>
              </w:rPr>
            </w:pPr>
          </w:p>
        </w:tc>
      </w:tr>
    </w:tbl>
    <w:p w:rsidR="00A10677" w:rsidRDefault="00A10677">
      <w:pPr>
        <w:spacing w:after="0"/>
      </w:pPr>
    </w:p>
    <w:p w:rsidR="00E70907" w:rsidRPr="007C772C" w:rsidRDefault="00E70907">
      <w:pPr>
        <w:spacing w:after="0"/>
        <w:rPr>
          <w:b/>
          <w:i/>
        </w:rPr>
      </w:pPr>
      <w:r w:rsidRPr="007C772C">
        <w:rPr>
          <w:b/>
          <w:i/>
        </w:rPr>
        <w:t>Overview of the Evaluation</w:t>
      </w:r>
    </w:p>
    <w:p w:rsidR="006E5606" w:rsidRDefault="00E70907" w:rsidP="009563C4">
      <w:r>
        <w:t xml:space="preserve">The </w:t>
      </w:r>
      <w:r w:rsidR="007B5B2C">
        <w:t>study</w:t>
      </w:r>
      <w:r>
        <w:t xml:space="preserve"> </w:t>
      </w:r>
      <w:r w:rsidR="007B5B2C">
        <w:t xml:space="preserve">will use </w:t>
      </w:r>
      <w:r w:rsidRPr="00532E9D">
        <w:t xml:space="preserve">a rigorous </w:t>
      </w:r>
      <w:r>
        <w:t>random assignment design</w:t>
      </w:r>
      <w:r w:rsidRPr="00532E9D">
        <w:t xml:space="preserve"> to </w:t>
      </w:r>
      <w:r>
        <w:t xml:space="preserve">test the effectiveness of </w:t>
      </w:r>
      <w:r w:rsidR="007B5B2C">
        <w:t xml:space="preserve">sending </w:t>
      </w:r>
      <w:r>
        <w:t>customized messag</w:t>
      </w:r>
      <w:r w:rsidR="007B5B2C">
        <w:t>es</w:t>
      </w:r>
      <w:r>
        <w:t xml:space="preserve"> to GEAR UP students</w:t>
      </w:r>
      <w:r w:rsidR="00E10E27">
        <w:t xml:space="preserve"> that provide students with key information and allow students to respond for additional support</w:t>
      </w:r>
      <w:r w:rsidR="007B5B2C">
        <w:t xml:space="preserve">. </w:t>
      </w:r>
      <w:r w:rsidR="0004039D">
        <w:t xml:space="preserve">GEAR UP projects </w:t>
      </w:r>
      <w:r w:rsidR="00F0739D">
        <w:t xml:space="preserve">that </w:t>
      </w:r>
      <w:r w:rsidR="0066632E">
        <w:t>were awarded</w:t>
      </w:r>
      <w:r w:rsidR="00F0739D">
        <w:t xml:space="preserve"> </w:t>
      </w:r>
      <w:r w:rsidR="0066632E">
        <w:t xml:space="preserve">awards </w:t>
      </w:r>
      <w:r w:rsidR="0004039D">
        <w:t>in Federal Fiscal Year 2011 will be invited to volunteer for the demonstration (see Appendix A for invitation)</w:t>
      </w:r>
      <w:r w:rsidR="00F83BFB">
        <w:t xml:space="preserve">, because they are the first </w:t>
      </w:r>
      <w:r w:rsidR="00887719">
        <w:t xml:space="preserve">cohort of grantees </w:t>
      </w:r>
      <w:r w:rsidR="00F83BFB">
        <w:t>to have funds to support a 7</w:t>
      </w:r>
      <w:r w:rsidR="00F83BFB" w:rsidRPr="000664ED">
        <w:rPr>
          <w:vertAlign w:val="superscript"/>
        </w:rPr>
        <w:t>th</w:t>
      </w:r>
      <w:r w:rsidR="00F83BFB">
        <w:t xml:space="preserve"> year of services</w:t>
      </w:r>
      <w:r w:rsidR="0004039D">
        <w:t xml:space="preserve">. </w:t>
      </w:r>
      <w:r w:rsidR="007B5B2C" w:rsidRPr="007B5B2C">
        <w:t>To test the effectiv</w:t>
      </w:r>
      <w:r w:rsidR="00374EFB">
        <w:t>eness of the customized messaging</w:t>
      </w:r>
      <w:r w:rsidR="007B5B2C" w:rsidRPr="007B5B2C">
        <w:t xml:space="preserve">, the study will assign students within </w:t>
      </w:r>
      <w:r w:rsidR="00F0739D">
        <w:t xml:space="preserve">participating high </w:t>
      </w:r>
      <w:r w:rsidR="007B5B2C" w:rsidRPr="007B5B2C">
        <w:t xml:space="preserve">schools </w:t>
      </w:r>
      <w:r w:rsidR="00F0739D">
        <w:t>s</w:t>
      </w:r>
      <w:r w:rsidR="001B7671">
        <w:t>elected by volunteer</w:t>
      </w:r>
      <w:r w:rsidR="00F0739D">
        <w:t xml:space="preserve"> </w:t>
      </w:r>
      <w:r w:rsidR="001B7671">
        <w:t xml:space="preserve">GEAR UP projects </w:t>
      </w:r>
      <w:r w:rsidR="007B5B2C" w:rsidRPr="007B5B2C">
        <w:t xml:space="preserve">to </w:t>
      </w:r>
      <w:r w:rsidR="007B5B2C">
        <w:t>a</w:t>
      </w:r>
      <w:r w:rsidR="007B5B2C" w:rsidRPr="007B5B2C">
        <w:t xml:space="preserve"> control condition (eligible for all GEAR UP services), or </w:t>
      </w:r>
      <w:r w:rsidR="00715914">
        <w:t xml:space="preserve">one of two </w:t>
      </w:r>
      <w:r w:rsidR="007B5B2C" w:rsidRPr="007B5B2C">
        <w:t>treatment condition</w:t>
      </w:r>
      <w:r w:rsidR="00715914">
        <w:t>s</w:t>
      </w:r>
      <w:r w:rsidR="007B5B2C" w:rsidRPr="007B5B2C">
        <w:t xml:space="preserve"> (eligible for all GEAR UP services, plus receiving </w:t>
      </w:r>
      <w:r w:rsidR="007B5B2C" w:rsidRPr="007B5B2C">
        <w:lastRenderedPageBreak/>
        <w:t xml:space="preserve">customized </w:t>
      </w:r>
      <w:r w:rsidR="00A618A2">
        <w:t xml:space="preserve">text </w:t>
      </w:r>
      <w:r w:rsidR="007B5B2C" w:rsidRPr="007B5B2C">
        <w:t xml:space="preserve">messages). Students will be randomly assigned to </w:t>
      </w:r>
      <w:r w:rsidR="00715914">
        <w:t xml:space="preserve">a </w:t>
      </w:r>
      <w:r w:rsidR="007B5B2C" w:rsidRPr="007B5B2C">
        <w:t xml:space="preserve">condition at </w:t>
      </w:r>
      <w:r w:rsidR="00715914">
        <w:t xml:space="preserve">the end of </w:t>
      </w:r>
      <w:r w:rsidR="007B5B2C" w:rsidRPr="007B5B2C">
        <w:t>th</w:t>
      </w:r>
      <w:r w:rsidR="006E5606">
        <w:t>eir senior year of high school</w:t>
      </w:r>
      <w:r w:rsidR="00715914">
        <w:t>.</w:t>
      </w:r>
      <w:r w:rsidR="006E5606">
        <w:t xml:space="preserve"> </w:t>
      </w:r>
      <w:r w:rsidR="00077E4D">
        <w:t>This two-</w:t>
      </w:r>
      <w:r w:rsidR="00715914">
        <w:t>treatment</w:t>
      </w:r>
      <w:r w:rsidR="00077E4D">
        <w:t xml:space="preserve"> design maximizes our ability to investigate the effects of messaging </w:t>
      </w:r>
      <w:r w:rsidR="00715914">
        <w:t>associated with key college milestones, as well as messaging that includes a social-</w:t>
      </w:r>
      <w:r w:rsidR="000B209F">
        <w:t>psychological</w:t>
      </w:r>
      <w:r w:rsidR="00715914">
        <w:t xml:space="preserve"> enhancement.</w:t>
      </w:r>
    </w:p>
    <w:p w:rsidR="001C7B69" w:rsidRDefault="004254F7" w:rsidP="00E10E27">
      <w:r>
        <w:t xml:space="preserve">At the end of </w:t>
      </w:r>
      <w:r w:rsidR="00042352">
        <w:t xml:space="preserve">the </w:t>
      </w:r>
      <w:r>
        <w:t>2016-</w:t>
      </w:r>
      <w:r w:rsidR="00374EFB" w:rsidRPr="00374EFB">
        <w:t xml:space="preserve">2017 school year, students in high schools served by GEAR UP projects who declare their intention to enroll in college </w:t>
      </w:r>
      <w:r w:rsidR="006E5606">
        <w:t xml:space="preserve">will </w:t>
      </w:r>
      <w:r w:rsidR="00374EFB">
        <w:t xml:space="preserve">be randomly </w:t>
      </w:r>
      <w:r w:rsidR="006E5606">
        <w:t>assign</w:t>
      </w:r>
      <w:r w:rsidR="00374EFB">
        <w:t>ed</w:t>
      </w:r>
      <w:r w:rsidR="006E5606">
        <w:t xml:space="preserve"> to receive </w:t>
      </w:r>
      <w:r w:rsidR="00042352">
        <w:t>only regular GEAR UP 7</w:t>
      </w:r>
      <w:r w:rsidR="00042352" w:rsidRPr="00E4691E">
        <w:rPr>
          <w:vertAlign w:val="superscript"/>
        </w:rPr>
        <w:t>th</w:t>
      </w:r>
      <w:r w:rsidR="00042352">
        <w:t xml:space="preserve"> year services (Control), milestone </w:t>
      </w:r>
      <w:r w:rsidR="006E5606">
        <w:t xml:space="preserve">messages in the summer after high school </w:t>
      </w:r>
      <w:r w:rsidR="00042352">
        <w:t xml:space="preserve">and freshman year of college </w:t>
      </w:r>
      <w:r w:rsidR="006E5606">
        <w:t>(Treatment 1)</w:t>
      </w:r>
      <w:r w:rsidR="00E10E27">
        <w:t>,</w:t>
      </w:r>
      <w:r w:rsidR="006E5606">
        <w:t xml:space="preserve"> or</w:t>
      </w:r>
      <w:r w:rsidR="00042352">
        <w:t xml:space="preserve"> milestone messages plus growth mindset messages in the summer after high school and freshman year of college (Treatment 2)</w:t>
      </w:r>
      <w:r w:rsidR="006E5606">
        <w:t xml:space="preserve">. The comparison of </w:t>
      </w:r>
      <w:r w:rsidR="00042352">
        <w:t xml:space="preserve">the Control group to each Treatment group </w:t>
      </w:r>
      <w:r w:rsidR="006E5606">
        <w:t xml:space="preserve">will test the impacts </w:t>
      </w:r>
      <w:r w:rsidR="001C7B69">
        <w:t>of messaging</w:t>
      </w:r>
      <w:r w:rsidR="00042352">
        <w:t xml:space="preserve"> over and above the regular 7</w:t>
      </w:r>
      <w:r w:rsidR="00042352" w:rsidRPr="00E4691E">
        <w:rPr>
          <w:vertAlign w:val="superscript"/>
        </w:rPr>
        <w:t>th</w:t>
      </w:r>
      <w:r w:rsidR="00042352">
        <w:t xml:space="preserve"> year GEAR UP activities. The comparison of Treatment 1 to Treatment 2 will test whether the growth mindset addition to the messaging has an effect above that of the milestone messages alone. </w:t>
      </w:r>
      <w:r w:rsidR="0082275C">
        <w:t>Exhibit A-2 displays the</w:t>
      </w:r>
      <w:r w:rsidR="00042352">
        <w:t xml:space="preserve"> groups into which students will be randomly assigned to</w:t>
      </w:r>
      <w:r w:rsidR="006E5606">
        <w:t xml:space="preserve"> test the impacts</w:t>
      </w:r>
      <w:r w:rsidR="001C7B69">
        <w:t xml:space="preserve"> of different messaging</w:t>
      </w:r>
      <w:r w:rsidR="006E5606">
        <w:t xml:space="preserve"> on college </w:t>
      </w:r>
      <w:r w:rsidR="00042352">
        <w:t>outcomes</w:t>
      </w:r>
      <w:r w:rsidR="006E5606">
        <w:t xml:space="preserve">. </w:t>
      </w:r>
    </w:p>
    <w:p w:rsidR="00DA1997" w:rsidRDefault="00DA1997" w:rsidP="00DA1997">
      <w:pPr>
        <w:pStyle w:val="ListParagraph"/>
        <w:spacing w:after="0"/>
        <w:jc w:val="both"/>
      </w:pPr>
    </w:p>
    <w:p w:rsidR="00E75F2D" w:rsidRPr="00EA3656" w:rsidRDefault="00E75F2D" w:rsidP="00EA3656">
      <w:pPr>
        <w:pStyle w:val="Caption"/>
      </w:pPr>
      <w:r w:rsidRPr="000664ED">
        <w:t xml:space="preserve">Exhibit A-2: </w:t>
      </w:r>
      <w:r>
        <w:t xml:space="preserve">Randomization </w:t>
      </w:r>
      <w:r w:rsidR="00A6426F">
        <w:t>into</w:t>
      </w:r>
      <w:r>
        <w:t xml:space="preserve"> Treatment </w:t>
      </w:r>
      <w:r w:rsidR="00A6426F">
        <w:t xml:space="preserve">Groups </w:t>
      </w:r>
    </w:p>
    <w:tbl>
      <w:tblPr>
        <w:tblStyle w:val="TableGrid"/>
        <w:tblW w:w="9782" w:type="dxa"/>
        <w:tblBorders>
          <w:insideH w:val="none" w:sz="0" w:space="0" w:color="auto"/>
          <w:insideV w:val="none" w:sz="0" w:space="0" w:color="auto"/>
        </w:tblBorders>
        <w:tblLook w:val="04A0" w:firstRow="1" w:lastRow="0" w:firstColumn="1" w:lastColumn="0" w:noHBand="0" w:noVBand="1"/>
      </w:tblPr>
      <w:tblGrid>
        <w:gridCol w:w="1791"/>
        <w:gridCol w:w="2457"/>
        <w:gridCol w:w="2610"/>
        <w:gridCol w:w="2924"/>
      </w:tblGrid>
      <w:tr w:rsidR="00A82544" w:rsidTr="00821041">
        <w:tc>
          <w:tcPr>
            <w:tcW w:w="1791" w:type="dxa"/>
            <w:vAlign w:val="bottom"/>
          </w:tcPr>
          <w:p w:rsidR="00A82544" w:rsidRPr="000664ED" w:rsidRDefault="00A82544" w:rsidP="003646EF">
            <w:pPr>
              <w:spacing w:after="0"/>
              <w:rPr>
                <w:b/>
              </w:rPr>
            </w:pPr>
            <w:r w:rsidRPr="000664ED">
              <w:rPr>
                <w:b/>
              </w:rPr>
              <w:t>Randomization</w:t>
            </w:r>
          </w:p>
        </w:tc>
        <w:tc>
          <w:tcPr>
            <w:tcW w:w="7991" w:type="dxa"/>
            <w:gridSpan w:val="3"/>
          </w:tcPr>
          <w:p w:rsidR="00A82544" w:rsidRPr="000664ED" w:rsidRDefault="00A82544" w:rsidP="00E20D88">
            <w:pPr>
              <w:spacing w:after="0"/>
              <w:jc w:val="center"/>
              <w:rPr>
                <w:b/>
              </w:rPr>
            </w:pPr>
            <w:r>
              <w:rPr>
                <w:b/>
              </w:rPr>
              <w:t>College Intending Seniors</w:t>
            </w:r>
          </w:p>
        </w:tc>
      </w:tr>
      <w:tr w:rsidR="00A82544" w:rsidTr="00A82544">
        <w:tc>
          <w:tcPr>
            <w:tcW w:w="1791" w:type="dxa"/>
          </w:tcPr>
          <w:p w:rsidR="003646EF" w:rsidRDefault="00805BBE" w:rsidP="001C7B69">
            <w:pPr>
              <w:spacing w:after="0"/>
              <w:jc w:val="both"/>
            </w:pPr>
            <w:r>
              <w:t>End of 2016-17 school year</w:t>
            </w:r>
          </w:p>
          <w:p w:rsidR="00805BBE" w:rsidRDefault="00805BBE" w:rsidP="001C7B69">
            <w:pPr>
              <w:spacing w:after="0"/>
              <w:jc w:val="both"/>
            </w:pPr>
          </w:p>
          <w:p w:rsidR="00805BBE" w:rsidRPr="000664ED" w:rsidRDefault="00805BBE" w:rsidP="001C7B69">
            <w:pPr>
              <w:spacing w:after="0"/>
              <w:jc w:val="both"/>
              <w:rPr>
                <w:b/>
              </w:rPr>
            </w:pPr>
          </w:p>
        </w:tc>
        <w:tc>
          <w:tcPr>
            <w:tcW w:w="2457" w:type="dxa"/>
            <w:vAlign w:val="bottom"/>
          </w:tcPr>
          <w:p w:rsidR="00E20D88" w:rsidRPr="00A82544" w:rsidRDefault="00A82544" w:rsidP="00A82544">
            <w:pPr>
              <w:spacing w:after="0"/>
              <w:jc w:val="center"/>
              <w:rPr>
                <w:b/>
              </w:rPr>
            </w:pPr>
            <w:r>
              <w:rPr>
                <w:noProof/>
              </w:rPr>
              <mc:AlternateContent>
                <mc:Choice Requires="wps">
                  <w:drawing>
                    <wp:anchor distT="0" distB="0" distL="114300" distR="114300" simplePos="0" relativeHeight="251673600" behindDoc="0" locked="0" layoutInCell="1" allowOverlap="1" wp14:anchorId="4FC66B5C" wp14:editId="0A118A22">
                      <wp:simplePos x="0" y="0"/>
                      <wp:positionH relativeFrom="column">
                        <wp:posOffset>750570</wp:posOffset>
                      </wp:positionH>
                      <wp:positionV relativeFrom="paragraph">
                        <wp:posOffset>-554355</wp:posOffset>
                      </wp:positionV>
                      <wp:extent cx="1619250" cy="502285"/>
                      <wp:effectExtent l="38100" t="0" r="19050" b="88265"/>
                      <wp:wrapNone/>
                      <wp:docPr id="5" name="Straight Arrow Connector 5"/>
                      <wp:cNvGraphicFramePr/>
                      <a:graphic xmlns:a="http://schemas.openxmlformats.org/drawingml/2006/main">
                        <a:graphicData uri="http://schemas.microsoft.com/office/word/2010/wordprocessingShape">
                          <wps:wsp>
                            <wps:cNvCnPr/>
                            <wps:spPr>
                              <a:xfrm flipH="1">
                                <a:off x="0" y="0"/>
                                <a:ext cx="1619250" cy="5022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9.1pt;margin-top:-43.65pt;width:127.5pt;height:39.5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" strokecolor="#4579b8 [3044]">
                      <v:stroke endarrow="open"/>
                    </v:shape>
                  </w:pict>
                </mc:Fallback>
              </mc:AlternateContent>
            </w:r>
            <w:r w:rsidR="00805BBE" w:rsidRPr="00A82544">
              <w:rPr>
                <w:b/>
              </w:rPr>
              <w:t>C1</w:t>
            </w:r>
          </w:p>
        </w:tc>
        <w:tc>
          <w:tcPr>
            <w:tcW w:w="2610" w:type="dxa"/>
            <w:vAlign w:val="bottom"/>
          </w:tcPr>
          <w:p w:rsidR="00A82544" w:rsidRDefault="00A82544" w:rsidP="00A82544">
            <w:pPr>
              <w:spacing w:after="0"/>
              <w:jc w:val="center"/>
              <w:rPr>
                <w:b/>
              </w:rPr>
            </w:pPr>
            <w:r>
              <w:rPr>
                <w:noProof/>
              </w:rPr>
              <mc:AlternateContent>
                <mc:Choice Requires="wps">
                  <w:drawing>
                    <wp:anchor distT="0" distB="0" distL="114300" distR="114300" simplePos="0" relativeHeight="251674624" behindDoc="0" locked="0" layoutInCell="1" allowOverlap="1" wp14:anchorId="5DECE86E" wp14:editId="649DB8FF">
                      <wp:simplePos x="0" y="0"/>
                      <wp:positionH relativeFrom="column">
                        <wp:posOffset>807720</wp:posOffset>
                      </wp:positionH>
                      <wp:positionV relativeFrom="paragraph">
                        <wp:posOffset>14605</wp:posOffset>
                      </wp:positionV>
                      <wp:extent cx="1609725" cy="502285"/>
                      <wp:effectExtent l="0" t="0" r="66675" b="88265"/>
                      <wp:wrapNone/>
                      <wp:docPr id="6" name="Straight Arrow Connector 6"/>
                      <wp:cNvGraphicFramePr/>
                      <a:graphic xmlns:a="http://schemas.openxmlformats.org/drawingml/2006/main">
                        <a:graphicData uri="http://schemas.microsoft.com/office/word/2010/wordprocessingShape">
                          <wps:wsp>
                            <wps:cNvCnPr/>
                            <wps:spPr>
                              <a:xfrm>
                                <a:off x="0" y="0"/>
                                <a:ext cx="1609725" cy="5022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63.6pt;margin-top:1.15pt;width:126.75pt;height:3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" strokecolor="#4579b8 [3044]">
                      <v:stroke endarrow="open"/>
                    </v:shape>
                  </w:pict>
                </mc:Fallback>
              </mc:AlternateContent>
            </w:r>
            <w:r>
              <w:rPr>
                <w:noProof/>
              </w:rPr>
              <mc:AlternateContent>
                <mc:Choice Requires="wps">
                  <w:drawing>
                    <wp:anchor distT="0" distB="0" distL="114300" distR="114300" simplePos="0" relativeHeight="251675648" behindDoc="0" locked="0" layoutInCell="1" allowOverlap="1" wp14:anchorId="11CF0434" wp14:editId="4DE0F224">
                      <wp:simplePos x="0" y="0"/>
                      <wp:positionH relativeFrom="column">
                        <wp:posOffset>808355</wp:posOffset>
                      </wp:positionH>
                      <wp:positionV relativeFrom="paragraph">
                        <wp:posOffset>35560</wp:posOffset>
                      </wp:positionV>
                      <wp:extent cx="0" cy="511810"/>
                      <wp:effectExtent l="95250" t="0" r="57150" b="59690"/>
                      <wp:wrapNone/>
                      <wp:docPr id="7" name="Straight Arrow Connector 7"/>
                      <wp:cNvGraphicFramePr/>
                      <a:graphic xmlns:a="http://schemas.openxmlformats.org/drawingml/2006/main">
                        <a:graphicData uri="http://schemas.microsoft.com/office/word/2010/wordprocessingShape">
                          <wps:wsp>
                            <wps:cNvCnPr/>
                            <wps:spPr>
                              <a:xfrm>
                                <a:off x="0" y="0"/>
                                <a:ext cx="0" cy="5118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63.65pt;margin-top:2.8pt;width:0;height:4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" strokecolor="#4579b8 [3044]">
                      <v:stroke endarrow="open"/>
                    </v:shape>
                  </w:pict>
                </mc:Fallback>
              </mc:AlternateContent>
            </w:r>
          </w:p>
          <w:p w:rsidR="00A82544" w:rsidRDefault="00A82544" w:rsidP="00A82544">
            <w:pPr>
              <w:spacing w:after="0"/>
              <w:jc w:val="center"/>
              <w:rPr>
                <w:b/>
              </w:rPr>
            </w:pPr>
          </w:p>
          <w:p w:rsidR="00A82544" w:rsidRDefault="00A82544" w:rsidP="00A82544">
            <w:pPr>
              <w:spacing w:after="0"/>
              <w:jc w:val="center"/>
              <w:rPr>
                <w:b/>
              </w:rPr>
            </w:pPr>
          </w:p>
          <w:p w:rsidR="00E20D88" w:rsidRPr="00A82544" w:rsidRDefault="00E20D88" w:rsidP="00A82544">
            <w:pPr>
              <w:spacing w:after="0"/>
              <w:jc w:val="center"/>
              <w:rPr>
                <w:b/>
              </w:rPr>
            </w:pPr>
            <w:r w:rsidRPr="00A82544">
              <w:rPr>
                <w:b/>
              </w:rPr>
              <w:t>T1</w:t>
            </w:r>
          </w:p>
        </w:tc>
        <w:tc>
          <w:tcPr>
            <w:tcW w:w="2924" w:type="dxa"/>
            <w:vAlign w:val="bottom"/>
          </w:tcPr>
          <w:p w:rsidR="00E20D88" w:rsidRPr="000664ED" w:rsidRDefault="00805BBE" w:rsidP="00A82544">
            <w:pPr>
              <w:spacing w:after="0"/>
              <w:jc w:val="center"/>
              <w:rPr>
                <w:b/>
              </w:rPr>
            </w:pPr>
            <w:r>
              <w:rPr>
                <w:b/>
              </w:rPr>
              <w:t>T2</w:t>
            </w:r>
          </w:p>
        </w:tc>
      </w:tr>
      <w:tr w:rsidR="00A82544" w:rsidTr="00A82544">
        <w:tc>
          <w:tcPr>
            <w:tcW w:w="1791" w:type="dxa"/>
          </w:tcPr>
          <w:p w:rsidR="00E75F2D" w:rsidRDefault="00E75F2D" w:rsidP="001C7B69">
            <w:pPr>
              <w:spacing w:after="0"/>
              <w:jc w:val="both"/>
            </w:pPr>
          </w:p>
        </w:tc>
        <w:tc>
          <w:tcPr>
            <w:tcW w:w="2457" w:type="dxa"/>
            <w:vAlign w:val="bottom"/>
          </w:tcPr>
          <w:p w:rsidR="00E75F2D" w:rsidRDefault="00A82544" w:rsidP="00805BBE">
            <w:pPr>
              <w:spacing w:after="0"/>
              <w:jc w:val="center"/>
            </w:pPr>
            <w:r>
              <w:t xml:space="preserve">- </w:t>
            </w:r>
            <w:r w:rsidR="00805BBE">
              <w:t>Regular GEAR UP services</w:t>
            </w:r>
          </w:p>
        </w:tc>
        <w:tc>
          <w:tcPr>
            <w:tcW w:w="2610" w:type="dxa"/>
            <w:vAlign w:val="bottom"/>
          </w:tcPr>
          <w:p w:rsidR="00E75F2D" w:rsidRDefault="00A82544" w:rsidP="00805BBE">
            <w:pPr>
              <w:spacing w:after="0"/>
              <w:jc w:val="center"/>
            </w:pPr>
            <w:r>
              <w:t xml:space="preserve">- </w:t>
            </w:r>
            <w:r w:rsidR="00805BBE">
              <w:t>Regular GEAR UP services</w:t>
            </w:r>
          </w:p>
        </w:tc>
        <w:tc>
          <w:tcPr>
            <w:tcW w:w="2924" w:type="dxa"/>
            <w:vAlign w:val="bottom"/>
          </w:tcPr>
          <w:p w:rsidR="00F64C69" w:rsidRDefault="00A82544" w:rsidP="00805BBE">
            <w:pPr>
              <w:spacing w:after="0"/>
              <w:jc w:val="center"/>
            </w:pPr>
            <w:r>
              <w:t xml:space="preserve">- </w:t>
            </w:r>
            <w:r w:rsidR="00805BBE">
              <w:t>Regular GEAR UP services</w:t>
            </w:r>
          </w:p>
        </w:tc>
      </w:tr>
      <w:tr w:rsidR="00805BBE" w:rsidTr="00A82544">
        <w:tc>
          <w:tcPr>
            <w:tcW w:w="1791" w:type="dxa"/>
            <w:vAlign w:val="bottom"/>
          </w:tcPr>
          <w:p w:rsidR="00805BBE" w:rsidRDefault="00805BBE" w:rsidP="003646EF">
            <w:pPr>
              <w:spacing w:after="0"/>
            </w:pPr>
          </w:p>
        </w:tc>
        <w:tc>
          <w:tcPr>
            <w:tcW w:w="2457" w:type="dxa"/>
          </w:tcPr>
          <w:p w:rsidR="00805BBE" w:rsidRDefault="00805BBE" w:rsidP="000664ED">
            <w:pPr>
              <w:spacing w:after="0"/>
            </w:pPr>
          </w:p>
        </w:tc>
        <w:tc>
          <w:tcPr>
            <w:tcW w:w="2610" w:type="dxa"/>
            <w:vAlign w:val="bottom"/>
          </w:tcPr>
          <w:p w:rsidR="00805BBE" w:rsidRDefault="00A82544" w:rsidP="00805BBE">
            <w:pPr>
              <w:spacing w:after="0"/>
              <w:jc w:val="center"/>
            </w:pPr>
            <w:r>
              <w:t xml:space="preserve">- </w:t>
            </w:r>
            <w:r w:rsidR="00805BBE">
              <w:t>Milestone messages</w:t>
            </w:r>
          </w:p>
        </w:tc>
        <w:tc>
          <w:tcPr>
            <w:tcW w:w="2924" w:type="dxa"/>
            <w:vAlign w:val="bottom"/>
          </w:tcPr>
          <w:p w:rsidR="00805BBE" w:rsidRDefault="00A82544" w:rsidP="00805BBE">
            <w:pPr>
              <w:spacing w:after="0"/>
              <w:jc w:val="center"/>
            </w:pPr>
            <w:r>
              <w:t xml:space="preserve">- </w:t>
            </w:r>
            <w:r w:rsidR="00805BBE">
              <w:t>Milestone messages</w:t>
            </w:r>
          </w:p>
        </w:tc>
      </w:tr>
      <w:tr w:rsidR="00805BBE" w:rsidTr="00A82544">
        <w:tc>
          <w:tcPr>
            <w:tcW w:w="1791" w:type="dxa"/>
          </w:tcPr>
          <w:p w:rsidR="00805BBE" w:rsidRDefault="00805BBE" w:rsidP="00805BBE">
            <w:pPr>
              <w:spacing w:after="0"/>
              <w:jc w:val="both"/>
            </w:pPr>
          </w:p>
        </w:tc>
        <w:tc>
          <w:tcPr>
            <w:tcW w:w="2457" w:type="dxa"/>
          </w:tcPr>
          <w:p w:rsidR="00805BBE" w:rsidRDefault="00805BBE" w:rsidP="000664ED">
            <w:pPr>
              <w:spacing w:after="0"/>
            </w:pPr>
          </w:p>
        </w:tc>
        <w:tc>
          <w:tcPr>
            <w:tcW w:w="2610" w:type="dxa"/>
          </w:tcPr>
          <w:p w:rsidR="00805BBE" w:rsidRDefault="00805BBE" w:rsidP="00A30375">
            <w:pPr>
              <w:spacing w:after="0"/>
            </w:pPr>
          </w:p>
        </w:tc>
        <w:tc>
          <w:tcPr>
            <w:tcW w:w="2924" w:type="dxa"/>
          </w:tcPr>
          <w:p w:rsidR="00805BBE" w:rsidRDefault="00A82544" w:rsidP="00A30375">
            <w:pPr>
              <w:spacing w:after="0"/>
            </w:pPr>
            <w:r>
              <w:t xml:space="preserve"> - </w:t>
            </w:r>
            <w:r w:rsidR="00805BBE">
              <w:t>Growth mindset message</w:t>
            </w:r>
            <w:r w:rsidR="00CA2056">
              <w:t>s</w:t>
            </w:r>
          </w:p>
        </w:tc>
      </w:tr>
    </w:tbl>
    <w:p w:rsidR="001C7B69" w:rsidRDefault="001C7B69" w:rsidP="000664ED">
      <w:pPr>
        <w:spacing w:after="0"/>
        <w:jc w:val="both"/>
      </w:pPr>
    </w:p>
    <w:p w:rsidR="006E5606" w:rsidRDefault="00BF3F70" w:rsidP="009563C4">
      <w:r>
        <w:t xml:space="preserve">The Annual Performance Reports (APR) that GEAR UP grantees submit to ED do not contain student-level data. Thus, baseline </w:t>
      </w:r>
      <w:r w:rsidR="00D2324B">
        <w:t>data will be collected from all students</w:t>
      </w:r>
      <w:r w:rsidR="00FB6508">
        <w:t xml:space="preserve"> via a survey</w:t>
      </w:r>
      <w:r w:rsidR="00D2324B">
        <w:t>, and college-related outcome data will be extracted from national datasets (National Student Clearinghouse</w:t>
      </w:r>
      <w:r w:rsidR="00FB6508">
        <w:t xml:space="preserve"> Data</w:t>
      </w:r>
      <w:r w:rsidR="00D2324B">
        <w:t xml:space="preserve"> </w:t>
      </w:r>
      <w:r w:rsidR="00FB6508">
        <w:t xml:space="preserve">(NSC) </w:t>
      </w:r>
      <w:r w:rsidR="00D2324B">
        <w:t xml:space="preserve">and </w:t>
      </w:r>
      <w:r w:rsidR="00FB6508">
        <w:t xml:space="preserve">the Federal Student Aid (FSA) database). </w:t>
      </w:r>
    </w:p>
    <w:p w:rsidR="00E70907" w:rsidRPr="00BA6FAA" w:rsidRDefault="00E70907" w:rsidP="009563C4">
      <w:r w:rsidRPr="00BA6FAA">
        <w:t>The study will address the three research questions:</w:t>
      </w:r>
    </w:p>
    <w:p w:rsidR="00E70907" w:rsidRPr="0014033A" w:rsidRDefault="00E70907" w:rsidP="00BF52CB">
      <w:pPr>
        <w:pStyle w:val="ListParagraph"/>
        <w:numPr>
          <w:ilvl w:val="0"/>
          <w:numId w:val="41"/>
        </w:numPr>
        <w:autoSpaceDE w:val="0"/>
        <w:autoSpaceDN w:val="0"/>
        <w:adjustRightInd w:val="0"/>
        <w:spacing w:after="0"/>
        <w:rPr>
          <w:szCs w:val="22"/>
        </w:rPr>
      </w:pPr>
      <w:r w:rsidRPr="00232A5B">
        <w:rPr>
          <w:bCs/>
          <w:szCs w:val="22"/>
        </w:rPr>
        <w:t xml:space="preserve">To what extent do the </w:t>
      </w:r>
      <w:r w:rsidR="009E1549">
        <w:rPr>
          <w:bCs/>
          <w:szCs w:val="22"/>
        </w:rPr>
        <w:t>messages</w:t>
      </w:r>
      <w:r w:rsidRPr="00232A5B">
        <w:rPr>
          <w:bCs/>
          <w:szCs w:val="22"/>
        </w:rPr>
        <w:t xml:space="preserve">—above and beyond the services GEAR UP may already provide—improve student </w:t>
      </w:r>
      <w:r w:rsidR="00374EFB" w:rsidRPr="00367DEF">
        <w:rPr>
          <w:bCs/>
          <w:szCs w:val="22"/>
        </w:rPr>
        <w:t xml:space="preserve">college-related </w:t>
      </w:r>
      <w:r w:rsidRPr="00367DEF">
        <w:rPr>
          <w:bCs/>
          <w:szCs w:val="22"/>
        </w:rPr>
        <w:t xml:space="preserve">outcomes? </w:t>
      </w:r>
      <w:r w:rsidR="00BF52CB">
        <w:rPr>
          <w:bCs/>
          <w:szCs w:val="22"/>
        </w:rPr>
        <w:t xml:space="preserve"> </w:t>
      </w:r>
      <w:r w:rsidR="00BF52CB" w:rsidRPr="00BF52CB">
        <w:rPr>
          <w:bCs/>
          <w:szCs w:val="22"/>
        </w:rPr>
        <w:t>Is the effect of milestone messaging different with the addition of growth mindset messages?</w:t>
      </w:r>
    </w:p>
    <w:p w:rsidR="00E70907" w:rsidRPr="00232A5B" w:rsidRDefault="00E70907" w:rsidP="00367DEF">
      <w:pPr>
        <w:pStyle w:val="ListParagraph"/>
        <w:numPr>
          <w:ilvl w:val="0"/>
          <w:numId w:val="41"/>
        </w:numPr>
        <w:autoSpaceDE w:val="0"/>
        <w:autoSpaceDN w:val="0"/>
        <w:adjustRightInd w:val="0"/>
        <w:spacing w:after="0"/>
        <w:rPr>
          <w:szCs w:val="22"/>
        </w:rPr>
      </w:pPr>
      <w:r w:rsidRPr="00232A5B">
        <w:rPr>
          <w:bCs/>
          <w:szCs w:val="22"/>
        </w:rPr>
        <w:t xml:space="preserve">What types of college advising are typically </w:t>
      </w:r>
      <w:r w:rsidR="008970B4">
        <w:rPr>
          <w:bCs/>
          <w:szCs w:val="22"/>
        </w:rPr>
        <w:t>received by</w:t>
      </w:r>
      <w:r w:rsidRPr="00232A5B">
        <w:rPr>
          <w:bCs/>
          <w:szCs w:val="22"/>
        </w:rPr>
        <w:t xml:space="preserve"> GEAR UP </w:t>
      </w:r>
      <w:r w:rsidR="008970B4">
        <w:rPr>
          <w:bCs/>
          <w:szCs w:val="22"/>
        </w:rPr>
        <w:t>students</w:t>
      </w:r>
      <w:r w:rsidRPr="00232A5B">
        <w:rPr>
          <w:bCs/>
          <w:szCs w:val="22"/>
        </w:rPr>
        <w:t xml:space="preserve">? </w:t>
      </w:r>
    </w:p>
    <w:p w:rsidR="00E70907" w:rsidRPr="0066632E" w:rsidRDefault="00E70907" w:rsidP="00367DEF">
      <w:pPr>
        <w:pStyle w:val="ListParagraph"/>
        <w:numPr>
          <w:ilvl w:val="0"/>
          <w:numId w:val="41"/>
        </w:numPr>
        <w:autoSpaceDE w:val="0"/>
        <w:autoSpaceDN w:val="0"/>
        <w:adjustRightInd w:val="0"/>
        <w:spacing w:after="0"/>
        <w:rPr>
          <w:szCs w:val="22"/>
        </w:rPr>
      </w:pPr>
      <w:r w:rsidRPr="00232A5B">
        <w:rPr>
          <w:bCs/>
          <w:szCs w:val="22"/>
        </w:rPr>
        <w:t xml:space="preserve">Is there variation in the impact of the messages, and to what extent is the variation associated with student characteristics or features of the GEAR UP project or school? </w:t>
      </w:r>
    </w:p>
    <w:p w:rsidR="0066632E" w:rsidRPr="00367DEF" w:rsidRDefault="0066632E" w:rsidP="0066632E">
      <w:pPr>
        <w:pStyle w:val="ListParagraph"/>
        <w:autoSpaceDE w:val="0"/>
        <w:autoSpaceDN w:val="0"/>
        <w:adjustRightInd w:val="0"/>
        <w:spacing w:after="0"/>
        <w:rPr>
          <w:szCs w:val="22"/>
        </w:rPr>
      </w:pPr>
    </w:p>
    <w:p w:rsidR="00E70907" w:rsidRDefault="00232A5B" w:rsidP="009563C4">
      <w:r w:rsidRPr="00367DEF">
        <w:t xml:space="preserve">To answer these questions we will conduct both impact and descriptive analyses. The first report, which will address each research question </w:t>
      </w:r>
      <w:r w:rsidR="00367DEF" w:rsidRPr="00367DEF">
        <w:t>with a focus on college enrollment-related outcomes</w:t>
      </w:r>
      <w:r w:rsidR="003646EF">
        <w:t>,</w:t>
      </w:r>
      <w:r w:rsidR="00367DEF" w:rsidRPr="00367DEF">
        <w:t xml:space="preserve"> will </w:t>
      </w:r>
      <w:r w:rsidR="00367DEF" w:rsidRPr="00367DEF">
        <w:lastRenderedPageBreak/>
        <w:t>be published in 2018</w:t>
      </w:r>
      <w:r w:rsidRPr="00367DEF">
        <w:t xml:space="preserve">. The final report, </w:t>
      </w:r>
      <w:r w:rsidR="00367DEF" w:rsidRPr="00367DEF">
        <w:t>which will also include college persistence, will be available in 2020</w:t>
      </w:r>
      <w:r w:rsidRPr="00367DEF">
        <w:t>.</w:t>
      </w:r>
    </w:p>
    <w:p w:rsidR="009563C4" w:rsidRDefault="00AC4FC1" w:rsidP="00643B57">
      <w:pPr>
        <w:rPr>
          <w:rFonts w:ascii="Arial" w:hAnsi="Arial"/>
          <w:b/>
          <w:bCs/>
          <w:sz w:val="20"/>
        </w:rPr>
      </w:pPr>
      <w:r>
        <w:t>Exhibit A-</w:t>
      </w:r>
      <w:r w:rsidR="00EA3656">
        <w:t>3</w:t>
      </w:r>
      <w:r>
        <w:t xml:space="preserve"> presents</w:t>
      </w:r>
      <w:r w:rsidRPr="0048450B">
        <w:t xml:space="preserve"> the research questions along with the data sources for each question, the analytic approach and outcomes of interest</w:t>
      </w:r>
      <w:r>
        <w:t xml:space="preserve">. </w:t>
      </w:r>
    </w:p>
    <w:p w:rsidR="00AC4FC1" w:rsidRDefault="00AC4FC1" w:rsidP="00AC4FC1">
      <w:pPr>
        <w:pStyle w:val="Caption"/>
      </w:pPr>
      <w:proofErr w:type="gramStart"/>
      <w:r>
        <w:t>Exhibit A-</w:t>
      </w:r>
      <w:r w:rsidR="00EA3656">
        <w:t>3</w:t>
      </w:r>
      <w:r>
        <w:t>.</w:t>
      </w:r>
      <w:proofErr w:type="gramEnd"/>
      <w:r>
        <w:t xml:space="preserve"> </w:t>
      </w:r>
      <w:r w:rsidRPr="00B66B4F">
        <w:t>Evaluation Questions, Data Sources, Analytic Approach, and Outcomes of Interest</w:t>
      </w:r>
    </w:p>
    <w:tbl>
      <w:tblPr>
        <w:tblW w:w="9000" w:type="dxa"/>
        <w:tblInd w:w="120"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CellMar>
          <w:top w:w="29" w:type="dxa"/>
          <w:left w:w="120" w:type="dxa"/>
          <w:bottom w:w="29" w:type="dxa"/>
          <w:right w:w="120" w:type="dxa"/>
        </w:tblCellMar>
        <w:tblLook w:val="0000" w:firstRow="0" w:lastRow="0" w:firstColumn="0" w:lastColumn="0" w:noHBand="0" w:noVBand="0"/>
      </w:tblPr>
      <w:tblGrid>
        <w:gridCol w:w="2520"/>
        <w:gridCol w:w="2340"/>
        <w:gridCol w:w="2430"/>
        <w:gridCol w:w="1710"/>
      </w:tblGrid>
      <w:tr w:rsidR="00AC4FC1" w:rsidRPr="006D4754" w:rsidTr="00C15EAE">
        <w:trPr>
          <w:cantSplit/>
          <w:tblHeader/>
        </w:trPr>
        <w:tc>
          <w:tcPr>
            <w:tcW w:w="1400" w:type="pct"/>
            <w:shd w:val="clear" w:color="auto" w:fill="A6A6A6" w:themeFill="background1" w:themeFillShade="A6"/>
            <w:vAlign w:val="bottom"/>
          </w:tcPr>
          <w:p w:rsidR="00AC4FC1" w:rsidRPr="006D4754" w:rsidRDefault="00AC4FC1" w:rsidP="0014033A">
            <w:pPr>
              <w:pStyle w:val="Table"/>
              <w:spacing w:line="264" w:lineRule="auto"/>
              <w:rPr>
                <w:rFonts w:cs="Arial"/>
                <w:b/>
                <w:sz w:val="18"/>
                <w:szCs w:val="18"/>
              </w:rPr>
            </w:pPr>
            <w:r w:rsidRPr="006D4754">
              <w:rPr>
                <w:rFonts w:cs="Arial"/>
                <w:b/>
                <w:sz w:val="18"/>
                <w:szCs w:val="18"/>
              </w:rPr>
              <w:t>Research Question</w:t>
            </w:r>
          </w:p>
        </w:tc>
        <w:tc>
          <w:tcPr>
            <w:tcW w:w="1300" w:type="pct"/>
            <w:shd w:val="clear" w:color="auto" w:fill="A6A6A6" w:themeFill="background1" w:themeFillShade="A6"/>
            <w:vAlign w:val="bottom"/>
          </w:tcPr>
          <w:p w:rsidR="00AC4FC1" w:rsidRPr="006D4754" w:rsidRDefault="00AC4FC1" w:rsidP="0014033A">
            <w:pPr>
              <w:pStyle w:val="Table"/>
              <w:spacing w:line="264" w:lineRule="auto"/>
              <w:rPr>
                <w:rFonts w:cs="Arial"/>
                <w:b/>
                <w:sz w:val="18"/>
                <w:szCs w:val="18"/>
              </w:rPr>
            </w:pPr>
            <w:r w:rsidRPr="006D4754">
              <w:rPr>
                <w:rFonts w:cs="Arial"/>
                <w:b/>
                <w:sz w:val="18"/>
                <w:szCs w:val="18"/>
              </w:rPr>
              <w:t>Data Sources</w:t>
            </w:r>
          </w:p>
        </w:tc>
        <w:tc>
          <w:tcPr>
            <w:tcW w:w="1350" w:type="pct"/>
            <w:shd w:val="clear" w:color="auto" w:fill="A6A6A6" w:themeFill="background1" w:themeFillShade="A6"/>
            <w:vAlign w:val="bottom"/>
          </w:tcPr>
          <w:p w:rsidR="00AC4FC1" w:rsidRPr="006D4754" w:rsidRDefault="00AC4FC1" w:rsidP="0014033A">
            <w:pPr>
              <w:pStyle w:val="Table"/>
              <w:spacing w:line="264" w:lineRule="auto"/>
              <w:rPr>
                <w:rFonts w:cs="Arial"/>
                <w:b/>
                <w:sz w:val="18"/>
                <w:szCs w:val="18"/>
              </w:rPr>
            </w:pPr>
            <w:r w:rsidRPr="006D4754">
              <w:rPr>
                <w:rFonts w:cs="Arial"/>
                <w:b/>
                <w:sz w:val="18"/>
                <w:szCs w:val="18"/>
              </w:rPr>
              <w:t>Analytic Approach</w:t>
            </w:r>
          </w:p>
        </w:tc>
        <w:tc>
          <w:tcPr>
            <w:tcW w:w="950" w:type="pct"/>
            <w:shd w:val="clear" w:color="auto" w:fill="A6A6A6" w:themeFill="background1" w:themeFillShade="A6"/>
            <w:vAlign w:val="bottom"/>
          </w:tcPr>
          <w:p w:rsidR="00AC4FC1" w:rsidRPr="006D4754" w:rsidRDefault="00AC4FC1" w:rsidP="0014033A">
            <w:pPr>
              <w:pStyle w:val="Table"/>
              <w:spacing w:line="264" w:lineRule="auto"/>
              <w:rPr>
                <w:rFonts w:cs="Arial"/>
                <w:b/>
                <w:sz w:val="18"/>
                <w:szCs w:val="18"/>
              </w:rPr>
            </w:pPr>
            <w:r w:rsidRPr="006D4754">
              <w:rPr>
                <w:rFonts w:cs="Arial"/>
                <w:b/>
                <w:sz w:val="18"/>
                <w:szCs w:val="18"/>
              </w:rPr>
              <w:t>Outcomes of Interest</w:t>
            </w:r>
          </w:p>
        </w:tc>
      </w:tr>
      <w:tr w:rsidR="00AC4FC1" w:rsidRPr="00436249" w:rsidTr="0014033A">
        <w:trPr>
          <w:cantSplit/>
        </w:trPr>
        <w:tc>
          <w:tcPr>
            <w:tcW w:w="1400" w:type="pct"/>
            <w:shd w:val="clear" w:color="auto" w:fill="auto"/>
          </w:tcPr>
          <w:p w:rsidR="00AC4FC1" w:rsidRPr="00436249" w:rsidRDefault="00AC4FC1" w:rsidP="00BF52CB">
            <w:pPr>
              <w:pStyle w:val="Header"/>
              <w:numPr>
                <w:ilvl w:val="0"/>
                <w:numId w:val="26"/>
              </w:numPr>
              <w:pBdr>
                <w:bottom w:val="none" w:sz="0" w:space="0" w:color="auto"/>
              </w:pBdr>
              <w:tabs>
                <w:tab w:val="clear" w:pos="4507"/>
                <w:tab w:val="clear" w:pos="9000"/>
              </w:tabs>
              <w:spacing w:after="0"/>
              <w:rPr>
                <w:rFonts w:cs="Arial"/>
                <w:b w:val="0"/>
                <w:color w:val="auto"/>
                <w:szCs w:val="18"/>
              </w:rPr>
            </w:pPr>
            <w:r w:rsidRPr="00436249">
              <w:rPr>
                <w:b w:val="0"/>
                <w:bCs/>
                <w:color w:val="auto"/>
                <w:szCs w:val="18"/>
              </w:rPr>
              <w:t xml:space="preserve">To what extent do the </w:t>
            </w:r>
            <w:r w:rsidR="009E1549">
              <w:rPr>
                <w:b w:val="0"/>
                <w:bCs/>
                <w:color w:val="auto"/>
                <w:szCs w:val="18"/>
              </w:rPr>
              <w:t>messages</w:t>
            </w:r>
            <w:r w:rsidRPr="00436249">
              <w:rPr>
                <w:b w:val="0"/>
                <w:bCs/>
                <w:color w:val="auto"/>
                <w:szCs w:val="18"/>
              </w:rPr>
              <w:t xml:space="preserve">—above and beyond the services GEAR UP may already provide—improve student </w:t>
            </w:r>
            <w:r w:rsidR="00F94105" w:rsidRPr="00436249">
              <w:rPr>
                <w:b w:val="0"/>
                <w:bCs/>
                <w:color w:val="auto"/>
                <w:szCs w:val="18"/>
              </w:rPr>
              <w:t xml:space="preserve">college-related </w:t>
            </w:r>
            <w:r w:rsidRPr="00436249">
              <w:rPr>
                <w:b w:val="0"/>
                <w:bCs/>
                <w:color w:val="auto"/>
                <w:szCs w:val="18"/>
              </w:rPr>
              <w:t>outcomes?</w:t>
            </w:r>
            <w:r w:rsidR="00BF52CB">
              <w:rPr>
                <w:b w:val="0"/>
                <w:bCs/>
                <w:color w:val="auto"/>
                <w:szCs w:val="18"/>
              </w:rPr>
              <w:t xml:space="preserve"> </w:t>
            </w:r>
            <w:r w:rsidR="00BF52CB" w:rsidRPr="00BF52CB">
              <w:rPr>
                <w:b w:val="0"/>
                <w:bCs/>
                <w:color w:val="auto"/>
                <w:szCs w:val="18"/>
              </w:rPr>
              <w:t>Is the effect of milestone messaging different with the addition of growth mindset messages?</w:t>
            </w:r>
          </w:p>
        </w:tc>
        <w:tc>
          <w:tcPr>
            <w:tcW w:w="1300" w:type="pct"/>
            <w:shd w:val="clear" w:color="auto" w:fill="auto"/>
          </w:tcPr>
          <w:p w:rsidR="00AC4FC1" w:rsidRPr="00436249" w:rsidRDefault="00B865D2" w:rsidP="0014033A">
            <w:pPr>
              <w:pStyle w:val="Table"/>
              <w:numPr>
                <w:ilvl w:val="0"/>
                <w:numId w:val="34"/>
              </w:numPr>
              <w:tabs>
                <w:tab w:val="clear" w:pos="720"/>
                <w:tab w:val="clear" w:pos="1080"/>
                <w:tab w:val="clear" w:pos="1440"/>
                <w:tab w:val="clear" w:pos="1800"/>
              </w:tabs>
              <w:spacing w:line="264" w:lineRule="auto"/>
              <w:rPr>
                <w:rFonts w:cs="Arial"/>
                <w:sz w:val="18"/>
                <w:szCs w:val="18"/>
              </w:rPr>
            </w:pPr>
            <w:r w:rsidRPr="00436249">
              <w:rPr>
                <w:rFonts w:cs="Arial"/>
                <w:sz w:val="18"/>
                <w:szCs w:val="18"/>
              </w:rPr>
              <w:t>Student rosters</w:t>
            </w:r>
          </w:p>
          <w:p w:rsidR="00AC4FC1" w:rsidRPr="00436249" w:rsidRDefault="00AC4FC1" w:rsidP="0014033A">
            <w:pPr>
              <w:pStyle w:val="Table"/>
              <w:numPr>
                <w:ilvl w:val="0"/>
                <w:numId w:val="34"/>
              </w:numPr>
              <w:tabs>
                <w:tab w:val="clear" w:pos="720"/>
                <w:tab w:val="clear" w:pos="1080"/>
                <w:tab w:val="clear" w:pos="1440"/>
                <w:tab w:val="clear" w:pos="1800"/>
              </w:tabs>
              <w:spacing w:line="264" w:lineRule="auto"/>
              <w:rPr>
                <w:rFonts w:cs="Arial"/>
                <w:sz w:val="18"/>
                <w:szCs w:val="18"/>
              </w:rPr>
            </w:pPr>
            <w:r w:rsidRPr="00436249">
              <w:rPr>
                <w:rFonts w:cs="Arial"/>
                <w:sz w:val="18"/>
                <w:szCs w:val="18"/>
              </w:rPr>
              <w:t>Student baseline survey data</w:t>
            </w:r>
          </w:p>
          <w:p w:rsidR="00AC4FC1" w:rsidRPr="00436249" w:rsidRDefault="00AC4FC1" w:rsidP="0014033A">
            <w:pPr>
              <w:pStyle w:val="Table"/>
              <w:numPr>
                <w:ilvl w:val="0"/>
                <w:numId w:val="34"/>
              </w:numPr>
              <w:tabs>
                <w:tab w:val="clear" w:pos="720"/>
                <w:tab w:val="clear" w:pos="1080"/>
                <w:tab w:val="clear" w:pos="1440"/>
                <w:tab w:val="clear" w:pos="1800"/>
              </w:tabs>
              <w:spacing w:line="264" w:lineRule="auto"/>
              <w:rPr>
                <w:rFonts w:cs="Arial"/>
                <w:sz w:val="18"/>
                <w:szCs w:val="18"/>
              </w:rPr>
            </w:pPr>
            <w:r w:rsidRPr="00436249">
              <w:rPr>
                <w:rFonts w:cs="Arial"/>
                <w:sz w:val="18"/>
                <w:szCs w:val="18"/>
              </w:rPr>
              <w:t>National Student Clearinghouse Data</w:t>
            </w:r>
          </w:p>
          <w:p w:rsidR="00AC4FC1" w:rsidRPr="00436249" w:rsidRDefault="00AC4FC1" w:rsidP="00C15EAE">
            <w:pPr>
              <w:pStyle w:val="Table"/>
              <w:numPr>
                <w:ilvl w:val="0"/>
                <w:numId w:val="34"/>
              </w:numPr>
              <w:tabs>
                <w:tab w:val="clear" w:pos="720"/>
                <w:tab w:val="clear" w:pos="1080"/>
                <w:tab w:val="clear" w:pos="1440"/>
                <w:tab w:val="clear" w:pos="1800"/>
              </w:tabs>
              <w:spacing w:line="264" w:lineRule="auto"/>
              <w:rPr>
                <w:rFonts w:cs="Arial"/>
                <w:sz w:val="18"/>
                <w:szCs w:val="18"/>
              </w:rPr>
            </w:pPr>
            <w:r w:rsidRPr="00436249">
              <w:rPr>
                <w:rFonts w:cs="Arial"/>
                <w:sz w:val="18"/>
                <w:szCs w:val="18"/>
              </w:rPr>
              <w:t>Federal Student Aid (FSA) database</w:t>
            </w:r>
          </w:p>
        </w:tc>
        <w:tc>
          <w:tcPr>
            <w:tcW w:w="1350" w:type="pct"/>
            <w:shd w:val="clear" w:color="auto" w:fill="auto"/>
          </w:tcPr>
          <w:p w:rsidR="00AC4FC1" w:rsidRPr="00436249" w:rsidRDefault="00AC4FC1" w:rsidP="0014033A">
            <w:pPr>
              <w:pStyle w:val="Table"/>
              <w:numPr>
                <w:ilvl w:val="0"/>
                <w:numId w:val="34"/>
              </w:numPr>
              <w:spacing w:line="264" w:lineRule="auto"/>
              <w:rPr>
                <w:rFonts w:cs="Arial"/>
                <w:sz w:val="18"/>
                <w:szCs w:val="18"/>
              </w:rPr>
            </w:pPr>
            <w:r w:rsidRPr="00436249">
              <w:rPr>
                <w:rFonts w:cs="Arial"/>
                <w:sz w:val="18"/>
                <w:szCs w:val="18"/>
              </w:rPr>
              <w:t>Impact analysis of RCT (HLM)</w:t>
            </w:r>
          </w:p>
          <w:p w:rsidR="00436249" w:rsidRPr="00436249" w:rsidRDefault="00436249" w:rsidP="0014033A">
            <w:pPr>
              <w:pStyle w:val="Table"/>
              <w:numPr>
                <w:ilvl w:val="0"/>
                <w:numId w:val="34"/>
              </w:numPr>
              <w:spacing w:line="264" w:lineRule="auto"/>
              <w:rPr>
                <w:rFonts w:cs="Arial"/>
                <w:sz w:val="18"/>
                <w:szCs w:val="18"/>
              </w:rPr>
            </w:pPr>
            <w:r w:rsidRPr="00436249">
              <w:rPr>
                <w:rFonts w:cs="Arial"/>
                <w:sz w:val="18"/>
                <w:szCs w:val="18"/>
              </w:rPr>
              <w:t xml:space="preserve">Baseline survey sample: </w:t>
            </w:r>
            <w:r w:rsidR="00E474D9">
              <w:rPr>
                <w:rFonts w:cs="Arial"/>
                <w:sz w:val="18"/>
                <w:szCs w:val="18"/>
              </w:rPr>
              <w:t>16</w:t>
            </w:r>
            <w:r w:rsidRPr="00436249">
              <w:rPr>
                <w:rFonts w:cs="Arial"/>
                <w:sz w:val="18"/>
                <w:szCs w:val="18"/>
              </w:rPr>
              <w:t>,000 students in 80 schools.</w:t>
            </w:r>
          </w:p>
          <w:p w:rsidR="00AC4FC1" w:rsidRPr="00436249" w:rsidRDefault="00436249" w:rsidP="0014033A">
            <w:pPr>
              <w:pStyle w:val="Table"/>
              <w:numPr>
                <w:ilvl w:val="0"/>
                <w:numId w:val="34"/>
              </w:numPr>
              <w:spacing w:line="264" w:lineRule="auto"/>
              <w:rPr>
                <w:rFonts w:cs="Arial"/>
                <w:sz w:val="18"/>
                <w:szCs w:val="18"/>
              </w:rPr>
            </w:pPr>
            <w:r w:rsidRPr="00436249">
              <w:rPr>
                <w:rFonts w:cs="Arial"/>
                <w:sz w:val="18"/>
                <w:szCs w:val="18"/>
              </w:rPr>
              <w:t>Analytic s</w:t>
            </w:r>
            <w:r w:rsidR="00AC4FC1" w:rsidRPr="00436249">
              <w:rPr>
                <w:rFonts w:cs="Arial"/>
                <w:sz w:val="18"/>
                <w:szCs w:val="18"/>
              </w:rPr>
              <w:t xml:space="preserve">ample size: approximately 5,600 students in 80 high schools that intend to enroll in college, equally divided </w:t>
            </w:r>
            <w:r w:rsidR="009B6B16">
              <w:rPr>
                <w:rFonts w:cs="Arial"/>
                <w:sz w:val="18"/>
                <w:szCs w:val="18"/>
              </w:rPr>
              <w:t>across</w:t>
            </w:r>
            <w:r w:rsidR="009B6B16" w:rsidRPr="00436249">
              <w:rPr>
                <w:rFonts w:cs="Arial"/>
                <w:sz w:val="18"/>
                <w:szCs w:val="18"/>
              </w:rPr>
              <w:t xml:space="preserve"> </w:t>
            </w:r>
            <w:r w:rsidR="00AC4FC1" w:rsidRPr="00436249">
              <w:rPr>
                <w:rFonts w:cs="Arial"/>
                <w:sz w:val="18"/>
                <w:szCs w:val="18"/>
              </w:rPr>
              <w:t xml:space="preserve">treatment and control groups. </w:t>
            </w:r>
          </w:p>
          <w:p w:rsidR="00AC4FC1" w:rsidRPr="00436249" w:rsidRDefault="00AC4FC1" w:rsidP="00436249">
            <w:pPr>
              <w:pStyle w:val="Table"/>
              <w:spacing w:line="264" w:lineRule="auto"/>
              <w:ind w:left="216"/>
              <w:rPr>
                <w:rFonts w:cs="Arial"/>
                <w:sz w:val="18"/>
                <w:szCs w:val="18"/>
              </w:rPr>
            </w:pPr>
          </w:p>
        </w:tc>
        <w:tc>
          <w:tcPr>
            <w:tcW w:w="950" w:type="pct"/>
            <w:shd w:val="clear" w:color="auto" w:fill="auto"/>
          </w:tcPr>
          <w:p w:rsidR="00AC4FC1" w:rsidRPr="00436249" w:rsidRDefault="00AC4FC1" w:rsidP="0014033A">
            <w:pPr>
              <w:pStyle w:val="Table"/>
              <w:numPr>
                <w:ilvl w:val="0"/>
                <w:numId w:val="34"/>
              </w:numPr>
              <w:spacing w:line="264" w:lineRule="auto"/>
              <w:rPr>
                <w:rFonts w:cs="Arial"/>
                <w:sz w:val="18"/>
                <w:szCs w:val="18"/>
              </w:rPr>
            </w:pPr>
            <w:r w:rsidRPr="00436249">
              <w:rPr>
                <w:rFonts w:cs="Arial"/>
                <w:sz w:val="18"/>
                <w:szCs w:val="18"/>
              </w:rPr>
              <w:t xml:space="preserve">College enrollment </w:t>
            </w:r>
          </w:p>
          <w:p w:rsidR="00B865D2" w:rsidRPr="00436249" w:rsidRDefault="00AC4FC1" w:rsidP="0014033A">
            <w:pPr>
              <w:pStyle w:val="Table"/>
              <w:numPr>
                <w:ilvl w:val="0"/>
                <w:numId w:val="34"/>
              </w:numPr>
              <w:spacing w:line="264" w:lineRule="auto"/>
              <w:rPr>
                <w:rFonts w:cs="Arial"/>
                <w:sz w:val="18"/>
                <w:szCs w:val="18"/>
              </w:rPr>
            </w:pPr>
            <w:r w:rsidRPr="00436249">
              <w:rPr>
                <w:rFonts w:cs="Arial"/>
                <w:sz w:val="18"/>
                <w:szCs w:val="18"/>
              </w:rPr>
              <w:t xml:space="preserve">College persistence into sophomore year </w:t>
            </w:r>
          </w:p>
          <w:p w:rsidR="00AC4FC1" w:rsidRPr="00436249" w:rsidRDefault="00B865D2" w:rsidP="0014033A">
            <w:pPr>
              <w:pStyle w:val="Table"/>
              <w:numPr>
                <w:ilvl w:val="0"/>
                <w:numId w:val="34"/>
              </w:numPr>
              <w:spacing w:line="264" w:lineRule="auto"/>
              <w:rPr>
                <w:rFonts w:cs="Arial"/>
                <w:sz w:val="18"/>
                <w:szCs w:val="18"/>
              </w:rPr>
            </w:pPr>
            <w:r w:rsidRPr="00436249">
              <w:rPr>
                <w:rFonts w:cs="Arial"/>
                <w:sz w:val="18"/>
                <w:szCs w:val="18"/>
              </w:rPr>
              <w:t>FAFSA completion</w:t>
            </w:r>
            <w:r w:rsidR="00AC4FC1" w:rsidRPr="00436249">
              <w:rPr>
                <w:rFonts w:cs="Arial"/>
                <w:sz w:val="18"/>
                <w:szCs w:val="18"/>
              </w:rPr>
              <w:t xml:space="preserve"> </w:t>
            </w:r>
          </w:p>
        </w:tc>
      </w:tr>
      <w:tr w:rsidR="00AC4FC1" w:rsidRPr="00436249" w:rsidTr="0014033A">
        <w:trPr>
          <w:cantSplit/>
        </w:trPr>
        <w:tc>
          <w:tcPr>
            <w:tcW w:w="1400" w:type="pct"/>
            <w:shd w:val="clear" w:color="auto" w:fill="auto"/>
          </w:tcPr>
          <w:p w:rsidR="00AC4FC1" w:rsidRPr="00436249" w:rsidRDefault="00AC4FC1" w:rsidP="008970B4">
            <w:pPr>
              <w:pStyle w:val="Header"/>
              <w:numPr>
                <w:ilvl w:val="0"/>
                <w:numId w:val="26"/>
              </w:numPr>
              <w:pBdr>
                <w:bottom w:val="none" w:sz="0" w:space="0" w:color="auto"/>
              </w:pBdr>
              <w:tabs>
                <w:tab w:val="clear" w:pos="4507"/>
                <w:tab w:val="clear" w:pos="9000"/>
              </w:tabs>
              <w:spacing w:after="0"/>
              <w:rPr>
                <w:rFonts w:cs="Arial"/>
                <w:b w:val="0"/>
                <w:color w:val="auto"/>
                <w:szCs w:val="18"/>
              </w:rPr>
            </w:pPr>
            <w:r w:rsidRPr="00436249">
              <w:rPr>
                <w:b w:val="0"/>
                <w:bCs/>
                <w:color w:val="auto"/>
                <w:szCs w:val="18"/>
              </w:rPr>
              <w:t xml:space="preserve">What types of college advising are typically </w:t>
            </w:r>
            <w:r w:rsidR="008970B4">
              <w:rPr>
                <w:b w:val="0"/>
                <w:bCs/>
                <w:color w:val="auto"/>
                <w:szCs w:val="18"/>
              </w:rPr>
              <w:t>received by</w:t>
            </w:r>
            <w:r w:rsidRPr="00436249">
              <w:rPr>
                <w:b w:val="0"/>
                <w:bCs/>
                <w:color w:val="auto"/>
                <w:szCs w:val="18"/>
              </w:rPr>
              <w:t xml:space="preserve"> GEAR UP </w:t>
            </w:r>
            <w:r w:rsidR="008970B4">
              <w:rPr>
                <w:b w:val="0"/>
                <w:bCs/>
                <w:color w:val="auto"/>
                <w:szCs w:val="18"/>
              </w:rPr>
              <w:t>students</w:t>
            </w:r>
            <w:r w:rsidRPr="00436249">
              <w:rPr>
                <w:b w:val="0"/>
                <w:bCs/>
                <w:color w:val="auto"/>
                <w:szCs w:val="18"/>
              </w:rPr>
              <w:t>?</w:t>
            </w:r>
          </w:p>
        </w:tc>
        <w:tc>
          <w:tcPr>
            <w:tcW w:w="1300" w:type="pct"/>
            <w:shd w:val="clear" w:color="auto" w:fill="auto"/>
          </w:tcPr>
          <w:p w:rsidR="00AC4FC1" w:rsidRPr="00436249" w:rsidRDefault="00AC4FC1" w:rsidP="0014033A">
            <w:pPr>
              <w:pStyle w:val="Table"/>
              <w:numPr>
                <w:ilvl w:val="0"/>
                <w:numId w:val="34"/>
              </w:numPr>
              <w:spacing w:line="264" w:lineRule="auto"/>
              <w:rPr>
                <w:rFonts w:cs="Arial"/>
                <w:sz w:val="18"/>
                <w:szCs w:val="18"/>
              </w:rPr>
            </w:pPr>
            <w:r w:rsidRPr="00436249">
              <w:rPr>
                <w:rFonts w:cs="Arial"/>
                <w:sz w:val="18"/>
                <w:szCs w:val="18"/>
              </w:rPr>
              <w:t>Student baseline survey data</w:t>
            </w:r>
          </w:p>
          <w:p w:rsidR="00AC4FC1" w:rsidRPr="00436249" w:rsidRDefault="00AC4FC1" w:rsidP="0014033A">
            <w:pPr>
              <w:pStyle w:val="Table"/>
              <w:spacing w:line="264" w:lineRule="auto"/>
              <w:ind w:left="216"/>
              <w:rPr>
                <w:rFonts w:cs="Arial"/>
                <w:sz w:val="18"/>
                <w:szCs w:val="18"/>
              </w:rPr>
            </w:pPr>
          </w:p>
        </w:tc>
        <w:tc>
          <w:tcPr>
            <w:tcW w:w="1350" w:type="pct"/>
            <w:shd w:val="clear" w:color="auto" w:fill="auto"/>
          </w:tcPr>
          <w:p w:rsidR="00AC4FC1" w:rsidRPr="00436249" w:rsidRDefault="00AC4FC1" w:rsidP="0014033A">
            <w:pPr>
              <w:pStyle w:val="Table"/>
              <w:numPr>
                <w:ilvl w:val="0"/>
                <w:numId w:val="34"/>
              </w:numPr>
              <w:spacing w:line="264" w:lineRule="auto"/>
              <w:rPr>
                <w:rFonts w:cs="Arial"/>
                <w:sz w:val="18"/>
                <w:szCs w:val="18"/>
              </w:rPr>
            </w:pPr>
            <w:r w:rsidRPr="00436249">
              <w:rPr>
                <w:rFonts w:cs="Arial"/>
                <w:sz w:val="18"/>
                <w:szCs w:val="18"/>
              </w:rPr>
              <w:t>Descriptive analysis</w:t>
            </w:r>
          </w:p>
          <w:p w:rsidR="00AC4FC1" w:rsidRPr="00436249" w:rsidRDefault="00AC4FC1" w:rsidP="00E474D9">
            <w:pPr>
              <w:pStyle w:val="Table"/>
              <w:numPr>
                <w:ilvl w:val="0"/>
                <w:numId w:val="34"/>
              </w:numPr>
              <w:spacing w:line="264" w:lineRule="auto"/>
              <w:rPr>
                <w:rFonts w:cs="Arial"/>
                <w:sz w:val="18"/>
                <w:szCs w:val="18"/>
              </w:rPr>
            </w:pPr>
            <w:r w:rsidRPr="00436249">
              <w:rPr>
                <w:rFonts w:cs="Arial"/>
                <w:sz w:val="18"/>
                <w:szCs w:val="18"/>
              </w:rPr>
              <w:t>Survey sample</w:t>
            </w:r>
            <w:r w:rsidR="00B865D2" w:rsidRPr="00436249">
              <w:rPr>
                <w:rFonts w:cs="Arial"/>
                <w:sz w:val="18"/>
                <w:szCs w:val="18"/>
              </w:rPr>
              <w:t xml:space="preserve">: </w:t>
            </w:r>
            <w:r w:rsidR="00E474D9">
              <w:rPr>
                <w:rFonts w:cs="Arial"/>
                <w:sz w:val="18"/>
                <w:szCs w:val="18"/>
              </w:rPr>
              <w:t>16</w:t>
            </w:r>
            <w:r w:rsidR="00B865D2" w:rsidRPr="00436249">
              <w:rPr>
                <w:rFonts w:cs="Arial"/>
                <w:sz w:val="18"/>
                <w:szCs w:val="18"/>
              </w:rPr>
              <w:t>,000 students in 80 schools.</w:t>
            </w:r>
          </w:p>
        </w:tc>
        <w:tc>
          <w:tcPr>
            <w:tcW w:w="950" w:type="pct"/>
            <w:shd w:val="clear" w:color="auto" w:fill="auto"/>
          </w:tcPr>
          <w:p w:rsidR="00AC4FC1" w:rsidRPr="00436249" w:rsidRDefault="00AC4FC1" w:rsidP="0014033A">
            <w:pPr>
              <w:pStyle w:val="Table"/>
              <w:numPr>
                <w:ilvl w:val="0"/>
                <w:numId w:val="34"/>
              </w:numPr>
              <w:spacing w:line="264" w:lineRule="auto"/>
              <w:rPr>
                <w:rFonts w:cs="Arial"/>
                <w:sz w:val="18"/>
                <w:szCs w:val="18"/>
              </w:rPr>
            </w:pPr>
            <w:r w:rsidRPr="00436249">
              <w:rPr>
                <w:rFonts w:cs="Arial"/>
                <w:sz w:val="18"/>
                <w:szCs w:val="18"/>
              </w:rPr>
              <w:t xml:space="preserve">Description of GEAR UP program components provided and received </w:t>
            </w:r>
          </w:p>
        </w:tc>
      </w:tr>
      <w:tr w:rsidR="00AC4FC1" w:rsidRPr="00436249" w:rsidTr="0014033A">
        <w:trPr>
          <w:cantSplit/>
        </w:trPr>
        <w:tc>
          <w:tcPr>
            <w:tcW w:w="1400" w:type="pct"/>
            <w:shd w:val="clear" w:color="auto" w:fill="auto"/>
          </w:tcPr>
          <w:p w:rsidR="00AC4FC1" w:rsidRPr="00436249" w:rsidRDefault="00AC4FC1" w:rsidP="0014033A">
            <w:pPr>
              <w:pStyle w:val="ListParagraph"/>
              <w:numPr>
                <w:ilvl w:val="0"/>
                <w:numId w:val="26"/>
              </w:numPr>
              <w:rPr>
                <w:rFonts w:ascii="Arial" w:hAnsi="Arial" w:cs="Arial"/>
                <w:sz w:val="18"/>
                <w:szCs w:val="18"/>
              </w:rPr>
            </w:pPr>
            <w:r w:rsidRPr="00436249">
              <w:rPr>
                <w:rFonts w:ascii="Arial" w:hAnsi="Arial" w:cs="Arial"/>
                <w:bCs/>
                <w:sz w:val="18"/>
                <w:szCs w:val="18"/>
              </w:rPr>
              <w:t>Is there variation in the impact of the messages, and to what extent is the variation associated with student characteristics or features of the GEAR UP project or school?</w:t>
            </w:r>
            <w:r w:rsidRPr="00436249">
              <w:rPr>
                <w:rFonts w:ascii="Arial" w:hAnsi="Arial" w:cs="Arial"/>
                <w:sz w:val="18"/>
                <w:szCs w:val="18"/>
              </w:rPr>
              <w:t xml:space="preserve"> </w:t>
            </w:r>
          </w:p>
          <w:p w:rsidR="00AC4FC1" w:rsidRPr="00436249" w:rsidRDefault="00AC4FC1" w:rsidP="0014033A">
            <w:pPr>
              <w:pStyle w:val="Header"/>
              <w:pBdr>
                <w:bottom w:val="none" w:sz="0" w:space="0" w:color="auto"/>
              </w:pBdr>
              <w:tabs>
                <w:tab w:val="clear" w:pos="4507"/>
                <w:tab w:val="clear" w:pos="9000"/>
              </w:tabs>
              <w:spacing w:after="0"/>
              <w:rPr>
                <w:rFonts w:cs="Arial"/>
                <w:b w:val="0"/>
                <w:color w:val="auto"/>
                <w:szCs w:val="18"/>
              </w:rPr>
            </w:pPr>
          </w:p>
        </w:tc>
        <w:tc>
          <w:tcPr>
            <w:tcW w:w="1300" w:type="pct"/>
            <w:shd w:val="clear" w:color="auto" w:fill="auto"/>
          </w:tcPr>
          <w:p w:rsidR="00AC4FC1" w:rsidRPr="00436249" w:rsidRDefault="00AC4FC1" w:rsidP="0014033A">
            <w:pPr>
              <w:pStyle w:val="Table"/>
              <w:numPr>
                <w:ilvl w:val="0"/>
                <w:numId w:val="34"/>
              </w:numPr>
              <w:tabs>
                <w:tab w:val="clear" w:pos="720"/>
                <w:tab w:val="clear" w:pos="1080"/>
                <w:tab w:val="clear" w:pos="1440"/>
                <w:tab w:val="clear" w:pos="1800"/>
              </w:tabs>
              <w:spacing w:line="264" w:lineRule="auto"/>
              <w:rPr>
                <w:rFonts w:cs="Arial"/>
                <w:sz w:val="18"/>
                <w:szCs w:val="18"/>
              </w:rPr>
            </w:pPr>
            <w:r w:rsidRPr="00436249">
              <w:rPr>
                <w:rFonts w:cs="Arial"/>
                <w:sz w:val="18"/>
                <w:szCs w:val="18"/>
              </w:rPr>
              <w:t>Student baseline survey data</w:t>
            </w:r>
          </w:p>
          <w:p w:rsidR="00AC4FC1" w:rsidRPr="00436249" w:rsidRDefault="00AC4FC1" w:rsidP="0014033A">
            <w:pPr>
              <w:pStyle w:val="Table"/>
              <w:numPr>
                <w:ilvl w:val="0"/>
                <w:numId w:val="34"/>
              </w:numPr>
              <w:tabs>
                <w:tab w:val="clear" w:pos="720"/>
                <w:tab w:val="clear" w:pos="1080"/>
                <w:tab w:val="clear" w:pos="1440"/>
                <w:tab w:val="clear" w:pos="1800"/>
              </w:tabs>
              <w:spacing w:line="264" w:lineRule="auto"/>
              <w:rPr>
                <w:rFonts w:cs="Arial"/>
                <w:sz w:val="18"/>
                <w:szCs w:val="18"/>
              </w:rPr>
            </w:pPr>
            <w:r w:rsidRPr="00436249">
              <w:rPr>
                <w:rFonts w:cs="Arial"/>
                <w:sz w:val="18"/>
                <w:szCs w:val="18"/>
              </w:rPr>
              <w:t>National Student Clearinghouse Data</w:t>
            </w:r>
          </w:p>
          <w:p w:rsidR="00AC4FC1" w:rsidRPr="00436249" w:rsidRDefault="00AC4FC1" w:rsidP="0014033A">
            <w:pPr>
              <w:pStyle w:val="Table"/>
              <w:numPr>
                <w:ilvl w:val="0"/>
                <w:numId w:val="34"/>
              </w:numPr>
              <w:spacing w:line="264" w:lineRule="auto"/>
              <w:rPr>
                <w:rFonts w:cs="Arial"/>
                <w:sz w:val="18"/>
                <w:szCs w:val="18"/>
              </w:rPr>
            </w:pPr>
            <w:r w:rsidRPr="00436249">
              <w:rPr>
                <w:rFonts w:cs="Arial"/>
                <w:sz w:val="18"/>
                <w:szCs w:val="18"/>
              </w:rPr>
              <w:t>Federal Student Aid (FSA) database</w:t>
            </w:r>
          </w:p>
        </w:tc>
        <w:tc>
          <w:tcPr>
            <w:tcW w:w="1350" w:type="pct"/>
            <w:shd w:val="clear" w:color="auto" w:fill="auto"/>
          </w:tcPr>
          <w:p w:rsidR="00AC4FC1" w:rsidRPr="00436249" w:rsidRDefault="00AC4FC1" w:rsidP="0014033A">
            <w:pPr>
              <w:pStyle w:val="Table"/>
              <w:numPr>
                <w:ilvl w:val="0"/>
                <w:numId w:val="34"/>
              </w:numPr>
              <w:spacing w:line="264" w:lineRule="auto"/>
              <w:rPr>
                <w:rFonts w:cs="Arial"/>
                <w:sz w:val="18"/>
                <w:szCs w:val="18"/>
              </w:rPr>
            </w:pPr>
            <w:r w:rsidRPr="00436249">
              <w:rPr>
                <w:rFonts w:cs="Arial"/>
                <w:sz w:val="18"/>
                <w:szCs w:val="18"/>
              </w:rPr>
              <w:t>Descriptive (subgroup) analysis</w:t>
            </w:r>
          </w:p>
          <w:p w:rsidR="00AC4FC1" w:rsidRPr="00436249" w:rsidRDefault="00B865D2" w:rsidP="009B6B16">
            <w:pPr>
              <w:pStyle w:val="Table"/>
              <w:numPr>
                <w:ilvl w:val="0"/>
                <w:numId w:val="34"/>
              </w:numPr>
              <w:spacing w:line="264" w:lineRule="auto"/>
              <w:rPr>
                <w:rFonts w:cs="Arial"/>
                <w:sz w:val="18"/>
                <w:szCs w:val="18"/>
              </w:rPr>
            </w:pPr>
            <w:r w:rsidRPr="00436249">
              <w:rPr>
                <w:rFonts w:cs="Arial"/>
                <w:sz w:val="18"/>
                <w:szCs w:val="18"/>
              </w:rPr>
              <w:t>S</w:t>
            </w:r>
            <w:r w:rsidR="00AC4FC1" w:rsidRPr="00436249">
              <w:rPr>
                <w:rFonts w:cs="Arial"/>
                <w:sz w:val="18"/>
                <w:szCs w:val="18"/>
              </w:rPr>
              <w:t>ample</w:t>
            </w:r>
            <w:r w:rsidRPr="00436249">
              <w:rPr>
                <w:rFonts w:cs="Arial"/>
                <w:sz w:val="18"/>
                <w:szCs w:val="18"/>
              </w:rPr>
              <w:t xml:space="preserve"> size</w:t>
            </w:r>
            <w:r w:rsidR="00AC4FC1" w:rsidRPr="00436249">
              <w:rPr>
                <w:rFonts w:cs="Arial"/>
                <w:sz w:val="18"/>
                <w:szCs w:val="18"/>
              </w:rPr>
              <w:t xml:space="preserve">: </w:t>
            </w:r>
            <w:r w:rsidRPr="00436249">
              <w:rPr>
                <w:rFonts w:cs="Arial"/>
                <w:sz w:val="18"/>
                <w:szCs w:val="18"/>
              </w:rPr>
              <w:t>5,600 students in 80 high schools that intend to enroll in college</w:t>
            </w:r>
          </w:p>
        </w:tc>
        <w:tc>
          <w:tcPr>
            <w:tcW w:w="950" w:type="pct"/>
            <w:shd w:val="clear" w:color="auto" w:fill="auto"/>
          </w:tcPr>
          <w:p w:rsidR="00B865D2" w:rsidRPr="00436249" w:rsidRDefault="00B865D2" w:rsidP="00B865D2">
            <w:pPr>
              <w:pStyle w:val="Table"/>
              <w:numPr>
                <w:ilvl w:val="0"/>
                <w:numId w:val="34"/>
              </w:numPr>
              <w:spacing w:line="264" w:lineRule="auto"/>
              <w:rPr>
                <w:rFonts w:cs="Arial"/>
                <w:sz w:val="18"/>
                <w:szCs w:val="18"/>
              </w:rPr>
            </w:pPr>
            <w:r w:rsidRPr="00436249">
              <w:rPr>
                <w:rFonts w:cs="Arial"/>
                <w:sz w:val="18"/>
                <w:szCs w:val="18"/>
              </w:rPr>
              <w:t xml:space="preserve">College enrollment </w:t>
            </w:r>
          </w:p>
          <w:p w:rsidR="00B865D2" w:rsidRPr="00436249" w:rsidRDefault="00B865D2" w:rsidP="00B865D2">
            <w:pPr>
              <w:pStyle w:val="Table"/>
              <w:numPr>
                <w:ilvl w:val="0"/>
                <w:numId w:val="34"/>
              </w:numPr>
              <w:spacing w:line="264" w:lineRule="auto"/>
              <w:rPr>
                <w:rFonts w:cs="Arial"/>
                <w:sz w:val="18"/>
                <w:szCs w:val="18"/>
              </w:rPr>
            </w:pPr>
            <w:r w:rsidRPr="00436249">
              <w:rPr>
                <w:rFonts w:cs="Arial"/>
                <w:sz w:val="18"/>
                <w:szCs w:val="18"/>
              </w:rPr>
              <w:t xml:space="preserve">College persistence into sophomore year </w:t>
            </w:r>
          </w:p>
          <w:p w:rsidR="00AC4FC1" w:rsidRPr="00436249" w:rsidRDefault="00B865D2" w:rsidP="00B865D2">
            <w:pPr>
              <w:pStyle w:val="Table"/>
              <w:numPr>
                <w:ilvl w:val="0"/>
                <w:numId w:val="34"/>
              </w:numPr>
              <w:spacing w:line="264" w:lineRule="auto"/>
              <w:rPr>
                <w:rFonts w:cs="Arial"/>
                <w:sz w:val="18"/>
                <w:szCs w:val="18"/>
              </w:rPr>
            </w:pPr>
            <w:r w:rsidRPr="00436249">
              <w:rPr>
                <w:rFonts w:cs="Arial"/>
                <w:sz w:val="18"/>
                <w:szCs w:val="18"/>
              </w:rPr>
              <w:t>FAFSA completion</w:t>
            </w:r>
          </w:p>
        </w:tc>
      </w:tr>
    </w:tbl>
    <w:p w:rsidR="000E18CE" w:rsidRPr="00436249" w:rsidRDefault="000E18CE" w:rsidP="00AC4FC1">
      <w:pPr>
        <w:pStyle w:val="BodyText"/>
        <w:jc w:val="both"/>
      </w:pPr>
    </w:p>
    <w:p w:rsidR="00737433" w:rsidRDefault="00E70907" w:rsidP="009563C4">
      <w:r w:rsidRPr="00436249">
        <w:t>Altogether, we expect that 80 GEAR UP high schools will participate in the research project, with a</w:t>
      </w:r>
      <w:r w:rsidR="004E7315">
        <w:t>n estimated</w:t>
      </w:r>
      <w:r w:rsidRPr="00436249">
        <w:t xml:space="preserve"> total of </w:t>
      </w:r>
      <w:r w:rsidR="0036302C">
        <w:t>16</w:t>
      </w:r>
      <w:r w:rsidR="00B865D2" w:rsidRPr="00436249">
        <w:t>,000 seniors</w:t>
      </w:r>
      <w:r w:rsidR="00F62896">
        <w:t>.</w:t>
      </w:r>
      <w:r w:rsidR="00737433">
        <w:rPr>
          <w:rStyle w:val="FootnoteReference"/>
        </w:rPr>
        <w:footnoteReference w:id="1"/>
      </w:r>
      <w:r w:rsidR="00737433">
        <w:t xml:space="preserve"> </w:t>
      </w:r>
      <w:r w:rsidR="00F62896">
        <w:t xml:space="preserve"> All seniors will be surveyed, with the consent process giving them </w:t>
      </w:r>
      <w:r w:rsidR="00E474D9">
        <w:t xml:space="preserve">(or the parents) </w:t>
      </w:r>
      <w:r w:rsidR="00F62896">
        <w:t xml:space="preserve">an option to opt </w:t>
      </w:r>
      <w:r w:rsidR="00F74E2D">
        <w:t xml:space="preserve">out </w:t>
      </w:r>
      <w:r w:rsidR="00F62896">
        <w:t xml:space="preserve">of </w:t>
      </w:r>
      <w:r w:rsidR="00855BA0" w:rsidRPr="00436249">
        <w:t>completing the baseline survey</w:t>
      </w:r>
      <w:r w:rsidR="00216ED3">
        <w:t xml:space="preserve"> or other data collection activities. The survey will gather information from students for participation in the student messaging intervention</w:t>
      </w:r>
      <w:r w:rsidR="00F62896">
        <w:t xml:space="preserve"> (see Appendix C for the consent letter</w:t>
      </w:r>
      <w:r w:rsidR="00E4691E">
        <w:t xml:space="preserve"> and Appendix D for the student survey</w:t>
      </w:r>
      <w:r w:rsidR="00F62896">
        <w:t xml:space="preserve">). </w:t>
      </w:r>
    </w:p>
    <w:p w:rsidR="00737433" w:rsidRDefault="00F62896" w:rsidP="009563C4">
      <w:r>
        <w:lastRenderedPageBreak/>
        <w:t>It is expected that</w:t>
      </w:r>
      <w:r w:rsidR="00737433">
        <w:t xml:space="preserve"> 70 percent of seniors will express intent to attend college</w:t>
      </w:r>
      <w:r w:rsidR="00737433">
        <w:rPr>
          <w:rStyle w:val="FootnoteReference"/>
        </w:rPr>
        <w:footnoteReference w:id="2"/>
      </w:r>
      <w:r w:rsidR="00737433">
        <w:t xml:space="preserve">  and </w:t>
      </w:r>
      <w:r>
        <w:t>50 percent of the</w:t>
      </w:r>
      <w:r w:rsidR="00737433">
        <w:t>se</w:t>
      </w:r>
      <w:r>
        <w:t xml:space="preserve"> seniors would </w:t>
      </w:r>
      <w:r w:rsidR="00E474D9">
        <w:t>provide</w:t>
      </w:r>
      <w:r w:rsidR="00C8192F">
        <w:t xml:space="preserve"> assent and information</w:t>
      </w:r>
      <w:r w:rsidR="00E474D9">
        <w:t xml:space="preserve"> for texting, </w:t>
      </w:r>
      <w:r w:rsidR="00737433">
        <w:t xml:space="preserve">resulting in </w:t>
      </w:r>
      <w:r w:rsidR="00E4691E">
        <w:t xml:space="preserve">5,600 students overall, </w:t>
      </w:r>
      <w:r w:rsidR="00BE609F">
        <w:t>with 1,866</w:t>
      </w:r>
      <w:r w:rsidR="00E4691E">
        <w:t xml:space="preserve"> </w:t>
      </w:r>
      <w:r w:rsidR="00E70907" w:rsidRPr="00436249">
        <w:t xml:space="preserve">students in </w:t>
      </w:r>
      <w:r w:rsidR="00FA4A02">
        <w:t>each</w:t>
      </w:r>
      <w:r w:rsidR="00B865D2" w:rsidRPr="00436249">
        <w:t xml:space="preserve"> </w:t>
      </w:r>
      <w:r w:rsidR="00737433">
        <w:t>group</w:t>
      </w:r>
      <w:r w:rsidR="00E70907" w:rsidRPr="00436249">
        <w:t>.</w:t>
      </w:r>
      <w:r w:rsidR="00737433">
        <w:t xml:space="preserve"> </w:t>
      </w:r>
    </w:p>
    <w:p w:rsidR="00E70907" w:rsidRDefault="00E70907" w:rsidP="00E70907">
      <w:pPr>
        <w:pStyle w:val="Heading2"/>
      </w:pPr>
      <w:bookmarkStart w:id="4" w:name="_Toc421022223"/>
      <w:r>
        <w:t>Circumstances Making the Collection of Information Necessary</w:t>
      </w:r>
      <w:bookmarkEnd w:id="4"/>
    </w:p>
    <w:p w:rsidR="00E70907" w:rsidRPr="00BD7FF1" w:rsidRDefault="00E70191" w:rsidP="009563C4">
      <w:r w:rsidRPr="00A74170">
        <w:t xml:space="preserve">The study’s data collection </w:t>
      </w:r>
      <w:r>
        <w:t xml:space="preserve">and design </w:t>
      </w:r>
      <w:r w:rsidRPr="00A74170">
        <w:t xml:space="preserve">will allow for a rigorous </w:t>
      </w:r>
      <w:r>
        <w:t xml:space="preserve">assessment </w:t>
      </w:r>
      <w:r w:rsidRPr="00A74170">
        <w:t>of</w:t>
      </w:r>
      <w:r>
        <w:t xml:space="preserve"> a promising practice within</w:t>
      </w:r>
      <w:r w:rsidRPr="00A74170">
        <w:t xml:space="preserve"> </w:t>
      </w:r>
      <w:r>
        <w:t>GEAR UP</w:t>
      </w:r>
      <w:r w:rsidRPr="00A74170">
        <w:t xml:space="preserve"> that focuses on program improvement</w:t>
      </w:r>
      <w:r>
        <w:t xml:space="preserve"> targeting college-related outcomes</w:t>
      </w:r>
      <w:r w:rsidR="00A766F9">
        <w:t xml:space="preserve"> for participating disadvantaged youth</w:t>
      </w:r>
      <w:r>
        <w:t xml:space="preserve">. </w:t>
      </w:r>
      <w:r w:rsidR="007867F6">
        <w:rPr>
          <w:szCs w:val="22"/>
        </w:rPr>
        <w:t>Nationally,</w:t>
      </w:r>
      <w:r w:rsidR="00E70907" w:rsidRPr="00C57366">
        <w:rPr>
          <w:szCs w:val="22"/>
        </w:rPr>
        <w:t xml:space="preserve"> children from disadvantaged families hold lower educational expectations (</w:t>
      </w:r>
      <w:proofErr w:type="spellStart"/>
      <w:r w:rsidR="00E70907" w:rsidRPr="00755109">
        <w:rPr>
          <w:szCs w:val="22"/>
        </w:rPr>
        <w:t>Goyette</w:t>
      </w:r>
      <w:proofErr w:type="spellEnd"/>
      <w:r w:rsidR="00E70907" w:rsidRPr="00755109">
        <w:rPr>
          <w:szCs w:val="22"/>
        </w:rPr>
        <w:t xml:space="preserve">, 2008; Kao &amp; </w:t>
      </w:r>
      <w:proofErr w:type="spellStart"/>
      <w:r w:rsidR="00E70907" w:rsidRPr="00755109">
        <w:rPr>
          <w:szCs w:val="22"/>
        </w:rPr>
        <w:t>Tienda</w:t>
      </w:r>
      <w:proofErr w:type="spellEnd"/>
      <w:r w:rsidR="00E70907" w:rsidRPr="00793589">
        <w:rPr>
          <w:szCs w:val="22"/>
        </w:rPr>
        <w:t>, 1998) and are less likely to attend, persist</w:t>
      </w:r>
      <w:r w:rsidR="003D099B">
        <w:rPr>
          <w:szCs w:val="22"/>
        </w:rPr>
        <w:t xml:space="preserve"> in</w:t>
      </w:r>
      <w:r w:rsidR="00E70907" w:rsidRPr="00793589">
        <w:rPr>
          <w:szCs w:val="22"/>
        </w:rPr>
        <w:t xml:space="preserve">, and complete college than their more economically advantaged peers (e.g. Haskins, 2008; Bailey &amp; </w:t>
      </w:r>
      <w:proofErr w:type="spellStart"/>
      <w:r w:rsidR="00E70907" w:rsidRPr="00793589">
        <w:rPr>
          <w:szCs w:val="22"/>
        </w:rPr>
        <w:t>Dynarski</w:t>
      </w:r>
      <w:proofErr w:type="spellEnd"/>
      <w:r w:rsidR="00E70907" w:rsidRPr="00793589">
        <w:rPr>
          <w:szCs w:val="22"/>
        </w:rPr>
        <w:t xml:space="preserve">, 2011). </w:t>
      </w:r>
      <w:r w:rsidR="007867F6">
        <w:rPr>
          <w:szCs w:val="22"/>
        </w:rPr>
        <w:t xml:space="preserve"> For those who do enroll, the</w:t>
      </w:r>
      <w:r w:rsidR="00A17EE5">
        <w:rPr>
          <w:szCs w:val="22"/>
        </w:rPr>
        <w:t xml:space="preserve"> transition to and</w:t>
      </w:r>
      <w:r w:rsidR="007867F6">
        <w:rPr>
          <w:szCs w:val="22"/>
        </w:rPr>
        <w:t xml:space="preserve"> first year </w:t>
      </w:r>
      <w:r w:rsidR="00A17EE5">
        <w:rPr>
          <w:szCs w:val="22"/>
        </w:rPr>
        <w:t>in college</w:t>
      </w:r>
      <w:r w:rsidR="007867F6">
        <w:rPr>
          <w:szCs w:val="22"/>
        </w:rPr>
        <w:t xml:space="preserve"> can bring particular challenges (</w:t>
      </w:r>
      <w:r w:rsidR="005468EE">
        <w:rPr>
          <w:szCs w:val="22"/>
        </w:rPr>
        <w:t xml:space="preserve">Liu, </w:t>
      </w:r>
      <w:proofErr w:type="spellStart"/>
      <w:r w:rsidR="005468EE">
        <w:rPr>
          <w:szCs w:val="22"/>
        </w:rPr>
        <w:t>Sharkness</w:t>
      </w:r>
      <w:proofErr w:type="spellEnd"/>
      <w:r w:rsidR="005468EE">
        <w:rPr>
          <w:szCs w:val="22"/>
        </w:rPr>
        <w:t xml:space="preserve">, &amp; Pryor, 2008; </w:t>
      </w:r>
      <w:r w:rsidR="003D099B">
        <w:rPr>
          <w:szCs w:val="22"/>
        </w:rPr>
        <w:t>Darling &amp; Smith, 2008</w:t>
      </w:r>
      <w:r w:rsidR="007867F6">
        <w:rPr>
          <w:szCs w:val="22"/>
        </w:rPr>
        <w:t xml:space="preserve">).  </w:t>
      </w:r>
      <w:r w:rsidR="00E70907" w:rsidRPr="00BD7FF1">
        <w:t xml:space="preserve">While factors such as students’ academic preparation and financial circumstances are cause for concern, a substantial number of low-income students fall off track in the complex processes of obtaining financial aid, and applying to, enrolling in and staying in college (Bowen, </w:t>
      </w:r>
      <w:proofErr w:type="spellStart"/>
      <w:r w:rsidR="00E70907" w:rsidRPr="00BD7FF1">
        <w:t>Chingos</w:t>
      </w:r>
      <w:proofErr w:type="spellEnd"/>
      <w:r w:rsidR="00E70907" w:rsidRPr="00BD7FF1">
        <w:t xml:space="preserve">, &amp; McPherson, 2009; Roderick, </w:t>
      </w:r>
      <w:proofErr w:type="spellStart"/>
      <w:r w:rsidR="00E70907" w:rsidRPr="00BD7FF1">
        <w:t>Nagaoka</w:t>
      </w:r>
      <w:proofErr w:type="spellEnd"/>
      <w:r w:rsidR="00E70907" w:rsidRPr="00BD7FF1">
        <w:t xml:space="preserve">, Coca, &amp; Moeller, 2008). </w:t>
      </w:r>
    </w:p>
    <w:p w:rsidR="007F4A07" w:rsidRDefault="00E70907" w:rsidP="009563C4">
      <w:r w:rsidRPr="00BD7FF1">
        <w:t xml:space="preserve">Experimental evidence suggests that relatively low-cost interventions may help low-income students remain on track. </w:t>
      </w:r>
      <w:r w:rsidR="00AB7686">
        <w:t xml:space="preserve">Text messaging interventions have had positive effects on college outcomes. </w:t>
      </w:r>
      <w:r w:rsidRPr="00BD7FF1">
        <w:t xml:space="preserve">For example, an intervention that involved ten text messages </w:t>
      </w:r>
      <w:r w:rsidR="00F03E2D">
        <w:t>with</w:t>
      </w:r>
      <w:r w:rsidR="00F03E2D" w:rsidRPr="00BD7FF1">
        <w:t xml:space="preserve"> </w:t>
      </w:r>
      <w:r w:rsidRPr="00BD7FF1">
        <w:t xml:space="preserve">customized </w:t>
      </w:r>
      <w:r w:rsidR="009E1549">
        <w:t>messages</w:t>
      </w:r>
      <w:r w:rsidRPr="00BD7FF1">
        <w:t xml:space="preserve"> to college-intending high school graduates increased college enrollment among students with less access to college-planning supports and who were not as far along with their college planning at the completion of high school (</w:t>
      </w:r>
      <w:proofErr w:type="spellStart"/>
      <w:r w:rsidRPr="00BD7FF1">
        <w:t>Castleman</w:t>
      </w:r>
      <w:proofErr w:type="spellEnd"/>
      <w:r w:rsidRPr="00BD7FF1">
        <w:t xml:space="preserve"> &amp; Page</w:t>
      </w:r>
      <w:r w:rsidR="003D099B">
        <w:t>,</w:t>
      </w:r>
      <w:r w:rsidRPr="00BD7FF1">
        <w:t xml:space="preserve"> 2013). Also, two to three hours of transition counseling during the summer after high school slightly increased college enrollment among students </w:t>
      </w:r>
      <w:r w:rsidR="007F4A07">
        <w:t>in some sites</w:t>
      </w:r>
      <w:r w:rsidR="007F4A07" w:rsidRPr="00BD7FF1">
        <w:t xml:space="preserve"> </w:t>
      </w:r>
      <w:r w:rsidRPr="00BD7FF1">
        <w:t xml:space="preserve">and improved persistence into the sophomore </w:t>
      </w:r>
      <w:r w:rsidR="003D099B">
        <w:t>year even more (</w:t>
      </w:r>
      <w:proofErr w:type="spellStart"/>
      <w:r w:rsidR="003D099B">
        <w:t>Castleman</w:t>
      </w:r>
      <w:proofErr w:type="spellEnd"/>
      <w:r w:rsidR="003D099B">
        <w:t>, Page</w:t>
      </w:r>
      <w:r w:rsidRPr="00BD7FF1">
        <w:t xml:space="preserve"> &amp; </w:t>
      </w:r>
      <w:proofErr w:type="spellStart"/>
      <w:r w:rsidRPr="00BD7FF1">
        <w:t>Schooley</w:t>
      </w:r>
      <w:proofErr w:type="spellEnd"/>
      <w:r w:rsidRPr="00BD7FF1">
        <w:t>, 2014).</w:t>
      </w:r>
      <w:r w:rsidR="007F4A07">
        <w:t xml:space="preserve"> Finally, </w:t>
      </w:r>
      <w:r w:rsidR="00B73C34">
        <w:t>messaging during students’</w:t>
      </w:r>
      <w:r w:rsidR="008A44F7">
        <w:t xml:space="preserve"> freshman year providing information about financial aid deadlines and FAF</w:t>
      </w:r>
      <w:r w:rsidR="00F74E2D">
        <w:t>S</w:t>
      </w:r>
      <w:r w:rsidR="008A44F7">
        <w:t>A completion improved c</w:t>
      </w:r>
      <w:r w:rsidR="007F4A07">
        <w:t>ollege persistence into the sophomore year among community college students</w:t>
      </w:r>
      <w:r w:rsidR="008A44F7">
        <w:t xml:space="preserve"> (</w:t>
      </w:r>
      <w:proofErr w:type="spellStart"/>
      <w:r w:rsidR="008A44F7">
        <w:t>Castelman</w:t>
      </w:r>
      <w:proofErr w:type="spellEnd"/>
      <w:r w:rsidR="008A44F7">
        <w:t xml:space="preserve"> &amp; Page, 2014)</w:t>
      </w:r>
      <w:r w:rsidR="007F4A07">
        <w:t xml:space="preserve">. </w:t>
      </w:r>
    </w:p>
    <w:p w:rsidR="004D68DC" w:rsidRDefault="005F01BE" w:rsidP="009563C4">
      <w:r>
        <w:t>Experimental evidence also suggests that</w:t>
      </w:r>
      <w:r w:rsidR="003F2504">
        <w:t xml:space="preserve"> brief</w:t>
      </w:r>
      <w:r w:rsidR="00AB7686">
        <w:t xml:space="preserve"> </w:t>
      </w:r>
      <w:r w:rsidR="00751688">
        <w:t>interventions focus</w:t>
      </w:r>
      <w:r>
        <w:t>ed</w:t>
      </w:r>
      <w:r w:rsidR="00751688">
        <w:t xml:space="preserve"> on the notion that intel</w:t>
      </w:r>
      <w:r w:rsidR="00B8119D">
        <w:t>ligence</w:t>
      </w:r>
      <w:r w:rsidR="00CB7092">
        <w:t xml:space="preserve"> and personal attributes are</w:t>
      </w:r>
      <w:r>
        <w:t xml:space="preserve"> malleable</w:t>
      </w:r>
      <w:r w:rsidR="003F2504">
        <w:t xml:space="preserve"> can have a positive effect on academic outcomes</w:t>
      </w:r>
      <w:r w:rsidR="00B8119D">
        <w:t xml:space="preserve">. </w:t>
      </w:r>
      <w:r w:rsidR="003F2504">
        <w:t>For example, a b</w:t>
      </w:r>
      <w:r w:rsidR="00B8119D">
        <w:t xml:space="preserve">rief </w:t>
      </w:r>
      <w:r w:rsidR="003F2504">
        <w:t>exercise in which college students wrote letters to middle school students, encouraging them to work hard and describing intelligence as expandable, resulted in higher perception of the malleability of intelligence, academic engagement, and academic performance</w:t>
      </w:r>
      <w:r w:rsidR="00230116">
        <w:t xml:space="preserve"> among the college students</w:t>
      </w:r>
      <w:r w:rsidR="003F2504">
        <w:t xml:space="preserve"> (Aronson, Fried &amp; Good</w:t>
      </w:r>
      <w:r w:rsidR="003D099B">
        <w:t>,</w:t>
      </w:r>
      <w:r w:rsidR="003F2504">
        <w:t xml:space="preserve"> 2002). </w:t>
      </w:r>
      <w:r w:rsidR="00CB7092">
        <w:t>A</w:t>
      </w:r>
      <w:r w:rsidR="00FF0E9E">
        <w:t>n experimental</w:t>
      </w:r>
      <w:r w:rsidR="00CB7092">
        <w:t xml:space="preserve"> study </w:t>
      </w:r>
      <w:r w:rsidR="00FF0E9E">
        <w:t xml:space="preserve">found </w:t>
      </w:r>
      <w:r w:rsidR="00CB7092">
        <w:t>that</w:t>
      </w:r>
      <w:r w:rsidR="00FF0E9E">
        <w:t xml:space="preserve"> </w:t>
      </w:r>
      <w:r w:rsidR="003D099B">
        <w:t>high school freshme</w:t>
      </w:r>
      <w:r w:rsidR="00CB7092">
        <w:t xml:space="preserve">n who engaged in a light-touch activity that included reading a summary of neuroscience research, </w:t>
      </w:r>
      <w:r w:rsidR="00FF0E9E">
        <w:t>next</w:t>
      </w:r>
      <w:r w:rsidR="00CB7092">
        <w:t xml:space="preserve"> reading testimonials from upperclassmen who had read </w:t>
      </w:r>
      <w:r w:rsidR="00FF0E9E">
        <w:t>the summary</w:t>
      </w:r>
      <w:r w:rsidR="00CB7092">
        <w:t xml:space="preserve"> and applied it to their own peer conflicts, and </w:t>
      </w:r>
      <w:r w:rsidR="00FF0E9E">
        <w:t xml:space="preserve">then writing </w:t>
      </w:r>
      <w:r w:rsidR="00CB7092">
        <w:t>their own</w:t>
      </w:r>
      <w:r w:rsidR="003D099B">
        <w:t xml:space="preserve"> testimonials for future freshme</w:t>
      </w:r>
      <w:r w:rsidR="00CB7092">
        <w:t xml:space="preserve">n reported lower stress, less frequent physical illness and better academic performance </w:t>
      </w:r>
      <w:r w:rsidR="003D099B">
        <w:t>tha</w:t>
      </w:r>
      <w:r w:rsidR="00FF0E9E">
        <w:t xml:space="preserve">n students who had not participated in the brief activity </w:t>
      </w:r>
      <w:r w:rsidR="00CB7092">
        <w:t>(Yeager et al. 201</w:t>
      </w:r>
      <w:r w:rsidR="009B34D7">
        <w:t>4</w:t>
      </w:r>
      <w:r w:rsidR="00CB7092">
        <w:t xml:space="preserve">).  </w:t>
      </w:r>
      <w:r w:rsidR="0001188E">
        <w:t xml:space="preserve">Another study found that students exposed to a two pronged intervention—first reading about other students who felt they did not belong in college, but that this sense of not belonging dissipates over time, and then writing about how their own worries had </w:t>
      </w:r>
      <w:r w:rsidR="0001188E">
        <w:lastRenderedPageBreak/>
        <w:t>changed over time—earned higher grades, and reported being happier and healthier than the control groups in the study</w:t>
      </w:r>
      <w:r w:rsidR="0001188E" w:rsidRPr="0001188E">
        <w:t xml:space="preserve"> (Walton &amp; Cohen 2011</w:t>
      </w:r>
      <w:r w:rsidR="0001188E">
        <w:t>)</w:t>
      </w:r>
      <w:r w:rsidR="0001188E" w:rsidRPr="0001188E">
        <w:t xml:space="preserve">.  </w:t>
      </w:r>
    </w:p>
    <w:p w:rsidR="00E70907" w:rsidRPr="00BD7FF1" w:rsidRDefault="00E70907" w:rsidP="009563C4">
      <w:r w:rsidRPr="00C57366">
        <w:t>Th</w:t>
      </w:r>
      <w:r w:rsidR="00E92160">
        <w:t>ese emerging practices can be tested in the context of GEAR UP, and fill a need to identify effective (or ineffective) strategies for providing 7</w:t>
      </w:r>
      <w:r w:rsidR="00E92160" w:rsidRPr="000664ED">
        <w:rPr>
          <w:vertAlign w:val="superscript"/>
        </w:rPr>
        <w:t>th</w:t>
      </w:r>
      <w:r w:rsidR="00E92160">
        <w:t xml:space="preserve"> year program services in low-cost ways.  The first cohort of GEAR UP students eligible for those services will be high school seniors in school year 2016-2017.  The demonstration is being introduced at a key time, before grantees have solidified their plans for the 7</w:t>
      </w:r>
      <w:r w:rsidR="00E92160" w:rsidRPr="000664ED">
        <w:rPr>
          <w:vertAlign w:val="superscript"/>
        </w:rPr>
        <w:t>th</w:t>
      </w:r>
      <w:r w:rsidR="00E92160">
        <w:t xml:space="preserve"> year and when they are most open to implementing strategies that will be assessed using random assignment.</w:t>
      </w:r>
    </w:p>
    <w:p w:rsidR="00E70907" w:rsidRDefault="00E70907" w:rsidP="00E70907">
      <w:pPr>
        <w:pStyle w:val="Heading2"/>
        <w:pBdr>
          <w:top w:val="single" w:sz="6" w:space="0" w:color="D0D3D4"/>
        </w:pBdr>
      </w:pPr>
      <w:bookmarkStart w:id="5" w:name="_Toc421022224"/>
      <w:r>
        <w:t>Purposes and Use of the Information Collection</w:t>
      </w:r>
      <w:bookmarkEnd w:id="5"/>
    </w:p>
    <w:p w:rsidR="00E70907" w:rsidRDefault="00E70907" w:rsidP="009563C4">
      <w:r>
        <w:t xml:space="preserve">This </w:t>
      </w:r>
      <w:r w:rsidRPr="004910DD">
        <w:t>ICR</w:t>
      </w:r>
      <w:r>
        <w:t xml:space="preserve"> requests approval for data collection</w:t>
      </w:r>
      <w:r w:rsidR="008A44F7">
        <w:t xml:space="preserve"> that involves burden to the public</w:t>
      </w:r>
      <w:r>
        <w:t xml:space="preserve">, which will occur primarily when study participants are seniors in high school. Much of the data collection will draw upon </w:t>
      </w:r>
      <w:r w:rsidR="001652A5">
        <w:t>administrative data</w:t>
      </w:r>
      <w:r>
        <w:t xml:space="preserve">, so the study’s burden on </w:t>
      </w:r>
      <w:r w:rsidR="008A44F7">
        <w:t xml:space="preserve">projects and </w:t>
      </w:r>
      <w:r>
        <w:t xml:space="preserve">students will mainly be limited to the </w:t>
      </w:r>
      <w:r w:rsidR="008A44F7">
        <w:t>student roster collection</w:t>
      </w:r>
      <w:r>
        <w:t xml:space="preserve"> and baseline </w:t>
      </w:r>
      <w:r w:rsidR="00F03E2D">
        <w:t xml:space="preserve">survey </w:t>
      </w:r>
      <w:r>
        <w:t>collection.</w:t>
      </w:r>
    </w:p>
    <w:p w:rsidR="00E70907" w:rsidRDefault="00E70907" w:rsidP="009563C4">
      <w:r>
        <w:t>All i</w:t>
      </w:r>
      <w:r w:rsidRPr="000367C4">
        <w:t xml:space="preserve">nformation will be collected by the </w:t>
      </w:r>
      <w:proofErr w:type="spellStart"/>
      <w:r w:rsidRPr="000367C4">
        <w:t>Abt</w:t>
      </w:r>
      <w:proofErr w:type="spellEnd"/>
      <w:r w:rsidRPr="000367C4">
        <w:t xml:space="preserve"> study team. </w:t>
      </w:r>
      <w:r w:rsidR="00EA3656">
        <w:t>Exhibit A-4</w:t>
      </w:r>
      <w:r>
        <w:t xml:space="preserve"> outlines the combination of administrative and survey data that will be collected to examine the implementation and impacts of the customized messaging intervention. </w:t>
      </w:r>
    </w:p>
    <w:p w:rsidR="00E70907" w:rsidRPr="008B340D" w:rsidRDefault="00E70907" w:rsidP="00E70907">
      <w:pPr>
        <w:pStyle w:val="Caption"/>
      </w:pPr>
      <w:proofErr w:type="gramStart"/>
      <w:r w:rsidRPr="008B340D">
        <w:t xml:space="preserve">Exhibit </w:t>
      </w:r>
      <w:r w:rsidR="00692C17">
        <w:fldChar w:fldCharType="begin"/>
      </w:r>
      <w:r w:rsidR="00692C17">
        <w:instrText xml:space="preserve"> STYLEREF 1 \s </w:instrText>
      </w:r>
      <w:r w:rsidR="00692C17">
        <w:fldChar w:fldCharType="separate"/>
      </w:r>
      <w:r w:rsidR="009B34D7">
        <w:rPr>
          <w:noProof/>
        </w:rPr>
        <w:t>A</w:t>
      </w:r>
      <w:r w:rsidR="00692C17">
        <w:rPr>
          <w:noProof/>
        </w:rPr>
        <w:fldChar w:fldCharType="end"/>
      </w:r>
      <w:r w:rsidR="00EA3656">
        <w:t>-4</w:t>
      </w:r>
      <w:r w:rsidRPr="008B340D">
        <w:t>.</w:t>
      </w:r>
      <w:proofErr w:type="gramEnd"/>
      <w:r>
        <w:t xml:space="preserve"> </w:t>
      </w:r>
      <w:r w:rsidRPr="008B340D">
        <w:t>Data Collection Plan</w:t>
      </w:r>
    </w:p>
    <w:tbl>
      <w:tblPr>
        <w:tblW w:w="900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Look w:val="04A0" w:firstRow="1" w:lastRow="0" w:firstColumn="1" w:lastColumn="0" w:noHBand="0" w:noVBand="1"/>
      </w:tblPr>
      <w:tblGrid>
        <w:gridCol w:w="1710"/>
        <w:gridCol w:w="1800"/>
        <w:gridCol w:w="2610"/>
        <w:gridCol w:w="1530"/>
        <w:gridCol w:w="1350"/>
      </w:tblGrid>
      <w:tr w:rsidR="00E70907" w:rsidRPr="00F83E0E" w:rsidTr="00F03E2D">
        <w:trPr>
          <w:cantSplit/>
          <w:trHeight w:val="288"/>
          <w:tblHeader/>
        </w:trPr>
        <w:tc>
          <w:tcPr>
            <w:tcW w:w="1710" w:type="dxa"/>
            <w:shd w:val="clear" w:color="auto" w:fill="A6A6A6" w:themeFill="background1" w:themeFillShade="A6"/>
            <w:vAlign w:val="center"/>
          </w:tcPr>
          <w:p w:rsidR="00E70907" w:rsidRPr="00F83E0E" w:rsidRDefault="00E70907" w:rsidP="00045B6C">
            <w:pPr>
              <w:pStyle w:val="ExhibitColumnHeader"/>
              <w:keepNext/>
              <w:keepLines/>
            </w:pPr>
            <w:r w:rsidRPr="00F83E0E">
              <w:t>Schedule</w:t>
            </w:r>
          </w:p>
        </w:tc>
        <w:tc>
          <w:tcPr>
            <w:tcW w:w="1800" w:type="dxa"/>
            <w:shd w:val="clear" w:color="auto" w:fill="A6A6A6" w:themeFill="background1" w:themeFillShade="A6"/>
            <w:vAlign w:val="center"/>
          </w:tcPr>
          <w:p w:rsidR="00E70907" w:rsidRPr="00F83E0E" w:rsidRDefault="00E70907" w:rsidP="00045B6C">
            <w:pPr>
              <w:pStyle w:val="ExhibitColumnHeader"/>
              <w:keepNext/>
              <w:keepLines/>
            </w:pPr>
            <w:r w:rsidRPr="00F83E0E">
              <w:t>Data Collection</w:t>
            </w:r>
          </w:p>
        </w:tc>
        <w:tc>
          <w:tcPr>
            <w:tcW w:w="2610" w:type="dxa"/>
            <w:shd w:val="clear" w:color="auto" w:fill="A6A6A6" w:themeFill="background1" w:themeFillShade="A6"/>
          </w:tcPr>
          <w:p w:rsidR="00E70907" w:rsidRPr="00F83E0E" w:rsidRDefault="00E70907" w:rsidP="00045B6C">
            <w:pPr>
              <w:pStyle w:val="ExhibitColumnHeader"/>
              <w:keepNext/>
              <w:keepLines/>
            </w:pPr>
            <w:r w:rsidRPr="00F83E0E">
              <w:t>Activity</w:t>
            </w:r>
          </w:p>
        </w:tc>
        <w:tc>
          <w:tcPr>
            <w:tcW w:w="1530" w:type="dxa"/>
            <w:shd w:val="clear" w:color="auto" w:fill="A6A6A6" w:themeFill="background1" w:themeFillShade="A6"/>
          </w:tcPr>
          <w:p w:rsidR="00E70907" w:rsidRPr="00F83E0E" w:rsidRDefault="00E70907" w:rsidP="00045B6C">
            <w:pPr>
              <w:pStyle w:val="ExhibitColumnHeader"/>
              <w:keepNext/>
              <w:keepLines/>
            </w:pPr>
            <w:r w:rsidRPr="00F83E0E">
              <w:t>Respondent</w:t>
            </w:r>
          </w:p>
        </w:tc>
        <w:tc>
          <w:tcPr>
            <w:tcW w:w="1350" w:type="dxa"/>
            <w:shd w:val="clear" w:color="auto" w:fill="A6A6A6" w:themeFill="background1" w:themeFillShade="A6"/>
          </w:tcPr>
          <w:p w:rsidR="00E70907" w:rsidRPr="00F83E0E" w:rsidRDefault="00E70907" w:rsidP="00045B6C">
            <w:pPr>
              <w:pStyle w:val="ExhibitColumnHeader"/>
              <w:keepNext/>
              <w:keepLines/>
            </w:pPr>
            <w:r w:rsidRPr="00F83E0E">
              <w:t>Mode</w:t>
            </w:r>
          </w:p>
        </w:tc>
      </w:tr>
      <w:tr w:rsidR="00E70907" w:rsidRPr="009068A8" w:rsidTr="00045B6C">
        <w:trPr>
          <w:cantSplit/>
          <w:trHeight w:val="288"/>
        </w:trPr>
        <w:tc>
          <w:tcPr>
            <w:tcW w:w="1710" w:type="dxa"/>
          </w:tcPr>
          <w:p w:rsidR="00E70907" w:rsidRPr="009068A8" w:rsidRDefault="00E70907" w:rsidP="00045B6C">
            <w:pPr>
              <w:pStyle w:val="ExhibitText"/>
              <w:keepNext/>
              <w:keepLines/>
              <w:spacing w:line="240" w:lineRule="auto"/>
              <w:rPr>
                <w:szCs w:val="18"/>
              </w:rPr>
            </w:pPr>
            <w:r>
              <w:rPr>
                <w:szCs w:val="18"/>
              </w:rPr>
              <w:t>Winter 2015-2016</w:t>
            </w:r>
          </w:p>
        </w:tc>
        <w:tc>
          <w:tcPr>
            <w:tcW w:w="1800" w:type="dxa"/>
            <w:shd w:val="clear" w:color="auto" w:fill="auto"/>
          </w:tcPr>
          <w:p w:rsidR="00E70907" w:rsidRPr="009068A8" w:rsidRDefault="00E70907" w:rsidP="00045B6C">
            <w:pPr>
              <w:pStyle w:val="ExhibitText"/>
              <w:keepNext/>
              <w:keepLines/>
              <w:spacing w:line="240" w:lineRule="auto"/>
              <w:rPr>
                <w:i/>
                <w:szCs w:val="18"/>
              </w:rPr>
            </w:pPr>
            <w:r>
              <w:rPr>
                <w:i/>
                <w:szCs w:val="18"/>
              </w:rPr>
              <w:t>List of participating schools</w:t>
            </w:r>
          </w:p>
        </w:tc>
        <w:tc>
          <w:tcPr>
            <w:tcW w:w="2610" w:type="dxa"/>
          </w:tcPr>
          <w:p w:rsidR="00E70907" w:rsidRPr="009068A8" w:rsidRDefault="00E70907" w:rsidP="00045B6C">
            <w:pPr>
              <w:pStyle w:val="ExhibitText"/>
              <w:keepNext/>
              <w:keepLines/>
              <w:spacing w:line="240" w:lineRule="auto"/>
              <w:rPr>
                <w:szCs w:val="18"/>
              </w:rPr>
            </w:pPr>
            <w:r>
              <w:rPr>
                <w:szCs w:val="18"/>
              </w:rPr>
              <w:t>GEAR UP grantees will identify schools that serve seniors and are willing to participate in the study</w:t>
            </w:r>
          </w:p>
        </w:tc>
        <w:tc>
          <w:tcPr>
            <w:tcW w:w="1530" w:type="dxa"/>
          </w:tcPr>
          <w:p w:rsidR="00E70907" w:rsidRPr="009068A8" w:rsidRDefault="00E70907" w:rsidP="00045B6C">
            <w:pPr>
              <w:pStyle w:val="ExhibitText"/>
              <w:keepNext/>
              <w:keepLines/>
              <w:spacing w:line="240" w:lineRule="auto"/>
              <w:rPr>
                <w:szCs w:val="18"/>
              </w:rPr>
            </w:pPr>
            <w:r>
              <w:rPr>
                <w:szCs w:val="18"/>
              </w:rPr>
              <w:t>GEAR UP project directors/ site coordinators</w:t>
            </w:r>
          </w:p>
        </w:tc>
        <w:tc>
          <w:tcPr>
            <w:tcW w:w="1350" w:type="dxa"/>
          </w:tcPr>
          <w:p w:rsidR="00E70907" w:rsidRPr="009068A8" w:rsidRDefault="00E70907" w:rsidP="00045B6C">
            <w:pPr>
              <w:pStyle w:val="ExhibitText"/>
              <w:keepNext/>
              <w:keepLines/>
              <w:spacing w:line="240" w:lineRule="auto"/>
              <w:rPr>
                <w:szCs w:val="18"/>
              </w:rPr>
            </w:pPr>
            <w:r>
              <w:rPr>
                <w:szCs w:val="18"/>
              </w:rPr>
              <w:t>E-mail</w:t>
            </w:r>
          </w:p>
        </w:tc>
      </w:tr>
      <w:tr w:rsidR="00E70907" w:rsidRPr="009068A8" w:rsidTr="00045B6C">
        <w:trPr>
          <w:cantSplit/>
          <w:trHeight w:val="288"/>
        </w:trPr>
        <w:tc>
          <w:tcPr>
            <w:tcW w:w="1710" w:type="dxa"/>
          </w:tcPr>
          <w:p w:rsidR="00E70907" w:rsidRDefault="00E70907" w:rsidP="00045B6C">
            <w:pPr>
              <w:pStyle w:val="ExhibitText"/>
              <w:keepNext/>
              <w:keepLines/>
              <w:spacing w:line="240" w:lineRule="auto"/>
              <w:rPr>
                <w:szCs w:val="18"/>
              </w:rPr>
            </w:pPr>
            <w:r>
              <w:rPr>
                <w:szCs w:val="18"/>
              </w:rPr>
              <w:t>Fall 2016</w:t>
            </w:r>
          </w:p>
        </w:tc>
        <w:tc>
          <w:tcPr>
            <w:tcW w:w="1800" w:type="dxa"/>
            <w:shd w:val="clear" w:color="auto" w:fill="auto"/>
          </w:tcPr>
          <w:p w:rsidR="00E70907" w:rsidRDefault="00E70907" w:rsidP="00045B6C">
            <w:pPr>
              <w:pStyle w:val="ExhibitText"/>
              <w:keepNext/>
              <w:keepLines/>
              <w:spacing w:line="240" w:lineRule="auto"/>
              <w:rPr>
                <w:i/>
                <w:szCs w:val="18"/>
              </w:rPr>
            </w:pPr>
            <w:r>
              <w:rPr>
                <w:i/>
                <w:szCs w:val="18"/>
              </w:rPr>
              <w:t>List of GEAR UP seniors</w:t>
            </w:r>
          </w:p>
        </w:tc>
        <w:tc>
          <w:tcPr>
            <w:tcW w:w="2610" w:type="dxa"/>
          </w:tcPr>
          <w:p w:rsidR="00E70907" w:rsidRDefault="00E70907" w:rsidP="00045B6C">
            <w:pPr>
              <w:pStyle w:val="ExhibitText"/>
              <w:keepNext/>
              <w:keepLines/>
              <w:spacing w:line="240" w:lineRule="auto"/>
              <w:rPr>
                <w:szCs w:val="18"/>
              </w:rPr>
            </w:pPr>
            <w:r>
              <w:rPr>
                <w:szCs w:val="18"/>
              </w:rPr>
              <w:t xml:space="preserve">Gather student rosters of high school seniors with access to GEAR UP services from participating schools </w:t>
            </w:r>
          </w:p>
        </w:tc>
        <w:tc>
          <w:tcPr>
            <w:tcW w:w="1530" w:type="dxa"/>
          </w:tcPr>
          <w:p w:rsidR="00E70907" w:rsidRDefault="00F03E2D" w:rsidP="00045B6C">
            <w:pPr>
              <w:pStyle w:val="ExhibitText"/>
              <w:keepNext/>
              <w:keepLines/>
              <w:spacing w:line="240" w:lineRule="auto"/>
              <w:rPr>
                <w:szCs w:val="18"/>
              </w:rPr>
            </w:pPr>
            <w:r>
              <w:rPr>
                <w:szCs w:val="18"/>
              </w:rPr>
              <w:t>GEAR UP project directors/ site coordinators</w:t>
            </w:r>
          </w:p>
        </w:tc>
        <w:tc>
          <w:tcPr>
            <w:tcW w:w="1350" w:type="dxa"/>
          </w:tcPr>
          <w:p w:rsidR="00E70907" w:rsidRDefault="00F03E2D" w:rsidP="00045B6C">
            <w:pPr>
              <w:pStyle w:val="ExhibitText"/>
              <w:keepNext/>
              <w:keepLines/>
              <w:spacing w:line="240" w:lineRule="auto"/>
              <w:rPr>
                <w:szCs w:val="18"/>
              </w:rPr>
            </w:pPr>
            <w:r>
              <w:rPr>
                <w:szCs w:val="18"/>
              </w:rPr>
              <w:t>Electronic</w:t>
            </w:r>
          </w:p>
        </w:tc>
      </w:tr>
      <w:tr w:rsidR="00E70907" w:rsidRPr="009068A8" w:rsidTr="00045B6C">
        <w:trPr>
          <w:cantSplit/>
          <w:trHeight w:val="288"/>
        </w:trPr>
        <w:tc>
          <w:tcPr>
            <w:tcW w:w="1710" w:type="dxa"/>
          </w:tcPr>
          <w:p w:rsidR="00E70907" w:rsidRDefault="00E70907" w:rsidP="00045B6C">
            <w:pPr>
              <w:pStyle w:val="ExhibitText"/>
              <w:keepNext/>
              <w:keepLines/>
              <w:spacing w:line="240" w:lineRule="auto"/>
              <w:rPr>
                <w:szCs w:val="18"/>
              </w:rPr>
            </w:pPr>
            <w:r>
              <w:rPr>
                <w:szCs w:val="18"/>
              </w:rPr>
              <w:t>Spring 2017</w:t>
            </w:r>
          </w:p>
        </w:tc>
        <w:tc>
          <w:tcPr>
            <w:tcW w:w="1800" w:type="dxa"/>
            <w:shd w:val="clear" w:color="auto" w:fill="auto"/>
          </w:tcPr>
          <w:p w:rsidR="00E70907" w:rsidRDefault="00E70907" w:rsidP="00045B6C">
            <w:pPr>
              <w:pStyle w:val="ExhibitText"/>
              <w:keepNext/>
              <w:keepLines/>
              <w:spacing w:line="240" w:lineRule="auto"/>
              <w:rPr>
                <w:i/>
                <w:szCs w:val="18"/>
              </w:rPr>
            </w:pPr>
            <w:r>
              <w:rPr>
                <w:i/>
                <w:szCs w:val="18"/>
              </w:rPr>
              <w:t>Administer baseline survey</w:t>
            </w:r>
          </w:p>
        </w:tc>
        <w:tc>
          <w:tcPr>
            <w:tcW w:w="2610" w:type="dxa"/>
          </w:tcPr>
          <w:p w:rsidR="00E70907" w:rsidRDefault="00E70907" w:rsidP="008A44F7">
            <w:pPr>
              <w:pStyle w:val="ExhibitText"/>
              <w:keepNext/>
              <w:keepLines/>
              <w:spacing w:line="240" w:lineRule="auto"/>
              <w:rPr>
                <w:szCs w:val="18"/>
              </w:rPr>
            </w:pPr>
            <w:r>
              <w:rPr>
                <w:szCs w:val="18"/>
              </w:rPr>
              <w:t xml:space="preserve">Administer a </w:t>
            </w:r>
            <w:r w:rsidR="008A44F7">
              <w:rPr>
                <w:szCs w:val="18"/>
              </w:rPr>
              <w:t>brief</w:t>
            </w:r>
            <w:r>
              <w:rPr>
                <w:szCs w:val="18"/>
              </w:rPr>
              <w:t xml:space="preserve"> baseline survey to capture student assent, intention to enroll in college, and a small number of covariates for the analysis (e.g., demographics)</w:t>
            </w:r>
          </w:p>
        </w:tc>
        <w:tc>
          <w:tcPr>
            <w:tcW w:w="1530" w:type="dxa"/>
          </w:tcPr>
          <w:p w:rsidR="00E70907" w:rsidRDefault="00E70907" w:rsidP="00045B6C">
            <w:pPr>
              <w:pStyle w:val="ExhibitText"/>
              <w:keepNext/>
              <w:keepLines/>
              <w:spacing w:line="240" w:lineRule="auto"/>
              <w:rPr>
                <w:szCs w:val="18"/>
              </w:rPr>
            </w:pPr>
            <w:r>
              <w:rPr>
                <w:szCs w:val="18"/>
              </w:rPr>
              <w:t>Students (high school)</w:t>
            </w:r>
          </w:p>
        </w:tc>
        <w:tc>
          <w:tcPr>
            <w:tcW w:w="1350" w:type="dxa"/>
          </w:tcPr>
          <w:p w:rsidR="00E70907" w:rsidRDefault="00A75771" w:rsidP="00045B6C">
            <w:pPr>
              <w:pStyle w:val="ExhibitText"/>
              <w:keepNext/>
              <w:keepLines/>
              <w:spacing w:line="240" w:lineRule="auto"/>
              <w:rPr>
                <w:szCs w:val="18"/>
              </w:rPr>
            </w:pPr>
            <w:r>
              <w:rPr>
                <w:szCs w:val="18"/>
              </w:rPr>
              <w:t>Paper/</w:t>
            </w:r>
            <w:r w:rsidR="00E70907">
              <w:rPr>
                <w:szCs w:val="18"/>
              </w:rPr>
              <w:t>Electronic</w:t>
            </w:r>
          </w:p>
        </w:tc>
      </w:tr>
      <w:tr w:rsidR="00E70907" w:rsidRPr="009068A8" w:rsidTr="00045B6C">
        <w:trPr>
          <w:cantSplit/>
          <w:trHeight w:val="288"/>
        </w:trPr>
        <w:tc>
          <w:tcPr>
            <w:tcW w:w="1710" w:type="dxa"/>
          </w:tcPr>
          <w:p w:rsidR="00E70907" w:rsidRPr="009068A8" w:rsidRDefault="00E70907" w:rsidP="00045B6C">
            <w:pPr>
              <w:pStyle w:val="ExhibitText"/>
              <w:keepNext/>
              <w:keepLines/>
              <w:spacing w:line="240" w:lineRule="auto"/>
              <w:rPr>
                <w:szCs w:val="18"/>
              </w:rPr>
            </w:pPr>
            <w:r>
              <w:rPr>
                <w:szCs w:val="18"/>
              </w:rPr>
              <w:t>Fall 2017</w:t>
            </w:r>
          </w:p>
        </w:tc>
        <w:tc>
          <w:tcPr>
            <w:tcW w:w="1800" w:type="dxa"/>
            <w:shd w:val="clear" w:color="auto" w:fill="auto"/>
          </w:tcPr>
          <w:p w:rsidR="00E70907" w:rsidRDefault="00A55C88" w:rsidP="00045B6C">
            <w:pPr>
              <w:pStyle w:val="ExhibitText"/>
              <w:keepNext/>
              <w:keepLines/>
              <w:spacing w:line="240" w:lineRule="auto"/>
              <w:rPr>
                <w:i/>
                <w:szCs w:val="18"/>
              </w:rPr>
            </w:pPr>
            <w:r>
              <w:rPr>
                <w:i/>
                <w:szCs w:val="18"/>
              </w:rPr>
              <w:t xml:space="preserve">Obtain </w:t>
            </w:r>
            <w:r w:rsidR="00E70907">
              <w:rPr>
                <w:i/>
                <w:szCs w:val="18"/>
              </w:rPr>
              <w:t xml:space="preserve">data from National Student Clearinghouse </w:t>
            </w:r>
            <w:r w:rsidR="00F03E2D">
              <w:rPr>
                <w:i/>
                <w:szCs w:val="18"/>
              </w:rPr>
              <w:t xml:space="preserve">(NSC) </w:t>
            </w:r>
            <w:r w:rsidR="00E70907">
              <w:rPr>
                <w:i/>
                <w:szCs w:val="18"/>
              </w:rPr>
              <w:t>and Federal Student Aid Center (FSA)</w:t>
            </w:r>
          </w:p>
        </w:tc>
        <w:tc>
          <w:tcPr>
            <w:tcW w:w="2610" w:type="dxa"/>
          </w:tcPr>
          <w:p w:rsidR="00E70907" w:rsidRPr="009068A8" w:rsidRDefault="00F03E2D" w:rsidP="000664ED">
            <w:pPr>
              <w:pStyle w:val="ExhibitText"/>
              <w:keepNext/>
              <w:keepLines/>
              <w:spacing w:line="240" w:lineRule="auto"/>
              <w:rPr>
                <w:szCs w:val="18"/>
              </w:rPr>
            </w:pPr>
            <w:r>
              <w:rPr>
                <w:szCs w:val="18"/>
              </w:rPr>
              <w:t>NSC</w:t>
            </w:r>
            <w:r w:rsidR="00E70907">
              <w:rPr>
                <w:szCs w:val="18"/>
              </w:rPr>
              <w:t xml:space="preserve"> will provide matriculation </w:t>
            </w:r>
            <w:r>
              <w:rPr>
                <w:szCs w:val="18"/>
              </w:rPr>
              <w:t xml:space="preserve">and persistence </w:t>
            </w:r>
            <w:r w:rsidR="00E70907">
              <w:rPr>
                <w:szCs w:val="18"/>
              </w:rPr>
              <w:t>outcome</w:t>
            </w:r>
            <w:r>
              <w:rPr>
                <w:szCs w:val="18"/>
              </w:rPr>
              <w:t xml:space="preserve"> data</w:t>
            </w:r>
            <w:r w:rsidR="00E70907">
              <w:rPr>
                <w:szCs w:val="18"/>
              </w:rPr>
              <w:t>; FSA data will indicate whether student completed the FAFSA</w:t>
            </w:r>
            <w:r w:rsidR="001652A5">
              <w:rPr>
                <w:szCs w:val="18"/>
              </w:rPr>
              <w:t xml:space="preserve"> for the first and second years of college</w:t>
            </w:r>
          </w:p>
        </w:tc>
        <w:tc>
          <w:tcPr>
            <w:tcW w:w="1530" w:type="dxa"/>
          </w:tcPr>
          <w:p w:rsidR="00E70907" w:rsidRDefault="00E70907" w:rsidP="00045B6C">
            <w:pPr>
              <w:pStyle w:val="ExhibitText"/>
              <w:keepNext/>
              <w:keepLines/>
              <w:spacing w:line="240" w:lineRule="auto"/>
              <w:rPr>
                <w:szCs w:val="18"/>
              </w:rPr>
            </w:pPr>
            <w:r>
              <w:rPr>
                <w:szCs w:val="18"/>
              </w:rPr>
              <w:t xml:space="preserve">None </w:t>
            </w:r>
          </w:p>
          <w:p w:rsidR="00E70907" w:rsidRDefault="00E70907" w:rsidP="00045B6C">
            <w:pPr>
              <w:pStyle w:val="ExhibitText"/>
              <w:keepNext/>
              <w:keepLines/>
              <w:spacing w:line="240" w:lineRule="auto"/>
              <w:rPr>
                <w:szCs w:val="18"/>
              </w:rPr>
            </w:pPr>
            <w:r>
              <w:rPr>
                <w:szCs w:val="18"/>
              </w:rPr>
              <w:t>(administrative record)</w:t>
            </w:r>
          </w:p>
        </w:tc>
        <w:tc>
          <w:tcPr>
            <w:tcW w:w="1350" w:type="dxa"/>
          </w:tcPr>
          <w:p w:rsidR="00E70907" w:rsidRPr="009068A8" w:rsidRDefault="00E70907" w:rsidP="00045B6C">
            <w:pPr>
              <w:pStyle w:val="ExhibitText"/>
              <w:keepNext/>
              <w:keepLines/>
              <w:spacing w:line="240" w:lineRule="auto"/>
              <w:rPr>
                <w:szCs w:val="18"/>
              </w:rPr>
            </w:pPr>
            <w:r>
              <w:rPr>
                <w:szCs w:val="18"/>
              </w:rPr>
              <w:t>Electronic</w:t>
            </w:r>
          </w:p>
        </w:tc>
      </w:tr>
      <w:tr w:rsidR="00E70907" w:rsidRPr="009068A8" w:rsidTr="00045B6C">
        <w:trPr>
          <w:cantSplit/>
          <w:trHeight w:val="288"/>
        </w:trPr>
        <w:tc>
          <w:tcPr>
            <w:tcW w:w="1710" w:type="dxa"/>
          </w:tcPr>
          <w:p w:rsidR="00E70907" w:rsidRPr="009068A8" w:rsidRDefault="00E70907" w:rsidP="00045B6C">
            <w:pPr>
              <w:pStyle w:val="ExhibitText"/>
              <w:keepNext/>
              <w:keepLines/>
              <w:spacing w:line="240" w:lineRule="auto"/>
              <w:rPr>
                <w:szCs w:val="18"/>
              </w:rPr>
            </w:pPr>
            <w:r>
              <w:rPr>
                <w:szCs w:val="18"/>
              </w:rPr>
              <w:t>Fall 2018</w:t>
            </w:r>
          </w:p>
        </w:tc>
        <w:tc>
          <w:tcPr>
            <w:tcW w:w="1800" w:type="dxa"/>
            <w:shd w:val="clear" w:color="auto" w:fill="auto"/>
          </w:tcPr>
          <w:p w:rsidR="00E70907" w:rsidRPr="009068A8" w:rsidRDefault="00A55C88" w:rsidP="00045B6C">
            <w:pPr>
              <w:pStyle w:val="ExhibitText"/>
              <w:keepNext/>
              <w:keepLines/>
              <w:spacing w:line="240" w:lineRule="auto"/>
              <w:rPr>
                <w:i/>
                <w:szCs w:val="18"/>
              </w:rPr>
            </w:pPr>
            <w:r>
              <w:rPr>
                <w:i/>
                <w:szCs w:val="18"/>
              </w:rPr>
              <w:t xml:space="preserve">Obtain </w:t>
            </w:r>
            <w:r w:rsidR="00E70907">
              <w:rPr>
                <w:i/>
                <w:szCs w:val="18"/>
              </w:rPr>
              <w:t xml:space="preserve">data from National Student Clearinghouse </w:t>
            </w:r>
            <w:r w:rsidR="00812E6E">
              <w:rPr>
                <w:i/>
                <w:szCs w:val="18"/>
              </w:rPr>
              <w:t xml:space="preserve">(NSC) </w:t>
            </w:r>
            <w:r w:rsidR="00E70907">
              <w:rPr>
                <w:i/>
                <w:szCs w:val="18"/>
              </w:rPr>
              <w:t>and Federal Student Aid Center (FSA)</w:t>
            </w:r>
          </w:p>
        </w:tc>
        <w:tc>
          <w:tcPr>
            <w:tcW w:w="2610" w:type="dxa"/>
          </w:tcPr>
          <w:p w:rsidR="00E70907" w:rsidRPr="009068A8" w:rsidRDefault="00812E6E" w:rsidP="001652A5">
            <w:pPr>
              <w:pStyle w:val="ExhibitText"/>
              <w:keepNext/>
              <w:keepLines/>
              <w:spacing w:line="240" w:lineRule="auto"/>
              <w:rPr>
                <w:szCs w:val="18"/>
              </w:rPr>
            </w:pPr>
            <w:r>
              <w:rPr>
                <w:szCs w:val="18"/>
              </w:rPr>
              <w:t>NSC</w:t>
            </w:r>
            <w:r w:rsidR="00E70907">
              <w:rPr>
                <w:szCs w:val="18"/>
              </w:rPr>
              <w:t xml:space="preserve"> will provide matriculation </w:t>
            </w:r>
            <w:r>
              <w:rPr>
                <w:szCs w:val="18"/>
              </w:rPr>
              <w:t xml:space="preserve">and persistence </w:t>
            </w:r>
            <w:r w:rsidR="00E70907">
              <w:rPr>
                <w:szCs w:val="18"/>
              </w:rPr>
              <w:t>outcome</w:t>
            </w:r>
            <w:r>
              <w:rPr>
                <w:szCs w:val="18"/>
              </w:rPr>
              <w:t xml:space="preserve"> data</w:t>
            </w:r>
            <w:r w:rsidR="00E70907">
              <w:rPr>
                <w:szCs w:val="18"/>
              </w:rPr>
              <w:t xml:space="preserve">; FSA data will indicate whether student </w:t>
            </w:r>
            <w:r w:rsidR="001652A5">
              <w:rPr>
                <w:szCs w:val="18"/>
              </w:rPr>
              <w:t xml:space="preserve">renewed </w:t>
            </w:r>
            <w:r w:rsidR="00E70907">
              <w:rPr>
                <w:szCs w:val="18"/>
              </w:rPr>
              <w:t>the FAFSA</w:t>
            </w:r>
          </w:p>
        </w:tc>
        <w:tc>
          <w:tcPr>
            <w:tcW w:w="1530" w:type="dxa"/>
          </w:tcPr>
          <w:p w:rsidR="00E70907" w:rsidRDefault="00E70907" w:rsidP="00045B6C">
            <w:pPr>
              <w:pStyle w:val="ExhibitText"/>
              <w:keepNext/>
              <w:keepLines/>
              <w:spacing w:line="240" w:lineRule="auto"/>
              <w:rPr>
                <w:szCs w:val="18"/>
              </w:rPr>
            </w:pPr>
            <w:r>
              <w:rPr>
                <w:szCs w:val="18"/>
              </w:rPr>
              <w:t xml:space="preserve">None </w:t>
            </w:r>
          </w:p>
          <w:p w:rsidR="00E70907" w:rsidRDefault="00E70907" w:rsidP="00045B6C">
            <w:pPr>
              <w:pStyle w:val="ExhibitText"/>
              <w:keepNext/>
              <w:keepLines/>
              <w:spacing w:line="240" w:lineRule="auto"/>
              <w:rPr>
                <w:szCs w:val="18"/>
              </w:rPr>
            </w:pPr>
            <w:r>
              <w:rPr>
                <w:szCs w:val="18"/>
              </w:rPr>
              <w:t>(administrative record)</w:t>
            </w:r>
          </w:p>
        </w:tc>
        <w:tc>
          <w:tcPr>
            <w:tcW w:w="1350" w:type="dxa"/>
          </w:tcPr>
          <w:p w:rsidR="00E70907" w:rsidRPr="009068A8" w:rsidRDefault="00E70907" w:rsidP="00045B6C">
            <w:pPr>
              <w:pStyle w:val="ExhibitText"/>
              <w:keepNext/>
              <w:keepLines/>
              <w:spacing w:line="240" w:lineRule="auto"/>
              <w:rPr>
                <w:szCs w:val="18"/>
              </w:rPr>
            </w:pPr>
            <w:r>
              <w:rPr>
                <w:szCs w:val="18"/>
              </w:rPr>
              <w:t>Electronic</w:t>
            </w:r>
          </w:p>
        </w:tc>
      </w:tr>
    </w:tbl>
    <w:p w:rsidR="00E70907" w:rsidRDefault="00E70907" w:rsidP="00E70907"/>
    <w:p w:rsidR="00E70907" w:rsidRPr="00BB3194" w:rsidRDefault="00E70907" w:rsidP="00E70907">
      <w:pPr>
        <w:pStyle w:val="Heading3"/>
      </w:pPr>
      <w:bookmarkStart w:id="6" w:name="_Toc421022225"/>
      <w:r>
        <w:t>Data</w:t>
      </w:r>
      <w:r w:rsidR="00232A5B">
        <w:t xml:space="preserve"> to Be Collected</w:t>
      </w:r>
      <w:bookmarkEnd w:id="6"/>
    </w:p>
    <w:p w:rsidR="00E70907" w:rsidRDefault="00E70907" w:rsidP="009563C4">
      <w:r w:rsidRPr="00755109">
        <w:t xml:space="preserve">This ICR requests clearance for </w:t>
      </w:r>
      <w:r w:rsidR="00232A5B">
        <w:t>all</w:t>
      </w:r>
      <w:r w:rsidR="00232A5B" w:rsidRPr="00755109">
        <w:t xml:space="preserve"> </w:t>
      </w:r>
      <w:r w:rsidRPr="00755109">
        <w:t>collection</w:t>
      </w:r>
      <w:r w:rsidRPr="00BD7FF1">
        <w:t xml:space="preserve"> </w:t>
      </w:r>
      <w:r w:rsidR="00232A5B">
        <w:t xml:space="preserve">activities of the demonstration. </w:t>
      </w:r>
    </w:p>
    <w:p w:rsidR="0014033A" w:rsidRDefault="0014033A" w:rsidP="009563C4">
      <w:proofErr w:type="gramStart"/>
      <w:r w:rsidRPr="0014033A">
        <w:rPr>
          <w:b/>
        </w:rPr>
        <w:lastRenderedPageBreak/>
        <w:t>Student Rosters.</w:t>
      </w:r>
      <w:proofErr w:type="gramEnd"/>
      <w:r>
        <w:t xml:space="preserve"> The</w:t>
      </w:r>
      <w:r w:rsidR="002377AD">
        <w:t xml:space="preserve"> study team will collect rosters of high school seniors </w:t>
      </w:r>
      <w:r>
        <w:t xml:space="preserve">who have access to GEAR UP services in </w:t>
      </w:r>
      <w:r w:rsidR="002377AD">
        <w:t xml:space="preserve">the </w:t>
      </w:r>
      <w:r>
        <w:t>high school</w:t>
      </w:r>
      <w:r w:rsidR="002377AD">
        <w:t>s in the demonstration</w:t>
      </w:r>
      <w:r>
        <w:t xml:space="preserve">. In order to obtain this information, the study team will request student rosters from </w:t>
      </w:r>
      <w:r w:rsidR="002377AD">
        <w:t>the</w:t>
      </w:r>
      <w:r>
        <w:t xml:space="preserve"> GEAR UP site coordin</w:t>
      </w:r>
      <w:r w:rsidR="002377AD">
        <w:t>ator from participating schools (see Appendix B for roster request)</w:t>
      </w:r>
      <w:r>
        <w:t xml:space="preserve">. </w:t>
      </w:r>
      <w:r w:rsidRPr="0048450B">
        <w:t xml:space="preserve">In requesting student rosters, </w:t>
      </w:r>
      <w:r>
        <w:t xml:space="preserve">the study team </w:t>
      </w:r>
      <w:r w:rsidRPr="0048450B">
        <w:t xml:space="preserve">will request </w:t>
      </w:r>
      <w:r>
        <w:t xml:space="preserve">only directory information as designated under the Family Educational Rights and Privacy Act (FERPA) and its implementing regulations (20 U.S.C 1232g and 34 CFR Part 99) such as </w:t>
      </w:r>
      <w:r w:rsidRPr="0048450B">
        <w:t>the student’s name,</w:t>
      </w:r>
      <w:r>
        <w:t xml:space="preserve"> email,</w:t>
      </w:r>
      <w:r w:rsidRPr="0048450B">
        <w:t xml:space="preserve"> date of birth, </w:t>
      </w:r>
      <w:r w:rsidR="00B4113A">
        <w:t xml:space="preserve">telephone number, </w:t>
      </w:r>
      <w:r w:rsidRPr="0048450B">
        <w:t>zip code, p</w:t>
      </w:r>
      <w:r>
        <w:t xml:space="preserve">arent contact information, and </w:t>
      </w:r>
      <w:r w:rsidRPr="0048450B">
        <w:t>district or school identification numbers.</w:t>
      </w:r>
      <w:r>
        <w:rPr>
          <w:rStyle w:val="FootnoteReference"/>
        </w:rPr>
        <w:footnoteReference w:id="3"/>
      </w:r>
      <w:r w:rsidRPr="0048450B">
        <w:t xml:space="preserve"> These data will help in locating students and parents for the study’s </w:t>
      </w:r>
      <w:r>
        <w:t xml:space="preserve">consent processes and baseline </w:t>
      </w:r>
      <w:r w:rsidRPr="0048450B">
        <w:t>data collection effort.</w:t>
      </w:r>
    </w:p>
    <w:p w:rsidR="0014033A" w:rsidRDefault="0014033A" w:rsidP="009563C4">
      <w:r>
        <w:t xml:space="preserve">The study team will reach out to each site coordinator via a telephone call during the middle of the 2016-2017 academic </w:t>
      </w:r>
      <w:proofErr w:type="gramStart"/>
      <w:r>
        <w:t>year</w:t>
      </w:r>
      <w:proofErr w:type="gramEnd"/>
      <w:r>
        <w:t xml:space="preserve"> to request st</w:t>
      </w:r>
      <w:r w:rsidRPr="0048450B">
        <w:t xml:space="preserve">udent rosters of </w:t>
      </w:r>
      <w:r>
        <w:t>12</w:t>
      </w:r>
      <w:r w:rsidRPr="0048450B">
        <w:rPr>
          <w:vertAlign w:val="superscript"/>
        </w:rPr>
        <w:t>th</w:t>
      </w:r>
      <w:r w:rsidRPr="0048450B">
        <w:t xml:space="preserve"> grade GEAR UP </w:t>
      </w:r>
      <w:r w:rsidR="008970B4">
        <w:t>students</w:t>
      </w:r>
      <w:r>
        <w:t xml:space="preserve">. Site coordinators will be asked to submit student rosters through a password protected secure file transfer portal (SFTP). </w:t>
      </w:r>
    </w:p>
    <w:p w:rsidR="0014033A" w:rsidRDefault="0014033A" w:rsidP="009563C4">
      <w:proofErr w:type="gramStart"/>
      <w:r w:rsidRPr="0001770F">
        <w:rPr>
          <w:b/>
        </w:rPr>
        <w:t>Baseline Student Survey</w:t>
      </w:r>
      <w:r>
        <w:t>.</w:t>
      </w:r>
      <w:proofErr w:type="gramEnd"/>
      <w:r>
        <w:t xml:space="preserve"> The baseline student survey will be adminis</w:t>
      </w:r>
      <w:r w:rsidR="00FB2E5C">
        <w:t>tered in the spring of the 2016-</w:t>
      </w:r>
      <w:r>
        <w:t xml:space="preserve">2017 school </w:t>
      </w:r>
      <w:proofErr w:type="gramStart"/>
      <w:r>
        <w:t>year</w:t>
      </w:r>
      <w:proofErr w:type="gramEnd"/>
      <w:r>
        <w:t xml:space="preserve"> to </w:t>
      </w:r>
      <w:r w:rsidR="00322E39">
        <w:t>high school seniors</w:t>
      </w:r>
      <w:r>
        <w:t xml:space="preserve"> who have</w:t>
      </w:r>
      <w:r w:rsidR="0078021E">
        <w:t xml:space="preserve"> not opted-out </w:t>
      </w:r>
      <w:r>
        <w:t xml:space="preserve">or whose parents have </w:t>
      </w:r>
      <w:r w:rsidR="00FB2E5C">
        <w:t>not opted-</w:t>
      </w:r>
      <w:r w:rsidR="0078021E">
        <w:t>out</w:t>
      </w:r>
      <w:r w:rsidR="002377AD">
        <w:t xml:space="preserve"> (see Appendix C for consent letter)</w:t>
      </w:r>
      <w:r>
        <w:t xml:space="preserve">. The survey is voluntary and student assent will be collected at the beginning of the baseline student survey. The baseline survey will collect data that will: be used to determine eligibility for the intervention (students must be intending to enroll in college); be used as covariates to improve the precision of impact estimates; and allow for checks on the equivalence of the treatment and control group individuals </w:t>
      </w:r>
      <w:r w:rsidR="00FB2E5C">
        <w:t>who</w:t>
      </w:r>
      <w:r>
        <w:t xml:space="preserve"> are included in the final analytic sample</w:t>
      </w:r>
      <w:r w:rsidR="002377AD">
        <w:t xml:space="preserve"> (see Appendix D for student survey)</w:t>
      </w:r>
      <w:r>
        <w:t>. The baseline survey will gather information about student demographics and other characteristics that are likely correlated with college-going outcomes. These characteristics will include college-going expectations and plans,</w:t>
      </w:r>
      <w:r>
        <w:rPr>
          <w:rStyle w:val="FootnoteReference"/>
          <w:color w:val="000000"/>
        </w:rPr>
        <w:footnoteReference w:id="4"/>
      </w:r>
      <w:r>
        <w:rPr>
          <w:sz w:val="16"/>
          <w:szCs w:val="16"/>
        </w:rPr>
        <w:t xml:space="preserve"> </w:t>
      </w:r>
      <w:r>
        <w:t xml:space="preserve">such as </w:t>
      </w:r>
      <w:r w:rsidR="00FF0E9E">
        <w:t>the student’s college choice for fall 2017</w:t>
      </w:r>
      <w:r>
        <w:t xml:space="preserve">; </w:t>
      </w:r>
      <w:r w:rsidR="00FB2E5C">
        <w:t>educational expectations</w:t>
      </w:r>
      <w:r>
        <w:t xml:space="preserve">; </w:t>
      </w:r>
      <w:r w:rsidR="00FB2E5C">
        <w:t>academic preparation; and college advising and supports received</w:t>
      </w:r>
      <w:r>
        <w:t xml:space="preserve">. As such the student survey does not contain any questions of a sensitive nature. In developing the survey we will consider scales with established validity and reliability whenever possible. </w:t>
      </w:r>
    </w:p>
    <w:p w:rsidR="00E70907" w:rsidRPr="00BD7FF1" w:rsidRDefault="0014033A" w:rsidP="00E70907">
      <w:pPr>
        <w:autoSpaceDE w:val="0"/>
        <w:autoSpaceDN w:val="0"/>
        <w:adjustRightInd w:val="0"/>
        <w:rPr>
          <w:color w:val="000000"/>
          <w:szCs w:val="22"/>
        </w:rPr>
      </w:pPr>
      <w:r>
        <w:rPr>
          <w:color w:val="000000"/>
        </w:rPr>
        <w:t>The baseline studen</w:t>
      </w:r>
      <w:r w:rsidR="009B5FB7">
        <w:rPr>
          <w:color w:val="000000"/>
        </w:rPr>
        <w:t xml:space="preserve">t surveys will be administered </w:t>
      </w:r>
      <w:r>
        <w:rPr>
          <w:color w:val="000000"/>
        </w:rPr>
        <w:t xml:space="preserve">in paper or electronic format. To facilitate data collection, the site liaison will work with each GEAR UP school to: facilitate the logistics for the baseline student survey </w:t>
      </w:r>
      <w:r w:rsidR="00A75771">
        <w:rPr>
          <w:color w:val="000000"/>
        </w:rPr>
        <w:t>administration</w:t>
      </w:r>
      <w:r>
        <w:rPr>
          <w:color w:val="000000"/>
        </w:rPr>
        <w:t>; track response rates and communicate with project directors</w:t>
      </w:r>
      <w:r w:rsidR="00A75771">
        <w:rPr>
          <w:color w:val="000000"/>
        </w:rPr>
        <w:t>/site coordinators</w:t>
      </w:r>
      <w:r>
        <w:rPr>
          <w:color w:val="000000"/>
        </w:rPr>
        <w:t xml:space="preserve">, as needed; remind </w:t>
      </w:r>
      <w:r w:rsidR="00BE7BF8">
        <w:rPr>
          <w:color w:val="000000"/>
        </w:rPr>
        <w:t xml:space="preserve">absent </w:t>
      </w:r>
      <w:r>
        <w:rPr>
          <w:color w:val="000000"/>
        </w:rPr>
        <w:t>students about the survey</w:t>
      </w:r>
      <w:r w:rsidR="002377AD">
        <w:rPr>
          <w:color w:val="000000"/>
        </w:rPr>
        <w:t xml:space="preserve"> (see Appendix E for survey reminder)</w:t>
      </w:r>
      <w:r>
        <w:rPr>
          <w:color w:val="000000"/>
        </w:rPr>
        <w:t>; and distribute individualized thank you or reminder letters to students near the end of the survey field</w:t>
      </w:r>
      <w:r w:rsidR="00A75771">
        <w:rPr>
          <w:color w:val="000000"/>
        </w:rPr>
        <w:t>ing</w:t>
      </w:r>
      <w:r>
        <w:rPr>
          <w:color w:val="000000"/>
        </w:rPr>
        <w:t xml:space="preserve"> period.</w:t>
      </w:r>
    </w:p>
    <w:p w:rsidR="0014033A" w:rsidRDefault="00E70907" w:rsidP="0014033A">
      <w:pPr>
        <w:autoSpaceDE w:val="0"/>
        <w:autoSpaceDN w:val="0"/>
        <w:adjustRightInd w:val="0"/>
      </w:pPr>
      <w:proofErr w:type="gramStart"/>
      <w:r w:rsidRPr="00514650">
        <w:rPr>
          <w:b/>
          <w:color w:val="000000"/>
        </w:rPr>
        <w:lastRenderedPageBreak/>
        <w:t>Postsecondary Enrollment and Financial Aid Data</w:t>
      </w:r>
      <w:r w:rsidR="00514650">
        <w:rPr>
          <w:b/>
          <w:color w:val="000000"/>
        </w:rPr>
        <w:t>.</w:t>
      </w:r>
      <w:proofErr w:type="gramEnd"/>
      <w:r w:rsidR="00514650">
        <w:rPr>
          <w:b/>
          <w:color w:val="000000"/>
        </w:rPr>
        <w:t xml:space="preserve"> </w:t>
      </w:r>
      <w:r w:rsidR="0014033A">
        <w:rPr>
          <w:color w:val="000000"/>
        </w:rPr>
        <w:t xml:space="preserve">In November 2017, postsecondary enrollment data will be extracted from the National Student Clearinghouse (NSC) for students who were seniors in </w:t>
      </w:r>
      <w:r w:rsidR="00A75771">
        <w:rPr>
          <w:color w:val="000000"/>
        </w:rPr>
        <w:t>2016</w:t>
      </w:r>
      <w:r w:rsidR="0014033A">
        <w:rPr>
          <w:color w:val="000000"/>
        </w:rPr>
        <w:t>-</w:t>
      </w:r>
      <w:r w:rsidR="00FB2E5C">
        <w:rPr>
          <w:color w:val="000000"/>
        </w:rPr>
        <w:t>20</w:t>
      </w:r>
      <w:r w:rsidR="00A75771">
        <w:rPr>
          <w:color w:val="000000"/>
        </w:rPr>
        <w:t>17</w:t>
      </w:r>
      <w:r w:rsidR="0014033A">
        <w:rPr>
          <w:color w:val="000000"/>
        </w:rPr>
        <w:t xml:space="preserve">. The NSC data cover all 50 states and both public and private institutions. The NSC provides student-level data on college enrollment and completion for </w:t>
      </w:r>
      <w:r w:rsidR="00FC412C">
        <w:rPr>
          <w:color w:val="000000"/>
        </w:rPr>
        <w:t>over 3,6</w:t>
      </w:r>
      <w:r w:rsidR="0014033A">
        <w:rPr>
          <w:color w:val="000000"/>
        </w:rPr>
        <w:t>00 member institutions; together, these institutions represent</w:t>
      </w:r>
      <w:r w:rsidR="006C142C">
        <w:rPr>
          <w:color w:val="000000"/>
        </w:rPr>
        <w:t xml:space="preserve"> 91 percent of enrolment in higher education in the U.S. Although the NSC has lower coverage </w:t>
      </w:r>
      <w:r w:rsidR="0014033A">
        <w:t xml:space="preserve">of two-year than four-year institutions, fewer private than public institutions, and gaps in data in some states, no other national-level datasets contain individual student-level data on postsecondary enrollment, full-time versus part-time status and completion. </w:t>
      </w:r>
    </w:p>
    <w:p w:rsidR="0014033A" w:rsidRDefault="0014033A" w:rsidP="0014033A">
      <w:pPr>
        <w:autoSpaceDE w:val="0"/>
        <w:autoSpaceDN w:val="0"/>
        <w:adjustRightInd w:val="0"/>
      </w:pPr>
      <w:r>
        <w:t xml:space="preserve">In November 2017, data on FAFSA completion and receipt of Federal student aid (such as Pell grants, Federal Work-Study, etc.) will be obtained from the FSA data center. To obtain these data, we will prepare a data file containing identifying information for students in the study sample for submission to the FSA. </w:t>
      </w:r>
    </w:p>
    <w:p w:rsidR="00A75771" w:rsidRDefault="0014033A" w:rsidP="009563C4">
      <w:r>
        <w:t>N</w:t>
      </w:r>
      <w:r w:rsidR="00A75771">
        <w:t xml:space="preserve">SC and </w:t>
      </w:r>
      <w:r>
        <w:t xml:space="preserve">FSA data will be obtained again in November 2018 to assess persistence into a second year of college for the treatment and control groups. </w:t>
      </w:r>
    </w:p>
    <w:p w:rsidR="00B605F7" w:rsidRDefault="0014033A" w:rsidP="009563C4">
      <w:r>
        <w:t xml:space="preserve">The collection of </w:t>
      </w:r>
      <w:r w:rsidR="00A75771">
        <w:t>all NSC and FSA</w:t>
      </w:r>
      <w:r>
        <w:t xml:space="preserve"> data will be completely non-intrusive to students since their </w:t>
      </w:r>
      <w:r w:rsidR="00945797">
        <w:t>directory</w:t>
      </w:r>
      <w:r>
        <w:t xml:space="preserve"> information from </w:t>
      </w:r>
      <w:r w:rsidR="00A75771">
        <w:t xml:space="preserve">rosters and </w:t>
      </w:r>
      <w:r>
        <w:t>baseline</w:t>
      </w:r>
      <w:r w:rsidR="00A75771">
        <w:t xml:space="preserve"> surveys</w:t>
      </w:r>
      <w:r>
        <w:t xml:space="preserve"> will be used for all subsequent follow-ups. </w:t>
      </w:r>
    </w:p>
    <w:p w:rsidR="00E70907" w:rsidRDefault="00E70907" w:rsidP="00B605F7">
      <w:pPr>
        <w:pStyle w:val="Heading2"/>
        <w:pBdr>
          <w:top w:val="single" w:sz="6" w:space="0" w:color="D0D3D4"/>
        </w:pBdr>
      </w:pPr>
      <w:bookmarkStart w:id="7" w:name="_Toc421022226"/>
      <w:r>
        <w:t>Use of Information Technology and Burden Reduction</w:t>
      </w:r>
      <w:bookmarkEnd w:id="7"/>
    </w:p>
    <w:p w:rsidR="00E70907" w:rsidRDefault="00E70907" w:rsidP="00E70907">
      <w:pPr>
        <w:pStyle w:val="BodyText"/>
      </w:pPr>
      <w:r w:rsidRPr="00F26FC7">
        <w:t>The data collection plan reflects sensitivity to issues of efficiency, accuracy, and respondent bu</w:t>
      </w:r>
      <w:r>
        <w:t xml:space="preserve">rden. </w:t>
      </w:r>
    </w:p>
    <w:p w:rsidR="00E70907" w:rsidRPr="00F53F62" w:rsidRDefault="00E70907" w:rsidP="00E70907">
      <w:r w:rsidRPr="00F53F62">
        <w:t xml:space="preserve">The study will use a combination of mechanical and electronic technology to collect data. For each data collection task, the study team has selected the form of technology that enables the collection of valid and reliable information in an efficient way while minimizing respondent burden. </w:t>
      </w:r>
    </w:p>
    <w:p w:rsidR="00E70907" w:rsidRDefault="001018C9" w:rsidP="00E70907">
      <w:pPr>
        <w:pStyle w:val="BodyText"/>
      </w:pPr>
      <w:r>
        <w:t>T</w:t>
      </w:r>
      <w:r w:rsidR="00E70907" w:rsidRPr="007B0C81">
        <w:t xml:space="preserve">he </w:t>
      </w:r>
      <w:proofErr w:type="spellStart"/>
      <w:r w:rsidR="00E70907" w:rsidRPr="007B0C81">
        <w:t>Abt</w:t>
      </w:r>
      <w:proofErr w:type="spellEnd"/>
      <w:r w:rsidR="00E70907" w:rsidRPr="007B0C81">
        <w:t xml:space="preserve"> study team </w:t>
      </w:r>
      <w:r w:rsidR="00E70907">
        <w:t xml:space="preserve">will </w:t>
      </w:r>
      <w:r w:rsidR="00E70907" w:rsidRPr="007B0C81">
        <w:t xml:space="preserve">collect student rosters from site coordinators. To minimize burden, </w:t>
      </w:r>
      <w:r w:rsidR="00E70907">
        <w:t xml:space="preserve">the </w:t>
      </w:r>
      <w:r w:rsidR="00E70907" w:rsidRPr="007B0C81">
        <w:t xml:space="preserve">evaluator’s electronic mail address and toll-free telephone number will be included on the request for student rosters </w:t>
      </w:r>
      <w:r w:rsidR="00E70907">
        <w:t xml:space="preserve">should </w:t>
      </w:r>
      <w:r w:rsidR="00E70907" w:rsidRPr="007B0C81">
        <w:t xml:space="preserve">site coordinators </w:t>
      </w:r>
      <w:r w:rsidR="00E70907" w:rsidRPr="00F26FC7">
        <w:t>have questions</w:t>
      </w:r>
      <w:r w:rsidR="00E70907">
        <w:t>, and site coordinators will be provided with an SFTP link to upload rosters with minimal effort and time</w:t>
      </w:r>
      <w:r w:rsidR="00E70907" w:rsidRPr="00F26FC7">
        <w:t>. Taken together, these procedures are all designed to minimize the burden on respondents.</w:t>
      </w:r>
      <w:r w:rsidR="00E70907">
        <w:t xml:space="preserve"> </w:t>
      </w:r>
    </w:p>
    <w:p w:rsidR="00E70907" w:rsidRDefault="00E70907" w:rsidP="00E70907">
      <w:pPr>
        <w:pStyle w:val="BodyText"/>
      </w:pPr>
      <w:r>
        <w:t xml:space="preserve">Additionally, </w:t>
      </w:r>
      <w:r w:rsidR="001018C9">
        <w:t xml:space="preserve">we will explore with individual schools whether the </w:t>
      </w:r>
      <w:r>
        <w:t xml:space="preserve">student baseline survey </w:t>
      </w:r>
      <w:r w:rsidR="001018C9">
        <w:t xml:space="preserve">can </w:t>
      </w:r>
      <w:r>
        <w:t xml:space="preserve">be administered electronically, </w:t>
      </w:r>
      <w:r w:rsidR="001018C9">
        <w:t xml:space="preserve">or </w:t>
      </w:r>
      <w:r>
        <w:t xml:space="preserve">with a paper-and-pencil option if computer access on a classroom-level scale is not feasible. </w:t>
      </w:r>
    </w:p>
    <w:p w:rsidR="00E70907" w:rsidRDefault="001018C9" w:rsidP="00E70907">
      <w:pPr>
        <w:pStyle w:val="BodyText"/>
      </w:pPr>
      <w:r>
        <w:t xml:space="preserve">Further, the study will </w:t>
      </w:r>
      <w:r w:rsidR="00E70907">
        <w:t>rely</w:t>
      </w:r>
      <w:r>
        <w:t xml:space="preserve"> on</w:t>
      </w:r>
      <w:r w:rsidR="00E70907">
        <w:t xml:space="preserve"> </w:t>
      </w:r>
      <w:r>
        <w:t>existing</w:t>
      </w:r>
      <w:r w:rsidR="00E70907">
        <w:t xml:space="preserve"> sources </w:t>
      </w:r>
      <w:r>
        <w:t>of data for much of the data, which will add</w:t>
      </w:r>
      <w:r w:rsidR="00E70907">
        <w:t xml:space="preserve"> no respondent burden. </w:t>
      </w:r>
    </w:p>
    <w:p w:rsidR="00E70907" w:rsidRDefault="00E70907" w:rsidP="00E70907">
      <w:pPr>
        <w:pStyle w:val="Heading2"/>
        <w:pBdr>
          <w:top w:val="single" w:sz="6" w:space="0" w:color="D0D3D4"/>
        </w:pBdr>
      </w:pPr>
      <w:bookmarkStart w:id="8" w:name="_Toc421022227"/>
      <w:r>
        <w:t>Efforts to Identify Duplication</w:t>
      </w:r>
      <w:bookmarkEnd w:id="8"/>
    </w:p>
    <w:p w:rsidR="00E70907" w:rsidRPr="00542C69" w:rsidRDefault="00E70907" w:rsidP="00B605F7">
      <w:r w:rsidRPr="00BD7FF1">
        <w:t xml:space="preserve">To date, there has been no rigorous study of </w:t>
      </w:r>
      <w:r w:rsidR="00150F49">
        <w:t>strategies that could improve the effectiveness of</w:t>
      </w:r>
      <w:r w:rsidR="001018C9">
        <w:t xml:space="preserve"> enhancements </w:t>
      </w:r>
      <w:r w:rsidR="00142919">
        <w:t xml:space="preserve">to </w:t>
      </w:r>
      <w:r w:rsidRPr="00BD7FF1">
        <w:t>GEAR UP</w:t>
      </w:r>
      <w:r w:rsidR="00150F49">
        <w:t xml:space="preserve"> related to students’</w:t>
      </w:r>
      <w:r w:rsidRPr="00BD7FF1">
        <w:t xml:space="preserve"> matriculation and persistence in college.  Our survey instruments will be designed to reflect the efforts of a consortium of state GEAR UP grantees to develop common program service definitions. </w:t>
      </w:r>
      <w:r w:rsidR="00142919">
        <w:t>T</w:t>
      </w:r>
      <w:r w:rsidRPr="00BD7FF1">
        <w:t>o the extent possible, the study team will use existing data for the study rather than duplicate data collection efforts. The study team will utilize all publically available data on high school characteristics and about GEAR UP programming. The information collected in the student rosters and in the student survey is not available elsewhere.</w:t>
      </w:r>
      <w:r w:rsidRPr="00542C69">
        <w:t xml:space="preserve"> </w:t>
      </w:r>
    </w:p>
    <w:p w:rsidR="00E70907" w:rsidRDefault="00E70907" w:rsidP="00E70907">
      <w:pPr>
        <w:pStyle w:val="Heading2"/>
        <w:pBdr>
          <w:top w:val="single" w:sz="6" w:space="0" w:color="D0D3D4"/>
        </w:pBdr>
        <w:tabs>
          <w:tab w:val="left" w:pos="4680"/>
        </w:tabs>
      </w:pPr>
      <w:bookmarkStart w:id="9" w:name="_Toc421022228"/>
      <w:r>
        <w:lastRenderedPageBreak/>
        <w:t>Efforts to Minimize Burden in Small Businesses</w:t>
      </w:r>
      <w:bookmarkEnd w:id="9"/>
    </w:p>
    <w:p w:rsidR="00E70907" w:rsidRPr="00F32F7F" w:rsidRDefault="00E70907" w:rsidP="00E70907">
      <w:r w:rsidRPr="00F32F7F">
        <w:t xml:space="preserve">No small businesses will be involved as respondents. The primary small entities for this study are GEAR UP high schools. </w:t>
      </w:r>
      <w:r w:rsidR="00AF2F57">
        <w:t>T</w:t>
      </w:r>
      <w:r w:rsidRPr="00F32F7F">
        <w:t xml:space="preserve">he study team will minimize burden by training data collection staff to make their contacts with GEAR UP site coordinators as straightforward and concise as possible. </w:t>
      </w:r>
      <w:r>
        <w:t>Further, the study team will administer the student survey, minimizing the burden placed on site coordinators. All</w:t>
      </w:r>
      <w:r w:rsidRPr="00F32F7F">
        <w:t xml:space="preserve"> notification mailings, conversations, and presentations are designed to be clear, brief, and informative</w:t>
      </w:r>
      <w:r>
        <w:t xml:space="preserve">. </w:t>
      </w:r>
    </w:p>
    <w:p w:rsidR="00E70907" w:rsidRDefault="00E70907" w:rsidP="00E70907">
      <w:pPr>
        <w:pStyle w:val="Heading2"/>
      </w:pPr>
      <w:bookmarkStart w:id="10" w:name="_Toc421022229"/>
      <w:r w:rsidRPr="00AA648F">
        <w:t>Consequences of Not Collecting the Information</w:t>
      </w:r>
      <w:bookmarkEnd w:id="10"/>
    </w:p>
    <w:p w:rsidR="00E70907" w:rsidRPr="000C187F" w:rsidRDefault="00E70907" w:rsidP="00E70907">
      <w:r w:rsidRPr="000C187F">
        <w:t>The consequences of not collecting specific data are described below:</w:t>
      </w:r>
    </w:p>
    <w:p w:rsidR="00E70907" w:rsidRPr="00633949" w:rsidRDefault="00E70907" w:rsidP="00E70907">
      <w:pPr>
        <w:pStyle w:val="Bullets"/>
        <w:numPr>
          <w:ilvl w:val="0"/>
          <w:numId w:val="39"/>
        </w:numPr>
      </w:pPr>
      <w:r w:rsidRPr="000C187F">
        <w:t xml:space="preserve">Without collecting the </w:t>
      </w:r>
      <w:r w:rsidRPr="00633949">
        <w:t>student rosters, the study team could not identify the survey sample or define treatment and control groups, rendering it impossible to conduct the study.</w:t>
      </w:r>
    </w:p>
    <w:p w:rsidR="00E70907" w:rsidRDefault="00E70907" w:rsidP="00E70907">
      <w:pPr>
        <w:pStyle w:val="BulletsLast"/>
        <w:numPr>
          <w:ilvl w:val="0"/>
          <w:numId w:val="39"/>
        </w:numPr>
      </w:pPr>
      <w:r>
        <w:t>Without collecting data through the student baseline survey, the study team would not be able to identify which GEAR UP students intend to matriculate in college</w:t>
      </w:r>
      <w:r w:rsidR="00142919">
        <w:t xml:space="preserve">, and, consequently, which students are eligible to receive the messages. In addition, not collecting the student baseline survey data would </w:t>
      </w:r>
      <w:r w:rsidR="00AF2F57">
        <w:t xml:space="preserve">limit the study’s </w:t>
      </w:r>
      <w:r>
        <w:t>ability to make conclusions about the intervention</w:t>
      </w:r>
      <w:r w:rsidR="00142919">
        <w:t xml:space="preserve"> impact on </w:t>
      </w:r>
      <w:r>
        <w:t xml:space="preserve">matriculation </w:t>
      </w:r>
      <w:r w:rsidR="00142919">
        <w:t xml:space="preserve">and persistence. </w:t>
      </w:r>
    </w:p>
    <w:p w:rsidR="00142919" w:rsidRDefault="00142919" w:rsidP="00E70907">
      <w:pPr>
        <w:pStyle w:val="BulletsLast"/>
        <w:numPr>
          <w:ilvl w:val="0"/>
          <w:numId w:val="39"/>
        </w:numPr>
      </w:pPr>
      <w:r>
        <w:t>Without collecting the NSC and FSA data</w:t>
      </w:r>
      <w:r w:rsidR="00FB2E5C">
        <w:t>,</w:t>
      </w:r>
      <w:r>
        <w:t xml:space="preserve"> the study team could not measure the key outcomes and complete the impact analyses.</w:t>
      </w:r>
    </w:p>
    <w:p w:rsidR="00E70907" w:rsidRDefault="00E70907" w:rsidP="00E70907">
      <w:pPr>
        <w:pStyle w:val="Heading2"/>
      </w:pPr>
      <w:bookmarkStart w:id="11" w:name="_Toc421022230"/>
      <w:r>
        <w:t>Special Circumstances Justifying Inconsistencies with Guidelines in 5 CFR 1320.6</w:t>
      </w:r>
      <w:bookmarkEnd w:id="11"/>
    </w:p>
    <w:p w:rsidR="00E70907" w:rsidRPr="00A4263C" w:rsidRDefault="00E70907" w:rsidP="00E70907">
      <w:r>
        <w:t>There are no special circumstances concerning the collection of information in this study.</w:t>
      </w:r>
    </w:p>
    <w:p w:rsidR="00E70907" w:rsidRDefault="00E70907" w:rsidP="00E70907">
      <w:pPr>
        <w:pStyle w:val="Heading2"/>
      </w:pPr>
      <w:bookmarkStart w:id="12" w:name="_Ref306611014"/>
      <w:bookmarkStart w:id="13" w:name="_Ref306698355"/>
      <w:bookmarkStart w:id="14" w:name="_Toc421022231"/>
      <w:r>
        <w:t xml:space="preserve">Consultation </w:t>
      </w:r>
      <w:proofErr w:type="gramStart"/>
      <w:r>
        <w:t>Outside</w:t>
      </w:r>
      <w:proofErr w:type="gramEnd"/>
      <w:r>
        <w:t xml:space="preserve"> the Agency</w:t>
      </w:r>
      <w:bookmarkEnd w:id="12"/>
      <w:bookmarkEnd w:id="13"/>
      <w:bookmarkEnd w:id="14"/>
    </w:p>
    <w:p w:rsidR="00E70907" w:rsidRDefault="00E70907" w:rsidP="00E70907">
      <w:pPr>
        <w:pStyle w:val="Heading3"/>
      </w:pPr>
      <w:bookmarkStart w:id="15" w:name="_Toc421022232"/>
      <w:r w:rsidRPr="00844079">
        <w:rPr>
          <w:i/>
        </w:rPr>
        <w:t>Federal Registrar</w:t>
      </w:r>
      <w:r>
        <w:t xml:space="preserve"> Announcement</w:t>
      </w:r>
      <w:bookmarkEnd w:id="15"/>
    </w:p>
    <w:p w:rsidR="00604C21" w:rsidRDefault="00E70907" w:rsidP="00E70907">
      <w:r>
        <w:t xml:space="preserve">A 60-day notice to solicit public comments was published in the </w:t>
      </w:r>
      <w:r>
        <w:rPr>
          <w:i/>
        </w:rPr>
        <w:t>Federal Register</w:t>
      </w:r>
      <w:r>
        <w:t xml:space="preserve"> on </w:t>
      </w:r>
      <w:r w:rsidR="00604C21">
        <w:t>March 13, 2105 (vol. 80, no. 49, p. 13360).</w:t>
      </w:r>
      <w:r>
        <w:t xml:space="preserve"> </w:t>
      </w:r>
      <w:r w:rsidR="00821041">
        <w:t>One public comment that addressed this data collection</w:t>
      </w:r>
      <w:r w:rsidR="00E10E27">
        <w:t xml:space="preserve"> was received</w:t>
      </w:r>
      <w:r w:rsidR="00821041">
        <w:t xml:space="preserve">. </w:t>
      </w:r>
      <w:r w:rsidR="00643B57">
        <w:t>IES responded to this comment by adding additional detail about the intervention</w:t>
      </w:r>
      <w:r>
        <w:t>.</w:t>
      </w:r>
    </w:p>
    <w:p w:rsidR="00E70907" w:rsidRPr="00C019B2" w:rsidRDefault="00E70907" w:rsidP="00E70907">
      <w:pPr>
        <w:pStyle w:val="Heading3"/>
      </w:pPr>
      <w:bookmarkStart w:id="16" w:name="_Toc421022233"/>
      <w:r w:rsidRPr="00C019B2">
        <w:t xml:space="preserve">Consultations </w:t>
      </w:r>
      <w:proofErr w:type="gramStart"/>
      <w:r w:rsidRPr="00C019B2">
        <w:t>Outside</w:t>
      </w:r>
      <w:proofErr w:type="gramEnd"/>
      <w:r w:rsidRPr="00C019B2">
        <w:t xml:space="preserve"> the Agency</w:t>
      </w:r>
      <w:bookmarkEnd w:id="16"/>
    </w:p>
    <w:p w:rsidR="00E70907" w:rsidRPr="00F83E0E" w:rsidRDefault="00E70907" w:rsidP="00E70907">
      <w:r>
        <w:t xml:space="preserve">Over the course of the study, the </w:t>
      </w:r>
      <w:r w:rsidR="00D503A3">
        <w:t xml:space="preserve">study </w:t>
      </w:r>
      <w:r>
        <w:t xml:space="preserve">team will assemble a Technical Working Group (in consultation with ED) composed of consultants with various types of expertise in the areas relevant to this study. The Technical Working Group will convene in the </w:t>
      </w:r>
      <w:r w:rsidR="00AF2F57">
        <w:t xml:space="preserve">spring </w:t>
      </w:r>
      <w:r>
        <w:t xml:space="preserve">of 2015 to discuss the study design, instrumentation, and data collection plans. </w:t>
      </w:r>
    </w:p>
    <w:p w:rsidR="00E70907" w:rsidRDefault="00E70907" w:rsidP="00E70907">
      <w:pPr>
        <w:pStyle w:val="Heading3"/>
      </w:pPr>
      <w:bookmarkStart w:id="17" w:name="_Toc421022234"/>
      <w:r>
        <w:t>Unresolved Issues</w:t>
      </w:r>
      <w:bookmarkEnd w:id="17"/>
    </w:p>
    <w:p w:rsidR="00E70907" w:rsidRPr="00844079" w:rsidRDefault="00E70907" w:rsidP="00E70907">
      <w:pPr>
        <w:pStyle w:val="BodyText"/>
      </w:pPr>
      <w:r w:rsidRPr="007D7576">
        <w:t>There are no unresolved issues.</w:t>
      </w:r>
    </w:p>
    <w:p w:rsidR="00E70907" w:rsidRDefault="00E70907" w:rsidP="00E70907">
      <w:pPr>
        <w:pStyle w:val="Heading2"/>
      </w:pPr>
      <w:bookmarkStart w:id="18" w:name="_Toc421022235"/>
      <w:r w:rsidRPr="00530AB5">
        <w:t>Payments or Gifts to Respondents</w:t>
      </w:r>
      <w:bookmarkEnd w:id="18"/>
    </w:p>
    <w:p w:rsidR="00E70907" w:rsidRPr="00D57087" w:rsidRDefault="00AF2F57" w:rsidP="00E70907">
      <w:pPr>
        <w:rPr>
          <w:color w:val="000000"/>
          <w:sz w:val="20"/>
        </w:rPr>
      </w:pPr>
      <w:r>
        <w:t>T</w:t>
      </w:r>
      <w:r w:rsidR="00E70907" w:rsidRPr="00D57087">
        <w:t>here will be no payments or gifts to respondents.</w:t>
      </w:r>
      <w:r w:rsidR="00E70907">
        <w:t xml:space="preserve">  </w:t>
      </w:r>
    </w:p>
    <w:p w:rsidR="00E70907" w:rsidRDefault="00E70907" w:rsidP="00E70907">
      <w:pPr>
        <w:pStyle w:val="Heading2"/>
      </w:pPr>
      <w:bookmarkStart w:id="19" w:name="_Toc421022236"/>
      <w:r>
        <w:lastRenderedPageBreak/>
        <w:t>Assurance of Confidentiality</w:t>
      </w:r>
      <w:bookmarkEnd w:id="19"/>
    </w:p>
    <w:p w:rsidR="00E70907" w:rsidRPr="00672120" w:rsidRDefault="00E70907" w:rsidP="00E70907">
      <w:r w:rsidRPr="00672120">
        <w:t>The study team will conduct</w:t>
      </w:r>
      <w:r>
        <w:t xml:space="preserve"> all</w:t>
      </w:r>
      <w:r w:rsidRPr="00672120">
        <w:t xml:space="preserve"> activities in accordance with all relevant regulations and requirements. These include the Education Sciences Institute Reform Act of 2002, Title I, Part E, Section 183, that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 Rights and Privacy Act, and the Protection of Pupil Rights Amendment.</w:t>
      </w:r>
    </w:p>
    <w:p w:rsidR="00E70907" w:rsidRPr="00672120" w:rsidRDefault="00E70907" w:rsidP="00E70907">
      <w:r w:rsidRPr="00672120">
        <w:t xml:space="preserve">In addition, all data collected </w:t>
      </w:r>
      <w:r>
        <w:t xml:space="preserve">for the study </w:t>
      </w:r>
      <w:r w:rsidRPr="00672120">
        <w:t>shall remain confidential in accordance with Section 552a of Title 5, United States Code, the confidentiality standards subsection (c) and sections 444 and 445 of the General Educations Provision Act. Subsection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E70907" w:rsidRPr="00672120" w:rsidRDefault="00E70907" w:rsidP="00E70907">
      <w:pPr>
        <w:pStyle w:val="BodyText"/>
      </w:pPr>
      <w:r w:rsidRPr="003C4557">
        <w:t>In addition, the following verbatim language will appear on all letters, fact sheets, and other study materials:</w:t>
      </w:r>
    </w:p>
    <w:p w:rsidR="00E70907" w:rsidRPr="00655D11" w:rsidRDefault="00E70907" w:rsidP="00E70907">
      <w:pPr>
        <w:ind w:left="720"/>
        <w:rPr>
          <w:i/>
          <w:iCs/>
        </w:rPr>
      </w:pPr>
      <w:r w:rsidRPr="005C746C">
        <w:rPr>
          <w:i/>
          <w:iCs/>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w:t>
      </w:r>
      <w:r>
        <w:rPr>
          <w:i/>
          <w:iCs/>
        </w:rPr>
        <w:t>,</w:t>
      </w:r>
      <w:r w:rsidRPr="005C746C">
        <w:rPr>
          <w:i/>
          <w:iCs/>
        </w:rPr>
        <w:t xml:space="preserve"> or individual. Any willful disclosure of such information for </w:t>
      </w:r>
      <w:proofErr w:type="spellStart"/>
      <w:r w:rsidRPr="005C746C">
        <w:rPr>
          <w:i/>
          <w:iCs/>
        </w:rPr>
        <w:t>nonstatistical</w:t>
      </w:r>
      <w:proofErr w:type="spellEnd"/>
      <w:r w:rsidRPr="005C746C">
        <w:rPr>
          <w:i/>
          <w:iCs/>
        </w:rPr>
        <w:t xml:space="preserve"> purposes, except as required by law, is a class E felony.</w:t>
      </w:r>
    </w:p>
    <w:p w:rsidR="00E70907" w:rsidRDefault="00E70907" w:rsidP="00E70907">
      <w:r w:rsidRPr="00A122FE">
        <w:t>Data will be presented in aggregate statistical form only. All study staff involved in collecting, reviewing, or analyzing individual-level data will be knowledgeable about data security procedures and will sign nondisclosure agreements</w:t>
      </w:r>
      <w:r w:rsidR="002377AD">
        <w:t xml:space="preserve"> (see Appendix F)</w:t>
      </w:r>
      <w:r w:rsidRPr="00A122FE">
        <w:t>. Respondents will be assured that all information identifying them or their school will be kept private to the extent allowed by law. The confidentiality procedures adopted for this study during all rounds of data collection, data processing, and analysis consist of the following:</w:t>
      </w:r>
    </w:p>
    <w:p w:rsidR="00E70907" w:rsidRDefault="00E70907" w:rsidP="00E70907">
      <w:pPr>
        <w:pStyle w:val="Bullets"/>
        <w:numPr>
          <w:ilvl w:val="0"/>
          <w:numId w:val="38"/>
        </w:numPr>
      </w:pPr>
      <w:r w:rsidRPr="00607896">
        <w:t>All paper files will be converted to an electronic format and the paper files will be shredded immediately after they have been converted</w:t>
      </w:r>
      <w:r>
        <w:t xml:space="preserve">. </w:t>
      </w:r>
    </w:p>
    <w:p w:rsidR="00E70907" w:rsidRDefault="00E70907" w:rsidP="00E70907">
      <w:pPr>
        <w:pStyle w:val="Bullets"/>
        <w:numPr>
          <w:ilvl w:val="0"/>
          <w:numId w:val="38"/>
        </w:numPr>
      </w:pPr>
      <w:r w:rsidRPr="00607896">
        <w:t>Electronic data files with sensitive data will be removed from computers and working servers in a manner that ensures that the information cannot be recovered</w:t>
      </w:r>
      <w:r>
        <w:t xml:space="preserve">. </w:t>
      </w:r>
    </w:p>
    <w:p w:rsidR="00945797" w:rsidRDefault="00E70907" w:rsidP="00945797">
      <w:pPr>
        <w:pStyle w:val="Bullets"/>
        <w:numPr>
          <w:ilvl w:val="0"/>
          <w:numId w:val="38"/>
        </w:numPr>
      </w:pPr>
      <w:r w:rsidRPr="00607896">
        <w:t xml:space="preserve">At end of contract with the ED, </w:t>
      </w:r>
      <w:r>
        <w:t xml:space="preserve">the </w:t>
      </w:r>
      <w:proofErr w:type="spellStart"/>
      <w:r w:rsidRPr="00607896">
        <w:t>Abt</w:t>
      </w:r>
      <w:proofErr w:type="spellEnd"/>
      <w:r>
        <w:t xml:space="preserve"> study team</w:t>
      </w:r>
      <w:r w:rsidRPr="00607896">
        <w:t xml:space="preserve"> will</w:t>
      </w:r>
      <w:r w:rsidR="00945797">
        <w:t xml:space="preserve"> prepare a </w:t>
      </w:r>
      <w:r w:rsidR="00446DE4">
        <w:t>restricted</w:t>
      </w:r>
      <w:r w:rsidR="00945797">
        <w:t xml:space="preserve"> use data file of de-identified data that will be submitted to ED. The </w:t>
      </w:r>
      <w:proofErr w:type="spellStart"/>
      <w:r w:rsidR="00945797" w:rsidRPr="00607896">
        <w:t>Abt</w:t>
      </w:r>
      <w:proofErr w:type="spellEnd"/>
      <w:r w:rsidR="00945797">
        <w:t xml:space="preserve"> study team</w:t>
      </w:r>
      <w:r w:rsidR="00945797" w:rsidRPr="00607896">
        <w:t xml:space="preserve"> will destroy all student identifiers but will retain</w:t>
      </w:r>
      <w:r w:rsidR="008970B4">
        <w:t xml:space="preserve"> de-identified student data for three years.</w:t>
      </w:r>
      <w:r w:rsidR="00945797" w:rsidRPr="00607896">
        <w:t xml:space="preserve"> </w:t>
      </w:r>
    </w:p>
    <w:p w:rsidR="00E70907" w:rsidRPr="00A122FE" w:rsidRDefault="00E70907" w:rsidP="00E70907">
      <w:pPr>
        <w:pStyle w:val="BulletsLast"/>
        <w:numPr>
          <w:ilvl w:val="0"/>
          <w:numId w:val="38"/>
        </w:numPr>
      </w:pPr>
      <w:r w:rsidRPr="00607896">
        <w:t xml:space="preserve">All electronic copies of de-identified student data </w:t>
      </w:r>
      <w:r w:rsidR="00945797">
        <w:t xml:space="preserve">maintained by the </w:t>
      </w:r>
      <w:proofErr w:type="spellStart"/>
      <w:r w:rsidR="00945797">
        <w:t>Abt</w:t>
      </w:r>
      <w:proofErr w:type="spellEnd"/>
      <w:r w:rsidR="00945797">
        <w:t xml:space="preserve"> study team </w:t>
      </w:r>
      <w:r w:rsidRPr="00607896">
        <w:t xml:space="preserve">will be destroyed within three years of the final contract payment from ED, unless otherwise directed by ED at the request of </w:t>
      </w:r>
      <w:r>
        <w:t xml:space="preserve">the </w:t>
      </w:r>
      <w:proofErr w:type="spellStart"/>
      <w:r w:rsidRPr="00607896">
        <w:t>Abt</w:t>
      </w:r>
      <w:proofErr w:type="spellEnd"/>
      <w:r>
        <w:t xml:space="preserve"> study team</w:t>
      </w:r>
      <w:r w:rsidRPr="00607896">
        <w:t xml:space="preserve"> or by ED’s request</w:t>
      </w:r>
      <w:r>
        <w:t>.</w:t>
      </w:r>
    </w:p>
    <w:p w:rsidR="00E70907" w:rsidRDefault="00E70907" w:rsidP="00E70907">
      <w:pPr>
        <w:pStyle w:val="Heading2"/>
      </w:pPr>
      <w:bookmarkStart w:id="20" w:name="_Toc421022237"/>
      <w:r>
        <w:lastRenderedPageBreak/>
        <w:t>Questions of a Sensitive Nature</w:t>
      </w:r>
      <w:bookmarkEnd w:id="20"/>
    </w:p>
    <w:p w:rsidR="00E70907" w:rsidRPr="00077889" w:rsidRDefault="00E70907" w:rsidP="00E70907">
      <w:r>
        <w:t xml:space="preserve">There are no questions of a sensitive nature included in the information requested. </w:t>
      </w:r>
    </w:p>
    <w:p w:rsidR="00E70907" w:rsidRPr="003E2D5F" w:rsidRDefault="00E70907" w:rsidP="00E70907">
      <w:pPr>
        <w:pStyle w:val="Heading2"/>
      </w:pPr>
      <w:bookmarkStart w:id="21" w:name="_Toc421022238"/>
      <w:r w:rsidRPr="003E2D5F">
        <w:t>Estimate of Response Burden</w:t>
      </w:r>
      <w:bookmarkEnd w:id="21"/>
    </w:p>
    <w:p w:rsidR="00E70907" w:rsidRDefault="00E70907" w:rsidP="00E70907">
      <w:r>
        <w:t xml:space="preserve">The total </w:t>
      </w:r>
      <w:r w:rsidR="00643B57">
        <w:t xml:space="preserve">annual </w:t>
      </w:r>
      <w:r>
        <w:t xml:space="preserve">respondent burden for the data collection effort covered by this clearance request is </w:t>
      </w:r>
      <w:r w:rsidR="00643B57">
        <w:t>1,387</w:t>
      </w:r>
      <w:r>
        <w:t xml:space="preserve"> hours</w:t>
      </w:r>
      <w:r w:rsidRPr="00F2706E">
        <w:rPr>
          <w:szCs w:val="22"/>
        </w:rPr>
        <w:t>.</w:t>
      </w:r>
      <w:r w:rsidR="00EA3656">
        <w:t xml:space="preserve"> Exhibit A-5</w:t>
      </w:r>
      <w:r>
        <w:t xml:space="preserve"> presents</w:t>
      </w:r>
      <w:r w:rsidRPr="00204D13">
        <w:t xml:space="preserve"> time estimates of respon</w:t>
      </w:r>
      <w:r>
        <w:t>dent</w:t>
      </w:r>
      <w:r w:rsidRPr="00204D13">
        <w:t xml:space="preserve"> burden for the data collection activities requested for approval in this submission. The burden estimates are based on the following assumptions:</w:t>
      </w:r>
    </w:p>
    <w:p w:rsidR="00E70907" w:rsidRDefault="00E70907" w:rsidP="00436249">
      <w:pPr>
        <w:pStyle w:val="Bullets"/>
        <w:numPr>
          <w:ilvl w:val="0"/>
          <w:numId w:val="44"/>
        </w:numPr>
      </w:pPr>
      <w:r>
        <w:t xml:space="preserve">One site coordinator is expected at each of the anticipated </w:t>
      </w:r>
      <w:r w:rsidR="00DF5CDA">
        <w:t xml:space="preserve">80 </w:t>
      </w:r>
      <w:r>
        <w:t>high schools. It is assumed that collecting and submitting the GEAR UP student rosters in each school will take approximately two</w:t>
      </w:r>
      <w:r w:rsidRPr="00E74906">
        <w:t xml:space="preserve"> </w:t>
      </w:r>
      <w:r>
        <w:t>hours.</w:t>
      </w:r>
    </w:p>
    <w:p w:rsidR="00E70907" w:rsidRDefault="00E70907" w:rsidP="00436249">
      <w:pPr>
        <w:pStyle w:val="BulletsLast"/>
        <w:numPr>
          <w:ilvl w:val="0"/>
          <w:numId w:val="44"/>
        </w:numPr>
      </w:pPr>
      <w:r>
        <w:t>The salary estimate for School and Career Counselors</w:t>
      </w:r>
      <w:r w:rsidRPr="00BD6423">
        <w:t xml:space="preserve"> </w:t>
      </w:r>
      <w:r>
        <w:t>is based on an average hourly wage of $25.77 in 2012</w:t>
      </w:r>
      <w:r w:rsidR="00541C15">
        <w:t>.</w:t>
      </w:r>
      <w:r>
        <w:rPr>
          <w:rStyle w:val="FootnoteReference"/>
        </w:rPr>
        <w:footnoteReference w:id="5"/>
      </w:r>
    </w:p>
    <w:p w:rsidR="003B5D89" w:rsidRDefault="003B5D89" w:rsidP="00436249">
      <w:pPr>
        <w:pStyle w:val="BulletsLast"/>
        <w:numPr>
          <w:ilvl w:val="0"/>
          <w:numId w:val="44"/>
        </w:numPr>
      </w:pPr>
      <w:r>
        <w:t xml:space="preserve">An average of </w:t>
      </w:r>
      <w:r w:rsidR="000F1708">
        <w:t>2</w:t>
      </w:r>
      <w:r>
        <w:t xml:space="preserve">00 students in the 80 schools. It is estimated that the survey will take 15 minutes to complete. </w:t>
      </w:r>
    </w:p>
    <w:p w:rsidR="00E70907" w:rsidRPr="0034540B" w:rsidRDefault="00E70907" w:rsidP="00E70907">
      <w:pPr>
        <w:pStyle w:val="Caption"/>
      </w:pPr>
      <w:proofErr w:type="gramStart"/>
      <w:r w:rsidRPr="0034540B">
        <w:t>Exhibit A</w:t>
      </w:r>
      <w:r w:rsidR="00EA3656">
        <w:t>-5</w:t>
      </w:r>
      <w:r>
        <w:t>.</w:t>
      </w:r>
      <w:proofErr w:type="gramEnd"/>
      <w:r w:rsidRPr="0034540B">
        <w:tab/>
        <w:t>Estimate of Respondent Burden</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70"/>
        <w:gridCol w:w="810"/>
        <w:gridCol w:w="630"/>
        <w:gridCol w:w="630"/>
        <w:gridCol w:w="720"/>
        <w:gridCol w:w="810"/>
        <w:gridCol w:w="810"/>
        <w:gridCol w:w="810"/>
        <w:gridCol w:w="1170"/>
      </w:tblGrid>
      <w:tr w:rsidR="00E70907" w:rsidRPr="00E74906" w:rsidTr="00541C15">
        <w:trPr>
          <w:trHeight w:val="2015"/>
          <w:tblHeader/>
        </w:trPr>
        <w:tc>
          <w:tcPr>
            <w:tcW w:w="2970" w:type="dxa"/>
            <w:shd w:val="clear" w:color="auto" w:fill="A6A6A6" w:themeFill="background1" w:themeFillShade="A6"/>
            <w:noWrap/>
            <w:vAlign w:val="bottom"/>
            <w:hideMark/>
          </w:tcPr>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Informant/Data Collection Activity</w:t>
            </w:r>
          </w:p>
        </w:tc>
        <w:tc>
          <w:tcPr>
            <w:tcW w:w="810" w:type="dxa"/>
            <w:shd w:val="clear" w:color="auto" w:fill="A6A6A6" w:themeFill="background1" w:themeFillShade="A6"/>
            <w:textDirection w:val="btLr"/>
            <w:vAlign w:val="center"/>
            <w:hideMark/>
          </w:tcPr>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 of Respondents</w:t>
            </w:r>
          </w:p>
        </w:tc>
        <w:tc>
          <w:tcPr>
            <w:tcW w:w="630" w:type="dxa"/>
            <w:shd w:val="clear" w:color="auto" w:fill="A6A6A6" w:themeFill="background1" w:themeFillShade="A6"/>
            <w:textDirection w:val="btLr"/>
            <w:vAlign w:val="center"/>
            <w:hideMark/>
          </w:tcPr>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 xml:space="preserve"># of Responses </w:t>
            </w:r>
          </w:p>
        </w:tc>
        <w:tc>
          <w:tcPr>
            <w:tcW w:w="630" w:type="dxa"/>
            <w:shd w:val="clear" w:color="auto" w:fill="A6A6A6" w:themeFill="background1" w:themeFillShade="A6"/>
            <w:textDirection w:val="btLr"/>
            <w:vAlign w:val="center"/>
            <w:hideMark/>
          </w:tcPr>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Hours/ Response</w:t>
            </w:r>
          </w:p>
        </w:tc>
        <w:tc>
          <w:tcPr>
            <w:tcW w:w="720" w:type="dxa"/>
            <w:shd w:val="clear" w:color="auto" w:fill="A6A6A6" w:themeFill="background1" w:themeFillShade="A6"/>
            <w:textDirection w:val="btLr"/>
            <w:vAlign w:val="center"/>
            <w:hideMark/>
          </w:tcPr>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Total Burden Hours/ respondent</w:t>
            </w:r>
          </w:p>
        </w:tc>
        <w:tc>
          <w:tcPr>
            <w:tcW w:w="810" w:type="dxa"/>
            <w:shd w:val="clear" w:color="auto" w:fill="A6A6A6" w:themeFill="background1" w:themeFillShade="A6"/>
            <w:textDirection w:val="btLr"/>
            <w:vAlign w:val="center"/>
            <w:hideMark/>
          </w:tcPr>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Total Burden</w:t>
            </w:r>
          </w:p>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 xml:space="preserve"> Hours</w:t>
            </w:r>
          </w:p>
        </w:tc>
        <w:tc>
          <w:tcPr>
            <w:tcW w:w="810" w:type="dxa"/>
            <w:shd w:val="clear" w:color="auto" w:fill="A6A6A6" w:themeFill="background1" w:themeFillShade="A6"/>
            <w:textDirection w:val="btLr"/>
            <w:vAlign w:val="center"/>
            <w:hideMark/>
          </w:tcPr>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Cost per Respondent (hourly wage)</w:t>
            </w:r>
          </w:p>
        </w:tc>
        <w:tc>
          <w:tcPr>
            <w:tcW w:w="810" w:type="dxa"/>
            <w:shd w:val="clear" w:color="auto" w:fill="A6A6A6" w:themeFill="background1" w:themeFillShade="A6"/>
            <w:textDirection w:val="btLr"/>
            <w:vAlign w:val="center"/>
            <w:hideMark/>
          </w:tcPr>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Total Costs per Respondent</w:t>
            </w:r>
          </w:p>
        </w:tc>
        <w:tc>
          <w:tcPr>
            <w:tcW w:w="1170" w:type="dxa"/>
            <w:shd w:val="clear" w:color="auto" w:fill="A6A6A6" w:themeFill="background1" w:themeFillShade="A6"/>
            <w:textDirection w:val="btLr"/>
            <w:vAlign w:val="center"/>
            <w:hideMark/>
          </w:tcPr>
          <w:p w:rsidR="00E70907" w:rsidRPr="00541C15" w:rsidRDefault="00E70907" w:rsidP="00045B6C">
            <w:pPr>
              <w:pStyle w:val="ExhibitColumnHeader"/>
              <w:keepNext/>
              <w:rPr>
                <w:color w:val="FFFFFF" w:themeColor="background1"/>
                <w:sz w:val="18"/>
                <w:szCs w:val="18"/>
              </w:rPr>
            </w:pPr>
            <w:r w:rsidRPr="00541C15">
              <w:rPr>
                <w:color w:val="FFFFFF" w:themeColor="background1"/>
                <w:sz w:val="18"/>
                <w:szCs w:val="18"/>
              </w:rPr>
              <w:t>Total Costs</w:t>
            </w:r>
          </w:p>
        </w:tc>
      </w:tr>
      <w:tr w:rsidR="00541C15" w:rsidRPr="00E74906" w:rsidTr="00541C15">
        <w:trPr>
          <w:cantSplit/>
          <w:trHeight w:val="360"/>
        </w:trPr>
        <w:tc>
          <w:tcPr>
            <w:tcW w:w="9360" w:type="dxa"/>
            <w:gridSpan w:val="9"/>
            <w:shd w:val="clear" w:color="auto" w:fill="D9D9D9" w:themeFill="background1" w:themeFillShade="D9"/>
            <w:noWrap/>
            <w:vAlign w:val="center"/>
          </w:tcPr>
          <w:p w:rsidR="00541C15" w:rsidRPr="00E74906" w:rsidRDefault="00541C15" w:rsidP="00541C15">
            <w:pPr>
              <w:pStyle w:val="ExhibitText"/>
              <w:keepNext/>
              <w:contextualSpacing/>
              <w:rPr>
                <w:szCs w:val="18"/>
              </w:rPr>
            </w:pPr>
            <w:r w:rsidRPr="00541C15">
              <w:rPr>
                <w:b/>
                <w:color w:val="auto"/>
                <w:szCs w:val="18"/>
              </w:rPr>
              <w:t>GEAR UP Site Coordinators</w:t>
            </w:r>
          </w:p>
        </w:tc>
      </w:tr>
      <w:tr w:rsidR="00E70907" w:rsidRPr="00E74906" w:rsidTr="00045B6C">
        <w:trPr>
          <w:cantSplit/>
          <w:trHeight w:val="360"/>
        </w:trPr>
        <w:tc>
          <w:tcPr>
            <w:tcW w:w="2970" w:type="dxa"/>
            <w:shd w:val="clear" w:color="auto" w:fill="auto"/>
            <w:noWrap/>
            <w:vAlign w:val="center"/>
          </w:tcPr>
          <w:p w:rsidR="00E70907" w:rsidRPr="00E74906" w:rsidRDefault="00E70907" w:rsidP="00045B6C">
            <w:pPr>
              <w:pStyle w:val="ExhibitText"/>
              <w:keepNext/>
              <w:rPr>
                <w:szCs w:val="18"/>
              </w:rPr>
            </w:pPr>
            <w:r w:rsidRPr="00E74906">
              <w:rPr>
                <w:szCs w:val="18"/>
              </w:rPr>
              <w:t>Collect and Submit Student Rosters</w:t>
            </w:r>
          </w:p>
        </w:tc>
        <w:tc>
          <w:tcPr>
            <w:tcW w:w="810" w:type="dxa"/>
            <w:shd w:val="clear" w:color="auto" w:fill="auto"/>
            <w:noWrap/>
            <w:vAlign w:val="center"/>
          </w:tcPr>
          <w:p w:rsidR="00E70907" w:rsidRPr="00E74906" w:rsidRDefault="00E70907" w:rsidP="00045B6C">
            <w:pPr>
              <w:pStyle w:val="ExhibitText"/>
              <w:keepNext/>
              <w:contextualSpacing/>
              <w:jc w:val="center"/>
              <w:rPr>
                <w:szCs w:val="18"/>
              </w:rPr>
            </w:pPr>
            <w:r>
              <w:rPr>
                <w:szCs w:val="18"/>
              </w:rPr>
              <w:t>80</w:t>
            </w:r>
          </w:p>
        </w:tc>
        <w:tc>
          <w:tcPr>
            <w:tcW w:w="630" w:type="dxa"/>
            <w:shd w:val="clear" w:color="auto" w:fill="auto"/>
            <w:noWrap/>
            <w:vAlign w:val="center"/>
          </w:tcPr>
          <w:p w:rsidR="00E70907" w:rsidRPr="00E74906" w:rsidRDefault="00E70907" w:rsidP="00045B6C">
            <w:pPr>
              <w:pStyle w:val="ExhibitText"/>
              <w:keepNext/>
              <w:contextualSpacing/>
              <w:jc w:val="center"/>
              <w:rPr>
                <w:szCs w:val="18"/>
              </w:rPr>
            </w:pPr>
            <w:r w:rsidRPr="00E74906">
              <w:rPr>
                <w:szCs w:val="18"/>
              </w:rPr>
              <w:t>1</w:t>
            </w:r>
          </w:p>
        </w:tc>
        <w:tc>
          <w:tcPr>
            <w:tcW w:w="630" w:type="dxa"/>
            <w:shd w:val="clear" w:color="auto" w:fill="auto"/>
            <w:noWrap/>
            <w:vAlign w:val="center"/>
          </w:tcPr>
          <w:p w:rsidR="00E70907" w:rsidRPr="00E74906" w:rsidRDefault="00E70907" w:rsidP="00045B6C">
            <w:pPr>
              <w:pStyle w:val="ExhibitText"/>
              <w:keepNext/>
              <w:contextualSpacing/>
              <w:jc w:val="center"/>
              <w:rPr>
                <w:szCs w:val="18"/>
              </w:rPr>
            </w:pPr>
            <w:r w:rsidRPr="00E74906">
              <w:rPr>
                <w:szCs w:val="18"/>
              </w:rPr>
              <w:t>2.0</w:t>
            </w:r>
          </w:p>
        </w:tc>
        <w:tc>
          <w:tcPr>
            <w:tcW w:w="720" w:type="dxa"/>
            <w:shd w:val="clear" w:color="auto" w:fill="auto"/>
            <w:noWrap/>
            <w:vAlign w:val="center"/>
          </w:tcPr>
          <w:p w:rsidR="00E70907" w:rsidRPr="00E74906" w:rsidRDefault="00E70907" w:rsidP="00045B6C">
            <w:pPr>
              <w:pStyle w:val="ExhibitText"/>
              <w:keepNext/>
              <w:contextualSpacing/>
              <w:jc w:val="center"/>
              <w:rPr>
                <w:szCs w:val="18"/>
              </w:rPr>
            </w:pPr>
            <w:r w:rsidRPr="00E74906">
              <w:rPr>
                <w:szCs w:val="18"/>
              </w:rPr>
              <w:t>2.0</w:t>
            </w:r>
          </w:p>
        </w:tc>
        <w:tc>
          <w:tcPr>
            <w:tcW w:w="810" w:type="dxa"/>
            <w:shd w:val="clear" w:color="auto" w:fill="auto"/>
            <w:noWrap/>
            <w:vAlign w:val="center"/>
          </w:tcPr>
          <w:p w:rsidR="00E70907" w:rsidRPr="00E74906" w:rsidRDefault="00E70907" w:rsidP="00045B6C">
            <w:pPr>
              <w:pStyle w:val="ExhibitText"/>
              <w:keepNext/>
              <w:contextualSpacing/>
              <w:jc w:val="center"/>
              <w:rPr>
                <w:szCs w:val="18"/>
              </w:rPr>
            </w:pPr>
            <w:r>
              <w:rPr>
                <w:szCs w:val="18"/>
              </w:rPr>
              <w:t>160</w:t>
            </w:r>
          </w:p>
        </w:tc>
        <w:tc>
          <w:tcPr>
            <w:tcW w:w="810" w:type="dxa"/>
            <w:shd w:val="clear" w:color="000000" w:fill="FFFFFF"/>
            <w:noWrap/>
            <w:vAlign w:val="center"/>
          </w:tcPr>
          <w:p w:rsidR="00E70907" w:rsidRPr="00E74906" w:rsidRDefault="00E70907" w:rsidP="00045B6C">
            <w:pPr>
              <w:pStyle w:val="ExhibitText"/>
              <w:keepNext/>
              <w:contextualSpacing/>
              <w:jc w:val="center"/>
              <w:rPr>
                <w:szCs w:val="18"/>
              </w:rPr>
            </w:pPr>
            <w:r w:rsidRPr="00E74906">
              <w:rPr>
                <w:szCs w:val="18"/>
              </w:rPr>
              <w:t>$25.</w:t>
            </w:r>
            <w:r>
              <w:rPr>
                <w:szCs w:val="18"/>
              </w:rPr>
              <w:t>7</w:t>
            </w:r>
            <w:r w:rsidRPr="00E74906">
              <w:rPr>
                <w:szCs w:val="18"/>
              </w:rPr>
              <w:t>7</w:t>
            </w:r>
          </w:p>
        </w:tc>
        <w:tc>
          <w:tcPr>
            <w:tcW w:w="810" w:type="dxa"/>
            <w:shd w:val="clear" w:color="auto" w:fill="auto"/>
            <w:noWrap/>
            <w:vAlign w:val="center"/>
          </w:tcPr>
          <w:p w:rsidR="00E70907" w:rsidRPr="00E74906" w:rsidRDefault="00E70907" w:rsidP="00045B6C">
            <w:pPr>
              <w:pStyle w:val="ExhibitText"/>
              <w:keepNext/>
              <w:contextualSpacing/>
              <w:jc w:val="center"/>
              <w:rPr>
                <w:szCs w:val="18"/>
              </w:rPr>
            </w:pPr>
            <w:r w:rsidRPr="00E74906">
              <w:rPr>
                <w:szCs w:val="18"/>
              </w:rPr>
              <w:t>$51.</w:t>
            </w:r>
            <w:r>
              <w:rPr>
                <w:szCs w:val="18"/>
              </w:rPr>
              <w:t>5</w:t>
            </w:r>
            <w:r w:rsidRPr="00E74906">
              <w:rPr>
                <w:szCs w:val="18"/>
              </w:rPr>
              <w:t>4</w:t>
            </w:r>
          </w:p>
        </w:tc>
        <w:tc>
          <w:tcPr>
            <w:tcW w:w="1170" w:type="dxa"/>
            <w:shd w:val="clear" w:color="auto" w:fill="auto"/>
            <w:noWrap/>
            <w:vAlign w:val="center"/>
          </w:tcPr>
          <w:p w:rsidR="00E70907" w:rsidRPr="00E74906" w:rsidRDefault="00E70907" w:rsidP="00045B6C">
            <w:pPr>
              <w:pStyle w:val="ExhibitText"/>
              <w:keepNext/>
              <w:contextualSpacing/>
              <w:jc w:val="center"/>
              <w:rPr>
                <w:szCs w:val="18"/>
              </w:rPr>
            </w:pPr>
            <w:r w:rsidRPr="00E74906">
              <w:rPr>
                <w:szCs w:val="18"/>
              </w:rPr>
              <w:t>$</w:t>
            </w:r>
            <w:r>
              <w:rPr>
                <w:szCs w:val="18"/>
              </w:rPr>
              <w:t>4,123.20</w:t>
            </w:r>
          </w:p>
        </w:tc>
      </w:tr>
      <w:tr w:rsidR="004B60EA" w:rsidRPr="00475999" w:rsidTr="00045B6C">
        <w:trPr>
          <w:cantSplit/>
          <w:trHeight w:val="360"/>
        </w:trPr>
        <w:tc>
          <w:tcPr>
            <w:tcW w:w="2970" w:type="dxa"/>
            <w:shd w:val="clear" w:color="auto" w:fill="auto"/>
            <w:noWrap/>
            <w:vAlign w:val="center"/>
          </w:tcPr>
          <w:p w:rsidR="004B60EA" w:rsidRPr="00475999" w:rsidRDefault="004B60EA" w:rsidP="00045B6C">
            <w:pPr>
              <w:pStyle w:val="ExhibitText"/>
              <w:keepNext/>
              <w:rPr>
                <w:i/>
                <w:szCs w:val="18"/>
              </w:rPr>
            </w:pPr>
            <w:r w:rsidRPr="00475999">
              <w:rPr>
                <w:i/>
                <w:szCs w:val="18"/>
              </w:rPr>
              <w:t>Annual</w:t>
            </w:r>
          </w:p>
        </w:tc>
        <w:tc>
          <w:tcPr>
            <w:tcW w:w="810" w:type="dxa"/>
            <w:shd w:val="clear" w:color="auto" w:fill="auto"/>
            <w:noWrap/>
            <w:vAlign w:val="center"/>
          </w:tcPr>
          <w:p w:rsidR="004B60EA" w:rsidRPr="00475999" w:rsidRDefault="00475999" w:rsidP="00045B6C">
            <w:pPr>
              <w:pStyle w:val="ExhibitText"/>
              <w:keepNext/>
              <w:contextualSpacing/>
              <w:jc w:val="center"/>
              <w:rPr>
                <w:i/>
                <w:szCs w:val="18"/>
              </w:rPr>
            </w:pPr>
            <w:r w:rsidRPr="00475999">
              <w:rPr>
                <w:i/>
                <w:szCs w:val="18"/>
              </w:rPr>
              <w:t>27</w:t>
            </w:r>
          </w:p>
        </w:tc>
        <w:tc>
          <w:tcPr>
            <w:tcW w:w="630" w:type="dxa"/>
            <w:shd w:val="clear" w:color="auto" w:fill="auto"/>
            <w:noWrap/>
            <w:vAlign w:val="center"/>
          </w:tcPr>
          <w:p w:rsidR="004B60EA" w:rsidRPr="00475999" w:rsidRDefault="004B60EA" w:rsidP="00045B6C">
            <w:pPr>
              <w:pStyle w:val="ExhibitText"/>
              <w:keepNext/>
              <w:contextualSpacing/>
              <w:jc w:val="center"/>
              <w:rPr>
                <w:i/>
                <w:szCs w:val="18"/>
              </w:rPr>
            </w:pPr>
          </w:p>
        </w:tc>
        <w:tc>
          <w:tcPr>
            <w:tcW w:w="630" w:type="dxa"/>
            <w:shd w:val="clear" w:color="auto" w:fill="auto"/>
            <w:noWrap/>
            <w:vAlign w:val="center"/>
          </w:tcPr>
          <w:p w:rsidR="004B60EA" w:rsidRPr="00475999" w:rsidRDefault="004B60EA" w:rsidP="00045B6C">
            <w:pPr>
              <w:pStyle w:val="ExhibitText"/>
              <w:keepNext/>
              <w:contextualSpacing/>
              <w:jc w:val="center"/>
              <w:rPr>
                <w:i/>
                <w:szCs w:val="18"/>
              </w:rPr>
            </w:pPr>
          </w:p>
        </w:tc>
        <w:tc>
          <w:tcPr>
            <w:tcW w:w="720" w:type="dxa"/>
            <w:shd w:val="clear" w:color="auto" w:fill="auto"/>
            <w:noWrap/>
            <w:vAlign w:val="center"/>
          </w:tcPr>
          <w:p w:rsidR="004B60EA" w:rsidRPr="00475999" w:rsidRDefault="004B60EA" w:rsidP="00045B6C">
            <w:pPr>
              <w:pStyle w:val="ExhibitText"/>
              <w:keepNext/>
              <w:contextualSpacing/>
              <w:jc w:val="center"/>
              <w:rPr>
                <w:i/>
                <w:szCs w:val="18"/>
              </w:rPr>
            </w:pPr>
          </w:p>
        </w:tc>
        <w:tc>
          <w:tcPr>
            <w:tcW w:w="810" w:type="dxa"/>
            <w:shd w:val="clear" w:color="auto" w:fill="auto"/>
            <w:noWrap/>
            <w:vAlign w:val="center"/>
          </w:tcPr>
          <w:p w:rsidR="004B60EA" w:rsidRPr="00475999" w:rsidRDefault="00475999" w:rsidP="00045B6C">
            <w:pPr>
              <w:pStyle w:val="ExhibitText"/>
              <w:keepNext/>
              <w:contextualSpacing/>
              <w:jc w:val="center"/>
              <w:rPr>
                <w:i/>
                <w:szCs w:val="18"/>
              </w:rPr>
            </w:pPr>
            <w:r w:rsidRPr="00475999">
              <w:rPr>
                <w:i/>
                <w:szCs w:val="18"/>
              </w:rPr>
              <w:t>53.3</w:t>
            </w:r>
          </w:p>
        </w:tc>
        <w:tc>
          <w:tcPr>
            <w:tcW w:w="810" w:type="dxa"/>
            <w:shd w:val="clear" w:color="000000" w:fill="FFFFFF"/>
            <w:noWrap/>
            <w:vAlign w:val="center"/>
          </w:tcPr>
          <w:p w:rsidR="004B60EA" w:rsidRPr="00475999" w:rsidRDefault="004B60EA" w:rsidP="00045B6C">
            <w:pPr>
              <w:pStyle w:val="ExhibitText"/>
              <w:keepNext/>
              <w:contextualSpacing/>
              <w:jc w:val="center"/>
              <w:rPr>
                <w:i/>
                <w:szCs w:val="18"/>
              </w:rPr>
            </w:pPr>
          </w:p>
        </w:tc>
        <w:tc>
          <w:tcPr>
            <w:tcW w:w="810" w:type="dxa"/>
            <w:shd w:val="clear" w:color="auto" w:fill="auto"/>
            <w:noWrap/>
            <w:vAlign w:val="center"/>
          </w:tcPr>
          <w:p w:rsidR="004B60EA" w:rsidRPr="00475999" w:rsidRDefault="004B60EA" w:rsidP="00045B6C">
            <w:pPr>
              <w:pStyle w:val="ExhibitText"/>
              <w:keepNext/>
              <w:contextualSpacing/>
              <w:jc w:val="center"/>
              <w:rPr>
                <w:i/>
                <w:szCs w:val="18"/>
              </w:rPr>
            </w:pPr>
          </w:p>
        </w:tc>
        <w:tc>
          <w:tcPr>
            <w:tcW w:w="1170" w:type="dxa"/>
            <w:shd w:val="clear" w:color="auto" w:fill="auto"/>
            <w:noWrap/>
            <w:vAlign w:val="center"/>
          </w:tcPr>
          <w:p w:rsidR="004B60EA" w:rsidRPr="00475999" w:rsidRDefault="00475999" w:rsidP="00045B6C">
            <w:pPr>
              <w:pStyle w:val="ExhibitText"/>
              <w:keepNext/>
              <w:contextualSpacing/>
              <w:jc w:val="center"/>
              <w:rPr>
                <w:i/>
                <w:szCs w:val="18"/>
              </w:rPr>
            </w:pPr>
            <w:r w:rsidRPr="00475999">
              <w:rPr>
                <w:i/>
                <w:szCs w:val="18"/>
              </w:rPr>
              <w:t>$1,374.4</w:t>
            </w:r>
          </w:p>
        </w:tc>
      </w:tr>
      <w:tr w:rsidR="00541C15" w:rsidRPr="00E74906" w:rsidTr="00541C15">
        <w:trPr>
          <w:cantSplit/>
          <w:trHeight w:val="360"/>
        </w:trPr>
        <w:tc>
          <w:tcPr>
            <w:tcW w:w="9360" w:type="dxa"/>
            <w:gridSpan w:val="9"/>
            <w:shd w:val="clear" w:color="auto" w:fill="D9D9D9" w:themeFill="background1" w:themeFillShade="D9"/>
            <w:noWrap/>
            <w:vAlign w:val="center"/>
          </w:tcPr>
          <w:p w:rsidR="00541C15" w:rsidRPr="00E74906" w:rsidRDefault="00541C15" w:rsidP="00541C15">
            <w:pPr>
              <w:pStyle w:val="ExhibitText"/>
              <w:keepNext/>
              <w:contextualSpacing/>
              <w:rPr>
                <w:szCs w:val="18"/>
              </w:rPr>
            </w:pPr>
            <w:r w:rsidRPr="00541C15">
              <w:rPr>
                <w:b/>
                <w:color w:val="auto"/>
                <w:szCs w:val="18"/>
              </w:rPr>
              <w:t>Students</w:t>
            </w:r>
          </w:p>
        </w:tc>
      </w:tr>
      <w:tr w:rsidR="00E70907" w:rsidRPr="00E74906" w:rsidTr="00045B6C">
        <w:trPr>
          <w:cantSplit/>
          <w:trHeight w:val="360"/>
        </w:trPr>
        <w:tc>
          <w:tcPr>
            <w:tcW w:w="2970" w:type="dxa"/>
            <w:shd w:val="clear" w:color="auto" w:fill="auto"/>
            <w:noWrap/>
            <w:vAlign w:val="center"/>
          </w:tcPr>
          <w:p w:rsidR="00E70907" w:rsidRPr="00E74906" w:rsidRDefault="00E70907" w:rsidP="00045B6C">
            <w:pPr>
              <w:pStyle w:val="ExhibitText"/>
              <w:keepNext/>
              <w:rPr>
                <w:szCs w:val="18"/>
              </w:rPr>
            </w:pPr>
            <w:r>
              <w:rPr>
                <w:szCs w:val="18"/>
              </w:rPr>
              <w:t>Student Baseline Data Collection</w:t>
            </w:r>
          </w:p>
        </w:tc>
        <w:tc>
          <w:tcPr>
            <w:tcW w:w="810" w:type="dxa"/>
            <w:shd w:val="clear" w:color="auto" w:fill="auto"/>
            <w:noWrap/>
            <w:vAlign w:val="center"/>
          </w:tcPr>
          <w:p w:rsidR="00E70907" w:rsidRPr="00E74906" w:rsidRDefault="00737433" w:rsidP="00045B6C">
            <w:pPr>
              <w:pStyle w:val="ExhibitText"/>
              <w:keepNext/>
              <w:contextualSpacing/>
              <w:jc w:val="center"/>
              <w:rPr>
                <w:szCs w:val="18"/>
              </w:rPr>
            </w:pPr>
            <w:r>
              <w:rPr>
                <w:szCs w:val="18"/>
              </w:rPr>
              <w:t>16</w:t>
            </w:r>
            <w:r w:rsidR="00E70907">
              <w:rPr>
                <w:szCs w:val="18"/>
              </w:rPr>
              <w:t>,000</w:t>
            </w:r>
          </w:p>
        </w:tc>
        <w:tc>
          <w:tcPr>
            <w:tcW w:w="630" w:type="dxa"/>
            <w:shd w:val="clear" w:color="auto" w:fill="auto"/>
            <w:noWrap/>
            <w:vAlign w:val="center"/>
          </w:tcPr>
          <w:p w:rsidR="00E70907" w:rsidRPr="00E74906" w:rsidRDefault="00E70907" w:rsidP="00045B6C">
            <w:pPr>
              <w:pStyle w:val="ExhibitText"/>
              <w:keepNext/>
              <w:contextualSpacing/>
              <w:jc w:val="center"/>
              <w:rPr>
                <w:szCs w:val="18"/>
              </w:rPr>
            </w:pPr>
            <w:r>
              <w:rPr>
                <w:szCs w:val="18"/>
              </w:rPr>
              <w:t>1</w:t>
            </w:r>
          </w:p>
        </w:tc>
        <w:tc>
          <w:tcPr>
            <w:tcW w:w="630" w:type="dxa"/>
            <w:shd w:val="clear" w:color="auto" w:fill="auto"/>
            <w:noWrap/>
            <w:vAlign w:val="center"/>
          </w:tcPr>
          <w:p w:rsidR="00E70907" w:rsidRPr="00E74906" w:rsidRDefault="003B5D89" w:rsidP="00045B6C">
            <w:pPr>
              <w:pStyle w:val="ExhibitText"/>
              <w:keepNext/>
              <w:contextualSpacing/>
              <w:jc w:val="center"/>
              <w:rPr>
                <w:szCs w:val="18"/>
              </w:rPr>
            </w:pPr>
            <w:r>
              <w:rPr>
                <w:szCs w:val="18"/>
              </w:rPr>
              <w:t>0.25</w:t>
            </w:r>
          </w:p>
        </w:tc>
        <w:tc>
          <w:tcPr>
            <w:tcW w:w="720" w:type="dxa"/>
            <w:shd w:val="clear" w:color="auto" w:fill="auto"/>
            <w:noWrap/>
            <w:vAlign w:val="center"/>
          </w:tcPr>
          <w:p w:rsidR="00E70907" w:rsidRPr="00E74906" w:rsidRDefault="003B5D89" w:rsidP="00045B6C">
            <w:pPr>
              <w:pStyle w:val="ExhibitText"/>
              <w:keepNext/>
              <w:contextualSpacing/>
              <w:jc w:val="center"/>
              <w:rPr>
                <w:szCs w:val="18"/>
              </w:rPr>
            </w:pPr>
            <w:r>
              <w:rPr>
                <w:szCs w:val="18"/>
              </w:rPr>
              <w:t>0.25</w:t>
            </w:r>
          </w:p>
        </w:tc>
        <w:tc>
          <w:tcPr>
            <w:tcW w:w="810" w:type="dxa"/>
            <w:shd w:val="clear" w:color="auto" w:fill="auto"/>
            <w:noWrap/>
            <w:vAlign w:val="center"/>
          </w:tcPr>
          <w:p w:rsidR="00E70907" w:rsidRPr="00E74906" w:rsidRDefault="00737433" w:rsidP="00045B6C">
            <w:pPr>
              <w:pStyle w:val="ExhibitText"/>
              <w:keepNext/>
              <w:contextualSpacing/>
              <w:jc w:val="center"/>
              <w:rPr>
                <w:szCs w:val="18"/>
              </w:rPr>
            </w:pPr>
            <w:r>
              <w:rPr>
                <w:szCs w:val="18"/>
              </w:rPr>
              <w:t>4</w:t>
            </w:r>
            <w:r w:rsidR="003B5D89">
              <w:rPr>
                <w:szCs w:val="18"/>
              </w:rPr>
              <w:t>,000</w:t>
            </w:r>
          </w:p>
        </w:tc>
        <w:tc>
          <w:tcPr>
            <w:tcW w:w="810" w:type="dxa"/>
            <w:shd w:val="clear" w:color="000000" w:fill="FFFFFF"/>
            <w:noWrap/>
            <w:vAlign w:val="center"/>
          </w:tcPr>
          <w:p w:rsidR="00E70907" w:rsidRPr="00E74906" w:rsidRDefault="00541C15" w:rsidP="00045B6C">
            <w:pPr>
              <w:pStyle w:val="ExhibitText"/>
              <w:keepNext/>
              <w:contextualSpacing/>
              <w:jc w:val="center"/>
              <w:rPr>
                <w:szCs w:val="18"/>
              </w:rPr>
            </w:pPr>
            <w:r>
              <w:rPr>
                <w:szCs w:val="18"/>
              </w:rPr>
              <w:t>NA</w:t>
            </w:r>
          </w:p>
        </w:tc>
        <w:tc>
          <w:tcPr>
            <w:tcW w:w="810" w:type="dxa"/>
            <w:shd w:val="clear" w:color="auto" w:fill="auto"/>
            <w:noWrap/>
            <w:vAlign w:val="center"/>
          </w:tcPr>
          <w:p w:rsidR="00E70907" w:rsidRPr="00E74906" w:rsidRDefault="00541C15" w:rsidP="00045B6C">
            <w:pPr>
              <w:pStyle w:val="ExhibitText"/>
              <w:keepNext/>
              <w:contextualSpacing/>
              <w:jc w:val="center"/>
              <w:rPr>
                <w:szCs w:val="18"/>
              </w:rPr>
            </w:pPr>
            <w:r>
              <w:rPr>
                <w:szCs w:val="18"/>
              </w:rPr>
              <w:t>NA</w:t>
            </w:r>
          </w:p>
        </w:tc>
        <w:tc>
          <w:tcPr>
            <w:tcW w:w="1170" w:type="dxa"/>
            <w:shd w:val="clear" w:color="auto" w:fill="auto"/>
            <w:noWrap/>
            <w:vAlign w:val="center"/>
          </w:tcPr>
          <w:p w:rsidR="00E70907" w:rsidRPr="00E74906" w:rsidRDefault="00541C15" w:rsidP="00045B6C">
            <w:pPr>
              <w:pStyle w:val="ExhibitText"/>
              <w:keepNext/>
              <w:contextualSpacing/>
              <w:jc w:val="center"/>
              <w:rPr>
                <w:szCs w:val="18"/>
              </w:rPr>
            </w:pPr>
            <w:r>
              <w:rPr>
                <w:szCs w:val="18"/>
              </w:rPr>
              <w:t>NA</w:t>
            </w:r>
          </w:p>
        </w:tc>
      </w:tr>
      <w:tr w:rsidR="004B60EA" w:rsidRPr="00475999" w:rsidTr="00045B6C">
        <w:trPr>
          <w:cantSplit/>
          <w:trHeight w:val="360"/>
        </w:trPr>
        <w:tc>
          <w:tcPr>
            <w:tcW w:w="2970" w:type="dxa"/>
            <w:shd w:val="clear" w:color="auto" w:fill="auto"/>
            <w:noWrap/>
            <w:vAlign w:val="center"/>
          </w:tcPr>
          <w:p w:rsidR="004B60EA" w:rsidRPr="00475999" w:rsidRDefault="004B60EA" w:rsidP="00045B6C">
            <w:pPr>
              <w:pStyle w:val="ExhibitText"/>
              <w:keepNext/>
              <w:rPr>
                <w:i/>
                <w:szCs w:val="18"/>
              </w:rPr>
            </w:pPr>
            <w:r w:rsidRPr="00475999">
              <w:rPr>
                <w:i/>
                <w:szCs w:val="18"/>
              </w:rPr>
              <w:t>Annual</w:t>
            </w:r>
          </w:p>
        </w:tc>
        <w:tc>
          <w:tcPr>
            <w:tcW w:w="810" w:type="dxa"/>
            <w:shd w:val="clear" w:color="auto" w:fill="auto"/>
            <w:noWrap/>
            <w:vAlign w:val="center"/>
          </w:tcPr>
          <w:p w:rsidR="004B60EA" w:rsidRPr="00475999" w:rsidRDefault="00475999" w:rsidP="00045B6C">
            <w:pPr>
              <w:pStyle w:val="ExhibitText"/>
              <w:keepNext/>
              <w:contextualSpacing/>
              <w:jc w:val="center"/>
              <w:rPr>
                <w:i/>
                <w:szCs w:val="18"/>
              </w:rPr>
            </w:pPr>
            <w:r>
              <w:rPr>
                <w:i/>
                <w:szCs w:val="18"/>
              </w:rPr>
              <w:t>5,333</w:t>
            </w:r>
          </w:p>
        </w:tc>
        <w:tc>
          <w:tcPr>
            <w:tcW w:w="630" w:type="dxa"/>
            <w:shd w:val="clear" w:color="auto" w:fill="auto"/>
            <w:noWrap/>
            <w:vAlign w:val="center"/>
          </w:tcPr>
          <w:p w:rsidR="004B60EA" w:rsidRPr="00475999" w:rsidRDefault="004B60EA" w:rsidP="00045B6C">
            <w:pPr>
              <w:pStyle w:val="ExhibitText"/>
              <w:keepNext/>
              <w:contextualSpacing/>
              <w:jc w:val="center"/>
              <w:rPr>
                <w:i/>
                <w:szCs w:val="18"/>
              </w:rPr>
            </w:pPr>
          </w:p>
        </w:tc>
        <w:tc>
          <w:tcPr>
            <w:tcW w:w="630" w:type="dxa"/>
            <w:shd w:val="clear" w:color="auto" w:fill="auto"/>
            <w:noWrap/>
            <w:vAlign w:val="center"/>
          </w:tcPr>
          <w:p w:rsidR="004B60EA" w:rsidRPr="00475999" w:rsidRDefault="004B60EA" w:rsidP="00045B6C">
            <w:pPr>
              <w:pStyle w:val="ExhibitText"/>
              <w:keepNext/>
              <w:contextualSpacing/>
              <w:jc w:val="center"/>
              <w:rPr>
                <w:i/>
                <w:szCs w:val="18"/>
              </w:rPr>
            </w:pPr>
          </w:p>
        </w:tc>
        <w:tc>
          <w:tcPr>
            <w:tcW w:w="720" w:type="dxa"/>
            <w:shd w:val="clear" w:color="auto" w:fill="auto"/>
            <w:noWrap/>
            <w:vAlign w:val="center"/>
          </w:tcPr>
          <w:p w:rsidR="004B60EA" w:rsidRPr="00475999" w:rsidRDefault="004B60EA" w:rsidP="00045B6C">
            <w:pPr>
              <w:pStyle w:val="ExhibitText"/>
              <w:keepNext/>
              <w:contextualSpacing/>
              <w:jc w:val="center"/>
              <w:rPr>
                <w:i/>
                <w:szCs w:val="18"/>
              </w:rPr>
            </w:pPr>
          </w:p>
        </w:tc>
        <w:tc>
          <w:tcPr>
            <w:tcW w:w="810" w:type="dxa"/>
            <w:shd w:val="clear" w:color="auto" w:fill="auto"/>
            <w:noWrap/>
            <w:vAlign w:val="center"/>
          </w:tcPr>
          <w:p w:rsidR="004B60EA" w:rsidRPr="00475999" w:rsidRDefault="00475999" w:rsidP="00045B6C">
            <w:pPr>
              <w:pStyle w:val="ExhibitText"/>
              <w:keepNext/>
              <w:contextualSpacing/>
              <w:jc w:val="center"/>
              <w:rPr>
                <w:i/>
                <w:szCs w:val="18"/>
              </w:rPr>
            </w:pPr>
            <w:r>
              <w:rPr>
                <w:i/>
                <w:szCs w:val="18"/>
              </w:rPr>
              <w:t>1333.3</w:t>
            </w:r>
          </w:p>
        </w:tc>
        <w:tc>
          <w:tcPr>
            <w:tcW w:w="810" w:type="dxa"/>
            <w:shd w:val="clear" w:color="000000" w:fill="FFFFFF"/>
            <w:noWrap/>
            <w:vAlign w:val="center"/>
          </w:tcPr>
          <w:p w:rsidR="004B60EA" w:rsidRPr="00475999" w:rsidRDefault="004B60EA" w:rsidP="00045B6C">
            <w:pPr>
              <w:pStyle w:val="ExhibitText"/>
              <w:keepNext/>
              <w:contextualSpacing/>
              <w:jc w:val="center"/>
              <w:rPr>
                <w:i/>
                <w:szCs w:val="18"/>
              </w:rPr>
            </w:pPr>
          </w:p>
        </w:tc>
        <w:tc>
          <w:tcPr>
            <w:tcW w:w="810" w:type="dxa"/>
            <w:shd w:val="clear" w:color="auto" w:fill="auto"/>
            <w:noWrap/>
            <w:vAlign w:val="center"/>
          </w:tcPr>
          <w:p w:rsidR="004B60EA" w:rsidRPr="00475999" w:rsidRDefault="004B60EA" w:rsidP="00045B6C">
            <w:pPr>
              <w:pStyle w:val="ExhibitText"/>
              <w:keepNext/>
              <w:contextualSpacing/>
              <w:jc w:val="center"/>
              <w:rPr>
                <w:i/>
                <w:szCs w:val="18"/>
              </w:rPr>
            </w:pPr>
          </w:p>
        </w:tc>
        <w:tc>
          <w:tcPr>
            <w:tcW w:w="1170" w:type="dxa"/>
            <w:shd w:val="clear" w:color="auto" w:fill="auto"/>
            <w:noWrap/>
            <w:vAlign w:val="center"/>
          </w:tcPr>
          <w:p w:rsidR="004B60EA" w:rsidRPr="00475999" w:rsidRDefault="00475999" w:rsidP="00045B6C">
            <w:pPr>
              <w:pStyle w:val="ExhibitText"/>
              <w:keepNext/>
              <w:contextualSpacing/>
              <w:jc w:val="center"/>
              <w:rPr>
                <w:i/>
                <w:szCs w:val="18"/>
              </w:rPr>
            </w:pPr>
            <w:r>
              <w:rPr>
                <w:i/>
                <w:szCs w:val="18"/>
              </w:rPr>
              <w:t>NA</w:t>
            </w:r>
          </w:p>
        </w:tc>
      </w:tr>
      <w:tr w:rsidR="00E70907" w:rsidRPr="00E74906" w:rsidTr="00045B6C">
        <w:trPr>
          <w:cantSplit/>
          <w:trHeight w:val="360"/>
        </w:trPr>
        <w:tc>
          <w:tcPr>
            <w:tcW w:w="2970" w:type="dxa"/>
            <w:shd w:val="clear" w:color="auto" w:fill="auto"/>
            <w:noWrap/>
            <w:vAlign w:val="center"/>
          </w:tcPr>
          <w:p w:rsidR="00E70907" w:rsidRPr="00BD7FF1" w:rsidRDefault="00E70907" w:rsidP="00045B6C">
            <w:pPr>
              <w:pStyle w:val="ExhibitText"/>
              <w:keepNext/>
              <w:rPr>
                <w:b/>
                <w:szCs w:val="18"/>
              </w:rPr>
            </w:pPr>
            <w:r w:rsidRPr="00BD7FF1">
              <w:rPr>
                <w:b/>
                <w:szCs w:val="18"/>
              </w:rPr>
              <w:t>Total</w:t>
            </w:r>
          </w:p>
        </w:tc>
        <w:tc>
          <w:tcPr>
            <w:tcW w:w="810" w:type="dxa"/>
            <w:shd w:val="clear" w:color="auto" w:fill="auto"/>
            <w:noWrap/>
            <w:vAlign w:val="center"/>
          </w:tcPr>
          <w:p w:rsidR="00E70907" w:rsidRPr="00BD7FF1" w:rsidRDefault="00E70907" w:rsidP="00045B6C">
            <w:pPr>
              <w:pStyle w:val="ExhibitText"/>
              <w:keepNext/>
              <w:contextualSpacing/>
              <w:jc w:val="center"/>
              <w:rPr>
                <w:b/>
                <w:szCs w:val="18"/>
              </w:rPr>
            </w:pPr>
          </w:p>
        </w:tc>
        <w:tc>
          <w:tcPr>
            <w:tcW w:w="630" w:type="dxa"/>
            <w:shd w:val="clear" w:color="auto" w:fill="auto"/>
            <w:noWrap/>
            <w:vAlign w:val="center"/>
          </w:tcPr>
          <w:p w:rsidR="00E70907" w:rsidRPr="00BD7FF1" w:rsidRDefault="00E70907" w:rsidP="00045B6C">
            <w:pPr>
              <w:pStyle w:val="ExhibitText"/>
              <w:keepNext/>
              <w:contextualSpacing/>
              <w:jc w:val="center"/>
              <w:rPr>
                <w:b/>
                <w:szCs w:val="18"/>
              </w:rPr>
            </w:pPr>
          </w:p>
        </w:tc>
        <w:tc>
          <w:tcPr>
            <w:tcW w:w="630" w:type="dxa"/>
            <w:shd w:val="clear" w:color="auto" w:fill="auto"/>
            <w:noWrap/>
            <w:vAlign w:val="center"/>
          </w:tcPr>
          <w:p w:rsidR="00E70907" w:rsidRPr="00BD7FF1" w:rsidRDefault="00E70907" w:rsidP="00045B6C">
            <w:pPr>
              <w:pStyle w:val="ExhibitText"/>
              <w:keepNext/>
              <w:contextualSpacing/>
              <w:jc w:val="center"/>
              <w:rPr>
                <w:b/>
                <w:szCs w:val="18"/>
              </w:rPr>
            </w:pPr>
          </w:p>
        </w:tc>
        <w:tc>
          <w:tcPr>
            <w:tcW w:w="720" w:type="dxa"/>
            <w:shd w:val="clear" w:color="auto" w:fill="auto"/>
            <w:noWrap/>
            <w:vAlign w:val="center"/>
          </w:tcPr>
          <w:p w:rsidR="00E70907" w:rsidRPr="00BD7FF1" w:rsidRDefault="00E70907" w:rsidP="00045B6C">
            <w:pPr>
              <w:pStyle w:val="ExhibitText"/>
              <w:keepNext/>
              <w:contextualSpacing/>
              <w:jc w:val="center"/>
              <w:rPr>
                <w:b/>
                <w:szCs w:val="18"/>
              </w:rPr>
            </w:pPr>
          </w:p>
        </w:tc>
        <w:tc>
          <w:tcPr>
            <w:tcW w:w="810" w:type="dxa"/>
            <w:shd w:val="clear" w:color="auto" w:fill="auto"/>
            <w:noWrap/>
            <w:vAlign w:val="center"/>
          </w:tcPr>
          <w:p w:rsidR="00E70907" w:rsidRPr="00BD7FF1" w:rsidRDefault="00737433" w:rsidP="00045B6C">
            <w:pPr>
              <w:pStyle w:val="ExhibitText"/>
              <w:keepNext/>
              <w:contextualSpacing/>
              <w:jc w:val="center"/>
              <w:rPr>
                <w:b/>
                <w:szCs w:val="18"/>
              </w:rPr>
            </w:pPr>
            <w:r>
              <w:rPr>
                <w:b/>
                <w:szCs w:val="18"/>
              </w:rPr>
              <w:t>4</w:t>
            </w:r>
            <w:r w:rsidR="003B5D89">
              <w:rPr>
                <w:b/>
                <w:szCs w:val="18"/>
              </w:rPr>
              <w:t>,160</w:t>
            </w:r>
          </w:p>
        </w:tc>
        <w:tc>
          <w:tcPr>
            <w:tcW w:w="810" w:type="dxa"/>
            <w:shd w:val="clear" w:color="000000" w:fill="FFFFFF"/>
            <w:noWrap/>
            <w:vAlign w:val="center"/>
          </w:tcPr>
          <w:p w:rsidR="00E70907" w:rsidRPr="00BD7FF1" w:rsidRDefault="00E70907" w:rsidP="00045B6C">
            <w:pPr>
              <w:pStyle w:val="ExhibitText"/>
              <w:keepNext/>
              <w:contextualSpacing/>
              <w:jc w:val="center"/>
              <w:rPr>
                <w:b/>
                <w:szCs w:val="18"/>
              </w:rPr>
            </w:pPr>
          </w:p>
        </w:tc>
        <w:tc>
          <w:tcPr>
            <w:tcW w:w="810" w:type="dxa"/>
            <w:shd w:val="clear" w:color="auto" w:fill="auto"/>
            <w:noWrap/>
            <w:vAlign w:val="center"/>
          </w:tcPr>
          <w:p w:rsidR="00E70907" w:rsidRPr="00BD7FF1" w:rsidRDefault="00E70907" w:rsidP="00045B6C">
            <w:pPr>
              <w:pStyle w:val="ExhibitText"/>
              <w:keepNext/>
              <w:contextualSpacing/>
              <w:jc w:val="center"/>
              <w:rPr>
                <w:b/>
                <w:szCs w:val="18"/>
              </w:rPr>
            </w:pPr>
          </w:p>
        </w:tc>
        <w:tc>
          <w:tcPr>
            <w:tcW w:w="1170" w:type="dxa"/>
            <w:shd w:val="clear" w:color="auto" w:fill="auto"/>
            <w:noWrap/>
            <w:vAlign w:val="center"/>
          </w:tcPr>
          <w:p w:rsidR="00E70907" w:rsidRPr="00BD7FF1" w:rsidRDefault="00E70907" w:rsidP="00541C15">
            <w:pPr>
              <w:pStyle w:val="ExhibitText"/>
              <w:keepNext/>
              <w:contextualSpacing/>
              <w:jc w:val="center"/>
              <w:rPr>
                <w:b/>
                <w:szCs w:val="18"/>
              </w:rPr>
            </w:pPr>
            <w:r w:rsidRPr="00BD7FF1">
              <w:rPr>
                <w:b/>
                <w:szCs w:val="18"/>
              </w:rPr>
              <w:t>$</w:t>
            </w:r>
            <w:r w:rsidR="00541C15">
              <w:rPr>
                <w:b/>
                <w:szCs w:val="18"/>
              </w:rPr>
              <w:t>4,123.20</w:t>
            </w:r>
          </w:p>
        </w:tc>
      </w:tr>
      <w:tr w:rsidR="004B60EA" w:rsidRPr="00475999" w:rsidTr="00045B6C">
        <w:trPr>
          <w:cantSplit/>
          <w:trHeight w:val="360"/>
        </w:trPr>
        <w:tc>
          <w:tcPr>
            <w:tcW w:w="2970" w:type="dxa"/>
            <w:shd w:val="clear" w:color="auto" w:fill="auto"/>
            <w:noWrap/>
            <w:vAlign w:val="center"/>
          </w:tcPr>
          <w:p w:rsidR="004B60EA" w:rsidRPr="00475999" w:rsidRDefault="004B60EA" w:rsidP="00045B6C">
            <w:pPr>
              <w:pStyle w:val="ExhibitText"/>
              <w:keepNext/>
              <w:rPr>
                <w:b/>
                <w:i/>
                <w:szCs w:val="18"/>
              </w:rPr>
            </w:pPr>
            <w:r w:rsidRPr="00475999">
              <w:rPr>
                <w:b/>
                <w:i/>
                <w:szCs w:val="18"/>
              </w:rPr>
              <w:t>Annual Totals</w:t>
            </w:r>
          </w:p>
        </w:tc>
        <w:tc>
          <w:tcPr>
            <w:tcW w:w="810" w:type="dxa"/>
            <w:shd w:val="clear" w:color="auto" w:fill="auto"/>
            <w:noWrap/>
            <w:vAlign w:val="center"/>
          </w:tcPr>
          <w:p w:rsidR="004B60EA" w:rsidRPr="00475999" w:rsidRDefault="00475999" w:rsidP="00045B6C">
            <w:pPr>
              <w:pStyle w:val="ExhibitText"/>
              <w:keepNext/>
              <w:contextualSpacing/>
              <w:jc w:val="center"/>
              <w:rPr>
                <w:b/>
                <w:i/>
                <w:szCs w:val="18"/>
              </w:rPr>
            </w:pPr>
            <w:r>
              <w:rPr>
                <w:b/>
                <w:i/>
                <w:szCs w:val="18"/>
              </w:rPr>
              <w:t>5,360</w:t>
            </w:r>
          </w:p>
        </w:tc>
        <w:tc>
          <w:tcPr>
            <w:tcW w:w="630" w:type="dxa"/>
            <w:shd w:val="clear" w:color="auto" w:fill="auto"/>
            <w:noWrap/>
            <w:vAlign w:val="center"/>
          </w:tcPr>
          <w:p w:rsidR="004B60EA" w:rsidRPr="00475999" w:rsidRDefault="004B60EA" w:rsidP="00045B6C">
            <w:pPr>
              <w:pStyle w:val="ExhibitText"/>
              <w:keepNext/>
              <w:contextualSpacing/>
              <w:jc w:val="center"/>
              <w:rPr>
                <w:b/>
                <w:i/>
                <w:szCs w:val="18"/>
              </w:rPr>
            </w:pPr>
          </w:p>
        </w:tc>
        <w:tc>
          <w:tcPr>
            <w:tcW w:w="630" w:type="dxa"/>
            <w:shd w:val="clear" w:color="auto" w:fill="auto"/>
            <w:noWrap/>
            <w:vAlign w:val="center"/>
          </w:tcPr>
          <w:p w:rsidR="004B60EA" w:rsidRPr="00475999" w:rsidRDefault="004B60EA" w:rsidP="00045B6C">
            <w:pPr>
              <w:pStyle w:val="ExhibitText"/>
              <w:keepNext/>
              <w:contextualSpacing/>
              <w:jc w:val="center"/>
              <w:rPr>
                <w:b/>
                <w:i/>
                <w:szCs w:val="18"/>
              </w:rPr>
            </w:pPr>
          </w:p>
        </w:tc>
        <w:tc>
          <w:tcPr>
            <w:tcW w:w="720" w:type="dxa"/>
            <w:shd w:val="clear" w:color="auto" w:fill="auto"/>
            <w:noWrap/>
            <w:vAlign w:val="center"/>
          </w:tcPr>
          <w:p w:rsidR="004B60EA" w:rsidRPr="00475999" w:rsidRDefault="004B60EA" w:rsidP="00045B6C">
            <w:pPr>
              <w:pStyle w:val="ExhibitText"/>
              <w:keepNext/>
              <w:contextualSpacing/>
              <w:jc w:val="center"/>
              <w:rPr>
                <w:b/>
                <w:i/>
                <w:szCs w:val="18"/>
              </w:rPr>
            </w:pPr>
          </w:p>
        </w:tc>
        <w:tc>
          <w:tcPr>
            <w:tcW w:w="810" w:type="dxa"/>
            <w:shd w:val="clear" w:color="auto" w:fill="auto"/>
            <w:noWrap/>
            <w:vAlign w:val="center"/>
          </w:tcPr>
          <w:p w:rsidR="004B60EA" w:rsidRPr="00475999" w:rsidRDefault="00475999" w:rsidP="00045B6C">
            <w:pPr>
              <w:pStyle w:val="ExhibitText"/>
              <w:keepNext/>
              <w:contextualSpacing/>
              <w:jc w:val="center"/>
              <w:rPr>
                <w:b/>
                <w:i/>
                <w:szCs w:val="18"/>
              </w:rPr>
            </w:pPr>
            <w:r>
              <w:rPr>
                <w:b/>
                <w:i/>
                <w:szCs w:val="18"/>
              </w:rPr>
              <w:t>1386.6</w:t>
            </w:r>
          </w:p>
        </w:tc>
        <w:tc>
          <w:tcPr>
            <w:tcW w:w="810" w:type="dxa"/>
            <w:shd w:val="clear" w:color="000000" w:fill="FFFFFF"/>
            <w:noWrap/>
            <w:vAlign w:val="center"/>
          </w:tcPr>
          <w:p w:rsidR="004B60EA" w:rsidRPr="00475999" w:rsidRDefault="004B60EA" w:rsidP="00045B6C">
            <w:pPr>
              <w:pStyle w:val="ExhibitText"/>
              <w:keepNext/>
              <w:contextualSpacing/>
              <w:jc w:val="center"/>
              <w:rPr>
                <w:b/>
                <w:i/>
                <w:szCs w:val="18"/>
              </w:rPr>
            </w:pPr>
          </w:p>
        </w:tc>
        <w:tc>
          <w:tcPr>
            <w:tcW w:w="810" w:type="dxa"/>
            <w:shd w:val="clear" w:color="auto" w:fill="auto"/>
            <w:noWrap/>
            <w:vAlign w:val="center"/>
          </w:tcPr>
          <w:p w:rsidR="004B60EA" w:rsidRPr="00475999" w:rsidRDefault="004B60EA" w:rsidP="00045B6C">
            <w:pPr>
              <w:pStyle w:val="ExhibitText"/>
              <w:keepNext/>
              <w:contextualSpacing/>
              <w:jc w:val="center"/>
              <w:rPr>
                <w:b/>
                <w:i/>
                <w:szCs w:val="18"/>
              </w:rPr>
            </w:pPr>
          </w:p>
        </w:tc>
        <w:tc>
          <w:tcPr>
            <w:tcW w:w="1170" w:type="dxa"/>
            <w:shd w:val="clear" w:color="auto" w:fill="auto"/>
            <w:noWrap/>
            <w:vAlign w:val="center"/>
          </w:tcPr>
          <w:p w:rsidR="004B60EA" w:rsidRPr="00475999" w:rsidRDefault="00475999" w:rsidP="00541C15">
            <w:pPr>
              <w:pStyle w:val="ExhibitText"/>
              <w:keepNext/>
              <w:contextualSpacing/>
              <w:jc w:val="center"/>
              <w:rPr>
                <w:b/>
                <w:i/>
                <w:szCs w:val="18"/>
              </w:rPr>
            </w:pPr>
            <w:r>
              <w:rPr>
                <w:b/>
                <w:i/>
                <w:szCs w:val="18"/>
              </w:rPr>
              <w:t>$1,374.4</w:t>
            </w:r>
          </w:p>
        </w:tc>
      </w:tr>
    </w:tbl>
    <w:p w:rsidR="00E70907" w:rsidRPr="00E74906" w:rsidRDefault="00E70907" w:rsidP="00E70907"/>
    <w:p w:rsidR="00E70907" w:rsidRDefault="00E70907" w:rsidP="00E70907">
      <w:pPr>
        <w:pStyle w:val="Heading2"/>
      </w:pPr>
      <w:bookmarkStart w:id="22" w:name="_Toc421022239"/>
      <w:r>
        <w:lastRenderedPageBreak/>
        <w:t>Estimate of Total Capital and Startup Costs/Operation and Maintenance Costs to Respondents or Record-Keepers</w:t>
      </w:r>
      <w:bookmarkEnd w:id="22"/>
    </w:p>
    <w:p w:rsidR="00E70907" w:rsidRPr="00204D13" w:rsidRDefault="00E70907" w:rsidP="00E70907">
      <w:r w:rsidRPr="00073086">
        <w:t xml:space="preserve">There </w:t>
      </w:r>
      <w:proofErr w:type="gramStart"/>
      <w:r w:rsidRPr="00073086">
        <w:t>are</w:t>
      </w:r>
      <w:proofErr w:type="gramEnd"/>
      <w:r w:rsidRPr="00073086">
        <w:t xml:space="preserve"> no annualized capital/startup or ongoing operation and maintenance costs involved in random assignment or the collection of student rosters.</w:t>
      </w:r>
      <w:r>
        <w:t xml:space="preserve"> </w:t>
      </w:r>
    </w:p>
    <w:p w:rsidR="00E70907" w:rsidRDefault="00E70907" w:rsidP="00E70907">
      <w:pPr>
        <w:pStyle w:val="Heading2"/>
      </w:pPr>
      <w:bookmarkStart w:id="23" w:name="_Toc421022240"/>
      <w:r>
        <w:t>Estimates of Costs to the Federal Government</w:t>
      </w:r>
      <w:bookmarkEnd w:id="23"/>
    </w:p>
    <w:p w:rsidR="00E70907" w:rsidRPr="00077889" w:rsidRDefault="00E70907" w:rsidP="00E70907">
      <w:r>
        <w:t xml:space="preserve">The estimated </w:t>
      </w:r>
      <w:r w:rsidRPr="002475C3">
        <w:t>cost to the federal government of the data collection activities for the study as described above is $</w:t>
      </w:r>
      <w:r w:rsidR="002475C3" w:rsidRPr="002475C3">
        <w:t>1,769,371</w:t>
      </w:r>
      <w:r w:rsidRPr="002475C3">
        <w:t>. The data collection activities will be carried out from fall 2015 to fall 2018. Thus, the average annual cost to the federal government is $</w:t>
      </w:r>
      <w:r w:rsidR="002475C3" w:rsidRPr="002475C3">
        <w:t>442,342</w:t>
      </w:r>
      <w:r>
        <w:t>.</w:t>
      </w:r>
    </w:p>
    <w:p w:rsidR="00E70907" w:rsidRDefault="00E70907" w:rsidP="00E70907">
      <w:pPr>
        <w:pStyle w:val="Heading2"/>
      </w:pPr>
      <w:bookmarkStart w:id="24" w:name="_Toc421022241"/>
      <w:r>
        <w:t>Changes in Burden</w:t>
      </w:r>
      <w:bookmarkEnd w:id="24"/>
    </w:p>
    <w:p w:rsidR="00E70907" w:rsidRPr="004B657B" w:rsidRDefault="00E70907" w:rsidP="00E70907">
      <w:pPr>
        <w:pStyle w:val="BodyText"/>
      </w:pPr>
      <w:r>
        <w:t xml:space="preserve">This is </w:t>
      </w:r>
      <w:r w:rsidRPr="004B657B">
        <w:t>a request for a new collection of information.</w:t>
      </w:r>
    </w:p>
    <w:p w:rsidR="00E70907" w:rsidRPr="004B657B" w:rsidRDefault="00E70907" w:rsidP="00E70907">
      <w:pPr>
        <w:pStyle w:val="Heading2"/>
      </w:pPr>
      <w:bookmarkStart w:id="25" w:name="_Toc421022242"/>
      <w:r w:rsidRPr="005B6CE2">
        <w:t>Plans for Analysis, Publication and Schedule</w:t>
      </w:r>
      <w:bookmarkEnd w:id="25"/>
    </w:p>
    <w:p w:rsidR="00154D43" w:rsidRDefault="00154D43" w:rsidP="00154D43">
      <w:pPr>
        <w:pStyle w:val="Heading3"/>
      </w:pPr>
      <w:bookmarkStart w:id="26" w:name="_Toc421022243"/>
      <w:bookmarkStart w:id="27" w:name="_Toc339375104"/>
      <w:r w:rsidRPr="005B6CE2">
        <w:t>Analysis Plans</w:t>
      </w:r>
      <w:bookmarkEnd w:id="26"/>
    </w:p>
    <w:p w:rsidR="00154D43" w:rsidRDefault="00154D43" w:rsidP="00154D43">
      <w:r>
        <w:t>Impact and descriptive analyses will be conducted to answer the study research questions, as described below.</w:t>
      </w:r>
      <w:r w:rsidRPr="006C429E">
        <w:t xml:space="preserve"> </w:t>
      </w:r>
      <w:r>
        <w:t>Part B of this Supporting Statement provides additional methodological detail.</w:t>
      </w:r>
    </w:p>
    <w:p w:rsidR="00154D43" w:rsidRPr="003060A9" w:rsidRDefault="00154D43" w:rsidP="00BF52CB">
      <w:pPr>
        <w:pStyle w:val="Header"/>
        <w:numPr>
          <w:ilvl w:val="0"/>
          <w:numId w:val="27"/>
        </w:numPr>
        <w:pBdr>
          <w:bottom w:val="none" w:sz="0" w:space="0" w:color="auto"/>
        </w:pBdr>
        <w:tabs>
          <w:tab w:val="clear" w:pos="4507"/>
          <w:tab w:val="clear" w:pos="9000"/>
        </w:tabs>
        <w:rPr>
          <w:rFonts w:ascii="Times New Roman" w:hAnsi="Times New Roman"/>
          <w:color w:val="auto"/>
          <w:sz w:val="22"/>
          <w:szCs w:val="22"/>
        </w:rPr>
      </w:pPr>
      <w:r w:rsidRPr="003060A9">
        <w:rPr>
          <w:rFonts w:ascii="Times New Roman" w:hAnsi="Times New Roman"/>
          <w:color w:val="auto"/>
          <w:sz w:val="22"/>
          <w:szCs w:val="22"/>
        </w:rPr>
        <w:t xml:space="preserve">To what extent do the </w:t>
      </w:r>
      <w:r w:rsidR="009E1549">
        <w:rPr>
          <w:rFonts w:ascii="Times New Roman" w:hAnsi="Times New Roman"/>
          <w:color w:val="auto"/>
          <w:sz w:val="22"/>
          <w:szCs w:val="22"/>
        </w:rPr>
        <w:t>messages</w:t>
      </w:r>
      <w:r>
        <w:rPr>
          <w:rFonts w:ascii="Times New Roman" w:hAnsi="Times New Roman"/>
          <w:color w:val="auto"/>
          <w:sz w:val="22"/>
          <w:szCs w:val="22"/>
        </w:rPr>
        <w:t>—</w:t>
      </w:r>
      <w:r w:rsidRPr="003060A9">
        <w:rPr>
          <w:rFonts w:ascii="Times New Roman" w:hAnsi="Times New Roman"/>
          <w:color w:val="auto"/>
          <w:sz w:val="22"/>
          <w:szCs w:val="22"/>
        </w:rPr>
        <w:t xml:space="preserve">above and beyond the services GEAR UP may already provide—improve </w:t>
      </w:r>
      <w:r>
        <w:rPr>
          <w:rFonts w:ascii="Times New Roman" w:hAnsi="Times New Roman"/>
          <w:color w:val="auto"/>
          <w:sz w:val="22"/>
          <w:szCs w:val="22"/>
        </w:rPr>
        <w:t>student outcomes</w:t>
      </w:r>
      <w:r w:rsidRPr="003060A9">
        <w:rPr>
          <w:rFonts w:ascii="Times New Roman" w:hAnsi="Times New Roman"/>
          <w:color w:val="auto"/>
          <w:sz w:val="22"/>
          <w:szCs w:val="22"/>
        </w:rPr>
        <w:t xml:space="preserve">?  </w:t>
      </w:r>
      <w:r w:rsidR="00BF52CB" w:rsidRPr="00BF52CB">
        <w:rPr>
          <w:rFonts w:ascii="Times New Roman" w:hAnsi="Times New Roman"/>
          <w:color w:val="auto"/>
          <w:sz w:val="22"/>
          <w:szCs w:val="22"/>
        </w:rPr>
        <w:t>Is the effect of milestone messaging different with the addition of growth mindset messages?</w:t>
      </w:r>
    </w:p>
    <w:p w:rsidR="00154D43" w:rsidRDefault="00154D43" w:rsidP="00154D43">
      <w:r w:rsidRPr="00DC3338">
        <w:t xml:space="preserve">Given that participating schools are </w:t>
      </w:r>
      <w:r>
        <w:t xml:space="preserve">volunteering to participate in the study </w:t>
      </w:r>
      <w:r w:rsidRPr="00DC3338">
        <w:t>(rather than</w:t>
      </w:r>
      <w:r>
        <w:t xml:space="preserve"> being selected at random</w:t>
      </w:r>
      <w:r w:rsidRPr="00DC3338">
        <w:t xml:space="preserve">) and inferences will be focused </w:t>
      </w:r>
      <w:r>
        <w:t xml:space="preserve">on students in </w:t>
      </w:r>
      <w:r w:rsidRPr="00DC3338">
        <w:t>th</w:t>
      </w:r>
      <w:r>
        <w:t>e</w:t>
      </w:r>
      <w:r w:rsidRPr="00DC3338">
        <w:t xml:space="preserve">se or similar schools, </w:t>
      </w:r>
      <w:r>
        <w:t>the study</w:t>
      </w:r>
      <w:r w:rsidRPr="00DC3338">
        <w:t xml:space="preserve"> </w:t>
      </w:r>
      <w:r>
        <w:t>will</w:t>
      </w:r>
      <w:r w:rsidRPr="00DC3338">
        <w:t xml:space="preserve"> use a model with fixed </w:t>
      </w:r>
      <w:r>
        <w:t>treatment</w:t>
      </w:r>
      <w:r w:rsidRPr="00DC3338">
        <w:t xml:space="preserve"> effects</w:t>
      </w:r>
      <w:r>
        <w:t xml:space="preserve"> to assess the effect of messaging</w:t>
      </w:r>
      <w:r w:rsidRPr="00110DE9">
        <w:t xml:space="preserve"> </w:t>
      </w:r>
      <w:r>
        <w:t>on student outcomes</w:t>
      </w:r>
      <w:r w:rsidRPr="00DC3338">
        <w:t xml:space="preserve"> (</w:t>
      </w:r>
      <w:proofErr w:type="spellStart"/>
      <w:r w:rsidRPr="00DC3338">
        <w:t>Schochet</w:t>
      </w:r>
      <w:proofErr w:type="spellEnd"/>
      <w:r w:rsidRPr="00DC3338">
        <w:t>, 2008)</w:t>
      </w:r>
      <w:r>
        <w:t>.</w:t>
      </w:r>
      <w:r w:rsidRPr="00DC3338">
        <w:rPr>
          <w:rStyle w:val="FootnoteReference"/>
        </w:rPr>
        <w:footnoteReference w:id="6"/>
      </w:r>
      <w:r>
        <w:t xml:space="preserve">The study team will control for student demographic characteristics, including gender, race/ethnicity, </w:t>
      </w:r>
      <w:r w:rsidR="005B1D30">
        <w:t xml:space="preserve">and </w:t>
      </w:r>
      <w:r>
        <w:t>first gener</w:t>
      </w:r>
      <w:r w:rsidR="005B1D30">
        <w:t>ation college student status.</w:t>
      </w:r>
      <w:r>
        <w:t xml:space="preserve"> Reflecting the randomization of students within schools, the study team will include a set of dummy variables for schools and a treatment indicator to provide an estimate of the average impact of the messaging demonstration on students across all schools.</w:t>
      </w:r>
    </w:p>
    <w:p w:rsidR="00154D43" w:rsidRDefault="00154D43" w:rsidP="00154D43">
      <w:pPr>
        <w:rPr>
          <w:rFonts w:eastAsiaTheme="minorEastAsia"/>
        </w:rPr>
      </w:pPr>
      <w:r>
        <w:t xml:space="preserve">The study team will conduct a </w:t>
      </w:r>
      <w:r>
        <w:rPr>
          <w:rFonts w:eastAsiaTheme="minorEastAsia"/>
        </w:rPr>
        <w:t xml:space="preserve">test of the null hypothesis of no treatment impact for each </w:t>
      </w:r>
      <w:r w:rsidR="00FB2E5C">
        <w:rPr>
          <w:rFonts w:eastAsiaTheme="minorEastAsia"/>
        </w:rPr>
        <w:t xml:space="preserve">treatment on each </w:t>
      </w:r>
      <w:r>
        <w:rPr>
          <w:rFonts w:eastAsiaTheme="minorEastAsia"/>
        </w:rPr>
        <w:t>outcome variable.</w:t>
      </w:r>
      <w:r w:rsidR="00FB2E5C" w:rsidRPr="00FB2E5C">
        <w:rPr>
          <w:rStyle w:val="FootnoteReference"/>
          <w:rFonts w:eastAsiaTheme="minorEastAsia"/>
        </w:rPr>
        <w:t xml:space="preserve"> </w:t>
      </w:r>
      <w:r w:rsidR="00FB2E5C">
        <w:rPr>
          <w:rStyle w:val="FootnoteReference"/>
          <w:rFonts w:eastAsiaTheme="minorEastAsia"/>
        </w:rPr>
        <w:footnoteReference w:id="7"/>
      </w:r>
      <w:r>
        <w:rPr>
          <w:rFonts w:eastAsiaTheme="minorEastAsia"/>
        </w:rPr>
        <w:t xml:space="preserve"> The study team will interpret a positive and statistically significant impact at the 5-percent level (using a two-tailed test) as compelling scientific evidence that the intervention improves the targeted outcome (e.g., college enrollment, college persistence, FAFSA completion). For continuous outcome variables, the study team will estimate multilevel linear models; for dichotomous outcomes (e.g., college enrollment, FAFSA completion), the study team will estimate multilevel logistic regression models.</w:t>
      </w:r>
    </w:p>
    <w:p w:rsidR="00154D43" w:rsidRDefault="00154D43" w:rsidP="00154D43">
      <w:pPr>
        <w:pStyle w:val="Heading4"/>
      </w:pPr>
      <w:r>
        <w:t>Multilevel Logistic Regression</w:t>
      </w:r>
    </w:p>
    <w:p w:rsidR="000D2016" w:rsidRDefault="00154D43" w:rsidP="00154D43">
      <w:r>
        <w:t>For dichotomous outcomes (e.g., enrollment, persistence, and FAFSA completion), a logistic regression will be used. This model is:</w:t>
      </w:r>
    </w:p>
    <w:p w:rsidR="00BE1BF1" w:rsidRPr="007161F9" w:rsidRDefault="00400441" w:rsidP="00154D43">
      <w:pPr>
        <w:pStyle w:val="ListParagraph"/>
        <w:numPr>
          <w:ilvl w:val="0"/>
          <w:numId w:val="30"/>
        </w:numPr>
        <w:rPr>
          <w:rFonts w:eastAsiaTheme="minorEastAsia"/>
          <w:sz w:val="24"/>
        </w:rPr>
      </w:pPr>
      <w:r w:rsidRPr="0053079B">
        <w:rPr>
          <w:position w:val="-56"/>
        </w:rPr>
        <w:object w:dxaOrig="530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55pt" o:ole="">
            <v:imagedata r:id="rId16" o:title=""/>
          </v:shape>
          <o:OLEObject Type="Embed" ProgID="Equation.3" ShapeID="_x0000_i1025" DrawAspect="Content" ObjectID="_1496658665" r:id="rId17"/>
        </w:object>
      </w:r>
    </w:p>
    <w:p w:rsidR="00154D43" w:rsidRPr="00E7377A" w:rsidRDefault="00154D43" w:rsidP="00154D43">
      <w:r>
        <w:t xml:space="preserve">Where </w:t>
      </w:r>
      <m:oMath>
        <m:sSub>
          <m:sSubPr>
            <m:ctrlPr>
              <w:rPr>
                <w:rFonts w:ascii="Cambria Math" w:hAnsi="Cambria Math"/>
                <w:i/>
              </w:rPr>
            </m:ctrlPr>
          </m:sSubPr>
          <m:e>
            <m:r>
              <w:rPr>
                <w:rFonts w:ascii="Cambria Math" w:hAnsi="Cambria Math"/>
              </w:rPr>
              <m:t>β</m:t>
            </m:r>
          </m:e>
          <m:sub>
            <m:r>
              <w:rPr>
                <w:rFonts w:ascii="Cambria Math" w:hAnsi="Cambria Math"/>
              </w:rPr>
              <m:t>0</m:t>
            </m:r>
          </m:sub>
        </m:sSub>
      </m:oMath>
      <w:r>
        <w:rPr>
          <w:rFonts w:eastAsiaTheme="minorEastAsia"/>
        </w:rPr>
        <w:t xml:space="preserve"> is the covariate-adjusted log-odds of the outcome occurring (e.g., enrolled in college, completed FAFSA) versus not occurring (e.g., did not enroll in college, did not complete FAFSA) for students in school </w:t>
      </w:r>
      <w:r w:rsidRPr="002D37ED">
        <w:rPr>
          <w:rFonts w:eastAsiaTheme="minorEastAsia"/>
          <w:i/>
        </w:rPr>
        <w:t>j</w:t>
      </w:r>
      <w:r w:rsidR="008932BC">
        <w:rPr>
          <w:rFonts w:eastAsiaTheme="minorEastAsia"/>
        </w:rPr>
        <w:t xml:space="preserve"> and</w:t>
      </w:r>
      <w:r>
        <w:rPr>
          <w:rFonts w:eastAsiaTheme="minorEastAsia"/>
        </w:rPr>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Pr>
          <w:rFonts w:eastAsiaTheme="minorEastAsia"/>
        </w:rPr>
        <w:t xml:space="preserve"> is a regression coefficient indicating the difference in log-odds of the outcome between the treatment and control group</w:t>
      </w:r>
      <w:r w:rsidRPr="00E7377A">
        <w:t>, controlling for all other variables in the model</w:t>
      </w:r>
      <w:proofErr w:type="gramStart"/>
      <w:r w:rsidR="008932BC">
        <w:t>.</w:t>
      </w:r>
      <w:r w:rsidRPr="00E7377A">
        <w:t>.</w:t>
      </w:r>
      <w:proofErr w:type="gramEnd"/>
    </w:p>
    <w:p w:rsidR="00154D43" w:rsidRDefault="00154D43" w:rsidP="00154D43">
      <w:r>
        <w:t xml:space="preserve">To convert estimates produced by logistic regression to an impact measured in percentage point increases in probability of the binary outcome, we calculate the individual level probability of the outcome given treatment implied by individual level covariates and model estimates, we repeat this calculation </w:t>
      </w:r>
      <w:r w:rsidR="00107CDC">
        <w:t>for individuals</w:t>
      </w:r>
      <w:r>
        <w:t xml:space="preserve"> assigned to </w:t>
      </w:r>
      <w:r w:rsidR="00107CDC">
        <w:t>the control group</w:t>
      </w:r>
      <w:r>
        <w:t xml:space="preserve">, and </w:t>
      </w:r>
      <w:r w:rsidR="00107CDC">
        <w:t xml:space="preserve">we </w:t>
      </w:r>
      <w:r>
        <w:t>find the mean difference between these two probabilities.</w:t>
      </w:r>
    </w:p>
    <w:p w:rsidR="00154D43" w:rsidRDefault="00154D43" w:rsidP="00154D43">
      <w:pPr>
        <w:pStyle w:val="Heading4"/>
      </w:pPr>
      <w:r>
        <w:t>Hierarchical Linear Model</w:t>
      </w:r>
    </w:p>
    <w:p w:rsidR="00154D43" w:rsidRDefault="00154D43" w:rsidP="00154D43">
      <w:r>
        <w:t>The following model will be used to estimate program impacts on continuous outcome variables. Given that our core outcome measures (i.e., confirmatory contrasts) are all dichotomous (i.e., college enrollment, FAFSA completion, and persistence into the second year of college), this HLM describes our methodology for assessing exploratory contrasts.</w:t>
      </w:r>
    </w:p>
    <w:p w:rsidR="00154D43" w:rsidRPr="00DC3338" w:rsidRDefault="00154D43" w:rsidP="00154D43">
      <w:pPr>
        <w:spacing w:after="0" w:line="240" w:lineRule="auto"/>
        <w:rPr>
          <w:vertAlign w:val="subscript"/>
          <w:lang w:val="es-ES"/>
        </w:rPr>
      </w:pPr>
      <w:proofErr w:type="spellStart"/>
      <w:r w:rsidRPr="00DC3338">
        <w:rPr>
          <w:lang w:val="es-ES"/>
        </w:rPr>
        <w:t>Y</w:t>
      </w:r>
      <w:r w:rsidRPr="00DC3338">
        <w:rPr>
          <w:vertAlign w:val="subscript"/>
          <w:lang w:val="es-ES"/>
        </w:rPr>
        <w:t>ij</w:t>
      </w:r>
      <w:proofErr w:type="spellEnd"/>
      <w:r w:rsidRPr="00DC3338">
        <w:rPr>
          <w:vertAlign w:val="subscript"/>
          <w:lang w:val="es-ES"/>
        </w:rPr>
        <w:t xml:space="preserve"> </w:t>
      </w:r>
      <w:r w:rsidRPr="00DC3338">
        <w:rPr>
          <w:lang w:val="es-ES"/>
        </w:rPr>
        <w:t>=</w:t>
      </w:r>
      <w:r w:rsidRPr="00DC3338">
        <w:rPr>
          <w:position w:val="-10"/>
        </w:rPr>
        <w:object w:dxaOrig="240" w:dyaOrig="320">
          <v:shape id="_x0000_i1026" type="#_x0000_t75" style="width:12.5pt;height:15.5pt" o:ole="">
            <v:imagedata r:id="rId18" o:title=""/>
          </v:shape>
          <o:OLEObject Type="Embed" ProgID="Equation.3" ShapeID="_x0000_i1026" DrawAspect="Content" ObjectID="_1496658666" r:id="rId19"/>
        </w:object>
      </w:r>
      <w:r w:rsidRPr="00DC3338">
        <w:rPr>
          <w:vertAlign w:val="subscript"/>
          <w:lang w:val="es-ES"/>
        </w:rPr>
        <w:t>0</w:t>
      </w:r>
      <w:r w:rsidRPr="00DC3338">
        <w:rPr>
          <w:lang w:val="es-ES"/>
        </w:rPr>
        <w:t xml:space="preserve"> +</w:t>
      </w:r>
      <w:r w:rsidRPr="00DC3338">
        <w:rPr>
          <w:position w:val="-10"/>
        </w:rPr>
        <w:object w:dxaOrig="240" w:dyaOrig="320">
          <v:shape id="_x0000_i1027" type="#_x0000_t75" style="width:12.5pt;height:15.5pt" o:ole="">
            <v:imagedata r:id="rId20" o:title=""/>
          </v:shape>
          <o:OLEObject Type="Embed" ProgID="Equation.3" ShapeID="_x0000_i1027" DrawAspect="Content" ObjectID="_1496658667" r:id="rId21"/>
        </w:object>
      </w:r>
      <w:r w:rsidRPr="00DC3338">
        <w:rPr>
          <w:vertAlign w:val="subscript"/>
          <w:lang w:val="es-ES"/>
        </w:rPr>
        <w:t xml:space="preserve">1 </w:t>
      </w:r>
      <w:r w:rsidR="008932BC" w:rsidRPr="00DC3338">
        <w:rPr>
          <w:lang w:val="es-ES"/>
        </w:rPr>
        <w:t>(</w:t>
      </w:r>
      <w:proofErr w:type="spellStart"/>
      <w:r w:rsidR="008932BC" w:rsidRPr="00DC3338">
        <w:rPr>
          <w:lang w:val="es-ES"/>
        </w:rPr>
        <w:t>T</w:t>
      </w:r>
      <w:r w:rsidR="008932BC" w:rsidRPr="00DC3338">
        <w:rPr>
          <w:vertAlign w:val="subscript"/>
          <w:lang w:val="es-ES"/>
        </w:rPr>
        <w:t>ij</w:t>
      </w:r>
      <w:proofErr w:type="spellEnd"/>
      <w:r w:rsidR="008932BC" w:rsidRPr="00DC3338">
        <w:rPr>
          <w:lang w:val="es-ES"/>
        </w:rPr>
        <w:t xml:space="preserve">) </w:t>
      </w:r>
      <w:r w:rsidRPr="00DC3338">
        <w:rPr>
          <w:lang w:val="es-ES"/>
        </w:rPr>
        <w:t xml:space="preserve">+ </w:t>
      </w:r>
      <w:r w:rsidRPr="00DC3338">
        <w:rPr>
          <w:position w:val="-10"/>
        </w:rPr>
        <w:object w:dxaOrig="240" w:dyaOrig="320">
          <v:shape id="_x0000_i1028" type="#_x0000_t75" style="width:12.5pt;height:15.5pt" o:ole="">
            <v:imagedata r:id="rId22" o:title=""/>
          </v:shape>
          <o:OLEObject Type="Embed" ProgID="Equation.3" ShapeID="_x0000_i1028" DrawAspect="Content" ObjectID="_1496658668" r:id="rId23"/>
        </w:object>
      </w:r>
      <w:r w:rsidRPr="00DC3338">
        <w:rPr>
          <w:vertAlign w:val="subscript"/>
          <w:lang w:val="es-ES"/>
        </w:rPr>
        <w:t xml:space="preserve">2 </w:t>
      </w:r>
      <w:r w:rsidRPr="00DC3338">
        <w:rPr>
          <w:lang w:val="es-ES"/>
        </w:rPr>
        <w:t>(Y</w:t>
      </w:r>
      <w:r w:rsidRPr="00DC3338">
        <w:rPr>
          <w:vertAlign w:val="superscript"/>
          <w:lang w:val="es-ES"/>
        </w:rPr>
        <w:t>*</w:t>
      </w:r>
      <w:proofErr w:type="spellStart"/>
      <w:r w:rsidRPr="00DC3338">
        <w:rPr>
          <w:vertAlign w:val="subscript"/>
          <w:lang w:val="es-ES"/>
        </w:rPr>
        <w:t>ij</w:t>
      </w:r>
      <w:proofErr w:type="spellEnd"/>
      <w:r w:rsidRPr="00DC3338">
        <w:rPr>
          <w:lang w:val="es-ES"/>
        </w:rPr>
        <w:t>) +</w:t>
      </w:r>
      <w:r>
        <w:rPr>
          <w:lang w:val="es-ES"/>
        </w:rPr>
        <w:t xml:space="preserve"> </w:t>
      </w:r>
      <w:r w:rsidRPr="00DC3338">
        <w:rPr>
          <w:position w:val="-30"/>
        </w:rPr>
        <w:object w:dxaOrig="540" w:dyaOrig="700">
          <v:shape id="_x0000_i1029" type="#_x0000_t75" style="width:24pt;height:35pt" o:ole="">
            <v:imagedata r:id="rId24" o:title=""/>
          </v:shape>
          <o:OLEObject Type="Embed" ProgID="Equation.3" ShapeID="_x0000_i1029" DrawAspect="Content" ObjectID="_1496658669" r:id="rId25"/>
        </w:object>
      </w:r>
      <w:r w:rsidRPr="00DC3338">
        <w:rPr>
          <w:vertAlign w:val="subscript"/>
          <w:lang w:val="es-ES"/>
        </w:rPr>
        <w:t>2+j</w:t>
      </w:r>
      <w:r w:rsidRPr="00DC3338">
        <w:rPr>
          <w:position w:val="-6"/>
          <w:vertAlign w:val="subscript"/>
        </w:rPr>
        <w:object w:dxaOrig="420" w:dyaOrig="279">
          <v:shape id="_x0000_i1030" type="#_x0000_t75" style="width:17.5pt;height:15pt" o:ole="">
            <v:imagedata r:id="rId26" o:title=""/>
          </v:shape>
          <o:OLEObject Type="Embed" ProgID="Equation.3" ShapeID="_x0000_i1030" DrawAspect="Content" ObjectID="_1496658670" r:id="rId27"/>
        </w:object>
      </w:r>
      <w:r w:rsidRPr="00DC3338">
        <w:rPr>
          <w:position w:val="-4"/>
          <w:vertAlign w:val="subscript"/>
          <w:lang w:val="es-ES"/>
        </w:rPr>
        <w:t>j</w:t>
      </w:r>
      <w:r w:rsidRPr="00DC3338">
        <w:rPr>
          <w:lang w:val="es-ES"/>
        </w:rPr>
        <w:t xml:space="preserve"> + </w:t>
      </w:r>
      <w:r w:rsidRPr="00DC3338">
        <w:rPr>
          <w:position w:val="-28"/>
        </w:rPr>
        <w:object w:dxaOrig="540" w:dyaOrig="680">
          <v:shape id="_x0000_i1031" type="#_x0000_t75" style="width:24pt;height:34.5pt" o:ole="">
            <v:imagedata r:id="rId28" o:title=""/>
          </v:shape>
          <o:OLEObject Type="Embed" ProgID="Equation.3" ShapeID="_x0000_i1031" DrawAspect="Content" ObjectID="_1496658671" r:id="rId29"/>
        </w:object>
      </w:r>
      <w:r w:rsidRPr="00DC3338">
        <w:rPr>
          <w:vertAlign w:val="subscript"/>
          <w:lang w:val="es-ES"/>
        </w:rPr>
        <w:t>2</w:t>
      </w:r>
      <w:proofErr w:type="gramStart"/>
      <w:r w:rsidRPr="00DC3338">
        <w:rPr>
          <w:vertAlign w:val="subscript"/>
          <w:lang w:val="es-ES"/>
        </w:rPr>
        <w:t>+(</w:t>
      </w:r>
      <w:proofErr w:type="gramEnd"/>
      <w:r w:rsidRPr="00DC3338">
        <w:rPr>
          <w:vertAlign w:val="subscript"/>
          <w:lang w:val="es-ES"/>
        </w:rPr>
        <w:t>J-1)+m</w:t>
      </w:r>
      <w:r w:rsidRPr="00DC3338">
        <w:rPr>
          <w:position w:val="-4"/>
          <w:vertAlign w:val="subscript"/>
        </w:rPr>
        <w:object w:dxaOrig="279" w:dyaOrig="260">
          <v:shape id="_x0000_i1032" type="#_x0000_t75" style="width:14.5pt;height:14.5pt" o:ole="">
            <v:imagedata r:id="rId30" o:title=""/>
          </v:shape>
          <o:OLEObject Type="Embed" ProgID="Equation.3" ShapeID="_x0000_i1032" DrawAspect="Content" ObjectID="_1496658672" r:id="rId31"/>
        </w:object>
      </w:r>
      <w:proofErr w:type="spellStart"/>
      <w:r w:rsidRPr="00DC3338">
        <w:rPr>
          <w:vertAlign w:val="subscript"/>
          <w:lang w:val="es-ES"/>
        </w:rPr>
        <w:t>m</w:t>
      </w:r>
      <w:r>
        <w:rPr>
          <w:vertAlign w:val="subscript"/>
          <w:lang w:val="es-ES"/>
        </w:rPr>
        <w:t>ij</w:t>
      </w:r>
      <w:proofErr w:type="spellEnd"/>
      <w:r w:rsidRPr="00DC3338">
        <w:rPr>
          <w:vertAlign w:val="subscript"/>
          <w:lang w:val="es-ES"/>
        </w:rPr>
        <w:t xml:space="preserve"> </w:t>
      </w:r>
      <w:r w:rsidRPr="00DC3338">
        <w:rPr>
          <w:lang w:val="es-ES"/>
        </w:rPr>
        <w:t>+</w:t>
      </w:r>
      <w:r w:rsidRPr="00E14424">
        <w:rPr>
          <w:position w:val="-14"/>
        </w:rPr>
        <w:object w:dxaOrig="279" w:dyaOrig="380">
          <v:shape id="_x0000_i1033" type="#_x0000_t75" style="width:14.5pt;height:17.5pt" o:ole="">
            <v:imagedata r:id="rId32" o:title=""/>
          </v:shape>
          <o:OLEObject Type="Embed" ProgID="Equation.3" ShapeID="_x0000_i1033" DrawAspect="Content" ObjectID="_1496658673" r:id="rId33"/>
        </w:object>
      </w:r>
    </w:p>
    <w:p w:rsidR="00154D43" w:rsidRPr="00AB7D51" w:rsidRDefault="00154D43" w:rsidP="00154D43">
      <w:r w:rsidRPr="00AB7D51">
        <w:t>where Y</w:t>
      </w:r>
      <w:r w:rsidRPr="002C5B35">
        <w:rPr>
          <w:i/>
          <w:vertAlign w:val="subscript"/>
        </w:rPr>
        <w:t>ij</w:t>
      </w:r>
      <w:r w:rsidRPr="00AB7D51">
        <w:rPr>
          <w:vertAlign w:val="subscript"/>
        </w:rPr>
        <w:t xml:space="preserve"> </w:t>
      </w:r>
      <w:r>
        <w:rPr>
          <w:rFonts w:eastAsiaTheme="minorEastAsia"/>
        </w:rPr>
        <w:t>is the value of the outcome (e.g., amount of Federal financial aid received) for the</w:t>
      </w:r>
      <w:r w:rsidRPr="002E2818">
        <w:rPr>
          <w:rFonts w:eastAsiaTheme="minorEastAsia"/>
          <w:i/>
        </w:rPr>
        <w:t xml:space="preserve"> i</w:t>
      </w:r>
      <w:r w:rsidRPr="002E2818">
        <w:rPr>
          <w:rFonts w:eastAsiaTheme="minorEastAsia"/>
          <w:i/>
          <w:vertAlign w:val="superscript"/>
        </w:rPr>
        <w:t>th</w:t>
      </w:r>
      <w:r>
        <w:rPr>
          <w:rFonts w:eastAsiaTheme="minorEastAsia"/>
        </w:rPr>
        <w:t xml:space="preserve"> student in the</w:t>
      </w:r>
      <w:r w:rsidRPr="002E2818">
        <w:rPr>
          <w:rFonts w:eastAsiaTheme="minorEastAsia"/>
          <w:i/>
        </w:rPr>
        <w:t xml:space="preserve"> j</w:t>
      </w:r>
      <w:r w:rsidRPr="002E2818">
        <w:rPr>
          <w:rFonts w:eastAsiaTheme="minorEastAsia"/>
          <w:i/>
          <w:vertAlign w:val="superscript"/>
        </w:rPr>
        <w:t>th</w:t>
      </w:r>
      <w:r>
        <w:rPr>
          <w:rFonts w:eastAsiaTheme="minorEastAsia"/>
        </w:rPr>
        <w:t xml:space="preserve"> GEAR UP school; </w:t>
      </w:r>
      <w:r w:rsidRPr="00AB7D51">
        <w:t>T</w:t>
      </w:r>
      <w:r w:rsidRPr="002C5B35">
        <w:rPr>
          <w:i/>
          <w:vertAlign w:val="subscript"/>
        </w:rPr>
        <w:t>ij</w:t>
      </w:r>
      <w:r w:rsidRPr="00AB7D51">
        <w:rPr>
          <w:vertAlign w:val="subscript"/>
        </w:rPr>
        <w:t xml:space="preserve"> </w:t>
      </w:r>
      <w:r w:rsidRPr="00AB7D51">
        <w:t xml:space="preserve">is 1 if student </w:t>
      </w:r>
      <w:r w:rsidRPr="002C5B35">
        <w:rPr>
          <w:i/>
        </w:rPr>
        <w:t>i</w:t>
      </w:r>
      <w:r w:rsidRPr="00AB7D51">
        <w:t xml:space="preserve"> is randomized to </w:t>
      </w:r>
      <w:r>
        <w:t>the</w:t>
      </w:r>
      <w:r w:rsidRPr="00AB7D51">
        <w:t xml:space="preserve"> treatment </w:t>
      </w:r>
      <w:r>
        <w:t>condition</w:t>
      </w:r>
      <w:r w:rsidR="00FB2E5C">
        <w:t xml:space="preserve"> (the impact of each treatment will be modeled) </w:t>
      </w:r>
      <w:r w:rsidRPr="00AB7D51">
        <w:t xml:space="preserve">in schools </w:t>
      </w:r>
      <w:r w:rsidRPr="002C5B35">
        <w:rPr>
          <w:i/>
        </w:rPr>
        <w:t>j</w:t>
      </w:r>
      <w:r w:rsidRPr="00AB7D51">
        <w:t xml:space="preserve"> and 0 if assigned to </w:t>
      </w:r>
      <w:r>
        <w:t>the</w:t>
      </w:r>
      <w:r w:rsidRPr="00AB7D51">
        <w:t xml:space="preserve"> control </w:t>
      </w:r>
      <w:r>
        <w:t>condition</w:t>
      </w:r>
      <w:r w:rsidRPr="00AB7D51">
        <w:t xml:space="preserve"> in school </w:t>
      </w:r>
      <w:r w:rsidRPr="002C5B35">
        <w:rPr>
          <w:i/>
        </w:rPr>
        <w:t>j</w:t>
      </w:r>
      <w:r w:rsidRPr="00AB7D51">
        <w:t>; Y</w:t>
      </w:r>
      <w:r w:rsidRPr="00AB7D51">
        <w:rPr>
          <w:vertAlign w:val="superscript"/>
        </w:rPr>
        <w:t>*</w:t>
      </w:r>
      <w:r w:rsidRPr="002C5B35">
        <w:rPr>
          <w:i/>
          <w:vertAlign w:val="subscript"/>
        </w:rPr>
        <w:t>ij</w:t>
      </w:r>
      <w:r w:rsidRPr="00AB7D51">
        <w:rPr>
          <w:vertAlign w:val="subscript"/>
        </w:rPr>
        <w:t xml:space="preserve"> </w:t>
      </w:r>
      <w:r w:rsidRPr="00AB7D51">
        <w:t xml:space="preserve">is the </w:t>
      </w:r>
      <w:r>
        <w:t>baseline</w:t>
      </w:r>
      <w:r w:rsidRPr="00AB7D51">
        <w:t xml:space="preserve"> score</w:t>
      </w:r>
      <w:r>
        <w:t xml:space="preserve"> for the outcome of interest</w:t>
      </w:r>
      <w:r w:rsidRPr="00AB7D51">
        <w:t xml:space="preserve"> for student </w:t>
      </w:r>
      <w:r w:rsidRPr="002C5B35">
        <w:rPr>
          <w:i/>
        </w:rPr>
        <w:t>i</w:t>
      </w:r>
      <w:r w:rsidRPr="00AB7D51">
        <w:t xml:space="preserve"> in school </w:t>
      </w:r>
      <w:r w:rsidRPr="002C5B35">
        <w:rPr>
          <w:i/>
        </w:rPr>
        <w:t>j</w:t>
      </w:r>
      <w:r w:rsidRPr="00AB7D51">
        <w:t>;</w:t>
      </w:r>
      <w:r w:rsidRPr="00110DE9">
        <w:rPr>
          <w:sz w:val="24"/>
        </w:rPr>
        <w:t xml:space="preserve"> </w:t>
      </w:r>
      <w:r>
        <w:rPr>
          <w:sz w:val="24"/>
        </w:rPr>
        <w:t>Sch</w:t>
      </w:r>
      <w:r>
        <w:rPr>
          <w:sz w:val="24"/>
          <w:vertAlign w:val="subscript"/>
        </w:rPr>
        <w:t>j</w:t>
      </w:r>
      <w:r>
        <w:rPr>
          <w:sz w:val="24"/>
        </w:rPr>
        <w:t xml:space="preserve"> = 1 if student is in school j, =0 else;</w:t>
      </w:r>
      <w:r w:rsidRPr="00AB7D51">
        <w:rPr>
          <w:position w:val="-4"/>
        </w:rPr>
        <w:object w:dxaOrig="279" w:dyaOrig="260">
          <v:shape id="_x0000_i1034" type="#_x0000_t75" style="width:14.5pt;height:14.5pt" o:ole="">
            <v:imagedata r:id="rId34" o:title=""/>
          </v:shape>
          <o:OLEObject Type="Embed" ProgID="Equation.3" ShapeID="_x0000_i1034" DrawAspect="Content" ObjectID="_1496658674" r:id="rId35"/>
        </w:object>
      </w:r>
      <w:proofErr w:type="spellStart"/>
      <w:r w:rsidRPr="002C5B35">
        <w:rPr>
          <w:i/>
          <w:vertAlign w:val="subscript"/>
        </w:rPr>
        <w:t>mij</w:t>
      </w:r>
      <w:proofErr w:type="spellEnd"/>
      <w:r>
        <w:rPr>
          <w:vertAlign w:val="subscript"/>
        </w:rPr>
        <w:t xml:space="preserve"> </w:t>
      </w:r>
      <w:r w:rsidRPr="00AB7D51">
        <w:t>are</w:t>
      </w:r>
      <w:r w:rsidRPr="00AB7D51">
        <w:rPr>
          <w:position w:val="-4"/>
        </w:rPr>
        <w:object w:dxaOrig="300" w:dyaOrig="240">
          <v:shape id="_x0000_i1035" type="#_x0000_t75" style="width:14.5pt;height:12.5pt" o:ole="">
            <v:imagedata r:id="rId36" o:title=""/>
          </v:shape>
          <o:OLEObject Type="Embed" ProgID="Equation.3" ShapeID="_x0000_i1035" DrawAspect="Content" ObjectID="_1496658675" r:id="rId37"/>
        </w:object>
      </w:r>
      <w:r>
        <w:t xml:space="preserve"> </w:t>
      </w:r>
      <w:r w:rsidRPr="00AB7D51">
        <w:t xml:space="preserve">additional covariates representing demographic characteristics of student </w:t>
      </w:r>
      <w:r w:rsidRPr="002C5B35">
        <w:rPr>
          <w:i/>
        </w:rPr>
        <w:t>i</w:t>
      </w:r>
      <w:r w:rsidRPr="00AB7D51">
        <w:t xml:space="preserve"> at school </w:t>
      </w:r>
      <w:r w:rsidRPr="002C5B35">
        <w:rPr>
          <w:i/>
        </w:rPr>
        <w:t>j</w:t>
      </w:r>
      <w:r w:rsidRPr="00AB7D51">
        <w:t xml:space="preserve"> (</w:t>
      </w:r>
      <w:r>
        <w:t>e.g., race/ethnicity, English language learner status</w:t>
      </w:r>
      <w:r w:rsidRPr="00AB7D51">
        <w:t>);</w:t>
      </w:r>
      <w:r w:rsidRPr="00AB7D51">
        <w:rPr>
          <w:position w:val="-10"/>
          <w:vertAlign w:val="subscript"/>
        </w:rPr>
        <w:object w:dxaOrig="240" w:dyaOrig="320">
          <v:shape id="_x0000_i1036" type="#_x0000_t75" style="width:12.5pt;height:15.5pt" o:ole="">
            <v:imagedata r:id="rId38" o:title=""/>
          </v:shape>
          <o:OLEObject Type="Embed" ProgID="Equation.3" ShapeID="_x0000_i1036" DrawAspect="Content" ObjectID="_1496658676" r:id="rId39"/>
        </w:object>
      </w:r>
      <w:r w:rsidRPr="00AB7D51">
        <w:rPr>
          <w:vertAlign w:val="subscript"/>
        </w:rPr>
        <w:t xml:space="preserve">0 </w:t>
      </w:r>
      <w:r w:rsidRPr="00AB7D51">
        <w:t xml:space="preserve">is the conditional mean </w:t>
      </w:r>
      <w:r>
        <w:t>follow-up</w:t>
      </w:r>
      <w:r w:rsidRPr="00AB7D51">
        <w:t xml:space="preserve"> score </w:t>
      </w:r>
      <w:r>
        <w:t xml:space="preserve">for the outcome of interest </w:t>
      </w:r>
      <w:r w:rsidRPr="00AB7D51">
        <w:t xml:space="preserve">for control students; </w:t>
      </w:r>
      <w:r w:rsidRPr="00AB7D51">
        <w:rPr>
          <w:position w:val="-10"/>
        </w:rPr>
        <w:object w:dxaOrig="279" w:dyaOrig="340">
          <v:shape id="_x0000_i1037" type="#_x0000_t75" style="width:15pt;height:17.5pt" o:ole="">
            <v:imagedata r:id="rId40" o:title=""/>
          </v:shape>
          <o:OLEObject Type="Embed" ProgID="Equation.3" ShapeID="_x0000_i1037" DrawAspect="Content" ObjectID="_1496658677" r:id="rId41"/>
        </w:object>
      </w:r>
      <w:r w:rsidRPr="00AB7D51">
        <w:t>is the treatment effect i.e. the mean difference of the outcome between intervention and control students. The overall treatment estimate (</w:t>
      </w:r>
      <w:r w:rsidRPr="00DC3338">
        <w:rPr>
          <w:position w:val="-10"/>
        </w:rPr>
        <w:object w:dxaOrig="240" w:dyaOrig="320">
          <v:shape id="_x0000_i1038" type="#_x0000_t75" style="width:12.5pt;height:15.5pt" o:ole="">
            <v:imagedata r:id="rId22" o:title=""/>
          </v:shape>
          <o:OLEObject Type="Embed" ProgID="Equation.3" ShapeID="_x0000_i1038" DrawAspect="Content" ObjectID="_1496658678" r:id="rId42"/>
        </w:object>
      </w:r>
      <w:r>
        <w:rPr>
          <w:vertAlign w:val="subscript"/>
        </w:rPr>
        <w:t>1</w:t>
      </w:r>
      <w:r w:rsidRPr="00AB7D51">
        <w:t xml:space="preserve">) will be a precision-weighted estimate, where the weights are inversely proportional to the variance of the treatment effect in each school. </w:t>
      </w:r>
      <w:r w:rsidRPr="00AB7D51">
        <w:rPr>
          <w:position w:val="-14"/>
        </w:rPr>
        <w:object w:dxaOrig="279" w:dyaOrig="380">
          <v:shape id="_x0000_i1039" type="#_x0000_t75" style="width:14.5pt;height:22pt" o:ole="">
            <v:imagedata r:id="rId43" o:title=""/>
          </v:shape>
          <o:OLEObject Type="Embed" ProgID="Equation.3" ShapeID="_x0000_i1039" DrawAspect="Content" ObjectID="_1496658679" r:id="rId44"/>
        </w:object>
      </w:r>
      <w:proofErr w:type="gramStart"/>
      <w:r w:rsidRPr="00AB7D51">
        <w:t>is</w:t>
      </w:r>
      <w:proofErr w:type="gramEnd"/>
      <w:r w:rsidRPr="00AB7D51">
        <w:t xml:space="preserve"> the residual</w:t>
      </w:r>
      <w:r>
        <w:t xml:space="preserve"> </w:t>
      </w:r>
      <w:r w:rsidRPr="00AB7D51">
        <w:t xml:space="preserve">error term assumed to be normally distributed with mean 0 and variance </w:t>
      </w:r>
      <w:r w:rsidRPr="00AB7D51">
        <w:rPr>
          <w:position w:val="-6"/>
        </w:rPr>
        <w:object w:dxaOrig="240" w:dyaOrig="220">
          <v:shape id="_x0000_i1040" type="#_x0000_t75" style="width:12.5pt;height:10.5pt" o:ole="">
            <v:imagedata r:id="rId45" o:title=""/>
          </v:shape>
          <o:OLEObject Type="Embed" ProgID="Equation.3" ShapeID="_x0000_i1040" DrawAspect="Content" ObjectID="_1496658680" r:id="rId46"/>
        </w:object>
      </w:r>
      <w:r w:rsidRPr="00AB7D51">
        <w:rPr>
          <w:vertAlign w:val="superscript"/>
        </w:rPr>
        <w:t>2</w:t>
      </w:r>
      <w:r w:rsidRPr="00AB7D51">
        <w:t>.</w:t>
      </w:r>
    </w:p>
    <w:p w:rsidR="00154D43" w:rsidRPr="009D384E" w:rsidRDefault="00154D43" w:rsidP="00154D43">
      <w:pPr>
        <w:pStyle w:val="ListParagraph"/>
        <w:keepNext/>
        <w:keepLines/>
        <w:numPr>
          <w:ilvl w:val="0"/>
          <w:numId w:val="29"/>
        </w:numPr>
        <w:rPr>
          <w:b/>
          <w:szCs w:val="22"/>
        </w:rPr>
      </w:pPr>
      <w:r w:rsidRPr="009D384E">
        <w:rPr>
          <w:b/>
          <w:szCs w:val="22"/>
        </w:rPr>
        <w:lastRenderedPageBreak/>
        <w:t xml:space="preserve">What types of </w:t>
      </w:r>
      <w:r>
        <w:rPr>
          <w:b/>
          <w:szCs w:val="22"/>
        </w:rPr>
        <w:t xml:space="preserve">college advising </w:t>
      </w:r>
      <w:r w:rsidRPr="009D384E">
        <w:rPr>
          <w:b/>
          <w:szCs w:val="22"/>
        </w:rPr>
        <w:t xml:space="preserve">are typically </w:t>
      </w:r>
      <w:r>
        <w:rPr>
          <w:b/>
          <w:szCs w:val="22"/>
        </w:rPr>
        <w:t>received by</w:t>
      </w:r>
      <w:r w:rsidRPr="009D384E">
        <w:rPr>
          <w:b/>
          <w:szCs w:val="22"/>
        </w:rPr>
        <w:t xml:space="preserve"> GEAR UP </w:t>
      </w:r>
      <w:r>
        <w:rPr>
          <w:b/>
          <w:szCs w:val="22"/>
        </w:rPr>
        <w:t>students</w:t>
      </w:r>
      <w:r w:rsidRPr="009D384E">
        <w:rPr>
          <w:b/>
          <w:szCs w:val="22"/>
        </w:rPr>
        <w:t xml:space="preserve">? </w:t>
      </w:r>
    </w:p>
    <w:p w:rsidR="00154D43" w:rsidRDefault="00154D43" w:rsidP="00154D43">
      <w:pPr>
        <w:keepNext/>
        <w:keepLines/>
      </w:pPr>
      <w:r>
        <w:t xml:space="preserve">Descriptive analyses will be used to provide information on the types of college advising GEAR UP students typically receive. </w:t>
      </w:r>
      <w:r w:rsidR="0049232E">
        <w:t xml:space="preserve">It is important to understand the existing college advising to which the messaging will be added. Further, this collection and analysis has the added benefit of filling a gap in program information about the intensity of and emphasis on college advising. </w:t>
      </w:r>
      <w:r>
        <w:t>The study team will describe the types and intensity</w:t>
      </w:r>
      <w:r w:rsidR="0049232E">
        <w:t xml:space="preserve"> of college advising regularly </w:t>
      </w:r>
      <w:r>
        <w:t>received by GEAR UP students at the high school level as reported on the student survey. One example of the type of college advising that might be received by students is</w:t>
      </w:r>
      <w:r w:rsidRPr="00BD379C">
        <w:t xml:space="preserve"> one-on-one counseling or advising session</w:t>
      </w:r>
      <w:r>
        <w:t>s</w:t>
      </w:r>
      <w:r w:rsidRPr="00BD379C">
        <w:t xml:space="preserve"> about </w:t>
      </w:r>
      <w:r>
        <w:t>applying to</w:t>
      </w:r>
      <w:r w:rsidRPr="00BD379C">
        <w:t xml:space="preserve"> college</w:t>
      </w:r>
      <w:r>
        <w:t xml:space="preserve">; the study team would describe the percent of students </w:t>
      </w:r>
      <w:r w:rsidRPr="00BD379C">
        <w:t>attend</w:t>
      </w:r>
      <w:r>
        <w:t xml:space="preserve">ing such sessions. These results will provide another important source of contextual information for interpreting impact findings. </w:t>
      </w:r>
    </w:p>
    <w:p w:rsidR="00154D43" w:rsidRPr="003060A9" w:rsidRDefault="00154D43" w:rsidP="00154D43">
      <w:pPr>
        <w:pStyle w:val="Header"/>
        <w:numPr>
          <w:ilvl w:val="0"/>
          <w:numId w:val="29"/>
        </w:numPr>
        <w:pBdr>
          <w:bottom w:val="none" w:sz="0" w:space="0" w:color="auto"/>
        </w:pBdr>
        <w:tabs>
          <w:tab w:val="clear" w:pos="4507"/>
          <w:tab w:val="clear" w:pos="9000"/>
        </w:tabs>
        <w:rPr>
          <w:rFonts w:ascii="Times New Roman" w:hAnsi="Times New Roman"/>
          <w:color w:val="auto"/>
          <w:sz w:val="22"/>
          <w:szCs w:val="22"/>
        </w:rPr>
      </w:pPr>
      <w:r w:rsidRPr="003060A9">
        <w:rPr>
          <w:rFonts w:ascii="Times New Roman" w:hAnsi="Times New Roman"/>
          <w:color w:val="auto"/>
          <w:sz w:val="22"/>
          <w:szCs w:val="22"/>
        </w:rPr>
        <w:t xml:space="preserve">Is there variation in the impact of the </w:t>
      </w:r>
      <w:r>
        <w:rPr>
          <w:rFonts w:ascii="Times New Roman" w:hAnsi="Times New Roman"/>
          <w:color w:val="auto"/>
          <w:sz w:val="22"/>
          <w:szCs w:val="22"/>
        </w:rPr>
        <w:t>messages</w:t>
      </w:r>
      <w:r w:rsidRPr="003060A9">
        <w:rPr>
          <w:rFonts w:ascii="Times New Roman" w:hAnsi="Times New Roman"/>
          <w:color w:val="auto"/>
          <w:sz w:val="22"/>
          <w:szCs w:val="22"/>
        </w:rPr>
        <w:t>, and to what extent is the variation associated with</w:t>
      </w:r>
      <w:r>
        <w:rPr>
          <w:rFonts w:ascii="Times New Roman" w:hAnsi="Times New Roman"/>
          <w:color w:val="auto"/>
          <w:sz w:val="22"/>
          <w:szCs w:val="22"/>
        </w:rPr>
        <w:t xml:space="preserve"> student characteristics</w:t>
      </w:r>
      <w:r w:rsidR="003B1E89">
        <w:rPr>
          <w:rFonts w:ascii="Times New Roman" w:hAnsi="Times New Roman"/>
          <w:color w:val="auto"/>
          <w:sz w:val="22"/>
          <w:szCs w:val="22"/>
        </w:rPr>
        <w:t xml:space="preserve"> </w:t>
      </w:r>
      <w:r>
        <w:rPr>
          <w:rFonts w:ascii="Times New Roman" w:hAnsi="Times New Roman"/>
          <w:color w:val="auto"/>
          <w:sz w:val="22"/>
          <w:szCs w:val="22"/>
        </w:rPr>
        <w:t>or</w:t>
      </w:r>
      <w:r w:rsidRPr="003060A9">
        <w:rPr>
          <w:rFonts w:ascii="Times New Roman" w:hAnsi="Times New Roman"/>
          <w:color w:val="auto"/>
          <w:sz w:val="22"/>
          <w:szCs w:val="22"/>
        </w:rPr>
        <w:t xml:space="preserve"> features of the GEAR UP project or </w:t>
      </w:r>
      <w:r>
        <w:rPr>
          <w:rFonts w:ascii="Times New Roman" w:hAnsi="Times New Roman"/>
          <w:color w:val="auto"/>
          <w:sz w:val="22"/>
          <w:szCs w:val="22"/>
        </w:rPr>
        <w:t>school</w:t>
      </w:r>
      <w:r w:rsidRPr="003060A9">
        <w:rPr>
          <w:rFonts w:ascii="Times New Roman" w:hAnsi="Times New Roman"/>
          <w:color w:val="auto"/>
          <w:sz w:val="22"/>
          <w:szCs w:val="22"/>
        </w:rPr>
        <w:t xml:space="preserve">? </w:t>
      </w:r>
    </w:p>
    <w:p w:rsidR="00154D43" w:rsidRDefault="00154D43" w:rsidP="00154D43">
      <w:r>
        <w:t xml:space="preserve">To examine variation in program impacts by </w:t>
      </w:r>
      <w:r>
        <w:rPr>
          <w:szCs w:val="22"/>
        </w:rPr>
        <w:t>student characteristics or</w:t>
      </w:r>
      <w:r w:rsidRPr="003060A9">
        <w:rPr>
          <w:szCs w:val="22"/>
        </w:rPr>
        <w:t xml:space="preserve"> features of the GEAR UP project or </w:t>
      </w:r>
      <w:r>
        <w:rPr>
          <w:szCs w:val="22"/>
        </w:rPr>
        <w:t xml:space="preserve">school, the study team </w:t>
      </w:r>
      <w:r>
        <w:t xml:space="preserve">will include </w:t>
      </w:r>
      <w:r w:rsidRPr="00DB5CC3">
        <w:t xml:space="preserve">an interaction of the treatment </w:t>
      </w:r>
      <w:r>
        <w:t xml:space="preserve">indicator </w:t>
      </w:r>
      <w:r w:rsidRPr="00DB5CC3">
        <w:t xml:space="preserve">with </w:t>
      </w:r>
      <w:r>
        <w:t>the</w:t>
      </w:r>
      <w:r w:rsidRPr="00DB5CC3">
        <w:t xml:space="preserve"> subgroup variable</w:t>
      </w:r>
      <w:r>
        <w:t xml:space="preserve"> of interest</w:t>
      </w:r>
      <w:r w:rsidRPr="00DC3338">
        <w:t xml:space="preserve"> </w:t>
      </w:r>
      <w:r w:rsidRPr="00DB5CC3">
        <w:t>in the impact model</w:t>
      </w:r>
      <w:r>
        <w:t>s</w:t>
      </w:r>
      <w:r w:rsidRPr="00DB5CC3">
        <w:t xml:space="preserve"> </w:t>
      </w:r>
      <w:r>
        <w:t>described above.</w:t>
      </w:r>
      <w:r w:rsidRPr="00DC3338">
        <w:rPr>
          <w:rStyle w:val="FootnoteReference"/>
        </w:rPr>
        <w:footnoteReference w:id="8"/>
      </w:r>
      <w:r w:rsidRPr="00DC3338">
        <w:t xml:space="preserve"> </w:t>
      </w:r>
      <w:r>
        <w:t xml:space="preserve"> The study team will include interaction terms in the model for our core dichotomous outcomes of college enrollment, FAFSA completion, and college persistence (i.e., equation 1 above), allowing the treatment impact to vary by student characteristics, such as knowledge of the college application process, understanding of financial aid options and college costs, or amount of college advising received (e.g.</w:t>
      </w:r>
      <w:r w:rsidR="00A77812">
        <w:t xml:space="preserve">, </w:t>
      </w:r>
      <w:r w:rsidRPr="00BD379C">
        <w:t>one-on-one counseling or advising session</w:t>
      </w:r>
      <w:r>
        <w:t>s</w:t>
      </w:r>
      <w:r w:rsidRPr="00BD379C">
        <w:t xml:space="preserve"> about </w:t>
      </w:r>
      <w:r>
        <w:t>applying to</w:t>
      </w:r>
      <w:r w:rsidRPr="00BD379C">
        <w:t xml:space="preserve"> college</w:t>
      </w:r>
      <w:r>
        <w:t xml:space="preserve"> ) – or by program characteristics such as whether the GEAR UP program was funded under a state grant or a partnerships grant. </w:t>
      </w:r>
      <w:r w:rsidRPr="00DC3338">
        <w:t>If significant interaction effects</w:t>
      </w:r>
      <w:r>
        <w:t xml:space="preserve"> are found</w:t>
      </w:r>
      <w:r w:rsidRPr="00DC3338">
        <w:t xml:space="preserve">, </w:t>
      </w:r>
      <w:r>
        <w:t xml:space="preserve">the sample will be broken into </w:t>
      </w:r>
      <w:r w:rsidRPr="00DC3338">
        <w:t>subgroups</w:t>
      </w:r>
      <w:r>
        <w:t xml:space="preserve">, </w:t>
      </w:r>
      <w:r w:rsidRPr="00DC3338">
        <w:t>the treatment</w:t>
      </w:r>
      <w:r>
        <w:t xml:space="preserve"> effect will be estimated</w:t>
      </w:r>
      <w:r w:rsidRPr="00DC3338">
        <w:t xml:space="preserve"> for each </w:t>
      </w:r>
      <w:r>
        <w:t xml:space="preserve">subgroup, and </w:t>
      </w:r>
      <w:r w:rsidRPr="00DC3338">
        <w:t>the means and variances of the subgroup</w:t>
      </w:r>
      <w:r>
        <w:t xml:space="preserve"> will be compared</w:t>
      </w:r>
      <w:r w:rsidR="00A77812">
        <w:t>.</w:t>
      </w:r>
    </w:p>
    <w:p w:rsidR="00E70907" w:rsidRDefault="00E70907" w:rsidP="00E70907">
      <w:pPr>
        <w:pStyle w:val="Heading3"/>
      </w:pPr>
      <w:bookmarkStart w:id="28" w:name="_Toc408902159"/>
      <w:bookmarkStart w:id="29" w:name="_Toc408902160"/>
      <w:bookmarkStart w:id="30" w:name="_Toc408902161"/>
      <w:bookmarkStart w:id="31" w:name="_Toc421022244"/>
      <w:bookmarkEnd w:id="27"/>
      <w:bookmarkEnd w:id="28"/>
      <w:bookmarkEnd w:id="29"/>
      <w:bookmarkEnd w:id="30"/>
      <w:r>
        <w:t>Timeline and Publication plans</w:t>
      </w:r>
      <w:bookmarkEnd w:id="31"/>
    </w:p>
    <w:p w:rsidR="00E70907" w:rsidRDefault="00E70907" w:rsidP="00E70907">
      <w:pPr>
        <w:pStyle w:val="Heading4"/>
      </w:pPr>
      <w:r>
        <w:t xml:space="preserve">Timeline </w:t>
      </w:r>
    </w:p>
    <w:p w:rsidR="00E70907" w:rsidRDefault="00E70907" w:rsidP="00E70907">
      <w:r>
        <w:t xml:space="preserve">The study is expected to be conducted across </w:t>
      </w:r>
      <w:r w:rsidR="00964AC0">
        <w:t xml:space="preserve">five </w:t>
      </w:r>
      <w:r w:rsidR="00EA3656">
        <w:t>years. Exhibit A-6</w:t>
      </w:r>
      <w:r>
        <w:t xml:space="preserve"> (below) displays the full study timeline. The </w:t>
      </w:r>
      <w:r w:rsidR="00964AC0">
        <w:t xml:space="preserve">student baseline survey will be administered in the spring of 2017, </w:t>
      </w:r>
      <w:r w:rsidR="00961DDB">
        <w:t>the random assignment will take place in the late spring of 2017</w:t>
      </w:r>
      <w:r w:rsidR="00964AC0">
        <w:t xml:space="preserve">. </w:t>
      </w:r>
      <w:r w:rsidR="00961DDB">
        <w:t>NSC</w:t>
      </w:r>
      <w:r w:rsidR="00964AC0">
        <w:t xml:space="preserve"> and </w:t>
      </w:r>
      <w:r w:rsidR="00961DDB">
        <w:t xml:space="preserve">FSA </w:t>
      </w:r>
      <w:r w:rsidR="00964AC0">
        <w:t>data will be collected in the fall of 2017 and 2018</w:t>
      </w:r>
      <w:r>
        <w:t xml:space="preserve">. </w:t>
      </w:r>
    </w:p>
    <w:p w:rsidR="00E70907" w:rsidRDefault="00EA3656" w:rsidP="00E70907">
      <w:pPr>
        <w:pStyle w:val="Caption"/>
        <w:ind w:left="0" w:firstLine="0"/>
      </w:pPr>
      <w:r>
        <w:t>Exhibit A-6</w:t>
      </w:r>
      <w:r w:rsidR="00E70907" w:rsidRPr="00742317">
        <w:t xml:space="preserve"> Study </w:t>
      </w:r>
      <w:r w:rsidR="00E70907">
        <w:t>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905"/>
        <w:gridCol w:w="5401"/>
      </w:tblGrid>
      <w:tr w:rsidR="00E70907" w:rsidRPr="00744F01" w:rsidTr="00045B6C">
        <w:tc>
          <w:tcPr>
            <w:tcW w:w="1915" w:type="dxa"/>
            <w:shd w:val="clear" w:color="auto" w:fill="C3C6A8"/>
          </w:tcPr>
          <w:p w:rsidR="00E70907" w:rsidRPr="00BD7FF1" w:rsidRDefault="00E70907" w:rsidP="00045B6C">
            <w:pPr>
              <w:spacing w:after="0" w:line="240" w:lineRule="auto"/>
              <w:rPr>
                <w:sz w:val="20"/>
                <w:szCs w:val="20"/>
              </w:rPr>
            </w:pPr>
          </w:p>
        </w:tc>
        <w:tc>
          <w:tcPr>
            <w:tcW w:w="1915" w:type="dxa"/>
            <w:shd w:val="clear" w:color="auto" w:fill="C3C6A8"/>
          </w:tcPr>
          <w:p w:rsidR="00E70907" w:rsidRPr="00BD7FF1" w:rsidRDefault="00E70907" w:rsidP="00045B6C">
            <w:pPr>
              <w:spacing w:after="0" w:line="240" w:lineRule="auto"/>
              <w:rPr>
                <w:b/>
                <w:sz w:val="20"/>
                <w:szCs w:val="20"/>
              </w:rPr>
            </w:pPr>
            <w:r w:rsidRPr="00BD7FF1">
              <w:rPr>
                <w:b/>
                <w:sz w:val="20"/>
                <w:szCs w:val="20"/>
              </w:rPr>
              <w:t>Timeframe</w:t>
            </w:r>
          </w:p>
        </w:tc>
        <w:tc>
          <w:tcPr>
            <w:tcW w:w="5458" w:type="dxa"/>
            <w:shd w:val="clear" w:color="auto" w:fill="C3C6A8"/>
          </w:tcPr>
          <w:p w:rsidR="00E70907" w:rsidRPr="00BD7FF1" w:rsidRDefault="00E70907" w:rsidP="00045B6C">
            <w:pPr>
              <w:spacing w:after="0" w:line="240" w:lineRule="auto"/>
              <w:rPr>
                <w:b/>
                <w:sz w:val="20"/>
                <w:szCs w:val="20"/>
              </w:rPr>
            </w:pPr>
            <w:r w:rsidRPr="00BD7FF1">
              <w:rPr>
                <w:b/>
                <w:sz w:val="20"/>
                <w:szCs w:val="20"/>
              </w:rPr>
              <w:t>Activity</w:t>
            </w:r>
          </w:p>
        </w:tc>
      </w:tr>
      <w:tr w:rsidR="00E70907" w:rsidRPr="00744F01" w:rsidTr="00045B6C">
        <w:tc>
          <w:tcPr>
            <w:tcW w:w="1915" w:type="dxa"/>
            <w:vMerge w:val="restart"/>
            <w:shd w:val="clear" w:color="auto" w:fill="auto"/>
            <w:vAlign w:val="center"/>
          </w:tcPr>
          <w:p w:rsidR="00E70907" w:rsidRPr="00BD7FF1" w:rsidRDefault="00E70907" w:rsidP="00045B6C">
            <w:pPr>
              <w:spacing w:after="0" w:line="240" w:lineRule="auto"/>
              <w:jc w:val="center"/>
              <w:rPr>
                <w:b/>
                <w:sz w:val="20"/>
                <w:szCs w:val="20"/>
              </w:rPr>
            </w:pPr>
            <w:r w:rsidRPr="00BD7FF1">
              <w:rPr>
                <w:b/>
                <w:sz w:val="20"/>
                <w:szCs w:val="20"/>
              </w:rPr>
              <w:t>Planning</w:t>
            </w: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Fall 2014</w:t>
            </w:r>
          </w:p>
        </w:tc>
        <w:tc>
          <w:tcPr>
            <w:tcW w:w="5458" w:type="dxa"/>
            <w:shd w:val="clear" w:color="auto" w:fill="auto"/>
          </w:tcPr>
          <w:p w:rsidR="00E70907" w:rsidRPr="00BD7FF1" w:rsidRDefault="00E70907" w:rsidP="00045B6C">
            <w:pPr>
              <w:autoSpaceDE w:val="0"/>
              <w:autoSpaceDN w:val="0"/>
              <w:adjustRightInd w:val="0"/>
              <w:spacing w:after="0" w:line="240" w:lineRule="auto"/>
              <w:rPr>
                <w:sz w:val="20"/>
                <w:szCs w:val="20"/>
              </w:rPr>
            </w:pPr>
            <w:r w:rsidRPr="00BD7FF1">
              <w:rPr>
                <w:sz w:val="20"/>
                <w:szCs w:val="20"/>
              </w:rPr>
              <w:t>Refine the study design and develop data collection forms</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Winter 2015</w:t>
            </w:r>
          </w:p>
        </w:tc>
        <w:tc>
          <w:tcPr>
            <w:tcW w:w="5458" w:type="dxa"/>
            <w:shd w:val="clear" w:color="auto" w:fill="auto"/>
          </w:tcPr>
          <w:p w:rsidR="00E70907" w:rsidRPr="00BD7FF1" w:rsidRDefault="00E70907" w:rsidP="00045B6C">
            <w:pPr>
              <w:autoSpaceDE w:val="0"/>
              <w:autoSpaceDN w:val="0"/>
              <w:adjustRightInd w:val="0"/>
              <w:spacing w:after="0" w:line="240" w:lineRule="auto"/>
              <w:rPr>
                <w:sz w:val="20"/>
                <w:szCs w:val="20"/>
              </w:rPr>
            </w:pPr>
            <w:r w:rsidRPr="00BD7FF1">
              <w:rPr>
                <w:sz w:val="20"/>
                <w:szCs w:val="20"/>
              </w:rPr>
              <w:t>Revise data collection forms; obtain approval from Abt’s Institutional Review Board (IRB); intervention design</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Spring 2015</w:t>
            </w:r>
          </w:p>
        </w:tc>
        <w:tc>
          <w:tcPr>
            <w:tcW w:w="5458" w:type="dxa"/>
            <w:shd w:val="clear" w:color="auto" w:fill="auto"/>
          </w:tcPr>
          <w:p w:rsidR="00E70907" w:rsidRPr="00BD7FF1" w:rsidRDefault="00E70907" w:rsidP="00045B6C">
            <w:pPr>
              <w:autoSpaceDE w:val="0"/>
              <w:autoSpaceDN w:val="0"/>
              <w:adjustRightInd w:val="0"/>
              <w:spacing w:after="0" w:line="240" w:lineRule="auto"/>
              <w:rPr>
                <w:sz w:val="20"/>
                <w:szCs w:val="20"/>
              </w:rPr>
            </w:pPr>
            <w:r w:rsidRPr="00BD7FF1">
              <w:rPr>
                <w:sz w:val="20"/>
                <w:szCs w:val="20"/>
              </w:rPr>
              <w:t>Submit Office of Management and Budget (OMB) package (for approval by October); refine intervention design</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Summer 2015</w:t>
            </w:r>
          </w:p>
        </w:tc>
        <w:tc>
          <w:tcPr>
            <w:tcW w:w="5458" w:type="dxa"/>
            <w:shd w:val="clear" w:color="auto" w:fill="auto"/>
          </w:tcPr>
          <w:p w:rsidR="00E70907" w:rsidRPr="00BD7FF1" w:rsidRDefault="00E70907" w:rsidP="00045B6C">
            <w:pPr>
              <w:autoSpaceDE w:val="0"/>
              <w:autoSpaceDN w:val="0"/>
              <w:adjustRightInd w:val="0"/>
              <w:spacing w:after="0" w:line="240" w:lineRule="auto"/>
              <w:rPr>
                <w:sz w:val="20"/>
                <w:szCs w:val="20"/>
              </w:rPr>
            </w:pPr>
            <w:r w:rsidRPr="00BD7FF1">
              <w:rPr>
                <w:sz w:val="20"/>
                <w:szCs w:val="20"/>
              </w:rPr>
              <w:t>Refine intervention design; revise OMB package as needed</w:t>
            </w:r>
          </w:p>
          <w:p w:rsidR="00E70907" w:rsidRPr="00BD7FF1" w:rsidRDefault="00E70907" w:rsidP="00045B6C">
            <w:pPr>
              <w:autoSpaceDE w:val="0"/>
              <w:autoSpaceDN w:val="0"/>
              <w:adjustRightInd w:val="0"/>
              <w:spacing w:after="0" w:line="240" w:lineRule="auto"/>
              <w:rPr>
                <w:sz w:val="20"/>
                <w:szCs w:val="20"/>
              </w:rPr>
            </w:pPr>
            <w:r w:rsidRPr="00BD7FF1">
              <w:rPr>
                <w:sz w:val="20"/>
                <w:szCs w:val="20"/>
              </w:rPr>
              <w:t>Recruitment</w:t>
            </w:r>
          </w:p>
        </w:tc>
      </w:tr>
      <w:tr w:rsidR="00E70907" w:rsidRPr="00744F01" w:rsidTr="00045B6C">
        <w:tc>
          <w:tcPr>
            <w:tcW w:w="1915" w:type="dxa"/>
            <w:vMerge w:val="restart"/>
            <w:shd w:val="clear" w:color="auto" w:fill="auto"/>
            <w:vAlign w:val="center"/>
          </w:tcPr>
          <w:p w:rsidR="00E70907" w:rsidRPr="00BD7FF1" w:rsidRDefault="00E70907" w:rsidP="00045B6C">
            <w:pPr>
              <w:spacing w:after="0" w:line="240" w:lineRule="auto"/>
              <w:jc w:val="center"/>
              <w:rPr>
                <w:b/>
                <w:sz w:val="20"/>
                <w:szCs w:val="20"/>
              </w:rPr>
            </w:pPr>
            <w:r w:rsidRPr="00BD7FF1">
              <w:rPr>
                <w:b/>
                <w:sz w:val="20"/>
                <w:szCs w:val="20"/>
              </w:rPr>
              <w:t>Recruitment</w:t>
            </w: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Fall 2015</w:t>
            </w:r>
          </w:p>
        </w:tc>
        <w:tc>
          <w:tcPr>
            <w:tcW w:w="5458" w:type="dxa"/>
            <w:shd w:val="clear" w:color="auto" w:fill="auto"/>
          </w:tcPr>
          <w:p w:rsidR="00E70907" w:rsidRPr="00BD7FF1" w:rsidRDefault="00E70907" w:rsidP="00045B6C">
            <w:pPr>
              <w:autoSpaceDE w:val="0"/>
              <w:autoSpaceDN w:val="0"/>
              <w:adjustRightInd w:val="0"/>
              <w:spacing w:after="0" w:line="240" w:lineRule="auto"/>
              <w:rPr>
                <w:sz w:val="20"/>
                <w:szCs w:val="20"/>
              </w:rPr>
            </w:pPr>
            <w:r w:rsidRPr="00BD7FF1">
              <w:rPr>
                <w:sz w:val="20"/>
                <w:szCs w:val="20"/>
              </w:rPr>
              <w:t>Develop recruitment materials; Finalize intervention design</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Winter 2016</w:t>
            </w:r>
          </w:p>
        </w:tc>
        <w:tc>
          <w:tcPr>
            <w:tcW w:w="5458" w:type="dxa"/>
            <w:shd w:val="clear" w:color="auto" w:fill="auto"/>
          </w:tcPr>
          <w:p w:rsidR="00E70907" w:rsidRPr="00BD7FF1" w:rsidRDefault="00E70907" w:rsidP="009E1549">
            <w:pPr>
              <w:autoSpaceDE w:val="0"/>
              <w:autoSpaceDN w:val="0"/>
              <w:adjustRightInd w:val="0"/>
              <w:spacing w:after="0" w:line="240" w:lineRule="auto"/>
              <w:rPr>
                <w:sz w:val="20"/>
                <w:szCs w:val="20"/>
              </w:rPr>
            </w:pPr>
            <w:r w:rsidRPr="00BD7FF1">
              <w:rPr>
                <w:sz w:val="20"/>
                <w:szCs w:val="20"/>
              </w:rPr>
              <w:t xml:space="preserve">Recruit GEAR UP grantees and schools; Setup intervention </w:t>
            </w:r>
            <w:r w:rsidR="009E1549">
              <w:rPr>
                <w:sz w:val="20"/>
                <w:szCs w:val="20"/>
              </w:rPr>
              <w:lastRenderedPageBreak/>
              <w:t>message</w:t>
            </w:r>
            <w:r w:rsidRPr="00BD7FF1">
              <w:rPr>
                <w:sz w:val="20"/>
                <w:szCs w:val="20"/>
              </w:rPr>
              <w:t xml:space="preserve"> delivery system.</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Spring 2016</w:t>
            </w:r>
          </w:p>
        </w:tc>
        <w:tc>
          <w:tcPr>
            <w:tcW w:w="5458" w:type="dxa"/>
            <w:shd w:val="clear" w:color="auto" w:fill="auto"/>
          </w:tcPr>
          <w:p w:rsidR="00E70907" w:rsidRPr="00BD7FF1" w:rsidRDefault="00E70907" w:rsidP="00045B6C">
            <w:pPr>
              <w:autoSpaceDE w:val="0"/>
              <w:autoSpaceDN w:val="0"/>
              <w:adjustRightInd w:val="0"/>
              <w:spacing w:after="0" w:line="240" w:lineRule="auto"/>
              <w:rPr>
                <w:sz w:val="20"/>
                <w:szCs w:val="20"/>
              </w:rPr>
            </w:pPr>
            <w:r w:rsidRPr="00BD7FF1">
              <w:rPr>
                <w:sz w:val="20"/>
                <w:szCs w:val="20"/>
              </w:rPr>
              <w:t>Ensure schools and districts have necessary approval from their review boards</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Summer 2016</w:t>
            </w:r>
          </w:p>
        </w:tc>
        <w:tc>
          <w:tcPr>
            <w:tcW w:w="5458" w:type="dxa"/>
            <w:shd w:val="clear" w:color="auto" w:fill="auto"/>
          </w:tcPr>
          <w:p w:rsidR="00E70907" w:rsidRPr="00BD7FF1" w:rsidRDefault="00E70907" w:rsidP="00045B6C">
            <w:pPr>
              <w:spacing w:after="0" w:line="240" w:lineRule="auto"/>
              <w:rPr>
                <w:sz w:val="20"/>
                <w:szCs w:val="20"/>
              </w:rPr>
            </w:pPr>
            <w:r w:rsidRPr="00BD7FF1">
              <w:rPr>
                <w:sz w:val="20"/>
                <w:szCs w:val="20"/>
              </w:rPr>
              <w:t>Finalize commitments from grantees and schools</w:t>
            </w:r>
          </w:p>
        </w:tc>
      </w:tr>
      <w:tr w:rsidR="00E70907" w:rsidRPr="00744F01" w:rsidTr="00045B6C">
        <w:tc>
          <w:tcPr>
            <w:tcW w:w="1915" w:type="dxa"/>
            <w:vMerge w:val="restart"/>
            <w:shd w:val="clear" w:color="auto" w:fill="auto"/>
            <w:vAlign w:val="center"/>
          </w:tcPr>
          <w:p w:rsidR="00E70907" w:rsidRPr="00BD7FF1" w:rsidRDefault="00E70907" w:rsidP="00045B6C">
            <w:pPr>
              <w:spacing w:after="0" w:line="240" w:lineRule="auto"/>
              <w:jc w:val="center"/>
              <w:rPr>
                <w:b/>
                <w:sz w:val="20"/>
                <w:szCs w:val="20"/>
              </w:rPr>
            </w:pPr>
            <w:r w:rsidRPr="00BD7FF1">
              <w:rPr>
                <w:b/>
                <w:sz w:val="20"/>
                <w:szCs w:val="20"/>
              </w:rPr>
              <w:t>Roster and Baseline Data Collection</w:t>
            </w: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Fall 2016</w:t>
            </w:r>
          </w:p>
        </w:tc>
        <w:tc>
          <w:tcPr>
            <w:tcW w:w="5458" w:type="dxa"/>
            <w:shd w:val="clear" w:color="auto" w:fill="auto"/>
          </w:tcPr>
          <w:p w:rsidR="00E70907" w:rsidRPr="00BD7FF1" w:rsidRDefault="00E70907" w:rsidP="00045B6C">
            <w:pPr>
              <w:autoSpaceDE w:val="0"/>
              <w:autoSpaceDN w:val="0"/>
              <w:adjustRightInd w:val="0"/>
              <w:spacing w:after="0" w:line="240" w:lineRule="auto"/>
              <w:rPr>
                <w:sz w:val="20"/>
                <w:szCs w:val="20"/>
              </w:rPr>
            </w:pPr>
            <w:r w:rsidRPr="00BD7FF1">
              <w:rPr>
                <w:sz w:val="20"/>
                <w:szCs w:val="20"/>
              </w:rPr>
              <w:t>Collect 12th grade rosters from participating schools</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Winter 2016</w:t>
            </w:r>
          </w:p>
        </w:tc>
        <w:tc>
          <w:tcPr>
            <w:tcW w:w="5458" w:type="dxa"/>
            <w:shd w:val="clear" w:color="auto" w:fill="auto"/>
          </w:tcPr>
          <w:p w:rsidR="00E70907" w:rsidRPr="00BD7FF1" w:rsidRDefault="00E70907" w:rsidP="00045B6C">
            <w:pPr>
              <w:autoSpaceDE w:val="0"/>
              <w:autoSpaceDN w:val="0"/>
              <w:adjustRightInd w:val="0"/>
              <w:spacing w:after="0" w:line="240" w:lineRule="auto"/>
              <w:rPr>
                <w:sz w:val="20"/>
                <w:szCs w:val="20"/>
              </w:rPr>
            </w:pPr>
            <w:r w:rsidRPr="00BD7FF1">
              <w:rPr>
                <w:sz w:val="20"/>
                <w:szCs w:val="20"/>
              </w:rPr>
              <w:t xml:space="preserve">Obtain </w:t>
            </w:r>
            <w:r w:rsidR="00961DDB">
              <w:rPr>
                <w:sz w:val="20"/>
                <w:szCs w:val="20"/>
              </w:rPr>
              <w:t xml:space="preserve">student and </w:t>
            </w:r>
            <w:r w:rsidRPr="00BD7FF1">
              <w:rPr>
                <w:sz w:val="20"/>
                <w:szCs w:val="20"/>
              </w:rPr>
              <w:t>parent consent</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Spring 2017</w:t>
            </w:r>
          </w:p>
        </w:tc>
        <w:tc>
          <w:tcPr>
            <w:tcW w:w="5458" w:type="dxa"/>
            <w:shd w:val="clear" w:color="auto" w:fill="auto"/>
          </w:tcPr>
          <w:p w:rsidR="00E70907" w:rsidRDefault="00E70907" w:rsidP="00045B6C">
            <w:pPr>
              <w:autoSpaceDE w:val="0"/>
              <w:autoSpaceDN w:val="0"/>
              <w:adjustRightInd w:val="0"/>
              <w:spacing w:after="0" w:line="240" w:lineRule="auto"/>
              <w:rPr>
                <w:sz w:val="20"/>
                <w:szCs w:val="20"/>
              </w:rPr>
            </w:pPr>
            <w:r w:rsidRPr="00BD7FF1">
              <w:rPr>
                <w:sz w:val="20"/>
                <w:szCs w:val="20"/>
              </w:rPr>
              <w:t xml:space="preserve">Administer baseline surveys to all seniors </w:t>
            </w:r>
            <w:r w:rsidR="00961DDB">
              <w:rPr>
                <w:sz w:val="20"/>
                <w:szCs w:val="20"/>
              </w:rPr>
              <w:t>with</w:t>
            </w:r>
            <w:r w:rsidRPr="00BD7FF1">
              <w:rPr>
                <w:sz w:val="20"/>
                <w:szCs w:val="20"/>
              </w:rPr>
              <w:t xml:space="preserve"> consent</w:t>
            </w:r>
            <w:r w:rsidR="00367DEF">
              <w:rPr>
                <w:sz w:val="20"/>
                <w:szCs w:val="20"/>
              </w:rPr>
              <w:t>.</w:t>
            </w:r>
          </w:p>
          <w:p w:rsidR="00367DEF" w:rsidRPr="00BD7FF1" w:rsidRDefault="00367DEF" w:rsidP="00704B19">
            <w:pPr>
              <w:autoSpaceDE w:val="0"/>
              <w:autoSpaceDN w:val="0"/>
              <w:adjustRightInd w:val="0"/>
              <w:spacing w:after="0" w:line="240" w:lineRule="auto"/>
              <w:rPr>
                <w:sz w:val="20"/>
                <w:szCs w:val="20"/>
              </w:rPr>
            </w:pPr>
            <w:r>
              <w:rPr>
                <w:sz w:val="20"/>
                <w:szCs w:val="20"/>
              </w:rPr>
              <w:t>Conduct random assignment of students intending to enroll in college.</w:t>
            </w:r>
          </w:p>
        </w:tc>
      </w:tr>
      <w:tr w:rsidR="00E70907" w:rsidRPr="00744F01" w:rsidTr="00045B6C">
        <w:tc>
          <w:tcPr>
            <w:tcW w:w="1915" w:type="dxa"/>
            <w:vMerge w:val="restart"/>
            <w:shd w:val="clear" w:color="auto" w:fill="auto"/>
            <w:vAlign w:val="center"/>
          </w:tcPr>
          <w:p w:rsidR="00E70907" w:rsidRPr="00BD7FF1" w:rsidRDefault="00E70907" w:rsidP="00045B6C">
            <w:pPr>
              <w:spacing w:after="0" w:line="240" w:lineRule="auto"/>
              <w:jc w:val="center"/>
              <w:rPr>
                <w:b/>
                <w:sz w:val="20"/>
                <w:szCs w:val="20"/>
              </w:rPr>
            </w:pPr>
            <w:r w:rsidRPr="00BD7FF1">
              <w:rPr>
                <w:b/>
                <w:sz w:val="20"/>
                <w:szCs w:val="20"/>
              </w:rPr>
              <w:t>Intervention Implementation</w:t>
            </w: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Summer 2017</w:t>
            </w:r>
          </w:p>
        </w:tc>
        <w:tc>
          <w:tcPr>
            <w:tcW w:w="5458" w:type="dxa"/>
            <w:shd w:val="clear" w:color="auto" w:fill="auto"/>
          </w:tcPr>
          <w:p w:rsidR="00367DEF" w:rsidRPr="00BD7FF1" w:rsidRDefault="00367DEF" w:rsidP="00367DEF">
            <w:pPr>
              <w:autoSpaceDE w:val="0"/>
              <w:autoSpaceDN w:val="0"/>
              <w:adjustRightInd w:val="0"/>
              <w:spacing w:after="0" w:line="240" w:lineRule="auto"/>
              <w:rPr>
                <w:sz w:val="20"/>
                <w:szCs w:val="20"/>
              </w:rPr>
            </w:pPr>
            <w:r>
              <w:rPr>
                <w:sz w:val="20"/>
                <w:szCs w:val="20"/>
              </w:rPr>
              <w:t>D</w:t>
            </w:r>
            <w:r w:rsidR="00E70907" w:rsidRPr="00BD7FF1">
              <w:rPr>
                <w:sz w:val="20"/>
                <w:szCs w:val="20"/>
              </w:rPr>
              <w:t>eliver</w:t>
            </w:r>
            <w:r>
              <w:rPr>
                <w:sz w:val="20"/>
                <w:szCs w:val="20"/>
              </w:rPr>
              <w:t xml:space="preserve"> college enrollment</w:t>
            </w:r>
            <w:r w:rsidR="00E70907" w:rsidRPr="00BD7FF1">
              <w:rPr>
                <w:sz w:val="20"/>
                <w:szCs w:val="20"/>
              </w:rPr>
              <w:t xml:space="preserve"> reminders</w:t>
            </w:r>
            <w:r w:rsidR="003B1E89">
              <w:rPr>
                <w:sz w:val="20"/>
                <w:szCs w:val="20"/>
              </w:rPr>
              <w:t>.</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Fall</w:t>
            </w:r>
            <w:r w:rsidR="00367DEF">
              <w:rPr>
                <w:sz w:val="20"/>
                <w:szCs w:val="20"/>
              </w:rPr>
              <w:t xml:space="preserve"> &amp; Spring</w:t>
            </w:r>
            <w:r w:rsidRPr="00BD7FF1">
              <w:rPr>
                <w:sz w:val="20"/>
                <w:szCs w:val="20"/>
              </w:rPr>
              <w:t xml:space="preserve"> 2017</w:t>
            </w:r>
          </w:p>
        </w:tc>
        <w:tc>
          <w:tcPr>
            <w:tcW w:w="5458" w:type="dxa"/>
            <w:shd w:val="clear" w:color="auto" w:fill="auto"/>
          </w:tcPr>
          <w:p w:rsidR="00E70907" w:rsidRPr="00BD7FF1" w:rsidRDefault="00367DEF" w:rsidP="00367DEF">
            <w:pPr>
              <w:spacing w:after="0" w:line="240" w:lineRule="auto"/>
              <w:rPr>
                <w:sz w:val="20"/>
                <w:szCs w:val="20"/>
              </w:rPr>
            </w:pPr>
            <w:r>
              <w:rPr>
                <w:sz w:val="20"/>
                <w:szCs w:val="20"/>
              </w:rPr>
              <w:t xml:space="preserve">Send college persistence </w:t>
            </w:r>
            <w:r w:rsidR="00E70907" w:rsidRPr="00BD7FF1">
              <w:rPr>
                <w:sz w:val="20"/>
                <w:szCs w:val="20"/>
              </w:rPr>
              <w:t xml:space="preserve">messages through students’ first </w:t>
            </w:r>
            <w:r>
              <w:rPr>
                <w:sz w:val="20"/>
                <w:szCs w:val="20"/>
              </w:rPr>
              <w:t>year</w:t>
            </w:r>
            <w:r w:rsidRPr="00BD7FF1">
              <w:rPr>
                <w:sz w:val="20"/>
                <w:szCs w:val="20"/>
              </w:rPr>
              <w:t xml:space="preserve"> </w:t>
            </w:r>
            <w:r w:rsidR="00E70907" w:rsidRPr="00BD7FF1">
              <w:rPr>
                <w:sz w:val="20"/>
                <w:szCs w:val="20"/>
              </w:rPr>
              <w:t>of college</w:t>
            </w:r>
          </w:p>
        </w:tc>
      </w:tr>
      <w:tr w:rsidR="00E70907" w:rsidRPr="00744F01" w:rsidTr="00045B6C">
        <w:tc>
          <w:tcPr>
            <w:tcW w:w="1915" w:type="dxa"/>
            <w:vMerge w:val="restart"/>
            <w:shd w:val="clear" w:color="auto" w:fill="auto"/>
            <w:vAlign w:val="center"/>
          </w:tcPr>
          <w:p w:rsidR="00E70907" w:rsidRPr="00BD7FF1" w:rsidRDefault="00E70907" w:rsidP="00045B6C">
            <w:pPr>
              <w:spacing w:after="0" w:line="240" w:lineRule="auto"/>
              <w:jc w:val="center"/>
              <w:rPr>
                <w:b/>
                <w:sz w:val="20"/>
                <w:szCs w:val="20"/>
              </w:rPr>
            </w:pPr>
            <w:r w:rsidRPr="00BD7FF1">
              <w:rPr>
                <w:b/>
                <w:sz w:val="20"/>
                <w:szCs w:val="20"/>
              </w:rPr>
              <w:t>Outcomes Data Collection</w:t>
            </w: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Fall 2017</w:t>
            </w:r>
          </w:p>
        </w:tc>
        <w:tc>
          <w:tcPr>
            <w:tcW w:w="5458" w:type="dxa"/>
            <w:shd w:val="clear" w:color="auto" w:fill="auto"/>
          </w:tcPr>
          <w:p w:rsidR="00E70907" w:rsidRPr="00BD7FF1" w:rsidRDefault="00E70907" w:rsidP="00045B6C">
            <w:pPr>
              <w:autoSpaceDE w:val="0"/>
              <w:autoSpaceDN w:val="0"/>
              <w:adjustRightInd w:val="0"/>
              <w:spacing w:after="0" w:line="240" w:lineRule="auto"/>
              <w:rPr>
                <w:sz w:val="20"/>
                <w:szCs w:val="20"/>
              </w:rPr>
            </w:pPr>
            <w:r w:rsidRPr="00BD7FF1">
              <w:rPr>
                <w:sz w:val="20"/>
                <w:szCs w:val="20"/>
              </w:rPr>
              <w:t>Obtain extant data from National Student Clearinghouse (NSC) and Federal Student Aid data center (FSA)</w:t>
            </w:r>
          </w:p>
        </w:tc>
      </w:tr>
      <w:tr w:rsidR="00E70907" w:rsidRPr="00744F01" w:rsidTr="00045B6C">
        <w:tc>
          <w:tcPr>
            <w:tcW w:w="1915" w:type="dxa"/>
            <w:vMerge/>
            <w:shd w:val="clear" w:color="auto" w:fill="auto"/>
            <w:vAlign w:val="center"/>
          </w:tcPr>
          <w:p w:rsidR="00E70907" w:rsidRPr="00BD7FF1" w:rsidRDefault="00E70907" w:rsidP="00045B6C">
            <w:pPr>
              <w:spacing w:after="0" w:line="240" w:lineRule="auto"/>
              <w:jc w:val="center"/>
              <w:rPr>
                <w:b/>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Fall 2018</w:t>
            </w:r>
          </w:p>
        </w:tc>
        <w:tc>
          <w:tcPr>
            <w:tcW w:w="5458" w:type="dxa"/>
            <w:shd w:val="clear" w:color="auto" w:fill="auto"/>
          </w:tcPr>
          <w:p w:rsidR="00E70907" w:rsidRPr="00BD7FF1" w:rsidRDefault="00E70907" w:rsidP="00045B6C">
            <w:pPr>
              <w:spacing w:after="0" w:line="240" w:lineRule="auto"/>
              <w:rPr>
                <w:sz w:val="20"/>
                <w:szCs w:val="20"/>
              </w:rPr>
            </w:pPr>
            <w:r w:rsidRPr="00BD7FF1">
              <w:rPr>
                <w:sz w:val="20"/>
                <w:szCs w:val="20"/>
              </w:rPr>
              <w:t>Obtain extant NSC and FSA data</w:t>
            </w:r>
          </w:p>
        </w:tc>
      </w:tr>
      <w:tr w:rsidR="00E70907" w:rsidRPr="00744F01" w:rsidTr="00045B6C">
        <w:tc>
          <w:tcPr>
            <w:tcW w:w="1915" w:type="dxa"/>
            <w:vMerge w:val="restart"/>
            <w:shd w:val="clear" w:color="auto" w:fill="auto"/>
            <w:vAlign w:val="center"/>
          </w:tcPr>
          <w:p w:rsidR="00E70907" w:rsidRPr="00BD7FF1" w:rsidRDefault="00E70907" w:rsidP="00045B6C">
            <w:pPr>
              <w:spacing w:after="0" w:line="240" w:lineRule="auto"/>
              <w:jc w:val="center"/>
              <w:rPr>
                <w:b/>
                <w:sz w:val="20"/>
                <w:szCs w:val="20"/>
              </w:rPr>
            </w:pPr>
            <w:r w:rsidRPr="00BD7FF1">
              <w:rPr>
                <w:b/>
                <w:sz w:val="20"/>
                <w:szCs w:val="20"/>
              </w:rPr>
              <w:t>Reporting</w:t>
            </w: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Spring 2018</w:t>
            </w:r>
          </w:p>
        </w:tc>
        <w:tc>
          <w:tcPr>
            <w:tcW w:w="5458" w:type="dxa"/>
            <w:shd w:val="clear" w:color="auto" w:fill="auto"/>
          </w:tcPr>
          <w:p w:rsidR="00E70907" w:rsidRPr="00BD7FF1" w:rsidRDefault="00E70907" w:rsidP="00045B6C">
            <w:pPr>
              <w:spacing w:after="0" w:line="240" w:lineRule="auto"/>
              <w:rPr>
                <w:sz w:val="20"/>
                <w:szCs w:val="20"/>
              </w:rPr>
            </w:pPr>
            <w:r w:rsidRPr="00BD7FF1">
              <w:rPr>
                <w:sz w:val="20"/>
                <w:szCs w:val="20"/>
              </w:rPr>
              <w:t>Draft Report #1</w:t>
            </w:r>
          </w:p>
        </w:tc>
      </w:tr>
      <w:tr w:rsidR="00E70907" w:rsidRPr="00744F01" w:rsidTr="00045B6C">
        <w:tc>
          <w:tcPr>
            <w:tcW w:w="1915" w:type="dxa"/>
            <w:vMerge/>
            <w:shd w:val="clear" w:color="auto" w:fill="auto"/>
          </w:tcPr>
          <w:p w:rsidR="00E70907" w:rsidRPr="00BD7FF1" w:rsidRDefault="00E70907" w:rsidP="00045B6C">
            <w:pPr>
              <w:spacing w:after="0" w:line="240" w:lineRule="auto"/>
              <w:rPr>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Summer 2018</w:t>
            </w:r>
          </w:p>
        </w:tc>
        <w:tc>
          <w:tcPr>
            <w:tcW w:w="5458" w:type="dxa"/>
            <w:shd w:val="clear" w:color="auto" w:fill="auto"/>
          </w:tcPr>
          <w:p w:rsidR="00E70907" w:rsidRPr="00BD7FF1" w:rsidRDefault="00E70907" w:rsidP="00961DDB">
            <w:pPr>
              <w:spacing w:after="0" w:line="240" w:lineRule="auto"/>
              <w:rPr>
                <w:sz w:val="20"/>
                <w:szCs w:val="20"/>
              </w:rPr>
            </w:pPr>
            <w:r w:rsidRPr="00BD7FF1">
              <w:rPr>
                <w:sz w:val="20"/>
                <w:szCs w:val="20"/>
              </w:rPr>
              <w:t>Final Report #1</w:t>
            </w:r>
          </w:p>
        </w:tc>
      </w:tr>
      <w:tr w:rsidR="00E70907" w:rsidRPr="00744F01" w:rsidTr="00045B6C">
        <w:tc>
          <w:tcPr>
            <w:tcW w:w="1915" w:type="dxa"/>
            <w:vMerge/>
            <w:shd w:val="clear" w:color="auto" w:fill="auto"/>
          </w:tcPr>
          <w:p w:rsidR="00E70907" w:rsidRPr="00BD7FF1" w:rsidRDefault="00E70907" w:rsidP="00045B6C">
            <w:pPr>
              <w:spacing w:after="0" w:line="240" w:lineRule="auto"/>
              <w:rPr>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Summer 2019</w:t>
            </w:r>
          </w:p>
        </w:tc>
        <w:tc>
          <w:tcPr>
            <w:tcW w:w="5458" w:type="dxa"/>
            <w:shd w:val="clear" w:color="auto" w:fill="auto"/>
          </w:tcPr>
          <w:p w:rsidR="00E70907" w:rsidRPr="00BD7FF1" w:rsidRDefault="00E70907" w:rsidP="00045B6C">
            <w:pPr>
              <w:spacing w:after="0" w:line="240" w:lineRule="auto"/>
              <w:rPr>
                <w:sz w:val="20"/>
                <w:szCs w:val="20"/>
              </w:rPr>
            </w:pPr>
            <w:r w:rsidRPr="00BD7FF1">
              <w:rPr>
                <w:sz w:val="20"/>
                <w:szCs w:val="20"/>
              </w:rPr>
              <w:t>Draft Persistence Report</w:t>
            </w:r>
          </w:p>
        </w:tc>
      </w:tr>
      <w:tr w:rsidR="00E70907" w:rsidRPr="00744F01" w:rsidTr="00045B6C">
        <w:tc>
          <w:tcPr>
            <w:tcW w:w="1915" w:type="dxa"/>
            <w:vMerge/>
            <w:shd w:val="clear" w:color="auto" w:fill="auto"/>
          </w:tcPr>
          <w:p w:rsidR="00E70907" w:rsidRPr="00BD7FF1" w:rsidRDefault="00E70907" w:rsidP="00045B6C">
            <w:pPr>
              <w:spacing w:after="0" w:line="240" w:lineRule="auto"/>
              <w:rPr>
                <w:sz w:val="20"/>
                <w:szCs w:val="20"/>
              </w:rPr>
            </w:pPr>
          </w:p>
        </w:tc>
        <w:tc>
          <w:tcPr>
            <w:tcW w:w="1915" w:type="dxa"/>
            <w:shd w:val="clear" w:color="auto" w:fill="auto"/>
          </w:tcPr>
          <w:p w:rsidR="00E70907" w:rsidRPr="00BD7FF1" w:rsidRDefault="00E70907" w:rsidP="00045B6C">
            <w:pPr>
              <w:spacing w:after="0" w:line="240" w:lineRule="auto"/>
              <w:rPr>
                <w:sz w:val="20"/>
                <w:szCs w:val="20"/>
              </w:rPr>
            </w:pPr>
            <w:r w:rsidRPr="00BD7FF1">
              <w:rPr>
                <w:sz w:val="20"/>
                <w:szCs w:val="20"/>
              </w:rPr>
              <w:t>Winter 2020</w:t>
            </w:r>
          </w:p>
        </w:tc>
        <w:tc>
          <w:tcPr>
            <w:tcW w:w="5458" w:type="dxa"/>
            <w:shd w:val="clear" w:color="auto" w:fill="auto"/>
          </w:tcPr>
          <w:p w:rsidR="00E70907" w:rsidRPr="00BD7FF1" w:rsidRDefault="00E70907" w:rsidP="00045B6C">
            <w:pPr>
              <w:spacing w:after="0" w:line="240" w:lineRule="auto"/>
              <w:rPr>
                <w:sz w:val="20"/>
                <w:szCs w:val="20"/>
              </w:rPr>
            </w:pPr>
            <w:r w:rsidRPr="00BD7FF1">
              <w:rPr>
                <w:sz w:val="20"/>
                <w:szCs w:val="20"/>
              </w:rPr>
              <w:t>Final Persistence Report</w:t>
            </w:r>
          </w:p>
        </w:tc>
      </w:tr>
    </w:tbl>
    <w:p w:rsidR="00E70907" w:rsidRPr="00090295" w:rsidRDefault="00E70907" w:rsidP="00E70907">
      <w:pPr>
        <w:pStyle w:val="Heading5"/>
      </w:pPr>
      <w:r>
        <w:t>Publication plans</w:t>
      </w:r>
    </w:p>
    <w:p w:rsidR="00E70907" w:rsidRDefault="00E70907" w:rsidP="00E70907">
      <w:pPr>
        <w:rPr>
          <w:szCs w:val="22"/>
        </w:rPr>
      </w:pPr>
      <w:r>
        <w:t xml:space="preserve">The evaluation plans call for two reports. The first, published in </w:t>
      </w:r>
      <w:r w:rsidR="00964AC0">
        <w:t>summer 2018</w:t>
      </w:r>
      <w:r>
        <w:t xml:space="preserve">, will be based on data collected </w:t>
      </w:r>
      <w:r w:rsidR="00961DDB">
        <w:t>through 2017</w:t>
      </w:r>
      <w:r w:rsidR="004121DD">
        <w:t xml:space="preserve"> </w:t>
      </w:r>
      <w:r w:rsidR="00964AC0">
        <w:t>that addresse</w:t>
      </w:r>
      <w:r w:rsidR="00961DDB">
        <w:t>s</w:t>
      </w:r>
      <w:r w:rsidR="00436249">
        <w:t xml:space="preserve"> </w:t>
      </w:r>
      <w:r w:rsidR="00964AC0">
        <w:t xml:space="preserve">college </w:t>
      </w:r>
      <w:r w:rsidR="00961DDB">
        <w:t xml:space="preserve">enrollment </w:t>
      </w:r>
      <w:r w:rsidR="00964AC0">
        <w:t>and FAFSA</w:t>
      </w:r>
      <w:r w:rsidR="00436249">
        <w:t xml:space="preserve"> completion. The s</w:t>
      </w:r>
      <w:r w:rsidR="00964AC0">
        <w:t>e</w:t>
      </w:r>
      <w:r>
        <w:t xml:space="preserve">cond report will be available in </w:t>
      </w:r>
      <w:r w:rsidR="00964AC0">
        <w:t xml:space="preserve">early 2020 and will cover </w:t>
      </w:r>
      <w:r w:rsidR="00704B19">
        <w:t xml:space="preserve">additional outcomes including </w:t>
      </w:r>
      <w:r w:rsidR="00964AC0">
        <w:t>college persistence</w:t>
      </w:r>
      <w:r w:rsidR="00704B19">
        <w:t xml:space="preserve"> and FAFSA renewal</w:t>
      </w:r>
      <w:r w:rsidR="00964AC0">
        <w:t>.</w:t>
      </w:r>
      <w:r>
        <w:rPr>
          <w:szCs w:val="22"/>
        </w:rPr>
        <w:t xml:space="preserve"> </w:t>
      </w:r>
    </w:p>
    <w:p w:rsidR="00E70907" w:rsidRDefault="00E70907" w:rsidP="00E70907">
      <w:pPr>
        <w:pStyle w:val="Heading2"/>
      </w:pPr>
      <w:bookmarkStart w:id="32" w:name="_Toc421022245"/>
      <w:r>
        <w:t>Approval to Not Display Expiration Date</w:t>
      </w:r>
      <w:bookmarkEnd w:id="32"/>
    </w:p>
    <w:p w:rsidR="00E70907" w:rsidRPr="00844079" w:rsidRDefault="00E70907" w:rsidP="00E70907">
      <w:r w:rsidRPr="00073086">
        <w:t>No exemption is requested. The data collection instruments will display the expiration date.</w:t>
      </w:r>
      <w:r w:rsidRPr="00204D13">
        <w:t xml:space="preserve"> </w:t>
      </w:r>
    </w:p>
    <w:p w:rsidR="00E70907" w:rsidRDefault="00E70907" w:rsidP="00E70907">
      <w:pPr>
        <w:pStyle w:val="Heading2"/>
      </w:pPr>
      <w:bookmarkStart w:id="33" w:name="_Toc421022246"/>
      <w:r>
        <w:t>Exceptions to Item 19 of OMB Form 83-1</w:t>
      </w:r>
      <w:bookmarkEnd w:id="33"/>
    </w:p>
    <w:p w:rsidR="00E70907" w:rsidRDefault="00E70907" w:rsidP="00E70907">
      <w:r w:rsidRPr="00073086">
        <w:t>The submission descri</w:t>
      </w:r>
      <w:r w:rsidRPr="00E74906">
        <w:t>bing data collection requires no exemptions to the Certificate for Paperwork Reduction Act (5 CFR</w:t>
      </w:r>
      <w:r w:rsidRPr="00073086">
        <w:t xml:space="preserve"> 1320.9).</w:t>
      </w:r>
    </w:p>
    <w:p w:rsidR="00E70907" w:rsidRDefault="00E70907" w:rsidP="00E70907">
      <w:pPr>
        <w:pStyle w:val="Heading2"/>
        <w:pageBreakBefore/>
        <w:numPr>
          <w:ilvl w:val="0"/>
          <w:numId w:val="0"/>
        </w:numPr>
      </w:pPr>
      <w:bookmarkStart w:id="34" w:name="_Toc421022247"/>
      <w:r>
        <w:lastRenderedPageBreak/>
        <w:t>References</w:t>
      </w:r>
      <w:bookmarkEnd w:id="34"/>
    </w:p>
    <w:p w:rsidR="00B8119D" w:rsidRPr="00B8119D" w:rsidRDefault="00B8119D" w:rsidP="00B8119D">
      <w:pPr>
        <w:ind w:left="361" w:hangingChars="164" w:hanging="361"/>
        <w:rPr>
          <w:szCs w:val="22"/>
        </w:rPr>
      </w:pPr>
      <w:r w:rsidRPr="00B8119D">
        <w:rPr>
          <w:szCs w:val="22"/>
        </w:rPr>
        <w:t>Aronson, J., Fried, C., &amp; Good, C. (2002). Reducing the effects of stereotype threat on African</w:t>
      </w:r>
      <w:r w:rsidR="00D72B25">
        <w:rPr>
          <w:szCs w:val="22"/>
        </w:rPr>
        <w:t xml:space="preserve"> </w:t>
      </w:r>
      <w:r w:rsidRPr="00B8119D">
        <w:rPr>
          <w:szCs w:val="22"/>
        </w:rPr>
        <w:t xml:space="preserve">American college students by shaping theories of intelligence. </w:t>
      </w:r>
      <w:r w:rsidRPr="00D72B25">
        <w:rPr>
          <w:i/>
          <w:szCs w:val="22"/>
        </w:rPr>
        <w:t>Journal of Experimental Social Psychology</w:t>
      </w:r>
      <w:r w:rsidRPr="00B8119D">
        <w:rPr>
          <w:szCs w:val="22"/>
        </w:rPr>
        <w:t>,</w:t>
      </w:r>
      <w:r w:rsidRPr="00D72B25">
        <w:rPr>
          <w:i/>
          <w:szCs w:val="22"/>
        </w:rPr>
        <w:t xml:space="preserve"> 38</w:t>
      </w:r>
      <w:r w:rsidRPr="00B8119D">
        <w:rPr>
          <w:szCs w:val="22"/>
        </w:rPr>
        <w:t>, 113-125.</w:t>
      </w:r>
    </w:p>
    <w:p w:rsidR="00E70907" w:rsidRPr="004F77F6" w:rsidRDefault="00E70907">
      <w:pPr>
        <w:ind w:left="361" w:hangingChars="164" w:hanging="361"/>
        <w:rPr>
          <w:szCs w:val="22"/>
        </w:rPr>
      </w:pPr>
      <w:r w:rsidRPr="004F77F6">
        <w:rPr>
          <w:szCs w:val="22"/>
        </w:rPr>
        <w:t xml:space="preserve">Aud, S., Hussar, W., Johnson, F., Kena, G., Roth, E., Manning, E., Wang, X., &amp; Zhang, J. (2012). </w:t>
      </w:r>
      <w:r w:rsidRPr="004F77F6">
        <w:rPr>
          <w:i/>
          <w:iCs/>
          <w:szCs w:val="22"/>
        </w:rPr>
        <w:t>The condition of education 2012</w:t>
      </w:r>
      <w:r w:rsidRPr="004F77F6">
        <w:rPr>
          <w:szCs w:val="22"/>
        </w:rPr>
        <w:t xml:space="preserve"> (NCES 2012-045). U.S. Department of Education, National Center for Education Statistics. Washington, DC. Retrieved June 27, 2012 from http://nces.ed.gov/pubsearch.</w:t>
      </w:r>
    </w:p>
    <w:p w:rsidR="00B8119D" w:rsidRPr="004F77F6" w:rsidRDefault="00E70907">
      <w:pPr>
        <w:ind w:left="361" w:hangingChars="164" w:hanging="361"/>
        <w:rPr>
          <w:szCs w:val="22"/>
        </w:rPr>
      </w:pPr>
      <w:r w:rsidRPr="004F77F6">
        <w:rPr>
          <w:szCs w:val="22"/>
        </w:rPr>
        <w:t xml:space="preserve">Bailey, M. J., &amp; Dynarski, S. M. (2011). Inequality in postsecondary education. In G. J. Duncan and R. J. Murnane (Eds.). </w:t>
      </w:r>
      <w:r w:rsidRPr="004F77F6">
        <w:rPr>
          <w:i/>
          <w:szCs w:val="22"/>
        </w:rPr>
        <w:t>Whither opportunity? Rising inequality and the uncertain life chances of disadvantaged children.</w:t>
      </w:r>
      <w:r w:rsidRPr="004F77F6">
        <w:rPr>
          <w:szCs w:val="22"/>
        </w:rPr>
        <w:t xml:space="preserve"> New York, NY: Russell Sage Foundation.</w:t>
      </w:r>
    </w:p>
    <w:p w:rsidR="00D62755" w:rsidRPr="00DD1589" w:rsidRDefault="00D62755" w:rsidP="00DD1589">
      <w:pPr>
        <w:tabs>
          <w:tab w:val="left" w:pos="270"/>
        </w:tabs>
        <w:autoSpaceDE w:val="0"/>
        <w:autoSpaceDN w:val="0"/>
        <w:adjustRightInd w:val="0"/>
        <w:spacing w:line="240" w:lineRule="auto"/>
        <w:ind w:left="360" w:hanging="360"/>
        <w:rPr>
          <w:szCs w:val="22"/>
        </w:rPr>
      </w:pPr>
      <w:r w:rsidRPr="00DD1589">
        <w:rPr>
          <w:szCs w:val="22"/>
        </w:rPr>
        <w:t xml:space="preserve">Bowen, W. G., Chingos, M.M., &amp; McPherson, M.S. 2009. </w:t>
      </w:r>
      <w:r w:rsidRPr="00DD1589">
        <w:rPr>
          <w:i/>
          <w:iCs/>
          <w:szCs w:val="22"/>
        </w:rPr>
        <w:t>Crossing the Finish Line: Completing</w:t>
      </w:r>
      <w:r w:rsidR="00894791">
        <w:rPr>
          <w:i/>
          <w:iCs/>
          <w:szCs w:val="22"/>
        </w:rPr>
        <w:t xml:space="preserve"> College </w:t>
      </w:r>
      <w:r w:rsidRPr="00DD1589">
        <w:rPr>
          <w:i/>
          <w:iCs/>
          <w:szCs w:val="22"/>
        </w:rPr>
        <w:t xml:space="preserve">at America’s Public Universities. </w:t>
      </w:r>
      <w:r w:rsidRPr="00DD1589">
        <w:rPr>
          <w:szCs w:val="22"/>
        </w:rPr>
        <w:t>Princeton, NJ: Princeton University Press.</w:t>
      </w:r>
    </w:p>
    <w:p w:rsidR="00D62755" w:rsidRPr="009D6AE2" w:rsidRDefault="00D62755" w:rsidP="009D6AE2">
      <w:pPr>
        <w:autoSpaceDE w:val="0"/>
        <w:autoSpaceDN w:val="0"/>
        <w:adjustRightInd w:val="0"/>
        <w:spacing w:line="240" w:lineRule="auto"/>
        <w:ind w:left="360" w:hanging="360"/>
        <w:rPr>
          <w:szCs w:val="22"/>
        </w:rPr>
      </w:pPr>
      <w:r w:rsidRPr="009D6AE2">
        <w:rPr>
          <w:szCs w:val="22"/>
        </w:rPr>
        <w:t xml:space="preserve">Castleman, B. L. &amp; Page, L. C. (2013). The not-so-lazy days of summer: Experimental interventions to increase college entry among low-income high school students. </w:t>
      </w:r>
      <w:r w:rsidRPr="009D6AE2">
        <w:rPr>
          <w:i/>
          <w:iCs/>
          <w:szCs w:val="22"/>
        </w:rPr>
        <w:t xml:space="preserve">New Directions for Youth Development, </w:t>
      </w:r>
      <w:r w:rsidRPr="009D6AE2">
        <w:rPr>
          <w:i/>
          <w:szCs w:val="22"/>
        </w:rPr>
        <w:t>140</w:t>
      </w:r>
      <w:r w:rsidRPr="009D6AE2">
        <w:rPr>
          <w:szCs w:val="22"/>
        </w:rPr>
        <w:t>, 77-97.</w:t>
      </w:r>
    </w:p>
    <w:p w:rsidR="009D6AE2" w:rsidRDefault="009D6AE2" w:rsidP="009D6AE2">
      <w:pPr>
        <w:ind w:left="720" w:hanging="720"/>
      </w:pPr>
      <w:r>
        <w:t xml:space="preserve">Castleman, B.L., &amp; Page, L.C. (2014). Freshman year financial aid nudges: An experiment to increase FAFSA renewal and college persistence. EdPolicy Works Working Paper. Available </w:t>
      </w:r>
      <w:r w:rsidRPr="004822CA">
        <w:t>http://curry.virginia.edu/uploads/resourceLibrary/29_Freshman_Year_Financial_Aid_Nudges.pdf</w:t>
      </w:r>
    </w:p>
    <w:p w:rsidR="00D62755" w:rsidRDefault="00D62755" w:rsidP="009D6AE2">
      <w:pPr>
        <w:autoSpaceDE w:val="0"/>
        <w:autoSpaceDN w:val="0"/>
        <w:adjustRightInd w:val="0"/>
        <w:spacing w:line="240" w:lineRule="auto"/>
        <w:ind w:left="360" w:hanging="360"/>
        <w:rPr>
          <w:szCs w:val="22"/>
        </w:rPr>
      </w:pPr>
      <w:r w:rsidRPr="009D6AE2">
        <w:rPr>
          <w:szCs w:val="22"/>
        </w:rPr>
        <w:t xml:space="preserve">Castleman, B.L., Page, L.C., &amp; Schooley, K. (2014). The forgotten summer: Mitigating summer </w:t>
      </w:r>
      <w:r w:rsidR="00894791">
        <w:rPr>
          <w:szCs w:val="22"/>
        </w:rPr>
        <w:t>attriti</w:t>
      </w:r>
      <w:r w:rsidRPr="009D6AE2">
        <w:rPr>
          <w:szCs w:val="22"/>
        </w:rPr>
        <w:t xml:space="preserve">on among college-intending low-income high school graduates. </w:t>
      </w:r>
      <w:r w:rsidRPr="009D6AE2">
        <w:rPr>
          <w:i/>
          <w:iCs/>
          <w:szCs w:val="22"/>
        </w:rPr>
        <w:t>The Journal of Policy</w:t>
      </w:r>
      <w:r w:rsidR="00894791">
        <w:rPr>
          <w:i/>
          <w:iCs/>
          <w:szCs w:val="22"/>
        </w:rPr>
        <w:t xml:space="preserve"> Analysis</w:t>
      </w:r>
      <w:r w:rsidRPr="009D6AE2">
        <w:rPr>
          <w:i/>
          <w:iCs/>
          <w:szCs w:val="22"/>
        </w:rPr>
        <w:t xml:space="preserve"> and Management. </w:t>
      </w:r>
      <w:r w:rsidRPr="009D6AE2">
        <w:rPr>
          <w:szCs w:val="22"/>
        </w:rPr>
        <w:t>DOI: 10.1002/pam.21743</w:t>
      </w:r>
    </w:p>
    <w:p w:rsidR="00A17EE5" w:rsidRPr="00A17EE5" w:rsidRDefault="00A17EE5" w:rsidP="009D6AE2">
      <w:pPr>
        <w:autoSpaceDE w:val="0"/>
        <w:autoSpaceDN w:val="0"/>
        <w:adjustRightInd w:val="0"/>
        <w:spacing w:line="240" w:lineRule="auto"/>
        <w:ind w:left="360" w:hanging="360"/>
        <w:rPr>
          <w:szCs w:val="22"/>
        </w:rPr>
      </w:pPr>
      <w:r>
        <w:rPr>
          <w:szCs w:val="22"/>
        </w:rPr>
        <w:t>Darlin</w:t>
      </w:r>
      <w:r w:rsidR="00E56F13">
        <w:rPr>
          <w:szCs w:val="22"/>
        </w:rPr>
        <w:t>g</w:t>
      </w:r>
      <w:r>
        <w:rPr>
          <w:szCs w:val="22"/>
        </w:rPr>
        <w:t xml:space="preserve">, R. &amp; Smith, M. (2008). First-generation college students: First-year challenges. In M. S. Hunter, B McCalla-Wriggins, &amp; E. White (Eds) </w:t>
      </w:r>
      <w:r w:rsidRPr="00A17EE5">
        <w:rPr>
          <w:i/>
          <w:szCs w:val="22"/>
        </w:rPr>
        <w:t>Academic Advising: New Insights for Teaching and Learning in the First Year</w:t>
      </w:r>
      <w:r>
        <w:rPr>
          <w:szCs w:val="22"/>
        </w:rPr>
        <w:t xml:space="preserve">. National Resource Center </w:t>
      </w:r>
      <w:r w:rsidRPr="00A17EE5">
        <w:rPr>
          <w:szCs w:val="22"/>
        </w:rPr>
        <w:t>for the First-Year Experience and Students in Transition</w:t>
      </w:r>
      <w:r>
        <w:rPr>
          <w:szCs w:val="22"/>
        </w:rPr>
        <w:t>, Columbia SC.</w:t>
      </w:r>
    </w:p>
    <w:p w:rsidR="00E70907" w:rsidRPr="004F77F6" w:rsidRDefault="00E70907">
      <w:pPr>
        <w:ind w:left="361" w:hangingChars="164" w:hanging="361"/>
        <w:rPr>
          <w:szCs w:val="22"/>
        </w:rPr>
      </w:pPr>
      <w:r w:rsidRPr="004F77F6">
        <w:rPr>
          <w:szCs w:val="22"/>
        </w:rPr>
        <w:t xml:space="preserve">Goyette, K. A. (2008). College for some to college for all: Social background, occupational expectations, and educational expectations over time. </w:t>
      </w:r>
      <w:r w:rsidRPr="004F77F6">
        <w:rPr>
          <w:i/>
          <w:szCs w:val="22"/>
        </w:rPr>
        <w:t>Social Science Research</w:t>
      </w:r>
      <w:r w:rsidRPr="004F77F6">
        <w:rPr>
          <w:szCs w:val="22"/>
        </w:rPr>
        <w:t>, 37(2), 461-484.</w:t>
      </w:r>
    </w:p>
    <w:p w:rsidR="00E70907" w:rsidRPr="004F77F6" w:rsidRDefault="00E70907">
      <w:pPr>
        <w:ind w:left="361" w:hangingChars="164" w:hanging="361"/>
        <w:rPr>
          <w:szCs w:val="22"/>
        </w:rPr>
      </w:pPr>
      <w:r w:rsidRPr="004F77F6">
        <w:rPr>
          <w:szCs w:val="22"/>
        </w:rPr>
        <w:t xml:space="preserve">Haskins, R. (2008). Education and economic mobility. In J. B. Isaacs, I. V. Sawhill, and R. Haskins (Eds.). </w:t>
      </w:r>
      <w:r w:rsidRPr="004F77F6">
        <w:rPr>
          <w:i/>
          <w:szCs w:val="22"/>
        </w:rPr>
        <w:t xml:space="preserve">Getting ahead or losing ground: Economic mobility in America. </w:t>
      </w:r>
      <w:r w:rsidRPr="004F77F6">
        <w:rPr>
          <w:szCs w:val="22"/>
        </w:rPr>
        <w:t>Washington, DC: The Brookings Institution. Retrieved June 27, 2012 from http://www.brookings.edu/research/reports/2008/02/economic-mobility-sawhill.</w:t>
      </w:r>
    </w:p>
    <w:p w:rsidR="00E70907" w:rsidRPr="004F77F6" w:rsidRDefault="00E70907">
      <w:pPr>
        <w:ind w:left="361" w:hangingChars="164" w:hanging="361"/>
        <w:rPr>
          <w:szCs w:val="22"/>
        </w:rPr>
      </w:pPr>
      <w:r w:rsidRPr="004F77F6">
        <w:rPr>
          <w:szCs w:val="22"/>
        </w:rPr>
        <w:t>Kao, G., &amp; Tienda, M. (1998). Educational aspirations of minority youth. American Journal of Education, 106(3), 349-384.</w:t>
      </w:r>
    </w:p>
    <w:p w:rsidR="005468EE" w:rsidRPr="005468EE" w:rsidRDefault="005468EE" w:rsidP="005468EE">
      <w:pPr>
        <w:pStyle w:val="IESPublications"/>
        <w:ind w:left="361" w:hangingChars="164" w:hanging="361"/>
        <w:rPr>
          <w:sz w:val="22"/>
          <w:szCs w:val="22"/>
        </w:rPr>
      </w:pPr>
      <w:r w:rsidRPr="005468EE">
        <w:rPr>
          <w:sz w:val="22"/>
          <w:szCs w:val="22"/>
        </w:rPr>
        <w:t>Liu</w:t>
      </w:r>
      <w:r>
        <w:rPr>
          <w:sz w:val="22"/>
          <w:szCs w:val="22"/>
        </w:rPr>
        <w:t xml:space="preserve">, A., </w:t>
      </w:r>
      <w:r w:rsidRPr="005468EE">
        <w:rPr>
          <w:sz w:val="22"/>
          <w:szCs w:val="22"/>
        </w:rPr>
        <w:t>Sharkness</w:t>
      </w:r>
      <w:r>
        <w:rPr>
          <w:sz w:val="22"/>
          <w:szCs w:val="22"/>
        </w:rPr>
        <w:t xml:space="preserve">, J., &amp; </w:t>
      </w:r>
      <w:r w:rsidRPr="005468EE">
        <w:rPr>
          <w:sz w:val="22"/>
          <w:szCs w:val="22"/>
        </w:rPr>
        <w:t>Pryor</w:t>
      </w:r>
      <w:r>
        <w:rPr>
          <w:sz w:val="22"/>
          <w:szCs w:val="22"/>
        </w:rPr>
        <w:t xml:space="preserve">, J. (2008). </w:t>
      </w:r>
      <w:r w:rsidRPr="005468EE">
        <w:rPr>
          <w:sz w:val="22"/>
          <w:szCs w:val="22"/>
        </w:rPr>
        <w:t>Findings from the</w:t>
      </w:r>
      <w:r>
        <w:rPr>
          <w:sz w:val="22"/>
          <w:szCs w:val="22"/>
        </w:rPr>
        <w:t xml:space="preserve"> </w:t>
      </w:r>
      <w:r w:rsidRPr="005468EE">
        <w:rPr>
          <w:sz w:val="22"/>
          <w:szCs w:val="22"/>
        </w:rPr>
        <w:t>2007 Administration of</w:t>
      </w:r>
      <w:r>
        <w:rPr>
          <w:sz w:val="22"/>
          <w:szCs w:val="22"/>
        </w:rPr>
        <w:t xml:space="preserve"> </w:t>
      </w:r>
      <w:r w:rsidRPr="005468EE">
        <w:rPr>
          <w:sz w:val="22"/>
          <w:szCs w:val="22"/>
        </w:rPr>
        <w:t>Your First College Year</w:t>
      </w:r>
      <w:r>
        <w:rPr>
          <w:sz w:val="22"/>
          <w:szCs w:val="22"/>
        </w:rPr>
        <w:t xml:space="preserve"> </w:t>
      </w:r>
      <w:r w:rsidRPr="005468EE">
        <w:rPr>
          <w:sz w:val="22"/>
          <w:szCs w:val="22"/>
        </w:rPr>
        <w:t>(YFCY):</w:t>
      </w:r>
      <w:r>
        <w:rPr>
          <w:sz w:val="22"/>
          <w:szCs w:val="22"/>
        </w:rPr>
        <w:t xml:space="preserve"> </w:t>
      </w:r>
      <w:r w:rsidRPr="005468EE">
        <w:rPr>
          <w:sz w:val="22"/>
          <w:szCs w:val="22"/>
        </w:rPr>
        <w:t>National Aggregates</w:t>
      </w:r>
      <w:r>
        <w:rPr>
          <w:sz w:val="22"/>
          <w:szCs w:val="22"/>
        </w:rPr>
        <w:t xml:space="preserve">. </w:t>
      </w:r>
      <w:r w:rsidRPr="005468EE">
        <w:rPr>
          <w:sz w:val="22"/>
          <w:szCs w:val="22"/>
        </w:rPr>
        <w:t>Higher Education Research Institute</w:t>
      </w:r>
      <w:r>
        <w:rPr>
          <w:sz w:val="22"/>
          <w:szCs w:val="22"/>
        </w:rPr>
        <w:t xml:space="preserve">, </w:t>
      </w:r>
      <w:r w:rsidRPr="005468EE">
        <w:rPr>
          <w:sz w:val="22"/>
          <w:szCs w:val="22"/>
        </w:rPr>
        <w:t>University of California, Los Angeles</w:t>
      </w:r>
      <w:r>
        <w:rPr>
          <w:sz w:val="22"/>
          <w:szCs w:val="22"/>
        </w:rPr>
        <w:t xml:space="preserve">. Available </w:t>
      </w:r>
      <w:r w:rsidRPr="005468EE">
        <w:rPr>
          <w:sz w:val="22"/>
          <w:szCs w:val="22"/>
        </w:rPr>
        <w:t>http://www.heri.ucla.edu/PDFS/YFCY_2007_Report05-07-08.pdf</w:t>
      </w:r>
    </w:p>
    <w:p w:rsidR="00E83D73" w:rsidRDefault="00E83D73" w:rsidP="009D6AE2">
      <w:pPr>
        <w:autoSpaceDE w:val="0"/>
        <w:autoSpaceDN w:val="0"/>
        <w:adjustRightInd w:val="0"/>
        <w:spacing w:line="240" w:lineRule="auto"/>
        <w:ind w:left="360" w:hanging="360"/>
        <w:rPr>
          <w:szCs w:val="22"/>
        </w:rPr>
      </w:pPr>
      <w:r w:rsidRPr="009D6AE2">
        <w:rPr>
          <w:szCs w:val="22"/>
        </w:rPr>
        <w:lastRenderedPageBreak/>
        <w:t xml:space="preserve">National Center for Education Statistics (2012). </w:t>
      </w:r>
      <w:r w:rsidRPr="009D6AE2">
        <w:rPr>
          <w:i/>
          <w:iCs/>
          <w:szCs w:val="22"/>
        </w:rPr>
        <w:t xml:space="preserve">Digest of Education Statistics, 2011. </w:t>
      </w:r>
      <w:r w:rsidRPr="009D6AE2">
        <w:rPr>
          <w:iCs/>
          <w:szCs w:val="22"/>
        </w:rPr>
        <w:t>Washington, DC</w:t>
      </w:r>
      <w:r w:rsidRPr="009D6AE2">
        <w:rPr>
          <w:szCs w:val="22"/>
        </w:rPr>
        <w:t>: US Department of Education.</w:t>
      </w:r>
    </w:p>
    <w:p w:rsidR="00146F85" w:rsidRDefault="00146F85" w:rsidP="00146F85">
      <w:pPr>
        <w:autoSpaceDE w:val="0"/>
        <w:autoSpaceDN w:val="0"/>
        <w:adjustRightInd w:val="0"/>
        <w:spacing w:line="240" w:lineRule="auto"/>
        <w:ind w:left="360" w:hanging="360"/>
      </w:pPr>
      <w:r w:rsidRPr="003B3AC3">
        <w:t xml:space="preserve">National </w:t>
      </w:r>
      <w:r>
        <w:t>Center for Education Statistics (2013).</w:t>
      </w:r>
      <w:r w:rsidRPr="003B3AC3">
        <w:t xml:space="preserve"> Common Core of Data (CCD), "Public Elementary/Secondary School Universe Survey," 2011-12. </w:t>
      </w:r>
      <w:hyperlink r:id="rId47" w:history="1">
        <w:r w:rsidRPr="003B3AC3">
          <w:t>http://nces.ed.gov/programs/digest/d13/tables/dt13_216.80.asp</w:t>
        </w:r>
      </w:hyperlink>
    </w:p>
    <w:p w:rsidR="00146F85" w:rsidRDefault="00146F85" w:rsidP="00146F85">
      <w:pPr>
        <w:autoSpaceDE w:val="0"/>
        <w:autoSpaceDN w:val="0"/>
        <w:adjustRightInd w:val="0"/>
        <w:spacing w:line="240" w:lineRule="auto"/>
        <w:ind w:left="360" w:hanging="360"/>
        <w:rPr>
          <w:szCs w:val="22"/>
        </w:rPr>
      </w:pPr>
      <w:r>
        <w:rPr>
          <w:szCs w:val="22"/>
        </w:rPr>
        <w:t xml:space="preserve">National Student Clearinghouse (2014a). Report: </w:t>
      </w:r>
      <w:r w:rsidRPr="00E222D3">
        <w:rPr>
          <w:szCs w:val="22"/>
        </w:rPr>
        <w:t>High School Benchmarks 2014</w:t>
      </w:r>
      <w:r>
        <w:rPr>
          <w:szCs w:val="22"/>
        </w:rPr>
        <w:t xml:space="preserve">, </w:t>
      </w:r>
      <w:r w:rsidRPr="00590A86">
        <w:rPr>
          <w:szCs w:val="22"/>
        </w:rPr>
        <w:t>National College Progression Rates</w:t>
      </w:r>
      <w:r>
        <w:rPr>
          <w:szCs w:val="22"/>
        </w:rPr>
        <w:t xml:space="preserve"> f</w:t>
      </w:r>
      <w:r w:rsidRPr="00590A86">
        <w:rPr>
          <w:szCs w:val="22"/>
        </w:rPr>
        <w:t>or high schools participating in the National Student Clearinghouse Student</w:t>
      </w:r>
      <w:r>
        <w:rPr>
          <w:szCs w:val="22"/>
        </w:rPr>
        <w:t xml:space="preserve"> Tracker S</w:t>
      </w:r>
      <w:r w:rsidRPr="00590A86">
        <w:rPr>
          <w:szCs w:val="22"/>
        </w:rPr>
        <w:t>ervice</w:t>
      </w:r>
      <w:r>
        <w:rPr>
          <w:szCs w:val="22"/>
        </w:rPr>
        <w:t xml:space="preserve">. Available </w:t>
      </w:r>
      <w:hyperlink r:id="rId48" w:history="1">
        <w:r w:rsidRPr="004307EB">
          <w:rPr>
            <w:rStyle w:val="Hyperlink"/>
            <w:szCs w:val="22"/>
          </w:rPr>
          <w:t>http://nscresearchcenter.org/hsbenchmarks2014</w:t>
        </w:r>
      </w:hyperlink>
      <w:r>
        <w:rPr>
          <w:szCs w:val="22"/>
        </w:rPr>
        <w:t xml:space="preserve"> </w:t>
      </w:r>
    </w:p>
    <w:p w:rsidR="00146F85" w:rsidRDefault="00146F85" w:rsidP="00146F85">
      <w:pPr>
        <w:autoSpaceDE w:val="0"/>
        <w:autoSpaceDN w:val="0"/>
        <w:adjustRightInd w:val="0"/>
        <w:spacing w:line="240" w:lineRule="auto"/>
        <w:ind w:left="360" w:hanging="360"/>
        <w:rPr>
          <w:szCs w:val="22"/>
        </w:rPr>
      </w:pPr>
      <w:r>
        <w:rPr>
          <w:szCs w:val="22"/>
        </w:rPr>
        <w:t xml:space="preserve">National Student Clearinghouse (2014b). Snapshot Report: </w:t>
      </w:r>
      <w:r w:rsidRPr="00590A86">
        <w:rPr>
          <w:szCs w:val="22"/>
        </w:rPr>
        <w:t>First-Year Persistence and Retention Rates by Starting Enrollment Intensity: 2009-2012</w:t>
      </w:r>
      <w:r>
        <w:rPr>
          <w:szCs w:val="22"/>
        </w:rPr>
        <w:t xml:space="preserve">. Available: </w:t>
      </w:r>
      <w:hyperlink r:id="rId49" w:history="1">
        <w:r w:rsidRPr="004307EB">
          <w:rPr>
            <w:rStyle w:val="Hyperlink"/>
            <w:szCs w:val="22"/>
          </w:rPr>
          <w:t>http://nscresearchcenter.org/snapshotreport-persistenceretention14/</w:t>
        </w:r>
      </w:hyperlink>
      <w:r>
        <w:rPr>
          <w:szCs w:val="22"/>
        </w:rPr>
        <w:t xml:space="preserve"> </w:t>
      </w:r>
    </w:p>
    <w:p w:rsidR="00D62755" w:rsidRDefault="00D62755" w:rsidP="00DD1589">
      <w:pPr>
        <w:pStyle w:val="IESPublications"/>
        <w:spacing w:after="180"/>
        <w:rPr>
          <w:sz w:val="22"/>
          <w:szCs w:val="22"/>
        </w:rPr>
      </w:pPr>
      <w:r w:rsidRPr="00DD1589">
        <w:rPr>
          <w:sz w:val="22"/>
          <w:szCs w:val="22"/>
        </w:rPr>
        <w:t xml:space="preserve">Roderick, M., Nagaoka, J., Coca, V., &amp; Moeller, E. (2009). </w:t>
      </w:r>
      <w:r w:rsidRPr="00DD1589">
        <w:rPr>
          <w:i/>
          <w:iCs/>
          <w:sz w:val="22"/>
          <w:szCs w:val="22"/>
        </w:rPr>
        <w:t>From High School to the Future:</w:t>
      </w:r>
      <w:r w:rsidRPr="005F4B9F">
        <w:rPr>
          <w:i/>
          <w:iCs/>
          <w:szCs w:val="22"/>
        </w:rPr>
        <w:t xml:space="preserve"> </w:t>
      </w:r>
      <w:r w:rsidRPr="00EF5875">
        <w:rPr>
          <w:i/>
          <w:iCs/>
          <w:szCs w:val="22"/>
        </w:rPr>
        <w:t>Mak</w:t>
      </w:r>
      <w:r w:rsidRPr="00DD1589">
        <w:rPr>
          <w:i/>
          <w:iCs/>
          <w:sz w:val="22"/>
          <w:szCs w:val="22"/>
        </w:rPr>
        <w:t xml:space="preserve">ing Hard Work Pay Off. </w:t>
      </w:r>
      <w:r w:rsidRPr="00DD1589">
        <w:rPr>
          <w:sz w:val="22"/>
          <w:szCs w:val="22"/>
        </w:rPr>
        <w:t>Chicago: Consortium on Chicago School Research.</w:t>
      </w:r>
    </w:p>
    <w:p w:rsidR="00651338" w:rsidRDefault="00651338" w:rsidP="00651338">
      <w:pPr>
        <w:ind w:left="360" w:hanging="360"/>
        <w:rPr>
          <w:szCs w:val="22"/>
        </w:rPr>
      </w:pPr>
      <w:r w:rsidRPr="00210BCD">
        <w:rPr>
          <w:szCs w:val="22"/>
        </w:rPr>
        <w:t xml:space="preserve">Schochet, P. (2008). Statistical Power for Random Assignment Evaluations of Education Programs. </w:t>
      </w:r>
      <w:r w:rsidRPr="00BD7FF1">
        <w:rPr>
          <w:i/>
          <w:szCs w:val="22"/>
        </w:rPr>
        <w:t>Journal of Educational and Behavioral Statistics</w:t>
      </w:r>
      <w:r w:rsidRPr="00210BCD">
        <w:rPr>
          <w:szCs w:val="22"/>
        </w:rPr>
        <w:t xml:space="preserve">, </w:t>
      </w:r>
      <w:r w:rsidRPr="003011A9">
        <w:rPr>
          <w:i/>
          <w:szCs w:val="22"/>
        </w:rPr>
        <w:t>33</w:t>
      </w:r>
      <w:r w:rsidRPr="00210BCD">
        <w:rPr>
          <w:szCs w:val="22"/>
        </w:rPr>
        <w:t>(1), 62-87.</w:t>
      </w:r>
    </w:p>
    <w:p w:rsidR="00E70907" w:rsidRDefault="00E70907">
      <w:pPr>
        <w:ind w:left="361" w:hangingChars="164" w:hanging="361"/>
        <w:rPr>
          <w:szCs w:val="22"/>
        </w:rPr>
      </w:pPr>
      <w:r w:rsidRPr="004F77F6">
        <w:rPr>
          <w:szCs w:val="22"/>
        </w:rPr>
        <w:t>U.S. Department of Education. (</w:t>
      </w:r>
      <w:r w:rsidR="001D2B35" w:rsidRPr="004F77F6">
        <w:rPr>
          <w:szCs w:val="22"/>
        </w:rPr>
        <w:t>201</w:t>
      </w:r>
      <w:r w:rsidR="001D2B35">
        <w:rPr>
          <w:szCs w:val="22"/>
        </w:rPr>
        <w:t>4</w:t>
      </w:r>
      <w:r w:rsidRPr="004F77F6">
        <w:rPr>
          <w:szCs w:val="22"/>
        </w:rPr>
        <w:t xml:space="preserve">). </w:t>
      </w:r>
      <w:r w:rsidRPr="004F77F6">
        <w:rPr>
          <w:i/>
          <w:szCs w:val="22"/>
        </w:rPr>
        <w:t>Gaining Early Awareness and Readiness for Undergraduate Programs (GEAR UP) Funding Status.</w:t>
      </w:r>
      <w:r w:rsidRPr="004F77F6">
        <w:rPr>
          <w:szCs w:val="22"/>
        </w:rPr>
        <w:t xml:space="preserve">  Retrieved on January </w:t>
      </w:r>
      <w:r w:rsidR="001D2B35">
        <w:rPr>
          <w:szCs w:val="22"/>
        </w:rPr>
        <w:t>13</w:t>
      </w:r>
      <w:r w:rsidRPr="004F77F6">
        <w:rPr>
          <w:szCs w:val="22"/>
        </w:rPr>
        <w:t>, 201</w:t>
      </w:r>
      <w:r w:rsidR="001D2B35">
        <w:rPr>
          <w:szCs w:val="22"/>
        </w:rPr>
        <w:t>5</w:t>
      </w:r>
      <w:r w:rsidRPr="004F77F6">
        <w:rPr>
          <w:szCs w:val="22"/>
        </w:rPr>
        <w:t xml:space="preserve"> from: </w:t>
      </w:r>
      <w:hyperlink r:id="rId50" w:history="1">
        <w:r w:rsidRPr="004F77F6">
          <w:rPr>
            <w:rStyle w:val="Hyperlink"/>
            <w:szCs w:val="22"/>
          </w:rPr>
          <w:t>http://www2.ed.gov/programs/gearup/funding.html</w:t>
        </w:r>
      </w:hyperlink>
      <w:r w:rsidRPr="004F77F6">
        <w:rPr>
          <w:szCs w:val="22"/>
        </w:rPr>
        <w:t xml:space="preserve"> </w:t>
      </w:r>
    </w:p>
    <w:p w:rsidR="00F3134C" w:rsidRDefault="00A618A2">
      <w:pPr>
        <w:ind w:left="361" w:hangingChars="164" w:hanging="361"/>
      </w:pPr>
      <w:r>
        <w:t>Walton, G. &amp; Cohen, G</w:t>
      </w:r>
      <w:r w:rsidR="00F3134C" w:rsidRPr="003A45B9">
        <w:t xml:space="preserve">. (2011). A brief social-belonging intervention improves academic and health outcomes of minority students. </w:t>
      </w:r>
      <w:r w:rsidR="00F3134C" w:rsidRPr="00953C1C">
        <w:rPr>
          <w:i/>
        </w:rPr>
        <w:t>Science</w:t>
      </w:r>
      <w:r w:rsidR="00F3134C" w:rsidRPr="003A45B9">
        <w:t>, 331, 1447-1451.</w:t>
      </w:r>
    </w:p>
    <w:p w:rsidR="00A618A2" w:rsidRPr="00A618A2" w:rsidRDefault="00A618A2">
      <w:pPr>
        <w:ind w:left="361" w:hangingChars="164" w:hanging="361"/>
        <w:rPr>
          <w:szCs w:val="22"/>
        </w:rPr>
      </w:pPr>
      <w:r>
        <w:t xml:space="preserve">Yeager, G., Walton, G., &amp; Cohen, G. (2013). Addressing achievement gaps with psychological interventions. </w:t>
      </w:r>
      <w:r>
        <w:rPr>
          <w:i/>
        </w:rPr>
        <w:t xml:space="preserve">Kappa, 94, </w:t>
      </w:r>
      <w:r>
        <w:t>62-65.</w:t>
      </w:r>
    </w:p>
    <w:p w:rsidR="00045B6C" w:rsidRPr="005E77B2" w:rsidRDefault="005E77B2" w:rsidP="005E77B2">
      <w:pPr>
        <w:ind w:left="361" w:hangingChars="164" w:hanging="361"/>
        <w:rPr>
          <w:szCs w:val="22"/>
        </w:rPr>
      </w:pPr>
      <w:r>
        <w:t>Yeager, D.S., Johnson, R., Spitzer, B., Trzesniewski, K., Powers, J.</w:t>
      </w:r>
      <w:r w:rsidRPr="00FF0E9E">
        <w:t>, &amp; Dweck, C.S. (</w:t>
      </w:r>
      <w:r>
        <w:t>2014</w:t>
      </w:r>
      <w:r w:rsidRPr="00FF0E9E">
        <w:t xml:space="preserve">). The far-reaching effects of believing people can change: Implicit theories of personality shape stress, health, and achievement during adolescence.  </w:t>
      </w:r>
      <w:r w:rsidRPr="00FF0E9E">
        <w:rPr>
          <w:i/>
        </w:rPr>
        <w:t>Journal of Personality and Social Psychology</w:t>
      </w:r>
      <w:r>
        <w:t>.</w:t>
      </w:r>
      <w:r w:rsidRPr="005E77B2">
        <w:rPr>
          <w:color w:val="000000"/>
          <w:szCs w:val="22"/>
        </w:rPr>
        <w:t xml:space="preserve"> </w:t>
      </w:r>
      <w:r w:rsidRPr="005E77B2">
        <w:rPr>
          <w:i/>
          <w:color w:val="000000"/>
          <w:szCs w:val="22"/>
        </w:rPr>
        <w:t>106</w:t>
      </w:r>
      <w:r w:rsidRPr="005E77B2">
        <w:rPr>
          <w:color w:val="000000"/>
          <w:szCs w:val="22"/>
        </w:rPr>
        <w:t>(6), Jun 2014, 867-884</w:t>
      </w:r>
      <w:r w:rsidR="00BF52CB">
        <w:rPr>
          <w:color w:val="000000"/>
          <w:szCs w:val="22"/>
        </w:rPr>
        <w:t>.</w:t>
      </w:r>
    </w:p>
    <w:sectPr w:rsidR="00045B6C" w:rsidRPr="005E77B2" w:rsidSect="00045B6C">
      <w:footerReference w:type="default" r:id="rId51"/>
      <w:pgSz w:w="12240" w:h="15840" w:code="1"/>
      <w:pgMar w:top="1440" w:right="1440" w:bottom="1440" w:left="1800" w:header="864" w:footer="720" w:gutter="0"/>
      <w:paperSrc w:first="15" w:other="15"/>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17" w:rsidRDefault="00692C17" w:rsidP="00E70907">
      <w:pPr>
        <w:spacing w:after="0" w:line="240" w:lineRule="auto"/>
      </w:pPr>
      <w:r>
        <w:separator/>
      </w:r>
    </w:p>
  </w:endnote>
  <w:endnote w:type="continuationSeparator" w:id="0">
    <w:p w:rsidR="00692C17" w:rsidRDefault="00692C17" w:rsidP="00E7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ヒラギノ角ゴ Pro W3">
    <w:charset w:val="80"/>
    <w:family w:val="auto"/>
    <w:pitch w:val="variable"/>
    <w:sig w:usb0="E00002FF" w:usb1="7AC7FFFF" w:usb2="00000012" w:usb3="00000000" w:csb0="0002000D"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5C" w:rsidRPr="0066134E" w:rsidRDefault="00FB2E5C" w:rsidP="00045B6C">
    <w:pPr>
      <w:pStyle w:val="Footer"/>
      <w:tabs>
        <w:tab w:val="clear" w:pos="4507"/>
      </w:tabs>
    </w:pPr>
    <w:proofErr w:type="spellStart"/>
    <w:r w:rsidRPr="00967D7C">
      <w:rPr>
        <w:color w:val="DA291C"/>
      </w:rPr>
      <w:t>Abt</w:t>
    </w:r>
    <w:proofErr w:type="spellEnd"/>
    <w:r w:rsidRPr="00967D7C">
      <w:rPr>
        <w:color w:val="DA291C"/>
      </w:rPr>
      <w:t xml:space="preserve"> Associates Inc.</w:t>
    </w:r>
    <w:r w:rsidRPr="0066134E">
      <w:tab/>
    </w:r>
    <w:r>
      <w:rPr>
        <w:rStyle w:val="PageNumber"/>
        <w:b/>
      </w:rPr>
      <w:t>Contents</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Pr="0066632E">
      <w:rPr>
        <w:rStyle w:val="PageNumber"/>
        <w:b/>
        <w:noProof/>
        <w:color w:val="DA291C"/>
      </w:rPr>
      <w:t>ii</w:t>
    </w:r>
    <w:r>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5C" w:rsidRDefault="00FB2E5C" w:rsidP="00045B6C">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5C" w:rsidRPr="0007338D" w:rsidRDefault="00FB2E5C" w:rsidP="00045B6C">
    <w:pPr>
      <w:pStyle w:val="Footer"/>
      <w:tabs>
        <w:tab w:val="clear" w:pos="4507"/>
      </w:tabs>
    </w:pPr>
    <w:proofErr w:type="spellStart"/>
    <w:r w:rsidRPr="00A63B6C">
      <w:rPr>
        <w:color w:val="000000" w:themeColor="text1"/>
      </w:rPr>
      <w:t>Abt</w:t>
    </w:r>
    <w:proofErr w:type="spellEnd"/>
    <w:r w:rsidRPr="00A63B6C">
      <w:rPr>
        <w:color w:val="000000" w:themeColor="text1"/>
      </w:rPr>
      <w:t xml:space="preserve"> Associates Inc.</w:t>
    </w:r>
    <w:r w:rsidRPr="0066134E">
      <w:rPr>
        <w:rStyle w:val="PageNumber"/>
        <w:b/>
      </w:rPr>
      <w:tab/>
    </w:r>
    <w:r>
      <w:rPr>
        <w:rStyle w:val="PageNumber"/>
        <w:b/>
      </w:rPr>
      <w:t>Table of Contents</w:t>
    </w:r>
    <w:r>
      <w:rPr>
        <w:rStyle w:val="PageNumber"/>
        <w:b/>
      </w:rPr>
      <w:t> </w:t>
    </w:r>
    <w:r>
      <w:rPr>
        <w:rStyle w:val="PageNumber"/>
        <w:rFonts w:cs="Arial"/>
        <w:b/>
      </w:rPr>
      <w:t>▌</w:t>
    </w:r>
    <w:r>
      <w:rPr>
        <w:rStyle w:val="PageNumber"/>
        <w:b/>
      </w:rPr>
      <w:t>pg</w:t>
    </w:r>
    <w:r w:rsidRPr="00A63B6C">
      <w:rPr>
        <w:rStyle w:val="PageNumber"/>
        <w:b/>
        <w:color w:val="000000" w:themeColor="text1"/>
      </w:rPr>
      <w:t xml:space="preserve">. </w:t>
    </w:r>
    <w:r w:rsidRPr="00A63B6C">
      <w:fldChar w:fldCharType="begin"/>
    </w:r>
    <w:r w:rsidRPr="00A63B6C">
      <w:rPr>
        <w:color w:val="000000" w:themeColor="text1"/>
      </w:rPr>
      <w:instrText xml:space="preserve"> PAGE   \* MERGEFORMAT </w:instrText>
    </w:r>
    <w:r w:rsidRPr="00A63B6C">
      <w:fldChar w:fldCharType="separate"/>
    </w:r>
    <w:r w:rsidR="001D2E9A" w:rsidRPr="001D2E9A">
      <w:rPr>
        <w:rStyle w:val="PageNumber"/>
        <w:b/>
        <w:noProof/>
        <w:color w:val="000000" w:themeColor="text1"/>
      </w:rPr>
      <w:t>i</w:t>
    </w:r>
    <w:r w:rsidRPr="00A63B6C">
      <w:rPr>
        <w:rStyle w:val="PageNumber"/>
        <w:b/>
        <w:noProof/>
        <w:color w:val="000000" w:themeColor="text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5C" w:rsidRPr="00A63B6C" w:rsidRDefault="00FB2E5C" w:rsidP="00045B6C">
    <w:pPr>
      <w:pStyle w:val="Footer"/>
      <w:tabs>
        <w:tab w:val="clear" w:pos="4507"/>
      </w:tabs>
      <w:rPr>
        <w:color w:val="000000" w:themeColor="text1"/>
      </w:rPr>
    </w:pPr>
    <w:proofErr w:type="spellStart"/>
    <w:r w:rsidRPr="00A63B6C">
      <w:rPr>
        <w:color w:val="000000" w:themeColor="text1"/>
      </w:rPr>
      <w:t>Abt</w:t>
    </w:r>
    <w:proofErr w:type="spellEnd"/>
    <w:r w:rsidRPr="00A63B6C">
      <w:rPr>
        <w:color w:val="000000" w:themeColor="text1"/>
      </w:rPr>
      <w:t xml:space="preserve"> Associates Inc.</w:t>
    </w:r>
    <w:r w:rsidRPr="00A63B6C">
      <w:rPr>
        <w:rStyle w:val="PageNumber"/>
        <w:b/>
        <w:color w:val="000000" w:themeColor="text1"/>
      </w:rPr>
      <w:tab/>
      <w:t>Part A: Justification</w:t>
    </w:r>
    <w:r w:rsidRPr="00A63B6C">
      <w:rPr>
        <w:rStyle w:val="PageNumber"/>
        <w:b/>
        <w:color w:val="000000" w:themeColor="text1"/>
      </w:rPr>
      <w:t> </w:t>
    </w:r>
    <w:r w:rsidRPr="00A63B6C">
      <w:rPr>
        <w:rStyle w:val="PageNumber"/>
        <w:rFonts w:cs="Arial"/>
        <w:b/>
        <w:color w:val="000000" w:themeColor="text1"/>
      </w:rPr>
      <w:t>▌</w:t>
    </w:r>
    <w:r w:rsidRPr="00A63B6C">
      <w:rPr>
        <w:rStyle w:val="PageNumber"/>
        <w:b/>
        <w:color w:val="000000" w:themeColor="text1"/>
      </w:rPr>
      <w:t xml:space="preserve">pg. </w:t>
    </w:r>
    <w:r w:rsidRPr="00A63B6C">
      <w:fldChar w:fldCharType="begin"/>
    </w:r>
    <w:r w:rsidRPr="00A63B6C">
      <w:rPr>
        <w:color w:val="000000" w:themeColor="text1"/>
      </w:rPr>
      <w:instrText xml:space="preserve"> PAGE   \* MERGEFORMAT </w:instrText>
    </w:r>
    <w:r w:rsidRPr="00A63B6C">
      <w:fldChar w:fldCharType="separate"/>
    </w:r>
    <w:r w:rsidR="001D2E9A" w:rsidRPr="001D2E9A">
      <w:rPr>
        <w:rStyle w:val="PageNumber"/>
        <w:b/>
        <w:noProof/>
        <w:color w:val="000000" w:themeColor="text1"/>
      </w:rPr>
      <w:t>A-18</w:t>
    </w:r>
    <w:r w:rsidRPr="00A63B6C">
      <w:rPr>
        <w:rStyle w:val="PageNumber"/>
        <w:b/>
        <w:noProof/>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17" w:rsidRDefault="00692C17" w:rsidP="00E70907">
      <w:pPr>
        <w:spacing w:after="0" w:line="240" w:lineRule="auto"/>
      </w:pPr>
      <w:r>
        <w:separator/>
      </w:r>
    </w:p>
  </w:footnote>
  <w:footnote w:type="continuationSeparator" w:id="0">
    <w:p w:rsidR="00692C17" w:rsidRDefault="00692C17" w:rsidP="00E70907">
      <w:pPr>
        <w:spacing w:after="0" w:line="240" w:lineRule="auto"/>
      </w:pPr>
      <w:r>
        <w:continuationSeparator/>
      </w:r>
    </w:p>
  </w:footnote>
  <w:footnote w:id="1">
    <w:p w:rsidR="00FB2E5C" w:rsidRDefault="00FB2E5C" w:rsidP="00737433">
      <w:pPr>
        <w:pStyle w:val="FootnoteText"/>
      </w:pPr>
      <w:r>
        <w:rPr>
          <w:rStyle w:val="FootnoteReference"/>
        </w:rPr>
        <w:footnoteRef/>
      </w:r>
      <w:r>
        <w:t xml:space="preserve"> </w:t>
      </w:r>
      <w:r>
        <w:tab/>
      </w:r>
      <w:r w:rsidRPr="00737433">
        <w:t>An estimate of the number of seniors in each school is 200, given that the average secondary school enrollment in 2011-2012 w</w:t>
      </w:r>
      <w:r>
        <w:t>as 788 students (NCES, 2013).</w:t>
      </w:r>
    </w:p>
  </w:footnote>
  <w:footnote w:id="2">
    <w:p w:rsidR="00FB2E5C" w:rsidRDefault="00FB2E5C" w:rsidP="00737433">
      <w:pPr>
        <w:pStyle w:val="FootnoteText"/>
      </w:pPr>
      <w:r>
        <w:rPr>
          <w:rStyle w:val="FootnoteReference"/>
        </w:rPr>
        <w:footnoteRef/>
      </w:r>
      <w:r>
        <w:t xml:space="preserve"> </w:t>
      </w:r>
      <w:r>
        <w:tab/>
        <w:t xml:space="preserve">Among 2010 seniors, 82 percent of </w:t>
      </w:r>
      <w:r w:rsidRPr="00417AB4">
        <w:t>graduating students planned to attend a postsecondary institution</w:t>
      </w:r>
      <w:r>
        <w:t xml:space="preserve"> and the percent among parents with no college education was 71 percent (</w:t>
      </w:r>
      <w:proofErr w:type="spellStart"/>
      <w:r>
        <w:t>Aud</w:t>
      </w:r>
      <w:proofErr w:type="spellEnd"/>
      <w:r>
        <w:t xml:space="preserve"> et al. 2012).</w:t>
      </w:r>
    </w:p>
  </w:footnote>
  <w:footnote w:id="3">
    <w:p w:rsidR="00FB2E5C" w:rsidRPr="00111B7C" w:rsidRDefault="00FB2E5C" w:rsidP="0014033A">
      <w:pPr>
        <w:ind w:left="360" w:hanging="360"/>
        <w:rPr>
          <w:sz w:val="20"/>
          <w:szCs w:val="20"/>
        </w:rPr>
      </w:pPr>
      <w:r w:rsidRPr="00111B7C">
        <w:rPr>
          <w:rStyle w:val="FootnoteReference"/>
          <w:sz w:val="20"/>
          <w:szCs w:val="20"/>
        </w:rPr>
        <w:footnoteRef/>
      </w:r>
      <w:r w:rsidRPr="00111B7C">
        <w:rPr>
          <w:sz w:val="20"/>
          <w:szCs w:val="20"/>
        </w:rPr>
        <w:t xml:space="preserve"> Only districts and schools that have directory information policies in place prior to July 1, 201</w:t>
      </w:r>
      <w:r>
        <w:rPr>
          <w:sz w:val="20"/>
          <w:szCs w:val="20"/>
        </w:rPr>
        <w:t>6</w:t>
      </w:r>
      <w:r w:rsidRPr="00111B7C">
        <w:rPr>
          <w:sz w:val="20"/>
          <w:szCs w:val="20"/>
        </w:rPr>
        <w:t xml:space="preserve"> that allow for student information designated as </w:t>
      </w:r>
      <w:r>
        <w:rPr>
          <w:sz w:val="20"/>
          <w:szCs w:val="20"/>
        </w:rPr>
        <w:t>“</w:t>
      </w:r>
      <w:r w:rsidRPr="00111B7C">
        <w:rPr>
          <w:sz w:val="20"/>
          <w:szCs w:val="20"/>
        </w:rPr>
        <w:t xml:space="preserve">directory </w:t>
      </w:r>
      <w:r>
        <w:rPr>
          <w:sz w:val="20"/>
          <w:szCs w:val="20"/>
        </w:rPr>
        <w:t>information”</w:t>
      </w:r>
      <w:r w:rsidRPr="00111B7C">
        <w:rPr>
          <w:sz w:val="20"/>
          <w:szCs w:val="20"/>
        </w:rPr>
        <w:t xml:space="preserve"> to be shared in compliance with Federal law with the evaluator will be included in the participating GEAR UP high schools. </w:t>
      </w:r>
      <w:r>
        <w:rPr>
          <w:sz w:val="20"/>
          <w:szCs w:val="20"/>
        </w:rPr>
        <w:t>In</w:t>
      </w:r>
      <w:r w:rsidRPr="00111B7C">
        <w:rPr>
          <w:sz w:val="20"/>
          <w:szCs w:val="20"/>
        </w:rPr>
        <w:t xml:space="preserve"> accordance with FERPA, if any parents or guardians of a s</w:t>
      </w:r>
      <w:r>
        <w:rPr>
          <w:sz w:val="20"/>
          <w:szCs w:val="20"/>
        </w:rPr>
        <w:t xml:space="preserve">tudent opt out of the disclosure of </w:t>
      </w:r>
      <w:r w:rsidRPr="00111B7C">
        <w:rPr>
          <w:sz w:val="20"/>
          <w:szCs w:val="20"/>
        </w:rPr>
        <w:t>“directory</w:t>
      </w:r>
      <w:r>
        <w:rPr>
          <w:sz w:val="20"/>
          <w:szCs w:val="20"/>
        </w:rPr>
        <w:t xml:space="preserve"> information,” the school or district</w:t>
      </w:r>
      <w:r w:rsidRPr="00111B7C">
        <w:rPr>
          <w:sz w:val="20"/>
          <w:szCs w:val="20"/>
        </w:rPr>
        <w:t xml:space="preserve"> will not provide the “directory information” for that student to the </w:t>
      </w:r>
      <w:r>
        <w:rPr>
          <w:sz w:val="20"/>
          <w:szCs w:val="20"/>
        </w:rPr>
        <w:t xml:space="preserve">evaluator </w:t>
      </w:r>
      <w:r w:rsidRPr="00111B7C">
        <w:rPr>
          <w:sz w:val="20"/>
          <w:szCs w:val="20"/>
        </w:rPr>
        <w:t>unless the parent or guardian of that student provides consent under 34 CFR 99.30.</w:t>
      </w:r>
    </w:p>
  </w:footnote>
  <w:footnote w:id="4">
    <w:p w:rsidR="00FB2E5C" w:rsidRDefault="00FB2E5C" w:rsidP="0014033A">
      <w:pPr>
        <w:autoSpaceDE w:val="0"/>
        <w:autoSpaceDN w:val="0"/>
        <w:adjustRightInd w:val="0"/>
        <w:ind w:left="360" w:hanging="360"/>
      </w:pPr>
      <w:r>
        <w:rPr>
          <w:rStyle w:val="FootnoteReference"/>
        </w:rPr>
        <w:footnoteRef/>
      </w:r>
      <w:r>
        <w:t xml:space="preserve"> </w:t>
      </w:r>
      <w:r>
        <w:rPr>
          <w:sz w:val="20"/>
          <w:szCs w:val="20"/>
        </w:rPr>
        <w:t>Students who indicate some intent to attend college will be eligible for the intervention and will comprise the pool of students who are randomly assigned to the treatment and control conditions.</w:t>
      </w:r>
    </w:p>
  </w:footnote>
  <w:footnote w:id="5">
    <w:p w:rsidR="00FB2E5C" w:rsidRPr="00BD7FF1" w:rsidRDefault="00FB2E5C" w:rsidP="00E70907">
      <w:pPr>
        <w:pStyle w:val="FootnoteText"/>
        <w:rPr>
          <w:szCs w:val="20"/>
        </w:rPr>
      </w:pPr>
      <w:r>
        <w:rPr>
          <w:rStyle w:val="FootnoteReference"/>
        </w:rPr>
        <w:footnoteRef/>
      </w:r>
      <w:r>
        <w:t xml:space="preserve"> </w:t>
      </w:r>
      <w:r>
        <w:tab/>
      </w:r>
      <w:r w:rsidRPr="00BD7FF1">
        <w:rPr>
          <w:szCs w:val="20"/>
        </w:rPr>
        <w:t xml:space="preserve">Bureau of Labor Statistics, U.S. Department of Labor, </w:t>
      </w:r>
      <w:r w:rsidRPr="00BD7FF1">
        <w:rPr>
          <w:i/>
          <w:iCs/>
          <w:szCs w:val="20"/>
        </w:rPr>
        <w:t>Occupational Outlook Handbook, 2014-15 Edition</w:t>
      </w:r>
      <w:r w:rsidRPr="00BD7FF1">
        <w:rPr>
          <w:szCs w:val="20"/>
        </w:rPr>
        <w:t xml:space="preserve">, School and Career Counselors, on the Internet at </w:t>
      </w:r>
      <w:hyperlink r:id="rId1" w:tgtFrame="_new" w:history="1">
        <w:r w:rsidRPr="00BD7FF1">
          <w:rPr>
            <w:szCs w:val="20"/>
            <w:u w:val="single"/>
          </w:rPr>
          <w:t>http://www.bls.gov/ooh/community-and-social-service/school-and-career-counselors.htm</w:t>
        </w:r>
      </w:hyperlink>
      <w:r>
        <w:rPr>
          <w:szCs w:val="20"/>
        </w:rPr>
        <w:t xml:space="preserve"> </w:t>
      </w:r>
      <w:r w:rsidRPr="00BD7FF1">
        <w:rPr>
          <w:szCs w:val="20"/>
        </w:rPr>
        <w:t>(</w:t>
      </w:r>
      <w:r w:rsidRPr="00BD7FF1">
        <w:rPr>
          <w:i/>
          <w:iCs/>
          <w:szCs w:val="20"/>
        </w:rPr>
        <w:t xml:space="preserve">January </w:t>
      </w:r>
      <w:r>
        <w:rPr>
          <w:i/>
          <w:iCs/>
          <w:szCs w:val="20"/>
        </w:rPr>
        <w:t>8</w:t>
      </w:r>
      <w:r w:rsidRPr="00BD7FF1">
        <w:rPr>
          <w:i/>
          <w:iCs/>
          <w:szCs w:val="20"/>
        </w:rPr>
        <w:t>, 2015</w:t>
      </w:r>
      <w:r w:rsidRPr="00BD7FF1">
        <w:rPr>
          <w:szCs w:val="20"/>
        </w:rPr>
        <w:t>).</w:t>
      </w:r>
    </w:p>
  </w:footnote>
  <w:footnote w:id="6">
    <w:p w:rsidR="00FB2E5C" w:rsidRDefault="00FB2E5C" w:rsidP="00154D43">
      <w:pPr>
        <w:pStyle w:val="FootnoteText"/>
        <w:spacing w:after="0" w:line="240" w:lineRule="auto"/>
      </w:pPr>
      <w:r>
        <w:rPr>
          <w:rStyle w:val="FootnoteReference"/>
        </w:rPr>
        <w:footnoteRef/>
      </w:r>
      <w:r>
        <w:t xml:space="preserve"> </w:t>
      </w:r>
      <w:r>
        <w:tab/>
        <w:t xml:space="preserve">If we suspect that treatment effects differ by school, we will </w:t>
      </w:r>
      <w:proofErr w:type="gramStart"/>
      <w:r>
        <w:t>interact</w:t>
      </w:r>
      <w:proofErr w:type="gramEnd"/>
      <w:r>
        <w:t xml:space="preserve"> schools with the treatment indicator. </w:t>
      </w:r>
    </w:p>
  </w:footnote>
  <w:footnote w:id="7">
    <w:p w:rsidR="00FB2E5C" w:rsidRDefault="00FB2E5C" w:rsidP="00FB2E5C">
      <w:pPr>
        <w:pStyle w:val="FootnoteText"/>
        <w:spacing w:after="0" w:line="240" w:lineRule="auto"/>
      </w:pPr>
      <w:r>
        <w:rPr>
          <w:rStyle w:val="FootnoteReference"/>
        </w:rPr>
        <w:footnoteRef/>
      </w:r>
      <w:r>
        <w:tab/>
      </w:r>
      <w:r w:rsidRPr="007161F9">
        <w:rPr>
          <w:szCs w:val="20"/>
        </w:rPr>
        <w:t xml:space="preserve">The </w:t>
      </w:r>
      <w:r>
        <w:rPr>
          <w:szCs w:val="20"/>
        </w:rPr>
        <w:t>study team will also test the null hypothesis of no difference between</w:t>
      </w:r>
      <w:r w:rsidRPr="007161F9">
        <w:rPr>
          <w:szCs w:val="20"/>
        </w:rPr>
        <w:t xml:space="preserve"> Treatment 1 (milestone messages) versus Treatment 2 (enhanced messages)</w:t>
      </w:r>
      <w:r>
        <w:rPr>
          <w:szCs w:val="20"/>
        </w:rPr>
        <w:t>.</w:t>
      </w:r>
    </w:p>
  </w:footnote>
  <w:footnote w:id="8">
    <w:p w:rsidR="00FB2E5C" w:rsidRDefault="00FB2E5C" w:rsidP="00154D43">
      <w:pPr>
        <w:pStyle w:val="FootnoteText"/>
        <w:spacing w:after="0" w:line="240" w:lineRule="auto"/>
      </w:pPr>
      <w:r>
        <w:rPr>
          <w:rStyle w:val="FootnoteReference"/>
        </w:rPr>
        <w:footnoteRef/>
      </w:r>
      <w:r>
        <w:t xml:space="preserve"> </w:t>
      </w:r>
      <w:r>
        <w:tab/>
        <w:t xml:space="preserve">This approach requires the assumption that </w:t>
      </w:r>
      <w:r w:rsidR="00A77812">
        <w:t>each characteristic</w:t>
      </w:r>
      <w:r>
        <w:t xml:space="preserve"> is not correlated with the marginal effect of the other model covariates. We will evaluate whether this assumption is tenable during preliminary data exploration.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5C" w:rsidRDefault="00FB2E5C" w:rsidP="00045B6C">
    <w:pPr>
      <w:pStyle w:val="Header"/>
      <w:tabs>
        <w:tab w:val="clear" w:pos="4507"/>
      </w:tabs>
    </w:pPr>
    <w:r>
      <w:t>Revised OMB Supporting Statement</w:t>
    </w:r>
    <w:r>
      <w:tab/>
      <w:t>Promising Strategies in Federal College Access Programs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5C" w:rsidRDefault="00FB2E5C" w:rsidP="00045B6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5C" w:rsidRDefault="00FB2E5C" w:rsidP="00045B6C">
    <w:pPr>
      <w:pStyle w:val="Header"/>
      <w:tabs>
        <w:tab w:val="clear" w:pos="4507"/>
      </w:tabs>
    </w:pPr>
    <w:r>
      <w:t>Revised OMB Supporting Statement</w:t>
    </w:r>
    <w:r>
      <w:tab/>
      <w:t>Promising Strategies in Federal College Access Programs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5E05"/>
    <w:multiLevelType w:val="hybridMultilevel"/>
    <w:tmpl w:val="6962685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27B08"/>
    <w:multiLevelType w:val="hybridMultilevel"/>
    <w:tmpl w:val="7E9221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C85186"/>
    <w:multiLevelType w:val="hybridMultilevel"/>
    <w:tmpl w:val="9072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B7B5B"/>
    <w:multiLevelType w:val="hybridMultilevel"/>
    <w:tmpl w:val="20C80878"/>
    <w:lvl w:ilvl="0" w:tplc="1B1C8B14">
      <w:start w:val="2"/>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47092"/>
    <w:multiLevelType w:val="hybridMultilevel"/>
    <w:tmpl w:val="132AA38E"/>
    <w:lvl w:ilvl="0" w:tplc="FF84171A">
      <w:start w:val="1"/>
      <w:numFmt w:val="bullet"/>
      <w:lvlText w:val=""/>
      <w:lvlJc w:val="left"/>
      <w:pPr>
        <w:ind w:left="720" w:hanging="360"/>
      </w:pPr>
      <w:rPr>
        <w:rFonts w:ascii="Symbol" w:hAnsi="Symbol" w:hint="default"/>
        <w:color w:val="DA291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C66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78142A"/>
    <w:multiLevelType w:val="hybridMultilevel"/>
    <w:tmpl w:val="7D164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114EB4"/>
    <w:multiLevelType w:val="hybridMultilevel"/>
    <w:tmpl w:val="C1708400"/>
    <w:lvl w:ilvl="0" w:tplc="5C5EFFA2">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4AC259B"/>
    <w:multiLevelType w:val="singleLevel"/>
    <w:tmpl w:val="01AC6EA0"/>
    <w:lvl w:ilvl="0">
      <w:start w:val="1"/>
      <w:numFmt w:val="decimal"/>
      <w:lvlText w:val="%1."/>
      <w:lvlJc w:val="left"/>
      <w:pPr>
        <w:tabs>
          <w:tab w:val="num" w:pos="1080"/>
        </w:tabs>
        <w:ind w:left="1080" w:hanging="360"/>
      </w:pPr>
    </w:lvl>
  </w:abstractNum>
  <w:abstractNum w:abstractNumId="9">
    <w:nsid w:val="258C1EA3"/>
    <w:multiLevelType w:val="singleLevel"/>
    <w:tmpl w:val="0409000F"/>
    <w:lvl w:ilvl="0">
      <w:start w:val="1"/>
      <w:numFmt w:val="decimal"/>
      <w:lvlText w:val="%1."/>
      <w:lvlJc w:val="left"/>
      <w:pPr>
        <w:tabs>
          <w:tab w:val="num" w:pos="360"/>
        </w:tabs>
        <w:ind w:left="360" w:hanging="360"/>
      </w:pPr>
    </w:lvl>
  </w:abstractNum>
  <w:abstractNum w:abstractNumId="10">
    <w:nsid w:val="2D3E56C1"/>
    <w:multiLevelType w:val="hybridMultilevel"/>
    <w:tmpl w:val="FDF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A2A0B"/>
    <w:multiLevelType w:val="hybridMultilevel"/>
    <w:tmpl w:val="B5947FD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D61023"/>
    <w:multiLevelType w:val="hybridMultilevel"/>
    <w:tmpl w:val="6322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033BC"/>
    <w:multiLevelType w:val="hybridMultilevel"/>
    <w:tmpl w:val="FF14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3B3B65"/>
    <w:multiLevelType w:val="hybridMultilevel"/>
    <w:tmpl w:val="AA9E0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36A38"/>
    <w:multiLevelType w:val="hybridMultilevel"/>
    <w:tmpl w:val="7C1E188A"/>
    <w:lvl w:ilvl="0" w:tplc="FEE4F42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8F3473"/>
    <w:multiLevelType w:val="hybridMultilevel"/>
    <w:tmpl w:val="AFF6E266"/>
    <w:lvl w:ilvl="0" w:tplc="3A2E5020">
      <w:start w:val="4"/>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B77B7"/>
    <w:multiLevelType w:val="hybridMultilevel"/>
    <w:tmpl w:val="1BA0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74290"/>
    <w:multiLevelType w:val="hybridMultilevel"/>
    <w:tmpl w:val="114ABB04"/>
    <w:lvl w:ilvl="0" w:tplc="07AEF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3C6EF0"/>
    <w:multiLevelType w:val="hybridMultilevel"/>
    <w:tmpl w:val="621E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B049AA"/>
    <w:multiLevelType w:val="hybridMultilevel"/>
    <w:tmpl w:val="1204A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7735CC"/>
    <w:multiLevelType w:val="hybridMultilevel"/>
    <w:tmpl w:val="EA1831E0"/>
    <w:lvl w:ilvl="0" w:tplc="ED0433F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BD13DA"/>
    <w:multiLevelType w:val="hybridMultilevel"/>
    <w:tmpl w:val="8EE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B34DDF"/>
    <w:multiLevelType w:val="hybridMultilevel"/>
    <w:tmpl w:val="021A15C2"/>
    <w:lvl w:ilvl="0" w:tplc="FF84171A">
      <w:start w:val="1"/>
      <w:numFmt w:val="bullet"/>
      <w:lvlText w:val=""/>
      <w:lvlJc w:val="left"/>
      <w:pPr>
        <w:ind w:left="720" w:hanging="360"/>
      </w:pPr>
      <w:rPr>
        <w:rFonts w:ascii="Symbol" w:hAnsi="Symbol" w:hint="default"/>
        <w:color w:val="DA291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623F95"/>
    <w:multiLevelType w:val="hybridMultilevel"/>
    <w:tmpl w:val="1422D156"/>
    <w:lvl w:ilvl="0" w:tplc="FEE4F420">
      <w:start w:val="1"/>
      <w:numFmt w:val="bullet"/>
      <w:lvlText w:val=""/>
      <w:lvlJc w:val="left"/>
      <w:pPr>
        <w:tabs>
          <w:tab w:val="num" w:pos="216"/>
        </w:tabs>
        <w:ind w:left="216" w:hanging="21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7C36D9"/>
    <w:multiLevelType w:val="hybridMultilevel"/>
    <w:tmpl w:val="7DE07608"/>
    <w:lvl w:ilvl="0" w:tplc="DC8A33A4">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A82320"/>
    <w:multiLevelType w:val="hybridMultilevel"/>
    <w:tmpl w:val="2FBA5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CD653A"/>
    <w:multiLevelType w:val="hybridMultilevel"/>
    <w:tmpl w:val="4F20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F64EA7"/>
    <w:multiLevelType w:val="hybridMultilevel"/>
    <w:tmpl w:val="25A80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7306F3"/>
    <w:multiLevelType w:val="hybridMultilevel"/>
    <w:tmpl w:val="B1A21CC0"/>
    <w:lvl w:ilvl="0" w:tplc="DB3E58E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745A12"/>
    <w:multiLevelType w:val="hybridMultilevel"/>
    <w:tmpl w:val="3DB80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4C3B9E"/>
    <w:multiLevelType w:val="hybridMultilevel"/>
    <w:tmpl w:val="9CCE2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CD6C2E"/>
    <w:multiLevelType w:val="hybridMultilevel"/>
    <w:tmpl w:val="C1708400"/>
    <w:lvl w:ilvl="0" w:tplc="5C5EFFA2">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2EA4FA2"/>
    <w:multiLevelType w:val="hybridMultilevel"/>
    <w:tmpl w:val="677E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13478F"/>
    <w:multiLevelType w:val="hybridMultilevel"/>
    <w:tmpl w:val="C1708400"/>
    <w:lvl w:ilvl="0" w:tplc="5C5EFFA2">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43C7519"/>
    <w:multiLevelType w:val="hybridMultilevel"/>
    <w:tmpl w:val="01AA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E34FC1"/>
    <w:multiLevelType w:val="hybridMultilevel"/>
    <w:tmpl w:val="818662AA"/>
    <w:lvl w:ilvl="0" w:tplc="0409000F">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63E04A3"/>
    <w:multiLevelType w:val="hybridMultilevel"/>
    <w:tmpl w:val="3BBE7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3B131C"/>
    <w:multiLevelType w:val="hybridMultilevel"/>
    <w:tmpl w:val="A4F603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AD63DA6"/>
    <w:multiLevelType w:val="singleLevel"/>
    <w:tmpl w:val="D1227EF6"/>
    <w:lvl w:ilvl="0">
      <w:start w:val="1"/>
      <w:numFmt w:val="bullet"/>
      <w:lvlText w:val=""/>
      <w:lvlJc w:val="left"/>
      <w:pPr>
        <w:ind w:left="360" w:hanging="360"/>
      </w:pPr>
      <w:rPr>
        <w:rFonts w:ascii="Symbol" w:hAnsi="Symbol" w:hint="default"/>
        <w:color w:val="DA291C"/>
        <w:sz w:val="22"/>
      </w:rPr>
    </w:lvl>
  </w:abstractNum>
  <w:abstractNum w:abstractNumId="42">
    <w:nsid w:val="7F3578E4"/>
    <w:multiLevelType w:val="hybridMultilevel"/>
    <w:tmpl w:val="3D32F538"/>
    <w:lvl w:ilvl="0" w:tplc="9B967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33"/>
  </w:num>
  <w:num w:numId="4">
    <w:abstractNumId w:val="13"/>
  </w:num>
  <w:num w:numId="5">
    <w:abstractNumId w:val="8"/>
  </w:num>
  <w:num w:numId="6">
    <w:abstractNumId w:val="6"/>
  </w:num>
  <w:num w:numId="7">
    <w:abstractNumId w:val="11"/>
  </w:num>
  <w:num w:numId="8">
    <w:abstractNumId w:val="28"/>
  </w:num>
  <w:num w:numId="9">
    <w:abstractNumId w:val="39"/>
  </w:num>
  <w:num w:numId="10">
    <w:abstractNumId w:val="8"/>
    <w:lvlOverride w:ilvl="0">
      <w:startOverride w:val="1"/>
    </w:lvlOverride>
  </w:num>
  <w:num w:numId="11">
    <w:abstractNumId w:val="18"/>
  </w:num>
  <w:num w:numId="12">
    <w:abstractNumId w:val="12"/>
  </w:num>
  <w:num w:numId="13">
    <w:abstractNumId w:val="14"/>
  </w:num>
  <w:num w:numId="14">
    <w:abstractNumId w:val="40"/>
  </w:num>
  <w:num w:numId="15">
    <w:abstractNumId w:val="1"/>
  </w:num>
  <w:num w:numId="16">
    <w:abstractNumId w:val="32"/>
  </w:num>
  <w:num w:numId="17">
    <w:abstractNumId w:val="15"/>
  </w:num>
  <w:num w:numId="18">
    <w:abstractNumId w:val="35"/>
  </w:num>
  <w:num w:numId="19">
    <w:abstractNumId w:val="5"/>
  </w:num>
  <w:num w:numId="20">
    <w:abstractNumId w:val="31"/>
  </w:num>
  <w:num w:numId="21">
    <w:abstractNumId w:val="26"/>
  </w:num>
  <w:num w:numId="22">
    <w:abstractNumId w:val="34"/>
  </w:num>
  <w:num w:numId="23">
    <w:abstractNumId w:val="36"/>
  </w:num>
  <w:num w:numId="24">
    <w:abstractNumId w:val="24"/>
  </w:num>
  <w:num w:numId="25">
    <w:abstractNumId w:val="30"/>
  </w:num>
  <w:num w:numId="26">
    <w:abstractNumId w:val="7"/>
  </w:num>
  <w:num w:numId="27">
    <w:abstractNumId w:val="38"/>
  </w:num>
  <w:num w:numId="28">
    <w:abstractNumId w:val="16"/>
  </w:num>
  <w:num w:numId="29">
    <w:abstractNumId w:val="3"/>
  </w:num>
  <w:num w:numId="30">
    <w:abstractNumId w:val="42"/>
  </w:num>
  <w:num w:numId="31">
    <w:abstractNumId w:val="4"/>
  </w:num>
  <w:num w:numId="32">
    <w:abstractNumId w:val="23"/>
  </w:num>
  <w:num w:numId="33">
    <w:abstractNumId w:val="20"/>
  </w:num>
  <w:num w:numId="34">
    <w:abstractNumId w:val="25"/>
  </w:num>
  <w:num w:numId="35">
    <w:abstractNumId w:val="41"/>
  </w:num>
  <w:num w:numId="36">
    <w:abstractNumId w:val="22"/>
  </w:num>
  <w:num w:numId="37">
    <w:abstractNumId w:val="0"/>
  </w:num>
  <w:num w:numId="38">
    <w:abstractNumId w:val="37"/>
  </w:num>
  <w:num w:numId="39">
    <w:abstractNumId w:val="2"/>
  </w:num>
  <w:num w:numId="40">
    <w:abstractNumId w:val="17"/>
  </w:num>
  <w:num w:numId="41">
    <w:abstractNumId w:val="29"/>
  </w:num>
  <w:num w:numId="42">
    <w:abstractNumId w:val="9"/>
  </w:num>
  <w:num w:numId="43">
    <w:abstractNumId w:val="19"/>
  </w:num>
  <w:num w:numId="44">
    <w:abstractNumId w:val="10"/>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07"/>
    <w:rsid w:val="00007A03"/>
    <w:rsid w:val="0001188E"/>
    <w:rsid w:val="000137D4"/>
    <w:rsid w:val="000205CF"/>
    <w:rsid w:val="0002583C"/>
    <w:rsid w:val="0004039D"/>
    <w:rsid w:val="00042352"/>
    <w:rsid w:val="00045B6C"/>
    <w:rsid w:val="000661DB"/>
    <w:rsid w:val="000664ED"/>
    <w:rsid w:val="00077E4D"/>
    <w:rsid w:val="000A0E33"/>
    <w:rsid w:val="000A70B7"/>
    <w:rsid w:val="000B209F"/>
    <w:rsid w:val="000B3764"/>
    <w:rsid w:val="000C5E9B"/>
    <w:rsid w:val="000C643C"/>
    <w:rsid w:val="000D2016"/>
    <w:rsid w:val="000E18CE"/>
    <w:rsid w:val="000F1708"/>
    <w:rsid w:val="001018C9"/>
    <w:rsid w:val="001031A4"/>
    <w:rsid w:val="00104B59"/>
    <w:rsid w:val="00107CDC"/>
    <w:rsid w:val="001327F2"/>
    <w:rsid w:val="0013488F"/>
    <w:rsid w:val="0014033A"/>
    <w:rsid w:val="00142919"/>
    <w:rsid w:val="00146150"/>
    <w:rsid w:val="00146C8B"/>
    <w:rsid w:val="00146F85"/>
    <w:rsid w:val="00150F49"/>
    <w:rsid w:val="00154D43"/>
    <w:rsid w:val="001652A5"/>
    <w:rsid w:val="00165AF8"/>
    <w:rsid w:val="00171B1D"/>
    <w:rsid w:val="00174CC8"/>
    <w:rsid w:val="001A449A"/>
    <w:rsid w:val="001A5124"/>
    <w:rsid w:val="001B4C19"/>
    <w:rsid w:val="001B7671"/>
    <w:rsid w:val="001C3A95"/>
    <w:rsid w:val="001C7B69"/>
    <w:rsid w:val="001D2B35"/>
    <w:rsid w:val="001D2E9A"/>
    <w:rsid w:val="00212293"/>
    <w:rsid w:val="00216ED3"/>
    <w:rsid w:val="00230116"/>
    <w:rsid w:val="00232A5B"/>
    <w:rsid w:val="0023626B"/>
    <w:rsid w:val="002377AD"/>
    <w:rsid w:val="002475C3"/>
    <w:rsid w:val="002612FB"/>
    <w:rsid w:val="002B7E1B"/>
    <w:rsid w:val="002C096F"/>
    <w:rsid w:val="002D4781"/>
    <w:rsid w:val="003038A5"/>
    <w:rsid w:val="00314C58"/>
    <w:rsid w:val="003203CE"/>
    <w:rsid w:val="00322E39"/>
    <w:rsid w:val="00325AF3"/>
    <w:rsid w:val="003568A7"/>
    <w:rsid w:val="0036302C"/>
    <w:rsid w:val="003646EF"/>
    <w:rsid w:val="00367DEF"/>
    <w:rsid w:val="00374EFB"/>
    <w:rsid w:val="003B1E89"/>
    <w:rsid w:val="003B5D89"/>
    <w:rsid w:val="003C26E8"/>
    <w:rsid w:val="003D099B"/>
    <w:rsid w:val="003E79B3"/>
    <w:rsid w:val="003F2504"/>
    <w:rsid w:val="00400441"/>
    <w:rsid w:val="0040162F"/>
    <w:rsid w:val="004062DF"/>
    <w:rsid w:val="00410FBC"/>
    <w:rsid w:val="004121DD"/>
    <w:rsid w:val="00416BCE"/>
    <w:rsid w:val="00424B12"/>
    <w:rsid w:val="004254F7"/>
    <w:rsid w:val="00432000"/>
    <w:rsid w:val="00433D85"/>
    <w:rsid w:val="00433DC5"/>
    <w:rsid w:val="00436249"/>
    <w:rsid w:val="004419E2"/>
    <w:rsid w:val="00446DE4"/>
    <w:rsid w:val="00454BED"/>
    <w:rsid w:val="00464934"/>
    <w:rsid w:val="00467956"/>
    <w:rsid w:val="00474A1B"/>
    <w:rsid w:val="00475999"/>
    <w:rsid w:val="00481F85"/>
    <w:rsid w:val="0049232E"/>
    <w:rsid w:val="004A3245"/>
    <w:rsid w:val="004B60EA"/>
    <w:rsid w:val="004B67EC"/>
    <w:rsid w:val="004C3A07"/>
    <w:rsid w:val="004D68DC"/>
    <w:rsid w:val="004D6D08"/>
    <w:rsid w:val="004E5CC6"/>
    <w:rsid w:val="004E7315"/>
    <w:rsid w:val="004F6F66"/>
    <w:rsid w:val="004F77F6"/>
    <w:rsid w:val="00514650"/>
    <w:rsid w:val="00521D99"/>
    <w:rsid w:val="00524BE2"/>
    <w:rsid w:val="00541C15"/>
    <w:rsid w:val="005468EE"/>
    <w:rsid w:val="005603ED"/>
    <w:rsid w:val="00582546"/>
    <w:rsid w:val="00586BFB"/>
    <w:rsid w:val="00590A86"/>
    <w:rsid w:val="0059766D"/>
    <w:rsid w:val="005A6C94"/>
    <w:rsid w:val="005B1D30"/>
    <w:rsid w:val="005B7183"/>
    <w:rsid w:val="005C2B41"/>
    <w:rsid w:val="005E5C16"/>
    <w:rsid w:val="005E741D"/>
    <w:rsid w:val="005E77B2"/>
    <w:rsid w:val="005F01BE"/>
    <w:rsid w:val="005F15DA"/>
    <w:rsid w:val="005F4B9F"/>
    <w:rsid w:val="00604C21"/>
    <w:rsid w:val="00643B57"/>
    <w:rsid w:val="00651338"/>
    <w:rsid w:val="0066632E"/>
    <w:rsid w:val="0067448E"/>
    <w:rsid w:val="00692C17"/>
    <w:rsid w:val="006C142C"/>
    <w:rsid w:val="006C3263"/>
    <w:rsid w:val="006C429E"/>
    <w:rsid w:val="006D4D3E"/>
    <w:rsid w:val="006E5606"/>
    <w:rsid w:val="006F45CD"/>
    <w:rsid w:val="00704B19"/>
    <w:rsid w:val="00715914"/>
    <w:rsid w:val="007161F9"/>
    <w:rsid w:val="00716437"/>
    <w:rsid w:val="007337D5"/>
    <w:rsid w:val="00737433"/>
    <w:rsid w:val="007456F5"/>
    <w:rsid w:val="00746CEC"/>
    <w:rsid w:val="00751688"/>
    <w:rsid w:val="007600C2"/>
    <w:rsid w:val="00761379"/>
    <w:rsid w:val="00763648"/>
    <w:rsid w:val="00764D1C"/>
    <w:rsid w:val="007701D0"/>
    <w:rsid w:val="0078021E"/>
    <w:rsid w:val="00785807"/>
    <w:rsid w:val="007867F6"/>
    <w:rsid w:val="007B5B2C"/>
    <w:rsid w:val="007C1B09"/>
    <w:rsid w:val="007C6E45"/>
    <w:rsid w:val="007D20A5"/>
    <w:rsid w:val="007F4A07"/>
    <w:rsid w:val="00805BBE"/>
    <w:rsid w:val="00812E6E"/>
    <w:rsid w:val="00821041"/>
    <w:rsid w:val="0082275C"/>
    <w:rsid w:val="00824CBA"/>
    <w:rsid w:val="00826EB1"/>
    <w:rsid w:val="00855BA0"/>
    <w:rsid w:val="00857F99"/>
    <w:rsid w:val="00860002"/>
    <w:rsid w:val="008800B5"/>
    <w:rsid w:val="00880842"/>
    <w:rsid w:val="00884928"/>
    <w:rsid w:val="00887719"/>
    <w:rsid w:val="008932BC"/>
    <w:rsid w:val="00893A33"/>
    <w:rsid w:val="00894791"/>
    <w:rsid w:val="008970B4"/>
    <w:rsid w:val="008A44F7"/>
    <w:rsid w:val="008A4CDF"/>
    <w:rsid w:val="008A6744"/>
    <w:rsid w:val="008D5C4C"/>
    <w:rsid w:val="008D6441"/>
    <w:rsid w:val="008F24EC"/>
    <w:rsid w:val="00900033"/>
    <w:rsid w:val="00902DAF"/>
    <w:rsid w:val="00911E77"/>
    <w:rsid w:val="00945797"/>
    <w:rsid w:val="009563C4"/>
    <w:rsid w:val="00961DDB"/>
    <w:rsid w:val="00964AC0"/>
    <w:rsid w:val="009736A9"/>
    <w:rsid w:val="0098531D"/>
    <w:rsid w:val="00991DE2"/>
    <w:rsid w:val="009949E9"/>
    <w:rsid w:val="009B1DD0"/>
    <w:rsid w:val="009B20C1"/>
    <w:rsid w:val="009B34D7"/>
    <w:rsid w:val="009B5FB7"/>
    <w:rsid w:val="009B6B16"/>
    <w:rsid w:val="009D139B"/>
    <w:rsid w:val="009D6AE2"/>
    <w:rsid w:val="009E1549"/>
    <w:rsid w:val="009E4F45"/>
    <w:rsid w:val="00A10677"/>
    <w:rsid w:val="00A11DE4"/>
    <w:rsid w:val="00A13E40"/>
    <w:rsid w:val="00A17AB3"/>
    <w:rsid w:val="00A17EE5"/>
    <w:rsid w:val="00A30375"/>
    <w:rsid w:val="00A33BAE"/>
    <w:rsid w:val="00A44EB2"/>
    <w:rsid w:val="00A45526"/>
    <w:rsid w:val="00A51329"/>
    <w:rsid w:val="00A55C88"/>
    <w:rsid w:val="00A5764D"/>
    <w:rsid w:val="00A618A2"/>
    <w:rsid w:val="00A6426F"/>
    <w:rsid w:val="00A73ADF"/>
    <w:rsid w:val="00A75771"/>
    <w:rsid w:val="00A766F9"/>
    <w:rsid w:val="00A77812"/>
    <w:rsid w:val="00A82544"/>
    <w:rsid w:val="00A87814"/>
    <w:rsid w:val="00A9450B"/>
    <w:rsid w:val="00A96562"/>
    <w:rsid w:val="00A96E0D"/>
    <w:rsid w:val="00AA7A0F"/>
    <w:rsid w:val="00AB464E"/>
    <w:rsid w:val="00AB7686"/>
    <w:rsid w:val="00AC4FC1"/>
    <w:rsid w:val="00AF046F"/>
    <w:rsid w:val="00AF2F57"/>
    <w:rsid w:val="00B110F2"/>
    <w:rsid w:val="00B24562"/>
    <w:rsid w:val="00B253E5"/>
    <w:rsid w:val="00B36370"/>
    <w:rsid w:val="00B4113A"/>
    <w:rsid w:val="00B428FD"/>
    <w:rsid w:val="00B507DA"/>
    <w:rsid w:val="00B605F7"/>
    <w:rsid w:val="00B634B1"/>
    <w:rsid w:val="00B63872"/>
    <w:rsid w:val="00B642CB"/>
    <w:rsid w:val="00B71AA2"/>
    <w:rsid w:val="00B73C34"/>
    <w:rsid w:val="00B8119D"/>
    <w:rsid w:val="00B82362"/>
    <w:rsid w:val="00B85D5E"/>
    <w:rsid w:val="00B865D2"/>
    <w:rsid w:val="00BA6FAA"/>
    <w:rsid w:val="00BB5EF9"/>
    <w:rsid w:val="00BB758C"/>
    <w:rsid w:val="00BD3692"/>
    <w:rsid w:val="00BE1BF1"/>
    <w:rsid w:val="00BE4AB8"/>
    <w:rsid w:val="00BE609F"/>
    <w:rsid w:val="00BE64FC"/>
    <w:rsid w:val="00BE7BF8"/>
    <w:rsid w:val="00BF3F70"/>
    <w:rsid w:val="00BF52CB"/>
    <w:rsid w:val="00C044DA"/>
    <w:rsid w:val="00C15EAE"/>
    <w:rsid w:val="00C437D9"/>
    <w:rsid w:val="00C47393"/>
    <w:rsid w:val="00C57BF7"/>
    <w:rsid w:val="00C65B6F"/>
    <w:rsid w:val="00C8192F"/>
    <w:rsid w:val="00C87DA0"/>
    <w:rsid w:val="00CA2056"/>
    <w:rsid w:val="00CB7092"/>
    <w:rsid w:val="00CC1544"/>
    <w:rsid w:val="00CC7175"/>
    <w:rsid w:val="00D2324B"/>
    <w:rsid w:val="00D503A3"/>
    <w:rsid w:val="00D534B7"/>
    <w:rsid w:val="00D5590B"/>
    <w:rsid w:val="00D62755"/>
    <w:rsid w:val="00D64751"/>
    <w:rsid w:val="00D67CF3"/>
    <w:rsid w:val="00D71BC9"/>
    <w:rsid w:val="00D72B25"/>
    <w:rsid w:val="00D93856"/>
    <w:rsid w:val="00DA1997"/>
    <w:rsid w:val="00DD1589"/>
    <w:rsid w:val="00DD39D1"/>
    <w:rsid w:val="00DD66D9"/>
    <w:rsid w:val="00DD74C6"/>
    <w:rsid w:val="00DF5CDA"/>
    <w:rsid w:val="00E10E27"/>
    <w:rsid w:val="00E20D88"/>
    <w:rsid w:val="00E222D3"/>
    <w:rsid w:val="00E4647B"/>
    <w:rsid w:val="00E4691E"/>
    <w:rsid w:val="00E474D9"/>
    <w:rsid w:val="00E56F13"/>
    <w:rsid w:val="00E578C1"/>
    <w:rsid w:val="00E57FF7"/>
    <w:rsid w:val="00E67BD2"/>
    <w:rsid w:val="00E70191"/>
    <w:rsid w:val="00E70907"/>
    <w:rsid w:val="00E75F2D"/>
    <w:rsid w:val="00E83D73"/>
    <w:rsid w:val="00E86130"/>
    <w:rsid w:val="00E92160"/>
    <w:rsid w:val="00EA1593"/>
    <w:rsid w:val="00EA3656"/>
    <w:rsid w:val="00EB482C"/>
    <w:rsid w:val="00EB5395"/>
    <w:rsid w:val="00EC0656"/>
    <w:rsid w:val="00EF5875"/>
    <w:rsid w:val="00EF7D61"/>
    <w:rsid w:val="00F00940"/>
    <w:rsid w:val="00F03E2D"/>
    <w:rsid w:val="00F05853"/>
    <w:rsid w:val="00F0739D"/>
    <w:rsid w:val="00F17F2B"/>
    <w:rsid w:val="00F24615"/>
    <w:rsid w:val="00F3134C"/>
    <w:rsid w:val="00F528B4"/>
    <w:rsid w:val="00F62896"/>
    <w:rsid w:val="00F64C69"/>
    <w:rsid w:val="00F6696A"/>
    <w:rsid w:val="00F74E2D"/>
    <w:rsid w:val="00F83BFB"/>
    <w:rsid w:val="00F86272"/>
    <w:rsid w:val="00F94105"/>
    <w:rsid w:val="00FA1CB9"/>
    <w:rsid w:val="00FA29AD"/>
    <w:rsid w:val="00FA4A02"/>
    <w:rsid w:val="00FB07E0"/>
    <w:rsid w:val="00FB2E5C"/>
    <w:rsid w:val="00FB6508"/>
    <w:rsid w:val="00FC3881"/>
    <w:rsid w:val="00FC412C"/>
    <w:rsid w:val="00FC4B2C"/>
    <w:rsid w:val="00FC787B"/>
    <w:rsid w:val="00FD364D"/>
    <w:rsid w:val="00FE083B"/>
    <w:rsid w:val="00FE6DE3"/>
    <w:rsid w:val="00FF0E9E"/>
    <w:rsid w:val="00FF2429"/>
    <w:rsid w:val="00FF43BC"/>
    <w:rsid w:val="00FF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907"/>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E70907"/>
    <w:pPr>
      <w:keepNext/>
      <w:keepLines/>
      <w:pageBreakBefore/>
      <w:numPr>
        <w:numId w:val="1"/>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E70907"/>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70907"/>
    <w:pPr>
      <w:keepNext/>
      <w:numPr>
        <w:ilvl w:val="2"/>
        <w:numId w:val="1"/>
      </w:numPr>
      <w:spacing w:before="60" w:after="120"/>
      <w:outlineLvl w:val="2"/>
    </w:pPr>
    <w:rPr>
      <w:rFonts w:ascii="Arial" w:hAnsi="Arial"/>
      <w:b/>
      <w:color w:val="000000" w:themeColor="text1"/>
      <w:sz w:val="20"/>
    </w:rPr>
  </w:style>
  <w:style w:type="paragraph" w:styleId="Heading4">
    <w:name w:val="heading 4"/>
    <w:basedOn w:val="Normal"/>
    <w:next w:val="BodyText"/>
    <w:link w:val="Heading4Char"/>
    <w:qFormat/>
    <w:rsid w:val="00E70907"/>
    <w:pPr>
      <w:keepNext/>
      <w:numPr>
        <w:ilvl w:val="3"/>
        <w:numId w:val="1"/>
      </w:numPr>
      <w:spacing w:before="60" w:after="60"/>
      <w:outlineLvl w:val="3"/>
    </w:pPr>
    <w:rPr>
      <w:b/>
      <w:i/>
    </w:rPr>
  </w:style>
  <w:style w:type="paragraph" w:styleId="Heading5">
    <w:name w:val="heading 5"/>
    <w:basedOn w:val="Normal"/>
    <w:next w:val="BodyText"/>
    <w:link w:val="Heading5Char"/>
    <w:qFormat/>
    <w:rsid w:val="00E70907"/>
    <w:pPr>
      <w:keepNext/>
      <w:keepLines/>
      <w:numPr>
        <w:ilvl w:val="4"/>
        <w:numId w:val="1"/>
      </w:numPr>
      <w:spacing w:before="60" w:after="120"/>
      <w:outlineLvl w:val="4"/>
    </w:pPr>
    <w:rPr>
      <w:b/>
      <w:i/>
    </w:rPr>
  </w:style>
  <w:style w:type="paragraph" w:styleId="Heading6">
    <w:name w:val="heading 6"/>
    <w:basedOn w:val="Normal"/>
    <w:next w:val="Normal"/>
    <w:link w:val="Heading6Char"/>
    <w:qFormat/>
    <w:rsid w:val="00E70907"/>
    <w:pPr>
      <w:numPr>
        <w:ilvl w:val="5"/>
        <w:numId w:val="1"/>
      </w:numPr>
      <w:spacing w:before="60" w:after="60"/>
      <w:outlineLvl w:val="5"/>
    </w:pPr>
    <w:rPr>
      <w:b/>
      <w:bCs/>
      <w:szCs w:val="22"/>
    </w:rPr>
  </w:style>
  <w:style w:type="paragraph" w:styleId="Heading7">
    <w:name w:val="heading 7"/>
    <w:basedOn w:val="Normal"/>
    <w:next w:val="Normal"/>
    <w:link w:val="Heading7Char"/>
    <w:qFormat/>
    <w:rsid w:val="00E70907"/>
    <w:pPr>
      <w:numPr>
        <w:ilvl w:val="6"/>
        <w:numId w:val="1"/>
      </w:numPr>
      <w:spacing w:before="240" w:after="60"/>
      <w:outlineLvl w:val="6"/>
    </w:pPr>
    <w:rPr>
      <w:sz w:val="24"/>
    </w:rPr>
  </w:style>
  <w:style w:type="paragraph" w:styleId="Heading8">
    <w:name w:val="heading 8"/>
    <w:basedOn w:val="Normal"/>
    <w:next w:val="Normal"/>
    <w:link w:val="Heading8Char"/>
    <w:qFormat/>
    <w:rsid w:val="00E70907"/>
    <w:pPr>
      <w:numPr>
        <w:ilvl w:val="7"/>
        <w:numId w:val="1"/>
      </w:numPr>
      <w:spacing w:before="240" w:after="60"/>
      <w:outlineLvl w:val="7"/>
    </w:pPr>
    <w:rPr>
      <w:i/>
      <w:iCs/>
      <w:sz w:val="24"/>
    </w:rPr>
  </w:style>
  <w:style w:type="paragraph" w:styleId="Heading9">
    <w:name w:val="heading 9"/>
    <w:basedOn w:val="Normal"/>
    <w:next w:val="Normal"/>
    <w:link w:val="Heading9Char"/>
    <w:qFormat/>
    <w:rsid w:val="00E70907"/>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907"/>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E70907"/>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E70907"/>
    <w:rPr>
      <w:rFonts w:ascii="Arial" w:eastAsia="Times New Roman" w:hAnsi="Arial" w:cs="Times New Roman"/>
      <w:b/>
      <w:color w:val="000000" w:themeColor="text1"/>
      <w:sz w:val="20"/>
      <w:szCs w:val="24"/>
    </w:rPr>
  </w:style>
  <w:style w:type="character" w:customStyle="1" w:styleId="Heading4Char">
    <w:name w:val="Heading 4 Char"/>
    <w:basedOn w:val="DefaultParagraphFont"/>
    <w:link w:val="Heading4"/>
    <w:rsid w:val="00E70907"/>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E70907"/>
    <w:rPr>
      <w:rFonts w:ascii="Times New Roman" w:eastAsia="Times New Roman" w:hAnsi="Times New Roman" w:cs="Times New Roman"/>
      <w:b/>
      <w:i/>
      <w:szCs w:val="24"/>
    </w:rPr>
  </w:style>
  <w:style w:type="character" w:customStyle="1" w:styleId="Heading6Char">
    <w:name w:val="Heading 6 Char"/>
    <w:basedOn w:val="DefaultParagraphFont"/>
    <w:link w:val="Heading6"/>
    <w:rsid w:val="00E70907"/>
    <w:rPr>
      <w:rFonts w:ascii="Times New Roman" w:eastAsia="Times New Roman" w:hAnsi="Times New Roman" w:cs="Times New Roman"/>
      <w:b/>
      <w:bCs/>
    </w:rPr>
  </w:style>
  <w:style w:type="character" w:customStyle="1" w:styleId="Heading7Char">
    <w:name w:val="Heading 7 Char"/>
    <w:basedOn w:val="DefaultParagraphFont"/>
    <w:link w:val="Heading7"/>
    <w:rsid w:val="00E7090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7090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70907"/>
    <w:rPr>
      <w:rFonts w:ascii="Arial" w:eastAsia="Times New Roman" w:hAnsi="Arial" w:cs="Arial"/>
    </w:rPr>
  </w:style>
  <w:style w:type="paragraph" w:styleId="BodyText">
    <w:name w:val="Body Text"/>
    <w:basedOn w:val="Normal"/>
    <w:link w:val="BodyTextChar"/>
    <w:uiPriority w:val="99"/>
    <w:rsid w:val="00E70907"/>
  </w:style>
  <w:style w:type="character" w:customStyle="1" w:styleId="BodyTextChar">
    <w:name w:val="Body Text Char"/>
    <w:basedOn w:val="DefaultParagraphFont"/>
    <w:link w:val="BodyText"/>
    <w:uiPriority w:val="99"/>
    <w:rsid w:val="00E70907"/>
    <w:rPr>
      <w:rFonts w:ascii="Times New Roman" w:eastAsia="Times New Roman" w:hAnsi="Times New Roman" w:cs="Times New Roman"/>
      <w:szCs w:val="24"/>
    </w:rPr>
  </w:style>
  <w:style w:type="paragraph" w:styleId="Footer">
    <w:name w:val="footer"/>
    <w:basedOn w:val="Normal"/>
    <w:link w:val="FooterChar"/>
    <w:uiPriority w:val="99"/>
    <w:rsid w:val="00E70907"/>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E70907"/>
    <w:rPr>
      <w:rFonts w:ascii="Arial" w:eastAsia="Times New Roman" w:hAnsi="Arial" w:cs="Times New Roman"/>
      <w:b/>
      <w:color w:val="595959" w:themeColor="text1" w:themeTint="A6"/>
      <w:sz w:val="18"/>
      <w:szCs w:val="24"/>
    </w:rPr>
  </w:style>
  <w:style w:type="paragraph" w:customStyle="1" w:styleId="ExhibitRowHeader">
    <w:name w:val="Exhibit Row Header"/>
    <w:basedOn w:val="BodyText"/>
    <w:rsid w:val="00E70907"/>
    <w:pPr>
      <w:spacing w:before="20" w:after="20" w:line="240" w:lineRule="auto"/>
    </w:pPr>
    <w:rPr>
      <w:rFonts w:ascii="Arial" w:hAnsi="Arial" w:cs="Arial"/>
      <w:b/>
      <w:color w:val="F8F8F8"/>
      <w:sz w:val="20"/>
    </w:rPr>
  </w:style>
  <w:style w:type="character" w:styleId="PageNumber">
    <w:name w:val="page number"/>
    <w:basedOn w:val="DefaultParagraphFont"/>
    <w:rsid w:val="00E7090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E70907"/>
    <w:pPr>
      <w:spacing w:after="180"/>
    </w:pPr>
  </w:style>
  <w:style w:type="paragraph" w:customStyle="1" w:styleId="Bullets">
    <w:name w:val="Bullets"/>
    <w:basedOn w:val="BodyText"/>
    <w:rsid w:val="00E70907"/>
    <w:pPr>
      <w:spacing w:after="120"/>
    </w:pPr>
  </w:style>
  <w:style w:type="paragraph" w:customStyle="1" w:styleId="RefNumbers">
    <w:name w:val="Ref Numbers"/>
    <w:basedOn w:val="BodyText"/>
    <w:rsid w:val="00E70907"/>
    <w:pPr>
      <w:tabs>
        <w:tab w:val="num" w:pos="720"/>
      </w:tabs>
      <w:spacing w:after="240"/>
      <w:ind w:left="720" w:hanging="720"/>
    </w:pPr>
  </w:style>
  <w:style w:type="paragraph" w:styleId="Header">
    <w:name w:val="header"/>
    <w:basedOn w:val="Normal"/>
    <w:link w:val="HeaderChar"/>
    <w:uiPriority w:val="99"/>
    <w:rsid w:val="00E7090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E70907"/>
    <w:rPr>
      <w:rFonts w:ascii="Arial" w:eastAsia="Times New Roman" w:hAnsi="Arial" w:cs="Times New Roman"/>
      <w:b/>
      <w:color w:val="595959" w:themeColor="text1" w:themeTint="A6"/>
      <w:sz w:val="18"/>
      <w:szCs w:val="24"/>
    </w:rPr>
  </w:style>
  <w:style w:type="paragraph" w:styleId="TOC1">
    <w:name w:val="toc 1"/>
    <w:basedOn w:val="BodyText"/>
    <w:next w:val="BodyText"/>
    <w:uiPriority w:val="39"/>
    <w:rsid w:val="00E70907"/>
    <w:pPr>
      <w:tabs>
        <w:tab w:val="left" w:pos="540"/>
        <w:tab w:val="right" w:leader="dot" w:pos="8990"/>
      </w:tabs>
      <w:spacing w:before="240"/>
    </w:pPr>
    <w:rPr>
      <w:b/>
      <w:noProof/>
    </w:rPr>
  </w:style>
  <w:style w:type="character" w:styleId="CommentReference">
    <w:name w:val="annotation reference"/>
    <w:basedOn w:val="DefaultParagraphFont"/>
    <w:uiPriority w:val="99"/>
    <w:semiHidden/>
    <w:rsid w:val="00E70907"/>
    <w:rPr>
      <w:sz w:val="16"/>
    </w:rPr>
  </w:style>
  <w:style w:type="paragraph" w:styleId="TOC2">
    <w:name w:val="toc 2"/>
    <w:basedOn w:val="BodyText"/>
    <w:next w:val="BodyText"/>
    <w:uiPriority w:val="39"/>
    <w:rsid w:val="00E70907"/>
    <w:pPr>
      <w:tabs>
        <w:tab w:val="left" w:pos="1080"/>
        <w:tab w:val="right" w:leader="dot" w:pos="9000"/>
      </w:tabs>
      <w:spacing w:before="60" w:after="0"/>
      <w:ind w:left="1094" w:right="547" w:hanging="547"/>
    </w:pPr>
    <w:rPr>
      <w:noProof/>
    </w:rPr>
  </w:style>
  <w:style w:type="paragraph" w:styleId="TOC3">
    <w:name w:val="toc 3"/>
    <w:basedOn w:val="BodyText"/>
    <w:next w:val="BodyText"/>
    <w:uiPriority w:val="39"/>
    <w:rsid w:val="00E70907"/>
    <w:pPr>
      <w:tabs>
        <w:tab w:val="left" w:pos="1980"/>
        <w:tab w:val="right" w:leader="dot" w:pos="9000"/>
      </w:tabs>
      <w:spacing w:after="0"/>
      <w:ind w:left="1987" w:right="547" w:hanging="835"/>
    </w:pPr>
    <w:rPr>
      <w:noProof/>
    </w:rPr>
  </w:style>
  <w:style w:type="paragraph" w:styleId="TOC4">
    <w:name w:val="toc 4"/>
    <w:basedOn w:val="BodyText"/>
    <w:next w:val="BodyText"/>
    <w:semiHidden/>
    <w:rsid w:val="00E70907"/>
    <w:pPr>
      <w:ind w:left="1728"/>
    </w:pPr>
  </w:style>
  <w:style w:type="paragraph" w:styleId="TOC5">
    <w:name w:val="toc 5"/>
    <w:basedOn w:val="Normal"/>
    <w:next w:val="Normal"/>
    <w:autoRedefine/>
    <w:semiHidden/>
    <w:rsid w:val="00E70907"/>
    <w:pPr>
      <w:ind w:left="960"/>
    </w:pPr>
  </w:style>
  <w:style w:type="paragraph" w:styleId="TOC6">
    <w:name w:val="toc 6"/>
    <w:basedOn w:val="Normal"/>
    <w:next w:val="Normal"/>
    <w:autoRedefine/>
    <w:semiHidden/>
    <w:rsid w:val="00E70907"/>
    <w:pPr>
      <w:ind w:left="1200"/>
    </w:pPr>
  </w:style>
  <w:style w:type="paragraph" w:styleId="TOC7">
    <w:name w:val="toc 7"/>
    <w:basedOn w:val="Normal"/>
    <w:next w:val="Normal"/>
    <w:autoRedefine/>
    <w:semiHidden/>
    <w:rsid w:val="00E70907"/>
    <w:pPr>
      <w:ind w:left="1440"/>
    </w:pPr>
  </w:style>
  <w:style w:type="paragraph" w:styleId="TOC8">
    <w:name w:val="toc 8"/>
    <w:basedOn w:val="Normal"/>
    <w:next w:val="Normal"/>
    <w:autoRedefine/>
    <w:semiHidden/>
    <w:rsid w:val="00E70907"/>
    <w:pPr>
      <w:ind w:left="1680"/>
    </w:pPr>
  </w:style>
  <w:style w:type="paragraph" w:styleId="TOC9">
    <w:name w:val="toc 9"/>
    <w:basedOn w:val="Normal"/>
    <w:next w:val="Normal"/>
    <w:autoRedefine/>
    <w:semiHidden/>
    <w:rsid w:val="00E70907"/>
    <w:pPr>
      <w:ind w:left="1920"/>
    </w:pPr>
  </w:style>
  <w:style w:type="character" w:styleId="FootnoteReference">
    <w:name w:val="footnote reference"/>
    <w:basedOn w:val="DefaultParagraphFont"/>
    <w:uiPriority w:val="99"/>
    <w:rsid w:val="00E70907"/>
    <w:rPr>
      <w:vertAlign w:val="superscript"/>
    </w:rPr>
  </w:style>
  <w:style w:type="paragraph" w:customStyle="1" w:styleId="Exhibit">
    <w:name w:val="Exhibit"/>
    <w:basedOn w:val="Normal"/>
    <w:rsid w:val="00E70907"/>
    <w:rPr>
      <w:rFonts w:ascii="Arial" w:hAnsi="Arial"/>
      <w:sz w:val="18"/>
    </w:rPr>
  </w:style>
  <w:style w:type="paragraph" w:styleId="FootnoteText">
    <w:name w:val="footnote text"/>
    <w:aliases w:val="F1"/>
    <w:basedOn w:val="Normal"/>
    <w:link w:val="FootnoteTextChar"/>
    <w:uiPriority w:val="99"/>
    <w:rsid w:val="00E70907"/>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E70907"/>
    <w:rPr>
      <w:rFonts w:ascii="Times New Roman" w:eastAsia="Times New Roman" w:hAnsi="Times New Roman" w:cs="Times New Roman"/>
      <w:sz w:val="20"/>
      <w:szCs w:val="24"/>
    </w:rPr>
  </w:style>
  <w:style w:type="paragraph" w:styleId="Index1">
    <w:name w:val="index 1"/>
    <w:basedOn w:val="Normal"/>
    <w:next w:val="Normal"/>
    <w:autoRedefine/>
    <w:semiHidden/>
    <w:rsid w:val="00E70907"/>
    <w:pPr>
      <w:ind w:left="220" w:hanging="220"/>
    </w:pPr>
    <w:rPr>
      <w:sz w:val="20"/>
    </w:rPr>
  </w:style>
  <w:style w:type="paragraph" w:styleId="Index2">
    <w:name w:val="index 2"/>
    <w:basedOn w:val="Normal"/>
    <w:next w:val="Normal"/>
    <w:autoRedefine/>
    <w:semiHidden/>
    <w:rsid w:val="00E70907"/>
    <w:pPr>
      <w:ind w:left="440" w:hanging="220"/>
    </w:pPr>
    <w:rPr>
      <w:sz w:val="20"/>
    </w:rPr>
  </w:style>
  <w:style w:type="paragraph" w:styleId="Index3">
    <w:name w:val="index 3"/>
    <w:basedOn w:val="Normal"/>
    <w:next w:val="Normal"/>
    <w:autoRedefine/>
    <w:semiHidden/>
    <w:rsid w:val="00E70907"/>
    <w:pPr>
      <w:ind w:left="660" w:hanging="220"/>
    </w:pPr>
    <w:rPr>
      <w:sz w:val="20"/>
    </w:rPr>
  </w:style>
  <w:style w:type="paragraph" w:customStyle="1" w:styleId="Numbers">
    <w:name w:val="Numbers"/>
    <w:basedOn w:val="BodyText"/>
    <w:rsid w:val="00E70907"/>
    <w:pPr>
      <w:tabs>
        <w:tab w:val="num" w:pos="1080"/>
      </w:tabs>
      <w:ind w:left="720" w:hanging="360"/>
    </w:pPr>
  </w:style>
  <w:style w:type="paragraph" w:customStyle="1" w:styleId="BoxText">
    <w:name w:val="Box Text"/>
    <w:basedOn w:val="BodyText"/>
    <w:rsid w:val="00E70907"/>
    <w:rPr>
      <w:rFonts w:ascii="Arial" w:hAnsi="Arial" w:cs="Arial"/>
      <w:sz w:val="18"/>
    </w:rPr>
  </w:style>
  <w:style w:type="paragraph" w:styleId="CommentText">
    <w:name w:val="annotation text"/>
    <w:basedOn w:val="Normal"/>
    <w:link w:val="CommentTextChar"/>
    <w:uiPriority w:val="99"/>
    <w:rsid w:val="00E70907"/>
    <w:rPr>
      <w:sz w:val="20"/>
    </w:rPr>
  </w:style>
  <w:style w:type="character" w:customStyle="1" w:styleId="CommentTextChar">
    <w:name w:val="Comment Text Char"/>
    <w:basedOn w:val="DefaultParagraphFont"/>
    <w:link w:val="CommentText"/>
    <w:uiPriority w:val="99"/>
    <w:rsid w:val="00E70907"/>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rsid w:val="00E70907"/>
    <w:rPr>
      <w:b/>
      <w:bCs/>
    </w:rPr>
  </w:style>
  <w:style w:type="character" w:customStyle="1" w:styleId="CommentSubjectChar">
    <w:name w:val="Comment Subject Char"/>
    <w:basedOn w:val="CommentTextChar"/>
    <w:link w:val="CommentSubject"/>
    <w:uiPriority w:val="99"/>
    <w:semiHidden/>
    <w:rsid w:val="00E70907"/>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E70907"/>
    <w:rPr>
      <w:rFonts w:ascii="Tahoma" w:hAnsi="Tahoma" w:cs="Tahoma"/>
      <w:sz w:val="16"/>
      <w:szCs w:val="16"/>
    </w:rPr>
  </w:style>
  <w:style w:type="character" w:customStyle="1" w:styleId="BalloonTextChar">
    <w:name w:val="Balloon Text Char"/>
    <w:basedOn w:val="DefaultParagraphFont"/>
    <w:link w:val="BalloonText"/>
    <w:uiPriority w:val="99"/>
    <w:semiHidden/>
    <w:rsid w:val="00E70907"/>
    <w:rPr>
      <w:rFonts w:ascii="Tahoma" w:eastAsia="Times New Roman" w:hAnsi="Tahoma" w:cs="Tahoma"/>
      <w:sz w:val="16"/>
      <w:szCs w:val="16"/>
    </w:rPr>
  </w:style>
  <w:style w:type="table" w:styleId="TableGrid">
    <w:name w:val="Table Grid"/>
    <w:basedOn w:val="TableNormal"/>
    <w:rsid w:val="00E7090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70907"/>
    <w:rPr>
      <w:color w:val="0000FF"/>
      <w:u w:val="single"/>
    </w:rPr>
  </w:style>
  <w:style w:type="paragraph" w:customStyle="1" w:styleId="TOCHeader">
    <w:name w:val="TOC Header"/>
    <w:basedOn w:val="Normal"/>
    <w:next w:val="BodyText"/>
    <w:rsid w:val="00E70907"/>
    <w:rPr>
      <w:rFonts w:ascii="Arial" w:hAnsi="Arial"/>
      <w:b/>
      <w:color w:val="898D8D"/>
      <w:sz w:val="24"/>
    </w:rPr>
  </w:style>
  <w:style w:type="paragraph" w:customStyle="1" w:styleId="ReportTitle-TOCPage">
    <w:name w:val="Report Title - TOC Page"/>
    <w:basedOn w:val="Normal"/>
    <w:next w:val="BodyText"/>
    <w:rsid w:val="00E70907"/>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E70907"/>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70907"/>
    <w:pPr>
      <w:tabs>
        <w:tab w:val="clear" w:pos="4507"/>
        <w:tab w:val="clear" w:pos="9000"/>
        <w:tab w:val="center" w:pos="6480"/>
        <w:tab w:val="right" w:pos="12960"/>
      </w:tabs>
    </w:pPr>
  </w:style>
  <w:style w:type="paragraph" w:customStyle="1" w:styleId="CoverTechorBusiness">
    <w:name w:val="Cover Tech or Business"/>
    <w:basedOn w:val="Normal"/>
    <w:qFormat/>
    <w:rsid w:val="00E70907"/>
    <w:pPr>
      <w:shd w:val="solid" w:color="FFFFFF" w:fill="FFFFFF"/>
      <w:spacing w:line="276" w:lineRule="auto"/>
      <w:jc w:val="right"/>
    </w:pPr>
    <w:rPr>
      <w:rFonts w:ascii="Arial" w:hAnsi="Arial"/>
      <w:color w:val="DA291C"/>
      <w:sz w:val="20"/>
    </w:rPr>
  </w:style>
  <w:style w:type="paragraph" w:customStyle="1" w:styleId="Bullet2">
    <w:name w:val="Bullet2"/>
    <w:basedOn w:val="Normal"/>
    <w:rsid w:val="00E70907"/>
    <w:pPr>
      <w:tabs>
        <w:tab w:val="num" w:pos="720"/>
      </w:tabs>
      <w:spacing w:after="120"/>
      <w:ind w:left="720" w:hanging="360"/>
    </w:pPr>
  </w:style>
  <w:style w:type="paragraph" w:customStyle="1" w:styleId="ProposalTitle">
    <w:name w:val="Proposal Title"/>
    <w:basedOn w:val="Normal"/>
    <w:qFormat/>
    <w:rsid w:val="00E70907"/>
    <w:pPr>
      <w:autoSpaceDE w:val="0"/>
      <w:autoSpaceDN w:val="0"/>
      <w:adjustRightInd w:val="0"/>
      <w:ind w:left="6696" w:right="-792"/>
    </w:pPr>
    <w:rPr>
      <w:b/>
      <w:sz w:val="32"/>
      <w:szCs w:val="32"/>
    </w:rPr>
  </w:style>
  <w:style w:type="paragraph" w:customStyle="1" w:styleId="RFPNumber">
    <w:name w:val="RFP Number"/>
    <w:basedOn w:val="Normal"/>
    <w:qFormat/>
    <w:rsid w:val="00E70907"/>
    <w:pPr>
      <w:autoSpaceDE w:val="0"/>
      <w:autoSpaceDN w:val="0"/>
      <w:adjustRightInd w:val="0"/>
      <w:ind w:left="6696" w:right="-792"/>
    </w:pPr>
    <w:rPr>
      <w:sz w:val="32"/>
      <w:szCs w:val="32"/>
    </w:rPr>
  </w:style>
  <w:style w:type="paragraph" w:customStyle="1" w:styleId="CoverTextRed16pt">
    <w:name w:val="Cover Text  Red 16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E70907"/>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E70907"/>
    <w:rPr>
      <w:sz w:val="18"/>
      <w:szCs w:val="18"/>
    </w:rPr>
  </w:style>
  <w:style w:type="paragraph" w:customStyle="1" w:styleId="TableText">
    <w:name w:val="Table Text"/>
    <w:basedOn w:val="Normal"/>
    <w:qFormat/>
    <w:rsid w:val="00E70907"/>
    <w:pPr>
      <w:spacing w:before="40" w:after="40"/>
    </w:pPr>
    <w:rPr>
      <w:rFonts w:ascii="Arial" w:hAnsi="Arial" w:cs="Arial"/>
      <w:bCs/>
      <w:color w:val="000000"/>
      <w:sz w:val="20"/>
    </w:rPr>
  </w:style>
  <w:style w:type="paragraph" w:customStyle="1" w:styleId="ExhibitSource">
    <w:name w:val="Exhibit Source"/>
    <w:basedOn w:val="Normal"/>
    <w:qFormat/>
    <w:rsid w:val="00E70907"/>
    <w:pPr>
      <w:spacing w:before="120" w:after="240"/>
    </w:pPr>
    <w:rPr>
      <w:rFonts w:ascii="Arial" w:hAnsi="Arial" w:cs="Arial"/>
      <w:sz w:val="18"/>
    </w:rPr>
  </w:style>
  <w:style w:type="paragraph" w:customStyle="1" w:styleId="ExhibitText">
    <w:name w:val="Exhibit Text"/>
    <w:basedOn w:val="TableText"/>
    <w:qFormat/>
    <w:rsid w:val="00E70907"/>
    <w:pPr>
      <w:spacing w:before="0" w:after="0"/>
    </w:pPr>
    <w:rPr>
      <w:sz w:val="18"/>
    </w:rPr>
  </w:style>
  <w:style w:type="paragraph" w:customStyle="1" w:styleId="ExhibitColumnHeader">
    <w:name w:val="Exhibit Column Header"/>
    <w:basedOn w:val="ExhibitRowHeader"/>
    <w:qFormat/>
    <w:rsid w:val="00E70907"/>
    <w:rPr>
      <w:color w:val="000000" w:themeColor="text1"/>
    </w:rPr>
  </w:style>
  <w:style w:type="paragraph" w:customStyle="1" w:styleId="CoverTextGreyBold">
    <w:name w:val="Cover Text Grey Bold"/>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E70907"/>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E70907"/>
    <w:pPr>
      <w:ind w:left="720"/>
      <w:contextualSpacing/>
    </w:pPr>
  </w:style>
  <w:style w:type="character" w:styleId="HTMLCite">
    <w:name w:val="HTML Cite"/>
    <w:basedOn w:val="DefaultParagraphFont"/>
    <w:uiPriority w:val="99"/>
    <w:unhideWhenUsed/>
    <w:rsid w:val="00E70907"/>
    <w:rPr>
      <w:i/>
      <w:iCs/>
    </w:rPr>
  </w:style>
  <w:style w:type="character" w:customStyle="1" w:styleId="slug-pub-date">
    <w:name w:val="slug-pub-date"/>
    <w:basedOn w:val="DefaultParagraphFont"/>
    <w:rsid w:val="00E70907"/>
  </w:style>
  <w:style w:type="character" w:customStyle="1" w:styleId="slug-vol">
    <w:name w:val="slug-vol"/>
    <w:basedOn w:val="DefaultParagraphFont"/>
    <w:rsid w:val="00E70907"/>
  </w:style>
  <w:style w:type="character" w:customStyle="1" w:styleId="slug-issue">
    <w:name w:val="slug-issue"/>
    <w:basedOn w:val="DefaultParagraphFont"/>
    <w:rsid w:val="00E70907"/>
  </w:style>
  <w:style w:type="character" w:customStyle="1" w:styleId="slug-pages">
    <w:name w:val="slug-pages"/>
    <w:basedOn w:val="DefaultParagraphFont"/>
    <w:rsid w:val="00E70907"/>
  </w:style>
  <w:style w:type="character" w:customStyle="1" w:styleId="apple-style-span">
    <w:name w:val="apple-style-span"/>
    <w:basedOn w:val="DefaultParagraphFont"/>
    <w:rsid w:val="00E70907"/>
  </w:style>
  <w:style w:type="paragraph" w:customStyle="1" w:styleId="Table">
    <w:name w:val="Table"/>
    <w:basedOn w:val="Normal"/>
    <w:rsid w:val="00E70907"/>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70907"/>
    <w:pPr>
      <w:spacing w:after="120" w:line="480" w:lineRule="auto"/>
      <w:ind w:left="360"/>
    </w:pPr>
  </w:style>
  <w:style w:type="character" w:customStyle="1" w:styleId="BodyTextIndent2Char">
    <w:name w:val="Body Text Indent 2 Char"/>
    <w:basedOn w:val="DefaultParagraphFont"/>
    <w:link w:val="BodyTextIndent2"/>
    <w:rsid w:val="00E70907"/>
    <w:rPr>
      <w:rFonts w:ascii="Times New Roman" w:eastAsia="Times New Roman" w:hAnsi="Times New Roman" w:cs="Times New Roman"/>
      <w:szCs w:val="24"/>
    </w:rPr>
  </w:style>
  <w:style w:type="paragraph" w:styleId="BodyText2">
    <w:name w:val="Body Text 2"/>
    <w:basedOn w:val="Normal"/>
    <w:link w:val="BodyText2Char"/>
    <w:rsid w:val="00E70907"/>
    <w:pPr>
      <w:spacing w:after="120" w:line="480" w:lineRule="auto"/>
    </w:pPr>
  </w:style>
  <w:style w:type="character" w:customStyle="1" w:styleId="BodyText2Char">
    <w:name w:val="Body Text 2 Char"/>
    <w:basedOn w:val="DefaultParagraphFont"/>
    <w:link w:val="BodyText2"/>
    <w:rsid w:val="00E70907"/>
    <w:rPr>
      <w:rFonts w:ascii="Times New Roman" w:eastAsia="Times New Roman" w:hAnsi="Times New Roman" w:cs="Times New Roman"/>
      <w:szCs w:val="24"/>
    </w:rPr>
  </w:style>
  <w:style w:type="paragraph" w:customStyle="1" w:styleId="BulletBlack">
    <w:name w:val="Bullet_Black"/>
    <w:basedOn w:val="Normal"/>
    <w:qFormat/>
    <w:rsid w:val="00E70907"/>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E70907"/>
    <w:pPr>
      <w:spacing w:after="240"/>
    </w:pPr>
  </w:style>
  <w:style w:type="paragraph" w:customStyle="1" w:styleId="NormalSS12">
    <w:name w:val="NormalSS 12"/>
    <w:basedOn w:val="Normal"/>
    <w:qFormat/>
    <w:rsid w:val="00E70907"/>
    <w:pPr>
      <w:tabs>
        <w:tab w:val="left" w:pos="432"/>
      </w:tabs>
      <w:spacing w:after="240" w:line="240" w:lineRule="auto"/>
      <w:ind w:firstLine="432"/>
      <w:jc w:val="both"/>
    </w:pPr>
    <w:rPr>
      <w:sz w:val="24"/>
    </w:rPr>
  </w:style>
  <w:style w:type="paragraph" w:styleId="Revision">
    <w:name w:val="Revision"/>
    <w:hidden/>
    <w:uiPriority w:val="99"/>
    <w:semiHidden/>
    <w:rsid w:val="00E70907"/>
    <w:pPr>
      <w:spacing w:after="0"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E70907"/>
    <w:pPr>
      <w:spacing w:before="100" w:beforeAutospacing="1" w:after="100" w:afterAutospacing="1" w:line="240" w:lineRule="auto"/>
    </w:pPr>
    <w:rPr>
      <w:rFonts w:eastAsiaTheme="minorEastAsia"/>
      <w:sz w:val="24"/>
    </w:rPr>
  </w:style>
  <w:style w:type="paragraph" w:styleId="NoSpacing">
    <w:name w:val="No Spacing"/>
    <w:uiPriority w:val="1"/>
    <w:qFormat/>
    <w:rsid w:val="00E70907"/>
    <w:pPr>
      <w:spacing w:after="0" w:line="240" w:lineRule="auto"/>
    </w:pPr>
  </w:style>
  <w:style w:type="character" w:customStyle="1" w:styleId="apple-converted-space">
    <w:name w:val="apple-converted-space"/>
    <w:basedOn w:val="DefaultParagraphFont"/>
    <w:rsid w:val="00E70907"/>
  </w:style>
  <w:style w:type="paragraph" w:styleId="Title">
    <w:name w:val="Title"/>
    <w:basedOn w:val="Normal"/>
    <w:next w:val="Normal"/>
    <w:link w:val="TitleChar"/>
    <w:uiPriority w:val="10"/>
    <w:qFormat/>
    <w:rsid w:val="00E70907"/>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090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0907"/>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E70907"/>
    <w:rPr>
      <w:rFonts w:asciiTheme="majorHAnsi" w:eastAsiaTheme="majorEastAsia" w:hAnsiTheme="majorHAnsi" w:cstheme="majorBidi"/>
      <w:i/>
      <w:iCs/>
      <w:spacing w:val="13"/>
      <w:sz w:val="24"/>
      <w:szCs w:val="24"/>
    </w:rPr>
  </w:style>
  <w:style w:type="character" w:styleId="Strong">
    <w:name w:val="Strong"/>
    <w:uiPriority w:val="22"/>
    <w:qFormat/>
    <w:rsid w:val="00E70907"/>
    <w:rPr>
      <w:b/>
      <w:bCs/>
    </w:rPr>
  </w:style>
  <w:style w:type="character" w:styleId="Emphasis">
    <w:name w:val="Emphasis"/>
    <w:uiPriority w:val="20"/>
    <w:qFormat/>
    <w:rsid w:val="00E70907"/>
    <w:rPr>
      <w:b/>
      <w:bCs/>
      <w:i/>
      <w:iCs/>
      <w:spacing w:val="10"/>
      <w:bdr w:val="none" w:sz="0" w:space="0" w:color="auto"/>
      <w:shd w:val="clear" w:color="auto" w:fill="auto"/>
    </w:rPr>
  </w:style>
  <w:style w:type="paragraph" w:styleId="Quote">
    <w:name w:val="Quote"/>
    <w:basedOn w:val="Normal"/>
    <w:next w:val="Normal"/>
    <w:link w:val="QuoteChar"/>
    <w:uiPriority w:val="29"/>
    <w:qFormat/>
    <w:rsid w:val="00E70907"/>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E70907"/>
    <w:rPr>
      <w:rFonts w:eastAsiaTheme="minorEastAsia"/>
      <w:i/>
      <w:iCs/>
    </w:rPr>
  </w:style>
  <w:style w:type="paragraph" w:styleId="IntenseQuote">
    <w:name w:val="Intense Quote"/>
    <w:basedOn w:val="Normal"/>
    <w:next w:val="Normal"/>
    <w:link w:val="IntenseQuoteChar"/>
    <w:uiPriority w:val="30"/>
    <w:qFormat/>
    <w:rsid w:val="00E70907"/>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E70907"/>
    <w:rPr>
      <w:rFonts w:eastAsiaTheme="minorEastAsia"/>
      <w:b/>
      <w:bCs/>
      <w:i/>
      <w:iCs/>
    </w:rPr>
  </w:style>
  <w:style w:type="character" w:styleId="SubtleEmphasis">
    <w:name w:val="Subtle Emphasis"/>
    <w:uiPriority w:val="19"/>
    <w:qFormat/>
    <w:rsid w:val="00E70907"/>
    <w:rPr>
      <w:i/>
      <w:iCs/>
    </w:rPr>
  </w:style>
  <w:style w:type="character" w:styleId="IntenseEmphasis">
    <w:name w:val="Intense Emphasis"/>
    <w:uiPriority w:val="21"/>
    <w:qFormat/>
    <w:rsid w:val="00E70907"/>
    <w:rPr>
      <w:b/>
      <w:bCs/>
    </w:rPr>
  </w:style>
  <w:style w:type="character" w:styleId="SubtleReference">
    <w:name w:val="Subtle Reference"/>
    <w:uiPriority w:val="31"/>
    <w:qFormat/>
    <w:rsid w:val="00E70907"/>
    <w:rPr>
      <w:smallCaps/>
    </w:rPr>
  </w:style>
  <w:style w:type="character" w:styleId="IntenseReference">
    <w:name w:val="Intense Reference"/>
    <w:uiPriority w:val="32"/>
    <w:qFormat/>
    <w:rsid w:val="00E70907"/>
    <w:rPr>
      <w:smallCaps/>
      <w:spacing w:val="5"/>
      <w:u w:val="single"/>
    </w:rPr>
  </w:style>
  <w:style w:type="character" w:styleId="BookTitle">
    <w:name w:val="Book Title"/>
    <w:uiPriority w:val="33"/>
    <w:qFormat/>
    <w:rsid w:val="00E70907"/>
    <w:rPr>
      <w:i/>
      <w:iCs/>
      <w:smallCaps/>
      <w:spacing w:val="5"/>
    </w:rPr>
  </w:style>
  <w:style w:type="paragraph" w:customStyle="1" w:styleId="AbtHeadB">
    <w:name w:val="AbtHead B"/>
    <w:basedOn w:val="Normal"/>
    <w:next w:val="BodyText"/>
    <w:rsid w:val="00E70907"/>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E70907"/>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E70907"/>
    <w:pPr>
      <w:spacing w:after="120"/>
      <w:ind w:left="360"/>
    </w:pPr>
    <w:rPr>
      <w:sz w:val="16"/>
      <w:szCs w:val="16"/>
    </w:rPr>
  </w:style>
  <w:style w:type="character" w:customStyle="1" w:styleId="BodyTextIndent3Char">
    <w:name w:val="Body Text Indent 3 Char"/>
    <w:basedOn w:val="DefaultParagraphFont"/>
    <w:link w:val="BodyTextIndent3"/>
    <w:rsid w:val="00E70907"/>
    <w:rPr>
      <w:rFonts w:ascii="Times New Roman" w:eastAsia="Times New Roman" w:hAnsi="Times New Roman" w:cs="Times New Roman"/>
      <w:sz w:val="16"/>
      <w:szCs w:val="16"/>
    </w:rPr>
  </w:style>
  <w:style w:type="paragraph" w:customStyle="1" w:styleId="NormalSS">
    <w:name w:val="NormalSS"/>
    <w:basedOn w:val="Normal"/>
    <w:rsid w:val="00E70907"/>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E70907"/>
    <w:pPr>
      <w:numPr>
        <w:numId w:val="3"/>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E70907"/>
    <w:pPr>
      <w:tabs>
        <w:tab w:val="clear" w:pos="1440"/>
      </w:tabs>
      <w:spacing w:after="40" w:line="240" w:lineRule="auto"/>
      <w:ind w:left="0" w:firstLine="0"/>
    </w:pPr>
  </w:style>
  <w:style w:type="paragraph" w:styleId="TableofFigures">
    <w:name w:val="table of figures"/>
    <w:basedOn w:val="Normal"/>
    <w:next w:val="Normal"/>
    <w:uiPriority w:val="99"/>
    <w:rsid w:val="00E70907"/>
    <w:pPr>
      <w:spacing w:after="0"/>
    </w:pPr>
  </w:style>
  <w:style w:type="character" w:customStyle="1" w:styleId="title21">
    <w:name w:val="title21"/>
    <w:basedOn w:val="DefaultParagraphFont"/>
    <w:rsid w:val="00E70907"/>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E70907"/>
    <w:rPr>
      <w:color w:val="800080" w:themeColor="followedHyperlink"/>
      <w:u w:val="single"/>
    </w:rPr>
  </w:style>
  <w:style w:type="paragraph" w:customStyle="1" w:styleId="FootnoteText1">
    <w:name w:val="Footnote Text1"/>
    <w:rsid w:val="00E70907"/>
    <w:pPr>
      <w:spacing w:after="120" w:line="240" w:lineRule="auto"/>
      <w:ind w:left="360" w:hanging="360"/>
    </w:pPr>
    <w:rPr>
      <w:rFonts w:ascii="Times New Roman" w:eastAsia="ヒラギノ角ゴ Pro W3" w:hAnsi="Times New Roman" w:cs="Times New Roman"/>
      <w:color w:val="000000"/>
      <w:sz w:val="20"/>
      <w:szCs w:val="20"/>
    </w:rPr>
  </w:style>
  <w:style w:type="paragraph" w:customStyle="1" w:styleId="IESPublications">
    <w:name w:val="IES_Publications"/>
    <w:rsid w:val="00E70907"/>
    <w:pPr>
      <w:spacing w:after="120" w:line="240" w:lineRule="auto"/>
      <w:ind w:left="360" w:hanging="360"/>
    </w:pPr>
    <w:rPr>
      <w:rFonts w:ascii="Times New Roman" w:eastAsia="Times New Roman" w:hAnsi="Times New Roman" w:cs="Times New Roman"/>
      <w:sz w:val="24"/>
      <w:szCs w:val="20"/>
    </w:rPr>
  </w:style>
  <w:style w:type="paragraph" w:styleId="BodyTextIndent">
    <w:name w:val="Body Text Indent"/>
    <w:basedOn w:val="Normal"/>
    <w:link w:val="BodyTextIndentChar"/>
    <w:rsid w:val="00E70907"/>
    <w:pPr>
      <w:spacing w:after="120"/>
      <w:ind w:left="360"/>
    </w:pPr>
  </w:style>
  <w:style w:type="character" w:customStyle="1" w:styleId="BodyTextIndentChar">
    <w:name w:val="Body Text Indent Char"/>
    <w:basedOn w:val="DefaultParagraphFont"/>
    <w:link w:val="BodyTextIndent"/>
    <w:rsid w:val="00E70907"/>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907"/>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E70907"/>
    <w:pPr>
      <w:keepNext/>
      <w:keepLines/>
      <w:pageBreakBefore/>
      <w:numPr>
        <w:numId w:val="1"/>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E70907"/>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70907"/>
    <w:pPr>
      <w:keepNext/>
      <w:numPr>
        <w:ilvl w:val="2"/>
        <w:numId w:val="1"/>
      </w:numPr>
      <w:spacing w:before="60" w:after="120"/>
      <w:outlineLvl w:val="2"/>
    </w:pPr>
    <w:rPr>
      <w:rFonts w:ascii="Arial" w:hAnsi="Arial"/>
      <w:b/>
      <w:color w:val="000000" w:themeColor="text1"/>
      <w:sz w:val="20"/>
    </w:rPr>
  </w:style>
  <w:style w:type="paragraph" w:styleId="Heading4">
    <w:name w:val="heading 4"/>
    <w:basedOn w:val="Normal"/>
    <w:next w:val="BodyText"/>
    <w:link w:val="Heading4Char"/>
    <w:qFormat/>
    <w:rsid w:val="00E70907"/>
    <w:pPr>
      <w:keepNext/>
      <w:numPr>
        <w:ilvl w:val="3"/>
        <w:numId w:val="1"/>
      </w:numPr>
      <w:spacing w:before="60" w:after="60"/>
      <w:outlineLvl w:val="3"/>
    </w:pPr>
    <w:rPr>
      <w:b/>
      <w:i/>
    </w:rPr>
  </w:style>
  <w:style w:type="paragraph" w:styleId="Heading5">
    <w:name w:val="heading 5"/>
    <w:basedOn w:val="Normal"/>
    <w:next w:val="BodyText"/>
    <w:link w:val="Heading5Char"/>
    <w:qFormat/>
    <w:rsid w:val="00E70907"/>
    <w:pPr>
      <w:keepNext/>
      <w:keepLines/>
      <w:numPr>
        <w:ilvl w:val="4"/>
        <w:numId w:val="1"/>
      </w:numPr>
      <w:spacing w:before="60" w:after="120"/>
      <w:outlineLvl w:val="4"/>
    </w:pPr>
    <w:rPr>
      <w:b/>
      <w:i/>
    </w:rPr>
  </w:style>
  <w:style w:type="paragraph" w:styleId="Heading6">
    <w:name w:val="heading 6"/>
    <w:basedOn w:val="Normal"/>
    <w:next w:val="Normal"/>
    <w:link w:val="Heading6Char"/>
    <w:qFormat/>
    <w:rsid w:val="00E70907"/>
    <w:pPr>
      <w:numPr>
        <w:ilvl w:val="5"/>
        <w:numId w:val="1"/>
      </w:numPr>
      <w:spacing w:before="60" w:after="60"/>
      <w:outlineLvl w:val="5"/>
    </w:pPr>
    <w:rPr>
      <w:b/>
      <w:bCs/>
      <w:szCs w:val="22"/>
    </w:rPr>
  </w:style>
  <w:style w:type="paragraph" w:styleId="Heading7">
    <w:name w:val="heading 7"/>
    <w:basedOn w:val="Normal"/>
    <w:next w:val="Normal"/>
    <w:link w:val="Heading7Char"/>
    <w:qFormat/>
    <w:rsid w:val="00E70907"/>
    <w:pPr>
      <w:numPr>
        <w:ilvl w:val="6"/>
        <w:numId w:val="1"/>
      </w:numPr>
      <w:spacing w:before="240" w:after="60"/>
      <w:outlineLvl w:val="6"/>
    </w:pPr>
    <w:rPr>
      <w:sz w:val="24"/>
    </w:rPr>
  </w:style>
  <w:style w:type="paragraph" w:styleId="Heading8">
    <w:name w:val="heading 8"/>
    <w:basedOn w:val="Normal"/>
    <w:next w:val="Normal"/>
    <w:link w:val="Heading8Char"/>
    <w:qFormat/>
    <w:rsid w:val="00E70907"/>
    <w:pPr>
      <w:numPr>
        <w:ilvl w:val="7"/>
        <w:numId w:val="1"/>
      </w:numPr>
      <w:spacing w:before="240" w:after="60"/>
      <w:outlineLvl w:val="7"/>
    </w:pPr>
    <w:rPr>
      <w:i/>
      <w:iCs/>
      <w:sz w:val="24"/>
    </w:rPr>
  </w:style>
  <w:style w:type="paragraph" w:styleId="Heading9">
    <w:name w:val="heading 9"/>
    <w:basedOn w:val="Normal"/>
    <w:next w:val="Normal"/>
    <w:link w:val="Heading9Char"/>
    <w:qFormat/>
    <w:rsid w:val="00E70907"/>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907"/>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E70907"/>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E70907"/>
    <w:rPr>
      <w:rFonts w:ascii="Arial" w:eastAsia="Times New Roman" w:hAnsi="Arial" w:cs="Times New Roman"/>
      <w:b/>
      <w:color w:val="000000" w:themeColor="text1"/>
      <w:sz w:val="20"/>
      <w:szCs w:val="24"/>
    </w:rPr>
  </w:style>
  <w:style w:type="character" w:customStyle="1" w:styleId="Heading4Char">
    <w:name w:val="Heading 4 Char"/>
    <w:basedOn w:val="DefaultParagraphFont"/>
    <w:link w:val="Heading4"/>
    <w:rsid w:val="00E70907"/>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E70907"/>
    <w:rPr>
      <w:rFonts w:ascii="Times New Roman" w:eastAsia="Times New Roman" w:hAnsi="Times New Roman" w:cs="Times New Roman"/>
      <w:b/>
      <w:i/>
      <w:szCs w:val="24"/>
    </w:rPr>
  </w:style>
  <w:style w:type="character" w:customStyle="1" w:styleId="Heading6Char">
    <w:name w:val="Heading 6 Char"/>
    <w:basedOn w:val="DefaultParagraphFont"/>
    <w:link w:val="Heading6"/>
    <w:rsid w:val="00E70907"/>
    <w:rPr>
      <w:rFonts w:ascii="Times New Roman" w:eastAsia="Times New Roman" w:hAnsi="Times New Roman" w:cs="Times New Roman"/>
      <w:b/>
      <w:bCs/>
    </w:rPr>
  </w:style>
  <w:style w:type="character" w:customStyle="1" w:styleId="Heading7Char">
    <w:name w:val="Heading 7 Char"/>
    <w:basedOn w:val="DefaultParagraphFont"/>
    <w:link w:val="Heading7"/>
    <w:rsid w:val="00E7090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7090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70907"/>
    <w:rPr>
      <w:rFonts w:ascii="Arial" w:eastAsia="Times New Roman" w:hAnsi="Arial" w:cs="Arial"/>
    </w:rPr>
  </w:style>
  <w:style w:type="paragraph" w:styleId="BodyText">
    <w:name w:val="Body Text"/>
    <w:basedOn w:val="Normal"/>
    <w:link w:val="BodyTextChar"/>
    <w:uiPriority w:val="99"/>
    <w:rsid w:val="00E70907"/>
  </w:style>
  <w:style w:type="character" w:customStyle="1" w:styleId="BodyTextChar">
    <w:name w:val="Body Text Char"/>
    <w:basedOn w:val="DefaultParagraphFont"/>
    <w:link w:val="BodyText"/>
    <w:uiPriority w:val="99"/>
    <w:rsid w:val="00E70907"/>
    <w:rPr>
      <w:rFonts w:ascii="Times New Roman" w:eastAsia="Times New Roman" w:hAnsi="Times New Roman" w:cs="Times New Roman"/>
      <w:szCs w:val="24"/>
    </w:rPr>
  </w:style>
  <w:style w:type="paragraph" w:styleId="Footer">
    <w:name w:val="footer"/>
    <w:basedOn w:val="Normal"/>
    <w:link w:val="FooterChar"/>
    <w:uiPriority w:val="99"/>
    <w:rsid w:val="00E70907"/>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E70907"/>
    <w:rPr>
      <w:rFonts w:ascii="Arial" w:eastAsia="Times New Roman" w:hAnsi="Arial" w:cs="Times New Roman"/>
      <w:b/>
      <w:color w:val="595959" w:themeColor="text1" w:themeTint="A6"/>
      <w:sz w:val="18"/>
      <w:szCs w:val="24"/>
    </w:rPr>
  </w:style>
  <w:style w:type="paragraph" w:customStyle="1" w:styleId="ExhibitRowHeader">
    <w:name w:val="Exhibit Row Header"/>
    <w:basedOn w:val="BodyText"/>
    <w:rsid w:val="00E70907"/>
    <w:pPr>
      <w:spacing w:before="20" w:after="20" w:line="240" w:lineRule="auto"/>
    </w:pPr>
    <w:rPr>
      <w:rFonts w:ascii="Arial" w:hAnsi="Arial" w:cs="Arial"/>
      <w:b/>
      <w:color w:val="F8F8F8"/>
      <w:sz w:val="20"/>
    </w:rPr>
  </w:style>
  <w:style w:type="character" w:styleId="PageNumber">
    <w:name w:val="page number"/>
    <w:basedOn w:val="DefaultParagraphFont"/>
    <w:rsid w:val="00E7090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E70907"/>
    <w:pPr>
      <w:spacing w:after="180"/>
    </w:pPr>
  </w:style>
  <w:style w:type="paragraph" w:customStyle="1" w:styleId="Bullets">
    <w:name w:val="Bullets"/>
    <w:basedOn w:val="BodyText"/>
    <w:rsid w:val="00E70907"/>
    <w:pPr>
      <w:spacing w:after="120"/>
    </w:pPr>
  </w:style>
  <w:style w:type="paragraph" w:customStyle="1" w:styleId="RefNumbers">
    <w:name w:val="Ref Numbers"/>
    <w:basedOn w:val="BodyText"/>
    <w:rsid w:val="00E70907"/>
    <w:pPr>
      <w:tabs>
        <w:tab w:val="num" w:pos="720"/>
      </w:tabs>
      <w:spacing w:after="240"/>
      <w:ind w:left="720" w:hanging="720"/>
    </w:pPr>
  </w:style>
  <w:style w:type="paragraph" w:styleId="Header">
    <w:name w:val="header"/>
    <w:basedOn w:val="Normal"/>
    <w:link w:val="HeaderChar"/>
    <w:uiPriority w:val="99"/>
    <w:rsid w:val="00E7090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E70907"/>
    <w:rPr>
      <w:rFonts w:ascii="Arial" w:eastAsia="Times New Roman" w:hAnsi="Arial" w:cs="Times New Roman"/>
      <w:b/>
      <w:color w:val="595959" w:themeColor="text1" w:themeTint="A6"/>
      <w:sz w:val="18"/>
      <w:szCs w:val="24"/>
    </w:rPr>
  </w:style>
  <w:style w:type="paragraph" w:styleId="TOC1">
    <w:name w:val="toc 1"/>
    <w:basedOn w:val="BodyText"/>
    <w:next w:val="BodyText"/>
    <w:uiPriority w:val="39"/>
    <w:rsid w:val="00E70907"/>
    <w:pPr>
      <w:tabs>
        <w:tab w:val="left" w:pos="540"/>
        <w:tab w:val="right" w:leader="dot" w:pos="8990"/>
      </w:tabs>
      <w:spacing w:before="240"/>
    </w:pPr>
    <w:rPr>
      <w:b/>
      <w:noProof/>
    </w:rPr>
  </w:style>
  <w:style w:type="character" w:styleId="CommentReference">
    <w:name w:val="annotation reference"/>
    <w:basedOn w:val="DefaultParagraphFont"/>
    <w:uiPriority w:val="99"/>
    <w:semiHidden/>
    <w:rsid w:val="00E70907"/>
    <w:rPr>
      <w:sz w:val="16"/>
    </w:rPr>
  </w:style>
  <w:style w:type="paragraph" w:styleId="TOC2">
    <w:name w:val="toc 2"/>
    <w:basedOn w:val="BodyText"/>
    <w:next w:val="BodyText"/>
    <w:uiPriority w:val="39"/>
    <w:rsid w:val="00E70907"/>
    <w:pPr>
      <w:tabs>
        <w:tab w:val="left" w:pos="1080"/>
        <w:tab w:val="right" w:leader="dot" w:pos="9000"/>
      </w:tabs>
      <w:spacing w:before="60" w:after="0"/>
      <w:ind w:left="1094" w:right="547" w:hanging="547"/>
    </w:pPr>
    <w:rPr>
      <w:noProof/>
    </w:rPr>
  </w:style>
  <w:style w:type="paragraph" w:styleId="TOC3">
    <w:name w:val="toc 3"/>
    <w:basedOn w:val="BodyText"/>
    <w:next w:val="BodyText"/>
    <w:uiPriority w:val="39"/>
    <w:rsid w:val="00E70907"/>
    <w:pPr>
      <w:tabs>
        <w:tab w:val="left" w:pos="1980"/>
        <w:tab w:val="right" w:leader="dot" w:pos="9000"/>
      </w:tabs>
      <w:spacing w:after="0"/>
      <w:ind w:left="1987" w:right="547" w:hanging="835"/>
    </w:pPr>
    <w:rPr>
      <w:noProof/>
    </w:rPr>
  </w:style>
  <w:style w:type="paragraph" w:styleId="TOC4">
    <w:name w:val="toc 4"/>
    <w:basedOn w:val="BodyText"/>
    <w:next w:val="BodyText"/>
    <w:semiHidden/>
    <w:rsid w:val="00E70907"/>
    <w:pPr>
      <w:ind w:left="1728"/>
    </w:pPr>
  </w:style>
  <w:style w:type="paragraph" w:styleId="TOC5">
    <w:name w:val="toc 5"/>
    <w:basedOn w:val="Normal"/>
    <w:next w:val="Normal"/>
    <w:autoRedefine/>
    <w:semiHidden/>
    <w:rsid w:val="00E70907"/>
    <w:pPr>
      <w:ind w:left="960"/>
    </w:pPr>
  </w:style>
  <w:style w:type="paragraph" w:styleId="TOC6">
    <w:name w:val="toc 6"/>
    <w:basedOn w:val="Normal"/>
    <w:next w:val="Normal"/>
    <w:autoRedefine/>
    <w:semiHidden/>
    <w:rsid w:val="00E70907"/>
    <w:pPr>
      <w:ind w:left="1200"/>
    </w:pPr>
  </w:style>
  <w:style w:type="paragraph" w:styleId="TOC7">
    <w:name w:val="toc 7"/>
    <w:basedOn w:val="Normal"/>
    <w:next w:val="Normal"/>
    <w:autoRedefine/>
    <w:semiHidden/>
    <w:rsid w:val="00E70907"/>
    <w:pPr>
      <w:ind w:left="1440"/>
    </w:pPr>
  </w:style>
  <w:style w:type="paragraph" w:styleId="TOC8">
    <w:name w:val="toc 8"/>
    <w:basedOn w:val="Normal"/>
    <w:next w:val="Normal"/>
    <w:autoRedefine/>
    <w:semiHidden/>
    <w:rsid w:val="00E70907"/>
    <w:pPr>
      <w:ind w:left="1680"/>
    </w:pPr>
  </w:style>
  <w:style w:type="paragraph" w:styleId="TOC9">
    <w:name w:val="toc 9"/>
    <w:basedOn w:val="Normal"/>
    <w:next w:val="Normal"/>
    <w:autoRedefine/>
    <w:semiHidden/>
    <w:rsid w:val="00E70907"/>
    <w:pPr>
      <w:ind w:left="1920"/>
    </w:pPr>
  </w:style>
  <w:style w:type="character" w:styleId="FootnoteReference">
    <w:name w:val="footnote reference"/>
    <w:basedOn w:val="DefaultParagraphFont"/>
    <w:uiPriority w:val="99"/>
    <w:rsid w:val="00E70907"/>
    <w:rPr>
      <w:vertAlign w:val="superscript"/>
    </w:rPr>
  </w:style>
  <w:style w:type="paragraph" w:customStyle="1" w:styleId="Exhibit">
    <w:name w:val="Exhibit"/>
    <w:basedOn w:val="Normal"/>
    <w:rsid w:val="00E70907"/>
    <w:rPr>
      <w:rFonts w:ascii="Arial" w:hAnsi="Arial"/>
      <w:sz w:val="18"/>
    </w:rPr>
  </w:style>
  <w:style w:type="paragraph" w:styleId="FootnoteText">
    <w:name w:val="footnote text"/>
    <w:aliases w:val="F1"/>
    <w:basedOn w:val="Normal"/>
    <w:link w:val="FootnoteTextChar"/>
    <w:uiPriority w:val="99"/>
    <w:rsid w:val="00E70907"/>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E70907"/>
    <w:rPr>
      <w:rFonts w:ascii="Times New Roman" w:eastAsia="Times New Roman" w:hAnsi="Times New Roman" w:cs="Times New Roman"/>
      <w:sz w:val="20"/>
      <w:szCs w:val="24"/>
    </w:rPr>
  </w:style>
  <w:style w:type="paragraph" w:styleId="Index1">
    <w:name w:val="index 1"/>
    <w:basedOn w:val="Normal"/>
    <w:next w:val="Normal"/>
    <w:autoRedefine/>
    <w:semiHidden/>
    <w:rsid w:val="00E70907"/>
    <w:pPr>
      <w:ind w:left="220" w:hanging="220"/>
    </w:pPr>
    <w:rPr>
      <w:sz w:val="20"/>
    </w:rPr>
  </w:style>
  <w:style w:type="paragraph" w:styleId="Index2">
    <w:name w:val="index 2"/>
    <w:basedOn w:val="Normal"/>
    <w:next w:val="Normal"/>
    <w:autoRedefine/>
    <w:semiHidden/>
    <w:rsid w:val="00E70907"/>
    <w:pPr>
      <w:ind w:left="440" w:hanging="220"/>
    </w:pPr>
    <w:rPr>
      <w:sz w:val="20"/>
    </w:rPr>
  </w:style>
  <w:style w:type="paragraph" w:styleId="Index3">
    <w:name w:val="index 3"/>
    <w:basedOn w:val="Normal"/>
    <w:next w:val="Normal"/>
    <w:autoRedefine/>
    <w:semiHidden/>
    <w:rsid w:val="00E70907"/>
    <w:pPr>
      <w:ind w:left="660" w:hanging="220"/>
    </w:pPr>
    <w:rPr>
      <w:sz w:val="20"/>
    </w:rPr>
  </w:style>
  <w:style w:type="paragraph" w:customStyle="1" w:styleId="Numbers">
    <w:name w:val="Numbers"/>
    <w:basedOn w:val="BodyText"/>
    <w:rsid w:val="00E70907"/>
    <w:pPr>
      <w:tabs>
        <w:tab w:val="num" w:pos="1080"/>
      </w:tabs>
      <w:ind w:left="720" w:hanging="360"/>
    </w:pPr>
  </w:style>
  <w:style w:type="paragraph" w:customStyle="1" w:styleId="BoxText">
    <w:name w:val="Box Text"/>
    <w:basedOn w:val="BodyText"/>
    <w:rsid w:val="00E70907"/>
    <w:rPr>
      <w:rFonts w:ascii="Arial" w:hAnsi="Arial" w:cs="Arial"/>
      <w:sz w:val="18"/>
    </w:rPr>
  </w:style>
  <w:style w:type="paragraph" w:styleId="CommentText">
    <w:name w:val="annotation text"/>
    <w:basedOn w:val="Normal"/>
    <w:link w:val="CommentTextChar"/>
    <w:uiPriority w:val="99"/>
    <w:rsid w:val="00E70907"/>
    <w:rPr>
      <w:sz w:val="20"/>
    </w:rPr>
  </w:style>
  <w:style w:type="character" w:customStyle="1" w:styleId="CommentTextChar">
    <w:name w:val="Comment Text Char"/>
    <w:basedOn w:val="DefaultParagraphFont"/>
    <w:link w:val="CommentText"/>
    <w:uiPriority w:val="99"/>
    <w:rsid w:val="00E70907"/>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rsid w:val="00E70907"/>
    <w:rPr>
      <w:b/>
      <w:bCs/>
    </w:rPr>
  </w:style>
  <w:style w:type="character" w:customStyle="1" w:styleId="CommentSubjectChar">
    <w:name w:val="Comment Subject Char"/>
    <w:basedOn w:val="CommentTextChar"/>
    <w:link w:val="CommentSubject"/>
    <w:uiPriority w:val="99"/>
    <w:semiHidden/>
    <w:rsid w:val="00E70907"/>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E70907"/>
    <w:rPr>
      <w:rFonts w:ascii="Tahoma" w:hAnsi="Tahoma" w:cs="Tahoma"/>
      <w:sz w:val="16"/>
      <w:szCs w:val="16"/>
    </w:rPr>
  </w:style>
  <w:style w:type="character" w:customStyle="1" w:styleId="BalloonTextChar">
    <w:name w:val="Balloon Text Char"/>
    <w:basedOn w:val="DefaultParagraphFont"/>
    <w:link w:val="BalloonText"/>
    <w:uiPriority w:val="99"/>
    <w:semiHidden/>
    <w:rsid w:val="00E70907"/>
    <w:rPr>
      <w:rFonts w:ascii="Tahoma" w:eastAsia="Times New Roman" w:hAnsi="Tahoma" w:cs="Tahoma"/>
      <w:sz w:val="16"/>
      <w:szCs w:val="16"/>
    </w:rPr>
  </w:style>
  <w:style w:type="table" w:styleId="TableGrid">
    <w:name w:val="Table Grid"/>
    <w:basedOn w:val="TableNormal"/>
    <w:rsid w:val="00E7090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70907"/>
    <w:rPr>
      <w:color w:val="0000FF"/>
      <w:u w:val="single"/>
    </w:rPr>
  </w:style>
  <w:style w:type="paragraph" w:customStyle="1" w:styleId="TOCHeader">
    <w:name w:val="TOC Header"/>
    <w:basedOn w:val="Normal"/>
    <w:next w:val="BodyText"/>
    <w:rsid w:val="00E70907"/>
    <w:rPr>
      <w:rFonts w:ascii="Arial" w:hAnsi="Arial"/>
      <w:b/>
      <w:color w:val="898D8D"/>
      <w:sz w:val="24"/>
    </w:rPr>
  </w:style>
  <w:style w:type="paragraph" w:customStyle="1" w:styleId="ReportTitle-TOCPage">
    <w:name w:val="Report Title - TOC Page"/>
    <w:basedOn w:val="Normal"/>
    <w:next w:val="BodyText"/>
    <w:rsid w:val="00E70907"/>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E70907"/>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70907"/>
    <w:pPr>
      <w:tabs>
        <w:tab w:val="clear" w:pos="4507"/>
        <w:tab w:val="clear" w:pos="9000"/>
        <w:tab w:val="center" w:pos="6480"/>
        <w:tab w:val="right" w:pos="12960"/>
      </w:tabs>
    </w:pPr>
  </w:style>
  <w:style w:type="paragraph" w:customStyle="1" w:styleId="CoverTechorBusiness">
    <w:name w:val="Cover Tech or Business"/>
    <w:basedOn w:val="Normal"/>
    <w:qFormat/>
    <w:rsid w:val="00E70907"/>
    <w:pPr>
      <w:shd w:val="solid" w:color="FFFFFF" w:fill="FFFFFF"/>
      <w:spacing w:line="276" w:lineRule="auto"/>
      <w:jc w:val="right"/>
    </w:pPr>
    <w:rPr>
      <w:rFonts w:ascii="Arial" w:hAnsi="Arial"/>
      <w:color w:val="DA291C"/>
      <w:sz w:val="20"/>
    </w:rPr>
  </w:style>
  <w:style w:type="paragraph" w:customStyle="1" w:styleId="Bullet2">
    <w:name w:val="Bullet2"/>
    <w:basedOn w:val="Normal"/>
    <w:rsid w:val="00E70907"/>
    <w:pPr>
      <w:tabs>
        <w:tab w:val="num" w:pos="720"/>
      </w:tabs>
      <w:spacing w:after="120"/>
      <w:ind w:left="720" w:hanging="360"/>
    </w:pPr>
  </w:style>
  <w:style w:type="paragraph" w:customStyle="1" w:styleId="ProposalTitle">
    <w:name w:val="Proposal Title"/>
    <w:basedOn w:val="Normal"/>
    <w:qFormat/>
    <w:rsid w:val="00E70907"/>
    <w:pPr>
      <w:autoSpaceDE w:val="0"/>
      <w:autoSpaceDN w:val="0"/>
      <w:adjustRightInd w:val="0"/>
      <w:ind w:left="6696" w:right="-792"/>
    </w:pPr>
    <w:rPr>
      <w:b/>
      <w:sz w:val="32"/>
      <w:szCs w:val="32"/>
    </w:rPr>
  </w:style>
  <w:style w:type="paragraph" w:customStyle="1" w:styleId="RFPNumber">
    <w:name w:val="RFP Number"/>
    <w:basedOn w:val="Normal"/>
    <w:qFormat/>
    <w:rsid w:val="00E70907"/>
    <w:pPr>
      <w:autoSpaceDE w:val="0"/>
      <w:autoSpaceDN w:val="0"/>
      <w:adjustRightInd w:val="0"/>
      <w:ind w:left="6696" w:right="-792"/>
    </w:pPr>
    <w:rPr>
      <w:sz w:val="32"/>
      <w:szCs w:val="32"/>
    </w:rPr>
  </w:style>
  <w:style w:type="paragraph" w:customStyle="1" w:styleId="CoverTextRed16pt">
    <w:name w:val="Cover Text  Red 16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E70907"/>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E70907"/>
    <w:rPr>
      <w:sz w:val="18"/>
      <w:szCs w:val="18"/>
    </w:rPr>
  </w:style>
  <w:style w:type="paragraph" w:customStyle="1" w:styleId="TableText">
    <w:name w:val="Table Text"/>
    <w:basedOn w:val="Normal"/>
    <w:qFormat/>
    <w:rsid w:val="00E70907"/>
    <w:pPr>
      <w:spacing w:before="40" w:after="40"/>
    </w:pPr>
    <w:rPr>
      <w:rFonts w:ascii="Arial" w:hAnsi="Arial" w:cs="Arial"/>
      <w:bCs/>
      <w:color w:val="000000"/>
      <w:sz w:val="20"/>
    </w:rPr>
  </w:style>
  <w:style w:type="paragraph" w:customStyle="1" w:styleId="ExhibitSource">
    <w:name w:val="Exhibit Source"/>
    <w:basedOn w:val="Normal"/>
    <w:qFormat/>
    <w:rsid w:val="00E70907"/>
    <w:pPr>
      <w:spacing w:before="120" w:after="240"/>
    </w:pPr>
    <w:rPr>
      <w:rFonts w:ascii="Arial" w:hAnsi="Arial" w:cs="Arial"/>
      <w:sz w:val="18"/>
    </w:rPr>
  </w:style>
  <w:style w:type="paragraph" w:customStyle="1" w:styleId="ExhibitText">
    <w:name w:val="Exhibit Text"/>
    <w:basedOn w:val="TableText"/>
    <w:qFormat/>
    <w:rsid w:val="00E70907"/>
    <w:pPr>
      <w:spacing w:before="0" w:after="0"/>
    </w:pPr>
    <w:rPr>
      <w:sz w:val="18"/>
    </w:rPr>
  </w:style>
  <w:style w:type="paragraph" w:customStyle="1" w:styleId="ExhibitColumnHeader">
    <w:name w:val="Exhibit Column Header"/>
    <w:basedOn w:val="ExhibitRowHeader"/>
    <w:qFormat/>
    <w:rsid w:val="00E70907"/>
    <w:rPr>
      <w:color w:val="000000" w:themeColor="text1"/>
    </w:rPr>
  </w:style>
  <w:style w:type="paragraph" w:customStyle="1" w:styleId="CoverTextGreyBold">
    <w:name w:val="Cover Text Grey Bold"/>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E70907"/>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E70907"/>
    <w:pPr>
      <w:ind w:left="720"/>
      <w:contextualSpacing/>
    </w:pPr>
  </w:style>
  <w:style w:type="character" w:styleId="HTMLCite">
    <w:name w:val="HTML Cite"/>
    <w:basedOn w:val="DefaultParagraphFont"/>
    <w:uiPriority w:val="99"/>
    <w:unhideWhenUsed/>
    <w:rsid w:val="00E70907"/>
    <w:rPr>
      <w:i/>
      <w:iCs/>
    </w:rPr>
  </w:style>
  <w:style w:type="character" w:customStyle="1" w:styleId="slug-pub-date">
    <w:name w:val="slug-pub-date"/>
    <w:basedOn w:val="DefaultParagraphFont"/>
    <w:rsid w:val="00E70907"/>
  </w:style>
  <w:style w:type="character" w:customStyle="1" w:styleId="slug-vol">
    <w:name w:val="slug-vol"/>
    <w:basedOn w:val="DefaultParagraphFont"/>
    <w:rsid w:val="00E70907"/>
  </w:style>
  <w:style w:type="character" w:customStyle="1" w:styleId="slug-issue">
    <w:name w:val="slug-issue"/>
    <w:basedOn w:val="DefaultParagraphFont"/>
    <w:rsid w:val="00E70907"/>
  </w:style>
  <w:style w:type="character" w:customStyle="1" w:styleId="slug-pages">
    <w:name w:val="slug-pages"/>
    <w:basedOn w:val="DefaultParagraphFont"/>
    <w:rsid w:val="00E70907"/>
  </w:style>
  <w:style w:type="character" w:customStyle="1" w:styleId="apple-style-span">
    <w:name w:val="apple-style-span"/>
    <w:basedOn w:val="DefaultParagraphFont"/>
    <w:rsid w:val="00E70907"/>
  </w:style>
  <w:style w:type="paragraph" w:customStyle="1" w:styleId="Table">
    <w:name w:val="Table"/>
    <w:basedOn w:val="Normal"/>
    <w:rsid w:val="00E70907"/>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70907"/>
    <w:pPr>
      <w:spacing w:after="120" w:line="480" w:lineRule="auto"/>
      <w:ind w:left="360"/>
    </w:pPr>
  </w:style>
  <w:style w:type="character" w:customStyle="1" w:styleId="BodyTextIndent2Char">
    <w:name w:val="Body Text Indent 2 Char"/>
    <w:basedOn w:val="DefaultParagraphFont"/>
    <w:link w:val="BodyTextIndent2"/>
    <w:rsid w:val="00E70907"/>
    <w:rPr>
      <w:rFonts w:ascii="Times New Roman" w:eastAsia="Times New Roman" w:hAnsi="Times New Roman" w:cs="Times New Roman"/>
      <w:szCs w:val="24"/>
    </w:rPr>
  </w:style>
  <w:style w:type="paragraph" w:styleId="BodyText2">
    <w:name w:val="Body Text 2"/>
    <w:basedOn w:val="Normal"/>
    <w:link w:val="BodyText2Char"/>
    <w:rsid w:val="00E70907"/>
    <w:pPr>
      <w:spacing w:after="120" w:line="480" w:lineRule="auto"/>
    </w:pPr>
  </w:style>
  <w:style w:type="character" w:customStyle="1" w:styleId="BodyText2Char">
    <w:name w:val="Body Text 2 Char"/>
    <w:basedOn w:val="DefaultParagraphFont"/>
    <w:link w:val="BodyText2"/>
    <w:rsid w:val="00E70907"/>
    <w:rPr>
      <w:rFonts w:ascii="Times New Roman" w:eastAsia="Times New Roman" w:hAnsi="Times New Roman" w:cs="Times New Roman"/>
      <w:szCs w:val="24"/>
    </w:rPr>
  </w:style>
  <w:style w:type="paragraph" w:customStyle="1" w:styleId="BulletBlack">
    <w:name w:val="Bullet_Black"/>
    <w:basedOn w:val="Normal"/>
    <w:qFormat/>
    <w:rsid w:val="00E70907"/>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E70907"/>
    <w:pPr>
      <w:spacing w:after="240"/>
    </w:pPr>
  </w:style>
  <w:style w:type="paragraph" w:customStyle="1" w:styleId="NormalSS12">
    <w:name w:val="NormalSS 12"/>
    <w:basedOn w:val="Normal"/>
    <w:qFormat/>
    <w:rsid w:val="00E70907"/>
    <w:pPr>
      <w:tabs>
        <w:tab w:val="left" w:pos="432"/>
      </w:tabs>
      <w:spacing w:after="240" w:line="240" w:lineRule="auto"/>
      <w:ind w:firstLine="432"/>
      <w:jc w:val="both"/>
    </w:pPr>
    <w:rPr>
      <w:sz w:val="24"/>
    </w:rPr>
  </w:style>
  <w:style w:type="paragraph" w:styleId="Revision">
    <w:name w:val="Revision"/>
    <w:hidden/>
    <w:uiPriority w:val="99"/>
    <w:semiHidden/>
    <w:rsid w:val="00E70907"/>
    <w:pPr>
      <w:spacing w:after="0"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E70907"/>
    <w:pPr>
      <w:spacing w:before="100" w:beforeAutospacing="1" w:after="100" w:afterAutospacing="1" w:line="240" w:lineRule="auto"/>
    </w:pPr>
    <w:rPr>
      <w:rFonts w:eastAsiaTheme="minorEastAsia"/>
      <w:sz w:val="24"/>
    </w:rPr>
  </w:style>
  <w:style w:type="paragraph" w:styleId="NoSpacing">
    <w:name w:val="No Spacing"/>
    <w:uiPriority w:val="1"/>
    <w:qFormat/>
    <w:rsid w:val="00E70907"/>
    <w:pPr>
      <w:spacing w:after="0" w:line="240" w:lineRule="auto"/>
    </w:pPr>
  </w:style>
  <w:style w:type="character" w:customStyle="1" w:styleId="apple-converted-space">
    <w:name w:val="apple-converted-space"/>
    <w:basedOn w:val="DefaultParagraphFont"/>
    <w:rsid w:val="00E70907"/>
  </w:style>
  <w:style w:type="paragraph" w:styleId="Title">
    <w:name w:val="Title"/>
    <w:basedOn w:val="Normal"/>
    <w:next w:val="Normal"/>
    <w:link w:val="TitleChar"/>
    <w:uiPriority w:val="10"/>
    <w:qFormat/>
    <w:rsid w:val="00E70907"/>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090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0907"/>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E70907"/>
    <w:rPr>
      <w:rFonts w:asciiTheme="majorHAnsi" w:eastAsiaTheme="majorEastAsia" w:hAnsiTheme="majorHAnsi" w:cstheme="majorBidi"/>
      <w:i/>
      <w:iCs/>
      <w:spacing w:val="13"/>
      <w:sz w:val="24"/>
      <w:szCs w:val="24"/>
    </w:rPr>
  </w:style>
  <w:style w:type="character" w:styleId="Strong">
    <w:name w:val="Strong"/>
    <w:uiPriority w:val="22"/>
    <w:qFormat/>
    <w:rsid w:val="00E70907"/>
    <w:rPr>
      <w:b/>
      <w:bCs/>
    </w:rPr>
  </w:style>
  <w:style w:type="character" w:styleId="Emphasis">
    <w:name w:val="Emphasis"/>
    <w:uiPriority w:val="20"/>
    <w:qFormat/>
    <w:rsid w:val="00E70907"/>
    <w:rPr>
      <w:b/>
      <w:bCs/>
      <w:i/>
      <w:iCs/>
      <w:spacing w:val="10"/>
      <w:bdr w:val="none" w:sz="0" w:space="0" w:color="auto"/>
      <w:shd w:val="clear" w:color="auto" w:fill="auto"/>
    </w:rPr>
  </w:style>
  <w:style w:type="paragraph" w:styleId="Quote">
    <w:name w:val="Quote"/>
    <w:basedOn w:val="Normal"/>
    <w:next w:val="Normal"/>
    <w:link w:val="QuoteChar"/>
    <w:uiPriority w:val="29"/>
    <w:qFormat/>
    <w:rsid w:val="00E70907"/>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E70907"/>
    <w:rPr>
      <w:rFonts w:eastAsiaTheme="minorEastAsia"/>
      <w:i/>
      <w:iCs/>
    </w:rPr>
  </w:style>
  <w:style w:type="paragraph" w:styleId="IntenseQuote">
    <w:name w:val="Intense Quote"/>
    <w:basedOn w:val="Normal"/>
    <w:next w:val="Normal"/>
    <w:link w:val="IntenseQuoteChar"/>
    <w:uiPriority w:val="30"/>
    <w:qFormat/>
    <w:rsid w:val="00E70907"/>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E70907"/>
    <w:rPr>
      <w:rFonts w:eastAsiaTheme="minorEastAsia"/>
      <w:b/>
      <w:bCs/>
      <w:i/>
      <w:iCs/>
    </w:rPr>
  </w:style>
  <w:style w:type="character" w:styleId="SubtleEmphasis">
    <w:name w:val="Subtle Emphasis"/>
    <w:uiPriority w:val="19"/>
    <w:qFormat/>
    <w:rsid w:val="00E70907"/>
    <w:rPr>
      <w:i/>
      <w:iCs/>
    </w:rPr>
  </w:style>
  <w:style w:type="character" w:styleId="IntenseEmphasis">
    <w:name w:val="Intense Emphasis"/>
    <w:uiPriority w:val="21"/>
    <w:qFormat/>
    <w:rsid w:val="00E70907"/>
    <w:rPr>
      <w:b/>
      <w:bCs/>
    </w:rPr>
  </w:style>
  <w:style w:type="character" w:styleId="SubtleReference">
    <w:name w:val="Subtle Reference"/>
    <w:uiPriority w:val="31"/>
    <w:qFormat/>
    <w:rsid w:val="00E70907"/>
    <w:rPr>
      <w:smallCaps/>
    </w:rPr>
  </w:style>
  <w:style w:type="character" w:styleId="IntenseReference">
    <w:name w:val="Intense Reference"/>
    <w:uiPriority w:val="32"/>
    <w:qFormat/>
    <w:rsid w:val="00E70907"/>
    <w:rPr>
      <w:smallCaps/>
      <w:spacing w:val="5"/>
      <w:u w:val="single"/>
    </w:rPr>
  </w:style>
  <w:style w:type="character" w:styleId="BookTitle">
    <w:name w:val="Book Title"/>
    <w:uiPriority w:val="33"/>
    <w:qFormat/>
    <w:rsid w:val="00E70907"/>
    <w:rPr>
      <w:i/>
      <w:iCs/>
      <w:smallCaps/>
      <w:spacing w:val="5"/>
    </w:rPr>
  </w:style>
  <w:style w:type="paragraph" w:customStyle="1" w:styleId="AbtHeadB">
    <w:name w:val="AbtHead B"/>
    <w:basedOn w:val="Normal"/>
    <w:next w:val="BodyText"/>
    <w:rsid w:val="00E70907"/>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E70907"/>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E70907"/>
    <w:pPr>
      <w:spacing w:after="120"/>
      <w:ind w:left="360"/>
    </w:pPr>
    <w:rPr>
      <w:sz w:val="16"/>
      <w:szCs w:val="16"/>
    </w:rPr>
  </w:style>
  <w:style w:type="character" w:customStyle="1" w:styleId="BodyTextIndent3Char">
    <w:name w:val="Body Text Indent 3 Char"/>
    <w:basedOn w:val="DefaultParagraphFont"/>
    <w:link w:val="BodyTextIndent3"/>
    <w:rsid w:val="00E70907"/>
    <w:rPr>
      <w:rFonts w:ascii="Times New Roman" w:eastAsia="Times New Roman" w:hAnsi="Times New Roman" w:cs="Times New Roman"/>
      <w:sz w:val="16"/>
      <w:szCs w:val="16"/>
    </w:rPr>
  </w:style>
  <w:style w:type="paragraph" w:customStyle="1" w:styleId="NormalSS">
    <w:name w:val="NormalSS"/>
    <w:basedOn w:val="Normal"/>
    <w:rsid w:val="00E70907"/>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E70907"/>
    <w:pPr>
      <w:numPr>
        <w:numId w:val="3"/>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E70907"/>
    <w:pPr>
      <w:tabs>
        <w:tab w:val="clear" w:pos="1440"/>
      </w:tabs>
      <w:spacing w:after="40" w:line="240" w:lineRule="auto"/>
      <w:ind w:left="0" w:firstLine="0"/>
    </w:pPr>
  </w:style>
  <w:style w:type="paragraph" w:styleId="TableofFigures">
    <w:name w:val="table of figures"/>
    <w:basedOn w:val="Normal"/>
    <w:next w:val="Normal"/>
    <w:uiPriority w:val="99"/>
    <w:rsid w:val="00E70907"/>
    <w:pPr>
      <w:spacing w:after="0"/>
    </w:pPr>
  </w:style>
  <w:style w:type="character" w:customStyle="1" w:styleId="title21">
    <w:name w:val="title21"/>
    <w:basedOn w:val="DefaultParagraphFont"/>
    <w:rsid w:val="00E70907"/>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E70907"/>
    <w:rPr>
      <w:color w:val="800080" w:themeColor="followedHyperlink"/>
      <w:u w:val="single"/>
    </w:rPr>
  </w:style>
  <w:style w:type="paragraph" w:customStyle="1" w:styleId="FootnoteText1">
    <w:name w:val="Footnote Text1"/>
    <w:rsid w:val="00E70907"/>
    <w:pPr>
      <w:spacing w:after="120" w:line="240" w:lineRule="auto"/>
      <w:ind w:left="360" w:hanging="360"/>
    </w:pPr>
    <w:rPr>
      <w:rFonts w:ascii="Times New Roman" w:eastAsia="ヒラギノ角ゴ Pro W3" w:hAnsi="Times New Roman" w:cs="Times New Roman"/>
      <w:color w:val="000000"/>
      <w:sz w:val="20"/>
      <w:szCs w:val="20"/>
    </w:rPr>
  </w:style>
  <w:style w:type="paragraph" w:customStyle="1" w:styleId="IESPublications">
    <w:name w:val="IES_Publications"/>
    <w:rsid w:val="00E70907"/>
    <w:pPr>
      <w:spacing w:after="120" w:line="240" w:lineRule="auto"/>
      <w:ind w:left="360" w:hanging="360"/>
    </w:pPr>
    <w:rPr>
      <w:rFonts w:ascii="Times New Roman" w:eastAsia="Times New Roman" w:hAnsi="Times New Roman" w:cs="Times New Roman"/>
      <w:sz w:val="24"/>
      <w:szCs w:val="20"/>
    </w:rPr>
  </w:style>
  <w:style w:type="paragraph" w:styleId="BodyTextIndent">
    <w:name w:val="Body Text Indent"/>
    <w:basedOn w:val="Normal"/>
    <w:link w:val="BodyTextIndentChar"/>
    <w:rsid w:val="00E70907"/>
    <w:pPr>
      <w:spacing w:after="120"/>
      <w:ind w:left="360"/>
    </w:pPr>
  </w:style>
  <w:style w:type="character" w:customStyle="1" w:styleId="BodyTextIndentChar">
    <w:name w:val="Body Text Indent Char"/>
    <w:basedOn w:val="DefaultParagraphFont"/>
    <w:link w:val="BodyTextIndent"/>
    <w:rsid w:val="00E70907"/>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24768">
      <w:bodyDiv w:val="1"/>
      <w:marLeft w:val="0"/>
      <w:marRight w:val="0"/>
      <w:marTop w:val="0"/>
      <w:marBottom w:val="0"/>
      <w:divBdr>
        <w:top w:val="none" w:sz="0" w:space="0" w:color="auto"/>
        <w:left w:val="none" w:sz="0" w:space="0" w:color="auto"/>
        <w:bottom w:val="none" w:sz="0" w:space="0" w:color="auto"/>
        <w:right w:val="none" w:sz="0" w:space="0" w:color="auto"/>
      </w:divBdr>
    </w:div>
    <w:div w:id="9530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yperlink" Target="http://nces.ed.gov/programs/digest/d13/tables/dt13_216.80.asp" TargetMode="External"/><Relationship Id="rId50" Type="http://schemas.openxmlformats.org/officeDocument/2006/relationships/hyperlink" Target="http://www2.ed.gov/programs/gearup/funding.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3.wmf"/><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4.wmf"/><Relationship Id="rId45" Type="http://schemas.openxmlformats.org/officeDocument/2006/relationships/image" Target="media/image16.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hyperlink" Target="http://nscresearchcenter.org/snapshotreport-persistenceretention14/" TargetMode="External"/><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hyperlink" Target="http://nscresearchcenter.org/hsbenchmarks2014" TargetMode="External"/><Relationship Id="rId8" Type="http://schemas.openxmlformats.org/officeDocument/2006/relationships/endnotes" Target="endnotes.xml"/><Relationship Id="rId51"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community-and-social-service/school-and-career-counsel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7F29-25C4-49F0-8F09-F9FD4E02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7989</Words>
  <Characters>45543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Porowski</dc:creator>
  <cp:lastModifiedBy>Kate Mullan</cp:lastModifiedBy>
  <cp:revision>2</cp:revision>
  <cp:lastPrinted>2015-01-13T13:46:00Z</cp:lastPrinted>
  <dcterms:created xsi:type="dcterms:W3CDTF">2015-06-24T17:44:00Z</dcterms:created>
  <dcterms:modified xsi:type="dcterms:W3CDTF">2015-06-24T17:44:00Z</dcterms:modified>
</cp:coreProperties>
</file>