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A6A33" w14:textId="50B65FC0" w:rsidR="0072781E" w:rsidRPr="005F16D2" w:rsidRDefault="00ED48F5" w:rsidP="00017CE2">
      <w:pPr>
        <w:pStyle w:val="Cov-Date"/>
      </w:pPr>
      <w:bookmarkStart w:id="0" w:name="_Toc62613679"/>
      <w:bookmarkStart w:id="1" w:name="_Toc62614425"/>
      <w:bookmarkStart w:id="2" w:name="_Toc62630085"/>
      <w:bookmarkStart w:id="3" w:name="_Toc94419923"/>
      <w:r w:rsidRPr="00BF65C4">
        <w:t xml:space="preserve">November </w:t>
      </w:r>
      <w:r w:rsidR="0039459D">
        <w:t>21</w:t>
      </w:r>
      <w:r w:rsidR="00D12A73" w:rsidRPr="00D5480C">
        <w:t>, 2014</w:t>
      </w:r>
    </w:p>
    <w:p w14:paraId="55F92288" w14:textId="77777777" w:rsidR="0072781E" w:rsidRPr="002B5189" w:rsidRDefault="0072781E" w:rsidP="00A530D5">
      <w:pPr>
        <w:pStyle w:val="Cov-Date"/>
      </w:pPr>
    </w:p>
    <w:p w14:paraId="51AEACD9" w14:textId="77777777" w:rsidR="0072781E" w:rsidRPr="002B5189" w:rsidRDefault="0072781E" w:rsidP="00A530D5">
      <w:pPr>
        <w:pStyle w:val="Cov-Date"/>
      </w:pPr>
    </w:p>
    <w:p w14:paraId="3529DAD2" w14:textId="274B275D" w:rsidR="0072781E" w:rsidRPr="002B5189" w:rsidRDefault="0072781E" w:rsidP="00A530D5">
      <w:pPr>
        <w:pStyle w:val="Cov-Title"/>
      </w:pPr>
      <w:r w:rsidRPr="002B5189">
        <w:t>High School Longi</w:t>
      </w:r>
      <w:r w:rsidR="00441958">
        <w:t>tudinal Study of 2009 (HSLS:09)</w:t>
      </w:r>
      <w:r w:rsidRPr="002B5189">
        <w:t xml:space="preserve"> </w:t>
      </w:r>
      <w:r w:rsidR="00D12A73" w:rsidRPr="002B5189">
        <w:t>Second</w:t>
      </w:r>
      <w:r w:rsidRPr="002B5189">
        <w:t xml:space="preserve"> Follow-up</w:t>
      </w:r>
    </w:p>
    <w:p w14:paraId="21BC89E6" w14:textId="77777777" w:rsidR="0072781E" w:rsidRPr="002B5189" w:rsidRDefault="00D12A73" w:rsidP="00A530D5">
      <w:pPr>
        <w:pStyle w:val="Cov-Title"/>
        <w:rPr>
          <w:sz w:val="40"/>
          <w:szCs w:val="40"/>
        </w:rPr>
      </w:pPr>
      <w:r w:rsidRPr="002B5189">
        <w:t xml:space="preserve">Field Test </w:t>
      </w:r>
      <w:r w:rsidR="001D228D">
        <w:t xml:space="preserve">and Main Study Panel Maintenance </w:t>
      </w:r>
      <w:r w:rsidRPr="002B5189">
        <w:t>2015</w:t>
      </w:r>
    </w:p>
    <w:p w14:paraId="59030DB3" w14:textId="77777777" w:rsidR="0072781E" w:rsidRPr="002B5189" w:rsidRDefault="0072781E" w:rsidP="00A530D5">
      <w:pPr>
        <w:pStyle w:val="Cov-Title"/>
        <w:rPr>
          <w:b/>
          <w:bCs/>
          <w:sz w:val="40"/>
          <w:szCs w:val="40"/>
        </w:rPr>
      </w:pPr>
    </w:p>
    <w:p w14:paraId="6531815D" w14:textId="77777777" w:rsidR="0072781E" w:rsidRPr="002B5189" w:rsidRDefault="0072781E" w:rsidP="00A530D5">
      <w:pPr>
        <w:pStyle w:val="Cov-Title"/>
        <w:rPr>
          <w:sz w:val="40"/>
          <w:szCs w:val="40"/>
        </w:rPr>
      </w:pPr>
    </w:p>
    <w:p w14:paraId="373CB7DC" w14:textId="77777777" w:rsidR="0072781E" w:rsidRPr="002B5189" w:rsidRDefault="0072781E" w:rsidP="00A530D5">
      <w:pPr>
        <w:pStyle w:val="Cov-Title"/>
        <w:rPr>
          <w:sz w:val="40"/>
          <w:szCs w:val="40"/>
        </w:rPr>
      </w:pPr>
    </w:p>
    <w:p w14:paraId="2F663C0E" w14:textId="77777777" w:rsidR="0072781E" w:rsidRPr="002B5189" w:rsidRDefault="0072781E" w:rsidP="00A530D5">
      <w:pPr>
        <w:pStyle w:val="Cov-Title"/>
        <w:rPr>
          <w:sz w:val="40"/>
          <w:szCs w:val="40"/>
        </w:rPr>
      </w:pPr>
      <w:r w:rsidRPr="002B5189">
        <w:rPr>
          <w:sz w:val="40"/>
          <w:szCs w:val="40"/>
        </w:rPr>
        <w:t>Supporting Statement</w:t>
      </w:r>
    </w:p>
    <w:p w14:paraId="001AA35B" w14:textId="77777777" w:rsidR="0072781E" w:rsidRPr="002B5189" w:rsidRDefault="0072781E" w:rsidP="00A530D5">
      <w:pPr>
        <w:pStyle w:val="Cov-Title"/>
        <w:rPr>
          <w:sz w:val="40"/>
          <w:szCs w:val="40"/>
        </w:rPr>
      </w:pPr>
      <w:r w:rsidRPr="002B5189">
        <w:rPr>
          <w:sz w:val="40"/>
          <w:szCs w:val="40"/>
        </w:rPr>
        <w:t>Part A</w:t>
      </w:r>
    </w:p>
    <w:p w14:paraId="18F98B5D" w14:textId="77777777" w:rsidR="0072781E" w:rsidRPr="002B5189" w:rsidRDefault="0072781E">
      <w:pPr>
        <w:pStyle w:val="Cov-Subtitle"/>
      </w:pPr>
    </w:p>
    <w:p w14:paraId="38643632" w14:textId="77777777" w:rsidR="0072781E" w:rsidRPr="002B5189" w:rsidRDefault="0072781E">
      <w:pPr>
        <w:pStyle w:val="Cov-Subtitle"/>
      </w:pPr>
    </w:p>
    <w:p w14:paraId="777FE1FA" w14:textId="77777777" w:rsidR="0072781E" w:rsidRPr="002B5189" w:rsidRDefault="0072781E">
      <w:pPr>
        <w:pStyle w:val="Cov-Subtitle"/>
      </w:pPr>
    </w:p>
    <w:p w14:paraId="000D209F" w14:textId="77777777" w:rsidR="0072781E" w:rsidRPr="002B5189" w:rsidRDefault="0072781E">
      <w:pPr>
        <w:pStyle w:val="Cov-Subtitle"/>
      </w:pPr>
    </w:p>
    <w:p w14:paraId="12A91D5A" w14:textId="77777777" w:rsidR="0072781E" w:rsidRPr="002B5189" w:rsidRDefault="0072781E">
      <w:pPr>
        <w:pStyle w:val="Cov-Subtitle"/>
      </w:pPr>
    </w:p>
    <w:p w14:paraId="7CD7B1E7" w14:textId="77777777" w:rsidR="0072781E" w:rsidRPr="002B5189" w:rsidRDefault="0072781E">
      <w:pPr>
        <w:pStyle w:val="Cov-Subtitle"/>
      </w:pPr>
    </w:p>
    <w:p w14:paraId="79D0D8DA" w14:textId="77777777" w:rsidR="0072781E" w:rsidRPr="002B5189" w:rsidRDefault="0072781E">
      <w:pPr>
        <w:pStyle w:val="Cov-Subtitle"/>
      </w:pPr>
      <w:r w:rsidRPr="002B5189">
        <w:t>Request for OMB Review</w:t>
      </w:r>
      <w:r w:rsidRPr="002B5189">
        <w:br/>
        <w:t>OMB# 1850-0852 v.</w:t>
      </w:r>
      <w:r w:rsidR="002E2CA9">
        <w:t>15</w:t>
      </w:r>
    </w:p>
    <w:p w14:paraId="5C1C2D96" w14:textId="77777777" w:rsidR="0072781E" w:rsidRPr="002B5189" w:rsidRDefault="0072781E" w:rsidP="00A530D5">
      <w:pPr>
        <w:pStyle w:val="Cov-Date"/>
      </w:pPr>
    </w:p>
    <w:p w14:paraId="400DC037" w14:textId="77777777" w:rsidR="0072781E" w:rsidRPr="002B5189" w:rsidRDefault="0072781E" w:rsidP="00A530D5">
      <w:pPr>
        <w:pStyle w:val="Cov-Date"/>
      </w:pPr>
    </w:p>
    <w:p w14:paraId="6A93C6F5" w14:textId="77777777" w:rsidR="0072781E" w:rsidRPr="002B5189" w:rsidRDefault="0072781E" w:rsidP="00A530D5">
      <w:pPr>
        <w:pStyle w:val="Cov-Date"/>
      </w:pPr>
    </w:p>
    <w:p w14:paraId="4244A20F" w14:textId="77777777" w:rsidR="0072781E" w:rsidRPr="002B5189" w:rsidRDefault="0072781E" w:rsidP="00A530D5">
      <w:pPr>
        <w:pStyle w:val="Cov-Date"/>
      </w:pPr>
    </w:p>
    <w:p w14:paraId="5E09F95B" w14:textId="77777777" w:rsidR="0072781E" w:rsidRPr="002B5189" w:rsidRDefault="0072781E" w:rsidP="00A530D5">
      <w:pPr>
        <w:pStyle w:val="Cov-Date"/>
      </w:pPr>
    </w:p>
    <w:p w14:paraId="3FB00514" w14:textId="77777777" w:rsidR="0072781E" w:rsidRPr="002B5189" w:rsidRDefault="0072781E" w:rsidP="00A530D5">
      <w:pPr>
        <w:pStyle w:val="Cov-Address"/>
      </w:pPr>
    </w:p>
    <w:p w14:paraId="5EBFB51E" w14:textId="77777777" w:rsidR="0072781E" w:rsidRPr="002B5189" w:rsidRDefault="0072781E" w:rsidP="00A530D5">
      <w:pPr>
        <w:pStyle w:val="Cov-Address"/>
      </w:pPr>
    </w:p>
    <w:p w14:paraId="7B942C77" w14:textId="77777777" w:rsidR="0072781E" w:rsidRPr="002B5189" w:rsidRDefault="0072781E" w:rsidP="00A530D5">
      <w:pPr>
        <w:pStyle w:val="Cov-Address"/>
      </w:pPr>
    </w:p>
    <w:p w14:paraId="7E7AD8FF" w14:textId="77777777" w:rsidR="0072781E" w:rsidRPr="002B5189" w:rsidRDefault="0072781E" w:rsidP="00A530D5">
      <w:pPr>
        <w:pStyle w:val="Cov-Author"/>
      </w:pPr>
      <w:r w:rsidRPr="002B5189">
        <w:t>National Center for Education Statistics</w:t>
      </w:r>
    </w:p>
    <w:p w14:paraId="49E3B3EF" w14:textId="77777777" w:rsidR="0072781E" w:rsidRPr="002B5189" w:rsidRDefault="0072781E" w:rsidP="006A07CD">
      <w:pPr>
        <w:pStyle w:val="Cov-Author"/>
      </w:pPr>
      <w:r w:rsidRPr="002B5189">
        <w:t>U.S. Department of Education</w:t>
      </w:r>
      <w:bookmarkEnd w:id="0"/>
      <w:bookmarkEnd w:id="1"/>
      <w:bookmarkEnd w:id="2"/>
      <w:bookmarkEnd w:id="3"/>
    </w:p>
    <w:p w14:paraId="3F7AB70F" w14:textId="77777777" w:rsidR="0072781E" w:rsidRPr="002B5189" w:rsidRDefault="0072781E" w:rsidP="00003F7F">
      <w:pPr>
        <w:pStyle w:val="Cov-Author"/>
        <w:jc w:val="left"/>
      </w:pPr>
    </w:p>
    <w:p w14:paraId="61CD8F1E" w14:textId="77777777" w:rsidR="0072781E" w:rsidRPr="002B5189" w:rsidRDefault="0072781E" w:rsidP="006A07CD">
      <w:pPr>
        <w:pStyle w:val="Cov-Author"/>
        <w:sectPr w:rsidR="0072781E" w:rsidRPr="002B5189" w:rsidSect="004C166D">
          <w:footerReference w:type="even" r:id="rId9"/>
          <w:footerReference w:type="default" r:id="rId10"/>
          <w:headerReference w:type="first" r:id="rId11"/>
          <w:type w:val="oddPage"/>
          <w:pgSz w:w="12240" w:h="15840" w:code="1"/>
          <w:pgMar w:top="1440" w:right="1440" w:bottom="1008" w:left="1440" w:header="720" w:footer="720" w:gutter="0"/>
          <w:pgNumType w:fmt="lowerRoman"/>
          <w:cols w:space="720"/>
          <w:titlePg/>
        </w:sectPr>
      </w:pPr>
    </w:p>
    <w:p w14:paraId="25F8557B" w14:textId="77777777" w:rsidR="0072781E" w:rsidRPr="002B5189" w:rsidRDefault="0072781E" w:rsidP="00A530D5">
      <w:pPr>
        <w:pStyle w:val="TOC0"/>
      </w:pPr>
      <w:bookmarkStart w:id="4" w:name="_Toc180287331"/>
      <w:bookmarkStart w:id="5" w:name="_Toc182722482"/>
      <w:r w:rsidRPr="002B5189">
        <w:lastRenderedPageBreak/>
        <w:t>Table of Contents</w:t>
      </w:r>
      <w:bookmarkEnd w:id="4"/>
      <w:bookmarkEnd w:id="5"/>
    </w:p>
    <w:p w14:paraId="42F41285" w14:textId="77777777" w:rsidR="0072781E" w:rsidRPr="002B5189" w:rsidRDefault="0072781E" w:rsidP="00A530D5">
      <w:pPr>
        <w:tabs>
          <w:tab w:val="right" w:pos="9360"/>
        </w:tabs>
        <w:rPr>
          <w:b/>
        </w:rPr>
      </w:pPr>
      <w:r w:rsidRPr="002B5189">
        <w:rPr>
          <w:b/>
        </w:rPr>
        <w:t>Section</w:t>
      </w:r>
      <w:r w:rsidRPr="002B5189">
        <w:rPr>
          <w:b/>
        </w:rPr>
        <w:tab/>
        <w:t>Page</w:t>
      </w:r>
    </w:p>
    <w:p w14:paraId="2877530E" w14:textId="77777777" w:rsidR="00A31FB7" w:rsidRDefault="00DB0295" w:rsidP="0062479C">
      <w:pPr>
        <w:pStyle w:val="TOC1"/>
        <w:tabs>
          <w:tab w:val="left" w:pos="1350"/>
        </w:tabs>
        <w:spacing w:before="40" w:after="40"/>
        <w:rPr>
          <w:rFonts w:asciiTheme="minorHAnsi" w:eastAsiaTheme="minorEastAsia" w:hAnsiTheme="minorHAnsi" w:cstheme="minorBidi"/>
          <w:sz w:val="22"/>
          <w:szCs w:val="22"/>
        </w:rPr>
      </w:pPr>
      <w:r w:rsidRPr="002B5189">
        <w:fldChar w:fldCharType="begin"/>
      </w:r>
      <w:r w:rsidR="0072781E" w:rsidRPr="002B5189">
        <w:instrText xml:space="preserve"> TOC \h \z \t "Heading 1,1,Heading 2,2,Heading 3,3,Heading 1 Caps,1" </w:instrText>
      </w:r>
      <w:r w:rsidRPr="002B5189">
        <w:fldChar w:fldCharType="separate"/>
      </w:r>
      <w:hyperlink w:anchor="_Toc403397622" w:history="1">
        <w:r w:rsidR="00A31FB7" w:rsidRPr="00206DA0">
          <w:rPr>
            <w:rStyle w:val="Hyperlink"/>
          </w:rPr>
          <w:t>A.</w:t>
        </w:r>
        <w:r w:rsidR="00A31FB7">
          <w:rPr>
            <w:rFonts w:asciiTheme="minorHAnsi" w:eastAsiaTheme="minorEastAsia" w:hAnsiTheme="minorHAnsi" w:cstheme="minorBidi"/>
            <w:sz w:val="22"/>
            <w:szCs w:val="22"/>
          </w:rPr>
          <w:tab/>
        </w:r>
        <w:r w:rsidR="00A31FB7" w:rsidRPr="00206DA0">
          <w:rPr>
            <w:rStyle w:val="Hyperlink"/>
          </w:rPr>
          <w:t>Justification</w:t>
        </w:r>
        <w:r w:rsidR="00A31FB7">
          <w:rPr>
            <w:webHidden/>
          </w:rPr>
          <w:tab/>
        </w:r>
        <w:r w:rsidR="00A31FB7">
          <w:rPr>
            <w:webHidden/>
          </w:rPr>
          <w:fldChar w:fldCharType="begin"/>
        </w:r>
        <w:r w:rsidR="00A31FB7">
          <w:rPr>
            <w:webHidden/>
          </w:rPr>
          <w:instrText xml:space="preserve"> PAGEREF _Toc403397622 \h </w:instrText>
        </w:r>
        <w:r w:rsidR="00A31FB7">
          <w:rPr>
            <w:webHidden/>
          </w:rPr>
        </w:r>
        <w:r w:rsidR="00A31FB7">
          <w:rPr>
            <w:webHidden/>
          </w:rPr>
          <w:fldChar w:fldCharType="separate"/>
        </w:r>
        <w:r w:rsidR="001B1352">
          <w:rPr>
            <w:webHidden/>
          </w:rPr>
          <w:t>1</w:t>
        </w:r>
        <w:r w:rsidR="00A31FB7">
          <w:rPr>
            <w:webHidden/>
          </w:rPr>
          <w:fldChar w:fldCharType="end"/>
        </w:r>
      </w:hyperlink>
    </w:p>
    <w:p w14:paraId="04BA18A8" w14:textId="77777777" w:rsidR="00A31FB7" w:rsidRDefault="00C5625F" w:rsidP="0062479C">
      <w:pPr>
        <w:pStyle w:val="TOC2"/>
        <w:tabs>
          <w:tab w:val="left" w:pos="1350"/>
        </w:tabs>
        <w:spacing w:before="40" w:after="40"/>
        <w:rPr>
          <w:rFonts w:asciiTheme="minorHAnsi" w:eastAsiaTheme="minorEastAsia" w:hAnsiTheme="minorHAnsi" w:cstheme="minorBidi"/>
          <w:sz w:val="22"/>
          <w:szCs w:val="22"/>
        </w:rPr>
      </w:pPr>
      <w:hyperlink w:anchor="_Toc403397623" w:history="1">
        <w:r w:rsidR="00A31FB7" w:rsidRPr="00206DA0">
          <w:rPr>
            <w:rStyle w:val="Hyperlink"/>
          </w:rPr>
          <w:t>A.1</w:t>
        </w:r>
        <w:r w:rsidR="00A31FB7">
          <w:rPr>
            <w:rFonts w:asciiTheme="minorHAnsi" w:eastAsiaTheme="minorEastAsia" w:hAnsiTheme="minorHAnsi" w:cstheme="minorBidi"/>
            <w:sz w:val="22"/>
            <w:szCs w:val="22"/>
          </w:rPr>
          <w:tab/>
        </w:r>
        <w:r w:rsidR="00A31FB7" w:rsidRPr="00206DA0">
          <w:rPr>
            <w:rStyle w:val="Hyperlink"/>
          </w:rPr>
          <w:t>Circumstances Necessitating Collection of Information</w:t>
        </w:r>
        <w:r w:rsidR="00A31FB7">
          <w:rPr>
            <w:webHidden/>
          </w:rPr>
          <w:tab/>
        </w:r>
        <w:r w:rsidR="00A31FB7">
          <w:rPr>
            <w:webHidden/>
          </w:rPr>
          <w:fldChar w:fldCharType="begin"/>
        </w:r>
        <w:r w:rsidR="00A31FB7">
          <w:rPr>
            <w:webHidden/>
          </w:rPr>
          <w:instrText xml:space="preserve"> PAGEREF _Toc403397623 \h </w:instrText>
        </w:r>
        <w:r w:rsidR="00A31FB7">
          <w:rPr>
            <w:webHidden/>
          </w:rPr>
        </w:r>
        <w:r w:rsidR="00A31FB7">
          <w:rPr>
            <w:webHidden/>
          </w:rPr>
          <w:fldChar w:fldCharType="separate"/>
        </w:r>
        <w:r w:rsidR="001B1352">
          <w:rPr>
            <w:webHidden/>
          </w:rPr>
          <w:t>1</w:t>
        </w:r>
        <w:r w:rsidR="00A31FB7">
          <w:rPr>
            <w:webHidden/>
          </w:rPr>
          <w:fldChar w:fldCharType="end"/>
        </w:r>
      </w:hyperlink>
    </w:p>
    <w:p w14:paraId="72508CF7" w14:textId="77777777" w:rsidR="00A31FB7" w:rsidRDefault="00C5625F" w:rsidP="0062479C">
      <w:pPr>
        <w:pStyle w:val="TOC3"/>
        <w:tabs>
          <w:tab w:val="left" w:pos="2340"/>
        </w:tabs>
        <w:spacing w:before="40"/>
        <w:rPr>
          <w:rFonts w:asciiTheme="minorHAnsi" w:eastAsiaTheme="minorEastAsia" w:hAnsiTheme="minorHAnsi" w:cstheme="minorBidi"/>
          <w:sz w:val="22"/>
          <w:szCs w:val="22"/>
        </w:rPr>
      </w:pPr>
      <w:hyperlink w:anchor="_Toc403397624" w:history="1">
        <w:r w:rsidR="00A31FB7" w:rsidRPr="00206DA0">
          <w:rPr>
            <w:rStyle w:val="Hyperlink"/>
          </w:rPr>
          <w:t>A.1.a</w:t>
        </w:r>
        <w:r w:rsidR="00A31FB7">
          <w:rPr>
            <w:rFonts w:asciiTheme="minorHAnsi" w:eastAsiaTheme="minorEastAsia" w:hAnsiTheme="minorHAnsi" w:cstheme="minorBidi"/>
            <w:sz w:val="22"/>
            <w:szCs w:val="22"/>
          </w:rPr>
          <w:tab/>
        </w:r>
        <w:r w:rsidR="00A31FB7" w:rsidRPr="00206DA0">
          <w:rPr>
            <w:rStyle w:val="Hyperlink"/>
          </w:rPr>
          <w:t>Purpose of This Submission</w:t>
        </w:r>
        <w:r w:rsidR="00A31FB7">
          <w:rPr>
            <w:webHidden/>
          </w:rPr>
          <w:tab/>
        </w:r>
        <w:r w:rsidR="00A31FB7">
          <w:rPr>
            <w:webHidden/>
          </w:rPr>
          <w:fldChar w:fldCharType="begin"/>
        </w:r>
        <w:r w:rsidR="00A31FB7">
          <w:rPr>
            <w:webHidden/>
          </w:rPr>
          <w:instrText xml:space="preserve"> PAGEREF _Toc403397624 \h </w:instrText>
        </w:r>
        <w:r w:rsidR="00A31FB7">
          <w:rPr>
            <w:webHidden/>
          </w:rPr>
        </w:r>
        <w:r w:rsidR="00A31FB7">
          <w:rPr>
            <w:webHidden/>
          </w:rPr>
          <w:fldChar w:fldCharType="separate"/>
        </w:r>
        <w:r w:rsidR="001B1352">
          <w:rPr>
            <w:webHidden/>
          </w:rPr>
          <w:t>1</w:t>
        </w:r>
        <w:r w:rsidR="00A31FB7">
          <w:rPr>
            <w:webHidden/>
          </w:rPr>
          <w:fldChar w:fldCharType="end"/>
        </w:r>
      </w:hyperlink>
    </w:p>
    <w:p w14:paraId="173CD8D1" w14:textId="77777777" w:rsidR="00A31FB7" w:rsidRDefault="00C5625F" w:rsidP="0062479C">
      <w:pPr>
        <w:pStyle w:val="TOC3"/>
        <w:tabs>
          <w:tab w:val="left" w:pos="2340"/>
        </w:tabs>
        <w:spacing w:before="40"/>
        <w:rPr>
          <w:rFonts w:asciiTheme="minorHAnsi" w:eastAsiaTheme="minorEastAsia" w:hAnsiTheme="minorHAnsi" w:cstheme="minorBidi"/>
          <w:sz w:val="22"/>
          <w:szCs w:val="22"/>
        </w:rPr>
      </w:pPr>
      <w:hyperlink w:anchor="_Toc403397625" w:history="1">
        <w:r w:rsidR="00A31FB7" w:rsidRPr="00206DA0">
          <w:rPr>
            <w:rStyle w:val="Hyperlink"/>
          </w:rPr>
          <w:t>A.1.b</w:t>
        </w:r>
        <w:r w:rsidR="00A31FB7">
          <w:rPr>
            <w:rFonts w:asciiTheme="minorHAnsi" w:eastAsiaTheme="minorEastAsia" w:hAnsiTheme="minorHAnsi" w:cstheme="minorBidi"/>
            <w:sz w:val="22"/>
            <w:szCs w:val="22"/>
          </w:rPr>
          <w:tab/>
        </w:r>
        <w:r w:rsidR="00A31FB7" w:rsidRPr="00206DA0">
          <w:rPr>
            <w:rStyle w:val="Hyperlink"/>
          </w:rPr>
          <w:t>Legislative Authorization</w:t>
        </w:r>
        <w:r w:rsidR="00A31FB7">
          <w:rPr>
            <w:webHidden/>
          </w:rPr>
          <w:tab/>
        </w:r>
        <w:r w:rsidR="00A31FB7">
          <w:rPr>
            <w:webHidden/>
          </w:rPr>
          <w:fldChar w:fldCharType="begin"/>
        </w:r>
        <w:r w:rsidR="00A31FB7">
          <w:rPr>
            <w:webHidden/>
          </w:rPr>
          <w:instrText xml:space="preserve"> PAGEREF _Toc403397625 \h </w:instrText>
        </w:r>
        <w:r w:rsidR="00A31FB7">
          <w:rPr>
            <w:webHidden/>
          </w:rPr>
        </w:r>
        <w:r w:rsidR="00A31FB7">
          <w:rPr>
            <w:webHidden/>
          </w:rPr>
          <w:fldChar w:fldCharType="separate"/>
        </w:r>
        <w:r w:rsidR="001B1352">
          <w:rPr>
            <w:webHidden/>
          </w:rPr>
          <w:t>3</w:t>
        </w:r>
        <w:r w:rsidR="00A31FB7">
          <w:rPr>
            <w:webHidden/>
          </w:rPr>
          <w:fldChar w:fldCharType="end"/>
        </w:r>
      </w:hyperlink>
    </w:p>
    <w:p w14:paraId="145691C9" w14:textId="77777777" w:rsidR="00A31FB7" w:rsidRDefault="00C5625F" w:rsidP="0062479C">
      <w:pPr>
        <w:pStyle w:val="TOC3"/>
        <w:tabs>
          <w:tab w:val="left" w:pos="2340"/>
        </w:tabs>
        <w:spacing w:before="40"/>
        <w:rPr>
          <w:rFonts w:asciiTheme="minorHAnsi" w:eastAsiaTheme="minorEastAsia" w:hAnsiTheme="minorHAnsi" w:cstheme="minorBidi"/>
          <w:sz w:val="22"/>
          <w:szCs w:val="22"/>
        </w:rPr>
      </w:pPr>
      <w:hyperlink w:anchor="_Toc403397626" w:history="1">
        <w:r w:rsidR="00A31FB7" w:rsidRPr="00206DA0">
          <w:rPr>
            <w:rStyle w:val="Hyperlink"/>
          </w:rPr>
          <w:t>A.1.c</w:t>
        </w:r>
        <w:r w:rsidR="00A31FB7">
          <w:rPr>
            <w:rFonts w:asciiTheme="minorHAnsi" w:eastAsiaTheme="minorEastAsia" w:hAnsiTheme="minorHAnsi" w:cstheme="minorBidi"/>
            <w:sz w:val="22"/>
            <w:szCs w:val="22"/>
          </w:rPr>
          <w:tab/>
        </w:r>
        <w:r w:rsidR="00A31FB7" w:rsidRPr="00206DA0">
          <w:rPr>
            <w:rStyle w:val="Hyperlink"/>
          </w:rPr>
          <w:t>Prior and Related Studies</w:t>
        </w:r>
        <w:r w:rsidR="00A31FB7">
          <w:rPr>
            <w:webHidden/>
          </w:rPr>
          <w:tab/>
        </w:r>
        <w:r w:rsidR="00A31FB7">
          <w:rPr>
            <w:webHidden/>
          </w:rPr>
          <w:fldChar w:fldCharType="begin"/>
        </w:r>
        <w:r w:rsidR="00A31FB7">
          <w:rPr>
            <w:webHidden/>
          </w:rPr>
          <w:instrText xml:space="preserve"> PAGEREF _Toc403397626 \h </w:instrText>
        </w:r>
        <w:r w:rsidR="00A31FB7">
          <w:rPr>
            <w:webHidden/>
          </w:rPr>
        </w:r>
        <w:r w:rsidR="00A31FB7">
          <w:rPr>
            <w:webHidden/>
          </w:rPr>
          <w:fldChar w:fldCharType="separate"/>
        </w:r>
        <w:r w:rsidR="001B1352">
          <w:rPr>
            <w:webHidden/>
          </w:rPr>
          <w:t>3</w:t>
        </w:r>
        <w:r w:rsidR="00A31FB7">
          <w:rPr>
            <w:webHidden/>
          </w:rPr>
          <w:fldChar w:fldCharType="end"/>
        </w:r>
      </w:hyperlink>
    </w:p>
    <w:p w14:paraId="582386E9" w14:textId="77777777" w:rsidR="00A31FB7" w:rsidRDefault="00C5625F" w:rsidP="0062479C">
      <w:pPr>
        <w:pStyle w:val="TOC2"/>
        <w:tabs>
          <w:tab w:val="left" w:pos="1350"/>
        </w:tabs>
        <w:spacing w:before="40" w:after="40"/>
        <w:rPr>
          <w:rFonts w:asciiTheme="minorHAnsi" w:eastAsiaTheme="minorEastAsia" w:hAnsiTheme="minorHAnsi" w:cstheme="minorBidi"/>
          <w:sz w:val="22"/>
          <w:szCs w:val="22"/>
        </w:rPr>
      </w:pPr>
      <w:hyperlink w:anchor="_Toc403397627" w:history="1">
        <w:r w:rsidR="00A31FB7" w:rsidRPr="00206DA0">
          <w:rPr>
            <w:rStyle w:val="Hyperlink"/>
          </w:rPr>
          <w:t>A.2</w:t>
        </w:r>
        <w:r w:rsidR="00A31FB7">
          <w:rPr>
            <w:rFonts w:asciiTheme="minorHAnsi" w:eastAsiaTheme="minorEastAsia" w:hAnsiTheme="minorHAnsi" w:cstheme="minorBidi"/>
            <w:sz w:val="22"/>
            <w:szCs w:val="22"/>
          </w:rPr>
          <w:tab/>
        </w:r>
        <w:r w:rsidR="00A31FB7" w:rsidRPr="00206DA0">
          <w:rPr>
            <w:rStyle w:val="Hyperlink"/>
          </w:rPr>
          <w:t>Purpose and Use of Information Collection</w:t>
        </w:r>
        <w:r w:rsidR="00A31FB7">
          <w:rPr>
            <w:webHidden/>
          </w:rPr>
          <w:tab/>
        </w:r>
        <w:r w:rsidR="00A31FB7">
          <w:rPr>
            <w:webHidden/>
          </w:rPr>
          <w:fldChar w:fldCharType="begin"/>
        </w:r>
        <w:r w:rsidR="00A31FB7">
          <w:rPr>
            <w:webHidden/>
          </w:rPr>
          <w:instrText xml:space="preserve"> PAGEREF _Toc403397627 \h </w:instrText>
        </w:r>
        <w:r w:rsidR="00A31FB7">
          <w:rPr>
            <w:webHidden/>
          </w:rPr>
        </w:r>
        <w:r w:rsidR="00A31FB7">
          <w:rPr>
            <w:webHidden/>
          </w:rPr>
          <w:fldChar w:fldCharType="separate"/>
        </w:r>
        <w:r w:rsidR="001B1352">
          <w:rPr>
            <w:webHidden/>
          </w:rPr>
          <w:t>4</w:t>
        </w:r>
        <w:r w:rsidR="00A31FB7">
          <w:rPr>
            <w:webHidden/>
          </w:rPr>
          <w:fldChar w:fldCharType="end"/>
        </w:r>
      </w:hyperlink>
    </w:p>
    <w:p w14:paraId="65FB9001" w14:textId="77777777" w:rsidR="00A31FB7" w:rsidRDefault="00C5625F" w:rsidP="0062479C">
      <w:pPr>
        <w:pStyle w:val="TOC3"/>
        <w:tabs>
          <w:tab w:val="left" w:pos="2340"/>
        </w:tabs>
        <w:spacing w:before="40"/>
        <w:rPr>
          <w:rFonts w:asciiTheme="minorHAnsi" w:eastAsiaTheme="minorEastAsia" w:hAnsiTheme="minorHAnsi" w:cstheme="minorBidi"/>
          <w:sz w:val="22"/>
          <w:szCs w:val="22"/>
        </w:rPr>
      </w:pPr>
      <w:hyperlink w:anchor="_Toc403397628" w:history="1">
        <w:r w:rsidR="00A31FB7" w:rsidRPr="00206DA0">
          <w:rPr>
            <w:rStyle w:val="Hyperlink"/>
          </w:rPr>
          <w:t>A.2.a</w:t>
        </w:r>
        <w:r w:rsidR="00A31FB7">
          <w:rPr>
            <w:rFonts w:asciiTheme="minorHAnsi" w:eastAsiaTheme="minorEastAsia" w:hAnsiTheme="minorHAnsi" w:cstheme="minorBidi"/>
            <w:sz w:val="22"/>
            <w:szCs w:val="22"/>
          </w:rPr>
          <w:tab/>
        </w:r>
        <w:r w:rsidR="00A31FB7" w:rsidRPr="00206DA0">
          <w:rPr>
            <w:rStyle w:val="Hyperlink"/>
          </w:rPr>
          <w:t>Content Justifications</w:t>
        </w:r>
        <w:r w:rsidR="00A31FB7">
          <w:rPr>
            <w:webHidden/>
          </w:rPr>
          <w:tab/>
        </w:r>
        <w:r w:rsidR="00A31FB7">
          <w:rPr>
            <w:webHidden/>
          </w:rPr>
          <w:fldChar w:fldCharType="begin"/>
        </w:r>
        <w:r w:rsidR="00A31FB7">
          <w:rPr>
            <w:webHidden/>
          </w:rPr>
          <w:instrText xml:space="preserve"> PAGEREF _Toc403397628 \h </w:instrText>
        </w:r>
        <w:r w:rsidR="00A31FB7">
          <w:rPr>
            <w:webHidden/>
          </w:rPr>
        </w:r>
        <w:r w:rsidR="00A31FB7">
          <w:rPr>
            <w:webHidden/>
          </w:rPr>
          <w:fldChar w:fldCharType="separate"/>
        </w:r>
        <w:r w:rsidR="001B1352">
          <w:rPr>
            <w:webHidden/>
          </w:rPr>
          <w:t>7</w:t>
        </w:r>
        <w:r w:rsidR="00A31FB7">
          <w:rPr>
            <w:webHidden/>
          </w:rPr>
          <w:fldChar w:fldCharType="end"/>
        </w:r>
      </w:hyperlink>
    </w:p>
    <w:p w14:paraId="7ED05DC3" w14:textId="77777777" w:rsidR="00A31FB7" w:rsidRDefault="00C5625F" w:rsidP="0062479C">
      <w:pPr>
        <w:pStyle w:val="TOC2"/>
        <w:tabs>
          <w:tab w:val="left" w:pos="1350"/>
        </w:tabs>
        <w:spacing w:before="40" w:after="40"/>
        <w:rPr>
          <w:rFonts w:asciiTheme="minorHAnsi" w:eastAsiaTheme="minorEastAsia" w:hAnsiTheme="minorHAnsi" w:cstheme="minorBidi"/>
          <w:sz w:val="22"/>
          <w:szCs w:val="22"/>
        </w:rPr>
      </w:pPr>
      <w:hyperlink w:anchor="_Toc403397629" w:history="1">
        <w:r w:rsidR="00A31FB7" w:rsidRPr="00206DA0">
          <w:rPr>
            <w:rStyle w:val="Hyperlink"/>
          </w:rPr>
          <w:t>A.3</w:t>
        </w:r>
        <w:r w:rsidR="00A31FB7">
          <w:rPr>
            <w:rFonts w:asciiTheme="minorHAnsi" w:eastAsiaTheme="minorEastAsia" w:hAnsiTheme="minorHAnsi" w:cstheme="minorBidi"/>
            <w:sz w:val="22"/>
            <w:szCs w:val="22"/>
          </w:rPr>
          <w:tab/>
        </w:r>
        <w:r w:rsidR="00A31FB7" w:rsidRPr="00206DA0">
          <w:rPr>
            <w:rStyle w:val="Hyperlink"/>
          </w:rPr>
          <w:t>Use of Improved Information Technology</w:t>
        </w:r>
        <w:r w:rsidR="00A31FB7">
          <w:rPr>
            <w:webHidden/>
          </w:rPr>
          <w:tab/>
        </w:r>
        <w:r w:rsidR="00A31FB7">
          <w:rPr>
            <w:webHidden/>
          </w:rPr>
          <w:fldChar w:fldCharType="begin"/>
        </w:r>
        <w:r w:rsidR="00A31FB7">
          <w:rPr>
            <w:webHidden/>
          </w:rPr>
          <w:instrText xml:space="preserve"> PAGEREF _Toc403397629 \h </w:instrText>
        </w:r>
        <w:r w:rsidR="00A31FB7">
          <w:rPr>
            <w:webHidden/>
          </w:rPr>
        </w:r>
        <w:r w:rsidR="00A31FB7">
          <w:rPr>
            <w:webHidden/>
          </w:rPr>
          <w:fldChar w:fldCharType="separate"/>
        </w:r>
        <w:r w:rsidR="001B1352">
          <w:rPr>
            <w:webHidden/>
          </w:rPr>
          <w:t>13</w:t>
        </w:r>
        <w:r w:rsidR="00A31FB7">
          <w:rPr>
            <w:webHidden/>
          </w:rPr>
          <w:fldChar w:fldCharType="end"/>
        </w:r>
      </w:hyperlink>
    </w:p>
    <w:p w14:paraId="1AA9F528" w14:textId="77777777" w:rsidR="00A31FB7" w:rsidRDefault="00C5625F" w:rsidP="0062479C">
      <w:pPr>
        <w:pStyle w:val="TOC3"/>
        <w:spacing w:before="40"/>
        <w:rPr>
          <w:rFonts w:asciiTheme="minorHAnsi" w:eastAsiaTheme="minorEastAsia" w:hAnsiTheme="minorHAnsi" w:cstheme="minorBidi"/>
          <w:sz w:val="22"/>
          <w:szCs w:val="22"/>
        </w:rPr>
      </w:pPr>
      <w:hyperlink w:anchor="_Toc403397630" w:history="1">
        <w:r w:rsidR="00A31FB7" w:rsidRPr="00206DA0">
          <w:rPr>
            <w:rStyle w:val="Hyperlink"/>
          </w:rPr>
          <w:t>A.3.a</w:t>
        </w:r>
        <w:r w:rsidR="00BA0D27">
          <w:rPr>
            <w:rStyle w:val="Hyperlink"/>
          </w:rPr>
          <w:t xml:space="preserve"> </w:t>
        </w:r>
        <w:r w:rsidR="00A31FB7" w:rsidRPr="00206DA0">
          <w:rPr>
            <w:rStyle w:val="Hyperlink"/>
          </w:rPr>
          <w:t>Postsecondary Transcripts:</w:t>
        </w:r>
        <w:r w:rsidR="00BA0D27">
          <w:rPr>
            <w:rStyle w:val="Hyperlink"/>
          </w:rPr>
          <w:t xml:space="preserve"> </w:t>
        </w:r>
        <w:r w:rsidR="00A31FB7" w:rsidRPr="00206DA0">
          <w:rPr>
            <w:rStyle w:val="Hyperlink"/>
          </w:rPr>
          <w:t>HSLS:09 PETS</w:t>
        </w:r>
        <w:r w:rsidR="00A31FB7">
          <w:rPr>
            <w:webHidden/>
          </w:rPr>
          <w:tab/>
        </w:r>
        <w:r w:rsidR="00A31FB7">
          <w:rPr>
            <w:webHidden/>
          </w:rPr>
          <w:fldChar w:fldCharType="begin"/>
        </w:r>
        <w:r w:rsidR="00A31FB7">
          <w:rPr>
            <w:webHidden/>
          </w:rPr>
          <w:instrText xml:space="preserve"> PAGEREF _Toc403397630 \h </w:instrText>
        </w:r>
        <w:r w:rsidR="00A31FB7">
          <w:rPr>
            <w:webHidden/>
          </w:rPr>
        </w:r>
        <w:r w:rsidR="00A31FB7">
          <w:rPr>
            <w:webHidden/>
          </w:rPr>
          <w:fldChar w:fldCharType="separate"/>
        </w:r>
        <w:r w:rsidR="001B1352">
          <w:rPr>
            <w:webHidden/>
          </w:rPr>
          <w:t>14</w:t>
        </w:r>
        <w:r w:rsidR="00A31FB7">
          <w:rPr>
            <w:webHidden/>
          </w:rPr>
          <w:fldChar w:fldCharType="end"/>
        </w:r>
      </w:hyperlink>
    </w:p>
    <w:p w14:paraId="052EC7FE" w14:textId="77777777" w:rsidR="00A31FB7" w:rsidRDefault="00C5625F" w:rsidP="0062479C">
      <w:pPr>
        <w:pStyle w:val="TOC3"/>
        <w:spacing w:before="40"/>
        <w:rPr>
          <w:rFonts w:asciiTheme="minorHAnsi" w:eastAsiaTheme="minorEastAsia" w:hAnsiTheme="minorHAnsi" w:cstheme="minorBidi"/>
          <w:sz w:val="22"/>
          <w:szCs w:val="22"/>
        </w:rPr>
      </w:pPr>
      <w:hyperlink w:anchor="_Toc403397631" w:history="1">
        <w:r w:rsidR="00A31FB7" w:rsidRPr="00206DA0">
          <w:rPr>
            <w:rStyle w:val="Hyperlink"/>
          </w:rPr>
          <w:t>A.3.b.</w:t>
        </w:r>
        <w:r w:rsidR="00BA0D27">
          <w:rPr>
            <w:rStyle w:val="Hyperlink"/>
          </w:rPr>
          <w:t xml:space="preserve"> </w:t>
        </w:r>
        <w:r w:rsidR="00A31FB7" w:rsidRPr="00206DA0">
          <w:rPr>
            <w:rStyle w:val="Hyperlink"/>
          </w:rPr>
          <w:t>Financial Aid Records Collection:</w:t>
        </w:r>
        <w:r w:rsidR="00BA0D27">
          <w:rPr>
            <w:rStyle w:val="Hyperlink"/>
          </w:rPr>
          <w:t xml:space="preserve"> </w:t>
        </w:r>
        <w:r w:rsidR="00A31FB7" w:rsidRPr="00206DA0">
          <w:rPr>
            <w:rStyle w:val="Hyperlink"/>
          </w:rPr>
          <w:t>HSLS:09 FAR</w:t>
        </w:r>
        <w:r w:rsidR="00A31FB7">
          <w:rPr>
            <w:webHidden/>
          </w:rPr>
          <w:tab/>
        </w:r>
        <w:r w:rsidR="00A31FB7">
          <w:rPr>
            <w:webHidden/>
          </w:rPr>
          <w:fldChar w:fldCharType="begin"/>
        </w:r>
        <w:r w:rsidR="00A31FB7">
          <w:rPr>
            <w:webHidden/>
          </w:rPr>
          <w:instrText xml:space="preserve"> PAGEREF _Toc403397631 \h </w:instrText>
        </w:r>
        <w:r w:rsidR="00A31FB7">
          <w:rPr>
            <w:webHidden/>
          </w:rPr>
        </w:r>
        <w:r w:rsidR="00A31FB7">
          <w:rPr>
            <w:webHidden/>
          </w:rPr>
          <w:fldChar w:fldCharType="separate"/>
        </w:r>
        <w:r w:rsidR="001B1352">
          <w:rPr>
            <w:webHidden/>
          </w:rPr>
          <w:t>14</w:t>
        </w:r>
        <w:r w:rsidR="00A31FB7">
          <w:rPr>
            <w:webHidden/>
          </w:rPr>
          <w:fldChar w:fldCharType="end"/>
        </w:r>
      </w:hyperlink>
    </w:p>
    <w:p w14:paraId="6EBB012F" w14:textId="77777777" w:rsidR="00A31FB7" w:rsidRDefault="00C5625F" w:rsidP="0062479C">
      <w:pPr>
        <w:pStyle w:val="TOC2"/>
        <w:tabs>
          <w:tab w:val="left" w:pos="1350"/>
        </w:tabs>
        <w:spacing w:before="40" w:after="40"/>
        <w:rPr>
          <w:rFonts w:asciiTheme="minorHAnsi" w:eastAsiaTheme="minorEastAsia" w:hAnsiTheme="minorHAnsi" w:cstheme="minorBidi"/>
          <w:sz w:val="22"/>
          <w:szCs w:val="22"/>
        </w:rPr>
      </w:pPr>
      <w:hyperlink w:anchor="_Toc403397632" w:history="1">
        <w:r w:rsidR="00A31FB7" w:rsidRPr="00206DA0">
          <w:rPr>
            <w:rStyle w:val="Hyperlink"/>
          </w:rPr>
          <w:t>A.4</w:t>
        </w:r>
        <w:r w:rsidR="00A31FB7">
          <w:rPr>
            <w:rFonts w:asciiTheme="minorHAnsi" w:eastAsiaTheme="minorEastAsia" w:hAnsiTheme="minorHAnsi" w:cstheme="minorBidi"/>
            <w:sz w:val="22"/>
            <w:szCs w:val="22"/>
          </w:rPr>
          <w:tab/>
        </w:r>
        <w:r w:rsidR="00A31FB7" w:rsidRPr="00206DA0">
          <w:rPr>
            <w:rStyle w:val="Hyperlink"/>
          </w:rPr>
          <w:t>Efforts to Identify Duplication and Use of Similar Information</w:t>
        </w:r>
        <w:r w:rsidR="00A31FB7">
          <w:rPr>
            <w:webHidden/>
          </w:rPr>
          <w:tab/>
        </w:r>
        <w:r w:rsidR="00A31FB7">
          <w:rPr>
            <w:webHidden/>
          </w:rPr>
          <w:fldChar w:fldCharType="begin"/>
        </w:r>
        <w:r w:rsidR="00A31FB7">
          <w:rPr>
            <w:webHidden/>
          </w:rPr>
          <w:instrText xml:space="preserve"> PAGEREF _Toc403397632 \h </w:instrText>
        </w:r>
        <w:r w:rsidR="00A31FB7">
          <w:rPr>
            <w:webHidden/>
          </w:rPr>
        </w:r>
        <w:r w:rsidR="00A31FB7">
          <w:rPr>
            <w:webHidden/>
          </w:rPr>
          <w:fldChar w:fldCharType="separate"/>
        </w:r>
        <w:r w:rsidR="001B1352">
          <w:rPr>
            <w:webHidden/>
          </w:rPr>
          <w:t>15</w:t>
        </w:r>
        <w:r w:rsidR="00A31FB7">
          <w:rPr>
            <w:webHidden/>
          </w:rPr>
          <w:fldChar w:fldCharType="end"/>
        </w:r>
      </w:hyperlink>
    </w:p>
    <w:p w14:paraId="172964D5" w14:textId="77777777" w:rsidR="00A31FB7" w:rsidRDefault="00C5625F" w:rsidP="0062479C">
      <w:pPr>
        <w:pStyle w:val="TOC2"/>
        <w:tabs>
          <w:tab w:val="left" w:pos="1350"/>
        </w:tabs>
        <w:spacing w:before="40" w:after="40"/>
        <w:rPr>
          <w:rFonts w:asciiTheme="minorHAnsi" w:eastAsiaTheme="minorEastAsia" w:hAnsiTheme="minorHAnsi" w:cstheme="minorBidi"/>
          <w:sz w:val="22"/>
          <w:szCs w:val="22"/>
        </w:rPr>
      </w:pPr>
      <w:hyperlink w:anchor="_Toc403397633" w:history="1">
        <w:r w:rsidR="00A31FB7" w:rsidRPr="00206DA0">
          <w:rPr>
            <w:rStyle w:val="Hyperlink"/>
          </w:rPr>
          <w:t>A.5</w:t>
        </w:r>
        <w:r w:rsidR="00A31FB7">
          <w:rPr>
            <w:rFonts w:asciiTheme="minorHAnsi" w:eastAsiaTheme="minorEastAsia" w:hAnsiTheme="minorHAnsi" w:cstheme="minorBidi"/>
            <w:sz w:val="22"/>
            <w:szCs w:val="22"/>
          </w:rPr>
          <w:tab/>
        </w:r>
        <w:r w:rsidR="00A31FB7" w:rsidRPr="00206DA0">
          <w:rPr>
            <w:rStyle w:val="Hyperlink"/>
          </w:rPr>
          <w:t>Impact on Small Businesses or Other Small Entities</w:t>
        </w:r>
        <w:r w:rsidR="00A31FB7">
          <w:rPr>
            <w:webHidden/>
          </w:rPr>
          <w:tab/>
        </w:r>
        <w:r w:rsidR="00A31FB7">
          <w:rPr>
            <w:webHidden/>
          </w:rPr>
          <w:fldChar w:fldCharType="begin"/>
        </w:r>
        <w:r w:rsidR="00A31FB7">
          <w:rPr>
            <w:webHidden/>
          </w:rPr>
          <w:instrText xml:space="preserve"> PAGEREF _Toc403397633 \h </w:instrText>
        </w:r>
        <w:r w:rsidR="00A31FB7">
          <w:rPr>
            <w:webHidden/>
          </w:rPr>
        </w:r>
        <w:r w:rsidR="00A31FB7">
          <w:rPr>
            <w:webHidden/>
          </w:rPr>
          <w:fldChar w:fldCharType="separate"/>
        </w:r>
        <w:r w:rsidR="001B1352">
          <w:rPr>
            <w:webHidden/>
          </w:rPr>
          <w:t>16</w:t>
        </w:r>
        <w:r w:rsidR="00A31FB7">
          <w:rPr>
            <w:webHidden/>
          </w:rPr>
          <w:fldChar w:fldCharType="end"/>
        </w:r>
      </w:hyperlink>
    </w:p>
    <w:p w14:paraId="2A0E037E" w14:textId="77777777" w:rsidR="00A31FB7" w:rsidRDefault="00C5625F" w:rsidP="0062479C">
      <w:pPr>
        <w:pStyle w:val="TOC2"/>
        <w:tabs>
          <w:tab w:val="left" w:pos="1350"/>
        </w:tabs>
        <w:spacing w:before="40" w:after="40"/>
        <w:rPr>
          <w:rFonts w:asciiTheme="minorHAnsi" w:eastAsiaTheme="minorEastAsia" w:hAnsiTheme="minorHAnsi" w:cstheme="minorBidi"/>
          <w:sz w:val="22"/>
          <w:szCs w:val="22"/>
        </w:rPr>
      </w:pPr>
      <w:hyperlink w:anchor="_Toc403397634" w:history="1">
        <w:r w:rsidR="00A31FB7" w:rsidRPr="00206DA0">
          <w:rPr>
            <w:rStyle w:val="Hyperlink"/>
          </w:rPr>
          <w:t>A.6</w:t>
        </w:r>
        <w:r w:rsidR="00A31FB7">
          <w:rPr>
            <w:rFonts w:asciiTheme="minorHAnsi" w:eastAsiaTheme="minorEastAsia" w:hAnsiTheme="minorHAnsi" w:cstheme="minorBidi"/>
            <w:sz w:val="22"/>
            <w:szCs w:val="22"/>
          </w:rPr>
          <w:tab/>
        </w:r>
        <w:r w:rsidR="00A31FB7" w:rsidRPr="00206DA0">
          <w:rPr>
            <w:rStyle w:val="Hyperlink"/>
          </w:rPr>
          <w:t>Consequences of Collecting the Information Less Frequently</w:t>
        </w:r>
        <w:r w:rsidR="00A31FB7">
          <w:rPr>
            <w:webHidden/>
          </w:rPr>
          <w:tab/>
        </w:r>
        <w:r w:rsidR="00A31FB7">
          <w:rPr>
            <w:webHidden/>
          </w:rPr>
          <w:fldChar w:fldCharType="begin"/>
        </w:r>
        <w:r w:rsidR="00A31FB7">
          <w:rPr>
            <w:webHidden/>
          </w:rPr>
          <w:instrText xml:space="preserve"> PAGEREF _Toc403397634 \h </w:instrText>
        </w:r>
        <w:r w:rsidR="00A31FB7">
          <w:rPr>
            <w:webHidden/>
          </w:rPr>
        </w:r>
        <w:r w:rsidR="00A31FB7">
          <w:rPr>
            <w:webHidden/>
          </w:rPr>
          <w:fldChar w:fldCharType="separate"/>
        </w:r>
        <w:r w:rsidR="001B1352">
          <w:rPr>
            <w:webHidden/>
          </w:rPr>
          <w:t>17</w:t>
        </w:r>
        <w:r w:rsidR="00A31FB7">
          <w:rPr>
            <w:webHidden/>
          </w:rPr>
          <w:fldChar w:fldCharType="end"/>
        </w:r>
      </w:hyperlink>
    </w:p>
    <w:p w14:paraId="76A8B084" w14:textId="77777777" w:rsidR="00A31FB7" w:rsidRDefault="00C5625F" w:rsidP="0062479C">
      <w:pPr>
        <w:pStyle w:val="TOC2"/>
        <w:tabs>
          <w:tab w:val="left" w:pos="1350"/>
        </w:tabs>
        <w:spacing w:before="40" w:after="40"/>
        <w:rPr>
          <w:rFonts w:asciiTheme="minorHAnsi" w:eastAsiaTheme="minorEastAsia" w:hAnsiTheme="minorHAnsi" w:cstheme="minorBidi"/>
          <w:sz w:val="22"/>
          <w:szCs w:val="22"/>
        </w:rPr>
      </w:pPr>
      <w:hyperlink w:anchor="_Toc403397635" w:history="1">
        <w:r w:rsidR="00A31FB7" w:rsidRPr="00206DA0">
          <w:rPr>
            <w:rStyle w:val="Hyperlink"/>
          </w:rPr>
          <w:t>A.7</w:t>
        </w:r>
        <w:r w:rsidR="00A31FB7">
          <w:rPr>
            <w:rFonts w:asciiTheme="minorHAnsi" w:eastAsiaTheme="minorEastAsia" w:hAnsiTheme="minorHAnsi" w:cstheme="minorBidi"/>
            <w:sz w:val="22"/>
            <w:szCs w:val="22"/>
          </w:rPr>
          <w:tab/>
        </w:r>
        <w:r w:rsidR="00A31FB7" w:rsidRPr="00206DA0">
          <w:rPr>
            <w:rStyle w:val="Hyperlink"/>
          </w:rPr>
          <w:t>Special Circumstances Relating to Guidelines of 5 CFR 1320.5</w:t>
        </w:r>
        <w:r w:rsidR="00A31FB7">
          <w:rPr>
            <w:webHidden/>
          </w:rPr>
          <w:tab/>
        </w:r>
        <w:r w:rsidR="00A31FB7">
          <w:rPr>
            <w:webHidden/>
          </w:rPr>
          <w:fldChar w:fldCharType="begin"/>
        </w:r>
        <w:r w:rsidR="00A31FB7">
          <w:rPr>
            <w:webHidden/>
          </w:rPr>
          <w:instrText xml:space="preserve"> PAGEREF _Toc403397635 \h </w:instrText>
        </w:r>
        <w:r w:rsidR="00A31FB7">
          <w:rPr>
            <w:webHidden/>
          </w:rPr>
        </w:r>
        <w:r w:rsidR="00A31FB7">
          <w:rPr>
            <w:webHidden/>
          </w:rPr>
          <w:fldChar w:fldCharType="separate"/>
        </w:r>
        <w:r w:rsidR="001B1352">
          <w:rPr>
            <w:webHidden/>
          </w:rPr>
          <w:t>18</w:t>
        </w:r>
        <w:r w:rsidR="00A31FB7">
          <w:rPr>
            <w:webHidden/>
          </w:rPr>
          <w:fldChar w:fldCharType="end"/>
        </w:r>
      </w:hyperlink>
    </w:p>
    <w:p w14:paraId="4088BD8D" w14:textId="77777777" w:rsidR="00A31FB7" w:rsidRDefault="00C5625F" w:rsidP="0062479C">
      <w:pPr>
        <w:pStyle w:val="TOC2"/>
        <w:tabs>
          <w:tab w:val="left" w:pos="1350"/>
        </w:tabs>
        <w:spacing w:before="40" w:after="40"/>
        <w:rPr>
          <w:rFonts w:asciiTheme="minorHAnsi" w:eastAsiaTheme="minorEastAsia" w:hAnsiTheme="minorHAnsi" w:cstheme="minorBidi"/>
          <w:sz w:val="22"/>
          <w:szCs w:val="22"/>
        </w:rPr>
      </w:pPr>
      <w:hyperlink w:anchor="_Toc403397636" w:history="1">
        <w:r w:rsidR="00A31FB7" w:rsidRPr="00206DA0">
          <w:rPr>
            <w:rStyle w:val="Hyperlink"/>
          </w:rPr>
          <w:t>A.8</w:t>
        </w:r>
        <w:r w:rsidR="00A31FB7">
          <w:rPr>
            <w:rFonts w:asciiTheme="minorHAnsi" w:eastAsiaTheme="minorEastAsia" w:hAnsiTheme="minorHAnsi" w:cstheme="minorBidi"/>
            <w:sz w:val="22"/>
            <w:szCs w:val="22"/>
          </w:rPr>
          <w:tab/>
        </w:r>
        <w:r w:rsidR="00A31FB7" w:rsidRPr="00206DA0">
          <w:rPr>
            <w:rStyle w:val="Hyperlink"/>
          </w:rPr>
          <w:t>Consultations Outside NCES</w:t>
        </w:r>
        <w:r w:rsidR="00A31FB7">
          <w:rPr>
            <w:webHidden/>
          </w:rPr>
          <w:tab/>
        </w:r>
        <w:r w:rsidR="00A31FB7">
          <w:rPr>
            <w:webHidden/>
          </w:rPr>
          <w:fldChar w:fldCharType="begin"/>
        </w:r>
        <w:r w:rsidR="00A31FB7">
          <w:rPr>
            <w:webHidden/>
          </w:rPr>
          <w:instrText xml:space="preserve"> PAGEREF _Toc403397636 \h </w:instrText>
        </w:r>
        <w:r w:rsidR="00A31FB7">
          <w:rPr>
            <w:webHidden/>
          </w:rPr>
        </w:r>
        <w:r w:rsidR="00A31FB7">
          <w:rPr>
            <w:webHidden/>
          </w:rPr>
          <w:fldChar w:fldCharType="separate"/>
        </w:r>
        <w:r w:rsidR="001B1352">
          <w:rPr>
            <w:webHidden/>
          </w:rPr>
          <w:t>18</w:t>
        </w:r>
        <w:r w:rsidR="00A31FB7">
          <w:rPr>
            <w:webHidden/>
          </w:rPr>
          <w:fldChar w:fldCharType="end"/>
        </w:r>
      </w:hyperlink>
    </w:p>
    <w:p w14:paraId="58DC9EF7" w14:textId="77777777" w:rsidR="00A31FB7" w:rsidRDefault="00C5625F" w:rsidP="0062479C">
      <w:pPr>
        <w:pStyle w:val="TOC2"/>
        <w:tabs>
          <w:tab w:val="left" w:pos="1350"/>
        </w:tabs>
        <w:spacing w:before="40" w:after="40"/>
        <w:rPr>
          <w:rFonts w:asciiTheme="minorHAnsi" w:eastAsiaTheme="minorEastAsia" w:hAnsiTheme="minorHAnsi" w:cstheme="minorBidi"/>
          <w:sz w:val="22"/>
          <w:szCs w:val="22"/>
        </w:rPr>
      </w:pPr>
      <w:hyperlink w:anchor="_Toc403397637" w:history="1">
        <w:r w:rsidR="00A31FB7" w:rsidRPr="00206DA0">
          <w:rPr>
            <w:rStyle w:val="Hyperlink"/>
          </w:rPr>
          <w:t>A.9</w:t>
        </w:r>
        <w:r w:rsidR="00A31FB7">
          <w:rPr>
            <w:rFonts w:asciiTheme="minorHAnsi" w:eastAsiaTheme="minorEastAsia" w:hAnsiTheme="minorHAnsi" w:cstheme="minorBidi"/>
            <w:sz w:val="22"/>
            <w:szCs w:val="22"/>
          </w:rPr>
          <w:tab/>
        </w:r>
        <w:r w:rsidR="00A31FB7" w:rsidRPr="00206DA0">
          <w:rPr>
            <w:rStyle w:val="Hyperlink"/>
          </w:rPr>
          <w:t>Provision of Payment or Gift to Respondents</w:t>
        </w:r>
        <w:r w:rsidR="00A31FB7">
          <w:rPr>
            <w:webHidden/>
          </w:rPr>
          <w:tab/>
        </w:r>
        <w:r w:rsidR="00A31FB7">
          <w:rPr>
            <w:webHidden/>
          </w:rPr>
          <w:fldChar w:fldCharType="begin"/>
        </w:r>
        <w:r w:rsidR="00A31FB7">
          <w:rPr>
            <w:webHidden/>
          </w:rPr>
          <w:instrText xml:space="preserve"> PAGEREF _Toc403397637 \h </w:instrText>
        </w:r>
        <w:r w:rsidR="00A31FB7">
          <w:rPr>
            <w:webHidden/>
          </w:rPr>
        </w:r>
        <w:r w:rsidR="00A31FB7">
          <w:rPr>
            <w:webHidden/>
          </w:rPr>
          <w:fldChar w:fldCharType="separate"/>
        </w:r>
        <w:r w:rsidR="001B1352">
          <w:rPr>
            <w:webHidden/>
          </w:rPr>
          <w:t>18</w:t>
        </w:r>
        <w:r w:rsidR="00A31FB7">
          <w:rPr>
            <w:webHidden/>
          </w:rPr>
          <w:fldChar w:fldCharType="end"/>
        </w:r>
      </w:hyperlink>
    </w:p>
    <w:p w14:paraId="22CB5448" w14:textId="77777777" w:rsidR="00A31FB7" w:rsidRDefault="00C5625F" w:rsidP="0062479C">
      <w:pPr>
        <w:pStyle w:val="TOC2"/>
        <w:tabs>
          <w:tab w:val="left" w:pos="2340"/>
        </w:tabs>
        <w:spacing w:before="40" w:after="40"/>
        <w:rPr>
          <w:rFonts w:asciiTheme="minorHAnsi" w:eastAsiaTheme="minorEastAsia" w:hAnsiTheme="minorHAnsi" w:cstheme="minorBidi"/>
          <w:sz w:val="22"/>
          <w:szCs w:val="22"/>
        </w:rPr>
      </w:pPr>
      <w:hyperlink w:anchor="_Toc403397638" w:history="1">
        <w:r w:rsidR="00A31FB7" w:rsidRPr="00206DA0">
          <w:rPr>
            <w:rStyle w:val="Hyperlink"/>
          </w:rPr>
          <w:t>A.10</w:t>
        </w:r>
        <w:r w:rsidR="00A31FB7">
          <w:rPr>
            <w:rFonts w:asciiTheme="minorHAnsi" w:eastAsiaTheme="minorEastAsia" w:hAnsiTheme="minorHAnsi" w:cstheme="minorBidi"/>
            <w:sz w:val="22"/>
            <w:szCs w:val="22"/>
          </w:rPr>
          <w:tab/>
        </w:r>
        <w:r w:rsidR="00A31FB7" w:rsidRPr="00206DA0">
          <w:rPr>
            <w:rStyle w:val="Hyperlink"/>
          </w:rPr>
          <w:t>Assurance of Confidentiality Provided to Respondents</w:t>
        </w:r>
        <w:r w:rsidR="00A31FB7">
          <w:rPr>
            <w:webHidden/>
          </w:rPr>
          <w:tab/>
        </w:r>
        <w:r w:rsidR="00A31FB7">
          <w:rPr>
            <w:webHidden/>
          </w:rPr>
          <w:fldChar w:fldCharType="begin"/>
        </w:r>
        <w:r w:rsidR="00A31FB7">
          <w:rPr>
            <w:webHidden/>
          </w:rPr>
          <w:instrText xml:space="preserve"> PAGEREF _Toc403397638 \h </w:instrText>
        </w:r>
        <w:r w:rsidR="00A31FB7">
          <w:rPr>
            <w:webHidden/>
          </w:rPr>
        </w:r>
        <w:r w:rsidR="00A31FB7">
          <w:rPr>
            <w:webHidden/>
          </w:rPr>
          <w:fldChar w:fldCharType="separate"/>
        </w:r>
        <w:r w:rsidR="001B1352">
          <w:rPr>
            <w:webHidden/>
          </w:rPr>
          <w:t>19</w:t>
        </w:r>
        <w:r w:rsidR="00A31FB7">
          <w:rPr>
            <w:webHidden/>
          </w:rPr>
          <w:fldChar w:fldCharType="end"/>
        </w:r>
      </w:hyperlink>
    </w:p>
    <w:p w14:paraId="6D6D0CDE" w14:textId="77777777" w:rsidR="00A31FB7" w:rsidRDefault="00C5625F" w:rsidP="0062479C">
      <w:pPr>
        <w:pStyle w:val="TOC2"/>
        <w:tabs>
          <w:tab w:val="left" w:pos="2340"/>
        </w:tabs>
        <w:spacing w:before="40" w:after="40"/>
        <w:rPr>
          <w:rFonts w:asciiTheme="minorHAnsi" w:eastAsiaTheme="minorEastAsia" w:hAnsiTheme="minorHAnsi" w:cstheme="minorBidi"/>
          <w:sz w:val="22"/>
          <w:szCs w:val="22"/>
        </w:rPr>
      </w:pPr>
      <w:hyperlink w:anchor="_Toc403397639" w:history="1">
        <w:r w:rsidR="00A31FB7" w:rsidRPr="00206DA0">
          <w:rPr>
            <w:rStyle w:val="Hyperlink"/>
          </w:rPr>
          <w:t>A.11</w:t>
        </w:r>
        <w:r w:rsidR="00A31FB7">
          <w:rPr>
            <w:rFonts w:asciiTheme="minorHAnsi" w:eastAsiaTheme="minorEastAsia" w:hAnsiTheme="minorHAnsi" w:cstheme="minorBidi"/>
            <w:sz w:val="22"/>
            <w:szCs w:val="22"/>
          </w:rPr>
          <w:tab/>
        </w:r>
        <w:r w:rsidR="00A31FB7" w:rsidRPr="00206DA0">
          <w:rPr>
            <w:rStyle w:val="Hyperlink"/>
          </w:rPr>
          <w:t>Justification for Sensitive Questions</w:t>
        </w:r>
        <w:r w:rsidR="00A31FB7">
          <w:rPr>
            <w:webHidden/>
          </w:rPr>
          <w:tab/>
        </w:r>
        <w:r w:rsidR="00A31FB7">
          <w:rPr>
            <w:webHidden/>
          </w:rPr>
          <w:fldChar w:fldCharType="begin"/>
        </w:r>
        <w:r w:rsidR="00A31FB7">
          <w:rPr>
            <w:webHidden/>
          </w:rPr>
          <w:instrText xml:space="preserve"> PAGEREF _Toc403397639 \h </w:instrText>
        </w:r>
        <w:r w:rsidR="00A31FB7">
          <w:rPr>
            <w:webHidden/>
          </w:rPr>
        </w:r>
        <w:r w:rsidR="00A31FB7">
          <w:rPr>
            <w:webHidden/>
          </w:rPr>
          <w:fldChar w:fldCharType="separate"/>
        </w:r>
        <w:r w:rsidR="001B1352">
          <w:rPr>
            <w:webHidden/>
          </w:rPr>
          <w:t>23</w:t>
        </w:r>
        <w:r w:rsidR="00A31FB7">
          <w:rPr>
            <w:webHidden/>
          </w:rPr>
          <w:fldChar w:fldCharType="end"/>
        </w:r>
      </w:hyperlink>
    </w:p>
    <w:p w14:paraId="0B93A221" w14:textId="77777777" w:rsidR="00A31FB7" w:rsidRDefault="00C5625F" w:rsidP="0062479C">
      <w:pPr>
        <w:pStyle w:val="TOC2"/>
        <w:tabs>
          <w:tab w:val="left" w:pos="2340"/>
        </w:tabs>
        <w:spacing w:before="40" w:after="40"/>
        <w:rPr>
          <w:rFonts w:asciiTheme="minorHAnsi" w:eastAsiaTheme="minorEastAsia" w:hAnsiTheme="minorHAnsi" w:cstheme="minorBidi"/>
          <w:sz w:val="22"/>
          <w:szCs w:val="22"/>
        </w:rPr>
      </w:pPr>
      <w:hyperlink w:anchor="_Toc403397640" w:history="1">
        <w:r w:rsidR="00A31FB7" w:rsidRPr="00206DA0">
          <w:rPr>
            <w:rStyle w:val="Hyperlink"/>
          </w:rPr>
          <w:t>A.12</w:t>
        </w:r>
        <w:r w:rsidR="00A31FB7">
          <w:rPr>
            <w:rFonts w:asciiTheme="minorHAnsi" w:eastAsiaTheme="minorEastAsia" w:hAnsiTheme="minorHAnsi" w:cstheme="minorBidi"/>
            <w:sz w:val="22"/>
            <w:szCs w:val="22"/>
          </w:rPr>
          <w:tab/>
        </w:r>
        <w:r w:rsidR="00A31FB7" w:rsidRPr="00206DA0">
          <w:rPr>
            <w:rStyle w:val="Hyperlink"/>
          </w:rPr>
          <w:t>Estimates of Annualized Burden Hours and Their Cost to Respondents</w:t>
        </w:r>
        <w:r w:rsidR="00A31FB7">
          <w:rPr>
            <w:webHidden/>
          </w:rPr>
          <w:tab/>
        </w:r>
        <w:r w:rsidR="00A31FB7">
          <w:rPr>
            <w:webHidden/>
          </w:rPr>
          <w:fldChar w:fldCharType="begin"/>
        </w:r>
        <w:r w:rsidR="00A31FB7">
          <w:rPr>
            <w:webHidden/>
          </w:rPr>
          <w:instrText xml:space="preserve"> PAGEREF _Toc403397640 \h </w:instrText>
        </w:r>
        <w:r w:rsidR="00A31FB7">
          <w:rPr>
            <w:webHidden/>
          </w:rPr>
        </w:r>
        <w:r w:rsidR="00A31FB7">
          <w:rPr>
            <w:webHidden/>
          </w:rPr>
          <w:fldChar w:fldCharType="separate"/>
        </w:r>
        <w:r w:rsidR="001B1352">
          <w:rPr>
            <w:webHidden/>
          </w:rPr>
          <w:t>23</w:t>
        </w:r>
        <w:r w:rsidR="00A31FB7">
          <w:rPr>
            <w:webHidden/>
          </w:rPr>
          <w:fldChar w:fldCharType="end"/>
        </w:r>
      </w:hyperlink>
    </w:p>
    <w:p w14:paraId="39BF7AAB" w14:textId="77777777" w:rsidR="00A31FB7" w:rsidRDefault="00C5625F" w:rsidP="0062479C">
      <w:pPr>
        <w:pStyle w:val="TOC2"/>
        <w:tabs>
          <w:tab w:val="left" w:pos="2340"/>
        </w:tabs>
        <w:spacing w:before="40" w:after="40"/>
        <w:rPr>
          <w:rFonts w:asciiTheme="minorHAnsi" w:eastAsiaTheme="minorEastAsia" w:hAnsiTheme="minorHAnsi" w:cstheme="minorBidi"/>
          <w:sz w:val="22"/>
          <w:szCs w:val="22"/>
        </w:rPr>
      </w:pPr>
      <w:hyperlink w:anchor="_Toc403397641" w:history="1">
        <w:r w:rsidR="00A31FB7" w:rsidRPr="00206DA0">
          <w:rPr>
            <w:rStyle w:val="Hyperlink"/>
          </w:rPr>
          <w:t>A.13</w:t>
        </w:r>
        <w:r w:rsidR="00A31FB7">
          <w:rPr>
            <w:rFonts w:asciiTheme="minorHAnsi" w:eastAsiaTheme="minorEastAsia" w:hAnsiTheme="minorHAnsi" w:cstheme="minorBidi"/>
            <w:sz w:val="22"/>
            <w:szCs w:val="22"/>
          </w:rPr>
          <w:tab/>
        </w:r>
        <w:r w:rsidR="00A31FB7" w:rsidRPr="00206DA0">
          <w:rPr>
            <w:rStyle w:val="Hyperlink"/>
          </w:rPr>
          <w:t>Estimates of Total Annual Cost Burden to Respondents</w:t>
        </w:r>
        <w:r w:rsidR="00A31FB7">
          <w:rPr>
            <w:webHidden/>
          </w:rPr>
          <w:tab/>
        </w:r>
        <w:r w:rsidR="00A31FB7">
          <w:rPr>
            <w:webHidden/>
          </w:rPr>
          <w:fldChar w:fldCharType="begin"/>
        </w:r>
        <w:r w:rsidR="00A31FB7">
          <w:rPr>
            <w:webHidden/>
          </w:rPr>
          <w:instrText xml:space="preserve"> PAGEREF _Toc403397641 \h </w:instrText>
        </w:r>
        <w:r w:rsidR="00A31FB7">
          <w:rPr>
            <w:webHidden/>
          </w:rPr>
        </w:r>
        <w:r w:rsidR="00A31FB7">
          <w:rPr>
            <w:webHidden/>
          </w:rPr>
          <w:fldChar w:fldCharType="separate"/>
        </w:r>
        <w:r w:rsidR="001B1352">
          <w:rPr>
            <w:webHidden/>
          </w:rPr>
          <w:t>24</w:t>
        </w:r>
        <w:r w:rsidR="00A31FB7">
          <w:rPr>
            <w:webHidden/>
          </w:rPr>
          <w:fldChar w:fldCharType="end"/>
        </w:r>
      </w:hyperlink>
    </w:p>
    <w:p w14:paraId="01D1D22F" w14:textId="7F842343" w:rsidR="00A31FB7" w:rsidRDefault="00C5625F" w:rsidP="0062479C">
      <w:pPr>
        <w:pStyle w:val="TOC2"/>
        <w:tabs>
          <w:tab w:val="left" w:pos="2340"/>
        </w:tabs>
        <w:spacing w:before="40" w:after="40"/>
        <w:rPr>
          <w:rFonts w:asciiTheme="minorHAnsi" w:eastAsiaTheme="minorEastAsia" w:hAnsiTheme="minorHAnsi" w:cstheme="minorBidi"/>
          <w:sz w:val="22"/>
          <w:szCs w:val="22"/>
        </w:rPr>
      </w:pPr>
      <w:hyperlink w:anchor="_Toc403397642" w:history="1">
        <w:r w:rsidR="00A31FB7" w:rsidRPr="00206DA0">
          <w:rPr>
            <w:rStyle w:val="Hyperlink"/>
          </w:rPr>
          <w:t>A.14</w:t>
        </w:r>
        <w:r w:rsidR="00A31FB7">
          <w:rPr>
            <w:rFonts w:asciiTheme="minorHAnsi" w:eastAsiaTheme="minorEastAsia" w:hAnsiTheme="minorHAnsi" w:cstheme="minorBidi"/>
            <w:sz w:val="22"/>
            <w:szCs w:val="22"/>
          </w:rPr>
          <w:tab/>
        </w:r>
        <w:r w:rsidR="00A31FB7" w:rsidRPr="00206DA0">
          <w:rPr>
            <w:rStyle w:val="Hyperlink"/>
          </w:rPr>
          <w:t>Annualized Cost to the Federal Government</w:t>
        </w:r>
        <w:r w:rsidR="00A31FB7">
          <w:rPr>
            <w:webHidden/>
          </w:rPr>
          <w:tab/>
        </w:r>
        <w:r w:rsidR="00A31FB7">
          <w:rPr>
            <w:webHidden/>
          </w:rPr>
          <w:fldChar w:fldCharType="begin"/>
        </w:r>
        <w:r w:rsidR="00A31FB7">
          <w:rPr>
            <w:webHidden/>
          </w:rPr>
          <w:instrText xml:space="preserve"> PAGEREF _Toc403397642 \h </w:instrText>
        </w:r>
        <w:r w:rsidR="00A31FB7">
          <w:rPr>
            <w:webHidden/>
          </w:rPr>
        </w:r>
        <w:r w:rsidR="00A31FB7">
          <w:rPr>
            <w:webHidden/>
          </w:rPr>
          <w:fldChar w:fldCharType="separate"/>
        </w:r>
        <w:r w:rsidR="001B1352">
          <w:rPr>
            <w:webHidden/>
          </w:rPr>
          <w:t>25</w:t>
        </w:r>
        <w:r w:rsidR="00A31FB7">
          <w:rPr>
            <w:webHidden/>
          </w:rPr>
          <w:fldChar w:fldCharType="end"/>
        </w:r>
      </w:hyperlink>
    </w:p>
    <w:p w14:paraId="6979034E" w14:textId="77777777" w:rsidR="00A31FB7" w:rsidRDefault="00C5625F" w:rsidP="0062479C">
      <w:pPr>
        <w:pStyle w:val="TOC2"/>
        <w:tabs>
          <w:tab w:val="left" w:pos="2340"/>
        </w:tabs>
        <w:spacing w:before="40" w:after="40"/>
        <w:rPr>
          <w:rFonts w:asciiTheme="minorHAnsi" w:eastAsiaTheme="minorEastAsia" w:hAnsiTheme="minorHAnsi" w:cstheme="minorBidi"/>
          <w:sz w:val="22"/>
          <w:szCs w:val="22"/>
        </w:rPr>
      </w:pPr>
      <w:hyperlink w:anchor="_Toc403397643" w:history="1">
        <w:r w:rsidR="00A31FB7" w:rsidRPr="00206DA0">
          <w:rPr>
            <w:rStyle w:val="Hyperlink"/>
          </w:rPr>
          <w:t>A.15</w:t>
        </w:r>
        <w:r w:rsidR="00A31FB7">
          <w:rPr>
            <w:rFonts w:asciiTheme="minorHAnsi" w:eastAsiaTheme="minorEastAsia" w:hAnsiTheme="minorHAnsi" w:cstheme="minorBidi"/>
            <w:sz w:val="22"/>
            <w:szCs w:val="22"/>
          </w:rPr>
          <w:tab/>
        </w:r>
        <w:r w:rsidR="00A31FB7" w:rsidRPr="00206DA0">
          <w:rPr>
            <w:rStyle w:val="Hyperlink"/>
          </w:rPr>
          <w:t>Reasons for Program Changes</w:t>
        </w:r>
        <w:r w:rsidR="00A31FB7">
          <w:rPr>
            <w:webHidden/>
          </w:rPr>
          <w:tab/>
        </w:r>
        <w:r w:rsidR="00A31FB7">
          <w:rPr>
            <w:webHidden/>
          </w:rPr>
          <w:fldChar w:fldCharType="begin"/>
        </w:r>
        <w:r w:rsidR="00A31FB7">
          <w:rPr>
            <w:webHidden/>
          </w:rPr>
          <w:instrText xml:space="preserve"> PAGEREF _Toc403397643 \h </w:instrText>
        </w:r>
        <w:r w:rsidR="00A31FB7">
          <w:rPr>
            <w:webHidden/>
          </w:rPr>
        </w:r>
        <w:r w:rsidR="00A31FB7">
          <w:rPr>
            <w:webHidden/>
          </w:rPr>
          <w:fldChar w:fldCharType="separate"/>
        </w:r>
        <w:r w:rsidR="001B1352">
          <w:rPr>
            <w:webHidden/>
          </w:rPr>
          <w:t>25</w:t>
        </w:r>
        <w:r w:rsidR="00A31FB7">
          <w:rPr>
            <w:webHidden/>
          </w:rPr>
          <w:fldChar w:fldCharType="end"/>
        </w:r>
      </w:hyperlink>
    </w:p>
    <w:p w14:paraId="6280A3F3" w14:textId="0B49AB5E" w:rsidR="00A31FB7" w:rsidRDefault="00C5625F" w:rsidP="0062479C">
      <w:pPr>
        <w:pStyle w:val="TOC2"/>
        <w:tabs>
          <w:tab w:val="left" w:pos="2340"/>
        </w:tabs>
        <w:spacing w:before="40" w:after="40"/>
        <w:rPr>
          <w:rFonts w:asciiTheme="minorHAnsi" w:eastAsiaTheme="minorEastAsia" w:hAnsiTheme="minorHAnsi" w:cstheme="minorBidi"/>
          <w:sz w:val="22"/>
          <w:szCs w:val="22"/>
        </w:rPr>
      </w:pPr>
      <w:hyperlink w:anchor="_Toc403397644" w:history="1">
        <w:r w:rsidR="00A31FB7" w:rsidRPr="00206DA0">
          <w:rPr>
            <w:rStyle w:val="Hyperlink"/>
          </w:rPr>
          <w:t>A.16</w:t>
        </w:r>
        <w:r w:rsidR="00A31FB7">
          <w:rPr>
            <w:rFonts w:asciiTheme="minorHAnsi" w:eastAsiaTheme="minorEastAsia" w:hAnsiTheme="minorHAnsi" w:cstheme="minorBidi"/>
            <w:sz w:val="22"/>
            <w:szCs w:val="22"/>
          </w:rPr>
          <w:tab/>
        </w:r>
        <w:r w:rsidR="00A31FB7" w:rsidRPr="00206DA0">
          <w:rPr>
            <w:rStyle w:val="Hyperlink"/>
          </w:rPr>
          <w:t>Publication Plans and Project Schedule</w:t>
        </w:r>
        <w:r w:rsidR="00A31FB7">
          <w:rPr>
            <w:webHidden/>
          </w:rPr>
          <w:tab/>
        </w:r>
        <w:r w:rsidR="00A31FB7">
          <w:rPr>
            <w:webHidden/>
          </w:rPr>
          <w:fldChar w:fldCharType="begin"/>
        </w:r>
        <w:r w:rsidR="00A31FB7">
          <w:rPr>
            <w:webHidden/>
          </w:rPr>
          <w:instrText xml:space="preserve"> PAGEREF _Toc403397644 \h </w:instrText>
        </w:r>
        <w:r w:rsidR="00A31FB7">
          <w:rPr>
            <w:webHidden/>
          </w:rPr>
        </w:r>
        <w:r w:rsidR="00A31FB7">
          <w:rPr>
            <w:webHidden/>
          </w:rPr>
          <w:fldChar w:fldCharType="separate"/>
        </w:r>
        <w:r w:rsidR="001B1352">
          <w:rPr>
            <w:webHidden/>
          </w:rPr>
          <w:t>26</w:t>
        </w:r>
        <w:r w:rsidR="00A31FB7">
          <w:rPr>
            <w:webHidden/>
          </w:rPr>
          <w:fldChar w:fldCharType="end"/>
        </w:r>
      </w:hyperlink>
    </w:p>
    <w:p w14:paraId="7C1E7F3C" w14:textId="243FE986" w:rsidR="00A31FB7" w:rsidRDefault="00C5625F" w:rsidP="0062479C">
      <w:pPr>
        <w:pStyle w:val="TOC2"/>
        <w:tabs>
          <w:tab w:val="left" w:pos="2340"/>
        </w:tabs>
        <w:spacing w:before="40" w:after="40"/>
        <w:rPr>
          <w:rFonts w:asciiTheme="minorHAnsi" w:eastAsiaTheme="minorEastAsia" w:hAnsiTheme="minorHAnsi" w:cstheme="minorBidi"/>
          <w:sz w:val="22"/>
          <w:szCs w:val="22"/>
        </w:rPr>
      </w:pPr>
      <w:hyperlink w:anchor="_Toc403397645" w:history="1">
        <w:r w:rsidR="00A31FB7" w:rsidRPr="00206DA0">
          <w:rPr>
            <w:rStyle w:val="Hyperlink"/>
          </w:rPr>
          <w:t>A.17</w:t>
        </w:r>
        <w:r w:rsidR="00A31FB7">
          <w:rPr>
            <w:rFonts w:asciiTheme="minorHAnsi" w:eastAsiaTheme="minorEastAsia" w:hAnsiTheme="minorHAnsi" w:cstheme="minorBidi"/>
            <w:sz w:val="22"/>
            <w:szCs w:val="22"/>
          </w:rPr>
          <w:tab/>
        </w:r>
        <w:r w:rsidR="00A31FB7" w:rsidRPr="00206DA0">
          <w:rPr>
            <w:rStyle w:val="Hyperlink"/>
          </w:rPr>
          <w:t>Reason(s) Display of OMB Expiration Date Is Inappropriate</w:t>
        </w:r>
        <w:r w:rsidR="00A31FB7">
          <w:rPr>
            <w:webHidden/>
          </w:rPr>
          <w:tab/>
        </w:r>
        <w:r w:rsidR="00A31FB7">
          <w:rPr>
            <w:webHidden/>
          </w:rPr>
          <w:fldChar w:fldCharType="begin"/>
        </w:r>
        <w:r w:rsidR="00A31FB7">
          <w:rPr>
            <w:webHidden/>
          </w:rPr>
          <w:instrText xml:space="preserve"> PAGEREF _Toc403397645 \h </w:instrText>
        </w:r>
        <w:r w:rsidR="00A31FB7">
          <w:rPr>
            <w:webHidden/>
          </w:rPr>
        </w:r>
        <w:r w:rsidR="00A31FB7">
          <w:rPr>
            <w:webHidden/>
          </w:rPr>
          <w:fldChar w:fldCharType="separate"/>
        </w:r>
        <w:r w:rsidR="001B1352">
          <w:rPr>
            <w:webHidden/>
          </w:rPr>
          <w:t>27</w:t>
        </w:r>
        <w:r w:rsidR="00A31FB7">
          <w:rPr>
            <w:webHidden/>
          </w:rPr>
          <w:fldChar w:fldCharType="end"/>
        </w:r>
      </w:hyperlink>
    </w:p>
    <w:p w14:paraId="39041875" w14:textId="42EE923F" w:rsidR="00A31FB7" w:rsidRDefault="00C5625F" w:rsidP="0062479C">
      <w:pPr>
        <w:pStyle w:val="TOC2"/>
        <w:tabs>
          <w:tab w:val="left" w:pos="2340"/>
        </w:tabs>
        <w:spacing w:before="40" w:after="40"/>
        <w:rPr>
          <w:rFonts w:asciiTheme="minorHAnsi" w:eastAsiaTheme="minorEastAsia" w:hAnsiTheme="minorHAnsi" w:cstheme="minorBidi"/>
          <w:sz w:val="22"/>
          <w:szCs w:val="22"/>
        </w:rPr>
      </w:pPr>
      <w:hyperlink w:anchor="_Toc403397646" w:history="1">
        <w:r w:rsidR="00A31FB7" w:rsidRPr="00206DA0">
          <w:rPr>
            <w:rStyle w:val="Hyperlink"/>
          </w:rPr>
          <w:t>A.18</w:t>
        </w:r>
        <w:r w:rsidR="00A31FB7">
          <w:rPr>
            <w:rFonts w:asciiTheme="minorHAnsi" w:eastAsiaTheme="minorEastAsia" w:hAnsiTheme="minorHAnsi" w:cstheme="minorBidi"/>
            <w:sz w:val="22"/>
            <w:szCs w:val="22"/>
          </w:rPr>
          <w:tab/>
        </w:r>
        <w:r w:rsidR="00A31FB7" w:rsidRPr="00206DA0">
          <w:rPr>
            <w:rStyle w:val="Hyperlink"/>
          </w:rPr>
          <w:t>Exceptions to Certification for Paperwork Reduction Act Statement</w:t>
        </w:r>
        <w:r w:rsidR="00A31FB7">
          <w:rPr>
            <w:webHidden/>
          </w:rPr>
          <w:tab/>
        </w:r>
        <w:r w:rsidR="00A31FB7">
          <w:rPr>
            <w:webHidden/>
          </w:rPr>
          <w:fldChar w:fldCharType="begin"/>
        </w:r>
        <w:r w:rsidR="00A31FB7">
          <w:rPr>
            <w:webHidden/>
          </w:rPr>
          <w:instrText xml:space="preserve"> PAGEREF _Toc403397646 \h </w:instrText>
        </w:r>
        <w:r w:rsidR="00A31FB7">
          <w:rPr>
            <w:webHidden/>
          </w:rPr>
        </w:r>
        <w:r w:rsidR="00A31FB7">
          <w:rPr>
            <w:webHidden/>
          </w:rPr>
          <w:fldChar w:fldCharType="separate"/>
        </w:r>
        <w:r w:rsidR="001B1352">
          <w:rPr>
            <w:webHidden/>
          </w:rPr>
          <w:t>27</w:t>
        </w:r>
        <w:r w:rsidR="00A31FB7">
          <w:rPr>
            <w:webHidden/>
          </w:rPr>
          <w:fldChar w:fldCharType="end"/>
        </w:r>
      </w:hyperlink>
    </w:p>
    <w:p w14:paraId="6D2B1D7D" w14:textId="77777777" w:rsidR="0072781E" w:rsidRPr="00BF65C4" w:rsidRDefault="00DB0295" w:rsidP="00733464">
      <w:pPr>
        <w:jc w:val="center"/>
      </w:pPr>
      <w:r w:rsidRPr="002B5189">
        <w:fldChar w:fldCharType="end"/>
      </w:r>
    </w:p>
    <w:p w14:paraId="2A172E36" w14:textId="77777777" w:rsidR="0072781E" w:rsidRPr="00D5480C" w:rsidRDefault="0072781E" w:rsidP="00733464">
      <w:pPr>
        <w:jc w:val="center"/>
      </w:pPr>
    </w:p>
    <w:p w14:paraId="56549360" w14:textId="77777777" w:rsidR="0072781E" w:rsidRPr="002B5189" w:rsidRDefault="0072781E" w:rsidP="00733464">
      <w:pPr>
        <w:jc w:val="center"/>
      </w:pPr>
      <w:r w:rsidRPr="002B5189">
        <w:rPr>
          <w:b/>
          <w:sz w:val="28"/>
          <w:szCs w:val="28"/>
        </w:rPr>
        <w:t>EXHIBITS</w:t>
      </w:r>
    </w:p>
    <w:p w14:paraId="05A6A7D7" w14:textId="77777777" w:rsidR="0072781E" w:rsidRPr="002B5189" w:rsidRDefault="0072781E" w:rsidP="00A530D5">
      <w:pPr>
        <w:tabs>
          <w:tab w:val="right" w:pos="9360"/>
        </w:tabs>
        <w:rPr>
          <w:b/>
        </w:rPr>
      </w:pPr>
      <w:r w:rsidRPr="002B5189">
        <w:rPr>
          <w:b/>
        </w:rPr>
        <w:t>Number</w:t>
      </w:r>
      <w:r w:rsidRPr="002B5189">
        <w:rPr>
          <w:b/>
        </w:rPr>
        <w:tab/>
        <w:t>Page</w:t>
      </w:r>
    </w:p>
    <w:p w14:paraId="65818E0A" w14:textId="77777777" w:rsidR="0072781E" w:rsidRPr="002B5189" w:rsidRDefault="0072781E" w:rsidP="00A530D5">
      <w:pPr>
        <w:tabs>
          <w:tab w:val="right" w:pos="9360"/>
        </w:tabs>
      </w:pPr>
    </w:p>
    <w:p w14:paraId="3632F28B" w14:textId="77777777" w:rsidR="002E2CA9" w:rsidRDefault="00DB0295" w:rsidP="002E2CA9">
      <w:pPr>
        <w:pStyle w:val="TOC5"/>
        <w:tabs>
          <w:tab w:val="left" w:pos="1350"/>
        </w:tabs>
        <w:ind w:right="0"/>
        <w:rPr>
          <w:rFonts w:asciiTheme="minorHAnsi" w:eastAsiaTheme="minorEastAsia" w:hAnsiTheme="minorHAnsi" w:cstheme="minorBidi"/>
          <w:sz w:val="22"/>
          <w:szCs w:val="22"/>
        </w:rPr>
      </w:pPr>
      <w:r w:rsidRPr="002B5189">
        <w:fldChar w:fldCharType="begin"/>
      </w:r>
      <w:r w:rsidR="0072781E" w:rsidRPr="002B5189">
        <w:instrText xml:space="preserve"> TOC \h \z \t "Exhibit Title,5" </w:instrText>
      </w:r>
      <w:r w:rsidRPr="002B5189">
        <w:fldChar w:fldCharType="separate"/>
      </w:r>
      <w:hyperlink w:anchor="_Toc403596409" w:history="1">
        <w:r w:rsidR="002E2CA9" w:rsidRPr="002D3241">
          <w:rPr>
            <w:rStyle w:val="Hyperlink"/>
          </w:rPr>
          <w:t>Exhibit A-1.</w:t>
        </w:r>
        <w:r w:rsidR="002E2CA9">
          <w:rPr>
            <w:rFonts w:asciiTheme="minorHAnsi" w:eastAsiaTheme="minorEastAsia" w:hAnsiTheme="minorHAnsi" w:cstheme="minorBidi"/>
            <w:sz w:val="22"/>
            <w:szCs w:val="22"/>
          </w:rPr>
          <w:tab/>
        </w:r>
        <w:r w:rsidR="002E2CA9" w:rsidRPr="002D3241">
          <w:rPr>
            <w:rStyle w:val="Hyperlink"/>
          </w:rPr>
          <w:t>HSLS:09 Data Collection Components, by wave of data collection</w:t>
        </w:r>
        <w:r w:rsidR="002E2CA9">
          <w:rPr>
            <w:webHidden/>
          </w:rPr>
          <w:tab/>
        </w:r>
        <w:r w:rsidR="002E2CA9">
          <w:rPr>
            <w:webHidden/>
          </w:rPr>
          <w:fldChar w:fldCharType="begin"/>
        </w:r>
        <w:r w:rsidR="002E2CA9">
          <w:rPr>
            <w:webHidden/>
          </w:rPr>
          <w:instrText xml:space="preserve"> PAGEREF _Toc403596409 \h </w:instrText>
        </w:r>
        <w:r w:rsidR="002E2CA9">
          <w:rPr>
            <w:webHidden/>
          </w:rPr>
        </w:r>
        <w:r w:rsidR="002E2CA9">
          <w:rPr>
            <w:webHidden/>
          </w:rPr>
          <w:fldChar w:fldCharType="separate"/>
        </w:r>
        <w:r w:rsidR="001B1352">
          <w:rPr>
            <w:webHidden/>
          </w:rPr>
          <w:t>2</w:t>
        </w:r>
        <w:r w:rsidR="002E2CA9">
          <w:rPr>
            <w:webHidden/>
          </w:rPr>
          <w:fldChar w:fldCharType="end"/>
        </w:r>
      </w:hyperlink>
    </w:p>
    <w:p w14:paraId="5B8FA153" w14:textId="77777777" w:rsidR="002E2CA9" w:rsidRDefault="00C5625F" w:rsidP="002E2CA9">
      <w:pPr>
        <w:pStyle w:val="TOC5"/>
        <w:tabs>
          <w:tab w:val="left" w:pos="1350"/>
          <w:tab w:val="left" w:pos="2340"/>
        </w:tabs>
        <w:ind w:right="0"/>
        <w:rPr>
          <w:rFonts w:asciiTheme="minorHAnsi" w:eastAsiaTheme="minorEastAsia" w:hAnsiTheme="minorHAnsi" w:cstheme="minorBidi"/>
          <w:sz w:val="22"/>
          <w:szCs w:val="22"/>
        </w:rPr>
      </w:pPr>
      <w:hyperlink w:anchor="_Toc403596410" w:history="1">
        <w:r w:rsidR="002E2CA9" w:rsidRPr="002D3241">
          <w:rPr>
            <w:rStyle w:val="Hyperlink"/>
          </w:rPr>
          <w:t>Exhibit A-2.</w:t>
        </w:r>
        <w:r w:rsidR="002E2CA9">
          <w:rPr>
            <w:rFonts w:asciiTheme="minorHAnsi" w:eastAsiaTheme="minorEastAsia" w:hAnsiTheme="minorHAnsi" w:cstheme="minorBidi"/>
            <w:sz w:val="22"/>
            <w:szCs w:val="22"/>
          </w:rPr>
          <w:tab/>
        </w:r>
        <w:r w:rsidR="002E2CA9" w:rsidRPr="002D3241">
          <w:rPr>
            <w:rStyle w:val="Hyperlink"/>
          </w:rPr>
          <w:t>Longitudinal design for the HSLS:09 ninth-grade cohort: 2009–25</w:t>
        </w:r>
        <w:r w:rsidR="002E2CA9">
          <w:rPr>
            <w:webHidden/>
          </w:rPr>
          <w:tab/>
        </w:r>
        <w:r w:rsidR="002E2CA9">
          <w:rPr>
            <w:webHidden/>
          </w:rPr>
          <w:fldChar w:fldCharType="begin"/>
        </w:r>
        <w:r w:rsidR="002E2CA9">
          <w:rPr>
            <w:webHidden/>
          </w:rPr>
          <w:instrText xml:space="preserve"> PAGEREF _Toc403596410 \h </w:instrText>
        </w:r>
        <w:r w:rsidR="002E2CA9">
          <w:rPr>
            <w:webHidden/>
          </w:rPr>
        </w:r>
        <w:r w:rsidR="002E2CA9">
          <w:rPr>
            <w:webHidden/>
          </w:rPr>
          <w:fldChar w:fldCharType="separate"/>
        </w:r>
        <w:r w:rsidR="001B1352">
          <w:rPr>
            <w:webHidden/>
          </w:rPr>
          <w:t>17</w:t>
        </w:r>
        <w:r w:rsidR="002E2CA9">
          <w:rPr>
            <w:webHidden/>
          </w:rPr>
          <w:fldChar w:fldCharType="end"/>
        </w:r>
      </w:hyperlink>
    </w:p>
    <w:p w14:paraId="302CDD65" w14:textId="77777777" w:rsidR="002E2CA9" w:rsidRDefault="00C5625F" w:rsidP="002E2CA9">
      <w:pPr>
        <w:pStyle w:val="TOC5"/>
        <w:tabs>
          <w:tab w:val="left" w:pos="1350"/>
        </w:tabs>
        <w:ind w:right="0"/>
        <w:rPr>
          <w:rFonts w:asciiTheme="minorHAnsi" w:eastAsiaTheme="minorEastAsia" w:hAnsiTheme="minorHAnsi" w:cstheme="minorBidi"/>
          <w:sz w:val="22"/>
          <w:szCs w:val="22"/>
        </w:rPr>
      </w:pPr>
      <w:hyperlink w:anchor="_Toc403596411" w:history="1">
        <w:r w:rsidR="002E2CA9" w:rsidRPr="002D3241">
          <w:rPr>
            <w:rStyle w:val="Hyperlink"/>
          </w:rPr>
          <w:t>Exhibit A-3. Estimated Burd</w:t>
        </w:r>
        <w:r w:rsidR="0030199C">
          <w:rPr>
            <w:rStyle w:val="Hyperlink"/>
          </w:rPr>
          <w:t>en for HSLS:09 Second Follow-up</w:t>
        </w:r>
        <w:r w:rsidR="002E2CA9">
          <w:rPr>
            <w:webHidden/>
          </w:rPr>
          <w:tab/>
        </w:r>
        <w:r w:rsidR="002E2CA9">
          <w:rPr>
            <w:webHidden/>
          </w:rPr>
          <w:fldChar w:fldCharType="begin"/>
        </w:r>
        <w:r w:rsidR="002E2CA9">
          <w:rPr>
            <w:webHidden/>
          </w:rPr>
          <w:instrText xml:space="preserve"> PAGEREF _Toc403596411 \h </w:instrText>
        </w:r>
        <w:r w:rsidR="002E2CA9">
          <w:rPr>
            <w:webHidden/>
          </w:rPr>
        </w:r>
        <w:r w:rsidR="002E2CA9">
          <w:rPr>
            <w:webHidden/>
          </w:rPr>
          <w:fldChar w:fldCharType="separate"/>
        </w:r>
        <w:r w:rsidR="001B1352">
          <w:rPr>
            <w:webHidden/>
          </w:rPr>
          <w:t>24</w:t>
        </w:r>
        <w:r w:rsidR="002E2CA9">
          <w:rPr>
            <w:webHidden/>
          </w:rPr>
          <w:fldChar w:fldCharType="end"/>
        </w:r>
      </w:hyperlink>
    </w:p>
    <w:p w14:paraId="44364947" w14:textId="77777777" w:rsidR="002E2CA9" w:rsidRDefault="00C5625F" w:rsidP="002E2CA9">
      <w:pPr>
        <w:pStyle w:val="TOC5"/>
        <w:tabs>
          <w:tab w:val="left" w:pos="1350"/>
          <w:tab w:val="left" w:pos="2340"/>
        </w:tabs>
        <w:ind w:right="0"/>
        <w:rPr>
          <w:rFonts w:asciiTheme="minorHAnsi" w:eastAsiaTheme="minorEastAsia" w:hAnsiTheme="minorHAnsi" w:cstheme="minorBidi"/>
          <w:sz w:val="22"/>
          <w:szCs w:val="22"/>
        </w:rPr>
      </w:pPr>
      <w:hyperlink w:anchor="_Toc403596412" w:history="1">
        <w:r w:rsidR="002E2CA9" w:rsidRPr="002D3241">
          <w:rPr>
            <w:rStyle w:val="Hyperlink"/>
          </w:rPr>
          <w:t>Exhibit A-4a.</w:t>
        </w:r>
        <w:r w:rsidR="002E2CA9">
          <w:rPr>
            <w:rFonts w:asciiTheme="minorHAnsi" w:eastAsiaTheme="minorEastAsia" w:hAnsiTheme="minorHAnsi" w:cstheme="minorBidi"/>
            <w:sz w:val="22"/>
            <w:szCs w:val="22"/>
          </w:rPr>
          <w:tab/>
        </w:r>
        <w:r w:rsidR="002E2CA9" w:rsidRPr="002D3241">
          <w:rPr>
            <w:rStyle w:val="Hyperlink"/>
          </w:rPr>
          <w:t>Total Costs to NCES</w:t>
        </w:r>
        <w:r w:rsidR="002E2CA9">
          <w:rPr>
            <w:webHidden/>
          </w:rPr>
          <w:tab/>
        </w:r>
        <w:r w:rsidR="002E2CA9">
          <w:rPr>
            <w:webHidden/>
          </w:rPr>
          <w:fldChar w:fldCharType="begin"/>
        </w:r>
        <w:r w:rsidR="002E2CA9">
          <w:rPr>
            <w:webHidden/>
          </w:rPr>
          <w:instrText xml:space="preserve"> PAGEREF _Toc403596412 \h </w:instrText>
        </w:r>
        <w:r w:rsidR="002E2CA9">
          <w:rPr>
            <w:webHidden/>
          </w:rPr>
        </w:r>
        <w:r w:rsidR="002E2CA9">
          <w:rPr>
            <w:webHidden/>
          </w:rPr>
          <w:fldChar w:fldCharType="separate"/>
        </w:r>
        <w:r w:rsidR="001B1352">
          <w:rPr>
            <w:webHidden/>
          </w:rPr>
          <w:t>25</w:t>
        </w:r>
        <w:r w:rsidR="002E2CA9">
          <w:rPr>
            <w:webHidden/>
          </w:rPr>
          <w:fldChar w:fldCharType="end"/>
        </w:r>
      </w:hyperlink>
    </w:p>
    <w:p w14:paraId="71A5FD9C" w14:textId="77777777" w:rsidR="002E2CA9" w:rsidRDefault="00C5625F" w:rsidP="002E2CA9">
      <w:pPr>
        <w:pStyle w:val="TOC5"/>
        <w:tabs>
          <w:tab w:val="left" w:pos="1350"/>
          <w:tab w:val="left" w:pos="2340"/>
        </w:tabs>
        <w:ind w:right="0"/>
        <w:rPr>
          <w:rFonts w:asciiTheme="minorHAnsi" w:eastAsiaTheme="minorEastAsia" w:hAnsiTheme="minorHAnsi" w:cstheme="minorBidi"/>
          <w:sz w:val="22"/>
          <w:szCs w:val="22"/>
        </w:rPr>
      </w:pPr>
      <w:hyperlink w:anchor="_Toc403596413" w:history="1">
        <w:r w:rsidR="002E2CA9" w:rsidRPr="002D3241">
          <w:rPr>
            <w:rStyle w:val="Hyperlink"/>
          </w:rPr>
          <w:t>Exhibit A-4b.</w:t>
        </w:r>
        <w:r w:rsidR="002E2CA9">
          <w:rPr>
            <w:rFonts w:asciiTheme="minorHAnsi" w:eastAsiaTheme="minorEastAsia" w:hAnsiTheme="minorHAnsi" w:cstheme="minorBidi"/>
            <w:sz w:val="22"/>
            <w:szCs w:val="22"/>
          </w:rPr>
          <w:tab/>
        </w:r>
        <w:r w:rsidR="002E2CA9" w:rsidRPr="002D3241">
          <w:rPr>
            <w:rStyle w:val="Hyperlink"/>
          </w:rPr>
          <w:t>Total Contract Costs</w:t>
        </w:r>
        <w:r w:rsidR="002E2CA9">
          <w:rPr>
            <w:webHidden/>
          </w:rPr>
          <w:tab/>
        </w:r>
        <w:r w:rsidR="002E2CA9">
          <w:rPr>
            <w:webHidden/>
          </w:rPr>
          <w:fldChar w:fldCharType="begin"/>
        </w:r>
        <w:r w:rsidR="002E2CA9">
          <w:rPr>
            <w:webHidden/>
          </w:rPr>
          <w:instrText xml:space="preserve"> PAGEREF _Toc403596413 \h </w:instrText>
        </w:r>
        <w:r w:rsidR="002E2CA9">
          <w:rPr>
            <w:webHidden/>
          </w:rPr>
        </w:r>
        <w:r w:rsidR="002E2CA9">
          <w:rPr>
            <w:webHidden/>
          </w:rPr>
          <w:fldChar w:fldCharType="separate"/>
        </w:r>
        <w:r w:rsidR="001B1352">
          <w:rPr>
            <w:webHidden/>
          </w:rPr>
          <w:t>25</w:t>
        </w:r>
        <w:r w:rsidR="002E2CA9">
          <w:rPr>
            <w:webHidden/>
          </w:rPr>
          <w:fldChar w:fldCharType="end"/>
        </w:r>
      </w:hyperlink>
    </w:p>
    <w:p w14:paraId="07FF3B31" w14:textId="77777777" w:rsidR="002E2CA9" w:rsidRDefault="00C5625F" w:rsidP="002E2CA9">
      <w:pPr>
        <w:pStyle w:val="TOC5"/>
        <w:tabs>
          <w:tab w:val="left" w:pos="1350"/>
          <w:tab w:val="left" w:pos="2340"/>
        </w:tabs>
        <w:ind w:right="0"/>
        <w:rPr>
          <w:rFonts w:asciiTheme="minorHAnsi" w:eastAsiaTheme="minorEastAsia" w:hAnsiTheme="minorHAnsi" w:cstheme="minorBidi"/>
          <w:sz w:val="22"/>
          <w:szCs w:val="22"/>
        </w:rPr>
      </w:pPr>
      <w:hyperlink w:anchor="_Toc403596414" w:history="1">
        <w:r w:rsidR="002E2CA9" w:rsidRPr="002D3241">
          <w:rPr>
            <w:rStyle w:val="Hyperlink"/>
          </w:rPr>
          <w:t>Exhibit A-5.</w:t>
        </w:r>
        <w:r w:rsidR="002E2CA9">
          <w:rPr>
            <w:rFonts w:asciiTheme="minorHAnsi" w:eastAsiaTheme="minorEastAsia" w:hAnsiTheme="minorHAnsi" w:cstheme="minorBidi"/>
            <w:sz w:val="22"/>
            <w:szCs w:val="22"/>
          </w:rPr>
          <w:tab/>
        </w:r>
        <w:r w:rsidR="002E2CA9" w:rsidRPr="002D3241">
          <w:rPr>
            <w:rStyle w:val="Hyperlink"/>
          </w:rPr>
          <w:t>Operational Schedule for HSLS:09 Second Follow-up Field Test</w:t>
        </w:r>
        <w:r w:rsidR="002E2CA9">
          <w:rPr>
            <w:webHidden/>
          </w:rPr>
          <w:tab/>
        </w:r>
        <w:r w:rsidR="002E2CA9">
          <w:rPr>
            <w:webHidden/>
          </w:rPr>
          <w:fldChar w:fldCharType="begin"/>
        </w:r>
        <w:r w:rsidR="002E2CA9">
          <w:rPr>
            <w:webHidden/>
          </w:rPr>
          <w:instrText xml:space="preserve"> PAGEREF _Toc403596414 \h </w:instrText>
        </w:r>
        <w:r w:rsidR="002E2CA9">
          <w:rPr>
            <w:webHidden/>
          </w:rPr>
        </w:r>
        <w:r w:rsidR="002E2CA9">
          <w:rPr>
            <w:webHidden/>
          </w:rPr>
          <w:fldChar w:fldCharType="separate"/>
        </w:r>
        <w:r w:rsidR="001B1352">
          <w:rPr>
            <w:webHidden/>
          </w:rPr>
          <w:t>26</w:t>
        </w:r>
        <w:r w:rsidR="002E2CA9">
          <w:rPr>
            <w:webHidden/>
          </w:rPr>
          <w:fldChar w:fldCharType="end"/>
        </w:r>
      </w:hyperlink>
    </w:p>
    <w:p w14:paraId="658E8178" w14:textId="77777777" w:rsidR="0072781E" w:rsidRPr="00BF65C4" w:rsidRDefault="00DB0295" w:rsidP="00300466">
      <w:pPr>
        <w:spacing w:after="120"/>
      </w:pPr>
      <w:r w:rsidRPr="002B5189">
        <w:fldChar w:fldCharType="end"/>
      </w:r>
    </w:p>
    <w:p w14:paraId="2709BB0D" w14:textId="77777777" w:rsidR="000778C2" w:rsidRDefault="000778C2">
      <w:pPr>
        <w:rPr>
          <w:b/>
          <w:caps/>
          <w:sz w:val="28"/>
          <w:szCs w:val="20"/>
        </w:rPr>
      </w:pPr>
      <w:r>
        <w:br w:type="page"/>
      </w:r>
    </w:p>
    <w:p w14:paraId="3B59AF20" w14:textId="77777777" w:rsidR="000778C2" w:rsidRDefault="000778C2" w:rsidP="001C1AEF">
      <w:pPr>
        <w:pStyle w:val="TOC0"/>
      </w:pPr>
    </w:p>
    <w:p w14:paraId="7AA02A73" w14:textId="77777777" w:rsidR="0072781E" w:rsidRPr="00D5480C" w:rsidRDefault="0072781E" w:rsidP="001C1AEF">
      <w:pPr>
        <w:pStyle w:val="TOC0"/>
      </w:pPr>
      <w:r w:rsidRPr="00D5480C">
        <w:t>Attachments</w:t>
      </w:r>
    </w:p>
    <w:p w14:paraId="6D897715" w14:textId="77777777" w:rsidR="0072781E" w:rsidRPr="002B5189" w:rsidRDefault="0072781E" w:rsidP="006E7C52">
      <w:pPr>
        <w:tabs>
          <w:tab w:val="left" w:pos="1440"/>
          <w:tab w:val="left" w:leader="dot" w:pos="8910"/>
        </w:tabs>
        <w:spacing w:after="120"/>
      </w:pPr>
      <w:r w:rsidRPr="002B5189">
        <w:t>Appendix A</w:t>
      </w:r>
      <w:r w:rsidRPr="002B5189">
        <w:tab/>
      </w:r>
      <w:r w:rsidR="00CB7EF3" w:rsidRPr="002B5189">
        <w:t xml:space="preserve">HSLS:09 Technical Review Panel </w:t>
      </w:r>
      <w:r w:rsidR="001D37B1">
        <w:t xml:space="preserve">(TRP) </w:t>
      </w:r>
      <w:r w:rsidR="00CB7EF3" w:rsidRPr="002B5189">
        <w:t>Contact Information</w:t>
      </w:r>
    </w:p>
    <w:p w14:paraId="33D04A65" w14:textId="77777777" w:rsidR="00DB3518" w:rsidRDefault="00960EE2" w:rsidP="00960EE2">
      <w:pPr>
        <w:tabs>
          <w:tab w:val="left" w:pos="1440"/>
          <w:tab w:val="left" w:leader="dot" w:pos="8910"/>
        </w:tabs>
        <w:spacing w:after="120"/>
      </w:pPr>
      <w:r w:rsidRPr="002B5189">
        <w:t xml:space="preserve">Appendix </w:t>
      </w:r>
      <w:r w:rsidR="00690CF3">
        <w:t>B</w:t>
      </w:r>
      <w:r w:rsidRPr="002B5189">
        <w:tab/>
      </w:r>
      <w:r w:rsidR="00F67FB0" w:rsidRPr="002B5189">
        <w:t>Confidentiality for Administrative Record Matching</w:t>
      </w:r>
    </w:p>
    <w:p w14:paraId="3D06409C" w14:textId="599B3F17" w:rsidR="00F67FB0" w:rsidRPr="002B5189" w:rsidRDefault="00960EE2" w:rsidP="00F67FB0">
      <w:pPr>
        <w:tabs>
          <w:tab w:val="left" w:pos="1440"/>
          <w:tab w:val="left" w:leader="dot" w:pos="8910"/>
        </w:tabs>
        <w:spacing w:after="120"/>
      </w:pPr>
      <w:r w:rsidRPr="002B5189">
        <w:t xml:space="preserve">Appendix </w:t>
      </w:r>
      <w:r w:rsidR="00690CF3">
        <w:t>C</w:t>
      </w:r>
      <w:r w:rsidRPr="002B5189">
        <w:tab/>
      </w:r>
      <w:r w:rsidR="00F67FB0" w:rsidRPr="002B5189">
        <w:t>Data Security Language for Vendor Contracts</w:t>
      </w:r>
    </w:p>
    <w:p w14:paraId="33E979C3" w14:textId="00B3BDB0" w:rsidR="00F61885" w:rsidRPr="002B5189" w:rsidRDefault="00F61885" w:rsidP="00F61885">
      <w:pPr>
        <w:tabs>
          <w:tab w:val="left" w:pos="1440"/>
          <w:tab w:val="left" w:leader="dot" w:pos="8910"/>
        </w:tabs>
        <w:spacing w:after="120"/>
      </w:pPr>
      <w:r w:rsidRPr="002B5189">
        <w:t xml:space="preserve">Appendix </w:t>
      </w:r>
      <w:r w:rsidR="00690CF3">
        <w:t>D</w:t>
      </w:r>
      <w:r w:rsidRPr="002B5189">
        <w:tab/>
        <w:t>Respondent Communication Materials</w:t>
      </w:r>
    </w:p>
    <w:p w14:paraId="1EF1068F" w14:textId="06E5EA67" w:rsidR="00960EE2" w:rsidRDefault="00960EE2" w:rsidP="00114779">
      <w:pPr>
        <w:tabs>
          <w:tab w:val="left" w:pos="1440"/>
          <w:tab w:val="left" w:leader="dot" w:pos="8910"/>
        </w:tabs>
        <w:spacing w:after="120"/>
        <w:ind w:left="1440" w:hanging="1440"/>
      </w:pPr>
      <w:r w:rsidRPr="002B5189">
        <w:t xml:space="preserve">Appendix </w:t>
      </w:r>
      <w:r w:rsidR="00690CF3">
        <w:t>E</w:t>
      </w:r>
      <w:r w:rsidRPr="002B5189">
        <w:tab/>
      </w:r>
      <w:r w:rsidR="00817012" w:rsidRPr="002B5189">
        <w:t>Facsimiles for the HSLS:09 Second Follow-up Interview</w:t>
      </w:r>
      <w:r w:rsidR="002971B5">
        <w:t xml:space="preserve">, </w:t>
      </w:r>
      <w:r w:rsidR="00817012" w:rsidRPr="002B5189">
        <w:t>Reinterview</w:t>
      </w:r>
      <w:r w:rsidR="002971B5">
        <w:t>, and Abbreviated Interview</w:t>
      </w:r>
    </w:p>
    <w:p w14:paraId="1F9551D3" w14:textId="3D5E1C3D" w:rsidR="005F16D2" w:rsidRDefault="00BF65C4" w:rsidP="00D5480C">
      <w:pPr>
        <w:tabs>
          <w:tab w:val="left" w:pos="1440"/>
          <w:tab w:val="left" w:leader="dot" w:pos="8910"/>
        </w:tabs>
        <w:spacing w:after="120"/>
      </w:pPr>
      <w:r w:rsidRPr="00014792">
        <w:t xml:space="preserve">Appendix </w:t>
      </w:r>
      <w:r w:rsidR="00690CF3">
        <w:t>F</w:t>
      </w:r>
      <w:r w:rsidRPr="00014792">
        <w:tab/>
      </w:r>
      <w:r w:rsidR="005F16D2" w:rsidRPr="005F16D2">
        <w:t>Transcript Data Request Contacting Materials and Data Elements</w:t>
      </w:r>
    </w:p>
    <w:p w14:paraId="3E70D622" w14:textId="5E6E35CD" w:rsidR="005F16D2" w:rsidRPr="005F16D2" w:rsidRDefault="00BF65C4" w:rsidP="005F16D2">
      <w:pPr>
        <w:tabs>
          <w:tab w:val="left" w:pos="1440"/>
          <w:tab w:val="left" w:leader="dot" w:pos="8910"/>
        </w:tabs>
        <w:spacing w:after="120"/>
      </w:pPr>
      <w:r w:rsidRPr="00014792">
        <w:t xml:space="preserve">Appendix </w:t>
      </w:r>
      <w:r w:rsidR="00690CF3">
        <w:t>G</w:t>
      </w:r>
      <w:r w:rsidRPr="00014792">
        <w:tab/>
      </w:r>
      <w:r w:rsidR="005F16D2" w:rsidRPr="005F16D2">
        <w:t>Student Records Request Contacting Materials and Data Elements</w:t>
      </w:r>
    </w:p>
    <w:p w14:paraId="1685F738" w14:textId="77777777" w:rsidR="002624EE" w:rsidRPr="002B5189" w:rsidRDefault="002624EE" w:rsidP="002E2CA9">
      <w:pPr>
        <w:pStyle w:val="Title"/>
        <w:ind w:left="0"/>
        <w:jc w:val="left"/>
      </w:pPr>
      <w:bookmarkStart w:id="6" w:name="_Toc99781028"/>
      <w:bookmarkStart w:id="7" w:name="_Toc115671404"/>
    </w:p>
    <w:p w14:paraId="2C69ED7F" w14:textId="77777777" w:rsidR="002624EE" w:rsidRPr="002B5189" w:rsidRDefault="002624EE">
      <w:pPr>
        <w:pStyle w:val="Title"/>
        <w:sectPr w:rsidR="002624EE" w:rsidRPr="002B5189" w:rsidSect="004B14C6">
          <w:headerReference w:type="even" r:id="rId12"/>
          <w:headerReference w:type="default" r:id="rId13"/>
          <w:footerReference w:type="even" r:id="rId14"/>
          <w:footerReference w:type="default" r:id="rId15"/>
          <w:headerReference w:type="first" r:id="rId16"/>
          <w:footerReference w:type="first" r:id="rId17"/>
          <w:type w:val="oddPage"/>
          <w:pgSz w:w="12240" w:h="15840" w:code="1"/>
          <w:pgMar w:top="1440" w:right="1440" w:bottom="1008" w:left="1440" w:header="720" w:footer="720" w:gutter="0"/>
          <w:pgNumType w:fmt="lowerRoman" w:start="1"/>
          <w:cols w:space="720"/>
          <w:docGrid w:linePitch="326"/>
        </w:sectPr>
      </w:pPr>
    </w:p>
    <w:p w14:paraId="76C8E5EB" w14:textId="77777777" w:rsidR="0072781E" w:rsidRPr="002B5189" w:rsidRDefault="0072781E" w:rsidP="002F25B2">
      <w:pPr>
        <w:pStyle w:val="Heading1"/>
        <w:spacing w:before="0"/>
      </w:pPr>
      <w:bookmarkStart w:id="8" w:name="_Toc192579027"/>
      <w:bookmarkStart w:id="9" w:name="_Toc403397622"/>
      <w:r w:rsidRPr="002B5189">
        <w:lastRenderedPageBreak/>
        <w:t>A.</w:t>
      </w:r>
      <w:r w:rsidRPr="002B5189">
        <w:tab/>
        <w:t>Justification</w:t>
      </w:r>
      <w:bookmarkEnd w:id="6"/>
      <w:bookmarkEnd w:id="7"/>
      <w:bookmarkEnd w:id="8"/>
      <w:bookmarkEnd w:id="9"/>
    </w:p>
    <w:p w14:paraId="14295ED6" w14:textId="77777777" w:rsidR="0072781E" w:rsidRPr="002B5189" w:rsidRDefault="0072781E" w:rsidP="0087325E">
      <w:pPr>
        <w:pStyle w:val="Heading2"/>
      </w:pPr>
      <w:bookmarkStart w:id="10" w:name="_Toc192579028"/>
      <w:bookmarkStart w:id="11" w:name="_Toc403397623"/>
      <w:r w:rsidRPr="002B5189">
        <w:t>A.1</w:t>
      </w:r>
      <w:r w:rsidRPr="002B5189">
        <w:tab/>
        <w:t>Circumstances Necessitating Collection of Information</w:t>
      </w:r>
      <w:bookmarkEnd w:id="10"/>
      <w:bookmarkEnd w:id="11"/>
    </w:p>
    <w:p w14:paraId="1227F1F7" w14:textId="77777777" w:rsidR="0072781E" w:rsidRPr="002B5189" w:rsidRDefault="0072781E" w:rsidP="0087325E">
      <w:pPr>
        <w:pStyle w:val="Heading3"/>
        <w:rPr>
          <w:lang w:val="en-US"/>
        </w:rPr>
      </w:pPr>
      <w:bookmarkStart w:id="12" w:name="_Toc192579029"/>
      <w:bookmarkStart w:id="13" w:name="_Toc403397624"/>
      <w:r w:rsidRPr="002B5189">
        <w:rPr>
          <w:lang w:val="en-US"/>
        </w:rPr>
        <w:t>A.1.a</w:t>
      </w:r>
      <w:r w:rsidRPr="002B5189">
        <w:rPr>
          <w:lang w:val="en-US"/>
        </w:rPr>
        <w:tab/>
        <w:t>Purpose of This Submission</w:t>
      </w:r>
      <w:bookmarkEnd w:id="12"/>
      <w:bookmarkEnd w:id="13"/>
    </w:p>
    <w:p w14:paraId="217A4961" w14:textId="77777777" w:rsidR="00404B5D" w:rsidRPr="002B5189" w:rsidRDefault="00404B5D" w:rsidP="00404B5D">
      <w:pPr>
        <w:pStyle w:val="BodyText1"/>
      </w:pPr>
      <w:r w:rsidRPr="002B5189">
        <w:t>The High School Longitudinal Study of 2009 (HSLS:09) is conducted by the National Center for Education Statistics (NCES), part of the Institute of Education Sciences within the U.S. Department of Education. The primary contractor for this study is the Research Triangle Institute (RTI) International, and subcontractors include Coffey Consulting; Hermes; HR Directions; Research Support Services; and Strategic Communications, Inc, with Dr. Sandy Baum as a consultant.</w:t>
      </w:r>
    </w:p>
    <w:p w14:paraId="6B5DCE00" w14:textId="77777777" w:rsidR="00487A37" w:rsidRPr="002B5189" w:rsidRDefault="00487A37" w:rsidP="000778C2">
      <w:pPr>
        <w:pStyle w:val="BodyText1"/>
        <w:spacing w:after="0"/>
      </w:pPr>
      <w:r w:rsidRPr="002B5189">
        <w:t>This</w:t>
      </w:r>
      <w:r w:rsidR="00033C74" w:rsidRPr="002B5189">
        <w:t xml:space="preserve"> request </w:t>
      </w:r>
      <w:r w:rsidRPr="002B5189">
        <w:t>is to conduct</w:t>
      </w:r>
      <w:r w:rsidR="00033C74" w:rsidRPr="002B5189">
        <w:t xml:space="preserve"> the HSLS:09 </w:t>
      </w:r>
      <w:r w:rsidR="000C509D" w:rsidRPr="002B5189">
        <w:t>S</w:t>
      </w:r>
      <w:r w:rsidR="00033C74" w:rsidRPr="002B5189">
        <w:t xml:space="preserve">econd </w:t>
      </w:r>
      <w:r w:rsidR="000C509D" w:rsidRPr="002B5189">
        <w:t>F</w:t>
      </w:r>
      <w:r w:rsidRPr="002B5189">
        <w:t xml:space="preserve">ollow-up field test </w:t>
      </w:r>
      <w:r w:rsidR="00033C74" w:rsidRPr="002B5189">
        <w:t>in 2015</w:t>
      </w:r>
      <w:r w:rsidR="00A10623" w:rsidRPr="002B5189">
        <w:t xml:space="preserve"> and panel maintenance for the main study sample</w:t>
      </w:r>
      <w:r w:rsidR="00B976D9" w:rsidRPr="002B5189">
        <w:t>, and to describe the planned data collections for the main study</w:t>
      </w:r>
      <w:r w:rsidR="00033C74" w:rsidRPr="002B5189">
        <w:t xml:space="preserve">. Following the field test study, NCES will provide the Office of Management and Budget (OMB) with a memorandum summarizing any changes planned for the </w:t>
      </w:r>
      <w:r w:rsidR="00A10623" w:rsidRPr="002B5189">
        <w:t>main study</w:t>
      </w:r>
      <w:r w:rsidR="00033C74" w:rsidRPr="002B5189">
        <w:t xml:space="preserve"> data collection, and a revised OMB package. </w:t>
      </w:r>
      <w:r w:rsidR="00A10623" w:rsidRPr="002B5189">
        <w:t>The main study will include a survey</w:t>
      </w:r>
      <w:r w:rsidR="00685463">
        <w:t xml:space="preserve"> of panel members</w:t>
      </w:r>
      <w:r w:rsidR="00A10623" w:rsidRPr="002B5189">
        <w:t xml:space="preserve">, </w:t>
      </w:r>
      <w:r w:rsidR="00685463" w:rsidRPr="002B5189">
        <w:t xml:space="preserve">collection </w:t>
      </w:r>
      <w:r w:rsidR="00685463">
        <w:t xml:space="preserve">of their </w:t>
      </w:r>
      <w:r w:rsidR="00A10623" w:rsidRPr="002B5189">
        <w:t>postsecondary transcript</w:t>
      </w:r>
      <w:r w:rsidR="00685463">
        <w:t xml:space="preserve">s and </w:t>
      </w:r>
      <w:r w:rsidR="00A10623" w:rsidRPr="002B5189">
        <w:t xml:space="preserve">financial aid records, and file matching to various extant data sources. </w:t>
      </w:r>
      <w:r w:rsidRPr="002B5189">
        <w:t xml:space="preserve">The materials that will be used in the 2015-16 main study will be based upon the field test materials included in this submission. Additionally, this submission is designed to adequately justify the need for and overall practical utility of the full study and to present the overarching plan for all of the phases of the data collection, providing as much detail about the measures to be used as is available at the time of this submission. As part of this submission, NCES is publishing a notice in the Federal Register allowing first a 60- and then a 30-day public comment period. For the final proposal for the full study, after the field test, NCES will publish a notice in the Federal Register allowing an additional 30-day public comment period on the final details of the 2015-16 </w:t>
      </w:r>
      <w:r w:rsidR="0030132F" w:rsidRPr="002B5189">
        <w:t>main</w:t>
      </w:r>
      <w:r w:rsidRPr="002B5189">
        <w:t xml:space="preserve"> study.</w:t>
      </w:r>
      <w:r w:rsidR="000778C2">
        <w:t xml:space="preserve"> </w:t>
      </w:r>
      <w:r w:rsidRPr="002B5189">
        <w:t>This submission includes:</w:t>
      </w:r>
    </w:p>
    <w:p w14:paraId="08B4C5F2" w14:textId="77777777" w:rsidR="00487A37" w:rsidRPr="002B5189" w:rsidRDefault="00487A37" w:rsidP="000778C2">
      <w:pPr>
        <w:pStyle w:val="bulletround"/>
        <w:keepLines/>
        <w:numPr>
          <w:ilvl w:val="0"/>
          <w:numId w:val="26"/>
        </w:numPr>
        <w:tabs>
          <w:tab w:val="clear" w:pos="1080"/>
          <w:tab w:val="num" w:pos="720"/>
        </w:tabs>
        <w:spacing w:before="0" w:after="60"/>
        <w:ind w:left="720"/>
      </w:pPr>
      <w:r w:rsidRPr="002B5189">
        <w:t>A membership list of the Technical Review Panel (TRP) for the data collection component of HSLS:09 (appendix A);</w:t>
      </w:r>
    </w:p>
    <w:p w14:paraId="7A8933B3" w14:textId="6E596586" w:rsidR="00B277DE" w:rsidRPr="002B5189" w:rsidRDefault="00B277DE" w:rsidP="00B277DE">
      <w:pPr>
        <w:pStyle w:val="bulletround"/>
        <w:keepLines/>
        <w:numPr>
          <w:ilvl w:val="0"/>
          <w:numId w:val="26"/>
        </w:numPr>
        <w:tabs>
          <w:tab w:val="clear" w:pos="1080"/>
          <w:tab w:val="num" w:pos="720"/>
        </w:tabs>
        <w:spacing w:before="0" w:after="60"/>
        <w:ind w:left="720"/>
      </w:pPr>
      <w:r w:rsidRPr="002B5189">
        <w:t>Confidentiality procedures for administrative record matching</w:t>
      </w:r>
      <w:r>
        <w:t xml:space="preserve"> </w:t>
      </w:r>
      <w:r w:rsidRPr="002B5189">
        <w:t xml:space="preserve">(appendix </w:t>
      </w:r>
      <w:r>
        <w:t>B</w:t>
      </w:r>
      <w:r w:rsidRPr="002B5189">
        <w:t>);</w:t>
      </w:r>
    </w:p>
    <w:p w14:paraId="09171D2C" w14:textId="5C93505E" w:rsidR="002F25B2" w:rsidRPr="002B5189" w:rsidRDefault="00487A37" w:rsidP="000778C2">
      <w:pPr>
        <w:pStyle w:val="bulletround"/>
        <w:keepLines/>
        <w:numPr>
          <w:ilvl w:val="0"/>
          <w:numId w:val="26"/>
        </w:numPr>
        <w:tabs>
          <w:tab w:val="clear" w:pos="1080"/>
          <w:tab w:val="num" w:pos="720"/>
        </w:tabs>
        <w:spacing w:before="0" w:after="60"/>
        <w:ind w:left="720"/>
      </w:pPr>
      <w:r w:rsidRPr="002B5189">
        <w:t xml:space="preserve">The data security language for vendor contracts (appendix </w:t>
      </w:r>
      <w:r w:rsidR="00B277DE">
        <w:t>C</w:t>
      </w:r>
      <w:r w:rsidRPr="002B5189">
        <w:t>)</w:t>
      </w:r>
    </w:p>
    <w:p w14:paraId="26E82C7C" w14:textId="476E3819" w:rsidR="00487A37" w:rsidRPr="002B5189" w:rsidRDefault="00487A37" w:rsidP="000778C2">
      <w:pPr>
        <w:pStyle w:val="bulletround"/>
        <w:keepLines/>
        <w:numPr>
          <w:ilvl w:val="0"/>
          <w:numId w:val="26"/>
        </w:numPr>
        <w:tabs>
          <w:tab w:val="clear" w:pos="1080"/>
          <w:tab w:val="num" w:pos="720"/>
        </w:tabs>
        <w:spacing w:before="0" w:after="60"/>
        <w:ind w:left="720"/>
      </w:pPr>
      <w:r w:rsidRPr="002B5189">
        <w:rPr>
          <w:szCs w:val="22"/>
        </w:rPr>
        <w:t xml:space="preserve">Communication </w:t>
      </w:r>
      <w:r w:rsidR="00D301E1">
        <w:rPr>
          <w:szCs w:val="22"/>
        </w:rPr>
        <w:t>m</w:t>
      </w:r>
      <w:r w:rsidR="00D301E1" w:rsidRPr="002B5189">
        <w:rPr>
          <w:szCs w:val="22"/>
        </w:rPr>
        <w:t>aterials</w:t>
      </w:r>
      <w:r w:rsidR="00D301E1" w:rsidRPr="002B5189">
        <w:t xml:space="preserve"> </w:t>
      </w:r>
      <w:r w:rsidR="003110E4" w:rsidRPr="002B5189">
        <w:t xml:space="preserve">for </w:t>
      </w:r>
      <w:r w:rsidR="00237307" w:rsidRPr="002B5189">
        <w:t>survey</w:t>
      </w:r>
      <w:r w:rsidR="003110E4" w:rsidRPr="002B5189">
        <w:t xml:space="preserve"> </w:t>
      </w:r>
      <w:r w:rsidR="00237307" w:rsidRPr="002B5189">
        <w:t>respondent</w:t>
      </w:r>
      <w:r w:rsidR="003110E4" w:rsidRPr="002B5189">
        <w:t xml:space="preserve">s </w:t>
      </w:r>
      <w:r w:rsidR="001B4CAB">
        <w:t xml:space="preserve">(appendix </w:t>
      </w:r>
      <w:r w:rsidR="003834F3">
        <w:t>D</w:t>
      </w:r>
      <w:r w:rsidR="001B4CAB">
        <w:t>);</w:t>
      </w:r>
    </w:p>
    <w:p w14:paraId="33FF6B30" w14:textId="14887FAE" w:rsidR="003110E4" w:rsidRPr="002B5189" w:rsidRDefault="00487A37" w:rsidP="000778C2">
      <w:pPr>
        <w:pStyle w:val="bulletround"/>
        <w:keepLines/>
        <w:numPr>
          <w:ilvl w:val="0"/>
          <w:numId w:val="26"/>
        </w:numPr>
        <w:tabs>
          <w:tab w:val="clear" w:pos="1080"/>
          <w:tab w:val="num" w:pos="720"/>
        </w:tabs>
        <w:spacing w:before="0" w:after="60"/>
        <w:ind w:left="720"/>
      </w:pPr>
      <w:r w:rsidRPr="002B5189">
        <w:t>Facsimiles for the HSLS:09 Second Follow-up interview</w:t>
      </w:r>
      <w:r w:rsidR="00237307" w:rsidRPr="002B5189">
        <w:t>, abbreviated interview,</w:t>
      </w:r>
      <w:r w:rsidR="001955B6">
        <w:t xml:space="preserve"> and reinterview</w:t>
      </w:r>
      <w:r w:rsidRPr="002B5189">
        <w:t xml:space="preserve"> instruments</w:t>
      </w:r>
      <w:r w:rsidR="001B4CAB">
        <w:t>;</w:t>
      </w:r>
      <w:bookmarkStart w:id="14" w:name="_GoBack"/>
      <w:bookmarkEnd w:id="14"/>
    </w:p>
    <w:p w14:paraId="3AF5C533" w14:textId="6C1C6990" w:rsidR="007F17CF" w:rsidRDefault="007F17CF" w:rsidP="000778C2">
      <w:pPr>
        <w:pStyle w:val="bulletround"/>
        <w:keepLines/>
        <w:numPr>
          <w:ilvl w:val="0"/>
          <w:numId w:val="26"/>
        </w:numPr>
        <w:tabs>
          <w:tab w:val="clear" w:pos="1080"/>
          <w:tab w:val="num" w:pos="720"/>
        </w:tabs>
        <w:spacing w:before="0" w:after="0" w:line="280" w:lineRule="atLeast"/>
        <w:ind w:left="720"/>
      </w:pPr>
      <w:r>
        <w:t>Transcript data request contacting materials and d</w:t>
      </w:r>
      <w:r w:rsidR="00DB13E5" w:rsidRPr="002B5189">
        <w:t>ata elements</w:t>
      </w:r>
      <w:r>
        <w:t xml:space="preserve"> </w:t>
      </w:r>
      <w:r w:rsidRPr="002B5189">
        <w:t xml:space="preserve">(appendix </w:t>
      </w:r>
      <w:r>
        <w:t>F);</w:t>
      </w:r>
      <w:r w:rsidRPr="002B5189">
        <w:t xml:space="preserve"> and</w:t>
      </w:r>
    </w:p>
    <w:p w14:paraId="22BFB7AB" w14:textId="443F403D" w:rsidR="00487A37" w:rsidRPr="002B5189" w:rsidRDefault="007F17CF" w:rsidP="00320909">
      <w:pPr>
        <w:pStyle w:val="bulletround"/>
        <w:keepLines/>
        <w:numPr>
          <w:ilvl w:val="0"/>
          <w:numId w:val="26"/>
        </w:numPr>
        <w:tabs>
          <w:tab w:val="clear" w:pos="1080"/>
          <w:tab w:val="num" w:pos="720"/>
        </w:tabs>
        <w:spacing w:before="0" w:after="360" w:line="280" w:lineRule="atLeast"/>
        <w:ind w:left="720"/>
      </w:pPr>
      <w:r>
        <w:t>F</w:t>
      </w:r>
      <w:r w:rsidR="00982DA7" w:rsidRPr="002B5189">
        <w:t>inancial aid records collection</w:t>
      </w:r>
      <w:r>
        <w:t xml:space="preserve"> request contacting materials and data elements (appendix G</w:t>
      </w:r>
      <w:r w:rsidR="00D301E1" w:rsidRPr="002B5189">
        <w:t>)</w:t>
      </w:r>
      <w:r>
        <w:t>.</w:t>
      </w:r>
    </w:p>
    <w:p w14:paraId="2FF5EAD9" w14:textId="77777777" w:rsidR="0072781E" w:rsidRPr="002B5189" w:rsidRDefault="00643F30" w:rsidP="005F4428">
      <w:pPr>
        <w:pStyle w:val="BodyText1"/>
      </w:pPr>
      <w:r w:rsidRPr="002B5189">
        <w:lastRenderedPageBreak/>
        <w:t>The HSLS:09 base-year data collection took place in the 2009–10 school year, with a randomly selected sample of fall-term 9th-graders in more than 900 public and private high schools with both 9th and 11th grades.</w:t>
      </w:r>
      <w:r w:rsidRPr="002B5189">
        <w:rPr>
          <w:vertAlign w:val="superscript"/>
        </w:rPr>
        <w:footnoteReference w:id="2"/>
      </w:r>
      <w:r w:rsidRPr="002B5189">
        <w:t xml:space="preserve"> This</w:t>
      </w:r>
      <w:r w:rsidR="00FB2F18" w:rsidRPr="002B5189">
        <w:t xml:space="preserve"> fall 2009 </w:t>
      </w:r>
      <w:r w:rsidRPr="002B5189">
        <w:t xml:space="preserve">cohort </w:t>
      </w:r>
      <w:r w:rsidR="005F4428" w:rsidRPr="002B5189">
        <w:t>of 9</w:t>
      </w:r>
      <w:r w:rsidR="005F4428" w:rsidRPr="002B5189">
        <w:rPr>
          <w:vertAlign w:val="superscript"/>
        </w:rPr>
        <w:t>th</w:t>
      </w:r>
      <w:r w:rsidR="005F4428" w:rsidRPr="002B5189">
        <w:t xml:space="preserve"> graders </w:t>
      </w:r>
      <w:r w:rsidRPr="002B5189">
        <w:t>has been followed over time, with follow-</w:t>
      </w:r>
      <w:r w:rsidR="00235611" w:rsidRPr="002B5189">
        <w:t>ups in</w:t>
      </w:r>
      <w:r w:rsidRPr="002B5189">
        <w:t xml:space="preserve"> spri</w:t>
      </w:r>
      <w:r w:rsidR="000E7780" w:rsidRPr="002B5189">
        <w:t xml:space="preserve">ng 2012 and summer-fall 2013. </w:t>
      </w:r>
      <w:r w:rsidRPr="002B5189">
        <w:t>Administrative records (such as high school transcri</w:t>
      </w:r>
      <w:r w:rsidR="000E7780" w:rsidRPr="002B5189">
        <w:t xml:space="preserve">pts) have also been collected. </w:t>
      </w:r>
      <w:r w:rsidR="0072781E" w:rsidRPr="002B5189">
        <w:t xml:space="preserve">The basic components and key design features of HSLS:09 are summarized </w:t>
      </w:r>
      <w:r w:rsidR="00C552E8" w:rsidRPr="002B5189">
        <w:t xml:space="preserve">in exhibit A-1 </w:t>
      </w:r>
      <w:r w:rsidR="0072781E" w:rsidRPr="002B5189">
        <w:t>below</w:t>
      </w:r>
      <w:r w:rsidRPr="002B5189">
        <w:t>, by wave of data collection</w:t>
      </w:r>
      <w:r w:rsidR="0072781E" w:rsidRPr="002B5189">
        <w:t>:</w:t>
      </w:r>
    </w:p>
    <w:p w14:paraId="083F4480" w14:textId="77777777" w:rsidR="00AE279F" w:rsidRPr="002B5189" w:rsidRDefault="00AE279F" w:rsidP="00AE279F">
      <w:pPr>
        <w:pStyle w:val="ExhibitTitle"/>
      </w:pPr>
      <w:bookmarkStart w:id="15" w:name="_Toc401842161"/>
      <w:bookmarkStart w:id="16" w:name="_Toc403596409"/>
      <w:r w:rsidRPr="002B5189">
        <w:t>Exhibit A-1.</w:t>
      </w:r>
      <w:r w:rsidRPr="002B5189">
        <w:tab/>
        <w:t xml:space="preserve">HSLS:09 Data </w:t>
      </w:r>
      <w:r w:rsidR="005E5ABA" w:rsidRPr="002B5189">
        <w:t>Collection Components, by wave of data collection</w:t>
      </w:r>
      <w:bookmarkEnd w:id="15"/>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313"/>
        <w:gridCol w:w="992"/>
        <w:gridCol w:w="1078"/>
        <w:gridCol w:w="818"/>
        <w:gridCol w:w="1047"/>
      </w:tblGrid>
      <w:tr w:rsidR="008568E9" w:rsidRPr="002B5189" w14:paraId="677091E3" w14:textId="77777777" w:rsidTr="001C6397">
        <w:trPr>
          <w:trHeight w:val="20"/>
        </w:trPr>
        <w:tc>
          <w:tcPr>
            <w:tcW w:w="3080" w:type="pct"/>
            <w:shd w:val="clear" w:color="auto" w:fill="auto"/>
            <w:tcMar>
              <w:top w:w="12" w:type="dxa"/>
              <w:left w:w="12" w:type="dxa"/>
              <w:bottom w:w="0" w:type="dxa"/>
              <w:right w:w="12" w:type="dxa"/>
            </w:tcMar>
            <w:vAlign w:val="bottom"/>
            <w:hideMark/>
          </w:tcPr>
          <w:p w14:paraId="7E33A8C7" w14:textId="77777777" w:rsidR="00235611" w:rsidRPr="002B5189" w:rsidRDefault="00235611" w:rsidP="004E1487">
            <w:r w:rsidRPr="002B5189">
              <w:t> </w:t>
            </w:r>
          </w:p>
        </w:tc>
        <w:tc>
          <w:tcPr>
            <w:tcW w:w="484" w:type="pct"/>
            <w:shd w:val="clear" w:color="auto" w:fill="auto"/>
            <w:tcMar>
              <w:top w:w="12" w:type="dxa"/>
              <w:left w:w="12" w:type="dxa"/>
              <w:bottom w:w="0" w:type="dxa"/>
              <w:right w:w="12" w:type="dxa"/>
            </w:tcMar>
            <w:vAlign w:val="bottom"/>
            <w:hideMark/>
          </w:tcPr>
          <w:p w14:paraId="1EDEE909" w14:textId="77777777" w:rsidR="00235611" w:rsidRPr="002B5189" w:rsidRDefault="00235611" w:rsidP="004E1487">
            <w:pPr>
              <w:jc w:val="center"/>
              <w:rPr>
                <w:sz w:val="22"/>
                <w:szCs w:val="22"/>
              </w:rPr>
            </w:pPr>
            <w:r w:rsidRPr="002B5189">
              <w:rPr>
                <w:sz w:val="22"/>
                <w:szCs w:val="22"/>
              </w:rPr>
              <w:t>Base</w:t>
            </w:r>
          </w:p>
          <w:p w14:paraId="689EB2CB" w14:textId="77777777" w:rsidR="00235611" w:rsidRPr="002B5189" w:rsidRDefault="00235611" w:rsidP="004E1487">
            <w:pPr>
              <w:jc w:val="center"/>
              <w:rPr>
                <w:sz w:val="22"/>
                <w:szCs w:val="22"/>
              </w:rPr>
            </w:pPr>
            <w:r w:rsidRPr="002B5189">
              <w:rPr>
                <w:sz w:val="22"/>
                <w:szCs w:val="22"/>
              </w:rPr>
              <w:t>Year</w:t>
            </w:r>
          </w:p>
        </w:tc>
        <w:tc>
          <w:tcPr>
            <w:tcW w:w="526" w:type="pct"/>
            <w:shd w:val="clear" w:color="auto" w:fill="auto"/>
            <w:tcMar>
              <w:top w:w="12" w:type="dxa"/>
              <w:left w:w="12" w:type="dxa"/>
              <w:bottom w:w="0" w:type="dxa"/>
              <w:right w:w="12" w:type="dxa"/>
            </w:tcMar>
            <w:vAlign w:val="bottom"/>
            <w:hideMark/>
          </w:tcPr>
          <w:p w14:paraId="2B3DFC40" w14:textId="77777777" w:rsidR="00235611" w:rsidRPr="002B5189" w:rsidRDefault="00235611" w:rsidP="004E1487">
            <w:pPr>
              <w:jc w:val="center"/>
              <w:rPr>
                <w:sz w:val="22"/>
                <w:szCs w:val="22"/>
              </w:rPr>
            </w:pPr>
            <w:r w:rsidRPr="002B5189">
              <w:rPr>
                <w:sz w:val="22"/>
                <w:szCs w:val="22"/>
              </w:rPr>
              <w:t>1st</w:t>
            </w:r>
          </w:p>
          <w:p w14:paraId="0402E950" w14:textId="77777777" w:rsidR="00235611" w:rsidRPr="002B5189" w:rsidRDefault="00235611" w:rsidP="004E1487">
            <w:pPr>
              <w:jc w:val="center"/>
              <w:rPr>
                <w:sz w:val="22"/>
                <w:szCs w:val="22"/>
              </w:rPr>
            </w:pPr>
            <w:r w:rsidRPr="002B5189">
              <w:rPr>
                <w:sz w:val="22"/>
                <w:szCs w:val="22"/>
              </w:rPr>
              <w:t>Follow-up</w:t>
            </w:r>
          </w:p>
        </w:tc>
        <w:tc>
          <w:tcPr>
            <w:tcW w:w="399" w:type="pct"/>
            <w:shd w:val="clear" w:color="auto" w:fill="auto"/>
            <w:tcMar>
              <w:top w:w="12" w:type="dxa"/>
              <w:left w:w="12" w:type="dxa"/>
              <w:bottom w:w="0" w:type="dxa"/>
              <w:right w:w="12" w:type="dxa"/>
            </w:tcMar>
            <w:vAlign w:val="bottom"/>
            <w:hideMark/>
          </w:tcPr>
          <w:p w14:paraId="7EBD4F2A" w14:textId="77777777" w:rsidR="00235611" w:rsidRPr="002B5189" w:rsidRDefault="00235611" w:rsidP="004E1487">
            <w:pPr>
              <w:jc w:val="center"/>
              <w:rPr>
                <w:sz w:val="22"/>
                <w:szCs w:val="22"/>
              </w:rPr>
            </w:pPr>
            <w:r w:rsidRPr="002B5189">
              <w:rPr>
                <w:sz w:val="22"/>
                <w:szCs w:val="22"/>
              </w:rPr>
              <w:t>2013</w:t>
            </w:r>
          </w:p>
          <w:p w14:paraId="3F930BCC" w14:textId="77777777" w:rsidR="00235611" w:rsidRPr="002B5189" w:rsidRDefault="00235611" w:rsidP="004E1487">
            <w:pPr>
              <w:jc w:val="center"/>
              <w:rPr>
                <w:sz w:val="22"/>
                <w:szCs w:val="22"/>
              </w:rPr>
            </w:pPr>
            <w:r w:rsidRPr="002B5189">
              <w:rPr>
                <w:sz w:val="22"/>
                <w:szCs w:val="22"/>
              </w:rPr>
              <w:t>Update</w:t>
            </w:r>
          </w:p>
        </w:tc>
        <w:tc>
          <w:tcPr>
            <w:tcW w:w="512" w:type="pct"/>
            <w:shd w:val="clear" w:color="auto" w:fill="auto"/>
            <w:tcMar>
              <w:top w:w="12" w:type="dxa"/>
              <w:left w:w="12" w:type="dxa"/>
              <w:bottom w:w="0" w:type="dxa"/>
              <w:right w:w="12" w:type="dxa"/>
            </w:tcMar>
            <w:vAlign w:val="bottom"/>
            <w:hideMark/>
          </w:tcPr>
          <w:p w14:paraId="07386F99" w14:textId="77777777" w:rsidR="00235611" w:rsidRPr="002B5189" w:rsidRDefault="00235611" w:rsidP="004E1487">
            <w:pPr>
              <w:jc w:val="center"/>
              <w:rPr>
                <w:sz w:val="22"/>
                <w:szCs w:val="22"/>
              </w:rPr>
            </w:pPr>
            <w:r w:rsidRPr="002B5189">
              <w:rPr>
                <w:sz w:val="22"/>
                <w:szCs w:val="22"/>
              </w:rPr>
              <w:t>2nd</w:t>
            </w:r>
          </w:p>
          <w:p w14:paraId="1B1DF5EF" w14:textId="77777777" w:rsidR="00235611" w:rsidRPr="002B5189" w:rsidRDefault="00235611" w:rsidP="004E1487">
            <w:pPr>
              <w:jc w:val="center"/>
              <w:rPr>
                <w:sz w:val="22"/>
                <w:szCs w:val="22"/>
              </w:rPr>
            </w:pPr>
            <w:r w:rsidRPr="002B5189">
              <w:rPr>
                <w:sz w:val="22"/>
                <w:szCs w:val="22"/>
              </w:rPr>
              <w:t>Follow-up</w:t>
            </w:r>
          </w:p>
        </w:tc>
      </w:tr>
      <w:tr w:rsidR="008568E9" w:rsidRPr="002B5189" w14:paraId="14BDB6B8" w14:textId="77777777" w:rsidTr="004E1487">
        <w:trPr>
          <w:trHeight w:val="20"/>
        </w:trPr>
        <w:tc>
          <w:tcPr>
            <w:tcW w:w="3080" w:type="pct"/>
            <w:shd w:val="clear" w:color="auto" w:fill="EEECE1"/>
            <w:tcMar>
              <w:top w:w="12" w:type="dxa"/>
              <w:left w:w="12" w:type="dxa"/>
              <w:bottom w:w="0" w:type="dxa"/>
              <w:right w:w="12" w:type="dxa"/>
            </w:tcMar>
            <w:vAlign w:val="bottom"/>
            <w:hideMark/>
          </w:tcPr>
          <w:p w14:paraId="649996EA" w14:textId="77777777" w:rsidR="00235611" w:rsidRPr="002B5189" w:rsidRDefault="00235611" w:rsidP="004E1487">
            <w:r w:rsidRPr="002B5189">
              <w:t>Sample Member Survey</w:t>
            </w:r>
          </w:p>
        </w:tc>
        <w:tc>
          <w:tcPr>
            <w:tcW w:w="484" w:type="pct"/>
            <w:shd w:val="clear" w:color="auto" w:fill="EEECE1"/>
            <w:tcMar>
              <w:top w:w="12" w:type="dxa"/>
              <w:left w:w="12" w:type="dxa"/>
              <w:bottom w:w="0" w:type="dxa"/>
              <w:right w:w="12" w:type="dxa"/>
            </w:tcMar>
            <w:vAlign w:val="bottom"/>
            <w:hideMark/>
          </w:tcPr>
          <w:p w14:paraId="733F8CF6" w14:textId="77777777" w:rsidR="00235611" w:rsidRPr="002B5189" w:rsidRDefault="00235611" w:rsidP="004E1487">
            <w:pPr>
              <w:jc w:val="center"/>
            </w:pPr>
            <w:r w:rsidRPr="002B5189">
              <w:t>◊</w:t>
            </w:r>
          </w:p>
        </w:tc>
        <w:tc>
          <w:tcPr>
            <w:tcW w:w="526" w:type="pct"/>
            <w:shd w:val="clear" w:color="auto" w:fill="EEECE1"/>
            <w:tcMar>
              <w:top w:w="12" w:type="dxa"/>
              <w:left w:w="12" w:type="dxa"/>
              <w:bottom w:w="0" w:type="dxa"/>
              <w:right w:w="12" w:type="dxa"/>
            </w:tcMar>
            <w:vAlign w:val="bottom"/>
            <w:hideMark/>
          </w:tcPr>
          <w:p w14:paraId="680FA02B" w14:textId="77777777" w:rsidR="00235611" w:rsidRPr="002B5189" w:rsidRDefault="00235611" w:rsidP="004E1487">
            <w:pPr>
              <w:jc w:val="center"/>
            </w:pPr>
            <w:r w:rsidRPr="002B5189">
              <w:t>◊</w:t>
            </w:r>
          </w:p>
        </w:tc>
        <w:tc>
          <w:tcPr>
            <w:tcW w:w="399" w:type="pct"/>
            <w:shd w:val="clear" w:color="auto" w:fill="EEECE1"/>
            <w:tcMar>
              <w:top w:w="12" w:type="dxa"/>
              <w:left w:w="12" w:type="dxa"/>
              <w:bottom w:w="0" w:type="dxa"/>
              <w:right w:w="12" w:type="dxa"/>
            </w:tcMar>
            <w:vAlign w:val="bottom"/>
            <w:hideMark/>
          </w:tcPr>
          <w:p w14:paraId="3A80738E" w14:textId="77777777" w:rsidR="00235611" w:rsidRPr="002B5189" w:rsidRDefault="00235611" w:rsidP="004E1487">
            <w:pPr>
              <w:jc w:val="center"/>
            </w:pPr>
            <w:r w:rsidRPr="002B5189">
              <w:t>◊</w:t>
            </w:r>
          </w:p>
        </w:tc>
        <w:tc>
          <w:tcPr>
            <w:tcW w:w="512" w:type="pct"/>
            <w:shd w:val="clear" w:color="auto" w:fill="EEECE1"/>
            <w:tcMar>
              <w:top w:w="12" w:type="dxa"/>
              <w:left w:w="12" w:type="dxa"/>
              <w:bottom w:w="0" w:type="dxa"/>
              <w:right w:w="12" w:type="dxa"/>
            </w:tcMar>
            <w:vAlign w:val="bottom"/>
            <w:hideMark/>
          </w:tcPr>
          <w:p w14:paraId="6CDDD192" w14:textId="77777777" w:rsidR="00235611" w:rsidRPr="002B5189" w:rsidRDefault="00235611" w:rsidP="004E1487">
            <w:pPr>
              <w:jc w:val="center"/>
            </w:pPr>
            <w:r w:rsidRPr="002B5189">
              <w:t>◊</w:t>
            </w:r>
          </w:p>
        </w:tc>
      </w:tr>
      <w:tr w:rsidR="008568E9" w:rsidRPr="002B5189" w14:paraId="49171EB5" w14:textId="77777777" w:rsidTr="001C6397">
        <w:trPr>
          <w:trHeight w:val="20"/>
        </w:trPr>
        <w:tc>
          <w:tcPr>
            <w:tcW w:w="3080" w:type="pct"/>
            <w:shd w:val="clear" w:color="auto" w:fill="auto"/>
            <w:tcMar>
              <w:top w:w="12" w:type="dxa"/>
              <w:left w:w="12" w:type="dxa"/>
              <w:bottom w:w="0" w:type="dxa"/>
              <w:right w:w="12" w:type="dxa"/>
            </w:tcMar>
            <w:vAlign w:val="bottom"/>
            <w:hideMark/>
          </w:tcPr>
          <w:p w14:paraId="4D175AE1" w14:textId="77777777" w:rsidR="00235611" w:rsidRPr="002B5189" w:rsidRDefault="00235611" w:rsidP="004E1487">
            <w:r w:rsidRPr="002B5189">
              <w:t>Sample Member Math Assessment</w:t>
            </w:r>
          </w:p>
        </w:tc>
        <w:tc>
          <w:tcPr>
            <w:tcW w:w="484" w:type="pct"/>
            <w:shd w:val="clear" w:color="auto" w:fill="auto"/>
            <w:tcMar>
              <w:top w:w="12" w:type="dxa"/>
              <w:left w:w="12" w:type="dxa"/>
              <w:bottom w:w="0" w:type="dxa"/>
              <w:right w:w="12" w:type="dxa"/>
            </w:tcMar>
            <w:vAlign w:val="bottom"/>
            <w:hideMark/>
          </w:tcPr>
          <w:p w14:paraId="14063FC2" w14:textId="77777777" w:rsidR="00235611" w:rsidRPr="002B5189" w:rsidRDefault="00235611" w:rsidP="004E1487">
            <w:pPr>
              <w:jc w:val="center"/>
            </w:pPr>
            <w:r w:rsidRPr="002B5189">
              <w:t>◊</w:t>
            </w:r>
          </w:p>
        </w:tc>
        <w:tc>
          <w:tcPr>
            <w:tcW w:w="526" w:type="pct"/>
            <w:shd w:val="clear" w:color="auto" w:fill="auto"/>
            <w:tcMar>
              <w:top w:w="12" w:type="dxa"/>
              <w:left w:w="12" w:type="dxa"/>
              <w:bottom w:w="0" w:type="dxa"/>
              <w:right w:w="12" w:type="dxa"/>
            </w:tcMar>
            <w:vAlign w:val="bottom"/>
            <w:hideMark/>
          </w:tcPr>
          <w:p w14:paraId="4EC8BD08" w14:textId="77777777" w:rsidR="00235611" w:rsidRPr="002B5189" w:rsidRDefault="00235611" w:rsidP="004E1487">
            <w:pPr>
              <w:jc w:val="center"/>
            </w:pPr>
            <w:r w:rsidRPr="002B5189">
              <w:t>◊</w:t>
            </w:r>
          </w:p>
        </w:tc>
        <w:tc>
          <w:tcPr>
            <w:tcW w:w="399" w:type="pct"/>
            <w:shd w:val="clear" w:color="auto" w:fill="auto"/>
            <w:tcMar>
              <w:top w:w="12" w:type="dxa"/>
              <w:left w:w="12" w:type="dxa"/>
              <w:bottom w:w="0" w:type="dxa"/>
              <w:right w:w="12" w:type="dxa"/>
            </w:tcMar>
            <w:vAlign w:val="bottom"/>
            <w:hideMark/>
          </w:tcPr>
          <w:p w14:paraId="0608C7A8" w14:textId="77777777" w:rsidR="00235611" w:rsidRPr="002B5189" w:rsidRDefault="00235611" w:rsidP="004E1487">
            <w:pPr>
              <w:jc w:val="center"/>
            </w:pPr>
          </w:p>
        </w:tc>
        <w:tc>
          <w:tcPr>
            <w:tcW w:w="512" w:type="pct"/>
            <w:shd w:val="clear" w:color="auto" w:fill="auto"/>
            <w:tcMar>
              <w:top w:w="12" w:type="dxa"/>
              <w:left w:w="12" w:type="dxa"/>
              <w:bottom w:w="0" w:type="dxa"/>
              <w:right w:w="12" w:type="dxa"/>
            </w:tcMar>
            <w:vAlign w:val="bottom"/>
            <w:hideMark/>
          </w:tcPr>
          <w:p w14:paraId="19E03327" w14:textId="77777777" w:rsidR="00235611" w:rsidRPr="002B5189" w:rsidRDefault="00235611" w:rsidP="004E1487">
            <w:pPr>
              <w:jc w:val="center"/>
            </w:pPr>
          </w:p>
        </w:tc>
      </w:tr>
      <w:tr w:rsidR="008568E9" w:rsidRPr="002B5189" w14:paraId="21FFC33B" w14:textId="77777777" w:rsidTr="004E1487">
        <w:trPr>
          <w:trHeight w:val="20"/>
        </w:trPr>
        <w:tc>
          <w:tcPr>
            <w:tcW w:w="3080" w:type="pct"/>
            <w:shd w:val="clear" w:color="auto" w:fill="EEECE1"/>
            <w:tcMar>
              <w:top w:w="12" w:type="dxa"/>
              <w:left w:w="12" w:type="dxa"/>
              <w:bottom w:w="0" w:type="dxa"/>
              <w:right w:w="12" w:type="dxa"/>
            </w:tcMar>
            <w:vAlign w:val="bottom"/>
            <w:hideMark/>
          </w:tcPr>
          <w:p w14:paraId="1701E0CB" w14:textId="77777777" w:rsidR="00235611" w:rsidRPr="002B5189" w:rsidRDefault="00235611" w:rsidP="004E1487">
            <w:r w:rsidRPr="002B5189">
              <w:t>Parent Survey</w:t>
            </w:r>
          </w:p>
        </w:tc>
        <w:tc>
          <w:tcPr>
            <w:tcW w:w="484" w:type="pct"/>
            <w:shd w:val="clear" w:color="auto" w:fill="EEECE1"/>
            <w:tcMar>
              <w:top w:w="12" w:type="dxa"/>
              <w:left w:w="12" w:type="dxa"/>
              <w:bottom w:w="0" w:type="dxa"/>
              <w:right w:w="12" w:type="dxa"/>
            </w:tcMar>
            <w:vAlign w:val="bottom"/>
            <w:hideMark/>
          </w:tcPr>
          <w:p w14:paraId="3E1999D2" w14:textId="77777777" w:rsidR="00235611" w:rsidRPr="002B5189" w:rsidRDefault="00235611" w:rsidP="004E1487">
            <w:pPr>
              <w:jc w:val="center"/>
            </w:pPr>
            <w:r w:rsidRPr="002B5189">
              <w:t>◊</w:t>
            </w:r>
          </w:p>
        </w:tc>
        <w:tc>
          <w:tcPr>
            <w:tcW w:w="526" w:type="pct"/>
            <w:shd w:val="clear" w:color="auto" w:fill="EEECE1"/>
            <w:tcMar>
              <w:top w:w="12" w:type="dxa"/>
              <w:left w:w="12" w:type="dxa"/>
              <w:bottom w:w="0" w:type="dxa"/>
              <w:right w:w="12" w:type="dxa"/>
            </w:tcMar>
            <w:vAlign w:val="bottom"/>
            <w:hideMark/>
          </w:tcPr>
          <w:p w14:paraId="772EF177" w14:textId="77777777" w:rsidR="00235611" w:rsidRPr="002B5189" w:rsidRDefault="00235611" w:rsidP="004E1487">
            <w:pPr>
              <w:jc w:val="center"/>
            </w:pPr>
            <w:r w:rsidRPr="002B5189">
              <w:t>◊</w:t>
            </w:r>
          </w:p>
        </w:tc>
        <w:tc>
          <w:tcPr>
            <w:tcW w:w="399" w:type="pct"/>
            <w:shd w:val="clear" w:color="auto" w:fill="EEECE1"/>
            <w:tcMar>
              <w:top w:w="12" w:type="dxa"/>
              <w:left w:w="12" w:type="dxa"/>
              <w:bottom w:w="0" w:type="dxa"/>
              <w:right w:w="12" w:type="dxa"/>
            </w:tcMar>
            <w:vAlign w:val="bottom"/>
            <w:hideMark/>
          </w:tcPr>
          <w:p w14:paraId="5EF25CD0" w14:textId="77777777" w:rsidR="00235611" w:rsidRPr="002B5189" w:rsidRDefault="00235611" w:rsidP="004E1487">
            <w:pPr>
              <w:jc w:val="center"/>
            </w:pPr>
          </w:p>
        </w:tc>
        <w:tc>
          <w:tcPr>
            <w:tcW w:w="512" w:type="pct"/>
            <w:shd w:val="clear" w:color="auto" w:fill="EEECE1"/>
            <w:tcMar>
              <w:top w:w="12" w:type="dxa"/>
              <w:left w:w="12" w:type="dxa"/>
              <w:bottom w:w="0" w:type="dxa"/>
              <w:right w:w="12" w:type="dxa"/>
            </w:tcMar>
            <w:vAlign w:val="bottom"/>
            <w:hideMark/>
          </w:tcPr>
          <w:p w14:paraId="12DF77B3" w14:textId="77777777" w:rsidR="00235611" w:rsidRPr="002B5189" w:rsidRDefault="00235611" w:rsidP="004E1487">
            <w:pPr>
              <w:jc w:val="center"/>
            </w:pPr>
          </w:p>
        </w:tc>
      </w:tr>
      <w:tr w:rsidR="008568E9" w:rsidRPr="002B5189" w14:paraId="2DE80166" w14:textId="77777777" w:rsidTr="001C6397">
        <w:trPr>
          <w:trHeight w:val="20"/>
        </w:trPr>
        <w:tc>
          <w:tcPr>
            <w:tcW w:w="3080" w:type="pct"/>
            <w:shd w:val="clear" w:color="auto" w:fill="auto"/>
            <w:tcMar>
              <w:top w:w="12" w:type="dxa"/>
              <w:left w:w="12" w:type="dxa"/>
              <w:bottom w:w="0" w:type="dxa"/>
              <w:right w:w="12" w:type="dxa"/>
            </w:tcMar>
            <w:vAlign w:val="bottom"/>
            <w:hideMark/>
          </w:tcPr>
          <w:p w14:paraId="6BF1608F" w14:textId="77777777" w:rsidR="00235611" w:rsidRPr="002B5189" w:rsidRDefault="00235611" w:rsidP="004E1487">
            <w:r w:rsidRPr="002B5189">
              <w:t>School Counselor Survey</w:t>
            </w:r>
          </w:p>
        </w:tc>
        <w:tc>
          <w:tcPr>
            <w:tcW w:w="484" w:type="pct"/>
            <w:shd w:val="clear" w:color="auto" w:fill="auto"/>
            <w:tcMar>
              <w:top w:w="12" w:type="dxa"/>
              <w:left w:w="12" w:type="dxa"/>
              <w:bottom w:w="0" w:type="dxa"/>
              <w:right w:w="12" w:type="dxa"/>
            </w:tcMar>
            <w:vAlign w:val="bottom"/>
            <w:hideMark/>
          </w:tcPr>
          <w:p w14:paraId="26123BA5" w14:textId="77777777" w:rsidR="00235611" w:rsidRPr="002B5189" w:rsidRDefault="00235611" w:rsidP="004E1487">
            <w:pPr>
              <w:jc w:val="center"/>
            </w:pPr>
            <w:r w:rsidRPr="002B5189">
              <w:t>◊</w:t>
            </w:r>
          </w:p>
        </w:tc>
        <w:tc>
          <w:tcPr>
            <w:tcW w:w="526" w:type="pct"/>
            <w:shd w:val="clear" w:color="auto" w:fill="auto"/>
            <w:tcMar>
              <w:top w:w="12" w:type="dxa"/>
              <w:left w:w="12" w:type="dxa"/>
              <w:bottom w:w="0" w:type="dxa"/>
              <w:right w:w="12" w:type="dxa"/>
            </w:tcMar>
            <w:vAlign w:val="bottom"/>
            <w:hideMark/>
          </w:tcPr>
          <w:p w14:paraId="2486FFC9" w14:textId="77777777" w:rsidR="00235611" w:rsidRPr="002B5189" w:rsidRDefault="00235611" w:rsidP="004E1487">
            <w:pPr>
              <w:jc w:val="center"/>
            </w:pPr>
            <w:r w:rsidRPr="002B5189">
              <w:t>◊</w:t>
            </w:r>
          </w:p>
        </w:tc>
        <w:tc>
          <w:tcPr>
            <w:tcW w:w="399" w:type="pct"/>
            <w:shd w:val="clear" w:color="auto" w:fill="auto"/>
            <w:tcMar>
              <w:top w:w="12" w:type="dxa"/>
              <w:left w:w="12" w:type="dxa"/>
              <w:bottom w:w="0" w:type="dxa"/>
              <w:right w:w="12" w:type="dxa"/>
            </w:tcMar>
            <w:vAlign w:val="bottom"/>
            <w:hideMark/>
          </w:tcPr>
          <w:p w14:paraId="6A0F8980" w14:textId="77777777" w:rsidR="00235611" w:rsidRPr="002B5189" w:rsidRDefault="00235611" w:rsidP="004E1487">
            <w:pPr>
              <w:jc w:val="center"/>
            </w:pPr>
          </w:p>
        </w:tc>
        <w:tc>
          <w:tcPr>
            <w:tcW w:w="512" w:type="pct"/>
            <w:shd w:val="clear" w:color="auto" w:fill="auto"/>
            <w:tcMar>
              <w:top w:w="12" w:type="dxa"/>
              <w:left w:w="12" w:type="dxa"/>
              <w:bottom w:w="0" w:type="dxa"/>
              <w:right w:w="12" w:type="dxa"/>
            </w:tcMar>
            <w:vAlign w:val="bottom"/>
            <w:hideMark/>
          </w:tcPr>
          <w:p w14:paraId="711AD847" w14:textId="77777777" w:rsidR="00235611" w:rsidRPr="002B5189" w:rsidRDefault="00235611" w:rsidP="004E1487">
            <w:pPr>
              <w:jc w:val="center"/>
            </w:pPr>
          </w:p>
        </w:tc>
      </w:tr>
      <w:tr w:rsidR="008568E9" w:rsidRPr="002B5189" w14:paraId="4FF17D51" w14:textId="77777777" w:rsidTr="004E1487">
        <w:trPr>
          <w:trHeight w:val="20"/>
        </w:trPr>
        <w:tc>
          <w:tcPr>
            <w:tcW w:w="3080" w:type="pct"/>
            <w:shd w:val="clear" w:color="auto" w:fill="EEECE1"/>
            <w:tcMar>
              <w:top w:w="12" w:type="dxa"/>
              <w:left w:w="12" w:type="dxa"/>
              <w:bottom w:w="0" w:type="dxa"/>
              <w:right w:w="12" w:type="dxa"/>
            </w:tcMar>
            <w:vAlign w:val="bottom"/>
            <w:hideMark/>
          </w:tcPr>
          <w:p w14:paraId="388A6538" w14:textId="77777777" w:rsidR="00235611" w:rsidRPr="002B5189" w:rsidRDefault="00235611" w:rsidP="004E1487">
            <w:r w:rsidRPr="002B5189">
              <w:t>School Administrator Survey</w:t>
            </w:r>
          </w:p>
        </w:tc>
        <w:tc>
          <w:tcPr>
            <w:tcW w:w="484" w:type="pct"/>
            <w:shd w:val="clear" w:color="auto" w:fill="EEECE1"/>
            <w:tcMar>
              <w:top w:w="12" w:type="dxa"/>
              <w:left w:w="12" w:type="dxa"/>
              <w:bottom w:w="0" w:type="dxa"/>
              <w:right w:w="12" w:type="dxa"/>
            </w:tcMar>
            <w:vAlign w:val="bottom"/>
            <w:hideMark/>
          </w:tcPr>
          <w:p w14:paraId="3059F3E8" w14:textId="77777777" w:rsidR="00235611" w:rsidRPr="002B5189" w:rsidRDefault="00235611" w:rsidP="004E1487">
            <w:pPr>
              <w:jc w:val="center"/>
            </w:pPr>
            <w:r w:rsidRPr="002B5189">
              <w:t>◊</w:t>
            </w:r>
          </w:p>
        </w:tc>
        <w:tc>
          <w:tcPr>
            <w:tcW w:w="526" w:type="pct"/>
            <w:shd w:val="clear" w:color="auto" w:fill="EEECE1"/>
            <w:tcMar>
              <w:top w:w="12" w:type="dxa"/>
              <w:left w:w="12" w:type="dxa"/>
              <w:bottom w:w="0" w:type="dxa"/>
              <w:right w:w="12" w:type="dxa"/>
            </w:tcMar>
            <w:vAlign w:val="bottom"/>
            <w:hideMark/>
          </w:tcPr>
          <w:p w14:paraId="05EEC79A" w14:textId="77777777" w:rsidR="00235611" w:rsidRPr="002B5189" w:rsidRDefault="00235611" w:rsidP="004E1487">
            <w:pPr>
              <w:jc w:val="center"/>
            </w:pPr>
            <w:r w:rsidRPr="002B5189">
              <w:t>◊</w:t>
            </w:r>
          </w:p>
        </w:tc>
        <w:tc>
          <w:tcPr>
            <w:tcW w:w="399" w:type="pct"/>
            <w:shd w:val="clear" w:color="auto" w:fill="EEECE1"/>
            <w:tcMar>
              <w:top w:w="12" w:type="dxa"/>
              <w:left w:w="12" w:type="dxa"/>
              <w:bottom w:w="0" w:type="dxa"/>
              <w:right w:w="12" w:type="dxa"/>
            </w:tcMar>
            <w:vAlign w:val="bottom"/>
            <w:hideMark/>
          </w:tcPr>
          <w:p w14:paraId="346C1AE4" w14:textId="77777777" w:rsidR="00235611" w:rsidRPr="002B5189" w:rsidRDefault="00235611" w:rsidP="004E1487">
            <w:pPr>
              <w:jc w:val="center"/>
            </w:pPr>
          </w:p>
        </w:tc>
        <w:tc>
          <w:tcPr>
            <w:tcW w:w="512" w:type="pct"/>
            <w:shd w:val="clear" w:color="auto" w:fill="EEECE1"/>
            <w:tcMar>
              <w:top w:w="12" w:type="dxa"/>
              <w:left w:w="12" w:type="dxa"/>
              <w:bottom w:w="0" w:type="dxa"/>
              <w:right w:w="12" w:type="dxa"/>
            </w:tcMar>
            <w:vAlign w:val="bottom"/>
            <w:hideMark/>
          </w:tcPr>
          <w:p w14:paraId="32505C4B" w14:textId="77777777" w:rsidR="00235611" w:rsidRPr="002B5189" w:rsidRDefault="00235611" w:rsidP="004E1487">
            <w:pPr>
              <w:jc w:val="center"/>
            </w:pPr>
          </w:p>
        </w:tc>
      </w:tr>
      <w:tr w:rsidR="008568E9" w:rsidRPr="002B5189" w14:paraId="40615364" w14:textId="77777777" w:rsidTr="001C6397">
        <w:trPr>
          <w:trHeight w:val="20"/>
        </w:trPr>
        <w:tc>
          <w:tcPr>
            <w:tcW w:w="3080" w:type="pct"/>
            <w:shd w:val="clear" w:color="auto" w:fill="auto"/>
            <w:tcMar>
              <w:top w:w="12" w:type="dxa"/>
              <w:left w:w="12" w:type="dxa"/>
              <w:bottom w:w="0" w:type="dxa"/>
              <w:right w:w="12" w:type="dxa"/>
            </w:tcMar>
            <w:vAlign w:val="bottom"/>
            <w:hideMark/>
          </w:tcPr>
          <w:p w14:paraId="7E615E9E" w14:textId="77777777" w:rsidR="00235611" w:rsidRPr="002B5189" w:rsidRDefault="00235611" w:rsidP="004E1487">
            <w:r w:rsidRPr="002B5189">
              <w:t>Math Teacher Survey</w:t>
            </w:r>
          </w:p>
        </w:tc>
        <w:tc>
          <w:tcPr>
            <w:tcW w:w="484" w:type="pct"/>
            <w:shd w:val="clear" w:color="auto" w:fill="auto"/>
            <w:tcMar>
              <w:top w:w="12" w:type="dxa"/>
              <w:left w:w="12" w:type="dxa"/>
              <w:bottom w:w="0" w:type="dxa"/>
              <w:right w:w="12" w:type="dxa"/>
            </w:tcMar>
            <w:vAlign w:val="bottom"/>
            <w:hideMark/>
          </w:tcPr>
          <w:p w14:paraId="7877DD90" w14:textId="77777777" w:rsidR="00235611" w:rsidRPr="002B5189" w:rsidRDefault="00235611" w:rsidP="004E1487">
            <w:pPr>
              <w:jc w:val="center"/>
            </w:pPr>
            <w:r w:rsidRPr="002B5189">
              <w:t>◊</w:t>
            </w:r>
          </w:p>
        </w:tc>
        <w:tc>
          <w:tcPr>
            <w:tcW w:w="526" w:type="pct"/>
            <w:shd w:val="clear" w:color="auto" w:fill="auto"/>
            <w:tcMar>
              <w:top w:w="12" w:type="dxa"/>
              <w:left w:w="12" w:type="dxa"/>
              <w:bottom w:w="0" w:type="dxa"/>
              <w:right w:w="12" w:type="dxa"/>
            </w:tcMar>
            <w:vAlign w:val="bottom"/>
            <w:hideMark/>
          </w:tcPr>
          <w:p w14:paraId="297BDB6B" w14:textId="77777777" w:rsidR="00235611" w:rsidRPr="002B5189" w:rsidRDefault="00235611" w:rsidP="004E1487">
            <w:pPr>
              <w:jc w:val="center"/>
            </w:pPr>
          </w:p>
        </w:tc>
        <w:tc>
          <w:tcPr>
            <w:tcW w:w="399" w:type="pct"/>
            <w:shd w:val="clear" w:color="auto" w:fill="auto"/>
            <w:tcMar>
              <w:top w:w="12" w:type="dxa"/>
              <w:left w:w="12" w:type="dxa"/>
              <w:bottom w:w="0" w:type="dxa"/>
              <w:right w:w="12" w:type="dxa"/>
            </w:tcMar>
            <w:vAlign w:val="bottom"/>
            <w:hideMark/>
          </w:tcPr>
          <w:p w14:paraId="0F9D6653" w14:textId="77777777" w:rsidR="00235611" w:rsidRPr="002B5189" w:rsidRDefault="00235611" w:rsidP="004E1487">
            <w:pPr>
              <w:jc w:val="center"/>
            </w:pPr>
          </w:p>
        </w:tc>
        <w:tc>
          <w:tcPr>
            <w:tcW w:w="512" w:type="pct"/>
            <w:shd w:val="clear" w:color="auto" w:fill="auto"/>
            <w:tcMar>
              <w:top w:w="12" w:type="dxa"/>
              <w:left w:w="12" w:type="dxa"/>
              <w:bottom w:w="0" w:type="dxa"/>
              <w:right w:w="12" w:type="dxa"/>
            </w:tcMar>
            <w:vAlign w:val="bottom"/>
            <w:hideMark/>
          </w:tcPr>
          <w:p w14:paraId="246B3873" w14:textId="77777777" w:rsidR="00235611" w:rsidRPr="002B5189" w:rsidRDefault="00235611" w:rsidP="004E1487">
            <w:pPr>
              <w:jc w:val="center"/>
            </w:pPr>
          </w:p>
        </w:tc>
      </w:tr>
      <w:tr w:rsidR="008568E9" w:rsidRPr="002B5189" w14:paraId="24B40095" w14:textId="77777777" w:rsidTr="004E1487">
        <w:trPr>
          <w:trHeight w:val="20"/>
        </w:trPr>
        <w:tc>
          <w:tcPr>
            <w:tcW w:w="3080" w:type="pct"/>
            <w:shd w:val="clear" w:color="auto" w:fill="EEECE1"/>
            <w:tcMar>
              <w:top w:w="12" w:type="dxa"/>
              <w:left w:w="12" w:type="dxa"/>
              <w:bottom w:w="0" w:type="dxa"/>
              <w:right w:w="12" w:type="dxa"/>
            </w:tcMar>
            <w:vAlign w:val="bottom"/>
            <w:hideMark/>
          </w:tcPr>
          <w:p w14:paraId="70C90555" w14:textId="77777777" w:rsidR="00235611" w:rsidRPr="002B5189" w:rsidRDefault="00235611" w:rsidP="004E1487">
            <w:r w:rsidRPr="002B5189">
              <w:t>Science Teacher Survey</w:t>
            </w:r>
          </w:p>
        </w:tc>
        <w:tc>
          <w:tcPr>
            <w:tcW w:w="484" w:type="pct"/>
            <w:shd w:val="clear" w:color="auto" w:fill="EEECE1"/>
            <w:tcMar>
              <w:top w:w="12" w:type="dxa"/>
              <w:left w:w="12" w:type="dxa"/>
              <w:bottom w:w="0" w:type="dxa"/>
              <w:right w:w="12" w:type="dxa"/>
            </w:tcMar>
            <w:vAlign w:val="bottom"/>
            <w:hideMark/>
          </w:tcPr>
          <w:p w14:paraId="6ADE7E32" w14:textId="77777777" w:rsidR="00235611" w:rsidRPr="002B5189" w:rsidRDefault="00235611" w:rsidP="004E1487">
            <w:pPr>
              <w:jc w:val="center"/>
            </w:pPr>
            <w:r w:rsidRPr="002B5189">
              <w:t>◊</w:t>
            </w:r>
          </w:p>
        </w:tc>
        <w:tc>
          <w:tcPr>
            <w:tcW w:w="526" w:type="pct"/>
            <w:shd w:val="clear" w:color="auto" w:fill="EEECE1"/>
            <w:tcMar>
              <w:top w:w="12" w:type="dxa"/>
              <w:left w:w="12" w:type="dxa"/>
              <w:bottom w:w="0" w:type="dxa"/>
              <w:right w:w="12" w:type="dxa"/>
            </w:tcMar>
            <w:vAlign w:val="bottom"/>
            <w:hideMark/>
          </w:tcPr>
          <w:p w14:paraId="749C28CA" w14:textId="77777777" w:rsidR="00235611" w:rsidRPr="002B5189" w:rsidRDefault="00235611" w:rsidP="004E1487">
            <w:pPr>
              <w:jc w:val="center"/>
            </w:pPr>
          </w:p>
        </w:tc>
        <w:tc>
          <w:tcPr>
            <w:tcW w:w="399" w:type="pct"/>
            <w:shd w:val="clear" w:color="auto" w:fill="EEECE1"/>
            <w:tcMar>
              <w:top w:w="12" w:type="dxa"/>
              <w:left w:w="12" w:type="dxa"/>
              <w:bottom w:w="0" w:type="dxa"/>
              <w:right w:w="12" w:type="dxa"/>
            </w:tcMar>
            <w:vAlign w:val="bottom"/>
            <w:hideMark/>
          </w:tcPr>
          <w:p w14:paraId="25D5CB7D" w14:textId="77777777" w:rsidR="00235611" w:rsidRPr="002B5189" w:rsidRDefault="00235611" w:rsidP="004E1487">
            <w:pPr>
              <w:jc w:val="center"/>
            </w:pPr>
          </w:p>
        </w:tc>
        <w:tc>
          <w:tcPr>
            <w:tcW w:w="512" w:type="pct"/>
            <w:shd w:val="clear" w:color="auto" w:fill="EEECE1"/>
            <w:tcMar>
              <w:top w:w="12" w:type="dxa"/>
              <w:left w:w="12" w:type="dxa"/>
              <w:bottom w:w="0" w:type="dxa"/>
              <w:right w:w="12" w:type="dxa"/>
            </w:tcMar>
            <w:vAlign w:val="bottom"/>
            <w:hideMark/>
          </w:tcPr>
          <w:p w14:paraId="15EC48DD" w14:textId="77777777" w:rsidR="00235611" w:rsidRPr="002B5189" w:rsidRDefault="00235611" w:rsidP="004E1487">
            <w:pPr>
              <w:jc w:val="center"/>
            </w:pPr>
          </w:p>
        </w:tc>
      </w:tr>
      <w:tr w:rsidR="008568E9" w:rsidRPr="002B5189" w14:paraId="63042A58" w14:textId="77777777" w:rsidTr="001C6397">
        <w:trPr>
          <w:trHeight w:val="20"/>
        </w:trPr>
        <w:tc>
          <w:tcPr>
            <w:tcW w:w="3080" w:type="pct"/>
            <w:shd w:val="clear" w:color="auto" w:fill="auto"/>
            <w:tcMar>
              <w:top w:w="12" w:type="dxa"/>
              <w:left w:w="12" w:type="dxa"/>
              <w:bottom w:w="0" w:type="dxa"/>
              <w:right w:w="12" w:type="dxa"/>
            </w:tcMar>
            <w:vAlign w:val="bottom"/>
            <w:hideMark/>
          </w:tcPr>
          <w:p w14:paraId="288713BF" w14:textId="77777777" w:rsidR="00235611" w:rsidRPr="002B5189" w:rsidRDefault="00235611" w:rsidP="004E1487">
            <w:r w:rsidRPr="002B5189">
              <w:t>High School Transcripts</w:t>
            </w:r>
          </w:p>
        </w:tc>
        <w:tc>
          <w:tcPr>
            <w:tcW w:w="484" w:type="pct"/>
            <w:shd w:val="clear" w:color="auto" w:fill="auto"/>
            <w:tcMar>
              <w:top w:w="12" w:type="dxa"/>
              <w:left w:w="12" w:type="dxa"/>
              <w:bottom w:w="0" w:type="dxa"/>
              <w:right w:w="12" w:type="dxa"/>
            </w:tcMar>
            <w:vAlign w:val="bottom"/>
            <w:hideMark/>
          </w:tcPr>
          <w:p w14:paraId="610D4207" w14:textId="77777777" w:rsidR="00235611" w:rsidRPr="002B5189" w:rsidRDefault="00235611" w:rsidP="004E1487">
            <w:pPr>
              <w:jc w:val="center"/>
            </w:pPr>
          </w:p>
        </w:tc>
        <w:tc>
          <w:tcPr>
            <w:tcW w:w="526" w:type="pct"/>
            <w:shd w:val="clear" w:color="auto" w:fill="auto"/>
            <w:tcMar>
              <w:top w:w="12" w:type="dxa"/>
              <w:left w:w="12" w:type="dxa"/>
              <w:bottom w:w="0" w:type="dxa"/>
              <w:right w:w="12" w:type="dxa"/>
            </w:tcMar>
            <w:vAlign w:val="bottom"/>
            <w:hideMark/>
          </w:tcPr>
          <w:p w14:paraId="54AAF6DC" w14:textId="77777777" w:rsidR="00235611" w:rsidRPr="002B5189" w:rsidRDefault="00235611" w:rsidP="004E1487">
            <w:pPr>
              <w:jc w:val="center"/>
            </w:pPr>
          </w:p>
        </w:tc>
        <w:tc>
          <w:tcPr>
            <w:tcW w:w="399" w:type="pct"/>
            <w:shd w:val="clear" w:color="auto" w:fill="auto"/>
            <w:tcMar>
              <w:top w:w="12" w:type="dxa"/>
              <w:left w:w="12" w:type="dxa"/>
              <w:bottom w:w="0" w:type="dxa"/>
              <w:right w:w="12" w:type="dxa"/>
            </w:tcMar>
            <w:vAlign w:val="bottom"/>
            <w:hideMark/>
          </w:tcPr>
          <w:p w14:paraId="3DCD3A7A" w14:textId="77777777" w:rsidR="00235611" w:rsidRPr="002B5189" w:rsidRDefault="00235611" w:rsidP="004E1487">
            <w:pPr>
              <w:jc w:val="center"/>
            </w:pPr>
            <w:r w:rsidRPr="002B5189">
              <w:t>◊</w:t>
            </w:r>
          </w:p>
        </w:tc>
        <w:tc>
          <w:tcPr>
            <w:tcW w:w="512" w:type="pct"/>
            <w:shd w:val="clear" w:color="auto" w:fill="auto"/>
            <w:tcMar>
              <w:top w:w="12" w:type="dxa"/>
              <w:left w:w="12" w:type="dxa"/>
              <w:bottom w:w="0" w:type="dxa"/>
              <w:right w:w="12" w:type="dxa"/>
            </w:tcMar>
            <w:vAlign w:val="bottom"/>
            <w:hideMark/>
          </w:tcPr>
          <w:p w14:paraId="05492B06" w14:textId="77777777" w:rsidR="00235611" w:rsidRPr="002B5189" w:rsidRDefault="00235611" w:rsidP="004E1487">
            <w:pPr>
              <w:jc w:val="center"/>
            </w:pPr>
          </w:p>
        </w:tc>
      </w:tr>
      <w:tr w:rsidR="008568E9" w:rsidRPr="002B5189" w14:paraId="2E581D0B" w14:textId="77777777" w:rsidTr="004E1487">
        <w:trPr>
          <w:trHeight w:val="20"/>
        </w:trPr>
        <w:tc>
          <w:tcPr>
            <w:tcW w:w="3080" w:type="pct"/>
            <w:shd w:val="clear" w:color="auto" w:fill="EEECE1"/>
            <w:tcMar>
              <w:top w:w="12" w:type="dxa"/>
              <w:left w:w="12" w:type="dxa"/>
              <w:bottom w:w="0" w:type="dxa"/>
              <w:right w:w="12" w:type="dxa"/>
            </w:tcMar>
            <w:vAlign w:val="bottom"/>
            <w:hideMark/>
          </w:tcPr>
          <w:p w14:paraId="31D94F68" w14:textId="77777777" w:rsidR="00235611" w:rsidRPr="002B5189" w:rsidRDefault="00235611" w:rsidP="004E1487">
            <w:r w:rsidRPr="002B5189">
              <w:t>Postsecondary Transcripts</w:t>
            </w:r>
          </w:p>
        </w:tc>
        <w:tc>
          <w:tcPr>
            <w:tcW w:w="484" w:type="pct"/>
            <w:shd w:val="clear" w:color="auto" w:fill="EEECE1"/>
            <w:tcMar>
              <w:top w:w="12" w:type="dxa"/>
              <w:left w:w="12" w:type="dxa"/>
              <w:bottom w:w="0" w:type="dxa"/>
              <w:right w:w="12" w:type="dxa"/>
            </w:tcMar>
            <w:vAlign w:val="bottom"/>
            <w:hideMark/>
          </w:tcPr>
          <w:p w14:paraId="78C80FA9" w14:textId="77777777" w:rsidR="00235611" w:rsidRPr="002B5189" w:rsidRDefault="00235611" w:rsidP="004E1487">
            <w:pPr>
              <w:jc w:val="center"/>
            </w:pPr>
          </w:p>
        </w:tc>
        <w:tc>
          <w:tcPr>
            <w:tcW w:w="526" w:type="pct"/>
            <w:shd w:val="clear" w:color="auto" w:fill="EEECE1"/>
            <w:tcMar>
              <w:top w:w="12" w:type="dxa"/>
              <w:left w:w="12" w:type="dxa"/>
              <w:bottom w:w="0" w:type="dxa"/>
              <w:right w:w="12" w:type="dxa"/>
            </w:tcMar>
            <w:vAlign w:val="bottom"/>
            <w:hideMark/>
          </w:tcPr>
          <w:p w14:paraId="2E0DC028" w14:textId="77777777" w:rsidR="00235611" w:rsidRPr="002B5189" w:rsidRDefault="00235611" w:rsidP="004E1487">
            <w:pPr>
              <w:jc w:val="center"/>
            </w:pPr>
          </w:p>
        </w:tc>
        <w:tc>
          <w:tcPr>
            <w:tcW w:w="399" w:type="pct"/>
            <w:shd w:val="clear" w:color="auto" w:fill="EEECE1"/>
            <w:tcMar>
              <w:top w:w="12" w:type="dxa"/>
              <w:left w:w="12" w:type="dxa"/>
              <w:bottom w:w="0" w:type="dxa"/>
              <w:right w:w="12" w:type="dxa"/>
            </w:tcMar>
            <w:vAlign w:val="bottom"/>
            <w:hideMark/>
          </w:tcPr>
          <w:p w14:paraId="60917873" w14:textId="77777777" w:rsidR="00235611" w:rsidRPr="002B5189" w:rsidRDefault="00235611" w:rsidP="004E1487">
            <w:pPr>
              <w:jc w:val="center"/>
            </w:pPr>
          </w:p>
        </w:tc>
        <w:tc>
          <w:tcPr>
            <w:tcW w:w="512" w:type="pct"/>
            <w:shd w:val="clear" w:color="auto" w:fill="EEECE1"/>
            <w:tcMar>
              <w:top w:w="12" w:type="dxa"/>
              <w:left w:w="12" w:type="dxa"/>
              <w:bottom w:w="0" w:type="dxa"/>
              <w:right w:w="12" w:type="dxa"/>
            </w:tcMar>
            <w:vAlign w:val="bottom"/>
            <w:hideMark/>
          </w:tcPr>
          <w:p w14:paraId="47C6BD47" w14:textId="77777777" w:rsidR="00235611" w:rsidRPr="002B5189" w:rsidRDefault="00235611" w:rsidP="004E1487">
            <w:pPr>
              <w:jc w:val="center"/>
            </w:pPr>
            <w:r w:rsidRPr="002B5189">
              <w:t>◊</w:t>
            </w:r>
          </w:p>
        </w:tc>
      </w:tr>
      <w:tr w:rsidR="004E1487" w:rsidRPr="002B5189" w14:paraId="719C5A71" w14:textId="77777777" w:rsidTr="001C6397">
        <w:trPr>
          <w:trHeight w:val="20"/>
        </w:trPr>
        <w:tc>
          <w:tcPr>
            <w:tcW w:w="3080" w:type="pct"/>
            <w:shd w:val="clear" w:color="auto" w:fill="auto"/>
            <w:tcMar>
              <w:top w:w="12" w:type="dxa"/>
              <w:left w:w="12" w:type="dxa"/>
              <w:bottom w:w="0" w:type="dxa"/>
              <w:right w:w="12" w:type="dxa"/>
            </w:tcMar>
            <w:vAlign w:val="bottom"/>
            <w:hideMark/>
          </w:tcPr>
          <w:p w14:paraId="055EF715" w14:textId="77777777" w:rsidR="00235611" w:rsidRPr="003041CE" w:rsidRDefault="00235611" w:rsidP="0030199C">
            <w:pPr>
              <w:ind w:left="2070" w:hanging="2070"/>
            </w:pPr>
            <w:r w:rsidRPr="002B5189">
              <w:t xml:space="preserve">Administrative Data (e.g., SAT, ACT, GED, </w:t>
            </w:r>
            <w:r w:rsidR="00004979" w:rsidRPr="002B5189">
              <w:t>CPS</w:t>
            </w:r>
            <w:r w:rsidRPr="002B5189">
              <w:t>, NSLDS</w:t>
            </w:r>
            <w:r w:rsidR="00DF23BD" w:rsidRPr="002B5189">
              <w:t>, NSC</w:t>
            </w:r>
            <w:r w:rsidR="003041CE">
              <w:t>, Voting data</w:t>
            </w:r>
            <w:r w:rsidRPr="003041CE">
              <w:t>)</w:t>
            </w:r>
          </w:p>
        </w:tc>
        <w:tc>
          <w:tcPr>
            <w:tcW w:w="484" w:type="pct"/>
            <w:shd w:val="clear" w:color="auto" w:fill="auto"/>
            <w:tcMar>
              <w:top w:w="12" w:type="dxa"/>
              <w:left w:w="12" w:type="dxa"/>
              <w:bottom w:w="0" w:type="dxa"/>
              <w:right w:w="12" w:type="dxa"/>
            </w:tcMar>
            <w:vAlign w:val="bottom"/>
            <w:hideMark/>
          </w:tcPr>
          <w:p w14:paraId="27398A11" w14:textId="77777777" w:rsidR="00235611" w:rsidRPr="002B5189" w:rsidRDefault="00235611" w:rsidP="004E1487">
            <w:pPr>
              <w:jc w:val="center"/>
            </w:pPr>
          </w:p>
        </w:tc>
        <w:tc>
          <w:tcPr>
            <w:tcW w:w="526" w:type="pct"/>
            <w:shd w:val="clear" w:color="auto" w:fill="auto"/>
            <w:tcMar>
              <w:top w:w="12" w:type="dxa"/>
              <w:left w:w="12" w:type="dxa"/>
              <w:bottom w:w="0" w:type="dxa"/>
              <w:right w:w="12" w:type="dxa"/>
            </w:tcMar>
            <w:vAlign w:val="bottom"/>
            <w:hideMark/>
          </w:tcPr>
          <w:p w14:paraId="657272CF" w14:textId="77777777" w:rsidR="00235611" w:rsidRPr="002B5189" w:rsidRDefault="00235611" w:rsidP="004E1487">
            <w:pPr>
              <w:jc w:val="center"/>
            </w:pPr>
          </w:p>
        </w:tc>
        <w:tc>
          <w:tcPr>
            <w:tcW w:w="399" w:type="pct"/>
            <w:shd w:val="clear" w:color="auto" w:fill="auto"/>
            <w:tcMar>
              <w:top w:w="12" w:type="dxa"/>
              <w:left w:w="12" w:type="dxa"/>
              <w:bottom w:w="0" w:type="dxa"/>
              <w:right w:w="12" w:type="dxa"/>
            </w:tcMar>
            <w:vAlign w:val="bottom"/>
            <w:hideMark/>
          </w:tcPr>
          <w:p w14:paraId="72AB57B9" w14:textId="77777777" w:rsidR="00235611" w:rsidRPr="002B5189" w:rsidRDefault="00235611" w:rsidP="004E1487">
            <w:pPr>
              <w:jc w:val="center"/>
            </w:pPr>
            <w:r w:rsidRPr="002B5189">
              <w:t>◊</w:t>
            </w:r>
          </w:p>
        </w:tc>
        <w:tc>
          <w:tcPr>
            <w:tcW w:w="512" w:type="pct"/>
            <w:shd w:val="clear" w:color="auto" w:fill="auto"/>
            <w:tcMar>
              <w:top w:w="12" w:type="dxa"/>
              <w:left w:w="12" w:type="dxa"/>
              <w:bottom w:w="0" w:type="dxa"/>
              <w:right w:w="12" w:type="dxa"/>
            </w:tcMar>
            <w:vAlign w:val="bottom"/>
            <w:hideMark/>
          </w:tcPr>
          <w:p w14:paraId="32513CF5" w14:textId="77777777" w:rsidR="00235611" w:rsidRPr="002B5189" w:rsidRDefault="00235611" w:rsidP="004E1487">
            <w:pPr>
              <w:jc w:val="center"/>
            </w:pPr>
            <w:r w:rsidRPr="002B5189">
              <w:t>◊</w:t>
            </w:r>
          </w:p>
        </w:tc>
      </w:tr>
    </w:tbl>
    <w:p w14:paraId="1646A048" w14:textId="77777777" w:rsidR="00235611" w:rsidRPr="002B5189" w:rsidRDefault="00235611" w:rsidP="00F6131A">
      <w:pPr>
        <w:pStyle w:val="BodyText1"/>
        <w:spacing w:after="0"/>
      </w:pPr>
    </w:p>
    <w:p w14:paraId="2E7FAE1E" w14:textId="77777777" w:rsidR="002F25B2" w:rsidRPr="002B5189" w:rsidRDefault="0072781E" w:rsidP="00C92F8D">
      <w:pPr>
        <w:pStyle w:val="BodyText1"/>
      </w:pPr>
      <w:r w:rsidRPr="002B5189">
        <w:t>HSLS:09 data will allow researchers, educators, and policymakers to examine motivation, achievement, and persistence in STEM course-taking and careers. More generally, HSLS:09 data will allow researchers from a variety of disciplines to examine issues of college entry, persistence, and success, and how changes in young people’s lives and their connections with communities, schools, teachers, families, parents, and friends affect these decision</w:t>
      </w:r>
      <w:r w:rsidR="00862718" w:rsidRPr="002B5189">
        <w:t>s</w:t>
      </w:r>
      <w:r w:rsidRPr="002B5189">
        <w:t>, including:</w:t>
      </w:r>
    </w:p>
    <w:p w14:paraId="73478512" w14:textId="77777777" w:rsidR="0072781E" w:rsidRPr="002B5189" w:rsidRDefault="0072781E" w:rsidP="000778C2">
      <w:pPr>
        <w:pStyle w:val="bullets"/>
        <w:ind w:left="720"/>
        <w:rPr>
          <w:color w:val="auto"/>
        </w:rPr>
      </w:pPr>
      <w:r w:rsidRPr="002B5189">
        <w:rPr>
          <w:color w:val="auto"/>
        </w:rPr>
        <w:t>academic (especially in math and science), social, and interpersonal growth;</w:t>
      </w:r>
    </w:p>
    <w:p w14:paraId="19C8EB05" w14:textId="77777777" w:rsidR="0072781E" w:rsidRPr="002B5189" w:rsidRDefault="0072781E" w:rsidP="000778C2">
      <w:pPr>
        <w:pStyle w:val="bullets"/>
        <w:ind w:left="720"/>
        <w:rPr>
          <w:color w:val="auto"/>
        </w:rPr>
      </w:pPr>
      <w:r w:rsidRPr="002B5189">
        <w:rPr>
          <w:color w:val="auto"/>
        </w:rPr>
        <w:t>transitions from high school to postsecondary education, and from school to work;</w:t>
      </w:r>
    </w:p>
    <w:p w14:paraId="4BECCC73" w14:textId="77777777" w:rsidR="0072781E" w:rsidRPr="002B5189" w:rsidRDefault="0072781E" w:rsidP="000778C2">
      <w:pPr>
        <w:pStyle w:val="bullets"/>
        <w:ind w:left="720"/>
        <w:rPr>
          <w:color w:val="auto"/>
        </w:rPr>
      </w:pPr>
      <w:r w:rsidRPr="002B5189">
        <w:rPr>
          <w:color w:val="auto"/>
        </w:rPr>
        <w:t>students’ choices about, access to, and persistence in math and science courses, majors, and careers;</w:t>
      </w:r>
    </w:p>
    <w:p w14:paraId="566C2301" w14:textId="77777777" w:rsidR="0072781E" w:rsidRPr="002B5189" w:rsidRDefault="0072781E" w:rsidP="000778C2">
      <w:pPr>
        <w:pStyle w:val="bullets"/>
        <w:ind w:left="720"/>
        <w:rPr>
          <w:color w:val="auto"/>
        </w:rPr>
      </w:pPr>
      <w:r w:rsidRPr="002B5189">
        <w:rPr>
          <w:color w:val="auto"/>
        </w:rPr>
        <w:t>the characteristics of high schools and postsecondary institutions and their impact on student outcomes;</w:t>
      </w:r>
    </w:p>
    <w:p w14:paraId="0D87C54B" w14:textId="77777777" w:rsidR="0072781E" w:rsidRPr="002B5189" w:rsidRDefault="0072781E" w:rsidP="000778C2">
      <w:pPr>
        <w:pStyle w:val="bullets"/>
        <w:ind w:left="720"/>
        <w:rPr>
          <w:color w:val="auto"/>
        </w:rPr>
      </w:pPr>
      <w:r w:rsidRPr="002B5189">
        <w:rPr>
          <w:color w:val="auto"/>
        </w:rPr>
        <w:t>family formation, including marriage and family development, and how prior experiences in and out of school correlate with these decisions; and</w:t>
      </w:r>
    </w:p>
    <w:p w14:paraId="2CA87F40" w14:textId="77777777" w:rsidR="0072781E" w:rsidRPr="002B5189" w:rsidRDefault="0072781E" w:rsidP="000778C2">
      <w:pPr>
        <w:pStyle w:val="bullets"/>
        <w:ind w:left="720"/>
        <w:rPr>
          <w:color w:val="auto"/>
        </w:rPr>
      </w:pPr>
      <w:r w:rsidRPr="002B5189">
        <w:rPr>
          <w:color w:val="auto"/>
        </w:rPr>
        <w:t>the contexts of education, including how minority and at-risk status is associated with education and labor market outcomes.</w:t>
      </w:r>
    </w:p>
    <w:p w14:paraId="57268C25" w14:textId="77777777" w:rsidR="0072781E" w:rsidRPr="00D5480C" w:rsidRDefault="0072781E" w:rsidP="00C92F8D">
      <w:pPr>
        <w:pStyle w:val="Heading3"/>
        <w:rPr>
          <w:lang w:val="en-US"/>
        </w:rPr>
      </w:pPr>
      <w:bookmarkStart w:id="17" w:name="_Toc192579030"/>
      <w:bookmarkStart w:id="18" w:name="_Toc401834503"/>
      <w:bookmarkStart w:id="19" w:name="_Toc403397625"/>
      <w:r w:rsidRPr="00BF65C4">
        <w:rPr>
          <w:lang w:val="en-US"/>
        </w:rPr>
        <w:lastRenderedPageBreak/>
        <w:t>A.1.b</w:t>
      </w:r>
      <w:r w:rsidRPr="00BF65C4">
        <w:rPr>
          <w:lang w:val="en-US"/>
        </w:rPr>
        <w:tab/>
        <w:t>Legislative Authorization</w:t>
      </w:r>
      <w:bookmarkEnd w:id="17"/>
      <w:bookmarkEnd w:id="18"/>
      <w:bookmarkEnd w:id="19"/>
    </w:p>
    <w:p w14:paraId="7CDB55BC" w14:textId="77777777" w:rsidR="004B6629" w:rsidRPr="002B5189" w:rsidRDefault="0072781E" w:rsidP="004B6629">
      <w:pPr>
        <w:pStyle w:val="BodyText1"/>
        <w:rPr>
          <w:rStyle w:val="Emphasis"/>
          <w:i w:val="0"/>
        </w:rPr>
      </w:pPr>
      <w:r w:rsidRPr="00D5480C">
        <w:t>HSLS:09 is</w:t>
      </w:r>
      <w:r w:rsidR="004B6629" w:rsidRPr="002B5189">
        <w:rPr>
          <w:spacing w:val="-3"/>
        </w:rPr>
        <w:t xml:space="preserve"> authorized under the Education Sciences Reform Act (ESRA) of 2002 (20 U.S.C. § 9543).</w:t>
      </w:r>
    </w:p>
    <w:p w14:paraId="0574F587" w14:textId="77777777" w:rsidR="0072781E" w:rsidRPr="002B5189" w:rsidRDefault="0072781E" w:rsidP="00C92F8D">
      <w:pPr>
        <w:pStyle w:val="Heading3"/>
        <w:rPr>
          <w:lang w:val="en-US"/>
        </w:rPr>
      </w:pPr>
      <w:bookmarkStart w:id="20" w:name="_Toc192579031"/>
      <w:bookmarkStart w:id="21" w:name="_Toc401834504"/>
      <w:bookmarkStart w:id="22" w:name="_Toc403397626"/>
      <w:r w:rsidRPr="002B5189">
        <w:rPr>
          <w:lang w:val="en-US"/>
        </w:rPr>
        <w:t>A.1.c</w:t>
      </w:r>
      <w:r w:rsidRPr="002B5189">
        <w:rPr>
          <w:lang w:val="en-US"/>
        </w:rPr>
        <w:tab/>
      </w:r>
      <w:r w:rsidRPr="002B5189">
        <w:t>Prior and Related Studies</w:t>
      </w:r>
      <w:bookmarkEnd w:id="20"/>
      <w:bookmarkEnd w:id="21"/>
      <w:bookmarkEnd w:id="22"/>
    </w:p>
    <w:p w14:paraId="72FBE2A1" w14:textId="77777777" w:rsidR="0072781E" w:rsidRPr="002B5189" w:rsidRDefault="0072781E" w:rsidP="00C92F8D">
      <w:pPr>
        <w:pStyle w:val="BodyText1"/>
      </w:pPr>
      <w:r w:rsidRPr="002B5189">
        <w:t xml:space="preserve">In 1970, NCES initiated a program of longitudinal high school studies. Its purpose was to gather time-series data on nationally representative samples of high school students that would be pertinent to the formulation and evaluation of education polices. Starting in 1972, with the National Longitudinal Study of the High School Class of 1972 (NLS:72), NCES began providing education policymakers and researchers with longitudinal data that linked education experiences with later outcomes, such as early labor market experiences and postsecondary education enrollment and attainment. The NLS:72 cohort of high school seniors was surveyed five times (in 1972, 1973, 1974, 1979, and 1986). A wide variety of </w:t>
      </w:r>
      <w:r w:rsidR="00A36E2E" w:rsidRPr="002B5189">
        <w:t>interview</w:t>
      </w:r>
      <w:r w:rsidRPr="002B5189">
        <w:t xml:space="preserve"> data were collected in the follow-up surveys, including data on students’ family background, schools attended, labor force participation, family formation, and job satisfaction. In addition, postsecondary transcripts </w:t>
      </w:r>
      <w:r w:rsidR="00B6610B" w:rsidRPr="002B5189">
        <w:t>were collected.</w:t>
      </w:r>
    </w:p>
    <w:p w14:paraId="4432293B" w14:textId="77777777" w:rsidR="0072781E" w:rsidRPr="002B5189" w:rsidRDefault="0072781E" w:rsidP="00C92F8D">
      <w:pPr>
        <w:pStyle w:val="BodyText1"/>
      </w:pPr>
      <w:r w:rsidRPr="002B5189">
        <w:t>Almost 10 years later, in 1980, the second in a series of NCES longitudinal surveys was launched, this time starting with two high school cohorts. High School and Beyond (HS&amp;B) included one cohort of high school seniors comparable to the seniors in NLS:72. The second cohort within HS&amp;B extended the age span and analytical range of NCES’s longitudinal studies by surveying a sample of high school sophomores. With the sophomore cohort, information became available to study the relationship between early high school experiences and students’ subsequent education experiences in high school. For the first time, national data were available showing students’ academic growth over time and how family, community, school, and classroom factors promoted or inhibited student learning. In a leap forward for education studies, researchers, using data from the extensive battery of cognitive tests within HS&amp;B, were also able to assess the growth of cognitive abilities over time. Moreover, data were now available to analyze the school experiences of students who later dropped out of high school. These data became a rich resource for policymakers and researchers over the next decade and provided an empirical base to inform the debates of the education reform movement that began in the early 1980s. Both cohorts of HS&amp;B participants were resurveyed in 1982, 1984, and 1986. The sophomore cohort was also resurveyed in 1992. Postsecondary transcripts were collected for both cohorts.</w:t>
      </w:r>
    </w:p>
    <w:p w14:paraId="5364A841" w14:textId="77777777" w:rsidR="00553391" w:rsidRPr="002B5189" w:rsidRDefault="0072781E" w:rsidP="00C92F8D">
      <w:pPr>
        <w:pStyle w:val="BodyText1"/>
      </w:pPr>
      <w:r w:rsidRPr="002B5189">
        <w:t xml:space="preserve">The third longitudinal study of students </w:t>
      </w:r>
      <w:r w:rsidR="007B3543" w:rsidRPr="002B5189">
        <w:t>conducted</w:t>
      </w:r>
      <w:r w:rsidRPr="002B5189">
        <w:t xml:space="preserve"> by NCES was the National Education Longitudinal Study of 1988 (NELS:88). NELS:88 further extended the age and grade span of NCES longitudinal studies by beginning the data collection with a cohort of eighth-graders. Along with the </w:t>
      </w:r>
      <w:r w:rsidRPr="002B5189">
        <w:lastRenderedPageBreak/>
        <w:t xml:space="preserve">student survey, it included surveys of parents, teachers, and school administrators. It was designed not only to follow a single cohort of students over time (as had NCES’s earlier longitudinal studies, NLS:72 and HS&amp;B), but also, by “freshening” the sample at each of the first two follow-ups, to follow three nationally representative grade cohorts over time (8th-, 10th, and 12th-grade cohorts). This provided not only comparability of NELS:88 to existing cohorts, but it also enabled researchers to conduct both cross-sectional </w:t>
      </w:r>
      <w:r w:rsidR="000C5211" w:rsidRPr="002B5189">
        <w:t>inter</w:t>
      </w:r>
      <w:r w:rsidR="0031648B" w:rsidRPr="002B5189">
        <w:t>-</w:t>
      </w:r>
      <w:r w:rsidR="000C5211" w:rsidRPr="002B5189">
        <w:t xml:space="preserve">cohort </w:t>
      </w:r>
      <w:r w:rsidRPr="002B5189">
        <w:t xml:space="preserve">and longitudinal </w:t>
      </w:r>
      <w:r w:rsidR="000C5211" w:rsidRPr="002B5189">
        <w:t>intra</w:t>
      </w:r>
      <w:r w:rsidR="0031648B" w:rsidRPr="002B5189">
        <w:t>-</w:t>
      </w:r>
      <w:r w:rsidR="000C5211" w:rsidRPr="002B5189">
        <w:t xml:space="preserve">cohort </w:t>
      </w:r>
      <w:r w:rsidRPr="002B5189">
        <w:t xml:space="preserve">analyses of the data. In 1993, high school transcripts were </w:t>
      </w:r>
      <w:r w:rsidR="002772BC" w:rsidRPr="002B5189">
        <w:t>collected. Students</w:t>
      </w:r>
      <w:r w:rsidRPr="002B5189">
        <w:t xml:space="preserve"> were interviewed again in 1994 and 2000, and in 2000–01 their postsecondary educat</w:t>
      </w:r>
      <w:r w:rsidR="0031648B" w:rsidRPr="002B5189">
        <w:t>ion transcripts were collected.</w:t>
      </w:r>
    </w:p>
    <w:p w14:paraId="5797AE10" w14:textId="77777777" w:rsidR="002F25B2" w:rsidRPr="002B5189" w:rsidRDefault="0072781E" w:rsidP="00553391">
      <w:pPr>
        <w:pStyle w:val="BodyText1"/>
      </w:pPr>
      <w:r w:rsidRPr="002B5189">
        <w:t>The Education Longitudinal Study of 2002 (ELS:2002) was the fourth longitudinal high school cohort study conducted by NCES. ELS:2002 started with a sophomore cohort and was designed to provide trend data about the critical transitions experienced by students as they proceed</w:t>
      </w:r>
      <w:r w:rsidR="00553391" w:rsidRPr="002B5189">
        <w:t>ed</w:t>
      </w:r>
      <w:r w:rsidRPr="002B5189">
        <w:t xml:space="preserve"> through high school and into postsecondary education or their careers. Student </w:t>
      </w:r>
      <w:r w:rsidR="00A36E2E" w:rsidRPr="002B5189">
        <w:t>interview</w:t>
      </w:r>
      <w:r w:rsidRPr="002B5189">
        <w:t xml:space="preserve">s and assessments in reading and mathematics were collected along with surveys of parents, teachers, and school administrators. In addition, a facilities component and school library/media studies component were added for this study series. Freshening occurred at the first follow-up in 2004 to allow for a nationally representative cohort of high school seniors, which was followed by the collection of high school transcripts. A second follow-up was conducted in 2006, and a third follow-up </w:t>
      </w:r>
      <w:r w:rsidR="00782833" w:rsidRPr="002B5189">
        <w:t xml:space="preserve">in </w:t>
      </w:r>
      <w:r w:rsidRPr="002B5189">
        <w:t>2012 (</w:t>
      </w:r>
      <w:r w:rsidR="00782833" w:rsidRPr="002B5189">
        <w:t>with a postsecondary education transcript component in 2013)</w:t>
      </w:r>
      <w:r w:rsidRPr="002B5189">
        <w:t>.</w:t>
      </w:r>
    </w:p>
    <w:p w14:paraId="70FD7D97" w14:textId="77777777" w:rsidR="0072781E" w:rsidRPr="002B5189" w:rsidRDefault="0072781E" w:rsidP="00C92F8D">
      <w:pPr>
        <w:pStyle w:val="BodyText1"/>
      </w:pPr>
      <w:r w:rsidRPr="002B5189">
        <w:t>These studies have investigated the education, personal, and vocational development of students, and the school, familial, community, personal, and cultural factors that affect this development. Each of these studies has provided rich information about the critical transition from high school to postsecondary education and the workforce. HSLS:09 will continue on the path of its predecessors while also focusing on the factors associated with choosing, persisting in, and succeeding in STEM course-taking and careers.</w:t>
      </w:r>
    </w:p>
    <w:p w14:paraId="47C80BA2" w14:textId="77777777" w:rsidR="0072781E" w:rsidRPr="002B5189" w:rsidRDefault="0072781E" w:rsidP="00C92F8D">
      <w:pPr>
        <w:pStyle w:val="Heading2"/>
      </w:pPr>
      <w:bookmarkStart w:id="23" w:name="_Toc192579032"/>
      <w:bookmarkStart w:id="24" w:name="_Toc401834505"/>
      <w:bookmarkStart w:id="25" w:name="_Toc403397627"/>
      <w:r w:rsidRPr="002B5189">
        <w:t>A.2</w:t>
      </w:r>
      <w:r w:rsidRPr="002B5189">
        <w:tab/>
        <w:t>Purpose and Use of Information Collection</w:t>
      </w:r>
      <w:bookmarkEnd w:id="23"/>
      <w:bookmarkEnd w:id="24"/>
      <w:bookmarkEnd w:id="25"/>
    </w:p>
    <w:p w14:paraId="60731067" w14:textId="77777777" w:rsidR="002F25B2" w:rsidRPr="002B5189" w:rsidRDefault="00974E6E" w:rsidP="00974E6E">
      <w:pPr>
        <w:pStyle w:val="BodyText1"/>
      </w:pPr>
      <w:r w:rsidRPr="002B5189">
        <w:t>HSLS:09 links to its predecessor longitudinal studies by addressing many of the same issues of transition from high school to postsecondary education and the labor force. At the same time, HSLS:09 brings a new and special emphasis to the study of youth transition by exploring the path</w:t>
      </w:r>
      <w:r w:rsidR="0030575C" w:rsidRPr="002B5189">
        <w:t>s</w:t>
      </w:r>
      <w:r w:rsidRPr="002B5189">
        <w:t xml:space="preserve"> that lead students to pursue and persist in courses and careers in the fields of science, technology, engineering, and mathematics (STEM). HSLS:09 is designed to measure math achievement gains in the first 3 years of high school, but also to relate tested achievement to students’ choice, access, and persistence of courses, college, and careers, especially in science, technology, engineering, and mathematics pipelines. The HSLS:09 assessment serves not just as an outcome measure, but also as a predictor of readiness to </w:t>
      </w:r>
      <w:r w:rsidRPr="002B5189">
        <w:lastRenderedPageBreak/>
        <w:t xml:space="preserve">proceed into college and, in particular, STEM courses and careers, while tested achievement in mathematics can also be used as a baseline covariate in multivariate longitudinal analyses. </w:t>
      </w:r>
      <w:r w:rsidR="00A36E2E" w:rsidRPr="002B5189">
        <w:t>Interview</w:t>
      </w:r>
      <w:r w:rsidRPr="002B5189">
        <w:t>s focus on factors that shape students’ decision-making about courses and postsecondary options, including what factors, from parental input to considerations of financial aid for postsecondary education, enter into these decisions.</w:t>
      </w:r>
    </w:p>
    <w:p w14:paraId="3949355B" w14:textId="77777777" w:rsidR="002F25B2" w:rsidRPr="002B5189" w:rsidRDefault="00974E6E" w:rsidP="00974E6E">
      <w:pPr>
        <w:pStyle w:val="BodyText1"/>
      </w:pPr>
      <w:r w:rsidRPr="002B5189">
        <w:t>There are several reasons the transition into adulthood is of special interest to federal policy and programs. Adolescence is a time of physical and psychological changes. Attitudes, aspirations, and expectations are sensitive to the stimuli that adolescents experience, and environments influence the process of choosing among opportunities. Parents, educators, and those involved in education policy decisions all share the need to understand the effects that the presence or absence of good guidance from the school, in combination with that from the home, can have on the educational, occupational, and social success of youth.</w:t>
      </w:r>
    </w:p>
    <w:p w14:paraId="4890BA27" w14:textId="77777777" w:rsidR="00974E6E" w:rsidRPr="002B5189" w:rsidRDefault="00974E6E" w:rsidP="00974E6E">
      <w:pPr>
        <w:pStyle w:val="BodyText1"/>
      </w:pPr>
      <w:r w:rsidRPr="002B5189">
        <w:t>These patterns of transition cover individual and institutional characteristics. At the individual level, the study examines education attainment and personal development. In response to policy and scientific issues, data have been gathered on the demographic and background correlates of education outcomes. By collecting extensive information from students, parents, school staff, and school records, it will be possible to investigate the relationship between home and school factors and academic achievement, interests, and social development at this critical juncture. Resources to assist in guiding parents and students through the college decision process, from information-seeking behaviors to filing financial aid forms, can be explored in terms of how they relate to college entry. Additionally, because the initial survey focused on 9th-graders, it also permits the identification and study of high school (and later, college) dropouts</w:t>
      </w:r>
      <w:r w:rsidR="001066FF" w:rsidRPr="002B5189">
        <w:t>.</w:t>
      </w:r>
    </w:p>
    <w:p w14:paraId="734238B1" w14:textId="77777777" w:rsidR="002F25B2" w:rsidRPr="002B5189" w:rsidRDefault="0072781E" w:rsidP="00C40046">
      <w:pPr>
        <w:pStyle w:val="BodyText1"/>
      </w:pPr>
      <w:r w:rsidRPr="002B5189">
        <w:t xml:space="preserve">HSLS:09 is intended to be a general-purpose dataset; that is, it is designed to serve multiple policy objectives. Policy issues studied through HSLS:09 include the identification of school attributes </w:t>
      </w:r>
      <w:r w:rsidR="003F746A" w:rsidRPr="002B5189">
        <w:t xml:space="preserve">and processes </w:t>
      </w:r>
      <w:r w:rsidRPr="002B5189">
        <w:t>associated with mathematics achievement, college entry, and career choice</w:t>
      </w:r>
      <w:r w:rsidR="003F746A" w:rsidRPr="002B5189">
        <w:t>; postsecondary access, choice, persistence, and attainment</w:t>
      </w:r>
      <w:r w:rsidRPr="002B5189">
        <w:t xml:space="preserve">; the factors associated with dropping out of the education system; and the transition of different groups (for example, racial and ethnic, gender, and socioeconomic status groups) from high school to postsecondary institutions and the labor market, and especially into STEM curricula and careers. HSLS:09 </w:t>
      </w:r>
      <w:r w:rsidR="003F746A" w:rsidRPr="002B5189">
        <w:t xml:space="preserve">will provide a strong basis for investigators to inquire into </w:t>
      </w:r>
      <w:r w:rsidRPr="002B5189">
        <w:t xml:space="preserve">students’ </w:t>
      </w:r>
      <w:r w:rsidR="003F746A" w:rsidRPr="002B5189">
        <w:t>attitudes, beliefs,</w:t>
      </w:r>
      <w:r w:rsidR="000C5211" w:rsidRPr="002B5189">
        <w:t xml:space="preserve"> expectancies,</w:t>
      </w:r>
      <w:r w:rsidR="003F746A" w:rsidRPr="002B5189">
        <w:t xml:space="preserve"> </w:t>
      </w:r>
      <w:r w:rsidRPr="002B5189">
        <w:t>values</w:t>
      </w:r>
      <w:r w:rsidR="003F746A" w:rsidRPr="002B5189">
        <w:t>,</w:t>
      </w:r>
      <w:r w:rsidRPr="002B5189">
        <w:t xml:space="preserve"> and goals</w:t>
      </w:r>
      <w:r w:rsidR="00AD33B9" w:rsidRPr="002B5189">
        <w:t>.</w:t>
      </w:r>
      <w:r w:rsidR="001E73F4" w:rsidRPr="002B5189">
        <w:t xml:space="preserve"> </w:t>
      </w:r>
      <w:r w:rsidR="00AD33B9" w:rsidRPr="002B5189">
        <w:t>Researchers can</w:t>
      </w:r>
      <w:r w:rsidRPr="002B5189">
        <w:t xml:space="preserve"> investigate factors affecting risk and resiliency, gather information about the social capital available to sample members, inquire into the nature of student interests and decision-making, and delineate students’ curricular and extracurricular experiences </w:t>
      </w:r>
      <w:r w:rsidR="00AD33B9" w:rsidRPr="002B5189">
        <w:t xml:space="preserve">in both high school and higher education. </w:t>
      </w:r>
      <w:r w:rsidRPr="002B5189">
        <w:t>HSLS:09 includes measures of school climate; each student’s native language and language use; student and parental education expectations; attendance at school; course and program selection; college plans, preparation, and information-seeking behavior; interactions with teachers and peers; as well as parental resources and support. The HSLS:09 data elements are designed to support research that speaks to the underlying dynamics and education processes that influence student achievement, growth, and personal development over time.</w:t>
      </w:r>
    </w:p>
    <w:p w14:paraId="4E85C5ED" w14:textId="77777777" w:rsidR="002F25B2" w:rsidRPr="002B5189" w:rsidRDefault="0072781E" w:rsidP="00852C13">
      <w:pPr>
        <w:pStyle w:val="BodyText1"/>
      </w:pPr>
      <w:r w:rsidRPr="002B5189">
        <w:t xml:space="preserve">HSLS:09 is first and foremost a longitudinal study; hence survey items are chosen for their usefulness in predicting or explaining future outcomes as measured in later survey waves. Compared to its earlier counterparts, there are considerable changes to the design of HSLS:09 that will </w:t>
      </w:r>
      <w:r w:rsidR="00AD33B9" w:rsidRPr="002B5189">
        <w:t>limit</w:t>
      </w:r>
      <w:r w:rsidRPr="002B5189">
        <w:t xml:space="preserve"> the ability to produce trend comparisons.</w:t>
      </w:r>
      <w:r w:rsidR="002F25B2" w:rsidRPr="002B5189">
        <w:t xml:space="preserve"> </w:t>
      </w:r>
      <w:r w:rsidR="0042733E" w:rsidRPr="002B5189">
        <w:t xml:space="preserve">There are two such </w:t>
      </w:r>
      <w:r w:rsidR="00AD33B9" w:rsidRPr="002B5189">
        <w:t xml:space="preserve">limiting </w:t>
      </w:r>
      <w:r w:rsidR="0042733E" w:rsidRPr="002B5189">
        <w:t>factors in particular.</w:t>
      </w:r>
      <w:r w:rsidR="002F25B2" w:rsidRPr="002B5189">
        <w:t xml:space="preserve"> </w:t>
      </w:r>
      <w:r w:rsidR="0042733E" w:rsidRPr="002B5189">
        <w:t>One is that there was no sample freshening in HSLS:09.</w:t>
      </w:r>
      <w:r w:rsidR="002F25B2" w:rsidRPr="002B5189">
        <w:t xml:space="preserve"> </w:t>
      </w:r>
      <w:r w:rsidR="0042733E" w:rsidRPr="002B5189">
        <w:t>In consequence, there is no representative spring senior cohort (or sophomore cohort), but rather a fall 9</w:t>
      </w:r>
      <w:r w:rsidR="0042733E" w:rsidRPr="002B5189">
        <w:rPr>
          <w:vertAlign w:val="superscript"/>
        </w:rPr>
        <w:t>th</w:t>
      </w:r>
      <w:r w:rsidR="0042733E" w:rsidRPr="002B5189">
        <w:t xml:space="preserve"> grade</w:t>
      </w:r>
      <w:r w:rsidR="00AD33B9" w:rsidRPr="002B5189">
        <w:t xml:space="preserve"> cohort, unrepresentative of any other grade,</w:t>
      </w:r>
      <w:r w:rsidR="0042733E" w:rsidRPr="002B5189">
        <w:t xml:space="preserve"> followed over time.</w:t>
      </w:r>
      <w:r w:rsidR="002F25B2" w:rsidRPr="002B5189">
        <w:t xml:space="preserve"> </w:t>
      </w:r>
      <w:r w:rsidR="0042733E" w:rsidRPr="002B5189">
        <w:t>The second reason, closely related to the first, is that none of the data collection points in HSLS:09 correspond with the collection points in the prior secondary longitudinal studies</w:t>
      </w:r>
      <w:r w:rsidR="00785E13" w:rsidRPr="002B5189">
        <w:t xml:space="preserve"> (e.g., NELS:88 at grades 8, 10, and 12)</w:t>
      </w:r>
      <w:r w:rsidR="0042733E" w:rsidRPr="002B5189">
        <w:t>.</w:t>
      </w:r>
      <w:r w:rsidR="002F25B2" w:rsidRPr="002B5189">
        <w:t xml:space="preserve"> </w:t>
      </w:r>
      <w:r w:rsidR="0042733E" w:rsidRPr="002B5189">
        <w:t>At the same time, HSLS:09 and the prior studies alike deal with the same basic issues</w:t>
      </w:r>
      <w:r w:rsidR="00553391" w:rsidRPr="002B5189">
        <w:t xml:space="preserve">: </w:t>
      </w:r>
      <w:r w:rsidR="0042733E" w:rsidRPr="002B5189">
        <w:t>the transition through high school and into the postsecondary world, represented primarily by education and work.</w:t>
      </w:r>
      <w:r w:rsidR="002F25B2" w:rsidRPr="002B5189">
        <w:t xml:space="preserve"> </w:t>
      </w:r>
      <w:r w:rsidR="0042733E" w:rsidRPr="002B5189">
        <w:t>Comparisons</w:t>
      </w:r>
      <w:r w:rsidR="00C96BFF" w:rsidRPr="002B5189">
        <w:t xml:space="preserve"> between HSLS:09 and the four earlier studies</w:t>
      </w:r>
      <w:r w:rsidR="0042733E" w:rsidRPr="002B5189">
        <w:t xml:space="preserve"> may be made at this higher level of generality.</w:t>
      </w:r>
      <w:r w:rsidR="002F25B2" w:rsidRPr="002B5189">
        <w:t xml:space="preserve"> </w:t>
      </w:r>
      <w:r w:rsidR="0042733E" w:rsidRPr="002B5189">
        <w:t>Comparisons cannot be made on the basis of data collections at the precise same grades</w:t>
      </w:r>
      <w:r w:rsidR="00542B38" w:rsidRPr="002B5189">
        <w:t xml:space="preserve"> (e.g., senior trends)</w:t>
      </w:r>
      <w:r w:rsidR="00C96BFF" w:rsidRPr="002B5189">
        <w:t>, since different collectio</w:t>
      </w:r>
      <w:r w:rsidR="00542B38" w:rsidRPr="002B5189">
        <w:t>n</w:t>
      </w:r>
      <w:r w:rsidR="00C96BFF" w:rsidRPr="002B5189">
        <w:t xml:space="preserve"> points were used</w:t>
      </w:r>
      <w:r w:rsidR="0042733E" w:rsidRPr="002B5189">
        <w:t>.</w:t>
      </w:r>
      <w:r w:rsidR="008A7306" w:rsidRPr="002B5189">
        <w:t xml:space="preserve"> The fact that precise grade-by-grade comparisons cannot be made </w:t>
      </w:r>
      <w:r w:rsidR="00553391" w:rsidRPr="002B5189">
        <w:t>is of</w:t>
      </w:r>
      <w:r w:rsidR="002F25B2" w:rsidRPr="002B5189">
        <w:t xml:space="preserve"> </w:t>
      </w:r>
      <w:r w:rsidR="008A7306" w:rsidRPr="002B5189">
        <w:t xml:space="preserve">consequence </w:t>
      </w:r>
      <w:r w:rsidR="00C96BFF" w:rsidRPr="002B5189">
        <w:t>for HSLS:09</w:t>
      </w:r>
      <w:r w:rsidR="00553391" w:rsidRPr="002B5189">
        <w:t xml:space="preserve"> in</w:t>
      </w:r>
      <w:r w:rsidR="00C96BFF" w:rsidRPr="002B5189">
        <w:t xml:space="preserve"> that </w:t>
      </w:r>
      <w:r w:rsidR="00E14645" w:rsidRPr="002B5189">
        <w:t xml:space="preserve">HSLS:09 </w:t>
      </w:r>
      <w:r w:rsidR="00C96BFF" w:rsidRPr="002B5189">
        <w:t xml:space="preserve">has greater latitude in incorporating new </w:t>
      </w:r>
      <w:r w:rsidR="00A36E2E" w:rsidRPr="002B5189">
        <w:t>interview</w:t>
      </w:r>
      <w:r w:rsidR="00C96BFF" w:rsidRPr="002B5189">
        <w:t xml:space="preserve"> items, </w:t>
      </w:r>
      <w:r w:rsidR="000E0A8F" w:rsidRPr="002B5189">
        <w:t>given that</w:t>
      </w:r>
      <w:r w:rsidR="00C96BFF" w:rsidRPr="002B5189">
        <w:t xml:space="preserve"> the trend</w:t>
      </w:r>
      <w:r w:rsidR="002F25B2" w:rsidRPr="002B5189">
        <w:t xml:space="preserve"> </w:t>
      </w:r>
      <w:r w:rsidR="00C96BFF" w:rsidRPr="002B5189">
        <w:t xml:space="preserve">measurement requirement of asking the same thing in the same way </w:t>
      </w:r>
      <w:r w:rsidR="000E0A8F" w:rsidRPr="002B5189">
        <w:t xml:space="preserve">as previous studies </w:t>
      </w:r>
      <w:r w:rsidR="00C96BFF" w:rsidRPr="002B5189">
        <w:t>is no longer of strict relevance.</w:t>
      </w:r>
    </w:p>
    <w:p w14:paraId="7D06F707" w14:textId="77777777" w:rsidR="00E54BB9" w:rsidRPr="002B5189" w:rsidRDefault="00E54BB9" w:rsidP="00E54BB9">
      <w:pPr>
        <w:pStyle w:val="BodyText20"/>
        <w:spacing w:after="0"/>
      </w:pPr>
      <w:r w:rsidRPr="002B5189">
        <w:t xml:space="preserve">In </w:t>
      </w:r>
      <w:r w:rsidR="009860E8">
        <w:t xml:space="preserve">the second follow-up main study, in </w:t>
      </w:r>
      <w:r w:rsidRPr="002B5189">
        <w:t xml:space="preserve">addition to sample member interviews, college transcripts and financial aid student records </w:t>
      </w:r>
      <w:r w:rsidR="009860E8">
        <w:t xml:space="preserve">will be collected </w:t>
      </w:r>
      <w:r w:rsidRPr="002B5189">
        <w:t>from the postsecondary institutions attended by those HSLS:09 sample members who have enrolled in postsecondary education</w:t>
      </w:r>
      <w:r w:rsidR="00DF23BD" w:rsidRPr="002B5189">
        <w:t>.</w:t>
      </w:r>
      <w:r w:rsidRPr="002B5189">
        <w:t xml:space="preserve"> The two data sources will address a range of issues concerning students’ enrollment and course taking patterns, progress and attainment in postsecondary education, and the types, sources, and amounts of student aid recei</w:t>
      </w:r>
      <w:r w:rsidR="009860E8">
        <w:t>ved across years of attendance.</w:t>
      </w:r>
    </w:p>
    <w:p w14:paraId="0F3FB0E5" w14:textId="77777777" w:rsidR="00E54BB9" w:rsidRDefault="00E54BB9" w:rsidP="00E54BB9">
      <w:pPr>
        <w:pStyle w:val="BodyText20"/>
        <w:spacing w:after="0"/>
      </w:pPr>
      <w:r w:rsidRPr="002B5189">
        <w:rPr>
          <w:b/>
          <w:u w:val="single"/>
        </w:rPr>
        <w:t>Postsecondary Transcript Collection</w:t>
      </w:r>
      <w:r w:rsidRPr="002B5189">
        <w:rPr>
          <w:b/>
        </w:rPr>
        <w:t>.</w:t>
      </w:r>
      <w:r w:rsidR="00BA0D27">
        <w:t xml:space="preserve"> </w:t>
      </w:r>
      <w:r w:rsidRPr="002B5189">
        <w:t xml:space="preserve">As an official institution record, the postsecondary transcript is a more reliable source of </w:t>
      </w:r>
      <w:r w:rsidR="00DF23BD" w:rsidRPr="002B5189">
        <w:t xml:space="preserve">data regarding </w:t>
      </w:r>
      <w:r w:rsidRPr="002B5189">
        <w:t>academic performance than is a student’s self-report. The transcript collection for HSLS:09, which will be designed like that conducted for ELS:2002 and BPS:04/09, will provide much-needed information on the course of study of today’s college students as they begin, leave, and re-enter postsecondary study</w:t>
      </w:r>
      <w:r w:rsidR="00642BEE">
        <w:t xml:space="preserve"> and</w:t>
      </w:r>
      <w:r w:rsidRPr="002B5189">
        <w:t xml:space="preserve"> transfer between institutions. The combination of transcripts and other study data collected through interviews, file matching, and record abstraction will afford researchers the opportunity to </w:t>
      </w:r>
      <w:r w:rsidR="00642BEE">
        <w:t xml:space="preserve">analyze </w:t>
      </w:r>
      <w:r w:rsidRPr="002B5189">
        <w:t xml:space="preserve">paths taken by cohort members </w:t>
      </w:r>
      <w:r w:rsidR="00642BEE">
        <w:t xml:space="preserve">as they begin undergraduate </w:t>
      </w:r>
      <w:r w:rsidR="00642BEE" w:rsidRPr="006618DC">
        <w:rPr>
          <w:color w:val="000000" w:themeColor="text1"/>
        </w:rPr>
        <w:t>education</w:t>
      </w:r>
      <w:r w:rsidR="007A0FEA" w:rsidRPr="006618DC">
        <w:rPr>
          <w:color w:val="000000" w:themeColor="text1"/>
        </w:rPr>
        <w:t>. Postsecondary transcripts provide a wealth of data on enrollment, including degree or certificate program, terms enrolled and course intensity when enrolled, and fields of study.</w:t>
      </w:r>
      <w:r w:rsidR="00BA0D27">
        <w:rPr>
          <w:color w:val="000000" w:themeColor="text1"/>
        </w:rPr>
        <w:t xml:space="preserve"> </w:t>
      </w:r>
      <w:r w:rsidR="007A0FEA" w:rsidRPr="006618DC">
        <w:rPr>
          <w:color w:val="000000" w:themeColor="text1"/>
        </w:rPr>
        <w:t>Furthermore, transcripts provide coursetaking de</w:t>
      </w:r>
      <w:r w:rsidR="005D68AF">
        <w:rPr>
          <w:color w:val="000000" w:themeColor="text1"/>
        </w:rPr>
        <w:t xml:space="preserve">tails including subjects taken and </w:t>
      </w:r>
      <w:r w:rsidR="007A0FEA" w:rsidRPr="006618DC">
        <w:rPr>
          <w:color w:val="000000" w:themeColor="text1"/>
        </w:rPr>
        <w:t>credits and grades earned.</w:t>
      </w:r>
      <w:r w:rsidR="00642BEE" w:rsidRPr="006618DC">
        <w:rPr>
          <w:color w:val="000000" w:themeColor="text1"/>
        </w:rPr>
        <w:t xml:space="preserve"> </w:t>
      </w:r>
      <w:r w:rsidR="007A0FEA" w:rsidRPr="006618DC">
        <w:rPr>
          <w:color w:val="000000" w:themeColor="text1"/>
        </w:rPr>
        <w:t>These data</w:t>
      </w:r>
      <w:r w:rsidRPr="006618DC">
        <w:rPr>
          <w:color w:val="000000" w:themeColor="text1"/>
        </w:rPr>
        <w:t xml:space="preserve"> provide important link</w:t>
      </w:r>
      <w:r w:rsidR="007A0FEA" w:rsidRPr="006618DC">
        <w:rPr>
          <w:color w:val="000000" w:themeColor="text1"/>
        </w:rPr>
        <w:t>s</w:t>
      </w:r>
      <w:r w:rsidRPr="006618DC">
        <w:rPr>
          <w:color w:val="000000" w:themeColor="text1"/>
        </w:rPr>
        <w:t xml:space="preserve"> between </w:t>
      </w:r>
      <w:r w:rsidR="007A0FEA" w:rsidRPr="006618DC">
        <w:rPr>
          <w:color w:val="000000" w:themeColor="text1"/>
        </w:rPr>
        <w:t xml:space="preserve">secondary </w:t>
      </w:r>
      <w:r w:rsidRPr="006618DC">
        <w:rPr>
          <w:color w:val="000000" w:themeColor="text1"/>
        </w:rPr>
        <w:t>academic performance</w:t>
      </w:r>
      <w:r w:rsidR="007A0FEA" w:rsidRPr="006618DC">
        <w:rPr>
          <w:color w:val="000000" w:themeColor="text1"/>
        </w:rPr>
        <w:t>, plans and expectations, and pathways into the workforce</w:t>
      </w:r>
      <w:r w:rsidR="005D68AF">
        <w:rPr>
          <w:color w:val="000000" w:themeColor="text1"/>
        </w:rPr>
        <w:t xml:space="preserve"> of the </w:t>
      </w:r>
      <w:r w:rsidR="005D68AF" w:rsidRPr="006618DC">
        <w:rPr>
          <w:color w:val="000000" w:themeColor="text1"/>
        </w:rPr>
        <w:t>sample member</w:t>
      </w:r>
      <w:r w:rsidR="005D68AF">
        <w:rPr>
          <w:color w:val="000000" w:themeColor="text1"/>
        </w:rPr>
        <w:t>s</w:t>
      </w:r>
      <w:r w:rsidRPr="006618DC">
        <w:rPr>
          <w:color w:val="000000" w:themeColor="text1"/>
        </w:rPr>
        <w:t>.</w:t>
      </w:r>
    </w:p>
    <w:p w14:paraId="197203A8" w14:textId="77777777" w:rsidR="00E54BB9" w:rsidRPr="002B5189" w:rsidRDefault="00E54BB9" w:rsidP="00E54BB9">
      <w:pPr>
        <w:pStyle w:val="BodyText20"/>
      </w:pPr>
      <w:r w:rsidRPr="002B5189">
        <w:rPr>
          <w:b/>
          <w:u w:val="single"/>
        </w:rPr>
        <w:t>Financial Aid Student Record Collection</w:t>
      </w:r>
      <w:r w:rsidRPr="002B5189">
        <w:rPr>
          <w:b/>
        </w:rPr>
        <w:t>.</w:t>
      </w:r>
      <w:r w:rsidR="00BA0D27">
        <w:t xml:space="preserve"> </w:t>
      </w:r>
      <w:r w:rsidRPr="002B5189">
        <w:t>Despite access to federal aid databases, a complete picture of all non-federal inputs into student financial aid has been lacking in the secondary longitudinal studies, constitut</w:t>
      </w:r>
      <w:r w:rsidR="009E2F7E">
        <w:t>ing</w:t>
      </w:r>
      <w:r w:rsidRPr="002B5189">
        <w:t xml:space="preserve"> a severe limitation in the postsecondary years of the survey. Availability of financial aid is important at all points in the postsecondary process (initial access and choice, persistence, transfer, and ultimate educational attainment).</w:t>
      </w:r>
      <w:r w:rsidR="00BA0D27">
        <w:t xml:space="preserve"> </w:t>
      </w:r>
      <w:r w:rsidR="00800A9C" w:rsidRPr="002B5189">
        <w:t xml:space="preserve">The </w:t>
      </w:r>
      <w:r w:rsidRPr="002B5189">
        <w:t xml:space="preserve">financial aid data </w:t>
      </w:r>
      <w:r w:rsidR="00800A9C" w:rsidRPr="002B5189">
        <w:t>records</w:t>
      </w:r>
      <w:r w:rsidRPr="002B5189">
        <w:t xml:space="preserve"> collected from the institutions attended by HSLS:09 sample members</w:t>
      </w:r>
      <w:r w:rsidR="00800A9C" w:rsidRPr="002B5189">
        <w:t xml:space="preserve"> will greatly increase</w:t>
      </w:r>
      <w:r w:rsidRPr="002B5189">
        <w:t xml:space="preserve"> the analytic power of HSLS:09</w:t>
      </w:r>
      <w:r w:rsidR="009E2F7E">
        <w:t xml:space="preserve"> – </w:t>
      </w:r>
      <w:r w:rsidRPr="002B5189">
        <w:t>cumulative aid and debt, generally at a midpoint through postsecondary education, can be calculated with the availability of scholarship, fellowship, grant, and loan amount.</w:t>
      </w:r>
    </w:p>
    <w:p w14:paraId="4602FBED" w14:textId="77777777" w:rsidR="00E54BB9" w:rsidRPr="00BF65C4" w:rsidRDefault="00C94E1D" w:rsidP="00E54BB9">
      <w:pPr>
        <w:pStyle w:val="BodyText1"/>
      </w:pPr>
      <w:r w:rsidRPr="002B5189">
        <w:t>Additionally, t</w:t>
      </w:r>
      <w:r w:rsidR="00E54BB9" w:rsidRPr="002B5189">
        <w:t>wo panel maintenance collections are planned.</w:t>
      </w:r>
      <w:r w:rsidR="00BA0D27">
        <w:t xml:space="preserve"> </w:t>
      </w:r>
      <w:r w:rsidR="00E54BB9" w:rsidRPr="002B5189">
        <w:t>The first will take place in summer of 2015 for the main study sample</w:t>
      </w:r>
      <w:r w:rsidR="003B081D">
        <w:t>, and a second</w:t>
      </w:r>
      <w:r w:rsidR="00E54BB9" w:rsidRPr="002B5189">
        <w:t xml:space="preserve"> panel maintenance collection </w:t>
      </w:r>
      <w:r w:rsidR="003B081D">
        <w:t>may</w:t>
      </w:r>
      <w:r w:rsidR="00E54BB9" w:rsidRPr="002B5189">
        <w:t xml:space="preserve"> take place in early 2018 with the field test and main study samples</w:t>
      </w:r>
      <w:r w:rsidR="00800A9C" w:rsidRPr="002B5189">
        <w:t xml:space="preserve"> </w:t>
      </w:r>
      <w:r w:rsidR="00BE6692">
        <w:t>in anticipation of another follow-up with this cohort</w:t>
      </w:r>
      <w:r w:rsidR="00E54BB9" w:rsidRPr="002B5189">
        <w:t>.</w:t>
      </w:r>
    </w:p>
    <w:p w14:paraId="7B87A044" w14:textId="77777777" w:rsidR="00DA4F94" w:rsidRPr="00D5480C" w:rsidRDefault="00DA4F94" w:rsidP="00DA4F94">
      <w:pPr>
        <w:pStyle w:val="Heading3"/>
        <w:spacing w:line="360" w:lineRule="auto"/>
        <w:rPr>
          <w:lang w:val="en-US"/>
        </w:rPr>
      </w:pPr>
      <w:bookmarkStart w:id="26" w:name="_Toc401834506"/>
      <w:bookmarkStart w:id="27" w:name="_Toc403397628"/>
      <w:r w:rsidRPr="00D5480C">
        <w:rPr>
          <w:lang w:val="en-US"/>
        </w:rPr>
        <w:t>A.2.a</w:t>
      </w:r>
      <w:r w:rsidRPr="00D5480C">
        <w:rPr>
          <w:lang w:val="en-US"/>
        </w:rPr>
        <w:tab/>
        <w:t>Content Justifications</w:t>
      </w:r>
      <w:bookmarkEnd w:id="26"/>
      <w:bookmarkEnd w:id="27"/>
    </w:p>
    <w:p w14:paraId="1D1C437F" w14:textId="34DEEC35" w:rsidR="002F25B2" w:rsidRPr="002B5189" w:rsidRDefault="00DA4F94" w:rsidP="00DA4F94">
      <w:pPr>
        <w:pStyle w:val="BodyText1"/>
      </w:pPr>
      <w:r w:rsidRPr="002B5189">
        <w:rPr>
          <w:b/>
          <w:bCs/>
        </w:rPr>
        <w:t>Overview.</w:t>
      </w:r>
      <w:r w:rsidRPr="002B5189">
        <w:t xml:space="preserve"> This section contains justifications for the HSLS:09 </w:t>
      </w:r>
      <w:r w:rsidR="000C509D" w:rsidRPr="002B5189">
        <w:t>Second Follow-up</w:t>
      </w:r>
      <w:r w:rsidRPr="002B5189">
        <w:t xml:space="preserve"> field test instrument, reflecting the main research objectives of the study overall, and for this specific</w:t>
      </w:r>
      <w:r w:rsidR="002F25B2" w:rsidRPr="002B5189">
        <w:t xml:space="preserve"> </w:t>
      </w:r>
      <w:r w:rsidRPr="002B5189">
        <w:t>round in particular.</w:t>
      </w:r>
      <w:r w:rsidR="002F25B2" w:rsidRPr="002B5189">
        <w:t xml:space="preserve"> </w:t>
      </w:r>
      <w:r w:rsidRPr="002B5189">
        <w:t xml:space="preserve">The draft field test </w:t>
      </w:r>
      <w:r w:rsidR="00A36E2E" w:rsidRPr="002B5189">
        <w:t>interview</w:t>
      </w:r>
      <w:r w:rsidRPr="002B5189">
        <w:t xml:space="preserve"> has been included in Appendix </w:t>
      </w:r>
      <w:r w:rsidR="00320909">
        <w:t>E</w:t>
      </w:r>
      <w:r w:rsidRPr="002B5189">
        <w:t>.</w:t>
      </w:r>
    </w:p>
    <w:p w14:paraId="60561D1A" w14:textId="77777777" w:rsidR="002F25B2" w:rsidRPr="002B5189" w:rsidRDefault="00DA4F94" w:rsidP="00DA4F94">
      <w:pPr>
        <w:pStyle w:val="BodyText1"/>
      </w:pPr>
      <w:r w:rsidRPr="002B5189">
        <w:t xml:space="preserve">The </w:t>
      </w:r>
      <w:r w:rsidR="00A36E2E" w:rsidRPr="002B5189">
        <w:t>second follow-up survey</w:t>
      </w:r>
      <w:r w:rsidRPr="002B5189">
        <w:t xml:space="preserve"> items serve to support the overall purposes of HSLS:09, which are to understand the factors (e.g., experiences, behaviors, attitudes, interactions with people) that influence students’ decision-making process</w:t>
      </w:r>
      <w:r w:rsidR="00B24477" w:rsidRPr="002B5189">
        <w:t>es</w:t>
      </w:r>
      <w:r w:rsidRPr="002B5189">
        <w:t xml:space="preserve"> about </w:t>
      </w:r>
      <w:r w:rsidR="00A36E2E" w:rsidRPr="002B5189">
        <w:t>postsecondary enrollment and</w:t>
      </w:r>
      <w:r w:rsidRPr="002B5189">
        <w:t xml:space="preserve"> </w:t>
      </w:r>
      <w:r w:rsidR="00B24477" w:rsidRPr="002B5189">
        <w:t>coursetaking</w:t>
      </w:r>
      <w:r w:rsidRPr="002B5189">
        <w:t xml:space="preserve">, and occupation goals, and to understand how these decisions evolve </w:t>
      </w:r>
      <w:r w:rsidR="00A36E2E" w:rsidRPr="002B5189">
        <w:t xml:space="preserve">in the years after </w:t>
      </w:r>
      <w:r w:rsidRPr="002B5189">
        <w:t>secondary school</w:t>
      </w:r>
      <w:r w:rsidR="007F4AE6" w:rsidRPr="002B5189">
        <w:t>,</w:t>
      </w:r>
      <w:r w:rsidRPr="002B5189">
        <w:t xml:space="preserve"> ultimately marking the transition to adult status (as seen in education attainment, career, family formation, etc.).</w:t>
      </w:r>
    </w:p>
    <w:p w14:paraId="62A75099" w14:textId="77777777" w:rsidR="002F25B2" w:rsidRPr="002B5189" w:rsidRDefault="00DA4F94" w:rsidP="000778C2">
      <w:pPr>
        <w:widowControl w:val="0"/>
        <w:spacing w:after="120" w:line="360" w:lineRule="auto"/>
        <w:ind w:firstLine="720"/>
      </w:pPr>
      <w:r w:rsidRPr="002B5189">
        <w:t xml:space="preserve">For those in (or ahead of) modal high school grade progression sequence (that is, those </w:t>
      </w:r>
      <w:r w:rsidR="006C53A5" w:rsidRPr="002B5189">
        <w:t>who completed high school</w:t>
      </w:r>
      <w:r w:rsidRPr="002B5189">
        <w:t xml:space="preserve"> </w:t>
      </w:r>
      <w:r w:rsidR="00BE3D23" w:rsidRPr="002B5189">
        <w:t>by</w:t>
      </w:r>
      <w:r w:rsidRPr="002B5189">
        <w:t xml:space="preserve"> 2013, including early and on-time graduates), the prime foci of the </w:t>
      </w:r>
      <w:r w:rsidR="00A36E2E" w:rsidRPr="002B5189">
        <w:t>interview</w:t>
      </w:r>
      <w:r w:rsidRPr="002B5189">
        <w:t>s will be sub-baccalaureate attainment, labor market status of those who are working part- or full-time, postsecondary transfer, and postsecondary persistence</w:t>
      </w:r>
      <w:r w:rsidR="006C53A5" w:rsidRPr="002B5189">
        <w:t>. The second follow-up interview will also update information on high school attainment for students who, as of the 2013 update, had dropped out, or were held back a grade or more, in their secondary schooling. At the time of the second follow-up, the HSLS:09 cohort will be similar to members of the first follow-up of the 2012-14 Beginning Postsecondary Students Longitudinal Study (BPS:12/14).</w:t>
      </w:r>
      <w:r w:rsidR="002F25B2" w:rsidRPr="002B5189">
        <w:t xml:space="preserve"> </w:t>
      </w:r>
      <w:r w:rsidRPr="002B5189">
        <w:t xml:space="preserve">BPS covers all postsecondary entrants, early and late, while HSLS:09 does not include late entrants but provides a comparison group that is not in postsecondary education. Such comparison draws on the fact that </w:t>
      </w:r>
      <w:r w:rsidRPr="002B5189" w:rsidDel="001252A6">
        <w:t>those HSLS:09 cohort members who start postsecondary education</w:t>
      </w:r>
      <w:r w:rsidRPr="002B5189">
        <w:t xml:space="preserve"> </w:t>
      </w:r>
      <w:r w:rsidRPr="002B5189" w:rsidDel="001252A6">
        <w:t>the fall after modal high school graduation</w:t>
      </w:r>
      <w:r w:rsidRPr="002B5189">
        <w:t xml:space="preserve"> </w:t>
      </w:r>
      <w:r w:rsidRPr="002B5189" w:rsidDel="001252A6">
        <w:t xml:space="preserve">will have the same time spread between that time point and the HSLS:09 </w:t>
      </w:r>
      <w:r w:rsidRPr="002B5189">
        <w:t>s</w:t>
      </w:r>
      <w:r w:rsidRPr="002B5189" w:rsidDel="001252A6">
        <w:t xml:space="preserve">econd </w:t>
      </w:r>
      <w:r w:rsidRPr="002B5189">
        <w:t>f</w:t>
      </w:r>
      <w:r w:rsidRPr="002B5189" w:rsidDel="001252A6">
        <w:t>ollow-up survey as do BPS cohort members</w:t>
      </w:r>
      <w:r w:rsidRPr="002B5189">
        <w:t xml:space="preserve"> who started postsecondary education immediately after high school completion. In other words, both the BPS and the HSLS:09 immediate entrants are followed 3 years after first enrollment</w:t>
      </w:r>
      <w:r w:rsidRPr="002B5189" w:rsidDel="001252A6">
        <w:t>.</w:t>
      </w:r>
    </w:p>
    <w:p w14:paraId="47CBFBD6" w14:textId="491A29A5" w:rsidR="00DA4F94" w:rsidRPr="002B5189" w:rsidRDefault="00DA4F94" w:rsidP="000206CC">
      <w:pPr>
        <w:pStyle w:val="bodytextpsg"/>
        <w:spacing w:after="120" w:line="360" w:lineRule="auto"/>
        <w:ind w:firstLine="720"/>
      </w:pPr>
      <w:r w:rsidRPr="002B5189">
        <w:t xml:space="preserve">The draft </w:t>
      </w:r>
      <w:r w:rsidR="00C857F8" w:rsidRPr="002B5189">
        <w:t xml:space="preserve">HSLS:09 </w:t>
      </w:r>
      <w:r w:rsidR="000C509D" w:rsidRPr="002B5189">
        <w:t>Second Follow-up</w:t>
      </w:r>
      <w:r w:rsidR="00C857F8" w:rsidRPr="002B5189">
        <w:t xml:space="preserve"> </w:t>
      </w:r>
      <w:r w:rsidR="00A36E2E" w:rsidRPr="002B5189">
        <w:t>interview</w:t>
      </w:r>
      <w:r w:rsidRPr="002B5189">
        <w:t xml:space="preserve"> appears as Appendix </w:t>
      </w:r>
      <w:r w:rsidR="00F6131A" w:rsidRPr="002B5189">
        <w:t>E</w:t>
      </w:r>
      <w:r w:rsidRPr="002B5189">
        <w:t xml:space="preserve"> of this submission. The primary research </w:t>
      </w:r>
      <w:r w:rsidR="00860184" w:rsidRPr="002B5189">
        <w:t>areas</w:t>
      </w:r>
      <w:r w:rsidRPr="002B5189">
        <w:t xml:space="preserve"> drive the survey instrument:</w:t>
      </w:r>
      <w:r w:rsidR="002F25B2" w:rsidRPr="002B5189">
        <w:t xml:space="preserve"> </w:t>
      </w:r>
      <w:r w:rsidRPr="002B5189">
        <w:t>(1</w:t>
      </w:r>
      <w:r w:rsidR="0079783F" w:rsidRPr="002B5189">
        <w:t>) High</w:t>
      </w:r>
      <w:r w:rsidRPr="002B5189">
        <w:t xml:space="preserve"> School Attainment; (2) Postsecondary Access and Choice</w:t>
      </w:r>
      <w:r w:rsidR="0079783F" w:rsidRPr="002B5189">
        <w:t>; (</w:t>
      </w:r>
      <w:r w:rsidRPr="002B5189">
        <w:t xml:space="preserve">3) Attainment of </w:t>
      </w:r>
      <w:r w:rsidR="00B24477" w:rsidRPr="002B5189">
        <w:t>Sub</w:t>
      </w:r>
      <w:r w:rsidRPr="002B5189">
        <w:t xml:space="preserve">-baccalaureate </w:t>
      </w:r>
      <w:r w:rsidR="00B24477" w:rsidRPr="002B5189">
        <w:t>Credentials</w:t>
      </w:r>
      <w:r w:rsidRPr="002B5189">
        <w:t>: (4) Postsecondary Education Transfer and Persistence</w:t>
      </w:r>
      <w:r w:rsidR="0079783F" w:rsidRPr="002B5189">
        <w:t>; (</w:t>
      </w:r>
      <w:r w:rsidRPr="002B5189">
        <w:t>5</w:t>
      </w:r>
      <w:r w:rsidR="0079783F" w:rsidRPr="002B5189">
        <w:t>) Career</w:t>
      </w:r>
      <w:r w:rsidRPr="002B5189">
        <w:t xml:space="preserve"> Development</w:t>
      </w:r>
      <w:r w:rsidR="00A6169B" w:rsidRPr="002B5189">
        <w:t xml:space="preserve">; and </w:t>
      </w:r>
      <w:r w:rsidRPr="002B5189">
        <w:t>(6) Labor Market Experience.</w:t>
      </w:r>
      <w:r w:rsidR="002F25B2" w:rsidRPr="002B5189">
        <w:t xml:space="preserve"> </w:t>
      </w:r>
      <w:r w:rsidRPr="002B5189">
        <w:t>Each of these areas shall be separately discussed.</w:t>
      </w:r>
      <w:r w:rsidR="002F25B2" w:rsidRPr="002B5189">
        <w:t xml:space="preserve"> </w:t>
      </w:r>
      <w:r w:rsidRPr="002B5189">
        <w:t xml:space="preserve">Some additional subthemes that are represented on the </w:t>
      </w:r>
      <w:r w:rsidR="00A36E2E" w:rsidRPr="002B5189">
        <w:t>interview</w:t>
      </w:r>
      <w:r w:rsidRPr="002B5189">
        <w:t xml:space="preserve"> will also be mentioned:</w:t>
      </w:r>
      <w:r w:rsidR="002F25B2" w:rsidRPr="002B5189">
        <w:t xml:space="preserve"> </w:t>
      </w:r>
      <w:r w:rsidRPr="002B5189">
        <w:t>marriage and family formation and the college experience.</w:t>
      </w:r>
    </w:p>
    <w:p w14:paraId="77891D0D" w14:textId="77777777" w:rsidR="002F25B2" w:rsidRPr="002B5189" w:rsidRDefault="00DA4F94" w:rsidP="00DA4F94">
      <w:pPr>
        <w:pStyle w:val="bodytextpsg"/>
        <w:numPr>
          <w:ilvl w:val="0"/>
          <w:numId w:val="22"/>
        </w:numPr>
        <w:spacing w:after="0" w:line="360" w:lineRule="auto"/>
        <w:rPr>
          <w:b/>
        </w:rPr>
      </w:pPr>
      <w:r w:rsidRPr="002B5189">
        <w:rPr>
          <w:b/>
        </w:rPr>
        <w:t>High School Attainment</w:t>
      </w:r>
    </w:p>
    <w:p w14:paraId="622C7388" w14:textId="77777777" w:rsidR="002F25B2" w:rsidRPr="002B5189" w:rsidRDefault="00DA4F94" w:rsidP="00972B65">
      <w:pPr>
        <w:pStyle w:val="bodytextpsg"/>
        <w:spacing w:after="120" w:line="360" w:lineRule="auto"/>
        <w:ind w:firstLine="720"/>
      </w:pPr>
      <w:r w:rsidRPr="002B5189">
        <w:t>While information on high school completion is available for on-time graduates, the high school completion status of the remainder of the cohort must be addressed again in the HSLS:09 Second Follow-up. Dropouts, and students who take extra time to complete secondary school, are of high policy interest.</w:t>
      </w:r>
      <w:r w:rsidR="002F25B2" w:rsidRPr="002B5189">
        <w:t xml:space="preserve"> </w:t>
      </w:r>
      <w:r w:rsidRPr="002B5189">
        <w:t>Prior round nonrespondents also need to have their enrollment data updated.</w:t>
      </w:r>
      <w:r w:rsidR="002F25B2" w:rsidRPr="002B5189">
        <w:t xml:space="preserve"> </w:t>
      </w:r>
      <w:r w:rsidRPr="002B5189">
        <w:t>The prior secondary longitudinal studies show large numbers of high school dropouts eventually achieving alternative credentials (such as the GED) or returning to high school, while others remain without high school completion or equivalency even eight years after their cohort’s modal graduation date.</w:t>
      </w:r>
      <w:r w:rsidR="002F25B2" w:rsidRPr="002B5189">
        <w:t xml:space="preserve"> </w:t>
      </w:r>
      <w:r w:rsidRPr="002B5189">
        <w:t>GED administrative records are also a possible source for this topic area, and have been collected for prior secondary longitudinal studies.</w:t>
      </w:r>
    </w:p>
    <w:p w14:paraId="5E591354" w14:textId="77777777" w:rsidR="002F25B2" w:rsidRPr="002B5189" w:rsidRDefault="004D4807" w:rsidP="00DA4F94">
      <w:pPr>
        <w:pStyle w:val="bodytextpsg"/>
        <w:numPr>
          <w:ilvl w:val="0"/>
          <w:numId w:val="22"/>
        </w:numPr>
        <w:spacing w:after="0" w:line="360" w:lineRule="auto"/>
        <w:rPr>
          <w:b/>
        </w:rPr>
      </w:pPr>
      <w:r w:rsidRPr="002B5189">
        <w:rPr>
          <w:b/>
        </w:rPr>
        <w:t>Access and Choice</w:t>
      </w:r>
    </w:p>
    <w:p w14:paraId="1A475F13" w14:textId="77777777" w:rsidR="002F25B2" w:rsidRPr="002B5189" w:rsidRDefault="00DA4F94" w:rsidP="000206CC">
      <w:pPr>
        <w:spacing w:after="120" w:line="360" w:lineRule="auto"/>
        <w:ind w:firstLine="720"/>
      </w:pPr>
      <w:r w:rsidRPr="002B5189">
        <w:rPr>
          <w:i/>
        </w:rPr>
        <w:t>Access</w:t>
      </w:r>
      <w:r w:rsidRPr="002B5189">
        <w:t xml:space="preserve"> to postsecondary education can be conceptualized in multiple ways, which are not necessarily mutually exclusive. Academic access, for example, is more limited for dropouts and for low-achieving students, while financial access speaks to the possible gaps between student resources and student aid programs. Access is also influenced by expectations and aspirations. Those with academic and financial access may choose to enroll in postsecondary education. Enrollment, in turn, is affected by factors that may enhance or inhibit choice: academic preparation (</w:t>
      </w:r>
      <w:r w:rsidR="005B37DF" w:rsidRPr="002B5189">
        <w:t>e.g.,</w:t>
      </w:r>
      <w:r w:rsidRPr="002B5189">
        <w:t xml:space="preserve"> coursetaking, grades, and tested mathematics achievement); individual-level characteristics such as education and occupation or career aspirations or expectations; and family background characteristics such as family income, parental education, and educational expectations for their child.</w:t>
      </w:r>
    </w:p>
    <w:p w14:paraId="3F172269" w14:textId="77777777" w:rsidR="002F25B2" w:rsidRPr="002B5189" w:rsidRDefault="00DA4F94" w:rsidP="000206CC">
      <w:pPr>
        <w:spacing w:after="120" w:line="360" w:lineRule="auto"/>
        <w:ind w:firstLine="720"/>
      </w:pPr>
      <w:r w:rsidRPr="002B5189">
        <w:rPr>
          <w:i/>
        </w:rPr>
        <w:t>Choice</w:t>
      </w:r>
      <w:r w:rsidRPr="002B5189">
        <w:t xml:space="preserve"> is sometimes </w:t>
      </w:r>
      <w:r w:rsidR="005B37DF" w:rsidRPr="002B5189">
        <w:t xml:space="preserve">characterized </w:t>
      </w:r>
      <w:r w:rsidRPr="002B5189">
        <w:t>as the ability to attend an institution that is the best academic fit at an affordable price. Financial wherewithal is a key aspect of choice, not just in the sense of ability to pay, but also in terms of early perceptions of cost, which may affect both college preparation and the application process (</w:t>
      </w:r>
      <w:r w:rsidR="00B77CE1" w:rsidRPr="002B5189">
        <w:t>which</w:t>
      </w:r>
      <w:r w:rsidRPr="002B5189">
        <w:t xml:space="preserve"> has been meticulously captured in the earlier rounds of HSLS:09). The degree of choice available to students affects the type and sector of postsecondary institutions attended (for example, 2-year </w:t>
      </w:r>
      <w:r w:rsidR="00241E3E" w:rsidRPr="002B5189">
        <w:t>versus</w:t>
      </w:r>
      <w:r w:rsidRPr="002B5189">
        <w:t xml:space="preserve"> 4-year public </w:t>
      </w:r>
      <w:r w:rsidR="00241E3E" w:rsidRPr="002B5189">
        <w:t xml:space="preserve">or </w:t>
      </w:r>
      <w:r w:rsidRPr="002B5189">
        <w:t>private institutions); intensity of attendance (full- versus part-time); whether enrollment is at the “first choice” institution; and its location (urban, suburban, or rural; near home or distant). For students whose individual background and family resources enable a range of postsecondary education options, the concept of choice incorporates institutional characteristics such as the appeal of social and athletic environments and the academic prestige or ethos of a school</w:t>
      </w:r>
      <w:r w:rsidR="00B24477" w:rsidRPr="002B5189">
        <w:t>.</w:t>
      </w:r>
    </w:p>
    <w:p w14:paraId="758FED0F" w14:textId="77777777" w:rsidR="00DA4F94" w:rsidRPr="002B5189" w:rsidRDefault="00DA4F94" w:rsidP="00DA4F94">
      <w:pPr>
        <w:pStyle w:val="ListParagraph"/>
        <w:numPr>
          <w:ilvl w:val="0"/>
          <w:numId w:val="22"/>
        </w:numPr>
        <w:spacing w:after="0" w:line="360" w:lineRule="auto"/>
        <w:rPr>
          <w:rFonts w:ascii="Times New Roman" w:hAnsi="Times New Roman"/>
          <w:b/>
          <w:sz w:val="24"/>
          <w:szCs w:val="24"/>
        </w:rPr>
      </w:pPr>
      <w:r w:rsidRPr="002B5189">
        <w:rPr>
          <w:rFonts w:ascii="Times New Roman" w:hAnsi="Times New Roman"/>
          <w:b/>
          <w:sz w:val="24"/>
          <w:szCs w:val="24"/>
        </w:rPr>
        <w:t>Attainment of Sub-baccalaureate Credentials</w:t>
      </w:r>
    </w:p>
    <w:p w14:paraId="2D864D44" w14:textId="77777777" w:rsidR="002F25B2" w:rsidRPr="002B5189" w:rsidRDefault="00DA4F94" w:rsidP="008542C2">
      <w:pPr>
        <w:pStyle w:val="bodytextpsg"/>
        <w:spacing w:after="120" w:line="360" w:lineRule="auto"/>
        <w:ind w:firstLine="720"/>
      </w:pPr>
      <w:r w:rsidRPr="002B5189">
        <w:t>The timing of the second follow-up does not provide a basis for studying baccalaureate attainment.</w:t>
      </w:r>
      <w:r w:rsidR="002F25B2" w:rsidRPr="002B5189">
        <w:t xml:space="preserve"> </w:t>
      </w:r>
      <w:r w:rsidRPr="002B5189">
        <w:t>However, the 3-year post-graduation gap offers a window into attainment of 2-year degrees, postsecondary certificates, and certifications</w:t>
      </w:r>
      <w:r w:rsidR="00C857F8" w:rsidRPr="002B5189">
        <w:t>.</w:t>
      </w:r>
      <w:r w:rsidRPr="002B5189">
        <w:t xml:space="preserve"> As well, the timing provides an opportunity to study the transition from community college settings to 4-year programs.</w:t>
      </w:r>
      <w:r w:rsidR="002F25B2" w:rsidRPr="002B5189">
        <w:t xml:space="preserve"> </w:t>
      </w:r>
      <w:r w:rsidRPr="002B5189">
        <w:t xml:space="preserve">This is a research issue to be vigorously pursued in the </w:t>
      </w:r>
      <w:r w:rsidR="00A36E2E" w:rsidRPr="002B5189">
        <w:t>interview</w:t>
      </w:r>
      <w:r w:rsidRPr="002B5189">
        <w:t>, and administrative data will be sought to further enhance the picture of sub-baccalaureate attainment.</w:t>
      </w:r>
    </w:p>
    <w:p w14:paraId="144EE413" w14:textId="77777777" w:rsidR="002F25B2" w:rsidRPr="002B5189" w:rsidRDefault="00241E3E" w:rsidP="00DA4F94">
      <w:pPr>
        <w:pStyle w:val="bodytextpsg"/>
        <w:numPr>
          <w:ilvl w:val="0"/>
          <w:numId w:val="22"/>
        </w:numPr>
        <w:spacing w:after="0" w:line="360" w:lineRule="auto"/>
        <w:rPr>
          <w:b/>
        </w:rPr>
      </w:pPr>
      <w:r w:rsidRPr="002B5189">
        <w:rPr>
          <w:b/>
        </w:rPr>
        <w:t>Transfer and Persistence</w:t>
      </w:r>
    </w:p>
    <w:p w14:paraId="3190737C" w14:textId="77777777" w:rsidR="002F25B2" w:rsidRPr="002B5189" w:rsidRDefault="00DA4F94" w:rsidP="008542C2">
      <w:pPr>
        <w:pStyle w:val="bodytextpsg"/>
        <w:spacing w:after="120" w:line="360" w:lineRule="auto"/>
        <w:ind w:firstLine="720"/>
      </w:pPr>
      <w:r w:rsidRPr="002B5189">
        <w:rPr>
          <w:i/>
        </w:rPr>
        <w:t>Persistence</w:t>
      </w:r>
      <w:r w:rsidRPr="002B5189">
        <w:t xml:space="preserve">, staying the course until graduation or certification, is clearly of great importance to HSLS:09—although the timing of this measurement within the secondary longitudinal studies has been an issue. Historically in HS&amp;B, NELS:88, and ELS:2002, </w:t>
      </w:r>
      <w:r w:rsidRPr="002B5189">
        <w:rPr>
          <w:rFonts w:eastAsiaTheme="minorHAnsi"/>
        </w:rPr>
        <w:t>a basis for studying persistence</w:t>
      </w:r>
      <w:r w:rsidRPr="002B5189">
        <w:t xml:space="preserve"> has not been provided in the first measurement point past high school (two years), but </w:t>
      </w:r>
      <w:r w:rsidRPr="002B5189">
        <w:rPr>
          <w:rFonts w:eastAsiaTheme="minorHAnsi"/>
        </w:rPr>
        <w:t xml:space="preserve">at the end of the study (around age 26 for NELS and ELS) with multiple postsecondary </w:t>
      </w:r>
      <w:r w:rsidR="00A36E2E" w:rsidRPr="002B5189">
        <w:rPr>
          <w:rFonts w:eastAsiaTheme="minorHAnsi"/>
        </w:rPr>
        <w:t>interview</w:t>
      </w:r>
      <w:r w:rsidRPr="002B5189">
        <w:rPr>
          <w:rFonts w:eastAsiaTheme="minorHAnsi"/>
        </w:rPr>
        <w:t xml:space="preserve"> data points and continuous coursetaking data from the postsecondary transcripts.</w:t>
      </w:r>
      <w:r w:rsidR="002F25B2" w:rsidRPr="002B5189">
        <w:rPr>
          <w:rFonts w:eastAsiaTheme="minorHAnsi"/>
        </w:rPr>
        <w:t xml:space="preserve"> </w:t>
      </w:r>
      <w:r w:rsidRPr="002B5189">
        <w:rPr>
          <w:rFonts w:eastAsiaTheme="minorHAnsi"/>
        </w:rPr>
        <w:t>Here</w:t>
      </w:r>
      <w:r w:rsidR="00C32808" w:rsidRPr="002B5189">
        <w:rPr>
          <w:rFonts w:eastAsiaTheme="minorHAnsi"/>
        </w:rPr>
        <w:t>,</w:t>
      </w:r>
      <w:r w:rsidRPr="002B5189">
        <w:rPr>
          <w:rFonts w:eastAsiaTheme="minorHAnsi"/>
        </w:rPr>
        <w:t xml:space="preserve"> HSLS:09 will once more prove its singularity in the study series, given the 3-year post-graduation gap and the possibility of a postsecondary transcripts collection option. As a result, HSLS:09 may be looked to </w:t>
      </w:r>
      <w:r w:rsidR="00C32808" w:rsidRPr="002B5189">
        <w:rPr>
          <w:rFonts w:eastAsiaTheme="minorHAnsi"/>
        </w:rPr>
        <w:t>for</w:t>
      </w:r>
      <w:r w:rsidRPr="002B5189">
        <w:rPr>
          <w:rFonts w:eastAsiaTheme="minorHAnsi"/>
        </w:rPr>
        <w:t xml:space="preserve"> provid</w:t>
      </w:r>
      <w:r w:rsidR="00C32808" w:rsidRPr="002B5189">
        <w:rPr>
          <w:rFonts w:eastAsiaTheme="minorHAnsi"/>
        </w:rPr>
        <w:t>ing</w:t>
      </w:r>
      <w:r w:rsidRPr="002B5189">
        <w:rPr>
          <w:rFonts w:eastAsiaTheme="minorHAnsi"/>
        </w:rPr>
        <w:t xml:space="preserve"> highly timely and excellent information on early persistence in baccalaureate programs, and even better information about sub-baccalaureate persistence</w:t>
      </w:r>
      <w:r w:rsidR="00C71D1F" w:rsidRPr="002B5189">
        <w:rPr>
          <w:rFonts w:eastAsiaTheme="minorHAnsi"/>
        </w:rPr>
        <w:t xml:space="preserve"> and attainment</w:t>
      </w:r>
      <w:r w:rsidRPr="002B5189">
        <w:rPr>
          <w:rFonts w:eastAsiaTheme="minorHAnsi"/>
        </w:rPr>
        <w:t xml:space="preserve"> (both in school, and in major or field of study). The same may be the case for understanding progress through the curriculum and</w:t>
      </w:r>
      <w:r w:rsidR="005571C6" w:rsidRPr="002B5189">
        <w:rPr>
          <w:rFonts w:eastAsiaTheme="minorHAnsi"/>
        </w:rPr>
        <w:t>,</w:t>
      </w:r>
      <w:r w:rsidRPr="002B5189">
        <w:rPr>
          <w:rFonts w:eastAsiaTheme="minorHAnsi"/>
        </w:rPr>
        <w:t xml:space="preserve"> relatedly, </w:t>
      </w:r>
      <w:r w:rsidRPr="002B5189">
        <w:t>transfer and institutional mobility.</w:t>
      </w:r>
    </w:p>
    <w:p w14:paraId="0DAB39EF" w14:textId="77777777" w:rsidR="00C71D1F" w:rsidRPr="002B5189" w:rsidRDefault="00DA4F94" w:rsidP="001C6397">
      <w:pPr>
        <w:pStyle w:val="bodytextpsg"/>
        <w:numPr>
          <w:ilvl w:val="0"/>
          <w:numId w:val="22"/>
        </w:numPr>
        <w:spacing w:after="0" w:line="360" w:lineRule="auto"/>
        <w:rPr>
          <w:i/>
        </w:rPr>
      </w:pPr>
      <w:r w:rsidRPr="002B5189">
        <w:rPr>
          <w:b/>
        </w:rPr>
        <w:t>Career Development</w:t>
      </w:r>
      <w:r w:rsidR="002F25B2" w:rsidRPr="002B5189">
        <w:rPr>
          <w:b/>
        </w:rPr>
        <w:t xml:space="preserve"> </w:t>
      </w:r>
      <w:r w:rsidR="00C13D65" w:rsidRPr="002B5189">
        <w:rPr>
          <w:i/>
        </w:rPr>
        <w:t>(</w:t>
      </w:r>
      <w:r w:rsidRPr="002B5189">
        <w:rPr>
          <w:i/>
        </w:rPr>
        <w:t>Major, Field of Study, and Employment History as</w:t>
      </w:r>
      <w:r w:rsidR="00C13D65" w:rsidRPr="002B5189">
        <w:rPr>
          <w:i/>
        </w:rPr>
        <w:t xml:space="preserve"> </w:t>
      </w:r>
      <w:r w:rsidRPr="002B5189">
        <w:rPr>
          <w:i/>
        </w:rPr>
        <w:t>Pathways into Career Formation</w:t>
      </w:r>
      <w:r w:rsidR="00C13D65" w:rsidRPr="002B5189">
        <w:rPr>
          <w:i/>
        </w:rPr>
        <w:t>)</w:t>
      </w:r>
    </w:p>
    <w:p w14:paraId="7CDA5026" w14:textId="77777777" w:rsidR="002F25B2" w:rsidRPr="002B5189" w:rsidRDefault="00DA4F94" w:rsidP="008542C2">
      <w:pPr>
        <w:pStyle w:val="bodytextpsg"/>
        <w:spacing w:after="120" w:line="360" w:lineRule="auto"/>
        <w:ind w:firstLine="720"/>
      </w:pPr>
      <w:r w:rsidRPr="002B5189">
        <w:t>Career development is a natural focus for any longitudinal social capital study of young people, but it is given special salience by the HSLS:09 stress on STEM careers.</w:t>
      </w:r>
      <w:r w:rsidR="002F25B2" w:rsidRPr="002B5189">
        <w:t xml:space="preserve"> </w:t>
      </w:r>
      <w:r w:rsidRPr="002B5189">
        <w:t>Career status can be elicited from the context of the current job, and status and plans can also be represented through questions about the occupation or job expected at age 30.</w:t>
      </w:r>
      <w:r w:rsidR="002F25B2" w:rsidRPr="002B5189">
        <w:t xml:space="preserve"> </w:t>
      </w:r>
      <w:r w:rsidRPr="002B5189">
        <w:t>A perhaps richer tack to be considered for the construct of career status or plans is to be found in social-cognitive career theory.</w:t>
      </w:r>
      <w:r w:rsidR="002F25B2" w:rsidRPr="002B5189">
        <w:t xml:space="preserve"> </w:t>
      </w:r>
      <w:r w:rsidRPr="002B5189">
        <w:t xml:space="preserve">The field test will give due consideration to testing social cognitive measures for the HSLS:09 </w:t>
      </w:r>
      <w:r w:rsidR="000C509D" w:rsidRPr="002B5189">
        <w:t>Second Follow-up</w:t>
      </w:r>
      <w:r w:rsidRPr="002B5189">
        <w:t xml:space="preserve">. </w:t>
      </w:r>
      <w:r w:rsidRPr="002B5189">
        <w:rPr>
          <w:rFonts w:cs="Courier New"/>
          <w:snapToGrid w:val="0"/>
        </w:rPr>
        <w:t>Based on the notion that people learn by observing others</w:t>
      </w:r>
      <w:r w:rsidR="007F4AE6" w:rsidRPr="002B5189">
        <w:rPr>
          <w:rFonts w:cs="Courier New"/>
          <w:snapToGrid w:val="0"/>
        </w:rPr>
        <w:t>,</w:t>
      </w:r>
      <w:r w:rsidRPr="002B5189">
        <w:rPr>
          <w:rFonts w:cs="Courier New"/>
          <w:snapToGrid w:val="0"/>
        </w:rPr>
        <w:t xml:space="preserve"> social</w:t>
      </w:r>
      <w:r w:rsidR="00B24477" w:rsidRPr="002B5189">
        <w:rPr>
          <w:rFonts w:cs="Courier New"/>
          <w:snapToGrid w:val="0"/>
        </w:rPr>
        <w:t xml:space="preserve"> </w:t>
      </w:r>
      <w:r w:rsidRPr="002B5189">
        <w:rPr>
          <w:rFonts w:cs="Courier New"/>
          <w:snapToGrid w:val="0"/>
        </w:rPr>
        <w:t>cognitive scales of the education domain (or of occupation/the work place) can be used to measure several key constructs, some that may complement and build on HSLS:09 base year data: self-efficacy, outcome expectations, occupational interests, work supports and barriers, domain satisfaction, and persistence intentions among them. S</w:t>
      </w:r>
      <w:r w:rsidRPr="00BF65C4">
        <w:t>ocial cognitive career theory measures were developed for and included in the final follow-up of ELS:2002</w:t>
      </w:r>
      <w:r w:rsidR="0026371F" w:rsidRPr="00D5480C">
        <w:t>. S</w:t>
      </w:r>
      <w:r w:rsidRPr="00D5480C">
        <w:t xml:space="preserve">uch measures </w:t>
      </w:r>
      <w:r w:rsidRPr="002B5189">
        <w:t xml:space="preserve">would be stronger on HSLS:09 </w:t>
      </w:r>
      <w:r w:rsidR="000C509D" w:rsidRPr="002B5189">
        <w:t>Second Follow-up</w:t>
      </w:r>
      <w:r w:rsidRPr="002B5189">
        <w:t xml:space="preserve"> because they are ideally longitudinal: the outcomes of these predictors could be captured in future rounds.</w:t>
      </w:r>
    </w:p>
    <w:p w14:paraId="5E41C933" w14:textId="77777777" w:rsidR="00DA4F94" w:rsidRPr="002B5189" w:rsidRDefault="00D82783" w:rsidP="00DA4F94">
      <w:pPr>
        <w:pStyle w:val="bodytextpsg"/>
        <w:numPr>
          <w:ilvl w:val="0"/>
          <w:numId w:val="22"/>
        </w:numPr>
        <w:spacing w:after="0" w:line="360" w:lineRule="auto"/>
        <w:rPr>
          <w:b/>
        </w:rPr>
      </w:pPr>
      <w:r w:rsidRPr="002B5189">
        <w:rPr>
          <w:b/>
        </w:rPr>
        <w:t>Labor Market Experience</w:t>
      </w:r>
    </w:p>
    <w:p w14:paraId="1CD08C0F" w14:textId="77777777" w:rsidR="00DA4F94" w:rsidRPr="002B5189" w:rsidRDefault="00DA4F94" w:rsidP="005C3BE3">
      <w:pPr>
        <w:pStyle w:val="bodytextpsg"/>
        <w:spacing w:after="120" w:line="360" w:lineRule="auto"/>
        <w:ind w:firstLine="720"/>
      </w:pPr>
      <w:r w:rsidRPr="002B5189">
        <w:rPr>
          <w:i/>
          <w:iCs/>
        </w:rPr>
        <w:t>Labor market pathways</w:t>
      </w:r>
      <w:r w:rsidRPr="002B5189">
        <w:t xml:space="preserve"> of high school graduates and dropouts who do not participate in postsecondary education can be captured in the second follow-up. Some of the effects of job-related training and adult education can also be investigated at this juncture in HSLS:09.</w:t>
      </w:r>
      <w:r w:rsidRPr="002B5189">
        <w:rPr>
          <w:rFonts w:eastAsiaTheme="minorHAnsi"/>
        </w:rPr>
        <w:t xml:space="preserve"> Recent history has seen a growing consensus about the sophisticated skill requirements of the “21</w:t>
      </w:r>
      <w:r w:rsidRPr="002B5189">
        <w:rPr>
          <w:rFonts w:eastAsiaTheme="minorHAnsi"/>
          <w:vertAlign w:val="superscript"/>
        </w:rPr>
        <w:t>st</w:t>
      </w:r>
      <w:r w:rsidRPr="002B5189">
        <w:rPr>
          <w:rFonts w:eastAsiaTheme="minorHAnsi"/>
        </w:rPr>
        <w:t xml:space="preserve"> century workforce.” Along with the formal education training of workers, the new flexible workforce will need workers who are continuously learning new skills and competencies, some of which may be validated with formal professional licensure and certification. </w:t>
      </w:r>
      <w:r w:rsidRPr="002B5189">
        <w:t>While postsecondary education and labor experiences are prime foci, it should be remembered that NELS:88 and ELS:2002 show that, at ages 20 and 26, a substantial number of student sample members (sometimes in the range of 10 percent) reported that they were engaged in neither school nor work for pay. Second follow-up items must also capture the activities and experiences of these individuals, some of whom are unemployed or stay-at-home parents.</w:t>
      </w:r>
    </w:p>
    <w:p w14:paraId="0799EFD2" w14:textId="77777777" w:rsidR="00DA4F94" w:rsidRPr="002B5189" w:rsidRDefault="00DA4F94" w:rsidP="00DA4F94">
      <w:pPr>
        <w:pStyle w:val="bodytextpsg"/>
        <w:numPr>
          <w:ilvl w:val="0"/>
          <w:numId w:val="22"/>
        </w:numPr>
        <w:spacing w:after="0" w:line="360" w:lineRule="auto"/>
        <w:rPr>
          <w:b/>
        </w:rPr>
      </w:pPr>
      <w:r w:rsidRPr="002B5189">
        <w:rPr>
          <w:b/>
        </w:rPr>
        <w:t>Related Sub-themes:</w:t>
      </w:r>
      <w:r w:rsidR="002F25B2" w:rsidRPr="002B5189">
        <w:rPr>
          <w:b/>
        </w:rPr>
        <w:t xml:space="preserve"> </w:t>
      </w:r>
      <w:r w:rsidRPr="002B5189">
        <w:rPr>
          <w:b/>
        </w:rPr>
        <w:t>Marriage, Family; College Experience</w:t>
      </w:r>
    </w:p>
    <w:p w14:paraId="379212FF" w14:textId="77777777" w:rsidR="00DA4F94" w:rsidRPr="002B5189" w:rsidRDefault="00DA4F94" w:rsidP="001C6397">
      <w:pPr>
        <w:pStyle w:val="bodytextpsg"/>
        <w:widowControl w:val="0"/>
        <w:spacing w:after="120" w:line="360" w:lineRule="auto"/>
        <w:ind w:firstLine="720"/>
      </w:pPr>
      <w:r w:rsidRPr="002B5189">
        <w:rPr>
          <w:i/>
        </w:rPr>
        <w:t>Marriage and family formation</w:t>
      </w:r>
      <w:r w:rsidRPr="002B5189">
        <w:t xml:space="preserve"> is another marker of the transition to adulthood. Though this sub-theme warrants less </w:t>
      </w:r>
      <w:r w:rsidR="00A36E2E" w:rsidRPr="002B5189">
        <w:t>interview</w:t>
      </w:r>
      <w:r w:rsidRPr="002B5189">
        <w:t xml:space="preserve"> space than the work and postsecondary education question series, it remains important to gather the basic facts of domestic arrangements, keeping in mind that work and education opportunities may in part be influenced or conditioned by constraints such as child care, or may </w:t>
      </w:r>
      <w:r w:rsidR="000F56FC" w:rsidRPr="002B5189">
        <w:t xml:space="preserve">be </w:t>
      </w:r>
      <w:r w:rsidRPr="002B5189">
        <w:t>positively or negatively supported by marriage.</w:t>
      </w:r>
    </w:p>
    <w:p w14:paraId="79EF93F4" w14:textId="77777777" w:rsidR="002F25B2" w:rsidRPr="002B5189" w:rsidRDefault="00DA4F94" w:rsidP="005C3BE3">
      <w:pPr>
        <w:spacing w:after="120" w:line="360" w:lineRule="auto"/>
        <w:ind w:firstLine="720"/>
      </w:pPr>
      <w:r w:rsidRPr="002B5189">
        <w:rPr>
          <w:i/>
        </w:rPr>
        <w:t>College Experience</w:t>
      </w:r>
      <w:r w:rsidRPr="002B5189">
        <w:t>:</w:t>
      </w:r>
      <w:r w:rsidR="002F25B2" w:rsidRPr="002B5189">
        <w:t xml:space="preserve"> </w:t>
      </w:r>
      <w:r w:rsidRPr="002B5189">
        <w:t xml:space="preserve">Since this round marks the data collection in which most cohort members will be students in a postsecondary setting, it will be the preferred time to ask questions about the college experience. Just as students are influenced by their high school education experience, postsecondary settings exert peer and instructor influence, and reflect academic climate as well. The extent of students’ engagement </w:t>
      </w:r>
      <w:r w:rsidR="000F56FC" w:rsidRPr="002B5189">
        <w:t xml:space="preserve">and time spent </w:t>
      </w:r>
      <w:r w:rsidRPr="002B5189">
        <w:t>in college activities and its perceived contributions to students</w:t>
      </w:r>
      <w:r w:rsidR="000F56FC" w:rsidRPr="002B5189">
        <w:t>’</w:t>
      </w:r>
      <w:r w:rsidRPr="002B5189">
        <w:t xml:space="preserve"> overall development of knowledge and skills may also relate to students</w:t>
      </w:r>
      <w:r w:rsidR="003848CB" w:rsidRPr="002B5189">
        <w:t>’</w:t>
      </w:r>
      <w:r w:rsidRPr="002B5189">
        <w:t xml:space="preserve"> subsequent career development and other life course outcomes. The college experience is a research area that may well support substantial numbers of questions that are new to the secondary longitudinal studies series.</w:t>
      </w:r>
    </w:p>
    <w:p w14:paraId="770BF73E" w14:textId="7DE18499" w:rsidR="00E54BB9" w:rsidRPr="00941CCF" w:rsidRDefault="00E54BB9" w:rsidP="0001009B">
      <w:pPr>
        <w:spacing w:after="120" w:line="360" w:lineRule="auto"/>
        <w:ind w:firstLine="720"/>
        <w:rPr>
          <w:bCs/>
          <w:lang w:val="en-CA"/>
        </w:rPr>
      </w:pPr>
      <w:r w:rsidRPr="00941CCF">
        <w:rPr>
          <w:b/>
          <w:bCs/>
          <w:lang w:val="en-CA"/>
        </w:rPr>
        <w:t xml:space="preserve">Postsecondary Transcripts and Financial Aid Records. </w:t>
      </w:r>
      <w:r w:rsidRPr="00941CCF">
        <w:rPr>
          <w:bCs/>
          <w:lang w:val="en-CA"/>
        </w:rPr>
        <w:t xml:space="preserve">The </w:t>
      </w:r>
      <w:r w:rsidR="0001009B" w:rsidRPr="00941CCF">
        <w:rPr>
          <w:bCs/>
          <w:lang w:val="en-CA"/>
        </w:rPr>
        <w:t>list</w:t>
      </w:r>
      <w:r w:rsidR="0001009B">
        <w:rPr>
          <w:bCs/>
          <w:lang w:val="en-CA"/>
        </w:rPr>
        <w:t>s of</w:t>
      </w:r>
      <w:r w:rsidR="0001009B" w:rsidRPr="00941CCF">
        <w:rPr>
          <w:bCs/>
          <w:lang w:val="en-CA"/>
        </w:rPr>
        <w:t xml:space="preserve"> </w:t>
      </w:r>
      <w:r w:rsidRPr="00941CCF">
        <w:rPr>
          <w:bCs/>
          <w:lang w:val="en-CA"/>
        </w:rPr>
        <w:t xml:space="preserve">data elements for both the postsecondary transcript collection and the financial aid record collection can be found in Appendix </w:t>
      </w:r>
      <w:r w:rsidR="00A309DA">
        <w:rPr>
          <w:bCs/>
          <w:lang w:val="en-CA"/>
        </w:rPr>
        <w:t>F</w:t>
      </w:r>
      <w:r w:rsidR="003270DE">
        <w:rPr>
          <w:bCs/>
          <w:lang w:val="en-CA"/>
        </w:rPr>
        <w:t xml:space="preserve"> </w:t>
      </w:r>
      <w:r w:rsidRPr="00941CCF">
        <w:rPr>
          <w:bCs/>
          <w:lang w:val="en-CA"/>
        </w:rPr>
        <w:t xml:space="preserve">and </w:t>
      </w:r>
      <w:r w:rsidR="003270DE">
        <w:rPr>
          <w:bCs/>
          <w:lang w:val="en-CA"/>
        </w:rPr>
        <w:t>G,</w:t>
      </w:r>
      <w:r w:rsidR="003270DE" w:rsidRPr="00941CCF">
        <w:rPr>
          <w:bCs/>
          <w:lang w:val="en-CA"/>
        </w:rPr>
        <w:t xml:space="preserve"> </w:t>
      </w:r>
      <w:r w:rsidRPr="00941CCF">
        <w:rPr>
          <w:bCs/>
          <w:lang w:val="en-CA"/>
        </w:rPr>
        <w:t>respectively.</w:t>
      </w:r>
      <w:r w:rsidR="00BA0D27">
        <w:rPr>
          <w:bCs/>
          <w:lang w:val="en-CA"/>
        </w:rPr>
        <w:t xml:space="preserve"> </w:t>
      </w:r>
      <w:r w:rsidR="0001009B" w:rsidRPr="0001009B">
        <w:rPr>
          <w:bCs/>
        </w:rPr>
        <w:t>The HSLS</w:t>
      </w:r>
      <w:r w:rsidR="0001009B">
        <w:rPr>
          <w:bCs/>
        </w:rPr>
        <w:t>:09</w:t>
      </w:r>
      <w:r w:rsidR="0001009B" w:rsidRPr="0001009B">
        <w:rPr>
          <w:bCs/>
        </w:rPr>
        <w:t xml:space="preserve"> PETS will include the same data elements as </w:t>
      </w:r>
      <w:r w:rsidR="00F37AFF">
        <w:rPr>
          <w:bCs/>
        </w:rPr>
        <w:t xml:space="preserve">the </w:t>
      </w:r>
      <w:r w:rsidR="0001009B" w:rsidRPr="0001009B">
        <w:rPr>
          <w:bCs/>
        </w:rPr>
        <w:t xml:space="preserve">previously-approved PETS </w:t>
      </w:r>
      <w:r w:rsidR="00F37AFF">
        <w:rPr>
          <w:bCs/>
        </w:rPr>
        <w:t>in</w:t>
      </w:r>
      <w:r w:rsidR="0001009B" w:rsidRPr="0001009B">
        <w:rPr>
          <w:bCs/>
        </w:rPr>
        <w:t xml:space="preserve"> ELS:</w:t>
      </w:r>
      <w:r w:rsidR="003270DE">
        <w:rPr>
          <w:bCs/>
        </w:rPr>
        <w:t>20</w:t>
      </w:r>
      <w:r w:rsidR="0001009B" w:rsidRPr="0001009B">
        <w:rPr>
          <w:bCs/>
        </w:rPr>
        <w:t>02, B&amp;B:08/09, and BPS:04/09, including: case information, schools and terms, academic honors, tests, degrees and majors, and courses</w:t>
      </w:r>
      <w:r w:rsidR="0001009B">
        <w:rPr>
          <w:bCs/>
        </w:rPr>
        <w:t xml:space="preserve">. The data elements for the financial aid record collection will be the same as those collected for </w:t>
      </w:r>
      <w:r w:rsidR="003270DE">
        <w:rPr>
          <w:bCs/>
        </w:rPr>
        <w:t xml:space="preserve">the </w:t>
      </w:r>
      <w:r w:rsidR="003270DE" w:rsidRPr="00941CCF">
        <w:rPr>
          <w:bCs/>
          <w:lang w:val="en-CA"/>
        </w:rPr>
        <w:t>ELS:2002</w:t>
      </w:r>
      <w:r w:rsidRPr="00941CCF">
        <w:rPr>
          <w:bCs/>
          <w:lang w:val="en-CA"/>
        </w:rPr>
        <w:t xml:space="preserve"> Financial Aid Feasibility Study</w:t>
      </w:r>
      <w:r w:rsidR="0001009B">
        <w:rPr>
          <w:bCs/>
          <w:lang w:val="en-CA"/>
        </w:rPr>
        <w:t xml:space="preserve"> </w:t>
      </w:r>
      <w:r w:rsidRPr="00941CCF">
        <w:rPr>
          <w:bCs/>
          <w:lang w:val="en-CA"/>
        </w:rPr>
        <w:t>and the National Postsecondary Student Aid Study (NPSAS).</w:t>
      </w:r>
      <w:r w:rsidR="00BA0D27">
        <w:rPr>
          <w:bCs/>
          <w:lang w:val="en-CA"/>
        </w:rPr>
        <w:t xml:space="preserve"> </w:t>
      </w:r>
      <w:r w:rsidRPr="00941CCF">
        <w:rPr>
          <w:bCs/>
          <w:lang w:val="en-CA"/>
        </w:rPr>
        <w:t>Potential research topics are discussed below.</w:t>
      </w:r>
    </w:p>
    <w:p w14:paraId="2118EC41" w14:textId="77777777" w:rsidR="00E54BB9" w:rsidRPr="002B5189" w:rsidRDefault="00E54BB9" w:rsidP="00E54BB9">
      <w:pPr>
        <w:spacing w:after="120" w:line="360" w:lineRule="auto"/>
        <w:ind w:firstLine="720"/>
      </w:pPr>
      <w:r w:rsidRPr="002B5189">
        <w:rPr>
          <w:b/>
          <w:bCs/>
          <w:lang w:val="en-CA"/>
        </w:rPr>
        <w:t>Postsecondary Transcripts.</w:t>
      </w:r>
      <w:r w:rsidRPr="002B5189">
        <w:rPr>
          <w:rStyle w:val="bodyChar"/>
        </w:rPr>
        <w:t xml:space="preserve"> Researchers have found, in analyses of HS&amp;B and NELS:88 PETS (e.g., Adelman 2006</w:t>
      </w:r>
      <w:r w:rsidRPr="002B5189">
        <w:rPr>
          <w:rFonts w:ascii="Arial" w:hAnsi="Arial" w:cs="Arial"/>
          <w:noProof/>
          <w:sz w:val="18"/>
          <w:szCs w:val="18"/>
          <w:vertAlign w:val="superscript"/>
        </w:rPr>
        <w:footnoteReference w:id="3"/>
      </w:r>
      <w:r w:rsidRPr="002B5189">
        <w:rPr>
          <w:rStyle w:val="bodyChar"/>
        </w:rPr>
        <w:t>), that “academic intensity of the student’s high school curriculum” counts importantly in providing momentum toward completing a bachelor’s degree. Transcripts provide</w:t>
      </w:r>
      <w:r w:rsidRPr="002B5189">
        <w:t xml:space="preserve"> unique, empirical data on student course-taking, performance, transfer, academic momentum and intensity, fields of study, and degree outcomes.</w:t>
      </w:r>
      <w:r w:rsidR="00BA0D27">
        <w:t xml:space="preserve"> </w:t>
      </w:r>
      <w:r w:rsidRPr="002B5189">
        <w:t>Combined with student interview and high school transcript data, postsecondary transcript data can create a rich analytic resource for the study</w:t>
      </w:r>
      <w:r w:rsidR="00E448A9">
        <w:t xml:space="preserve"> of postsecondary education.</w:t>
      </w:r>
    </w:p>
    <w:p w14:paraId="542C2E49" w14:textId="77777777" w:rsidR="00E54BB9" w:rsidRPr="002B5189" w:rsidRDefault="00E54BB9" w:rsidP="00E54BB9">
      <w:pPr>
        <w:pStyle w:val="body"/>
      </w:pPr>
      <w:r w:rsidRPr="002B5189">
        <w:t>The HSLS:09 PETS is the sixth in a series of postsecondary education transcript studies of high school cohorts; the first (NLS:72) took place in 1984, and was followed by HS&amp;B sophomore cohort (1993), HS&amp;B senior cohort (1986), NELS:88 (2000), and ELS:2002 (2012).</w:t>
      </w:r>
      <w:r w:rsidR="00BA0D27">
        <w:t xml:space="preserve"> </w:t>
      </w:r>
      <w:r w:rsidRPr="002B5189">
        <w:t>Postsecondary education transcript studies have also been undertaken in connection with BPS and Baccalaureate and Beyond (B&amp;B)</w:t>
      </w:r>
      <w:r w:rsidR="00FF5511">
        <w:t xml:space="preserve"> longitudinal studies</w:t>
      </w:r>
      <w:r w:rsidRPr="002B5189">
        <w:t xml:space="preserve">. A fundamental difference </w:t>
      </w:r>
      <w:r w:rsidR="003F473D">
        <w:t xml:space="preserve">is </w:t>
      </w:r>
      <w:r w:rsidRPr="002B5189">
        <w:t>that BPS and B&amp;B are grounded in a nationally-representative sample of postsecondary institutions (NPSAS) while the high school studies are based on a grade cohort-based secondary school sample. In addition, BPS captures all students entering postsecondary education</w:t>
      </w:r>
      <w:r w:rsidR="003F473D">
        <w:t xml:space="preserve">, while </w:t>
      </w:r>
      <w:r w:rsidRPr="002B5189">
        <w:t>the high school studies miss late entrants.</w:t>
      </w:r>
      <w:r w:rsidR="00BA0D27">
        <w:t xml:space="preserve"> </w:t>
      </w:r>
      <w:r w:rsidRPr="002B5189">
        <w:t>Likewise, B&amp;B is representative of baccalaureate recipients, while studies such as HSLS:09 and ELS:2002 (which lack both late entrants and late completers) are not.</w:t>
      </w:r>
    </w:p>
    <w:p w14:paraId="3DF89AF5" w14:textId="77777777" w:rsidR="00E54BB9" w:rsidRPr="002B5189" w:rsidRDefault="00E54BB9" w:rsidP="00E54BB9">
      <w:pPr>
        <w:pStyle w:val="body"/>
      </w:pPr>
      <w:r w:rsidRPr="002B5189">
        <w:t xml:space="preserve">While HSLS:09 cannot produce national estimates of postsecondary transfers or address the </w:t>
      </w:r>
      <w:r w:rsidR="00182345">
        <w:t>pathways</w:t>
      </w:r>
      <w:r w:rsidRPr="002B5189">
        <w:t xml:space="preserve"> of late entrants, </w:t>
      </w:r>
      <w:r w:rsidR="00182345">
        <w:t>its</w:t>
      </w:r>
      <w:r w:rsidRPr="002B5189">
        <w:t xml:space="preserve"> link to high school data </w:t>
      </w:r>
      <w:r w:rsidR="003F473D">
        <w:t>provides</w:t>
      </w:r>
      <w:r w:rsidRPr="002B5189">
        <w:t xml:space="preserve"> rich information on the antecedents and pathways of individuals entering postsecondary education fairly promptly after high school.</w:t>
      </w:r>
    </w:p>
    <w:p w14:paraId="055D8D30" w14:textId="77777777" w:rsidR="00E54BB9" w:rsidRPr="002B5189" w:rsidRDefault="00E54BB9" w:rsidP="003F473D">
      <w:pPr>
        <w:spacing w:after="120"/>
      </w:pPr>
      <w:r w:rsidRPr="002B5189">
        <w:t xml:space="preserve">Some research topics that can be addressed with </w:t>
      </w:r>
      <w:r w:rsidR="003F473D">
        <w:t xml:space="preserve">the HSLS:09 </w:t>
      </w:r>
      <w:r w:rsidRPr="002B5189">
        <w:t>transcript data include:</w:t>
      </w:r>
    </w:p>
    <w:p w14:paraId="70FE184A" w14:textId="77777777" w:rsidR="00BA0D27" w:rsidRDefault="00E54BB9" w:rsidP="003F473D">
      <w:pPr>
        <w:pStyle w:val="ListParagraph"/>
        <w:keepNext/>
        <w:numPr>
          <w:ilvl w:val="0"/>
          <w:numId w:val="30"/>
        </w:numPr>
        <w:spacing w:after="120" w:line="240" w:lineRule="auto"/>
        <w:contextualSpacing w:val="0"/>
        <w:rPr>
          <w:rFonts w:ascii="Times New Roman" w:hAnsi="Times New Roman"/>
          <w:sz w:val="24"/>
          <w:szCs w:val="24"/>
        </w:rPr>
      </w:pPr>
      <w:r w:rsidRPr="002B5189">
        <w:rPr>
          <w:rFonts w:ascii="Times New Roman" w:hAnsi="Times New Roman"/>
          <w:sz w:val="24"/>
          <w:szCs w:val="24"/>
        </w:rPr>
        <w:t>Academic preparation – As a longitudinal study, HSLS:09 is positioned to provide data on secondary school preparation and postsecondary outcomes.</w:t>
      </w:r>
      <w:r w:rsidR="00BA0D27">
        <w:rPr>
          <w:rFonts w:ascii="Times New Roman" w:hAnsi="Times New Roman"/>
          <w:sz w:val="24"/>
          <w:szCs w:val="24"/>
        </w:rPr>
        <w:t xml:space="preserve"> </w:t>
      </w:r>
      <w:r w:rsidRPr="002B5189">
        <w:rPr>
          <w:rFonts w:ascii="Times New Roman" w:hAnsi="Times New Roman"/>
          <w:sz w:val="24"/>
          <w:szCs w:val="24"/>
        </w:rPr>
        <w:t>The combined interview and high school transcript data offer insight on the academic preparation of students, including the courses they took and their performance.</w:t>
      </w:r>
      <w:r w:rsidR="00BA0D27">
        <w:rPr>
          <w:rFonts w:ascii="Times New Roman" w:hAnsi="Times New Roman"/>
          <w:sz w:val="24"/>
          <w:szCs w:val="24"/>
        </w:rPr>
        <w:t xml:space="preserve"> </w:t>
      </w:r>
      <w:r w:rsidRPr="002B5189">
        <w:rPr>
          <w:rFonts w:ascii="Times New Roman" w:hAnsi="Times New Roman"/>
          <w:sz w:val="24"/>
          <w:szCs w:val="24"/>
        </w:rPr>
        <w:t>Postsecondary transcripts will add data on subsequent course-taking and performance, creating opportunities to study the student academic experience over time.</w:t>
      </w:r>
    </w:p>
    <w:p w14:paraId="5EF6D561" w14:textId="77777777" w:rsidR="00BA0D27" w:rsidRDefault="00E54BB9" w:rsidP="003F473D">
      <w:pPr>
        <w:pStyle w:val="ListParagraph"/>
        <w:numPr>
          <w:ilvl w:val="0"/>
          <w:numId w:val="30"/>
        </w:numPr>
        <w:spacing w:after="120" w:line="240" w:lineRule="auto"/>
        <w:contextualSpacing w:val="0"/>
        <w:rPr>
          <w:rFonts w:ascii="Times New Roman" w:hAnsi="Times New Roman"/>
          <w:bCs/>
          <w:sz w:val="24"/>
          <w:szCs w:val="24"/>
        </w:rPr>
      </w:pPr>
      <w:r w:rsidRPr="002B5189">
        <w:rPr>
          <w:rFonts w:ascii="Times New Roman" w:hAnsi="Times New Roman"/>
          <w:bCs/>
          <w:sz w:val="24"/>
          <w:szCs w:val="24"/>
        </w:rPr>
        <w:t>Transfer – By collecting transcripts from all postsecondary institutions sample members are known to have attended, the study enables analysis of the movement of students and credits between institutions.</w:t>
      </w:r>
      <w:r w:rsidR="00BA0D27">
        <w:rPr>
          <w:rFonts w:ascii="Times New Roman" w:hAnsi="Times New Roman"/>
          <w:bCs/>
          <w:sz w:val="24"/>
          <w:szCs w:val="24"/>
        </w:rPr>
        <w:t xml:space="preserve"> </w:t>
      </w:r>
      <w:r w:rsidRPr="002B5189">
        <w:rPr>
          <w:rFonts w:ascii="Times New Roman" w:hAnsi="Times New Roman"/>
          <w:bCs/>
          <w:sz w:val="24"/>
          <w:szCs w:val="24"/>
        </w:rPr>
        <w:t>Example research questions include: How prevalent is student transfer between institutions, including co-enrollment, and how are credits transferred between institutions?</w:t>
      </w:r>
      <w:r w:rsidR="00BA0D27">
        <w:rPr>
          <w:rFonts w:ascii="Times New Roman" w:hAnsi="Times New Roman"/>
          <w:bCs/>
          <w:sz w:val="24"/>
          <w:szCs w:val="24"/>
        </w:rPr>
        <w:t xml:space="preserve"> </w:t>
      </w:r>
      <w:r w:rsidRPr="002B5189">
        <w:rPr>
          <w:rFonts w:ascii="Times New Roman" w:hAnsi="Times New Roman"/>
          <w:bCs/>
          <w:sz w:val="24"/>
          <w:szCs w:val="24"/>
        </w:rPr>
        <w:t>How does transfer impact student outcomes?</w:t>
      </w:r>
    </w:p>
    <w:p w14:paraId="3E64C5E0" w14:textId="77777777" w:rsidR="00BA0D27" w:rsidRDefault="00E54BB9" w:rsidP="003F473D">
      <w:pPr>
        <w:pStyle w:val="ListParagraph"/>
        <w:numPr>
          <w:ilvl w:val="0"/>
          <w:numId w:val="30"/>
        </w:numPr>
        <w:spacing w:after="120" w:line="240" w:lineRule="auto"/>
        <w:contextualSpacing w:val="0"/>
        <w:rPr>
          <w:rFonts w:ascii="Times New Roman" w:hAnsi="Times New Roman"/>
          <w:bCs/>
          <w:sz w:val="24"/>
          <w:szCs w:val="24"/>
        </w:rPr>
      </w:pPr>
      <w:r w:rsidRPr="002B5189">
        <w:rPr>
          <w:rFonts w:ascii="Times New Roman" w:hAnsi="Times New Roman"/>
          <w:bCs/>
          <w:sz w:val="24"/>
          <w:szCs w:val="24"/>
        </w:rPr>
        <w:t>Course-taking – Analysis of transcripts across the student sample provide</w:t>
      </w:r>
      <w:r w:rsidR="00A94690">
        <w:rPr>
          <w:rFonts w:ascii="Times New Roman" w:hAnsi="Times New Roman"/>
          <w:bCs/>
          <w:sz w:val="24"/>
          <w:szCs w:val="24"/>
        </w:rPr>
        <w:t>s</w:t>
      </w:r>
      <w:r w:rsidRPr="002B5189">
        <w:rPr>
          <w:rFonts w:ascii="Times New Roman" w:hAnsi="Times New Roman"/>
          <w:bCs/>
          <w:sz w:val="24"/>
          <w:szCs w:val="24"/>
        </w:rPr>
        <w:t xml:space="preserve"> insights on postsecondary education offerings and student course taking.</w:t>
      </w:r>
      <w:r w:rsidR="00BA0D27">
        <w:rPr>
          <w:rFonts w:ascii="Times New Roman" w:hAnsi="Times New Roman"/>
          <w:bCs/>
          <w:sz w:val="24"/>
          <w:szCs w:val="24"/>
        </w:rPr>
        <w:t xml:space="preserve"> </w:t>
      </w:r>
      <w:r w:rsidRPr="002B5189">
        <w:rPr>
          <w:rFonts w:ascii="Times New Roman" w:hAnsi="Times New Roman"/>
          <w:bCs/>
          <w:sz w:val="24"/>
          <w:szCs w:val="24"/>
        </w:rPr>
        <w:t>Frequencies of courses in particular topic areas can be examined, such as STEM</w:t>
      </w:r>
      <w:r w:rsidR="00CD574F">
        <w:rPr>
          <w:rFonts w:ascii="Times New Roman" w:hAnsi="Times New Roman"/>
          <w:bCs/>
          <w:sz w:val="24"/>
          <w:szCs w:val="24"/>
        </w:rPr>
        <w:t>,</w:t>
      </w:r>
      <w:r w:rsidRPr="002B5189">
        <w:rPr>
          <w:rFonts w:ascii="Times New Roman" w:hAnsi="Times New Roman"/>
          <w:bCs/>
          <w:sz w:val="24"/>
          <w:szCs w:val="24"/>
        </w:rPr>
        <w:t xml:space="preserve"> occupational</w:t>
      </w:r>
      <w:r w:rsidR="00CD574F">
        <w:rPr>
          <w:rFonts w:ascii="Times New Roman" w:hAnsi="Times New Roman"/>
          <w:bCs/>
          <w:sz w:val="24"/>
          <w:szCs w:val="24"/>
        </w:rPr>
        <w:t>,</w:t>
      </w:r>
      <w:r w:rsidRPr="002B5189">
        <w:rPr>
          <w:rFonts w:ascii="Times New Roman" w:hAnsi="Times New Roman"/>
          <w:bCs/>
          <w:sz w:val="24"/>
          <w:szCs w:val="24"/>
        </w:rPr>
        <w:t xml:space="preserve"> or remedial courses.</w:t>
      </w:r>
      <w:r w:rsidR="00BA0D27">
        <w:rPr>
          <w:rFonts w:ascii="Times New Roman" w:hAnsi="Times New Roman"/>
          <w:bCs/>
          <w:sz w:val="24"/>
          <w:szCs w:val="24"/>
        </w:rPr>
        <w:t xml:space="preserve"> </w:t>
      </w:r>
      <w:r w:rsidRPr="002B5189">
        <w:rPr>
          <w:rFonts w:ascii="Times New Roman" w:hAnsi="Times New Roman"/>
          <w:bCs/>
          <w:sz w:val="24"/>
          <w:szCs w:val="24"/>
        </w:rPr>
        <w:t>Course-taking data can be combined with data on student program type, level (e.g. freshman), degree attainment, school sector, and a variety of other variables to gain insight on how course-taking varies across student and institution types.</w:t>
      </w:r>
      <w:r w:rsidR="00BA0D27">
        <w:rPr>
          <w:rFonts w:ascii="Times New Roman" w:hAnsi="Times New Roman"/>
          <w:bCs/>
          <w:sz w:val="24"/>
          <w:szCs w:val="24"/>
        </w:rPr>
        <w:t xml:space="preserve"> </w:t>
      </w:r>
      <w:r w:rsidRPr="002B5189">
        <w:rPr>
          <w:rFonts w:ascii="Times New Roman" w:hAnsi="Times New Roman"/>
          <w:bCs/>
          <w:sz w:val="24"/>
          <w:szCs w:val="24"/>
        </w:rPr>
        <w:t>Additional course data, such as credits earned or attempted and grade point averages in selected topic areas can give further insights on performance and progress of the study population.</w:t>
      </w:r>
      <w:r w:rsidR="00BA0D27">
        <w:rPr>
          <w:rFonts w:ascii="Times New Roman" w:hAnsi="Times New Roman"/>
          <w:bCs/>
          <w:sz w:val="24"/>
          <w:szCs w:val="24"/>
        </w:rPr>
        <w:t xml:space="preserve"> </w:t>
      </w:r>
      <w:r w:rsidRPr="002B5189">
        <w:rPr>
          <w:rFonts w:ascii="Times New Roman" w:hAnsi="Times New Roman"/>
          <w:bCs/>
          <w:sz w:val="24"/>
          <w:szCs w:val="24"/>
        </w:rPr>
        <w:t>Example research questions include: How does course taking vary for students at public, private non-profit</w:t>
      </w:r>
      <w:r w:rsidR="00CD574F">
        <w:rPr>
          <w:rFonts w:ascii="Times New Roman" w:hAnsi="Times New Roman"/>
          <w:bCs/>
          <w:sz w:val="24"/>
          <w:szCs w:val="24"/>
        </w:rPr>
        <w:t>,</w:t>
      </w:r>
      <w:r w:rsidRPr="002B5189">
        <w:rPr>
          <w:rFonts w:ascii="Times New Roman" w:hAnsi="Times New Roman"/>
          <w:bCs/>
          <w:sz w:val="24"/>
          <w:szCs w:val="24"/>
        </w:rPr>
        <w:t xml:space="preserve"> and private for-profit institutions, </w:t>
      </w:r>
      <w:r w:rsidR="00CD574F">
        <w:rPr>
          <w:rFonts w:ascii="Times New Roman" w:hAnsi="Times New Roman"/>
          <w:bCs/>
          <w:sz w:val="24"/>
          <w:szCs w:val="24"/>
        </w:rPr>
        <w:t xml:space="preserve">or </w:t>
      </w:r>
      <w:r w:rsidRPr="002B5189">
        <w:rPr>
          <w:rFonts w:ascii="Times New Roman" w:hAnsi="Times New Roman"/>
          <w:bCs/>
          <w:sz w:val="24"/>
          <w:szCs w:val="24"/>
        </w:rPr>
        <w:t>at 4-year, 2-year, and less-than-2-year institutions?</w:t>
      </w:r>
      <w:r w:rsidR="00BA0D27">
        <w:rPr>
          <w:rFonts w:ascii="Times New Roman" w:hAnsi="Times New Roman"/>
          <w:bCs/>
          <w:sz w:val="24"/>
          <w:szCs w:val="24"/>
        </w:rPr>
        <w:t xml:space="preserve"> </w:t>
      </w:r>
      <w:r w:rsidRPr="002B5189">
        <w:rPr>
          <w:rFonts w:ascii="Times New Roman" w:hAnsi="Times New Roman"/>
          <w:bCs/>
          <w:sz w:val="24"/>
          <w:szCs w:val="24"/>
        </w:rPr>
        <w:t>How does course-taking influence persistence and other student outcomes?</w:t>
      </w:r>
    </w:p>
    <w:p w14:paraId="3B0801D6" w14:textId="77777777" w:rsidR="00BA0D27" w:rsidRDefault="00E54BB9" w:rsidP="003F473D">
      <w:pPr>
        <w:pStyle w:val="ListParagraph"/>
        <w:numPr>
          <w:ilvl w:val="0"/>
          <w:numId w:val="30"/>
        </w:numPr>
        <w:spacing w:after="120" w:line="240" w:lineRule="auto"/>
        <w:contextualSpacing w:val="0"/>
        <w:rPr>
          <w:rFonts w:ascii="Times New Roman" w:hAnsi="Times New Roman"/>
          <w:bCs/>
          <w:sz w:val="24"/>
          <w:szCs w:val="24"/>
        </w:rPr>
      </w:pPr>
      <w:r w:rsidRPr="002B5189">
        <w:rPr>
          <w:rFonts w:ascii="Times New Roman" w:hAnsi="Times New Roman"/>
          <w:bCs/>
          <w:sz w:val="24"/>
          <w:szCs w:val="24"/>
        </w:rPr>
        <w:t>Academic performance - Transcripts provide more detailed data on academic performance than can be collected from any other source.</w:t>
      </w:r>
      <w:r w:rsidR="00BA0D27">
        <w:rPr>
          <w:rFonts w:ascii="Times New Roman" w:hAnsi="Times New Roman"/>
          <w:bCs/>
          <w:sz w:val="24"/>
          <w:szCs w:val="24"/>
        </w:rPr>
        <w:t xml:space="preserve"> </w:t>
      </w:r>
      <w:r w:rsidRPr="002B5189">
        <w:rPr>
          <w:rFonts w:ascii="Times New Roman" w:hAnsi="Times New Roman"/>
          <w:bCs/>
          <w:sz w:val="24"/>
          <w:szCs w:val="24"/>
        </w:rPr>
        <w:t>Grade data from transcripts can be used to examine performance in specific subject areas or in selected time periods (e.g. 1</w:t>
      </w:r>
      <w:r w:rsidRPr="002B5189">
        <w:rPr>
          <w:rFonts w:ascii="Times New Roman" w:hAnsi="Times New Roman"/>
          <w:bCs/>
          <w:sz w:val="24"/>
          <w:szCs w:val="24"/>
          <w:vertAlign w:val="superscript"/>
        </w:rPr>
        <w:t>st</w:t>
      </w:r>
      <w:r w:rsidRPr="002B5189">
        <w:rPr>
          <w:rFonts w:ascii="Times New Roman" w:hAnsi="Times New Roman"/>
          <w:bCs/>
          <w:sz w:val="24"/>
          <w:szCs w:val="24"/>
        </w:rPr>
        <w:t xml:space="preserve"> year students).</w:t>
      </w:r>
      <w:r w:rsidR="00BA0D27">
        <w:rPr>
          <w:rFonts w:ascii="Times New Roman" w:hAnsi="Times New Roman"/>
          <w:bCs/>
          <w:sz w:val="24"/>
          <w:szCs w:val="24"/>
        </w:rPr>
        <w:t xml:space="preserve"> </w:t>
      </w:r>
      <w:r w:rsidRPr="002B5189">
        <w:rPr>
          <w:rFonts w:ascii="Times New Roman" w:hAnsi="Times New Roman"/>
          <w:bCs/>
          <w:sz w:val="24"/>
          <w:szCs w:val="24"/>
        </w:rPr>
        <w:t>Grade data can be combined with degree attainment, stop-out, transfer, or interview data such as employment and income to create a more detailed picture of how academic performance relates to progress and student outcomes.</w:t>
      </w:r>
    </w:p>
    <w:p w14:paraId="3D3B31F4" w14:textId="77777777" w:rsidR="00BA0D27" w:rsidRDefault="00E54BB9" w:rsidP="003F473D">
      <w:pPr>
        <w:pStyle w:val="ListParagraph"/>
        <w:numPr>
          <w:ilvl w:val="0"/>
          <w:numId w:val="30"/>
        </w:numPr>
        <w:spacing w:after="120" w:line="240" w:lineRule="auto"/>
        <w:contextualSpacing w:val="0"/>
        <w:rPr>
          <w:rFonts w:ascii="Times New Roman" w:hAnsi="Times New Roman"/>
          <w:bCs/>
          <w:sz w:val="24"/>
          <w:szCs w:val="24"/>
        </w:rPr>
      </w:pPr>
      <w:r w:rsidRPr="002B5189">
        <w:rPr>
          <w:rFonts w:ascii="Times New Roman" w:hAnsi="Times New Roman"/>
          <w:bCs/>
          <w:sz w:val="24"/>
          <w:szCs w:val="24"/>
        </w:rPr>
        <w:t>Credit accumulation – Similar to academic performance, transcripts provide a unique opportunity to analyze student credit accumulation.</w:t>
      </w:r>
      <w:r w:rsidR="00BA0D27">
        <w:rPr>
          <w:rFonts w:ascii="Times New Roman" w:hAnsi="Times New Roman"/>
          <w:bCs/>
          <w:sz w:val="24"/>
          <w:szCs w:val="24"/>
        </w:rPr>
        <w:t xml:space="preserve"> </w:t>
      </w:r>
      <w:r w:rsidRPr="002B5189">
        <w:rPr>
          <w:rFonts w:ascii="Times New Roman" w:hAnsi="Times New Roman"/>
          <w:bCs/>
          <w:sz w:val="24"/>
          <w:szCs w:val="24"/>
        </w:rPr>
        <w:t>Credit accumulation can be measured across institutions and across time, enabling analysis of concepts such as enrollment intensity (i.e. full-time or part-time enrollment) and time to degree.</w:t>
      </w:r>
      <w:r w:rsidR="00BA0D27">
        <w:rPr>
          <w:rFonts w:ascii="Times New Roman" w:hAnsi="Times New Roman"/>
          <w:bCs/>
          <w:sz w:val="24"/>
          <w:szCs w:val="24"/>
        </w:rPr>
        <w:t xml:space="preserve"> </w:t>
      </w:r>
      <w:r w:rsidRPr="002B5189">
        <w:rPr>
          <w:rFonts w:ascii="Times New Roman" w:hAnsi="Times New Roman"/>
          <w:bCs/>
          <w:sz w:val="24"/>
          <w:szCs w:val="24"/>
        </w:rPr>
        <w:t>How much does part-time enrollment delay degree completion, and does it decrease the likelihood of earning a degree?</w:t>
      </w:r>
      <w:r w:rsidR="00BA0D27">
        <w:rPr>
          <w:rFonts w:ascii="Times New Roman" w:hAnsi="Times New Roman"/>
          <w:bCs/>
          <w:sz w:val="24"/>
          <w:szCs w:val="24"/>
        </w:rPr>
        <w:t xml:space="preserve"> </w:t>
      </w:r>
      <w:r w:rsidRPr="002B5189">
        <w:rPr>
          <w:rFonts w:ascii="Times New Roman" w:hAnsi="Times New Roman"/>
          <w:bCs/>
          <w:sz w:val="24"/>
          <w:szCs w:val="24"/>
        </w:rPr>
        <w:t>Transcript data provide an additional dimension to the analysis of time to degree and persistence, introducing the added detail of how credits were earned during the time a student was enrolled.</w:t>
      </w:r>
    </w:p>
    <w:p w14:paraId="22F834DC" w14:textId="77777777" w:rsidR="00BA0D27" w:rsidRDefault="00E54BB9" w:rsidP="003F473D">
      <w:pPr>
        <w:pStyle w:val="ListParagraph"/>
        <w:numPr>
          <w:ilvl w:val="0"/>
          <w:numId w:val="30"/>
        </w:numPr>
        <w:spacing w:after="120" w:line="240" w:lineRule="auto"/>
        <w:contextualSpacing w:val="0"/>
        <w:rPr>
          <w:rFonts w:ascii="Times New Roman" w:hAnsi="Times New Roman"/>
          <w:bCs/>
          <w:sz w:val="24"/>
          <w:szCs w:val="24"/>
        </w:rPr>
      </w:pPr>
      <w:r w:rsidRPr="002B5189">
        <w:rPr>
          <w:rFonts w:ascii="Times New Roman" w:hAnsi="Times New Roman"/>
          <w:bCs/>
          <w:sz w:val="24"/>
          <w:szCs w:val="24"/>
        </w:rPr>
        <w:t>“Events” – Transcripts provide empirical evidence of events in postsecondary enrollment such as stop-outs, transfers, summer or dual enrollment</w:t>
      </w:r>
      <w:r w:rsidR="007D6C8D">
        <w:rPr>
          <w:rFonts w:ascii="Times New Roman" w:hAnsi="Times New Roman"/>
          <w:bCs/>
          <w:sz w:val="24"/>
          <w:szCs w:val="24"/>
        </w:rPr>
        <w:t xml:space="preserve"> periods, and other phenomena</w:t>
      </w:r>
      <w:r w:rsidRPr="002B5189">
        <w:rPr>
          <w:rFonts w:ascii="Times New Roman" w:hAnsi="Times New Roman"/>
          <w:bCs/>
          <w:sz w:val="24"/>
          <w:szCs w:val="24"/>
        </w:rPr>
        <w:t xml:space="preserve"> that are difficult to capture or measure solely with self-reported data.</w:t>
      </w:r>
      <w:r w:rsidR="00BA0D27">
        <w:rPr>
          <w:rFonts w:ascii="Times New Roman" w:hAnsi="Times New Roman"/>
          <w:bCs/>
          <w:sz w:val="24"/>
          <w:szCs w:val="24"/>
        </w:rPr>
        <w:t xml:space="preserve"> </w:t>
      </w:r>
      <w:r w:rsidRPr="002B5189">
        <w:rPr>
          <w:rFonts w:ascii="Times New Roman" w:hAnsi="Times New Roman"/>
          <w:bCs/>
          <w:sz w:val="24"/>
          <w:szCs w:val="24"/>
        </w:rPr>
        <w:t>Patterns of attendance, such as swirling or moving from 2-year to 4-year institutions can also be analyzed.</w:t>
      </w:r>
    </w:p>
    <w:p w14:paraId="27109FE2" w14:textId="77777777" w:rsidR="00E54BB9" w:rsidRPr="00CD574F" w:rsidRDefault="00E54BB9" w:rsidP="00E54BB9">
      <w:pPr>
        <w:rPr>
          <w:sz w:val="14"/>
          <w:szCs w:val="14"/>
        </w:rPr>
      </w:pPr>
    </w:p>
    <w:p w14:paraId="43D27146" w14:textId="06048BA4" w:rsidR="00E54BB9" w:rsidRPr="002B5189" w:rsidRDefault="00E54BB9" w:rsidP="00E54BB9">
      <w:pPr>
        <w:spacing w:after="120" w:line="360" w:lineRule="auto"/>
        <w:ind w:firstLine="720"/>
      </w:pPr>
      <w:r w:rsidRPr="002B5189">
        <w:rPr>
          <w:b/>
          <w:bCs/>
          <w:lang w:val="en-CA"/>
        </w:rPr>
        <w:t>Financial Aid Records.</w:t>
      </w:r>
      <w:r w:rsidRPr="002B5189">
        <w:t xml:space="preserve"> As stated above, the content is extracted from the set of financial aid data elements developed for ELS:2002 and NPSAS.</w:t>
      </w:r>
      <w:r w:rsidR="00BA0D27">
        <w:t xml:space="preserve"> </w:t>
      </w:r>
      <w:r w:rsidRPr="002B5189">
        <w:t xml:space="preserve">Availability of financial aid is important at all points in the postsecondary process (initial access and choice, persistence, transfer, and ultimate educational attainment). More detail pertaining to item justification can be found in Appendix </w:t>
      </w:r>
      <w:r w:rsidR="00A309DA">
        <w:t>G</w:t>
      </w:r>
      <w:r w:rsidRPr="002B5189">
        <w:t>.</w:t>
      </w:r>
    </w:p>
    <w:p w14:paraId="7B5071E7" w14:textId="799BEE8A" w:rsidR="00004979" w:rsidRPr="002B5189" w:rsidRDefault="00004979" w:rsidP="00004979">
      <w:pPr>
        <w:spacing w:after="120" w:line="360" w:lineRule="auto"/>
        <w:ind w:firstLine="720"/>
        <w:rPr>
          <w:b/>
          <w:bCs/>
        </w:rPr>
      </w:pPr>
      <w:r w:rsidRPr="002B5189">
        <w:t xml:space="preserve">Additional data for the HSLS:09 sample will be obtained from a variety of administrative data sources. These include queries of </w:t>
      </w:r>
      <w:r w:rsidR="009B098F" w:rsidRPr="002B5189">
        <w:t>the Central Processing System (</w:t>
      </w:r>
      <w:r w:rsidRPr="002B5189">
        <w:t>CPS</w:t>
      </w:r>
      <w:r w:rsidR="009B098F" w:rsidRPr="002B5189">
        <w:t>)</w:t>
      </w:r>
      <w:r w:rsidRPr="002B5189">
        <w:t xml:space="preserve">, the National Student Loan Data System (NSLDS) containing Pell loan and grant files, </w:t>
      </w:r>
      <w:r w:rsidR="009B098F" w:rsidRPr="002B5189">
        <w:t xml:space="preserve">the GED testing service, </w:t>
      </w:r>
      <w:r w:rsidRPr="002B5189">
        <w:t>the National Student Clearinghouse (NSC), vendors of national undergraduate student admission tests including ACT and SAT scores</w:t>
      </w:r>
      <w:r w:rsidR="005E0B22" w:rsidRPr="002B5189">
        <w:t>, and vendors of voter registration data</w:t>
      </w:r>
      <w:r w:rsidRPr="002B5189">
        <w:t xml:space="preserve">. </w:t>
      </w:r>
      <w:r w:rsidR="00EF7BC3">
        <w:t>T</w:t>
      </w:r>
      <w:r w:rsidR="00EF7BC3" w:rsidRPr="002B5189">
        <w:t xml:space="preserve">he security procedures in place for the linkages to administrative data </w:t>
      </w:r>
      <w:r w:rsidR="00EF7BC3">
        <w:t>are</w:t>
      </w:r>
      <w:r w:rsidR="00EF7BC3" w:rsidRPr="002B5189">
        <w:t xml:space="preserve"> presented in appendix </w:t>
      </w:r>
      <w:r w:rsidR="00EF7BC3">
        <w:t>B, and a</w:t>
      </w:r>
      <w:r w:rsidRPr="002B5189">
        <w:t xml:space="preserve"> description of </w:t>
      </w:r>
      <w:r w:rsidR="005B2CBA" w:rsidRPr="002B5189">
        <w:t xml:space="preserve">the data security language for vendor contracts sources is provided in appendix </w:t>
      </w:r>
      <w:r w:rsidR="00EF7BC3">
        <w:t>C</w:t>
      </w:r>
      <w:r w:rsidRPr="002B5189">
        <w:t>.</w:t>
      </w:r>
    </w:p>
    <w:p w14:paraId="582EA533" w14:textId="77777777" w:rsidR="002F25B2" w:rsidRPr="00D5480C" w:rsidRDefault="0072781E" w:rsidP="00BF643A">
      <w:pPr>
        <w:pStyle w:val="Heading2"/>
      </w:pPr>
      <w:bookmarkStart w:id="28" w:name="_Toc192579034"/>
      <w:bookmarkStart w:id="29" w:name="_Toc401834507"/>
      <w:bookmarkStart w:id="30" w:name="_Toc403397629"/>
      <w:r w:rsidRPr="00D5480C">
        <w:t>A.3</w:t>
      </w:r>
      <w:r w:rsidRPr="00D5480C">
        <w:tab/>
        <w:t>Use of Improved Information Technology</w:t>
      </w:r>
      <w:bookmarkEnd w:id="28"/>
      <w:bookmarkEnd w:id="29"/>
      <w:bookmarkEnd w:id="30"/>
    </w:p>
    <w:p w14:paraId="10848027" w14:textId="77777777" w:rsidR="003F468B" w:rsidRPr="002B5189" w:rsidRDefault="003F468B" w:rsidP="005C3BE3">
      <w:pPr>
        <w:pStyle w:val="BodyText"/>
        <w:spacing w:before="0" w:line="360" w:lineRule="auto"/>
      </w:pPr>
      <w:bookmarkStart w:id="31" w:name="_Toc192579035"/>
      <w:r w:rsidRPr="002B5189">
        <w:t xml:space="preserve">The website for data collection will reside on NCES’ SSL-encrypted servers. HSLS:09 will use web-based </w:t>
      </w:r>
      <w:r w:rsidR="00A36E2E" w:rsidRPr="002B5189">
        <w:t>interview</w:t>
      </w:r>
      <w:r w:rsidRPr="002B5189">
        <w:t xml:space="preserve">s across two modes of data collection, self-administered surveys and computer-assisted telephone interviewing (CATI), and will be made mobile-friendly to allow participants to complete the full survey on a tablet or smartphone. On a nightly basis, the data collection contractor, RTI, will download interview data, in batches, to </w:t>
      </w:r>
      <w:r w:rsidR="00B24477" w:rsidRPr="002B5189">
        <w:t xml:space="preserve">its </w:t>
      </w:r>
      <w:r w:rsidRPr="002B5189">
        <w:t>Enhanced Security Network (ESN) via a secure web service. Once in the ESN, data will be cleaned and undergo quality analysis.</w:t>
      </w:r>
    </w:p>
    <w:p w14:paraId="46351DDA" w14:textId="772E3BF3" w:rsidR="00BA0D27" w:rsidRDefault="00FC15DC" w:rsidP="00FF1F22">
      <w:pPr>
        <w:pStyle w:val="BodyText"/>
        <w:tabs>
          <w:tab w:val="left" w:pos="3420"/>
        </w:tabs>
        <w:spacing w:line="360" w:lineRule="auto"/>
      </w:pPr>
      <w:bookmarkStart w:id="32" w:name="_Toc303777066"/>
      <w:r w:rsidRPr="002B5189">
        <w:rPr>
          <w:rStyle w:val="bodyChar"/>
        </w:rPr>
        <w:t xml:space="preserve">In the main study, data </w:t>
      </w:r>
      <w:r w:rsidR="009E6623">
        <w:rPr>
          <w:rStyle w:val="bodyChar"/>
        </w:rPr>
        <w:t xml:space="preserve">will be collected </w:t>
      </w:r>
      <w:r w:rsidRPr="002B5189">
        <w:rPr>
          <w:rStyle w:val="bodyChar"/>
        </w:rPr>
        <w:t xml:space="preserve">from </w:t>
      </w:r>
      <w:r w:rsidR="009E6623">
        <w:rPr>
          <w:rStyle w:val="bodyChar"/>
        </w:rPr>
        <w:t xml:space="preserve">the </w:t>
      </w:r>
      <w:r w:rsidRPr="002B5189">
        <w:rPr>
          <w:rStyle w:val="bodyChar"/>
        </w:rPr>
        <w:t>postsecondary institutions attended by HSLS:09 sample members</w:t>
      </w:r>
      <w:r w:rsidR="006A2EE6">
        <w:rPr>
          <w:rStyle w:val="bodyChar"/>
        </w:rPr>
        <w:t xml:space="preserve">. </w:t>
      </w:r>
      <w:r w:rsidR="009E6623">
        <w:rPr>
          <w:rStyle w:val="bodyChar"/>
        </w:rPr>
        <w:t xml:space="preserve">These </w:t>
      </w:r>
      <w:r w:rsidRPr="002B5189">
        <w:rPr>
          <w:rStyle w:val="bodyChar"/>
        </w:rPr>
        <w:t xml:space="preserve">institutions </w:t>
      </w:r>
      <w:r w:rsidR="009E6623">
        <w:rPr>
          <w:rStyle w:val="bodyChar"/>
        </w:rPr>
        <w:t xml:space="preserve">will be identified </w:t>
      </w:r>
      <w:r w:rsidRPr="002B5189">
        <w:rPr>
          <w:rStyle w:val="bodyChar"/>
        </w:rPr>
        <w:t xml:space="preserve">as part of the </w:t>
      </w:r>
      <w:r w:rsidR="006A2EE6">
        <w:rPr>
          <w:rStyle w:val="bodyChar"/>
        </w:rPr>
        <w:t xml:space="preserve">2016 </w:t>
      </w:r>
      <w:r w:rsidRPr="002B5189">
        <w:rPr>
          <w:rStyle w:val="bodyChar"/>
        </w:rPr>
        <w:t>main study survey. For the transcript and financial aid records collections to be conducted in 2017, i</w:t>
      </w:r>
      <w:r w:rsidR="00FF1F22" w:rsidRPr="002B5189">
        <w:rPr>
          <w:rStyle w:val="bodyChar"/>
        </w:rPr>
        <w:t>nstitutions will receive an announcement in which institution staff will be invited to access the NCES postsecondary data portal website where they will find information on the purposes of the collections, along with forms and instructions, FAQs, endorsements, legal authority, and how to contact project staff.</w:t>
      </w:r>
      <w:r w:rsidR="00BA0D27">
        <w:rPr>
          <w:rStyle w:val="bodyChar"/>
        </w:rPr>
        <w:t xml:space="preserve"> </w:t>
      </w:r>
      <w:r w:rsidR="00FF1F22" w:rsidRPr="002B5189">
        <w:t xml:space="preserve">To access restricted pages containing confidential information, the user will be required to log in by entering an assigned ID number and password. Once each task is completed, institution staff will no longer be able to access it, but a status screen will indicate which stages of data collection have been </w:t>
      </w:r>
      <w:r w:rsidR="00563C0C">
        <w:t>concluded</w:t>
      </w:r>
      <w:r w:rsidR="00FF1F22" w:rsidRPr="002B5189">
        <w:t>.</w:t>
      </w:r>
    </w:p>
    <w:p w14:paraId="7EC70B2F" w14:textId="77777777" w:rsidR="00FF1F22" w:rsidRPr="002B5189" w:rsidRDefault="00FF1F22" w:rsidP="00FF1F22">
      <w:pPr>
        <w:pStyle w:val="Heading3"/>
        <w:rPr>
          <w:rFonts w:cs="Times New Roman"/>
          <w:szCs w:val="24"/>
        </w:rPr>
      </w:pPr>
      <w:bookmarkStart w:id="33" w:name="_Toc324513219"/>
      <w:bookmarkStart w:id="34" w:name="_Toc403397630"/>
      <w:r w:rsidRPr="002B5189">
        <w:rPr>
          <w:rFonts w:cs="Times New Roman"/>
          <w:szCs w:val="24"/>
        </w:rPr>
        <w:t>A.3.a</w:t>
      </w:r>
      <w:r w:rsidR="00BA0D27">
        <w:rPr>
          <w:rFonts w:cs="Times New Roman"/>
          <w:szCs w:val="24"/>
        </w:rPr>
        <w:t xml:space="preserve"> </w:t>
      </w:r>
      <w:bookmarkEnd w:id="32"/>
      <w:r w:rsidRPr="002B5189">
        <w:rPr>
          <w:rFonts w:cs="Times New Roman"/>
          <w:szCs w:val="24"/>
        </w:rPr>
        <w:t>Postsecondary Transcripts</w:t>
      </w:r>
      <w:bookmarkEnd w:id="33"/>
      <w:r w:rsidRPr="002B5189">
        <w:rPr>
          <w:rFonts w:cs="Times New Roman"/>
          <w:szCs w:val="24"/>
        </w:rPr>
        <w:t>:</w:t>
      </w:r>
      <w:r w:rsidR="00BA0D27">
        <w:rPr>
          <w:rFonts w:cs="Times New Roman"/>
          <w:szCs w:val="24"/>
        </w:rPr>
        <w:t xml:space="preserve"> </w:t>
      </w:r>
      <w:r w:rsidRPr="002B5189">
        <w:rPr>
          <w:rFonts w:cs="Times New Roman"/>
          <w:szCs w:val="24"/>
        </w:rPr>
        <w:t>HSLS:09 PETS</w:t>
      </w:r>
      <w:bookmarkEnd w:id="34"/>
    </w:p>
    <w:p w14:paraId="350505DB" w14:textId="77777777" w:rsidR="00BA0D27" w:rsidRDefault="004B798E" w:rsidP="004B798E">
      <w:pPr>
        <w:pStyle w:val="BodyText"/>
        <w:spacing w:line="360" w:lineRule="auto"/>
      </w:pPr>
      <w:r w:rsidRPr="002B5189">
        <w:t>Information technology will be employed in the collection of postsecondary transcripts and course catalogs from the institutions attended by HSLS:09 sample members.</w:t>
      </w:r>
      <w:r w:rsidR="00BA0D27">
        <w:t xml:space="preserve"> </w:t>
      </w:r>
      <w:r w:rsidRPr="002B5189">
        <w:t xml:space="preserve">As a first step, RTI will collect course catalogs for and postsecondary transcripts from institutions where HSLS:09 cohort members were enrolled. College Source Online will be the initial source of catalogs. Any institutions </w:t>
      </w:r>
      <w:r w:rsidR="00563C0C">
        <w:t>for which</w:t>
      </w:r>
      <w:r w:rsidRPr="002B5189">
        <w:t xml:space="preserve"> catalogs cannot be obtained in that manner will be asked to provide the course catalogs directly to RTI via the means of their choice, such as email, postal mail, or other methods.</w:t>
      </w:r>
      <w:r w:rsidR="00BA0D27">
        <w:t xml:space="preserve"> </w:t>
      </w:r>
      <w:r w:rsidRPr="002B5189">
        <w:t>Postsecondary transcripts will be requested from all institutions known to have been attended by the sample member since high school</w:t>
      </w:r>
      <w:r>
        <w:t xml:space="preserve">, and can be transmitted via upload, electronic fax, and other secure means (section B.3.a </w:t>
      </w:r>
      <w:r w:rsidRPr="002B5189">
        <w:t>includes a description of each method</w:t>
      </w:r>
      <w:r>
        <w:t>)</w:t>
      </w:r>
      <w:r w:rsidRPr="002B5189">
        <w:t>. The first phase comprises a small sample of the institutions reported by sample members and will serve as a pilot to test systems and procedures. The second phase involves collecting data from the rest of the institutions</w:t>
      </w:r>
      <w:r w:rsidR="00563C0C">
        <w:t>, and t</w:t>
      </w:r>
      <w:r w:rsidRPr="002B5189">
        <w:t>he third phase reviewing postsecondary transcripts collected during phase one and two, identifying new student-institution linkages, and following up with the new institutions so identified.</w:t>
      </w:r>
    </w:p>
    <w:p w14:paraId="1CBE7F19" w14:textId="77777777" w:rsidR="00FF1F22" w:rsidRPr="002B5189" w:rsidRDefault="004B798E" w:rsidP="00563C0C">
      <w:pPr>
        <w:pStyle w:val="BodyText"/>
        <w:spacing w:line="360" w:lineRule="auto"/>
      </w:pPr>
      <w:r w:rsidRPr="002B5189">
        <w:t>A keying and coding system (KCS) will be used for data entry of the transcripts received.</w:t>
      </w:r>
      <w:r w:rsidR="00BA0D27">
        <w:t xml:space="preserve"> </w:t>
      </w:r>
      <w:r w:rsidRPr="002B5189">
        <w:t>The KCS application, developed by RTI, includes data entry fields corresponding to the key data elements to be collected from transcripts. Following quality control and data cleaning processes, data collected from transcripts are assembled into data files for subsequent analysis.</w:t>
      </w:r>
    </w:p>
    <w:p w14:paraId="531EA212" w14:textId="77777777" w:rsidR="00FF1F22" w:rsidRPr="002B5189" w:rsidRDefault="00FF1F22" w:rsidP="00FF1F22">
      <w:pPr>
        <w:pStyle w:val="Heading3"/>
      </w:pPr>
      <w:bookmarkStart w:id="35" w:name="_Toc324513220"/>
      <w:bookmarkStart w:id="36" w:name="_Toc403397631"/>
      <w:r w:rsidRPr="002B5189">
        <w:t>A.3.b.</w:t>
      </w:r>
      <w:r w:rsidR="00BA0D27">
        <w:t xml:space="preserve"> </w:t>
      </w:r>
      <w:r w:rsidRPr="002B5189">
        <w:t>Financial Aid Records Collection:</w:t>
      </w:r>
      <w:r w:rsidR="00BA0D27">
        <w:t xml:space="preserve"> </w:t>
      </w:r>
      <w:r w:rsidRPr="002B5189">
        <w:t>HSLS:09 FA</w:t>
      </w:r>
      <w:bookmarkEnd w:id="35"/>
      <w:r w:rsidRPr="002B5189">
        <w:t>R</w:t>
      </w:r>
      <w:bookmarkEnd w:id="36"/>
    </w:p>
    <w:p w14:paraId="593C6B06" w14:textId="77777777" w:rsidR="00BA0D27" w:rsidRDefault="00FF1F22" w:rsidP="00FF1F22">
      <w:pPr>
        <w:pStyle w:val="BodyText20"/>
        <w:rPr>
          <w:szCs w:val="24"/>
        </w:rPr>
      </w:pPr>
      <w:r w:rsidRPr="002B5189">
        <w:rPr>
          <w:szCs w:val="24"/>
        </w:rPr>
        <w:t>To ensure the efficiency, quality, and ease of the financial aid student records collection, HSLS:09 FAR will use a web-based application.</w:t>
      </w:r>
      <w:r w:rsidR="00BA0D27">
        <w:rPr>
          <w:szCs w:val="24"/>
        </w:rPr>
        <w:t xml:space="preserve"> </w:t>
      </w:r>
      <w:r w:rsidRPr="002B5189">
        <w:rPr>
          <w:szCs w:val="24"/>
        </w:rPr>
        <w:t>Similar to what is used on NPSAS studies, multiple options will be offered to an institution for providing student data, including: (1) uploading electronic (.csv) files to a secure web site; (2) downloading an Excel workbook from the web site, then uploading the completed file to the site; and (3) use of a web-based data entry interface.</w:t>
      </w:r>
    </w:p>
    <w:p w14:paraId="7DE2A0E3" w14:textId="77777777" w:rsidR="00BA0D27" w:rsidRDefault="00FF1F22" w:rsidP="00FF1F22">
      <w:pPr>
        <w:pStyle w:val="BodyText"/>
        <w:spacing w:line="360" w:lineRule="auto"/>
      </w:pPr>
      <w:r w:rsidRPr="002B5189">
        <w:t>An online video tutorial will be available to show users exactly how to navigate through the application and help screens will provide users with more in-depth explanations of the required items. The web-based application will allow error checking to be performed immediately by institution staff. An important feature of the online application is that different institution staff can complete portions of the required data entry and can complete the data entry in multiple sessions. These features reduce user burden while ensuring that the most accurate data are collected.</w:t>
      </w:r>
    </w:p>
    <w:p w14:paraId="7A433140" w14:textId="77777777" w:rsidR="0072781E" w:rsidRPr="002B5189" w:rsidRDefault="0072781E" w:rsidP="00751B42">
      <w:pPr>
        <w:pStyle w:val="Heading2"/>
      </w:pPr>
      <w:bookmarkStart w:id="37" w:name="_Toc401834508"/>
      <w:bookmarkStart w:id="38" w:name="_Toc403397632"/>
      <w:r w:rsidRPr="00D5480C">
        <w:t>A.4</w:t>
      </w:r>
      <w:r w:rsidRPr="00D5480C">
        <w:tab/>
        <w:t>Efforts to Identify Duplication and Use of Similar Information</w:t>
      </w:r>
      <w:bookmarkEnd w:id="31"/>
      <w:bookmarkEnd w:id="37"/>
      <w:bookmarkEnd w:id="38"/>
    </w:p>
    <w:p w14:paraId="7EC57023" w14:textId="77777777" w:rsidR="002F25B2" w:rsidRPr="002B5189" w:rsidRDefault="0072781E" w:rsidP="00751B42">
      <w:pPr>
        <w:pStyle w:val="BodyText1"/>
      </w:pPr>
      <w:r w:rsidRPr="002B5189">
        <w:t xml:space="preserve">Since the inception of its secondary education longitudinal studies program in 1970, NCES has consulted with other federal offices to ensure that the data collected in this important series of longitudinal studies do not duplicate the information from any other national data sources within the U.S. Department of Education or other government agencies. In addition, NCES </w:t>
      </w:r>
      <w:r w:rsidR="0099201F" w:rsidRPr="002B5189">
        <w:t xml:space="preserve">staff </w:t>
      </w:r>
      <w:r w:rsidRPr="002B5189">
        <w:t xml:space="preserve">regularly consult with nonfederal associations such as the College Board, American Educational Research Association, the American Association of Community Colleges, and other groups to confirm that the data to be collected through this study series are not available from any other sources. These consultations also provided, and continue to provide through the HSLS:09 Technical Review Panel, methodological insights from the results of other studies of secondary and postsecondary students and labor force members, and they ensure that the data collected through HSLS:09 will meet the needs of the federal government and other interested agencies and organizations. Other longitudinal studies of secondary and postsecondary students (i.e., NLS:72, HS&amp;B, NELS:88, ELS:2002) have been </w:t>
      </w:r>
      <w:r w:rsidR="00AB403E" w:rsidRPr="002B5189">
        <w:t>conducted</w:t>
      </w:r>
      <w:r w:rsidRPr="002B5189">
        <w:t xml:space="preserve"> by NCES in the past. HSLS:09 builds on and extends these studies rather than duplicating them.</w:t>
      </w:r>
    </w:p>
    <w:p w14:paraId="776BF3B6" w14:textId="77777777" w:rsidR="002F25B2" w:rsidRPr="002B5189" w:rsidRDefault="0072781E" w:rsidP="00751B42">
      <w:pPr>
        <w:pStyle w:val="BodyText1"/>
      </w:pPr>
      <w:r w:rsidRPr="002B5189">
        <w:t xml:space="preserve">First, current efforts explicitly complement the redesign of NPSAS and BPS with the instrumentation and design of HSLS:09. Second, design articulation with prior NCES secondary longitudinal studies </w:t>
      </w:r>
      <w:r w:rsidR="005A0F44" w:rsidRPr="002B5189">
        <w:t xml:space="preserve">(though more limited for HSLS:09 than for prior secondary longitudinal studies) </w:t>
      </w:r>
      <w:r w:rsidRPr="002B5189">
        <w:t>also show coordination, not duplication. These earlier studies were conducted during the 1970s, 1980s, 1990s, and the early 2000s and represent education, employment, and social experiences and environments different from those experienced by the HSLS:09 student sample. In addition to extending prior studies temporally as a time series, HSLS:09 extends them conceptually. Unlike preceding secondary longitudinal studies, HSLS:09 provides data that are necessary to understand the role of different factors in the development of student commitment to attend higher education and then to take the steps necessary to succeed in college (taking the right courses, taking courses in specific sequences, etc.). Further, HSLS:09 focuses on the factors associated with choosing and persisting in mathematics and science course-taking and STEM careers. These focal points present a marked difference between HSLS:09 and its predecessor studies.</w:t>
      </w:r>
    </w:p>
    <w:p w14:paraId="037176D8" w14:textId="77777777" w:rsidR="0072781E" w:rsidRPr="002B5189" w:rsidRDefault="00355856" w:rsidP="00751B42">
      <w:pPr>
        <w:pStyle w:val="BodyText1"/>
      </w:pPr>
      <w:r w:rsidRPr="002B5189">
        <w:t>While National Science Foundation</w:t>
      </w:r>
      <w:r w:rsidR="00DB5DA9" w:rsidRPr="002B5189">
        <w:t xml:space="preserve"> </w:t>
      </w:r>
      <w:r w:rsidRPr="002B5189">
        <w:t>s</w:t>
      </w:r>
      <w:r w:rsidR="00DB5DA9" w:rsidRPr="002B5189">
        <w:t>tudies</w:t>
      </w:r>
      <w:r w:rsidRPr="002B5189">
        <w:t xml:space="preserve"> such as </w:t>
      </w:r>
      <w:r w:rsidR="00253873" w:rsidRPr="002B5189">
        <w:t>the Survey of Recent College Graduates cover some of the same ground as the postsecondary rounds of HSLS:09, the NSF effort is</w:t>
      </w:r>
      <w:r w:rsidR="00DB5DA9" w:rsidRPr="002B5189">
        <w:t xml:space="preserve"> more narrowly focused</w:t>
      </w:r>
      <w:r w:rsidR="00602B86" w:rsidRPr="002B5189">
        <w:t>,</w:t>
      </w:r>
      <w:r w:rsidR="00DB5DA9" w:rsidRPr="002B5189">
        <w:t xml:space="preserve"> </w:t>
      </w:r>
      <w:r w:rsidR="00602B86" w:rsidRPr="002B5189">
        <w:t>does not follow a nationally representative sample of secondary school students, and thereby does not provide measures of outcomes of secondary education experiences</w:t>
      </w:r>
      <w:r w:rsidR="00253873" w:rsidRPr="002B5189">
        <w:t>.</w:t>
      </w:r>
      <w:r w:rsidR="002F25B2" w:rsidRPr="002B5189">
        <w:t xml:space="preserve"> </w:t>
      </w:r>
      <w:r w:rsidR="00253873" w:rsidRPr="002B5189">
        <w:t>Additionally, NSF was actively involved in the design stage of HSLS:09 and provided financial assistance for augmentation</w:t>
      </w:r>
      <w:r w:rsidR="00DB5DA9" w:rsidRPr="002B5189">
        <w:t>s</w:t>
      </w:r>
      <w:r w:rsidR="00253873" w:rsidRPr="002B5189">
        <w:t xml:space="preserve"> of certain state public high school samples</w:t>
      </w:r>
      <w:r w:rsidR="00602B86" w:rsidRPr="002B5189">
        <w:t xml:space="preserve"> so as</w:t>
      </w:r>
      <w:r w:rsidR="00DB5DA9" w:rsidRPr="002B5189">
        <w:t xml:space="preserve"> t</w:t>
      </w:r>
      <w:r w:rsidR="00253873" w:rsidRPr="002B5189">
        <w:t xml:space="preserve">o provide a robust and representative basis for analyses with </w:t>
      </w:r>
      <w:r w:rsidR="00602B86" w:rsidRPr="002B5189">
        <w:t>a</w:t>
      </w:r>
      <w:r w:rsidR="00253873" w:rsidRPr="002B5189">
        <w:t xml:space="preserve"> subset of states.</w:t>
      </w:r>
    </w:p>
    <w:p w14:paraId="32E8FB56" w14:textId="77777777" w:rsidR="0072781E" w:rsidRPr="002B5189" w:rsidRDefault="0072781E" w:rsidP="00D57F04">
      <w:pPr>
        <w:pStyle w:val="BodyText1"/>
      </w:pPr>
      <w:r w:rsidRPr="002B5189">
        <w:t xml:space="preserve">The only other dataset that offers so large an opportunity to understand the key transitions into postsecondary institutions or the world of work </w:t>
      </w:r>
      <w:r w:rsidR="005A4BF8" w:rsidRPr="002B5189">
        <w:t>are</w:t>
      </w:r>
      <w:r w:rsidRPr="002B5189">
        <w:t xml:space="preserve"> the Department of Labor</w:t>
      </w:r>
      <w:r w:rsidR="005A4BF8" w:rsidRPr="002B5189">
        <w:t>’s</w:t>
      </w:r>
      <w:r w:rsidRPr="002B5189">
        <w:t xml:space="preserve"> (Bureau of Labor Statistics) National Longitudinal Survey of Youth 1979 and 1997 cohorts (NLSY79, NLSY97). However, the NLSY youth cohorts represent temporally earlier cohorts than HSLS:09. There are also important design differences between NLSY79/ NLSY97 and HSLS:09 that render them more complementary </w:t>
      </w:r>
      <w:r w:rsidR="005A4BF8" w:rsidRPr="002B5189">
        <w:t xml:space="preserve">to each other rather </w:t>
      </w:r>
      <w:r w:rsidRPr="002B5189">
        <w:t>than duplicative. NLSY is a household-based longitudinal survey</w:t>
      </w:r>
      <w:r w:rsidR="00D36373" w:rsidRPr="002B5189">
        <w:t xml:space="preserve">, while </w:t>
      </w:r>
      <w:r w:rsidRPr="002B5189">
        <w:t xml:space="preserve">HSLS:09 is </w:t>
      </w:r>
      <w:r w:rsidR="004C59DC" w:rsidRPr="002B5189">
        <w:t>school-</w:t>
      </w:r>
      <w:r w:rsidRPr="002B5189">
        <w:t xml:space="preserve">based. For both NLSY cohorts, Armed Service Vocational Aptitude Battery (ASVAB) test data are available, but there is no longitudinal high school achievement measure. Although NLSY97 also gathers information from schools (including principal and teacher reports and high school </w:t>
      </w:r>
      <w:r w:rsidR="00510DB7" w:rsidRPr="002B5189">
        <w:t xml:space="preserve">and postsecondary </w:t>
      </w:r>
      <w:r w:rsidRPr="002B5189">
        <w:t xml:space="preserve">transcripts), </w:t>
      </w:r>
      <w:r w:rsidR="00D36373" w:rsidRPr="002B5189">
        <w:t xml:space="preserve">given its household sampling basis, </w:t>
      </w:r>
      <w:r w:rsidRPr="002B5189">
        <w:t>it cannot study school processes in the same way as HSLS:09. Any given school contains only one to a handful of NLSY97 sample members, a number that constitutes neither a representative sample of students in the school nor a sufficient number to provide within-school estimates. Thus, although both studies provide important information for understanding the transition from high school to the labor market, HSLS:09 is uniquely able to provide information about education processes and within-school dynamics and how these affect both school achievement and ultimate labor market outcomes, including outcomes in science, technology, engineering, and mathematics education and occupations.</w:t>
      </w:r>
      <w:r w:rsidR="002F25B2" w:rsidRPr="002B5189">
        <w:t xml:space="preserve"> </w:t>
      </w:r>
      <w:r w:rsidR="00510DB7" w:rsidRPr="002B5189">
        <w:t xml:space="preserve">On the NLSY97 side of the equation, the NLSY is </w:t>
      </w:r>
      <w:r w:rsidR="005A0F44" w:rsidRPr="002B5189">
        <w:t xml:space="preserve">uniquely </w:t>
      </w:r>
      <w:r w:rsidR="00510DB7" w:rsidRPr="002B5189">
        <w:t>able to construct continuous labor market event histories for decades</w:t>
      </w:r>
      <w:r w:rsidR="005A0F44" w:rsidRPr="002B5189">
        <w:t xml:space="preserve"> past graduation</w:t>
      </w:r>
      <w:r w:rsidR="00510DB7" w:rsidRPr="002B5189">
        <w:t>.</w:t>
      </w:r>
    </w:p>
    <w:p w14:paraId="2EFED4EE" w14:textId="77777777" w:rsidR="0072781E" w:rsidRPr="002B5189" w:rsidRDefault="0072781E" w:rsidP="00751B42">
      <w:pPr>
        <w:pStyle w:val="Heading2"/>
      </w:pPr>
      <w:bookmarkStart w:id="39" w:name="_Toc192579036"/>
      <w:bookmarkStart w:id="40" w:name="_Toc401834509"/>
      <w:bookmarkStart w:id="41" w:name="_Toc403397633"/>
      <w:r w:rsidRPr="002B5189">
        <w:t>A.5</w:t>
      </w:r>
      <w:r w:rsidRPr="002B5189">
        <w:tab/>
        <w:t>Impact on Small Businesses or Other Small Entities</w:t>
      </w:r>
      <w:bookmarkEnd w:id="39"/>
      <w:bookmarkEnd w:id="40"/>
      <w:bookmarkEnd w:id="41"/>
    </w:p>
    <w:p w14:paraId="013B7B44" w14:textId="77777777" w:rsidR="0072781E" w:rsidRPr="002B5189" w:rsidRDefault="00FF1F22" w:rsidP="009575CF">
      <w:pPr>
        <w:pStyle w:val="BodyText1"/>
      </w:pPr>
      <w:r w:rsidRPr="002B5189">
        <w:t xml:space="preserve">Target respondents for HSLS:09 Second Follow-up interviews are individuals and the data collection activities will not involve burden to small </w:t>
      </w:r>
      <w:r w:rsidR="00D41498" w:rsidRPr="002B5189">
        <w:t xml:space="preserve">businesses or entities. For the main study </w:t>
      </w:r>
      <w:r w:rsidRPr="002B5189">
        <w:t>postsecondary transcript and financial aid record collections, s</w:t>
      </w:r>
      <w:r w:rsidRPr="002B5189">
        <w:rPr>
          <w:szCs w:val="24"/>
        </w:rPr>
        <w:t xml:space="preserve">ome small for-profit schools and other small public and private schools will be contacted. Burden </w:t>
      </w:r>
      <w:r w:rsidR="00361791" w:rsidRPr="002B5189">
        <w:rPr>
          <w:szCs w:val="24"/>
        </w:rPr>
        <w:t xml:space="preserve">on these schools </w:t>
      </w:r>
      <w:r w:rsidRPr="002B5189">
        <w:rPr>
          <w:szCs w:val="24"/>
        </w:rPr>
        <w:t xml:space="preserve">will be minimized by working closely with a school-appointed coordinator (e.g., the registrar) before the </w:t>
      </w:r>
      <w:r w:rsidR="00361791">
        <w:rPr>
          <w:szCs w:val="24"/>
        </w:rPr>
        <w:t xml:space="preserve">start of the </w:t>
      </w:r>
      <w:r w:rsidRPr="002B5189">
        <w:rPr>
          <w:szCs w:val="24"/>
        </w:rPr>
        <w:t xml:space="preserve">data collection to identify the format in which records are kept and transmitted. </w:t>
      </w:r>
      <w:r w:rsidR="00361791">
        <w:rPr>
          <w:szCs w:val="24"/>
        </w:rPr>
        <w:t>T</w:t>
      </w:r>
      <w:r w:rsidR="00361791" w:rsidRPr="002B5189">
        <w:rPr>
          <w:szCs w:val="24"/>
        </w:rPr>
        <w:t>o further minimize burden</w:t>
      </w:r>
      <w:r w:rsidR="00361791">
        <w:rPr>
          <w:szCs w:val="24"/>
        </w:rPr>
        <w:t>, c</w:t>
      </w:r>
      <w:r w:rsidRPr="002B5189">
        <w:rPr>
          <w:szCs w:val="24"/>
        </w:rPr>
        <w:t>ourse catalogs will be collected from a public online resource</w:t>
      </w:r>
      <w:r w:rsidR="00361791">
        <w:rPr>
          <w:szCs w:val="24"/>
        </w:rPr>
        <w:t xml:space="preserve"> when</w:t>
      </w:r>
      <w:r w:rsidRPr="002B5189">
        <w:rPr>
          <w:szCs w:val="24"/>
        </w:rPr>
        <w:t xml:space="preserve"> available. To accommodate any constraints imposed by record-keeping systems, schools will be offered alternative methods of providing the requested transcripts and financial aid student records as described above in section</w:t>
      </w:r>
      <w:r w:rsidR="00361791">
        <w:rPr>
          <w:szCs w:val="24"/>
        </w:rPr>
        <w:t xml:space="preserve"> A.3</w:t>
      </w:r>
      <w:r w:rsidRPr="002B5189">
        <w:rPr>
          <w:szCs w:val="24"/>
        </w:rPr>
        <w:t>.</w:t>
      </w:r>
    </w:p>
    <w:p w14:paraId="61F49A25" w14:textId="77777777" w:rsidR="0072781E" w:rsidRPr="002B5189" w:rsidRDefault="0072781E" w:rsidP="00751B42">
      <w:pPr>
        <w:pStyle w:val="Heading2"/>
      </w:pPr>
      <w:bookmarkStart w:id="42" w:name="_Toc192579037"/>
      <w:bookmarkStart w:id="43" w:name="_Toc401834510"/>
      <w:bookmarkStart w:id="44" w:name="_Toc403397634"/>
      <w:r w:rsidRPr="002B5189">
        <w:t>A.6</w:t>
      </w:r>
      <w:r w:rsidRPr="002B5189">
        <w:tab/>
        <w:t>Consequences of Collecting the Information Less Frequently</w:t>
      </w:r>
      <w:bookmarkEnd w:id="42"/>
      <w:bookmarkEnd w:id="43"/>
      <w:bookmarkEnd w:id="44"/>
    </w:p>
    <w:p w14:paraId="7FCA715A" w14:textId="77777777" w:rsidR="00975EC2" w:rsidRPr="002B5189" w:rsidRDefault="005E5ABA" w:rsidP="00751B42">
      <w:pPr>
        <w:pStyle w:val="BodyText1"/>
      </w:pPr>
      <w:r w:rsidRPr="002B5189">
        <w:t xml:space="preserve">Exhibit A-2 </w:t>
      </w:r>
      <w:r w:rsidR="00975EC2" w:rsidRPr="002B5189">
        <w:t>below documents the periodicity of HSLS:09:</w:t>
      </w:r>
    </w:p>
    <w:p w14:paraId="146B954A" w14:textId="77777777" w:rsidR="00D53DD2" w:rsidRPr="002B5189" w:rsidRDefault="00C83E0F" w:rsidP="00C83E0F">
      <w:pPr>
        <w:pStyle w:val="ExhibitTitle"/>
      </w:pPr>
      <w:bookmarkStart w:id="45" w:name="_Ref300835267"/>
      <w:bookmarkStart w:id="46" w:name="_Toc302638052"/>
      <w:bookmarkStart w:id="47" w:name="_Toc316391858"/>
      <w:bookmarkStart w:id="48" w:name="_Toc316909061"/>
      <w:bookmarkStart w:id="49" w:name="_Toc401842162"/>
      <w:bookmarkStart w:id="50" w:name="_Toc403596410"/>
      <w:r w:rsidRPr="002B5189">
        <w:t>Exhibit A-</w:t>
      </w:r>
      <w:bookmarkEnd w:id="45"/>
      <w:r w:rsidR="00AE279F" w:rsidRPr="002B5189">
        <w:t>2</w:t>
      </w:r>
      <w:r w:rsidR="00D53DD2" w:rsidRPr="002B5189">
        <w:t>.</w:t>
      </w:r>
      <w:r w:rsidR="00D53DD2" w:rsidRPr="002B5189">
        <w:tab/>
        <w:t>Longitudinal design for the HSLS:09 ninth-grade cohort: 2009–25</w:t>
      </w:r>
      <w:bookmarkEnd w:id="46"/>
      <w:bookmarkEnd w:id="47"/>
      <w:bookmarkEnd w:id="48"/>
      <w:bookmarkEnd w:id="49"/>
      <w:bookmarkEnd w:id="50"/>
    </w:p>
    <w:p w14:paraId="7E4AFAA4" w14:textId="43BECBEB" w:rsidR="00D53DD2" w:rsidRPr="00BF65C4" w:rsidRDefault="008722EA" w:rsidP="00D53DD2">
      <w:pPr>
        <w:jc w:val="center"/>
        <w:rPr>
          <w:rFonts w:ascii="Arial" w:hAnsi="Arial"/>
          <w:sz w:val="20"/>
          <w:szCs w:val="20"/>
        </w:rPr>
      </w:pPr>
      <w:r w:rsidRPr="006C475C">
        <w:rPr>
          <w:rFonts w:ascii="Arial" w:hAnsi="Arial"/>
          <w:noProof/>
          <w:sz w:val="20"/>
          <w:szCs w:val="20"/>
        </w:rPr>
        <w:drawing>
          <wp:inline distT="0" distB="0" distL="0" distR="0" wp14:anchorId="0C808C6D" wp14:editId="2827655D">
            <wp:extent cx="6492240" cy="38938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LS_Periodicity_graphic.png"/>
                    <pic:cNvPicPr/>
                  </pic:nvPicPr>
                  <pic:blipFill>
                    <a:blip r:embed="rId18">
                      <a:extLst>
                        <a:ext uri="{28A0092B-C50C-407E-A947-70E740481C1C}">
                          <a14:useLocalDpi xmlns:a14="http://schemas.microsoft.com/office/drawing/2010/main" val="0"/>
                        </a:ext>
                      </a:extLst>
                    </a:blip>
                    <a:stretch>
                      <a:fillRect/>
                    </a:stretch>
                  </pic:blipFill>
                  <pic:spPr>
                    <a:xfrm>
                      <a:off x="0" y="0"/>
                      <a:ext cx="6492240" cy="3893820"/>
                    </a:xfrm>
                    <a:prstGeom prst="rect">
                      <a:avLst/>
                    </a:prstGeom>
                  </pic:spPr>
                </pic:pic>
              </a:graphicData>
            </a:graphic>
          </wp:inline>
        </w:drawing>
      </w:r>
    </w:p>
    <w:p w14:paraId="1D7E5FB7" w14:textId="77777777" w:rsidR="00D53DD2" w:rsidRPr="00D5480C" w:rsidRDefault="00D53DD2" w:rsidP="00D53DD2">
      <w:pPr>
        <w:spacing w:line="253" w:lineRule="atLeast"/>
        <w:rPr>
          <w:rFonts w:ascii="Arial" w:hAnsi="Arial"/>
          <w:sz w:val="18"/>
          <w:szCs w:val="18"/>
        </w:rPr>
      </w:pPr>
    </w:p>
    <w:p w14:paraId="142AA5F5" w14:textId="77777777" w:rsidR="00C857F8" w:rsidRPr="002B5189" w:rsidRDefault="00C857F8" w:rsidP="00C857F8">
      <w:pPr>
        <w:pStyle w:val="BodyText1"/>
      </w:pPr>
      <w:r w:rsidRPr="00D5480C">
        <w:t xml:space="preserve">Recent education and social welfare reform initiatives, changes in federal policy concerning postsecondary student support, and other interventions necessitate frequent studies. Repeated surveys are also necessary because of rapid changes in the secondary </w:t>
      </w:r>
      <w:r w:rsidRPr="002B5189">
        <w:t>and postsecondary education environments and the world of work. Indeed, arguably, longitudinal information provides better measures of the effects of program, policy, and environmental changes than would multiple cross-sectional inter</w:t>
      </w:r>
      <w:r w:rsidR="00627B74" w:rsidRPr="002B5189">
        <w:t>-</w:t>
      </w:r>
      <w:r w:rsidRPr="002B5189">
        <w:t>cohort studies.</w:t>
      </w:r>
    </w:p>
    <w:p w14:paraId="432D5D81" w14:textId="77777777" w:rsidR="002F25B2" w:rsidRPr="002B5189" w:rsidRDefault="0072781E" w:rsidP="00B1687A">
      <w:pPr>
        <w:pStyle w:val="BodyText1"/>
      </w:pPr>
      <w:r w:rsidRPr="002B5189">
        <w:t xml:space="preserve">The student follow-ups of HSLS:09 are less frequent than the 2-year interval employed with HS&amp;B, NELS:88, and ELS:2002. The first follow-up </w:t>
      </w:r>
      <w:r w:rsidR="00D32150" w:rsidRPr="002B5189">
        <w:t xml:space="preserve">took </w:t>
      </w:r>
      <w:r w:rsidRPr="002B5189">
        <w:t xml:space="preserve">place at 2.5 years after the base year, and the second follow-up </w:t>
      </w:r>
      <w:r w:rsidR="00D32150" w:rsidRPr="002B5189">
        <w:t xml:space="preserve">will take place </w:t>
      </w:r>
      <w:r w:rsidRPr="002B5189">
        <w:t>3 years after the first follow-up</w:t>
      </w:r>
      <w:r w:rsidR="00DB5DA9" w:rsidRPr="002B5189">
        <w:t>.</w:t>
      </w:r>
      <w:r w:rsidR="006A4FB8" w:rsidRPr="002B5189">
        <w:t xml:space="preserve"> I</w:t>
      </w:r>
      <w:r w:rsidR="00DB5DA9" w:rsidRPr="002B5189">
        <w:t>n the 2013 update, d</w:t>
      </w:r>
      <w:r w:rsidRPr="002B5189">
        <w:t>ata</w:t>
      </w:r>
      <w:r w:rsidR="00DB5DA9" w:rsidRPr="002B5189">
        <w:t xml:space="preserve"> were</w:t>
      </w:r>
      <w:r w:rsidR="00D32150" w:rsidRPr="002B5189">
        <w:t xml:space="preserve"> </w:t>
      </w:r>
      <w:r w:rsidRPr="002B5189">
        <w:t xml:space="preserve">collected at </w:t>
      </w:r>
      <w:r w:rsidR="00DB5DA9" w:rsidRPr="002B5189">
        <w:t>the modal timepoint of high school graduation</w:t>
      </w:r>
      <w:r w:rsidRPr="002B5189">
        <w:t xml:space="preserve"> and a high school transcript study </w:t>
      </w:r>
      <w:r w:rsidR="00D32150" w:rsidRPr="002B5189">
        <w:t>was</w:t>
      </w:r>
      <w:r w:rsidRPr="002B5189">
        <w:t xml:space="preserve"> conducted soon after </w:t>
      </w:r>
      <w:r w:rsidR="00DB5DA9" w:rsidRPr="002B5189">
        <w:t xml:space="preserve">the summer following </w:t>
      </w:r>
      <w:r w:rsidRPr="002B5189">
        <w:t xml:space="preserve">graduation </w:t>
      </w:r>
      <w:r w:rsidR="00D32150" w:rsidRPr="002B5189">
        <w:t xml:space="preserve">to </w:t>
      </w:r>
      <w:r w:rsidRPr="002B5189">
        <w:t xml:space="preserve">provide continuous coursetaking data for all on-time or early completers. By following up at the end of the students’ junior year, researchers </w:t>
      </w:r>
      <w:r w:rsidR="00AA7EAA" w:rsidRPr="002B5189">
        <w:t xml:space="preserve">are </w:t>
      </w:r>
      <w:r w:rsidRPr="002B5189">
        <w:t xml:space="preserve">able to measure achievement gain and postsecondary planning information. Collecting </w:t>
      </w:r>
      <w:r w:rsidR="00AA7EAA" w:rsidRPr="002B5189">
        <w:t>the</w:t>
      </w:r>
      <w:r w:rsidRPr="002B5189">
        <w:t xml:space="preserve"> postsecondary update in summer 2013 (directly after most students’ 12th grade year) and </w:t>
      </w:r>
      <w:r w:rsidR="00817F12" w:rsidRPr="002B5189">
        <w:t xml:space="preserve">high school </w:t>
      </w:r>
      <w:r w:rsidRPr="002B5189">
        <w:t>transcripts in fall 2013 minimize</w:t>
      </w:r>
      <w:r w:rsidR="00AA7EAA" w:rsidRPr="002B5189">
        <w:t>d</w:t>
      </w:r>
      <w:r w:rsidRPr="002B5189">
        <w:t xml:space="preserve"> burden on schools and respondents, while also allowing for further inter</w:t>
      </w:r>
      <w:r w:rsidR="00817F12" w:rsidRPr="002B5189">
        <w:t>-</w:t>
      </w:r>
      <w:r w:rsidRPr="002B5189">
        <w:t xml:space="preserve">cohort comparability with the main transition themes of the prior studies. The second follow-up is scheduled to occur in the </w:t>
      </w:r>
      <w:r w:rsidR="000543FB" w:rsidRPr="002B5189">
        <w:t xml:space="preserve">third </w:t>
      </w:r>
      <w:r w:rsidRPr="002B5189">
        <w:t>year after high school</w:t>
      </w:r>
      <w:r w:rsidR="00AA7EAA" w:rsidRPr="002B5189">
        <w:t xml:space="preserve"> (sprin</w:t>
      </w:r>
      <w:r w:rsidR="000A2EB7" w:rsidRPr="002B5189">
        <w:t>g</w:t>
      </w:r>
      <w:r w:rsidR="00AA7EAA" w:rsidRPr="002B5189">
        <w:t xml:space="preserve"> 201</w:t>
      </w:r>
      <w:r w:rsidR="000543FB" w:rsidRPr="002B5189">
        <w:t>6, to be field-tested in 201</w:t>
      </w:r>
      <w:r w:rsidR="00AA7EAA" w:rsidRPr="002B5189">
        <w:t>5)</w:t>
      </w:r>
      <w:r w:rsidRPr="002B5189">
        <w:t>, which is</w:t>
      </w:r>
      <w:r w:rsidR="000543FB" w:rsidRPr="002B5189">
        <w:t xml:space="preserve"> not </w:t>
      </w:r>
      <w:r w:rsidRPr="002B5189">
        <w:t>on track with the timing of the predecessor studies</w:t>
      </w:r>
      <w:r w:rsidR="000543FB" w:rsidRPr="002B5189">
        <w:t>. The three-year gap, however, offers better articulation with BPS</w:t>
      </w:r>
      <w:r w:rsidRPr="002B5189">
        <w:t>,</w:t>
      </w:r>
      <w:r w:rsidR="006A4FB8" w:rsidRPr="002B5189">
        <w:t xml:space="preserve"> </w:t>
      </w:r>
      <w:r w:rsidR="000543FB" w:rsidRPr="002B5189">
        <w:t>and facilitates getting sub-baccalaureate attainment data collected in a timely fashion and in great detail.</w:t>
      </w:r>
      <w:r w:rsidR="002F25B2" w:rsidRPr="002B5189">
        <w:t xml:space="preserve"> </w:t>
      </w:r>
      <w:r w:rsidRPr="002B5189">
        <w:t xml:space="preserve">Despite the changes in grade cohorts and data collection time points for the first </w:t>
      </w:r>
      <w:r w:rsidR="000543FB" w:rsidRPr="002B5189">
        <w:t xml:space="preserve">three </w:t>
      </w:r>
      <w:r w:rsidRPr="002B5189">
        <w:t>rounds, general trends will still be measurable, because the same key transitions, albeit with slightly different data collection points</w:t>
      </w:r>
      <w:r w:rsidR="000543FB" w:rsidRPr="002B5189">
        <w:t xml:space="preserve"> and content</w:t>
      </w:r>
      <w:r w:rsidRPr="002B5189">
        <w:t>, will be captured with the HSLS:09 data.</w:t>
      </w:r>
    </w:p>
    <w:p w14:paraId="3E68EBDD" w14:textId="77777777" w:rsidR="0072781E" w:rsidRPr="002B5189" w:rsidRDefault="0072781E" w:rsidP="00751B42">
      <w:pPr>
        <w:pStyle w:val="Heading2"/>
      </w:pPr>
      <w:bookmarkStart w:id="51" w:name="_Toc192579038"/>
      <w:bookmarkStart w:id="52" w:name="_Toc401834511"/>
      <w:bookmarkStart w:id="53" w:name="_Toc403397635"/>
      <w:r w:rsidRPr="002B5189">
        <w:t>A.7</w:t>
      </w:r>
      <w:r w:rsidRPr="002B5189">
        <w:tab/>
        <w:t>Special Circumstances Relating to Guidelines of 5 CFR 1320.5</w:t>
      </w:r>
      <w:bookmarkEnd w:id="51"/>
      <w:bookmarkEnd w:id="52"/>
      <w:bookmarkEnd w:id="53"/>
    </w:p>
    <w:p w14:paraId="5A2D5A7F" w14:textId="77777777" w:rsidR="0072781E" w:rsidRPr="002B5189" w:rsidRDefault="0072781E" w:rsidP="007B023F">
      <w:pPr>
        <w:pStyle w:val="BodyText1"/>
        <w:tabs>
          <w:tab w:val="left" w:pos="1200"/>
        </w:tabs>
      </w:pPr>
      <w:r w:rsidRPr="002B5189">
        <w:t>All data collection guidelines in 5 CFR 1320.5 are being followed. No special circumstances of data collection are anticipated.</w:t>
      </w:r>
    </w:p>
    <w:p w14:paraId="18F5927B" w14:textId="77777777" w:rsidR="0072781E" w:rsidRPr="002B5189" w:rsidRDefault="0072781E" w:rsidP="00751B42">
      <w:pPr>
        <w:pStyle w:val="Heading2"/>
      </w:pPr>
      <w:bookmarkStart w:id="54" w:name="_Toc192579039"/>
      <w:bookmarkStart w:id="55" w:name="_Toc401834512"/>
      <w:bookmarkStart w:id="56" w:name="_Toc403397636"/>
      <w:r w:rsidRPr="002B5189">
        <w:t>A.8</w:t>
      </w:r>
      <w:r w:rsidRPr="002B5189">
        <w:tab/>
        <w:t>Consultations Outside NCES</w:t>
      </w:r>
      <w:bookmarkEnd w:id="54"/>
      <w:bookmarkEnd w:id="55"/>
      <w:bookmarkEnd w:id="56"/>
    </w:p>
    <w:p w14:paraId="20013215" w14:textId="77911FE3" w:rsidR="002F25B2" w:rsidRPr="002B5189" w:rsidRDefault="00891FB6" w:rsidP="001B64B7">
      <w:pPr>
        <w:pStyle w:val="BodyText1"/>
        <w:tabs>
          <w:tab w:val="left" w:pos="1200"/>
        </w:tabs>
      </w:pPr>
      <w:r>
        <w:t>A</w:t>
      </w:r>
      <w:r w:rsidR="006A7D72" w:rsidRPr="002B5189">
        <w:t xml:space="preserve"> panel of highly qualified substantive and methodological experts </w:t>
      </w:r>
      <w:r>
        <w:t xml:space="preserve">were invited </w:t>
      </w:r>
      <w:r w:rsidR="006A7D72" w:rsidRPr="002B5189">
        <w:t xml:space="preserve">to provide advice about the design and conduct of the HSLS:09 </w:t>
      </w:r>
      <w:r w:rsidR="000C509D" w:rsidRPr="002B5189">
        <w:t>Second Follow-up</w:t>
      </w:r>
      <w:r w:rsidR="006A7D72" w:rsidRPr="002B5189">
        <w:t xml:space="preserve"> study. </w:t>
      </w:r>
      <w:r w:rsidR="00AA2076" w:rsidRPr="002B5189">
        <w:t xml:space="preserve">The </w:t>
      </w:r>
      <w:r w:rsidR="009A74A0" w:rsidRPr="002B5189">
        <w:t xml:space="preserve">first meeting with the HSLS:09 </w:t>
      </w:r>
      <w:r w:rsidR="00AA2076" w:rsidRPr="002B5189">
        <w:t xml:space="preserve">Technical Review Panel (TRP) </w:t>
      </w:r>
      <w:r w:rsidR="00C857F8" w:rsidRPr="002B5189">
        <w:t>was held</w:t>
      </w:r>
      <w:r w:rsidR="00AA2076" w:rsidRPr="002B5189">
        <w:t xml:space="preserve"> </w:t>
      </w:r>
      <w:r w:rsidR="00D63EAD" w:rsidRPr="002B5189">
        <w:t xml:space="preserve">on </w:t>
      </w:r>
      <w:r w:rsidR="00AA2076" w:rsidRPr="002B5189">
        <w:t>October 15</w:t>
      </w:r>
      <w:r w:rsidR="00AA2076" w:rsidRPr="002B5189">
        <w:rPr>
          <w:vertAlign w:val="superscript"/>
        </w:rPr>
        <w:t>th</w:t>
      </w:r>
      <w:r w:rsidR="00AA2076" w:rsidRPr="002B5189">
        <w:t xml:space="preserve"> and 16</w:t>
      </w:r>
      <w:r w:rsidR="00AA2076" w:rsidRPr="002B5189">
        <w:rPr>
          <w:vertAlign w:val="superscript"/>
        </w:rPr>
        <w:t>th</w:t>
      </w:r>
      <w:r w:rsidR="00AA2076" w:rsidRPr="002B5189">
        <w:t>, 2014 and include</w:t>
      </w:r>
      <w:r w:rsidR="00C857F8" w:rsidRPr="002B5189">
        <w:t>d</w:t>
      </w:r>
      <w:r w:rsidR="00AA2076" w:rsidRPr="002B5189">
        <w:t xml:space="preserve"> ten non-federal panelists</w:t>
      </w:r>
      <w:r w:rsidR="006A7D72" w:rsidRPr="002B5189">
        <w:t xml:space="preserve"> as well as members of NCES, </w:t>
      </w:r>
      <w:r w:rsidR="00D63EAD" w:rsidRPr="002B5189">
        <w:t xml:space="preserve">other offices within </w:t>
      </w:r>
      <w:r w:rsidR="006A7D72" w:rsidRPr="002B5189">
        <w:t>the U.S. Department of Education, and the federal government</w:t>
      </w:r>
      <w:r w:rsidR="00AA2076" w:rsidRPr="002B5189">
        <w:t xml:space="preserve">. </w:t>
      </w:r>
      <w:r w:rsidR="006A7D72" w:rsidRPr="002B5189">
        <w:t xml:space="preserve">A second TRP meeting is planned for summer-fall 2015 to obtain feedback regarding plans for the main study design. </w:t>
      </w:r>
      <w:r w:rsidR="006A4FB8" w:rsidRPr="002B5189">
        <w:t xml:space="preserve">TRP panelists </w:t>
      </w:r>
      <w:r w:rsidR="00D63EAD" w:rsidRPr="002B5189">
        <w:t>are listed</w:t>
      </w:r>
      <w:r w:rsidR="006A4FB8" w:rsidRPr="002B5189">
        <w:t xml:space="preserve"> in Attachment C.</w:t>
      </w:r>
    </w:p>
    <w:p w14:paraId="68EB0859" w14:textId="77777777" w:rsidR="002F25B2" w:rsidRPr="002B5189" w:rsidRDefault="00766603" w:rsidP="001B64B7">
      <w:pPr>
        <w:pStyle w:val="BodyText1"/>
        <w:tabs>
          <w:tab w:val="left" w:pos="1200"/>
        </w:tabs>
      </w:pPr>
      <w:r w:rsidRPr="002B5189">
        <w:t>In addition, suggestions on specific items for the Lesbian, Gay, Bisexual and Transgender (LGBT) domain were provided by content experts from members of the Gay, Lesbian &amp; Straight Education Network (GLSEN), The Fenway Institute, and the Gender Identity in US Surveillance (GeniUSS) group. Items came from a variety of sources, include the CDC's Youth Risk Behavior Survey (YRBS), the MA Department of Public Health's Youth Health Survey, and the NICHD's National Longitudinal Survey of Adolescent Health, among others.</w:t>
      </w:r>
      <w:r w:rsidR="002F25B2" w:rsidRPr="002B5189">
        <w:t xml:space="preserve"> </w:t>
      </w:r>
      <w:r w:rsidRPr="002B5189">
        <w:t>Further consultation was also sought with the CDC on these questions.</w:t>
      </w:r>
    </w:p>
    <w:p w14:paraId="1BAC2B6E" w14:textId="77777777" w:rsidR="0072781E" w:rsidRPr="002B5189" w:rsidRDefault="0072781E" w:rsidP="001A003F">
      <w:pPr>
        <w:pStyle w:val="Heading2"/>
        <w:spacing w:before="0"/>
      </w:pPr>
      <w:bookmarkStart w:id="57" w:name="_Toc401834513"/>
      <w:bookmarkStart w:id="58" w:name="_Toc403397637"/>
      <w:r w:rsidRPr="002B5189">
        <w:t>A.9</w:t>
      </w:r>
      <w:r w:rsidRPr="002B5189">
        <w:tab/>
      </w:r>
      <w:r w:rsidR="00BA178B" w:rsidRPr="002B5189">
        <w:t xml:space="preserve">Provision </w:t>
      </w:r>
      <w:r w:rsidRPr="002B5189">
        <w:t>of Payment or Gift to Respondents</w:t>
      </w:r>
      <w:bookmarkEnd w:id="57"/>
      <w:bookmarkEnd w:id="58"/>
    </w:p>
    <w:p w14:paraId="370AE06C" w14:textId="77777777" w:rsidR="002F25B2" w:rsidRPr="002B5189" w:rsidRDefault="0072781E" w:rsidP="00FC1996">
      <w:pPr>
        <w:pStyle w:val="BodyText1"/>
      </w:pPr>
      <w:bookmarkStart w:id="59" w:name="_Toc192578744"/>
      <w:r w:rsidRPr="002B5189">
        <w:t xml:space="preserve">Incentives are proposed </w:t>
      </w:r>
      <w:r w:rsidR="006A4FB8" w:rsidRPr="002B5189">
        <w:t xml:space="preserve">as part of the field test data collection plan </w:t>
      </w:r>
      <w:r w:rsidRPr="002B5189">
        <w:t xml:space="preserve">to </w:t>
      </w:r>
      <w:r w:rsidR="00452757" w:rsidRPr="002B5189">
        <w:t>encourage response and to minimize nonresponse through refusal conversion</w:t>
      </w:r>
      <w:r w:rsidRPr="002B5189">
        <w:t xml:space="preserve">. Incentives are also intended to help </w:t>
      </w:r>
      <w:r w:rsidR="006A7D72" w:rsidRPr="002B5189">
        <w:t>increase</w:t>
      </w:r>
      <w:r w:rsidRPr="002B5189">
        <w:t xml:space="preserve"> study participation from previously non-responding sample members. The use of incentives provides significant advantages to the government in terms of increased overall response rates</w:t>
      </w:r>
      <w:r w:rsidR="00491CA8" w:rsidRPr="002B5189">
        <w:t xml:space="preserve"> and</w:t>
      </w:r>
      <w:r w:rsidR="00E02E07" w:rsidRPr="002B5189">
        <w:t xml:space="preserve"> </w:t>
      </w:r>
      <w:r w:rsidRPr="002B5189">
        <w:t>timely data collection</w:t>
      </w:r>
      <w:r w:rsidR="00DE60A4" w:rsidRPr="002B5189">
        <w:t>, which i</w:t>
      </w:r>
      <w:r w:rsidRPr="002B5189">
        <w:t>n turn, result in decreased data collection costs</w:t>
      </w:r>
      <w:r w:rsidR="00F36640">
        <w:t xml:space="preserve"> and more complete data</w:t>
      </w:r>
      <w:r w:rsidRPr="002B5189">
        <w:t xml:space="preserve">. </w:t>
      </w:r>
      <w:r w:rsidR="004F25CD" w:rsidRPr="002B5189">
        <w:t>The proposed incentive for completed interviews in the second follow-up field test is an average of $</w:t>
      </w:r>
      <w:r w:rsidR="001B76CF" w:rsidRPr="002B5189">
        <w:t xml:space="preserve">35 </w:t>
      </w:r>
      <w:r w:rsidR="004F25CD" w:rsidRPr="002B5189">
        <w:t xml:space="preserve">per interview. </w:t>
      </w:r>
      <w:r w:rsidR="00F341F6" w:rsidRPr="002B5189">
        <w:t xml:space="preserve">The Tests of Procedures and Methods section of </w:t>
      </w:r>
      <w:r w:rsidR="00DE60A4" w:rsidRPr="002B5189">
        <w:t>the Supporting Statement Part B</w:t>
      </w:r>
      <w:r w:rsidR="00F341F6" w:rsidRPr="002B5189">
        <w:t xml:space="preserve"> document (section B.4) discusses in detail </w:t>
      </w:r>
      <w:r w:rsidR="00F40426" w:rsidRPr="002B5189">
        <w:t>the</w:t>
      </w:r>
      <w:r w:rsidR="00F341F6" w:rsidRPr="002B5189">
        <w:t xml:space="preserve"> plans for </w:t>
      </w:r>
      <w:r w:rsidR="00F40426" w:rsidRPr="002B5189">
        <w:t>using incentives as part of a responsive design.</w:t>
      </w:r>
    </w:p>
    <w:p w14:paraId="37505152" w14:textId="03621B59" w:rsidR="00A92054" w:rsidRPr="002B5189" w:rsidRDefault="00FE3483" w:rsidP="00A92054">
      <w:pPr>
        <w:pStyle w:val="BodyText1"/>
        <w:rPr>
          <w:szCs w:val="24"/>
        </w:rPr>
      </w:pPr>
      <w:bookmarkStart w:id="60" w:name="_Toc179712058"/>
      <w:bookmarkStart w:id="61" w:name="_Toc181169398"/>
      <w:bookmarkStart w:id="62" w:name="_Toc181169660"/>
      <w:bookmarkStart w:id="63" w:name="_Toc181169827"/>
      <w:bookmarkStart w:id="64" w:name="_Toc181169962"/>
      <w:bookmarkStart w:id="65" w:name="_Toc181170321"/>
      <w:bookmarkStart w:id="66" w:name="_Toc181170422"/>
      <w:r w:rsidRPr="002B5189">
        <w:rPr>
          <w:szCs w:val="24"/>
        </w:rPr>
        <w:t xml:space="preserve">In the main study, institutions </w:t>
      </w:r>
      <w:r w:rsidR="00A92054" w:rsidRPr="002B5189">
        <w:rPr>
          <w:szCs w:val="24"/>
        </w:rPr>
        <w:t xml:space="preserve">will be reimbursed for the cost of preparing and sending transcripts at the school's standard rate. If additional costs are incurred by the schools, such expenses </w:t>
      </w:r>
      <w:r w:rsidR="00891FB6" w:rsidRPr="002B5189">
        <w:rPr>
          <w:szCs w:val="24"/>
        </w:rPr>
        <w:t xml:space="preserve">will </w:t>
      </w:r>
      <w:r w:rsidR="00891FB6">
        <w:rPr>
          <w:szCs w:val="24"/>
        </w:rPr>
        <w:t xml:space="preserve">be </w:t>
      </w:r>
      <w:r w:rsidR="00891FB6" w:rsidRPr="002B5189">
        <w:rPr>
          <w:szCs w:val="24"/>
        </w:rPr>
        <w:t>reimburse</w:t>
      </w:r>
      <w:r w:rsidR="00891FB6">
        <w:rPr>
          <w:szCs w:val="24"/>
        </w:rPr>
        <w:t>d</w:t>
      </w:r>
      <w:r w:rsidR="00891FB6" w:rsidRPr="002B5189">
        <w:rPr>
          <w:szCs w:val="24"/>
        </w:rPr>
        <w:t xml:space="preserve"> </w:t>
      </w:r>
      <w:r w:rsidR="00A92054" w:rsidRPr="002B5189">
        <w:rPr>
          <w:szCs w:val="24"/>
        </w:rPr>
        <w:t>to the extent that they are reasonable and properly documented.</w:t>
      </w:r>
      <w:r w:rsidR="00BA0D27">
        <w:rPr>
          <w:szCs w:val="24"/>
        </w:rPr>
        <w:t xml:space="preserve"> </w:t>
      </w:r>
      <w:r w:rsidR="00A92054" w:rsidRPr="002B5189">
        <w:rPr>
          <w:szCs w:val="24"/>
        </w:rPr>
        <w:t xml:space="preserve">Based on a similar postsecondary transcript collection conducted </w:t>
      </w:r>
      <w:r w:rsidR="003B66A9">
        <w:rPr>
          <w:szCs w:val="24"/>
        </w:rPr>
        <w:t>for ELS:2002</w:t>
      </w:r>
      <w:r w:rsidR="00A92054" w:rsidRPr="002B5189">
        <w:rPr>
          <w:szCs w:val="24"/>
        </w:rPr>
        <w:t xml:space="preserve">, </w:t>
      </w:r>
      <w:r w:rsidR="00941BF9">
        <w:rPr>
          <w:szCs w:val="24"/>
        </w:rPr>
        <w:t xml:space="preserve">it is expected that </w:t>
      </w:r>
      <w:r w:rsidR="00A92054" w:rsidRPr="002B5189">
        <w:rPr>
          <w:szCs w:val="24"/>
        </w:rPr>
        <w:t xml:space="preserve">approximately </w:t>
      </w:r>
      <w:r w:rsidR="003B66A9">
        <w:rPr>
          <w:szCs w:val="24"/>
        </w:rPr>
        <w:t>20</w:t>
      </w:r>
      <w:r w:rsidR="00A92054" w:rsidRPr="002B5189">
        <w:rPr>
          <w:szCs w:val="24"/>
        </w:rPr>
        <w:t xml:space="preserve"> institutions will request and receive reimbursement for expenses for approximately </w:t>
      </w:r>
      <w:r w:rsidR="006B2DC1">
        <w:rPr>
          <w:szCs w:val="24"/>
        </w:rPr>
        <w:t>3</w:t>
      </w:r>
      <w:r w:rsidR="003B66A9">
        <w:rPr>
          <w:szCs w:val="24"/>
        </w:rPr>
        <w:t>6</w:t>
      </w:r>
      <w:r w:rsidR="006B2DC1">
        <w:rPr>
          <w:szCs w:val="24"/>
        </w:rPr>
        <w:t>0</w:t>
      </w:r>
      <w:r w:rsidR="00A92054" w:rsidRPr="002B5189">
        <w:rPr>
          <w:szCs w:val="24"/>
        </w:rPr>
        <w:t xml:space="preserve"> transcripts at an average cost of $</w:t>
      </w:r>
      <w:r w:rsidR="006B2DC1">
        <w:rPr>
          <w:szCs w:val="24"/>
        </w:rPr>
        <w:t>7</w:t>
      </w:r>
      <w:r w:rsidR="00A92054" w:rsidRPr="002B5189">
        <w:rPr>
          <w:szCs w:val="24"/>
        </w:rPr>
        <w:t xml:space="preserve"> per transcript, and an average reimbursement of $</w:t>
      </w:r>
      <w:r w:rsidR="003B66A9">
        <w:rPr>
          <w:szCs w:val="24"/>
        </w:rPr>
        <w:t>126</w:t>
      </w:r>
      <w:r w:rsidR="00A92054" w:rsidRPr="002B5189">
        <w:rPr>
          <w:szCs w:val="24"/>
        </w:rPr>
        <w:t xml:space="preserve"> for those institutions. For the FAR collection, </w:t>
      </w:r>
      <w:r w:rsidR="00941BF9">
        <w:rPr>
          <w:szCs w:val="24"/>
        </w:rPr>
        <w:t xml:space="preserve">it is expected that </w:t>
      </w:r>
      <w:r w:rsidR="00A92054" w:rsidRPr="002B5189">
        <w:rPr>
          <w:szCs w:val="24"/>
        </w:rPr>
        <w:t>approximately 90 institutions will request and receive reimbursement at an average cost of $200 per institution.</w:t>
      </w:r>
    </w:p>
    <w:p w14:paraId="1F4C9893" w14:textId="04F21602" w:rsidR="007B4C4C" w:rsidRPr="002B5189" w:rsidRDefault="007B4C4C" w:rsidP="007B4C4C">
      <w:pPr>
        <w:pStyle w:val="BodyText1"/>
      </w:pPr>
      <w:r w:rsidRPr="002B5189">
        <w:t>The 2015 panel maintenance will consist of a mailing to each sample member and his or her parent/guardian asking that they log onto the survey website to update contact information or that they complete a hardcopy address update</w:t>
      </w:r>
      <w:r w:rsidR="00891FB6">
        <w:t xml:space="preserve"> (see appendix D)</w:t>
      </w:r>
      <w:r w:rsidRPr="002B5189">
        <w:t>.</w:t>
      </w:r>
      <w:r w:rsidR="00BA0D27">
        <w:t xml:space="preserve"> </w:t>
      </w:r>
      <w:r w:rsidRPr="002B5189">
        <w:t>Sample members will be offered a $10 incentive for updating their contact information. Our recent experience has shown that offering such an incentive is an effective means of increasing panel maintenance response</w:t>
      </w:r>
      <w:r w:rsidRPr="00FD1C7E">
        <w:t xml:space="preserve">. For example, sample members </w:t>
      </w:r>
      <w:r w:rsidR="00FD1C7E" w:rsidRPr="00FD1C7E">
        <w:t>i</w:t>
      </w:r>
      <w:r w:rsidRPr="00FD1C7E">
        <w:t xml:space="preserve">n </w:t>
      </w:r>
      <w:r w:rsidR="00FD1C7E" w:rsidRPr="00FD1C7E">
        <w:t>ELS:2002</w:t>
      </w:r>
      <w:r w:rsidRPr="00FD1C7E">
        <w:t xml:space="preserve"> were offered $10 to update their contact information during the </w:t>
      </w:r>
      <w:r w:rsidR="00FD1C7E" w:rsidRPr="006618DC">
        <w:t>2011</w:t>
      </w:r>
      <w:r w:rsidR="00FD1C7E" w:rsidRPr="00FD1C7E">
        <w:t xml:space="preserve"> </w:t>
      </w:r>
      <w:r w:rsidRPr="00FD1C7E">
        <w:t xml:space="preserve">panel maintenance period, and updates for approximately </w:t>
      </w:r>
      <w:r w:rsidR="00FD1C7E" w:rsidRPr="006618DC">
        <w:t>29</w:t>
      </w:r>
      <w:r w:rsidRPr="00FD1C7E">
        <w:t xml:space="preserve"> percent of sample members</w:t>
      </w:r>
      <w:r w:rsidR="00941BF9">
        <w:t xml:space="preserve"> were received</w:t>
      </w:r>
      <w:r w:rsidRPr="00FD1C7E">
        <w:t>.</w:t>
      </w:r>
      <w:r w:rsidRPr="002B5189">
        <w:t xml:space="preserve"> A $10 incentive was recently approved</w:t>
      </w:r>
      <w:r w:rsidR="002B5189" w:rsidRPr="00BD3B23">
        <w:rPr>
          <w:rStyle w:val="FootnoteReference"/>
          <w:rFonts w:ascii="Times New Roman" w:hAnsi="Times New Roman" w:cs="Times New Roman"/>
          <w:vertAlign w:val="superscript"/>
        </w:rPr>
        <w:footnoteReference w:id="4"/>
      </w:r>
      <w:r w:rsidRPr="002B5189">
        <w:t xml:space="preserve"> for HSLS:09 for the 2014 panel maintenance. Estimates of response burden are developed from experience with the previous HSLS:09 panel maintenance and from other education longitudinal studies (e.g., ELS:2002, NELS:88).</w:t>
      </w:r>
    </w:p>
    <w:p w14:paraId="5885F473" w14:textId="77777777" w:rsidR="00825CCC" w:rsidRPr="00D5480C" w:rsidRDefault="00825CCC" w:rsidP="00825CCC">
      <w:pPr>
        <w:pStyle w:val="Heading2"/>
      </w:pPr>
      <w:bookmarkStart w:id="67" w:name="_Toc401834514"/>
      <w:bookmarkStart w:id="68" w:name="_Toc403397638"/>
      <w:bookmarkStart w:id="69" w:name="_Toc192579041"/>
      <w:bookmarkEnd w:id="59"/>
      <w:bookmarkEnd w:id="60"/>
      <w:bookmarkEnd w:id="61"/>
      <w:bookmarkEnd w:id="62"/>
      <w:bookmarkEnd w:id="63"/>
      <w:bookmarkEnd w:id="64"/>
      <w:bookmarkEnd w:id="65"/>
      <w:bookmarkEnd w:id="66"/>
      <w:r w:rsidRPr="00BF65C4">
        <w:t>A.10</w:t>
      </w:r>
      <w:r w:rsidR="00A24288" w:rsidRPr="00D5480C">
        <w:tab/>
      </w:r>
      <w:r w:rsidRPr="00D5480C">
        <w:t>Assurance of Confidentiality Provided to Respondents</w:t>
      </w:r>
      <w:bookmarkEnd w:id="67"/>
      <w:bookmarkEnd w:id="68"/>
    </w:p>
    <w:p w14:paraId="25FFD0B2" w14:textId="77777777" w:rsidR="006D6F3C" w:rsidRPr="002B5189" w:rsidRDefault="00A12BD6" w:rsidP="006D6F3C">
      <w:pPr>
        <w:pStyle w:val="BodyText1"/>
      </w:pPr>
      <w:r w:rsidRPr="002B5189">
        <w:t xml:space="preserve">NCES assures participating individuals that all identifiable information collected </w:t>
      </w:r>
      <w:r w:rsidR="00BF0EE5" w:rsidRPr="002B5189">
        <w:t xml:space="preserve">as part of the </w:t>
      </w:r>
      <w:r w:rsidR="003E3C39" w:rsidRPr="002B5189">
        <w:t>HSLS</w:t>
      </w:r>
      <w:r w:rsidR="00BF0EE5" w:rsidRPr="002B5189">
        <w:t>:09 study</w:t>
      </w:r>
      <w:r w:rsidRPr="002B5189">
        <w:t xml:space="preserve"> may be used only for statistical purposes and may not be disclosed, or used, in identifiable form for any other purpose except as required by law [Education Sciences Reform Act of 2002 (ESRA 2002), 20 U.S.C. § 95</w:t>
      </w:r>
      <w:r w:rsidR="00EA1B87" w:rsidRPr="002B5189">
        <w:t>7</w:t>
      </w:r>
      <w:r w:rsidRPr="002B5189">
        <w:t xml:space="preserve">3]. </w:t>
      </w:r>
      <w:r w:rsidR="003E3C39" w:rsidRPr="002B5189">
        <w:t xml:space="preserve">HSLS:09 </w:t>
      </w:r>
      <w:r w:rsidR="006D6F3C" w:rsidRPr="002B5189">
        <w:t>data security and confidentiality protection procedures are in place to ensure that RTI and its subcontractors comply with all privacy requirements, including:</w:t>
      </w:r>
    </w:p>
    <w:p w14:paraId="61F60C3C" w14:textId="77777777" w:rsidR="006D6F3C" w:rsidRPr="002B5189" w:rsidRDefault="006D6F3C" w:rsidP="001C6397">
      <w:pPr>
        <w:pStyle w:val="bulletround"/>
        <w:keepLines/>
        <w:numPr>
          <w:ilvl w:val="0"/>
          <w:numId w:val="26"/>
        </w:numPr>
        <w:spacing w:before="0" w:after="60" w:line="320" w:lineRule="atLeast"/>
      </w:pPr>
      <w:r w:rsidRPr="002B5189">
        <w:t>The Statement of Work of this contract;</w:t>
      </w:r>
    </w:p>
    <w:p w14:paraId="37405641" w14:textId="7DCC1353" w:rsidR="006D6F3C" w:rsidRPr="002B5189" w:rsidRDefault="006D6F3C" w:rsidP="00EF5A79">
      <w:pPr>
        <w:pStyle w:val="bulletround"/>
        <w:keepLines/>
        <w:numPr>
          <w:ilvl w:val="0"/>
          <w:numId w:val="26"/>
        </w:numPr>
        <w:spacing w:before="0" w:after="60" w:line="320" w:lineRule="atLeast"/>
      </w:pPr>
      <w:r w:rsidRPr="002B5189">
        <w:t>Privacy Act of 1974 5 U.S.C. § 552(a);</w:t>
      </w:r>
    </w:p>
    <w:p w14:paraId="3A39CA24" w14:textId="77777777" w:rsidR="006D6F3C" w:rsidRPr="002B5189" w:rsidRDefault="006D6F3C" w:rsidP="001C6397">
      <w:pPr>
        <w:pStyle w:val="bulletround"/>
        <w:keepLines/>
        <w:numPr>
          <w:ilvl w:val="0"/>
          <w:numId w:val="26"/>
        </w:numPr>
        <w:spacing w:before="0" w:after="60" w:line="320" w:lineRule="atLeast"/>
      </w:pPr>
      <w:r w:rsidRPr="002B5189">
        <w:t>The U.S. Department of Education Incident Handling Procedures (February 2009);</w:t>
      </w:r>
    </w:p>
    <w:p w14:paraId="560C8857" w14:textId="77777777" w:rsidR="006D6F3C" w:rsidRPr="002B5189" w:rsidRDefault="006D6F3C" w:rsidP="001C6397">
      <w:pPr>
        <w:pStyle w:val="bulletround"/>
        <w:keepLines/>
        <w:numPr>
          <w:ilvl w:val="0"/>
          <w:numId w:val="26"/>
        </w:numPr>
        <w:spacing w:before="0" w:after="60" w:line="320" w:lineRule="atLeast"/>
      </w:pPr>
      <w:r w:rsidRPr="002B5189">
        <w:t>The U.S. Department of Education General Handbook for Information Technology Security General Support Systems and Major Applications Inventory Procedures (March 2005);</w:t>
      </w:r>
    </w:p>
    <w:p w14:paraId="39D75376" w14:textId="77777777" w:rsidR="006D6F3C" w:rsidRPr="002B5189" w:rsidRDefault="006D6F3C" w:rsidP="001C6397">
      <w:pPr>
        <w:pStyle w:val="bulletround"/>
        <w:keepLines/>
        <w:numPr>
          <w:ilvl w:val="0"/>
          <w:numId w:val="26"/>
        </w:numPr>
        <w:spacing w:before="0" w:after="60" w:line="320" w:lineRule="atLeast"/>
      </w:pPr>
      <w:r w:rsidRPr="002B5189">
        <w:t>The U.S. Department of Education, ACS Directive OM: 5- 101, Contractor Employee Personnel Security Screenings.</w:t>
      </w:r>
    </w:p>
    <w:p w14:paraId="14A9B840" w14:textId="30B39DCC" w:rsidR="006D6F3C" w:rsidRPr="002B5189" w:rsidRDefault="006D6F3C" w:rsidP="00EF5A79">
      <w:pPr>
        <w:pStyle w:val="bulletround"/>
        <w:keepLines/>
        <w:numPr>
          <w:ilvl w:val="0"/>
          <w:numId w:val="26"/>
        </w:numPr>
        <w:spacing w:before="0" w:after="60" w:line="320" w:lineRule="atLeast"/>
      </w:pPr>
      <w:r w:rsidRPr="002B5189">
        <w:t xml:space="preserve">Family Educational </w:t>
      </w:r>
      <w:r w:rsidR="00304242">
        <w:t xml:space="preserve">Rights </w:t>
      </w:r>
      <w:r w:rsidRPr="002B5189">
        <w:t>and Privacy Act of 1974, 20 U.S.C. § 1232(g);</w:t>
      </w:r>
    </w:p>
    <w:p w14:paraId="4E0E35AF" w14:textId="75C90F73" w:rsidR="006D6F3C" w:rsidRPr="002B5189" w:rsidRDefault="006D6F3C" w:rsidP="00EF5A79">
      <w:pPr>
        <w:pStyle w:val="bulletround"/>
        <w:keepLines/>
        <w:numPr>
          <w:ilvl w:val="0"/>
          <w:numId w:val="26"/>
        </w:numPr>
        <w:spacing w:before="0" w:after="60" w:line="320" w:lineRule="atLeast"/>
      </w:pPr>
      <w:r w:rsidRPr="002B5189">
        <w:t>ESRA</w:t>
      </w:r>
      <w:r w:rsidR="00A23EB6">
        <w:t xml:space="preserve"> 2002</w:t>
      </w:r>
      <w:r w:rsidRPr="002B5189">
        <w:t>, 20 U.S.C. § 9573; and</w:t>
      </w:r>
    </w:p>
    <w:p w14:paraId="122E4A87" w14:textId="37365556" w:rsidR="006D6F3C" w:rsidRPr="002B5189" w:rsidRDefault="006D6F3C" w:rsidP="00EF5A79">
      <w:pPr>
        <w:pStyle w:val="bulletround"/>
        <w:keepLines/>
        <w:numPr>
          <w:ilvl w:val="0"/>
          <w:numId w:val="26"/>
        </w:numPr>
        <w:spacing w:before="0" w:after="240" w:line="320" w:lineRule="atLeast"/>
      </w:pPr>
      <w:r w:rsidRPr="002B5189">
        <w:t>All new legislation</w:t>
      </w:r>
      <w:r w:rsidR="00EF5A79">
        <w:t xml:space="preserve"> that</w:t>
      </w:r>
      <w:r w:rsidRPr="002B5189">
        <w:t xml:space="preserve"> impacts the data collect</w:t>
      </w:r>
      <w:r w:rsidR="00D83F6F">
        <w:t>ed</w:t>
      </w:r>
      <w:r w:rsidRPr="002B5189">
        <w:t xml:space="preserve"> through this contract.</w:t>
      </w:r>
    </w:p>
    <w:p w14:paraId="14EDC941" w14:textId="77777777" w:rsidR="006D6F3C" w:rsidRPr="002B5189" w:rsidRDefault="006D6F3C" w:rsidP="006D6F3C">
      <w:pPr>
        <w:pStyle w:val="BodyText1"/>
      </w:pPr>
      <w:r w:rsidRPr="002B5189">
        <w:t>To further ensure that confidentiality is appropriately maintained at all times, vendors who assist in locating and tracing sample members will be required to follow procedures that safeguard personally identifying information. RTI’s vendor contracts outline requirements for information security policies and assessments, security awareness training, physical and environmental security, monitoring, and access control. They also specify the means by which information may be transmitted between RTI and the contractor.</w:t>
      </w:r>
    </w:p>
    <w:p w14:paraId="014E7C89" w14:textId="77777777" w:rsidR="00A12BD6" w:rsidRPr="002B5189" w:rsidRDefault="006D6F3C" w:rsidP="00A12BD6">
      <w:pPr>
        <w:pStyle w:val="BodyText1"/>
      </w:pPr>
      <w:r w:rsidRPr="002B5189">
        <w:t>Additionally, RTI will comply with the Department’s IT security policy requirements as set forth in the Handbook for Information Assurance Security Policy and related procedures and guidance as well as IT security requirements in the Federal Information Security Management Act (FISMA), OMB Circulars, and the National Institute of Standards and Technology (NIST) standards and guidance. All data products and publications will also adhere to the NCES Statistical Standards, as described at the website:</w:t>
      </w:r>
      <w:r w:rsidR="00A12BD6" w:rsidRPr="002B5189">
        <w:t xml:space="preserve"> </w:t>
      </w:r>
      <w:hyperlink r:id="rId19" w:history="1">
        <w:r w:rsidR="00E57B37" w:rsidRPr="002B5189">
          <w:t xml:space="preserve"> </w:t>
        </w:r>
        <w:r w:rsidR="00E57B37" w:rsidRPr="002B5189">
          <w:rPr>
            <w:rStyle w:val="Hyperlink"/>
            <w:color w:val="auto"/>
          </w:rPr>
          <w:t>http://nces.ed.gov/statprog/standards.asp</w:t>
        </w:r>
        <w:r w:rsidR="00A12BD6" w:rsidRPr="002B5189">
          <w:rPr>
            <w:rStyle w:val="Hyperlink"/>
            <w:color w:val="auto"/>
          </w:rPr>
          <w:t>.</w:t>
        </w:r>
      </w:hyperlink>
    </w:p>
    <w:p w14:paraId="3B0C56E8" w14:textId="77777777" w:rsidR="00A12BD6" w:rsidRPr="002B5189" w:rsidRDefault="00A12BD6" w:rsidP="00A12BD6">
      <w:pPr>
        <w:pStyle w:val="BodyText1"/>
      </w:pPr>
      <w:r w:rsidRPr="002B5189">
        <w:t xml:space="preserve">The </w:t>
      </w:r>
      <w:r w:rsidR="003E3C39" w:rsidRPr="002B5189">
        <w:t xml:space="preserve">HSLS:09 </w:t>
      </w:r>
      <w:r w:rsidR="00D47B53" w:rsidRPr="002B5189">
        <w:rPr>
          <w:szCs w:val="24"/>
        </w:rPr>
        <w:t xml:space="preserve">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w:t>
      </w:r>
      <w:r w:rsidR="003E3C39" w:rsidRPr="002B5189">
        <w:t>HSLS:09</w:t>
      </w:r>
      <w:r w:rsidR="00D47B53" w:rsidRPr="002B5189">
        <w:rPr>
          <w:szCs w:val="24"/>
        </w:rPr>
        <w:t xml:space="preserve">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r w:rsidRPr="002B5189">
        <w:t>.</w:t>
      </w:r>
    </w:p>
    <w:p w14:paraId="636ED287" w14:textId="77777777" w:rsidR="00A12BD6" w:rsidRPr="002B5189" w:rsidRDefault="00D47B53" w:rsidP="00A12BD6">
      <w:pPr>
        <w:pStyle w:val="BodyText1"/>
      </w:pPr>
      <w:r w:rsidRPr="002B5189">
        <w:rPr>
          <w:szCs w:val="24"/>
        </w:rPr>
        <w:t>There are security measures in place to protect data during file matching procedures described in section 3. NCES has a secure data transfer system, which uses Secure Socket Layer (SSL) technology, allowing the transfer of encrypted data over the Internet. The NCES secure server will be used for all administrative data sources with the exception of the NSC which has its own secure FTP site. All data transfers will be encrypted using FIPS 140-2 validated encryption tools</w:t>
      </w:r>
      <w:r w:rsidR="00A12BD6" w:rsidRPr="002B5189">
        <w:t>.</w:t>
      </w:r>
    </w:p>
    <w:p w14:paraId="2D8F7EF4" w14:textId="77777777" w:rsidR="00A12BD6" w:rsidRPr="002B5189" w:rsidRDefault="00D47B53" w:rsidP="00A12BD6">
      <w:pPr>
        <w:pStyle w:val="BodyText1"/>
      </w:pPr>
      <w:r w:rsidRPr="002B5189">
        <w:rPr>
          <w:szCs w:val="24"/>
        </w:rPr>
        <w:t>Furthermore, the Department has established a policy regarding the personnel security screening requirements for all contractor employees and their subcontractors. The contractor must comply with these personnel security screening requirements throughout the life of the contract. The Department directive that contractors must comply with is OM:5-101, which was last updated on 7/16/2010.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r w:rsidR="00A12BD6" w:rsidRPr="002B5189">
        <w:t>.</w:t>
      </w:r>
    </w:p>
    <w:p w14:paraId="75061E6B" w14:textId="0BBC6A66" w:rsidR="00A12BD6" w:rsidRPr="002B5189" w:rsidRDefault="00A12BD6" w:rsidP="00A12BD6">
      <w:pPr>
        <w:pStyle w:val="BodyText1"/>
      </w:pPr>
      <w:r w:rsidRPr="002B5189">
        <w:t xml:space="preserve">Study notification materials sent to </w:t>
      </w:r>
      <w:r w:rsidR="00105447" w:rsidRPr="002B5189">
        <w:t>sample members</w:t>
      </w:r>
      <w:r w:rsidRPr="002B5189">
        <w:t xml:space="preserve"> will describe the voluntary nature of </w:t>
      </w:r>
      <w:r w:rsidR="003E3C39" w:rsidRPr="002B5189">
        <w:t xml:space="preserve">HSLS:09 </w:t>
      </w:r>
      <w:r w:rsidRPr="002B5189">
        <w:t xml:space="preserve">and convey the extent to which respondent identifiers and all responses will be kept confidential. Similarly, the scripts to be read by telephone staff will be very specific in the assurances made to respondents and contacts. Contacting materials are presented in appendix </w:t>
      </w:r>
      <w:r w:rsidR="00A9385F" w:rsidRPr="002B5189">
        <w:t>D</w:t>
      </w:r>
      <w:r w:rsidRPr="002B5189">
        <w:t>. The following confidentiality language is provided in the study brochure that is supplied to all sample members:</w:t>
      </w:r>
    </w:p>
    <w:p w14:paraId="06C9EF87" w14:textId="2BB5288B" w:rsidR="00A12BD6" w:rsidRPr="002B5189" w:rsidRDefault="00A12BD6" w:rsidP="000C51BA">
      <w:pPr>
        <w:pStyle w:val="BodyText1"/>
        <w:spacing w:line="240" w:lineRule="auto"/>
        <w:ind w:left="720" w:right="720" w:firstLine="0"/>
      </w:pPr>
      <w:r w:rsidRPr="002B5189">
        <w:t xml:space="preserve">The </w:t>
      </w:r>
      <w:r w:rsidR="00606253" w:rsidRPr="002B5189">
        <w:t xml:space="preserve">High School Longitudinal </w:t>
      </w:r>
      <w:r w:rsidRPr="002B5189">
        <w:t xml:space="preserve">Study </w:t>
      </w:r>
      <w:r w:rsidR="00606253" w:rsidRPr="002B5189">
        <w:t xml:space="preserve">of 2009 (HSLS:09) Second Follow-Up </w:t>
      </w:r>
      <w:r w:rsidRPr="002B5189">
        <w:t>is conducted under the authority of the Education Sciences Reform Act (ESRA) of 2002 (20 U.S.C. § 9543)</w:t>
      </w:r>
      <w:r w:rsidR="000C51BA">
        <w:t>,</w:t>
      </w:r>
      <w:r w:rsidRPr="002B5189">
        <w:t xml:space="preserve"> which authorize</w:t>
      </w:r>
      <w:r w:rsidR="000C51BA">
        <w:t>s</w:t>
      </w:r>
      <w:r w:rsidRPr="002B5189">
        <w:t xml:space="preserve"> NCES to collect and disseminate information about education in the United States.</w:t>
      </w:r>
    </w:p>
    <w:p w14:paraId="0BF6BCE0" w14:textId="77777777" w:rsidR="00A12BD6" w:rsidRPr="002B5189" w:rsidRDefault="00A12BD6" w:rsidP="00606253">
      <w:pPr>
        <w:pStyle w:val="BodyText1"/>
        <w:spacing w:line="240" w:lineRule="auto"/>
        <w:ind w:left="720" w:right="720" w:firstLine="0"/>
      </w:pPr>
      <w:r w:rsidRPr="002B5189">
        <w:t>NCES is required to follow strict procedures to protect personal information in the collection, reporting, and publication of data. All individually identifiable information supplied by individuals or institutions may be used only for statistical purposes and may not be disclosed or used in identifiable form for any other purpose, except as required by law (20 U.S.C. § 9573).</w:t>
      </w:r>
    </w:p>
    <w:p w14:paraId="13B8A502" w14:textId="77777777" w:rsidR="00A12BD6" w:rsidRPr="002B5189" w:rsidRDefault="00A12BD6" w:rsidP="00606253">
      <w:pPr>
        <w:pStyle w:val="BodyText1"/>
        <w:spacing w:line="240" w:lineRule="auto"/>
        <w:ind w:left="720" w:right="720" w:firstLine="0"/>
      </w:pPr>
      <w:r w:rsidRPr="002B5189">
        <w:t xml:space="preserve">Data security procedures for </w:t>
      </w:r>
      <w:r w:rsidR="003E3C39" w:rsidRPr="002B5189">
        <w:t xml:space="preserve">HSLS:09 </w:t>
      </w:r>
      <w:r w:rsidRPr="002B5189">
        <w:t>are reviewed and approved by NCES data security staff. Your answers are secured behind firewalls and are encrypted during internet transmission using Secure Sockets Layer (SSL) protocol. All data entry modules are password protected and require the user to log in before accessing confidential data. Project staff is subject to large fines or imprisonment if individual responses are disclosed.</w:t>
      </w:r>
    </w:p>
    <w:p w14:paraId="2D9F0A14" w14:textId="327183B5" w:rsidR="00A12BD6" w:rsidRPr="002B5189" w:rsidRDefault="00A12BD6" w:rsidP="00EF5A79">
      <w:pPr>
        <w:pStyle w:val="BodyText1"/>
      </w:pPr>
      <w:r w:rsidRPr="002B5189">
        <w:t xml:space="preserve">Regarding file matching with administrative sources, the Family Educational Rights and Privacy Act (FERPA) (34 CFR Part 99) allows the disclosure of information without prior consent for the purposes of </w:t>
      </w:r>
      <w:r w:rsidR="003E3C39" w:rsidRPr="002B5189">
        <w:t xml:space="preserve">HSLS:09 </w:t>
      </w:r>
      <w:r w:rsidRPr="002B5189">
        <w:t xml:space="preserve">according to the following excerpts: </w:t>
      </w:r>
      <w:r w:rsidR="00EF5A79">
        <w:t xml:space="preserve">34 CFR </w:t>
      </w:r>
      <w:r w:rsidR="00EF5A79" w:rsidRPr="00517C3A">
        <w:t>§</w:t>
      </w:r>
      <w:r w:rsidR="00EF5A79">
        <w:t xml:space="preserve"> </w:t>
      </w:r>
      <w:r w:rsidRPr="002B5189">
        <w:t xml:space="preserve">99.31 </w:t>
      </w:r>
      <w:r w:rsidR="00517FEF">
        <w:t>poses the question:</w:t>
      </w:r>
      <w:r w:rsidRPr="002B5189">
        <w:t xml:space="preserve"> “Under what conditions is prior consent not required to disclose information?” and explains </w:t>
      </w:r>
      <w:r w:rsidR="00EF5A79">
        <w:t xml:space="preserve">in 34 CFR </w:t>
      </w:r>
      <w:r w:rsidR="00EF5A79" w:rsidRPr="00517C3A">
        <w:t>§</w:t>
      </w:r>
      <w:r w:rsidR="00EF5A79" w:rsidRPr="0058393B">
        <w:t xml:space="preserve"> </w:t>
      </w:r>
      <w:r w:rsidR="00EF5A79">
        <w:t>99.31</w:t>
      </w:r>
      <w:r w:rsidR="00EF5A79" w:rsidRPr="0058393B">
        <w:t>(a)</w:t>
      </w:r>
      <w:r w:rsidR="00EF5A79">
        <w:t xml:space="preserve"> </w:t>
      </w:r>
      <w:r w:rsidRPr="002B5189">
        <w:t>that</w:t>
      </w:r>
      <w:r w:rsidR="00DB3518">
        <w:t xml:space="preserve"> </w:t>
      </w:r>
      <w:r w:rsidRPr="002B5189">
        <w:t xml:space="preserve">“An educational agency or institution may disclose personally identifiable information from an education record of a student without the consent required by </w:t>
      </w:r>
      <w:r w:rsidR="00EF5A79" w:rsidRPr="00517C3A">
        <w:t>§</w:t>
      </w:r>
      <w:r w:rsidRPr="002B5189">
        <w:t xml:space="preserve">99.30 if the disclosure meets </w:t>
      </w:r>
      <w:r w:rsidR="00EF5A79" w:rsidRPr="0058393B">
        <w:t>one or more</w:t>
      </w:r>
      <w:r w:rsidR="00EF5A79">
        <w:t>” of several conditions.</w:t>
      </w:r>
      <w:r w:rsidR="00EF5A79" w:rsidRPr="0058393B">
        <w:t xml:space="preserve"> </w:t>
      </w:r>
      <w:r w:rsidR="00EF5A79">
        <w:t xml:space="preserve">These conditions include, at 34 CFR </w:t>
      </w:r>
      <w:r w:rsidR="00EF5A79" w:rsidRPr="00517C3A">
        <w:t>§</w:t>
      </w:r>
      <w:r w:rsidR="00EF5A79">
        <w:t xml:space="preserve"> 99.31(a)(6)(i)</w:t>
      </w:r>
      <w:r w:rsidR="00EF5A79" w:rsidRPr="0058393B">
        <w:t>:</w:t>
      </w:r>
    </w:p>
    <w:p w14:paraId="49527EA0" w14:textId="7A7C9241" w:rsidR="004E1351" w:rsidRPr="002B5189" w:rsidRDefault="00EF5A79">
      <w:pPr>
        <w:spacing w:after="120"/>
        <w:ind w:left="720"/>
      </w:pPr>
      <w:r>
        <w:t>“</w:t>
      </w:r>
      <w:r w:rsidR="004E1351" w:rsidRPr="002B5189">
        <w:t>The disclosure is to organizations conducting studies for, or on behalf of, educational agencies or institutions to:</w:t>
      </w:r>
    </w:p>
    <w:p w14:paraId="7CD0A666" w14:textId="77777777" w:rsidR="004E1351" w:rsidRPr="002B5189" w:rsidRDefault="004E1351" w:rsidP="001C6397">
      <w:pPr>
        <w:spacing w:after="120"/>
        <w:ind w:left="1350"/>
      </w:pPr>
      <w:r w:rsidRPr="002B5189">
        <w:t>(A) Develop, validate, or administer predictive tests;</w:t>
      </w:r>
    </w:p>
    <w:p w14:paraId="6B8C94EF" w14:textId="77777777" w:rsidR="004E1351" w:rsidRPr="002B5189" w:rsidRDefault="004E1351" w:rsidP="001C6397">
      <w:pPr>
        <w:spacing w:after="120"/>
        <w:ind w:left="1350"/>
      </w:pPr>
      <w:r w:rsidRPr="002B5189">
        <w:t>(B) Administer student aid programs; or</w:t>
      </w:r>
    </w:p>
    <w:p w14:paraId="0B3A74A9" w14:textId="3CC6BCFC" w:rsidR="004E1351" w:rsidRPr="002B5189" w:rsidRDefault="004E1351" w:rsidP="001C6397">
      <w:pPr>
        <w:spacing w:after="120"/>
        <w:ind w:left="1350"/>
      </w:pPr>
      <w:r w:rsidRPr="002B5189">
        <w:t>(C) Improve instruction.</w:t>
      </w:r>
      <w:r w:rsidR="00EF5A79">
        <w:t>”</w:t>
      </w:r>
    </w:p>
    <w:p w14:paraId="5C9A3728" w14:textId="624C6329" w:rsidR="00A12BD6" w:rsidRPr="002B5189" w:rsidRDefault="00A12BD6" w:rsidP="00EF5A79">
      <w:pPr>
        <w:pStyle w:val="BodyText1"/>
      </w:pPr>
      <w:r w:rsidRPr="002B5189">
        <w:t xml:space="preserve">In addition, </w:t>
      </w:r>
      <w:r w:rsidR="00EF5A79">
        <w:t xml:space="preserve">34 CFR </w:t>
      </w:r>
      <w:r w:rsidR="00EF5A79" w:rsidRPr="00517C3A">
        <w:t>§</w:t>
      </w:r>
      <w:r w:rsidR="00EF5A79" w:rsidRPr="0058393B">
        <w:t xml:space="preserve"> </w:t>
      </w:r>
      <w:r w:rsidR="00EF5A79" w:rsidRPr="004D751D">
        <w:t>99.31(a)(6)(v)</w:t>
      </w:r>
      <w:r w:rsidR="00EF5A79" w:rsidRPr="0058393B">
        <w:t xml:space="preserve"> </w:t>
      </w:r>
      <w:r w:rsidRPr="002B5189">
        <w:t xml:space="preserve">specifies: “For the purposes of paragraph (a)(6) of this section, the term </w:t>
      </w:r>
      <w:r w:rsidRPr="002B5189">
        <w:rPr>
          <w:i/>
        </w:rPr>
        <w:t>organization</w:t>
      </w:r>
      <w:r w:rsidRPr="002B5189">
        <w:t xml:space="preserve"> includes, but is not limited to, Federal, State, and local agencies, and independent organizations.”</w:t>
      </w:r>
    </w:p>
    <w:p w14:paraId="2342E97A" w14:textId="2784F85C" w:rsidR="005404E3" w:rsidRPr="002B5189" w:rsidRDefault="005404E3">
      <w:pPr>
        <w:pStyle w:val="BodyText1"/>
      </w:pPr>
      <w:r w:rsidRPr="002B5189">
        <w:t xml:space="preserve">All three parts of </w:t>
      </w:r>
      <w:r w:rsidR="00EF5A79">
        <w:t xml:space="preserve">34 CFR </w:t>
      </w:r>
      <w:r w:rsidR="00EF5A79" w:rsidRPr="00517C3A">
        <w:t>§</w:t>
      </w:r>
      <w:r w:rsidR="00EF5A79">
        <w:t xml:space="preserve"> </w:t>
      </w:r>
      <w:r w:rsidR="00EF5A79" w:rsidRPr="004D751D">
        <w:t>99.31(a)(6)(i)</w:t>
      </w:r>
      <w:r w:rsidR="00EF5A79" w:rsidRPr="0058393B">
        <w:t xml:space="preserve"> </w:t>
      </w:r>
      <w:r w:rsidRPr="002B5189">
        <w:t>apply to HSLS:09. The purpose of HSLS:09 is to create a research data set for a cohort of ninth-graders that brings together information about academic achievement in high school and subsequent participation in postsecondary education along with federal, state, and private financial aid programs. HSLS:09 also gathers background and demographic data to form the context for the outcome variables. The result</w:t>
      </w:r>
      <w:r w:rsidR="004E1351" w:rsidRPr="002B5189">
        <w:t>ing</w:t>
      </w:r>
      <w:r w:rsidRPr="002B5189">
        <w:t xml:space="preserve"> data set allows research and policy analysts to address basic issues about the relationship between high school experiences and participation in postsecondary education and the labor market. The data set can be used for, or on behalf of, educational agencies or institutions to accomplish activities (A), (B), and (C).</w:t>
      </w:r>
    </w:p>
    <w:p w14:paraId="712C92F8" w14:textId="77777777" w:rsidR="00EF5A79" w:rsidRDefault="00EF5A79" w:rsidP="00A12BD6">
      <w:pPr>
        <w:pStyle w:val="BodyText1"/>
      </w:pPr>
      <w:r w:rsidRPr="00EF5A79">
        <w:t>In 34 CFR § 99.31 (a)(6)(iii), FERPA further specifies that such disclosure may only occur if “[the] study is conducted in a manner that does not permit personal identification of parents and students by individuals other than representatives of the organization” and “[the] information is destroyed when no longer needed for the purposes for which the study was conducted.”</w:t>
      </w:r>
    </w:p>
    <w:p w14:paraId="4547AB71" w14:textId="77777777" w:rsidR="00DB3518" w:rsidRDefault="00CF0DD2" w:rsidP="00CF0DD2">
      <w:pPr>
        <w:pStyle w:val="BodyText1"/>
        <w:rPr>
          <w:iCs/>
        </w:rPr>
      </w:pPr>
      <w:r>
        <w:t xml:space="preserve">Appendix F includes a </w:t>
      </w:r>
      <w:r>
        <w:rPr>
          <w:i/>
          <w:iCs/>
        </w:rPr>
        <w:t>Family Educational Rights and Privacy Act Fact Sheet,</w:t>
      </w:r>
      <w:r>
        <w:rPr>
          <w:iCs/>
        </w:rPr>
        <w:t xml:space="preserve"> which provides</w:t>
      </w:r>
      <w:r w:rsidR="00203A6B">
        <w:rPr>
          <w:iCs/>
        </w:rPr>
        <w:t xml:space="preserve"> institutions with</w:t>
      </w:r>
      <w:r>
        <w:rPr>
          <w:iCs/>
        </w:rPr>
        <w:t xml:space="preserve"> the text of the FERPA requirements.</w:t>
      </w:r>
      <w:r w:rsidR="00DB3518">
        <w:rPr>
          <w:iCs/>
        </w:rPr>
        <w:t xml:space="preserve"> </w:t>
      </w:r>
      <w:r>
        <w:rPr>
          <w:iCs/>
        </w:rPr>
        <w:t xml:space="preserve">The Fact Sheet includes highlighted passages that indicate the sections that authorize </w:t>
      </w:r>
      <w:r w:rsidR="006C475C">
        <w:rPr>
          <w:iCs/>
        </w:rPr>
        <w:t>the transcript and financial aid records</w:t>
      </w:r>
      <w:r>
        <w:rPr>
          <w:iCs/>
        </w:rPr>
        <w:t xml:space="preserve"> collection</w:t>
      </w:r>
      <w:r w:rsidR="006C475C">
        <w:rPr>
          <w:iCs/>
        </w:rPr>
        <w:t>s</w:t>
      </w:r>
      <w:r>
        <w:rPr>
          <w:iCs/>
        </w:rPr>
        <w:t>, and will be included in the packet sent to all institutions from which student data are requested.</w:t>
      </w:r>
    </w:p>
    <w:p w14:paraId="7D5EAB35" w14:textId="58C2D3E4" w:rsidR="00A12BD6" w:rsidRPr="002B5189" w:rsidRDefault="00A12BD6" w:rsidP="00A12BD6">
      <w:pPr>
        <w:pStyle w:val="BodyText1"/>
      </w:pPr>
      <w:r w:rsidRPr="002B5189">
        <w:t>Additionally, the study, including the administrative data linkage, qualifies for a 45 CFR 46 waiver of consent based on the following factors:</w:t>
      </w:r>
    </w:p>
    <w:p w14:paraId="33DB0046" w14:textId="77777777" w:rsidR="00A12BD6" w:rsidRPr="002B5189" w:rsidRDefault="00A12BD6" w:rsidP="001C6397">
      <w:pPr>
        <w:pStyle w:val="BodyText1"/>
        <w:numPr>
          <w:ilvl w:val="0"/>
          <w:numId w:val="29"/>
        </w:numPr>
        <w:spacing w:line="240" w:lineRule="auto"/>
      </w:pPr>
      <w:r w:rsidRPr="002B5189">
        <w:t>There is minimal risk to the participants. There is no physical risk and only minimal risk associated with linkage of data to sample members. The public-use and restricted-use data, prepared as part of the contract with RTI, will not include SSNs, even though these numbers are used for the linkage. Data will undergo disclosure avoidance analysis and disclosure treatment steps to further reduce the risk.</w:t>
      </w:r>
    </w:p>
    <w:p w14:paraId="73A6462F" w14:textId="77777777" w:rsidR="00A12BD6" w:rsidRPr="002B5189" w:rsidRDefault="00A12BD6" w:rsidP="001C6397">
      <w:pPr>
        <w:pStyle w:val="BodyText1"/>
        <w:numPr>
          <w:ilvl w:val="0"/>
          <w:numId w:val="29"/>
        </w:numPr>
        <w:spacing w:line="240" w:lineRule="auto"/>
      </w:pPr>
      <w:r w:rsidRPr="002B5189">
        <w:t>The waiver will not affect the rights and welfare of the subjects. The voluntary nature of the study is emphasized to sample members. Public-use and restricted-use data are only used for research purposes and lack direct individually-identifying information. The data are further protected through disclosure avoidance procedures approved by the NCES Disclosure Review Board.</w:t>
      </w:r>
    </w:p>
    <w:p w14:paraId="4CDF6139" w14:textId="77777777" w:rsidR="00A12BD6" w:rsidRPr="002B5189" w:rsidRDefault="00A12BD6" w:rsidP="001C6397">
      <w:pPr>
        <w:pStyle w:val="BodyText1"/>
        <w:numPr>
          <w:ilvl w:val="0"/>
          <w:numId w:val="29"/>
        </w:numPr>
        <w:spacing w:line="240" w:lineRule="auto"/>
      </w:pPr>
      <w:r w:rsidRPr="002B5189">
        <w:t>Whenever appropriate, subjects will be provided with additional pertinent information after they have participated. For each round of the study, information about prior rounds and the nature of the study is made available to sample members.</w:t>
      </w:r>
    </w:p>
    <w:p w14:paraId="30A1B421" w14:textId="77777777" w:rsidR="00A12BD6" w:rsidRPr="002B5189" w:rsidRDefault="00A12BD6" w:rsidP="001C6397">
      <w:pPr>
        <w:pStyle w:val="BodyText1"/>
        <w:numPr>
          <w:ilvl w:val="0"/>
          <w:numId w:val="29"/>
        </w:numPr>
        <w:spacing w:line="240" w:lineRule="auto"/>
      </w:pPr>
      <w:r w:rsidRPr="002B5189">
        <w:t>The study cannot be conducted practicably without the waiver. To obtain written consent from sample members, multiple forms would have to be sent to the sample members with multiple follow-up telephone and in-person visits. This process would add weeks to the data collection process and is not feasible from a time standpoint. Additionally, the value of these data would be jeopardized from a nonresponse bias perspective.</w:t>
      </w:r>
    </w:p>
    <w:p w14:paraId="46882975" w14:textId="62C90652" w:rsidR="002F25B2" w:rsidRPr="002B5189" w:rsidRDefault="00AA376B" w:rsidP="001C6397">
      <w:pPr>
        <w:pStyle w:val="BodyText1"/>
        <w:numPr>
          <w:ilvl w:val="0"/>
          <w:numId w:val="29"/>
        </w:numPr>
        <w:spacing w:line="240" w:lineRule="auto"/>
      </w:pPr>
      <w:r w:rsidRPr="002B5189">
        <w:t xml:space="preserve">The potential knowledge to be gained from the study is important enough to justify the waiver. These linked data for HSLS:09 will provide invaluable data to researchers and education policy makers about access to and persistence in postsecondary education and the early employment activities of young adults in the years beyond high school. Rather than ask sample members certain data elements (e.g. financial aid received, admissions test scores) these data </w:t>
      </w:r>
      <w:r w:rsidR="00D315BB">
        <w:t xml:space="preserve">will be obtained </w:t>
      </w:r>
      <w:r w:rsidRPr="002B5189">
        <w:t>through matches to administrative records which will yield more accurate and complete data.</w:t>
      </w:r>
    </w:p>
    <w:p w14:paraId="70AB54AD" w14:textId="77777777" w:rsidR="002F25B2" w:rsidRPr="002B5189" w:rsidRDefault="00825CCC" w:rsidP="00E5282E">
      <w:pPr>
        <w:pStyle w:val="BodyText1"/>
      </w:pPr>
      <w:r w:rsidRPr="002B5189">
        <w:t>A data security plan (DSP) for HSLS:09 was approved by the IES Disclosure Review Board chair</w:t>
      </w:r>
      <w:r w:rsidR="00D40F70" w:rsidRPr="002B5189">
        <w:t>, and will be updated for the second follow-up</w:t>
      </w:r>
      <w:r w:rsidRPr="002B5189">
        <w:t>. The HSLS:09 plan represents best-practice survey systems and procedures for protecting respondent confidentiality and securing survey data.</w:t>
      </w:r>
    </w:p>
    <w:p w14:paraId="77DC759E" w14:textId="77777777" w:rsidR="0072781E" w:rsidRPr="002B5189" w:rsidRDefault="0072781E" w:rsidP="00721A25">
      <w:pPr>
        <w:pStyle w:val="Heading2"/>
      </w:pPr>
      <w:bookmarkStart w:id="70" w:name="_Toc355689810"/>
      <w:bookmarkStart w:id="71" w:name="_Toc321233320"/>
      <w:bookmarkStart w:id="72" w:name="_Toc346831475"/>
      <w:bookmarkStart w:id="73" w:name="_Toc192579042"/>
      <w:bookmarkStart w:id="74" w:name="_Toc401834515"/>
      <w:bookmarkStart w:id="75" w:name="_Toc403397639"/>
      <w:bookmarkEnd w:id="69"/>
      <w:bookmarkEnd w:id="70"/>
      <w:bookmarkEnd w:id="71"/>
      <w:bookmarkEnd w:id="72"/>
      <w:r w:rsidRPr="002B5189">
        <w:t>A.11</w:t>
      </w:r>
      <w:r w:rsidRPr="002B5189">
        <w:tab/>
        <w:t>Justification for Sensitive Questions</w:t>
      </w:r>
      <w:bookmarkEnd w:id="73"/>
      <w:bookmarkEnd w:id="74"/>
      <w:bookmarkEnd w:id="75"/>
    </w:p>
    <w:p w14:paraId="5F992981" w14:textId="77777777" w:rsidR="002F25B2" w:rsidRPr="002B5189" w:rsidRDefault="00D40F70" w:rsidP="00721A25">
      <w:pPr>
        <w:pStyle w:val="BodyText1"/>
      </w:pPr>
      <w:r w:rsidRPr="002B5189">
        <w:t xml:space="preserve">The HSLS:09 </w:t>
      </w:r>
      <w:r w:rsidR="000C509D" w:rsidRPr="002B5189">
        <w:t>Second Follow-up</w:t>
      </w:r>
      <w:r w:rsidRPr="002B5189">
        <w:t xml:space="preserve"> survey will include questions about earnings, assets, and debts in order to construct </w:t>
      </w:r>
      <w:r w:rsidR="0072781E" w:rsidRPr="002B5189">
        <w:t>socioeconomic status variables</w:t>
      </w:r>
      <w:r w:rsidRPr="002B5189">
        <w:t xml:space="preserve"> and to calculate need for financial aid for those who have pursued postsecondary education</w:t>
      </w:r>
      <w:r w:rsidR="0072781E" w:rsidRPr="002B5189">
        <w:t xml:space="preserve">. </w:t>
      </w:r>
      <w:r w:rsidR="00334E24" w:rsidRPr="002B5189">
        <w:t xml:space="preserve">The Office of Civil Rights is seeking to better understand LGBT students </w:t>
      </w:r>
      <w:r w:rsidR="00A758F6" w:rsidRPr="002B5189">
        <w:t xml:space="preserve">who </w:t>
      </w:r>
      <w:r w:rsidR="00334E24" w:rsidRPr="002B5189">
        <w:t xml:space="preserve">have been </w:t>
      </w:r>
      <w:r w:rsidR="00D621B5" w:rsidRPr="002B5189">
        <w:t>a</w:t>
      </w:r>
      <w:r w:rsidR="00334E24" w:rsidRPr="002B5189">
        <w:t xml:space="preserve"> target of bullying; to help address this, the HSLS:09 survey will include questions on sexual orientation and gender identity</w:t>
      </w:r>
      <w:r w:rsidR="001B64B7" w:rsidRPr="002B5189">
        <w:t>.</w:t>
      </w:r>
      <w:r w:rsidR="002F25B2" w:rsidRPr="002B5189">
        <w:t xml:space="preserve"> </w:t>
      </w:r>
      <w:r w:rsidR="00334E24" w:rsidRPr="002B5189">
        <w:t xml:space="preserve">Respondents are assured that all </w:t>
      </w:r>
      <w:r w:rsidR="0072781E" w:rsidRPr="002B5189">
        <w:t>responses are voluntary.</w:t>
      </w:r>
    </w:p>
    <w:p w14:paraId="11DA247D" w14:textId="77777777" w:rsidR="0072781E" w:rsidRPr="002B5189" w:rsidRDefault="0072781E" w:rsidP="00A2390B">
      <w:pPr>
        <w:pStyle w:val="Heading2"/>
      </w:pPr>
      <w:bookmarkStart w:id="76" w:name="_Toc192579043"/>
      <w:bookmarkStart w:id="77" w:name="_Toc401834516"/>
      <w:bookmarkStart w:id="78" w:name="_Toc403397640"/>
      <w:bookmarkStart w:id="79" w:name="_Toc192579044"/>
      <w:r w:rsidRPr="002B5189">
        <w:t>A.12</w:t>
      </w:r>
      <w:r w:rsidRPr="002B5189">
        <w:tab/>
        <w:t>Estimates of Annualized Burden Hours and Their Cost</w:t>
      </w:r>
      <w:bookmarkEnd w:id="76"/>
      <w:r w:rsidRPr="002B5189">
        <w:t xml:space="preserve"> to Respondents</w:t>
      </w:r>
      <w:bookmarkEnd w:id="77"/>
      <w:bookmarkEnd w:id="78"/>
    </w:p>
    <w:p w14:paraId="78B69517" w14:textId="77777777" w:rsidR="00BA0D27" w:rsidRDefault="0072781E" w:rsidP="00A2390B">
      <w:pPr>
        <w:pStyle w:val="BodyText1"/>
      </w:pPr>
      <w:r w:rsidRPr="002B5189">
        <w:t xml:space="preserve">Estimates of response burden for the HSLS:09 </w:t>
      </w:r>
      <w:r w:rsidR="000C509D" w:rsidRPr="002B5189">
        <w:t>Second Follow-up</w:t>
      </w:r>
      <w:r w:rsidRPr="002B5189">
        <w:t xml:space="preserve"> </w:t>
      </w:r>
      <w:r w:rsidR="007B4C4C" w:rsidRPr="002B5189">
        <w:t xml:space="preserve">data collections </w:t>
      </w:r>
      <w:r w:rsidR="00CC418A" w:rsidRPr="002B5189">
        <w:t xml:space="preserve">are </w:t>
      </w:r>
      <w:r w:rsidRPr="002B5189">
        <w:t>shown in Exhibit</w:t>
      </w:r>
      <w:r w:rsidR="004E1118" w:rsidRPr="002B5189">
        <w:t>s</w:t>
      </w:r>
      <w:r w:rsidRPr="002B5189">
        <w:t xml:space="preserve"> </w:t>
      </w:r>
      <w:r w:rsidRPr="00D301E1">
        <w:t>A-</w:t>
      </w:r>
      <w:r w:rsidR="005912A3" w:rsidRPr="00D301E1">
        <w:t>3</w:t>
      </w:r>
      <w:r w:rsidRPr="002B5189">
        <w:t>.</w:t>
      </w:r>
      <w:r w:rsidR="00E91027">
        <w:t xml:space="preserve"> </w:t>
      </w:r>
      <w:r w:rsidRPr="00BF65C4">
        <w:t xml:space="preserve">Estimates of </w:t>
      </w:r>
      <w:r w:rsidR="006A1F94" w:rsidRPr="00D5480C">
        <w:t xml:space="preserve">survey </w:t>
      </w:r>
      <w:r w:rsidRPr="00D5480C">
        <w:t>response burden are based on estimates developed from experience with the base-</w:t>
      </w:r>
      <w:r w:rsidR="00CC418A" w:rsidRPr="00D5480C">
        <w:t xml:space="preserve">year </w:t>
      </w:r>
      <w:r w:rsidR="00CC418A" w:rsidRPr="002B5189">
        <w:t>and</w:t>
      </w:r>
      <w:r w:rsidR="00137A3C" w:rsidRPr="002B5189">
        <w:t xml:space="preserve"> first follow-up </w:t>
      </w:r>
      <w:r w:rsidRPr="002B5189">
        <w:t xml:space="preserve">HSLS:09 </w:t>
      </w:r>
      <w:r w:rsidR="00A36E2E" w:rsidRPr="002B5189">
        <w:t>interview</w:t>
      </w:r>
      <w:r w:rsidRPr="002B5189">
        <w:t xml:space="preserve">s and experience on other education longitudinal studies (e.g., ELS:2002, </w:t>
      </w:r>
      <w:r w:rsidR="00B444D9" w:rsidRPr="002B5189">
        <w:t>BPS:12/14</w:t>
      </w:r>
      <w:r w:rsidRPr="002B5189">
        <w:t>).</w:t>
      </w:r>
    </w:p>
    <w:p w14:paraId="0F8290B7" w14:textId="4B26C208" w:rsidR="00A92054" w:rsidRPr="002B5189" w:rsidRDefault="00A92054" w:rsidP="00A92054">
      <w:pPr>
        <w:pStyle w:val="BodyText"/>
        <w:spacing w:line="360" w:lineRule="auto"/>
      </w:pPr>
      <w:r w:rsidRPr="002B5189">
        <w:t xml:space="preserve">The response time for </w:t>
      </w:r>
      <w:r w:rsidR="00E91027" w:rsidRPr="002B5189">
        <w:t xml:space="preserve">institutions </w:t>
      </w:r>
      <w:r w:rsidRPr="002B5189">
        <w:t xml:space="preserve">participating </w:t>
      </w:r>
      <w:r w:rsidR="00E91027">
        <w:t xml:space="preserve">in transcript collection </w:t>
      </w:r>
      <w:r w:rsidRPr="002B5189">
        <w:t xml:space="preserve">is expected to vary depending on the number of sampled students who attend the institution and the method selected for transmitting the transcripts. Institutions will be offered five different methods for providing responses including uploading data to the secure study website and sending data to a secure electronic fax server (section B.3 includes a description of each method; fax transmittal sheets may be found in appendix </w:t>
      </w:r>
      <w:r w:rsidR="0064386D">
        <w:t>F</w:t>
      </w:r>
      <w:r w:rsidRPr="002B5189">
        <w:t>). It is expected that some of the transcripts collected will indicate enrollment at additional institutions.</w:t>
      </w:r>
      <w:r w:rsidR="00BA0D27">
        <w:t xml:space="preserve"> </w:t>
      </w:r>
      <w:r w:rsidRPr="002B5189">
        <w:t>Transcripts from any additional institutions identified in the review of transcripts</w:t>
      </w:r>
      <w:r w:rsidR="00891FB6">
        <w:t xml:space="preserve"> </w:t>
      </w:r>
      <w:r w:rsidR="00891FB6" w:rsidRPr="002B5189">
        <w:t xml:space="preserve">will </w:t>
      </w:r>
      <w:r w:rsidR="00891FB6">
        <w:t xml:space="preserve">also be </w:t>
      </w:r>
      <w:r w:rsidR="00891FB6" w:rsidRPr="002B5189">
        <w:t>collect</w:t>
      </w:r>
      <w:r w:rsidR="00891FB6">
        <w:t>ed</w:t>
      </w:r>
      <w:r w:rsidRPr="002B5189">
        <w:t>.</w:t>
      </w:r>
    </w:p>
    <w:p w14:paraId="1EF66B9D" w14:textId="77777777" w:rsidR="00BA0D27" w:rsidRDefault="00A92054" w:rsidP="00A92054">
      <w:pPr>
        <w:pStyle w:val="BodyText"/>
        <w:spacing w:line="360" w:lineRule="auto"/>
      </w:pPr>
      <w:r w:rsidRPr="002B5189">
        <w:t xml:space="preserve">There are three methods of data collection available for providing student </w:t>
      </w:r>
      <w:r w:rsidR="00E91027">
        <w:t xml:space="preserve">financial aid </w:t>
      </w:r>
      <w:r w:rsidRPr="002B5189">
        <w:t xml:space="preserve">records data, one involves keying directly into a secure Web application and two involve preparing data and then uploading </w:t>
      </w:r>
      <w:r w:rsidR="000B6AFC">
        <w:t>them</w:t>
      </w:r>
      <w:r w:rsidRPr="002B5189">
        <w:t xml:space="preserve"> to the website (section B.3 includes a description of each method). The estimated average </w:t>
      </w:r>
      <w:r w:rsidR="000B6AFC">
        <w:t xml:space="preserve">time to provide financial aid records </w:t>
      </w:r>
      <w:r w:rsidRPr="002B5189">
        <w:t>is approximately 3.3 hours per institution.</w:t>
      </w:r>
    </w:p>
    <w:p w14:paraId="6E8B232D" w14:textId="77777777" w:rsidR="00BA0D27" w:rsidRDefault="006A1F94" w:rsidP="006A1F94">
      <w:pPr>
        <w:pStyle w:val="BodyText1"/>
      </w:pPr>
      <w:r w:rsidRPr="002B5189">
        <w:t xml:space="preserve">Also included are the estimates for panel maintenance which will be conducted in summer 2015 with the main study sample, and a planned panel maintenance </w:t>
      </w:r>
      <w:r w:rsidR="00131EDE">
        <w:t>that may take place in</w:t>
      </w:r>
      <w:r w:rsidRPr="002B5189">
        <w:t xml:space="preserve"> early 2018 with the field test and main study samples in anticipation of an additional follow-up study in 2025.</w:t>
      </w:r>
    </w:p>
    <w:p w14:paraId="6AD15794" w14:textId="77777777" w:rsidR="00CC6F53" w:rsidRPr="002B5189" w:rsidRDefault="00CC6F53" w:rsidP="00CC6F53">
      <w:pPr>
        <w:pStyle w:val="ExhibitTitle"/>
      </w:pPr>
      <w:bookmarkStart w:id="80" w:name="RANGE!A1"/>
      <w:bookmarkStart w:id="81" w:name="_Toc403596411"/>
      <w:r w:rsidRPr="002B5189">
        <w:t>Exhibit A-3. Estimated Burden for HSLS:09 Second Follow-up</w:t>
      </w:r>
      <w:bookmarkEnd w:id="80"/>
      <w:bookmarkEnd w:id="81"/>
    </w:p>
    <w:tbl>
      <w:tblPr>
        <w:tblW w:w="5000" w:type="pct"/>
        <w:tblBorders>
          <w:bottom w:val="single" w:sz="12" w:space="0" w:color="auto"/>
        </w:tblBorders>
        <w:tblLayout w:type="fixed"/>
        <w:tblLook w:val="04A0" w:firstRow="1" w:lastRow="0" w:firstColumn="1" w:lastColumn="0" w:noHBand="0" w:noVBand="1"/>
      </w:tblPr>
      <w:tblGrid>
        <w:gridCol w:w="4129"/>
        <w:gridCol w:w="932"/>
        <w:gridCol w:w="1169"/>
        <w:gridCol w:w="1079"/>
        <w:gridCol w:w="1079"/>
        <w:gridCol w:w="1079"/>
        <w:gridCol w:w="973"/>
      </w:tblGrid>
      <w:tr w:rsidR="007D76F0" w:rsidRPr="002B5189" w14:paraId="4BFE2252" w14:textId="77777777" w:rsidTr="007D76F0">
        <w:trPr>
          <w:trHeight w:val="1464"/>
        </w:trPr>
        <w:tc>
          <w:tcPr>
            <w:tcW w:w="1977" w:type="pct"/>
            <w:tcBorders>
              <w:top w:val="single" w:sz="12" w:space="0" w:color="auto"/>
              <w:bottom w:val="single" w:sz="12" w:space="0" w:color="auto"/>
            </w:tcBorders>
            <w:shd w:val="clear" w:color="auto" w:fill="auto"/>
            <w:vAlign w:val="center"/>
            <w:hideMark/>
          </w:tcPr>
          <w:p w14:paraId="7C19A7B2" w14:textId="77777777" w:rsidR="006D4CC1" w:rsidRPr="002546D1" w:rsidRDefault="006D4CC1" w:rsidP="00F307F5">
            <w:pPr>
              <w:rPr>
                <w:b/>
                <w:sz w:val="22"/>
                <w:szCs w:val="22"/>
              </w:rPr>
            </w:pPr>
            <w:r w:rsidRPr="002546D1">
              <w:rPr>
                <w:b/>
                <w:sz w:val="22"/>
                <w:szCs w:val="22"/>
              </w:rPr>
              <w:t>Data collection activity</w:t>
            </w:r>
          </w:p>
        </w:tc>
        <w:tc>
          <w:tcPr>
            <w:tcW w:w="446" w:type="pct"/>
            <w:tcBorders>
              <w:top w:val="single" w:sz="12" w:space="0" w:color="auto"/>
              <w:bottom w:val="single" w:sz="12" w:space="0" w:color="auto"/>
            </w:tcBorders>
            <w:shd w:val="clear" w:color="auto" w:fill="auto"/>
            <w:vAlign w:val="center"/>
            <w:hideMark/>
          </w:tcPr>
          <w:p w14:paraId="7F435D42" w14:textId="77777777" w:rsidR="006D4CC1" w:rsidRPr="002B5189" w:rsidRDefault="006D4CC1" w:rsidP="00F307F5">
            <w:pPr>
              <w:jc w:val="right"/>
              <w:rPr>
                <w:sz w:val="18"/>
              </w:rPr>
            </w:pPr>
            <w:r w:rsidRPr="002B5189">
              <w:rPr>
                <w:sz w:val="18"/>
              </w:rPr>
              <w:t>Sample</w:t>
            </w:r>
          </w:p>
        </w:tc>
        <w:tc>
          <w:tcPr>
            <w:tcW w:w="560" w:type="pct"/>
            <w:tcBorders>
              <w:top w:val="single" w:sz="12" w:space="0" w:color="auto"/>
              <w:bottom w:val="single" w:sz="12" w:space="0" w:color="auto"/>
            </w:tcBorders>
            <w:shd w:val="clear" w:color="auto" w:fill="auto"/>
            <w:vAlign w:val="center"/>
            <w:hideMark/>
          </w:tcPr>
          <w:p w14:paraId="565DA815" w14:textId="77777777" w:rsidR="006D4CC1" w:rsidRPr="002B5189" w:rsidRDefault="006D4CC1" w:rsidP="00F307F5">
            <w:pPr>
              <w:jc w:val="right"/>
              <w:rPr>
                <w:sz w:val="18"/>
              </w:rPr>
            </w:pPr>
            <w:r w:rsidRPr="002B5189">
              <w:rPr>
                <w:sz w:val="18"/>
              </w:rPr>
              <w:t>Expected response rate</w:t>
            </w:r>
          </w:p>
        </w:tc>
        <w:tc>
          <w:tcPr>
            <w:tcW w:w="517" w:type="pct"/>
            <w:tcBorders>
              <w:top w:val="single" w:sz="12" w:space="0" w:color="auto"/>
              <w:bottom w:val="single" w:sz="12" w:space="0" w:color="auto"/>
            </w:tcBorders>
            <w:shd w:val="clear" w:color="auto" w:fill="auto"/>
            <w:vAlign w:val="center"/>
            <w:hideMark/>
          </w:tcPr>
          <w:p w14:paraId="62061840" w14:textId="77777777" w:rsidR="006D4CC1" w:rsidRPr="002B5189" w:rsidRDefault="006D4CC1" w:rsidP="00F307F5">
            <w:pPr>
              <w:jc w:val="right"/>
              <w:rPr>
                <w:sz w:val="18"/>
              </w:rPr>
            </w:pPr>
            <w:r w:rsidRPr="002B5189">
              <w:rPr>
                <w:sz w:val="18"/>
              </w:rPr>
              <w:t>Number of respondents</w:t>
            </w:r>
          </w:p>
        </w:tc>
        <w:tc>
          <w:tcPr>
            <w:tcW w:w="517" w:type="pct"/>
            <w:tcBorders>
              <w:top w:val="single" w:sz="12" w:space="0" w:color="auto"/>
              <w:bottom w:val="single" w:sz="12" w:space="0" w:color="auto"/>
            </w:tcBorders>
            <w:shd w:val="clear" w:color="auto" w:fill="auto"/>
            <w:vAlign w:val="center"/>
            <w:hideMark/>
          </w:tcPr>
          <w:p w14:paraId="1EDD3B4D" w14:textId="77777777" w:rsidR="006D4CC1" w:rsidRPr="002B5189" w:rsidRDefault="006D4CC1" w:rsidP="00F307F5">
            <w:pPr>
              <w:jc w:val="right"/>
              <w:rPr>
                <w:sz w:val="18"/>
              </w:rPr>
            </w:pPr>
            <w:r w:rsidRPr="002B5189">
              <w:rPr>
                <w:sz w:val="18"/>
              </w:rPr>
              <w:t>Number of responses</w:t>
            </w:r>
          </w:p>
        </w:tc>
        <w:tc>
          <w:tcPr>
            <w:tcW w:w="517" w:type="pct"/>
            <w:tcBorders>
              <w:top w:val="single" w:sz="12" w:space="0" w:color="auto"/>
              <w:bottom w:val="single" w:sz="12" w:space="0" w:color="auto"/>
            </w:tcBorders>
            <w:shd w:val="clear" w:color="auto" w:fill="auto"/>
            <w:vAlign w:val="center"/>
            <w:hideMark/>
          </w:tcPr>
          <w:p w14:paraId="2838A99A" w14:textId="77777777" w:rsidR="006D4CC1" w:rsidRPr="002B5189" w:rsidRDefault="006D4CC1" w:rsidP="00F307F5">
            <w:pPr>
              <w:jc w:val="right"/>
              <w:rPr>
                <w:sz w:val="18"/>
              </w:rPr>
            </w:pPr>
            <w:r w:rsidRPr="002B5189">
              <w:rPr>
                <w:sz w:val="18"/>
              </w:rPr>
              <w:t>Average burden per response</w:t>
            </w:r>
            <w:r w:rsidRPr="002B5189">
              <w:rPr>
                <w:sz w:val="18"/>
                <w:vertAlign w:val="superscript"/>
              </w:rPr>
              <w:t xml:space="preserve"> </w:t>
            </w:r>
            <w:r w:rsidRPr="002B5189">
              <w:rPr>
                <w:sz w:val="18"/>
              </w:rPr>
              <w:t>(minutes)</w:t>
            </w:r>
            <w:r w:rsidRPr="002B5189">
              <w:rPr>
                <w:sz w:val="18"/>
                <w:vertAlign w:val="superscript"/>
              </w:rPr>
              <w:t xml:space="preserve"> </w:t>
            </w:r>
          </w:p>
        </w:tc>
        <w:tc>
          <w:tcPr>
            <w:tcW w:w="466" w:type="pct"/>
            <w:tcBorders>
              <w:top w:val="single" w:sz="12" w:space="0" w:color="auto"/>
              <w:bottom w:val="single" w:sz="12" w:space="0" w:color="auto"/>
            </w:tcBorders>
            <w:shd w:val="clear" w:color="auto" w:fill="auto"/>
            <w:vAlign w:val="center"/>
            <w:hideMark/>
          </w:tcPr>
          <w:p w14:paraId="20CF4E5E" w14:textId="77777777" w:rsidR="006D4CC1" w:rsidRPr="002B5189" w:rsidRDefault="006D4CC1" w:rsidP="00F307F5">
            <w:pPr>
              <w:jc w:val="right"/>
              <w:rPr>
                <w:sz w:val="18"/>
              </w:rPr>
            </w:pPr>
            <w:r w:rsidRPr="002B5189">
              <w:rPr>
                <w:sz w:val="18"/>
              </w:rPr>
              <w:t>Total burden (hours)</w:t>
            </w:r>
          </w:p>
        </w:tc>
      </w:tr>
      <w:tr w:rsidR="00C71DB4" w:rsidRPr="002546D1" w14:paraId="57FB6590" w14:textId="77777777" w:rsidTr="00C71DB4">
        <w:trPr>
          <w:trHeight w:val="276"/>
        </w:trPr>
        <w:tc>
          <w:tcPr>
            <w:tcW w:w="5000" w:type="pct"/>
            <w:gridSpan w:val="7"/>
            <w:tcBorders>
              <w:top w:val="single" w:sz="12" w:space="0" w:color="auto"/>
            </w:tcBorders>
            <w:shd w:val="clear" w:color="auto" w:fill="auto"/>
            <w:vAlign w:val="center"/>
          </w:tcPr>
          <w:p w14:paraId="6F778A23" w14:textId="77777777" w:rsidR="00C71DB4" w:rsidRPr="002546D1" w:rsidRDefault="00C71DB4" w:rsidP="00C71DB4">
            <w:pPr>
              <w:rPr>
                <w:sz w:val="22"/>
                <w:szCs w:val="22"/>
              </w:rPr>
            </w:pPr>
            <w:r>
              <w:rPr>
                <w:i/>
                <w:sz w:val="22"/>
                <w:szCs w:val="22"/>
              </w:rPr>
              <w:t>Survey and address d</w:t>
            </w:r>
            <w:r w:rsidRPr="00C71DB4">
              <w:rPr>
                <w:i/>
                <w:sz w:val="22"/>
                <w:szCs w:val="22"/>
              </w:rPr>
              <w:t>ata collection from individuals</w:t>
            </w:r>
          </w:p>
        </w:tc>
      </w:tr>
      <w:tr w:rsidR="007D76F0" w:rsidRPr="002546D1" w14:paraId="352B549B" w14:textId="77777777" w:rsidTr="007D76F0">
        <w:trPr>
          <w:trHeight w:val="276"/>
        </w:trPr>
        <w:tc>
          <w:tcPr>
            <w:tcW w:w="1977" w:type="pct"/>
            <w:tcBorders>
              <w:top w:val="single" w:sz="12" w:space="0" w:color="auto"/>
            </w:tcBorders>
            <w:shd w:val="clear" w:color="auto" w:fill="auto"/>
            <w:vAlign w:val="center"/>
            <w:hideMark/>
          </w:tcPr>
          <w:p w14:paraId="62742119" w14:textId="77777777" w:rsidR="006D4CC1" w:rsidRPr="002546D1" w:rsidRDefault="006D4CC1" w:rsidP="00F307F5">
            <w:pPr>
              <w:rPr>
                <w:sz w:val="22"/>
                <w:szCs w:val="22"/>
              </w:rPr>
            </w:pPr>
            <w:r w:rsidRPr="002546D1">
              <w:rPr>
                <w:sz w:val="22"/>
                <w:szCs w:val="22"/>
              </w:rPr>
              <w:t>Field test interview</w:t>
            </w:r>
          </w:p>
        </w:tc>
        <w:tc>
          <w:tcPr>
            <w:tcW w:w="446" w:type="pct"/>
            <w:tcBorders>
              <w:top w:val="single" w:sz="12" w:space="0" w:color="auto"/>
            </w:tcBorders>
            <w:shd w:val="clear" w:color="auto" w:fill="auto"/>
            <w:hideMark/>
          </w:tcPr>
          <w:p w14:paraId="1C26A97B" w14:textId="77777777" w:rsidR="006D4CC1" w:rsidRPr="002546D1" w:rsidRDefault="006D4CC1" w:rsidP="00F307F5">
            <w:pPr>
              <w:jc w:val="right"/>
              <w:rPr>
                <w:sz w:val="22"/>
                <w:szCs w:val="22"/>
              </w:rPr>
            </w:pPr>
            <w:r w:rsidRPr="002546D1">
              <w:rPr>
                <w:sz w:val="22"/>
                <w:szCs w:val="22"/>
              </w:rPr>
              <w:t>1,100</w:t>
            </w:r>
          </w:p>
        </w:tc>
        <w:tc>
          <w:tcPr>
            <w:tcW w:w="560" w:type="pct"/>
            <w:tcBorders>
              <w:top w:val="single" w:sz="12" w:space="0" w:color="auto"/>
            </w:tcBorders>
            <w:shd w:val="clear" w:color="auto" w:fill="auto"/>
            <w:hideMark/>
          </w:tcPr>
          <w:p w14:paraId="12408EA8" w14:textId="77777777" w:rsidR="006D4CC1" w:rsidRPr="002546D1" w:rsidRDefault="006D4CC1" w:rsidP="00F307F5">
            <w:pPr>
              <w:jc w:val="right"/>
              <w:rPr>
                <w:sz w:val="22"/>
                <w:szCs w:val="22"/>
              </w:rPr>
            </w:pPr>
            <w:r w:rsidRPr="002546D1">
              <w:rPr>
                <w:sz w:val="22"/>
                <w:szCs w:val="22"/>
              </w:rPr>
              <w:t>64%</w:t>
            </w:r>
          </w:p>
        </w:tc>
        <w:tc>
          <w:tcPr>
            <w:tcW w:w="517" w:type="pct"/>
            <w:tcBorders>
              <w:top w:val="single" w:sz="12" w:space="0" w:color="auto"/>
            </w:tcBorders>
            <w:shd w:val="clear" w:color="auto" w:fill="auto"/>
            <w:hideMark/>
          </w:tcPr>
          <w:p w14:paraId="51AD74A2" w14:textId="77777777" w:rsidR="006D4CC1" w:rsidRPr="002546D1" w:rsidRDefault="006D4CC1" w:rsidP="00F307F5">
            <w:pPr>
              <w:jc w:val="right"/>
              <w:rPr>
                <w:sz w:val="22"/>
                <w:szCs w:val="22"/>
              </w:rPr>
            </w:pPr>
            <w:r w:rsidRPr="002546D1">
              <w:rPr>
                <w:sz w:val="22"/>
                <w:szCs w:val="22"/>
              </w:rPr>
              <w:t>704</w:t>
            </w:r>
          </w:p>
        </w:tc>
        <w:tc>
          <w:tcPr>
            <w:tcW w:w="517" w:type="pct"/>
            <w:tcBorders>
              <w:top w:val="single" w:sz="12" w:space="0" w:color="auto"/>
            </w:tcBorders>
            <w:shd w:val="clear" w:color="auto" w:fill="auto"/>
            <w:hideMark/>
          </w:tcPr>
          <w:p w14:paraId="06604E23" w14:textId="77777777" w:rsidR="006D4CC1" w:rsidRPr="002546D1" w:rsidRDefault="006D4CC1" w:rsidP="00F307F5">
            <w:pPr>
              <w:jc w:val="right"/>
              <w:rPr>
                <w:sz w:val="22"/>
                <w:szCs w:val="22"/>
              </w:rPr>
            </w:pPr>
            <w:r w:rsidRPr="002546D1">
              <w:rPr>
                <w:sz w:val="22"/>
                <w:szCs w:val="22"/>
              </w:rPr>
              <w:t>704</w:t>
            </w:r>
          </w:p>
        </w:tc>
        <w:tc>
          <w:tcPr>
            <w:tcW w:w="517" w:type="pct"/>
            <w:tcBorders>
              <w:top w:val="single" w:sz="12" w:space="0" w:color="auto"/>
            </w:tcBorders>
            <w:shd w:val="clear" w:color="auto" w:fill="auto"/>
            <w:hideMark/>
          </w:tcPr>
          <w:p w14:paraId="37A23BAE" w14:textId="77777777" w:rsidR="006D4CC1" w:rsidRPr="002546D1" w:rsidRDefault="006D4CC1" w:rsidP="00F307F5">
            <w:pPr>
              <w:jc w:val="right"/>
              <w:rPr>
                <w:sz w:val="22"/>
                <w:szCs w:val="22"/>
              </w:rPr>
            </w:pPr>
            <w:r w:rsidRPr="002546D1">
              <w:rPr>
                <w:sz w:val="22"/>
                <w:szCs w:val="22"/>
              </w:rPr>
              <w:t>35</w:t>
            </w:r>
          </w:p>
        </w:tc>
        <w:tc>
          <w:tcPr>
            <w:tcW w:w="466" w:type="pct"/>
            <w:tcBorders>
              <w:top w:val="single" w:sz="12" w:space="0" w:color="auto"/>
            </w:tcBorders>
            <w:shd w:val="clear" w:color="auto" w:fill="auto"/>
            <w:hideMark/>
          </w:tcPr>
          <w:p w14:paraId="65D84711" w14:textId="77777777" w:rsidR="006D4CC1" w:rsidRPr="002546D1" w:rsidRDefault="006D4CC1" w:rsidP="00F307F5">
            <w:pPr>
              <w:jc w:val="right"/>
              <w:rPr>
                <w:sz w:val="22"/>
                <w:szCs w:val="22"/>
              </w:rPr>
            </w:pPr>
            <w:r w:rsidRPr="002546D1">
              <w:rPr>
                <w:sz w:val="22"/>
                <w:szCs w:val="22"/>
              </w:rPr>
              <w:t>411</w:t>
            </w:r>
          </w:p>
        </w:tc>
      </w:tr>
      <w:tr w:rsidR="007D76F0" w:rsidRPr="002546D1" w14:paraId="0A5259FD" w14:textId="77777777" w:rsidTr="007D76F0">
        <w:trPr>
          <w:trHeight w:val="276"/>
        </w:trPr>
        <w:tc>
          <w:tcPr>
            <w:tcW w:w="1977" w:type="pct"/>
            <w:shd w:val="clear" w:color="auto" w:fill="auto"/>
            <w:noWrap/>
            <w:vAlign w:val="center"/>
            <w:hideMark/>
          </w:tcPr>
          <w:p w14:paraId="5A599AB2" w14:textId="77777777" w:rsidR="006D4CC1" w:rsidRPr="002546D1" w:rsidRDefault="006D4CC1" w:rsidP="00F307F5">
            <w:pPr>
              <w:rPr>
                <w:sz w:val="22"/>
                <w:szCs w:val="22"/>
              </w:rPr>
            </w:pPr>
            <w:r w:rsidRPr="002546D1">
              <w:rPr>
                <w:sz w:val="22"/>
                <w:szCs w:val="22"/>
              </w:rPr>
              <w:t>Field test reinterview</w:t>
            </w:r>
          </w:p>
        </w:tc>
        <w:tc>
          <w:tcPr>
            <w:tcW w:w="446" w:type="pct"/>
            <w:shd w:val="clear" w:color="auto" w:fill="auto"/>
            <w:noWrap/>
            <w:hideMark/>
          </w:tcPr>
          <w:p w14:paraId="3A907715" w14:textId="77777777" w:rsidR="006D4CC1" w:rsidRPr="002546D1" w:rsidRDefault="006D4CC1" w:rsidP="00F307F5">
            <w:pPr>
              <w:jc w:val="right"/>
              <w:rPr>
                <w:sz w:val="22"/>
                <w:szCs w:val="22"/>
              </w:rPr>
            </w:pPr>
            <w:r w:rsidRPr="002546D1">
              <w:rPr>
                <w:sz w:val="22"/>
                <w:szCs w:val="22"/>
              </w:rPr>
              <w:t>100</w:t>
            </w:r>
          </w:p>
        </w:tc>
        <w:tc>
          <w:tcPr>
            <w:tcW w:w="560" w:type="pct"/>
            <w:shd w:val="clear" w:color="auto" w:fill="auto"/>
            <w:noWrap/>
            <w:hideMark/>
          </w:tcPr>
          <w:p w14:paraId="533520FE" w14:textId="77777777" w:rsidR="006D4CC1" w:rsidRPr="002546D1" w:rsidRDefault="006D4CC1" w:rsidP="00F307F5">
            <w:pPr>
              <w:jc w:val="right"/>
              <w:rPr>
                <w:sz w:val="22"/>
                <w:szCs w:val="22"/>
              </w:rPr>
            </w:pPr>
            <w:r w:rsidRPr="002546D1">
              <w:rPr>
                <w:sz w:val="22"/>
                <w:szCs w:val="22"/>
              </w:rPr>
              <w:t>50%</w:t>
            </w:r>
          </w:p>
        </w:tc>
        <w:tc>
          <w:tcPr>
            <w:tcW w:w="517" w:type="pct"/>
            <w:shd w:val="clear" w:color="auto" w:fill="auto"/>
            <w:hideMark/>
          </w:tcPr>
          <w:p w14:paraId="383F8B3D" w14:textId="77777777" w:rsidR="006D4CC1" w:rsidRPr="002546D1" w:rsidRDefault="006D4CC1" w:rsidP="00F307F5">
            <w:pPr>
              <w:jc w:val="right"/>
              <w:rPr>
                <w:sz w:val="22"/>
                <w:szCs w:val="22"/>
              </w:rPr>
            </w:pPr>
            <w:r w:rsidRPr="002546D1">
              <w:rPr>
                <w:sz w:val="22"/>
                <w:szCs w:val="22"/>
              </w:rPr>
              <w:t>50</w:t>
            </w:r>
          </w:p>
        </w:tc>
        <w:tc>
          <w:tcPr>
            <w:tcW w:w="517" w:type="pct"/>
            <w:shd w:val="clear" w:color="auto" w:fill="auto"/>
            <w:noWrap/>
            <w:hideMark/>
          </w:tcPr>
          <w:p w14:paraId="78CD6A44" w14:textId="77777777" w:rsidR="006D4CC1" w:rsidRPr="002546D1" w:rsidRDefault="006D4CC1" w:rsidP="00F307F5">
            <w:pPr>
              <w:jc w:val="right"/>
              <w:rPr>
                <w:sz w:val="22"/>
                <w:szCs w:val="22"/>
              </w:rPr>
            </w:pPr>
            <w:r w:rsidRPr="002546D1">
              <w:rPr>
                <w:sz w:val="22"/>
                <w:szCs w:val="22"/>
              </w:rPr>
              <w:t>50</w:t>
            </w:r>
          </w:p>
        </w:tc>
        <w:tc>
          <w:tcPr>
            <w:tcW w:w="517" w:type="pct"/>
            <w:shd w:val="clear" w:color="auto" w:fill="auto"/>
            <w:noWrap/>
            <w:hideMark/>
          </w:tcPr>
          <w:p w14:paraId="7B729B00" w14:textId="77777777" w:rsidR="006D4CC1" w:rsidRPr="002546D1" w:rsidRDefault="006D4CC1" w:rsidP="00F307F5">
            <w:pPr>
              <w:jc w:val="right"/>
              <w:rPr>
                <w:sz w:val="22"/>
                <w:szCs w:val="22"/>
              </w:rPr>
            </w:pPr>
            <w:r w:rsidRPr="002546D1">
              <w:rPr>
                <w:sz w:val="22"/>
                <w:szCs w:val="22"/>
              </w:rPr>
              <w:t>10</w:t>
            </w:r>
          </w:p>
        </w:tc>
        <w:tc>
          <w:tcPr>
            <w:tcW w:w="466" w:type="pct"/>
            <w:shd w:val="clear" w:color="auto" w:fill="auto"/>
            <w:noWrap/>
            <w:hideMark/>
          </w:tcPr>
          <w:p w14:paraId="76B14934" w14:textId="77777777" w:rsidR="006D4CC1" w:rsidRPr="002546D1" w:rsidRDefault="006D4CC1" w:rsidP="00F307F5">
            <w:pPr>
              <w:jc w:val="right"/>
              <w:rPr>
                <w:sz w:val="22"/>
                <w:szCs w:val="22"/>
              </w:rPr>
            </w:pPr>
            <w:r w:rsidRPr="002546D1">
              <w:rPr>
                <w:sz w:val="22"/>
                <w:szCs w:val="22"/>
              </w:rPr>
              <w:t>8</w:t>
            </w:r>
          </w:p>
        </w:tc>
      </w:tr>
      <w:tr w:rsidR="007D76F0" w:rsidRPr="002546D1" w14:paraId="7AB18DC0" w14:textId="77777777" w:rsidTr="007D76F0">
        <w:trPr>
          <w:trHeight w:val="276"/>
        </w:trPr>
        <w:tc>
          <w:tcPr>
            <w:tcW w:w="1977" w:type="pct"/>
            <w:shd w:val="clear" w:color="auto" w:fill="auto"/>
            <w:noWrap/>
            <w:vAlign w:val="center"/>
            <w:hideMark/>
          </w:tcPr>
          <w:p w14:paraId="1452E966" w14:textId="77777777" w:rsidR="006D4CC1" w:rsidRPr="002546D1" w:rsidRDefault="006D4CC1" w:rsidP="00F307F5">
            <w:pPr>
              <w:rPr>
                <w:color w:val="A6A6A6" w:themeColor="background1" w:themeShade="A6"/>
                <w:sz w:val="22"/>
                <w:szCs w:val="22"/>
              </w:rPr>
            </w:pPr>
            <w:r w:rsidRPr="002546D1">
              <w:rPr>
                <w:color w:val="A6A6A6" w:themeColor="background1" w:themeShade="A6"/>
                <w:sz w:val="22"/>
                <w:szCs w:val="22"/>
              </w:rPr>
              <w:t>Main study interview</w:t>
            </w:r>
          </w:p>
        </w:tc>
        <w:tc>
          <w:tcPr>
            <w:tcW w:w="446" w:type="pct"/>
            <w:shd w:val="clear" w:color="auto" w:fill="auto"/>
            <w:noWrap/>
            <w:hideMark/>
          </w:tcPr>
          <w:p w14:paraId="4BD0A128" w14:textId="77777777" w:rsidR="006D4CC1" w:rsidRPr="002546D1" w:rsidRDefault="006D4CC1" w:rsidP="00F307F5">
            <w:pPr>
              <w:jc w:val="right"/>
              <w:rPr>
                <w:color w:val="A6A6A6" w:themeColor="background1" w:themeShade="A6"/>
                <w:sz w:val="22"/>
                <w:szCs w:val="22"/>
              </w:rPr>
            </w:pPr>
            <w:r w:rsidRPr="002546D1">
              <w:rPr>
                <w:color w:val="A6A6A6" w:themeColor="background1" w:themeShade="A6"/>
                <w:sz w:val="22"/>
                <w:szCs w:val="22"/>
              </w:rPr>
              <w:t>23,316</w:t>
            </w:r>
          </w:p>
        </w:tc>
        <w:tc>
          <w:tcPr>
            <w:tcW w:w="560" w:type="pct"/>
            <w:shd w:val="clear" w:color="auto" w:fill="auto"/>
            <w:noWrap/>
            <w:hideMark/>
          </w:tcPr>
          <w:p w14:paraId="1DC350BA" w14:textId="77777777" w:rsidR="006D4CC1" w:rsidRPr="002546D1" w:rsidRDefault="006D4CC1" w:rsidP="00F307F5">
            <w:pPr>
              <w:jc w:val="right"/>
              <w:rPr>
                <w:color w:val="A6A6A6" w:themeColor="background1" w:themeShade="A6"/>
                <w:sz w:val="22"/>
                <w:szCs w:val="22"/>
              </w:rPr>
            </w:pPr>
            <w:r w:rsidRPr="002546D1">
              <w:rPr>
                <w:color w:val="A6A6A6" w:themeColor="background1" w:themeShade="A6"/>
                <w:sz w:val="22"/>
                <w:szCs w:val="22"/>
              </w:rPr>
              <w:t>92%</w:t>
            </w:r>
          </w:p>
        </w:tc>
        <w:tc>
          <w:tcPr>
            <w:tcW w:w="517" w:type="pct"/>
            <w:shd w:val="clear" w:color="auto" w:fill="auto"/>
            <w:hideMark/>
          </w:tcPr>
          <w:p w14:paraId="68FCB733" w14:textId="77777777" w:rsidR="006D4CC1" w:rsidRPr="002546D1" w:rsidRDefault="006D4CC1" w:rsidP="00F307F5">
            <w:pPr>
              <w:jc w:val="right"/>
              <w:rPr>
                <w:color w:val="A6A6A6" w:themeColor="background1" w:themeShade="A6"/>
                <w:sz w:val="22"/>
                <w:szCs w:val="22"/>
              </w:rPr>
            </w:pPr>
            <w:r w:rsidRPr="002546D1">
              <w:rPr>
                <w:color w:val="A6A6A6" w:themeColor="background1" w:themeShade="A6"/>
                <w:sz w:val="22"/>
                <w:szCs w:val="22"/>
              </w:rPr>
              <w:t>21,451</w:t>
            </w:r>
          </w:p>
        </w:tc>
        <w:tc>
          <w:tcPr>
            <w:tcW w:w="517" w:type="pct"/>
            <w:shd w:val="clear" w:color="auto" w:fill="auto"/>
            <w:noWrap/>
            <w:hideMark/>
          </w:tcPr>
          <w:p w14:paraId="420D123E" w14:textId="77777777" w:rsidR="006D4CC1" w:rsidRPr="002546D1" w:rsidRDefault="006D4CC1" w:rsidP="00F307F5">
            <w:pPr>
              <w:jc w:val="right"/>
              <w:rPr>
                <w:color w:val="A6A6A6" w:themeColor="background1" w:themeShade="A6"/>
                <w:sz w:val="22"/>
                <w:szCs w:val="22"/>
              </w:rPr>
            </w:pPr>
            <w:r w:rsidRPr="002546D1">
              <w:rPr>
                <w:color w:val="A6A6A6" w:themeColor="background1" w:themeShade="A6"/>
                <w:sz w:val="22"/>
                <w:szCs w:val="22"/>
              </w:rPr>
              <w:t>21,451</w:t>
            </w:r>
          </w:p>
        </w:tc>
        <w:tc>
          <w:tcPr>
            <w:tcW w:w="517" w:type="pct"/>
            <w:shd w:val="clear" w:color="auto" w:fill="auto"/>
            <w:noWrap/>
            <w:hideMark/>
          </w:tcPr>
          <w:p w14:paraId="0A81B1E3" w14:textId="77777777" w:rsidR="006D4CC1" w:rsidRPr="002546D1" w:rsidRDefault="006D4CC1" w:rsidP="00F307F5">
            <w:pPr>
              <w:jc w:val="right"/>
              <w:rPr>
                <w:color w:val="A6A6A6" w:themeColor="background1" w:themeShade="A6"/>
                <w:sz w:val="22"/>
                <w:szCs w:val="22"/>
              </w:rPr>
            </w:pPr>
            <w:r w:rsidRPr="002546D1">
              <w:rPr>
                <w:color w:val="A6A6A6" w:themeColor="background1" w:themeShade="A6"/>
                <w:sz w:val="22"/>
                <w:szCs w:val="22"/>
              </w:rPr>
              <w:t>35</w:t>
            </w:r>
          </w:p>
        </w:tc>
        <w:tc>
          <w:tcPr>
            <w:tcW w:w="466" w:type="pct"/>
            <w:shd w:val="clear" w:color="auto" w:fill="auto"/>
            <w:noWrap/>
            <w:hideMark/>
          </w:tcPr>
          <w:p w14:paraId="2C921161" w14:textId="77777777" w:rsidR="006D4CC1" w:rsidRPr="002546D1" w:rsidRDefault="006D4CC1" w:rsidP="00F307F5">
            <w:pPr>
              <w:jc w:val="right"/>
              <w:rPr>
                <w:color w:val="A6A6A6" w:themeColor="background1" w:themeShade="A6"/>
                <w:sz w:val="22"/>
                <w:szCs w:val="22"/>
              </w:rPr>
            </w:pPr>
            <w:r w:rsidRPr="002546D1">
              <w:rPr>
                <w:color w:val="A6A6A6" w:themeColor="background1" w:themeShade="A6"/>
                <w:sz w:val="22"/>
                <w:szCs w:val="22"/>
              </w:rPr>
              <w:t>12,513</w:t>
            </w:r>
          </w:p>
        </w:tc>
      </w:tr>
      <w:tr w:rsidR="007D76F0" w:rsidRPr="002546D1" w14:paraId="74102D6C" w14:textId="77777777" w:rsidTr="007D76F0">
        <w:trPr>
          <w:trHeight w:val="276"/>
        </w:trPr>
        <w:tc>
          <w:tcPr>
            <w:tcW w:w="1977" w:type="pct"/>
            <w:shd w:val="clear" w:color="auto" w:fill="auto"/>
            <w:noWrap/>
            <w:vAlign w:val="center"/>
            <w:hideMark/>
          </w:tcPr>
          <w:p w14:paraId="089804F3" w14:textId="77777777" w:rsidR="006D4CC1" w:rsidRPr="002546D1" w:rsidRDefault="006D4CC1" w:rsidP="00F307F5">
            <w:pPr>
              <w:rPr>
                <w:sz w:val="22"/>
                <w:szCs w:val="22"/>
              </w:rPr>
            </w:pPr>
            <w:r w:rsidRPr="002546D1">
              <w:rPr>
                <w:sz w:val="22"/>
                <w:szCs w:val="22"/>
              </w:rPr>
              <w:t>Main study sample panel maintenance 2015</w:t>
            </w:r>
          </w:p>
        </w:tc>
        <w:tc>
          <w:tcPr>
            <w:tcW w:w="446" w:type="pct"/>
            <w:shd w:val="clear" w:color="auto" w:fill="auto"/>
            <w:noWrap/>
            <w:hideMark/>
          </w:tcPr>
          <w:p w14:paraId="4B029E0A" w14:textId="77777777" w:rsidR="006D4CC1" w:rsidRPr="002546D1" w:rsidRDefault="006D4CC1" w:rsidP="00F307F5">
            <w:pPr>
              <w:jc w:val="right"/>
              <w:rPr>
                <w:sz w:val="22"/>
                <w:szCs w:val="22"/>
              </w:rPr>
            </w:pPr>
            <w:r w:rsidRPr="002546D1">
              <w:rPr>
                <w:sz w:val="22"/>
                <w:szCs w:val="22"/>
              </w:rPr>
              <w:t>23,316</w:t>
            </w:r>
          </w:p>
        </w:tc>
        <w:tc>
          <w:tcPr>
            <w:tcW w:w="560" w:type="pct"/>
            <w:shd w:val="clear" w:color="auto" w:fill="auto"/>
            <w:noWrap/>
            <w:hideMark/>
          </w:tcPr>
          <w:p w14:paraId="3E75D593" w14:textId="77777777" w:rsidR="006D4CC1" w:rsidRPr="002546D1" w:rsidRDefault="006D4CC1" w:rsidP="00F307F5">
            <w:pPr>
              <w:jc w:val="right"/>
              <w:rPr>
                <w:sz w:val="22"/>
                <w:szCs w:val="22"/>
              </w:rPr>
            </w:pPr>
            <w:r w:rsidRPr="002546D1">
              <w:rPr>
                <w:sz w:val="22"/>
                <w:szCs w:val="22"/>
              </w:rPr>
              <w:t>20%</w:t>
            </w:r>
          </w:p>
        </w:tc>
        <w:tc>
          <w:tcPr>
            <w:tcW w:w="517" w:type="pct"/>
            <w:shd w:val="clear" w:color="auto" w:fill="auto"/>
            <w:hideMark/>
          </w:tcPr>
          <w:p w14:paraId="498F507A" w14:textId="77777777" w:rsidR="006D4CC1" w:rsidRPr="002546D1" w:rsidRDefault="006D4CC1" w:rsidP="00F307F5">
            <w:pPr>
              <w:jc w:val="right"/>
              <w:rPr>
                <w:sz w:val="22"/>
                <w:szCs w:val="22"/>
              </w:rPr>
            </w:pPr>
            <w:r w:rsidRPr="002546D1">
              <w:rPr>
                <w:sz w:val="22"/>
                <w:szCs w:val="22"/>
              </w:rPr>
              <w:t>4,663</w:t>
            </w:r>
          </w:p>
        </w:tc>
        <w:tc>
          <w:tcPr>
            <w:tcW w:w="517" w:type="pct"/>
            <w:shd w:val="clear" w:color="auto" w:fill="auto"/>
            <w:noWrap/>
            <w:hideMark/>
          </w:tcPr>
          <w:p w14:paraId="1A0F3DA0" w14:textId="77777777" w:rsidR="006D4CC1" w:rsidRPr="002546D1" w:rsidRDefault="006D4CC1" w:rsidP="00F307F5">
            <w:pPr>
              <w:jc w:val="right"/>
              <w:rPr>
                <w:sz w:val="22"/>
                <w:szCs w:val="22"/>
              </w:rPr>
            </w:pPr>
            <w:r w:rsidRPr="002546D1">
              <w:rPr>
                <w:sz w:val="22"/>
                <w:szCs w:val="22"/>
              </w:rPr>
              <w:t>4,663</w:t>
            </w:r>
          </w:p>
        </w:tc>
        <w:tc>
          <w:tcPr>
            <w:tcW w:w="517" w:type="pct"/>
            <w:shd w:val="clear" w:color="auto" w:fill="auto"/>
            <w:noWrap/>
            <w:hideMark/>
          </w:tcPr>
          <w:p w14:paraId="55BBECC7" w14:textId="77777777" w:rsidR="006D4CC1" w:rsidRPr="002546D1" w:rsidRDefault="006D4CC1" w:rsidP="00F307F5">
            <w:pPr>
              <w:jc w:val="right"/>
              <w:rPr>
                <w:sz w:val="22"/>
                <w:szCs w:val="22"/>
              </w:rPr>
            </w:pPr>
            <w:r w:rsidRPr="002546D1">
              <w:rPr>
                <w:sz w:val="22"/>
                <w:szCs w:val="22"/>
              </w:rPr>
              <w:t>5</w:t>
            </w:r>
          </w:p>
        </w:tc>
        <w:tc>
          <w:tcPr>
            <w:tcW w:w="466" w:type="pct"/>
            <w:shd w:val="clear" w:color="auto" w:fill="auto"/>
            <w:noWrap/>
            <w:hideMark/>
          </w:tcPr>
          <w:p w14:paraId="25777D57" w14:textId="77777777" w:rsidR="006D4CC1" w:rsidRPr="002546D1" w:rsidRDefault="006D4CC1" w:rsidP="00F307F5">
            <w:pPr>
              <w:jc w:val="right"/>
              <w:rPr>
                <w:sz w:val="22"/>
                <w:szCs w:val="22"/>
              </w:rPr>
            </w:pPr>
            <w:r w:rsidRPr="002546D1">
              <w:rPr>
                <w:sz w:val="22"/>
                <w:szCs w:val="22"/>
              </w:rPr>
              <w:t>389</w:t>
            </w:r>
          </w:p>
        </w:tc>
      </w:tr>
      <w:tr w:rsidR="007D76F0" w:rsidRPr="002546D1" w14:paraId="3573168F" w14:textId="77777777" w:rsidTr="007D76F0">
        <w:trPr>
          <w:trHeight w:val="276"/>
        </w:trPr>
        <w:tc>
          <w:tcPr>
            <w:tcW w:w="1977" w:type="pct"/>
            <w:shd w:val="clear" w:color="auto" w:fill="auto"/>
            <w:noWrap/>
            <w:vAlign w:val="center"/>
            <w:hideMark/>
          </w:tcPr>
          <w:p w14:paraId="2BAB78A1" w14:textId="77777777" w:rsidR="006D4CC1" w:rsidRPr="002546D1" w:rsidRDefault="006D4CC1" w:rsidP="00F307F5">
            <w:pPr>
              <w:rPr>
                <w:color w:val="A6A6A6" w:themeColor="background1" w:themeShade="A6"/>
                <w:sz w:val="22"/>
                <w:szCs w:val="22"/>
              </w:rPr>
            </w:pPr>
            <w:r w:rsidRPr="002546D1">
              <w:rPr>
                <w:color w:val="A6A6A6" w:themeColor="background1" w:themeShade="A6"/>
                <w:sz w:val="22"/>
                <w:szCs w:val="22"/>
              </w:rPr>
              <w:t>Field test sample panel maintenance 2018</w:t>
            </w:r>
          </w:p>
        </w:tc>
        <w:tc>
          <w:tcPr>
            <w:tcW w:w="446" w:type="pct"/>
            <w:shd w:val="clear" w:color="auto" w:fill="auto"/>
            <w:noWrap/>
            <w:hideMark/>
          </w:tcPr>
          <w:p w14:paraId="6C3F7DA5" w14:textId="77777777" w:rsidR="006D4CC1" w:rsidRPr="002546D1" w:rsidRDefault="006D4CC1" w:rsidP="00F307F5">
            <w:pPr>
              <w:jc w:val="right"/>
              <w:rPr>
                <w:color w:val="A6A6A6" w:themeColor="background1" w:themeShade="A6"/>
                <w:sz w:val="22"/>
                <w:szCs w:val="22"/>
              </w:rPr>
            </w:pPr>
            <w:r w:rsidRPr="002546D1">
              <w:rPr>
                <w:color w:val="A6A6A6" w:themeColor="background1" w:themeShade="A6"/>
                <w:sz w:val="22"/>
                <w:szCs w:val="22"/>
              </w:rPr>
              <w:t>1,100</w:t>
            </w:r>
          </w:p>
        </w:tc>
        <w:tc>
          <w:tcPr>
            <w:tcW w:w="560" w:type="pct"/>
            <w:shd w:val="clear" w:color="auto" w:fill="auto"/>
            <w:noWrap/>
            <w:hideMark/>
          </w:tcPr>
          <w:p w14:paraId="5AC415E1" w14:textId="77777777" w:rsidR="006D4CC1" w:rsidRPr="002546D1" w:rsidRDefault="006D4CC1" w:rsidP="00F307F5">
            <w:pPr>
              <w:jc w:val="right"/>
              <w:rPr>
                <w:color w:val="A6A6A6" w:themeColor="background1" w:themeShade="A6"/>
                <w:sz w:val="22"/>
                <w:szCs w:val="22"/>
              </w:rPr>
            </w:pPr>
            <w:r w:rsidRPr="002546D1">
              <w:rPr>
                <w:color w:val="A6A6A6" w:themeColor="background1" w:themeShade="A6"/>
                <w:sz w:val="22"/>
                <w:szCs w:val="22"/>
              </w:rPr>
              <w:t>20%</w:t>
            </w:r>
          </w:p>
        </w:tc>
        <w:tc>
          <w:tcPr>
            <w:tcW w:w="517" w:type="pct"/>
            <w:shd w:val="clear" w:color="auto" w:fill="auto"/>
            <w:hideMark/>
          </w:tcPr>
          <w:p w14:paraId="2F884B28" w14:textId="77777777" w:rsidR="006D4CC1" w:rsidRPr="002546D1" w:rsidRDefault="006D4CC1" w:rsidP="00F307F5">
            <w:pPr>
              <w:jc w:val="right"/>
              <w:rPr>
                <w:color w:val="A6A6A6" w:themeColor="background1" w:themeShade="A6"/>
                <w:sz w:val="22"/>
                <w:szCs w:val="22"/>
              </w:rPr>
            </w:pPr>
            <w:r w:rsidRPr="002546D1">
              <w:rPr>
                <w:color w:val="A6A6A6" w:themeColor="background1" w:themeShade="A6"/>
                <w:sz w:val="22"/>
                <w:szCs w:val="22"/>
              </w:rPr>
              <w:t>220</w:t>
            </w:r>
          </w:p>
        </w:tc>
        <w:tc>
          <w:tcPr>
            <w:tcW w:w="517" w:type="pct"/>
            <w:shd w:val="clear" w:color="auto" w:fill="auto"/>
            <w:noWrap/>
            <w:hideMark/>
          </w:tcPr>
          <w:p w14:paraId="1AB7FF05" w14:textId="77777777" w:rsidR="006D4CC1" w:rsidRPr="002546D1" w:rsidRDefault="006D4CC1" w:rsidP="00F307F5">
            <w:pPr>
              <w:jc w:val="right"/>
              <w:rPr>
                <w:color w:val="A6A6A6" w:themeColor="background1" w:themeShade="A6"/>
                <w:sz w:val="22"/>
                <w:szCs w:val="22"/>
              </w:rPr>
            </w:pPr>
            <w:r w:rsidRPr="002546D1">
              <w:rPr>
                <w:color w:val="A6A6A6" w:themeColor="background1" w:themeShade="A6"/>
                <w:sz w:val="22"/>
                <w:szCs w:val="22"/>
              </w:rPr>
              <w:t>220</w:t>
            </w:r>
          </w:p>
        </w:tc>
        <w:tc>
          <w:tcPr>
            <w:tcW w:w="517" w:type="pct"/>
            <w:shd w:val="clear" w:color="auto" w:fill="auto"/>
            <w:noWrap/>
            <w:hideMark/>
          </w:tcPr>
          <w:p w14:paraId="1FBF3337" w14:textId="77777777" w:rsidR="006D4CC1" w:rsidRPr="002546D1" w:rsidRDefault="006D4CC1" w:rsidP="00F307F5">
            <w:pPr>
              <w:jc w:val="right"/>
              <w:rPr>
                <w:color w:val="A6A6A6" w:themeColor="background1" w:themeShade="A6"/>
                <w:sz w:val="22"/>
                <w:szCs w:val="22"/>
              </w:rPr>
            </w:pPr>
            <w:r w:rsidRPr="002546D1">
              <w:rPr>
                <w:color w:val="A6A6A6" w:themeColor="background1" w:themeShade="A6"/>
                <w:sz w:val="22"/>
                <w:szCs w:val="22"/>
              </w:rPr>
              <w:t>5</w:t>
            </w:r>
          </w:p>
        </w:tc>
        <w:tc>
          <w:tcPr>
            <w:tcW w:w="466" w:type="pct"/>
            <w:shd w:val="clear" w:color="auto" w:fill="auto"/>
            <w:noWrap/>
            <w:hideMark/>
          </w:tcPr>
          <w:p w14:paraId="051C9B01" w14:textId="77777777" w:rsidR="006D4CC1" w:rsidRPr="002546D1" w:rsidRDefault="006D4CC1" w:rsidP="00F307F5">
            <w:pPr>
              <w:jc w:val="right"/>
              <w:rPr>
                <w:color w:val="A6A6A6" w:themeColor="background1" w:themeShade="A6"/>
                <w:sz w:val="22"/>
                <w:szCs w:val="22"/>
              </w:rPr>
            </w:pPr>
            <w:r w:rsidRPr="002546D1">
              <w:rPr>
                <w:color w:val="A6A6A6" w:themeColor="background1" w:themeShade="A6"/>
                <w:sz w:val="22"/>
                <w:szCs w:val="22"/>
              </w:rPr>
              <w:t>18</w:t>
            </w:r>
          </w:p>
        </w:tc>
      </w:tr>
      <w:tr w:rsidR="007D76F0" w:rsidRPr="002546D1" w14:paraId="2AB38F10" w14:textId="77777777" w:rsidTr="007D76F0">
        <w:trPr>
          <w:trHeight w:val="288"/>
        </w:trPr>
        <w:tc>
          <w:tcPr>
            <w:tcW w:w="1977" w:type="pct"/>
            <w:tcBorders>
              <w:bottom w:val="single" w:sz="12" w:space="0" w:color="auto"/>
            </w:tcBorders>
            <w:shd w:val="clear" w:color="auto" w:fill="auto"/>
            <w:noWrap/>
            <w:vAlign w:val="center"/>
            <w:hideMark/>
          </w:tcPr>
          <w:p w14:paraId="1B353156" w14:textId="77777777" w:rsidR="006D4CC1" w:rsidRPr="002546D1" w:rsidRDefault="006D4CC1" w:rsidP="00F307F5">
            <w:pPr>
              <w:rPr>
                <w:color w:val="A6A6A6" w:themeColor="background1" w:themeShade="A6"/>
                <w:sz w:val="22"/>
                <w:szCs w:val="22"/>
              </w:rPr>
            </w:pPr>
            <w:r w:rsidRPr="002546D1">
              <w:rPr>
                <w:color w:val="A6A6A6" w:themeColor="background1" w:themeShade="A6"/>
                <w:sz w:val="22"/>
                <w:szCs w:val="22"/>
              </w:rPr>
              <w:t>Main study sample panel maintenance 2018</w:t>
            </w:r>
          </w:p>
        </w:tc>
        <w:tc>
          <w:tcPr>
            <w:tcW w:w="446" w:type="pct"/>
            <w:tcBorders>
              <w:bottom w:val="single" w:sz="12" w:space="0" w:color="auto"/>
            </w:tcBorders>
            <w:shd w:val="clear" w:color="auto" w:fill="auto"/>
            <w:noWrap/>
            <w:hideMark/>
          </w:tcPr>
          <w:p w14:paraId="62B26B5C" w14:textId="77777777" w:rsidR="006D4CC1" w:rsidRPr="002546D1" w:rsidRDefault="006D4CC1" w:rsidP="00F307F5">
            <w:pPr>
              <w:jc w:val="right"/>
              <w:rPr>
                <w:color w:val="A6A6A6" w:themeColor="background1" w:themeShade="A6"/>
                <w:sz w:val="22"/>
                <w:szCs w:val="22"/>
              </w:rPr>
            </w:pPr>
            <w:r w:rsidRPr="002546D1">
              <w:rPr>
                <w:color w:val="A6A6A6" w:themeColor="background1" w:themeShade="A6"/>
                <w:sz w:val="22"/>
                <w:szCs w:val="22"/>
              </w:rPr>
              <w:t>23,316</w:t>
            </w:r>
          </w:p>
        </w:tc>
        <w:tc>
          <w:tcPr>
            <w:tcW w:w="560" w:type="pct"/>
            <w:tcBorders>
              <w:bottom w:val="single" w:sz="12" w:space="0" w:color="auto"/>
            </w:tcBorders>
            <w:shd w:val="clear" w:color="auto" w:fill="auto"/>
            <w:noWrap/>
            <w:hideMark/>
          </w:tcPr>
          <w:p w14:paraId="71CD8E52" w14:textId="77777777" w:rsidR="006D4CC1" w:rsidRPr="002546D1" w:rsidRDefault="006D4CC1" w:rsidP="00F307F5">
            <w:pPr>
              <w:jc w:val="right"/>
              <w:rPr>
                <w:color w:val="A6A6A6" w:themeColor="background1" w:themeShade="A6"/>
                <w:sz w:val="22"/>
                <w:szCs w:val="22"/>
              </w:rPr>
            </w:pPr>
            <w:r w:rsidRPr="002546D1">
              <w:rPr>
                <w:color w:val="A6A6A6" w:themeColor="background1" w:themeShade="A6"/>
                <w:sz w:val="22"/>
                <w:szCs w:val="22"/>
              </w:rPr>
              <w:t>20%</w:t>
            </w:r>
          </w:p>
        </w:tc>
        <w:tc>
          <w:tcPr>
            <w:tcW w:w="517" w:type="pct"/>
            <w:tcBorders>
              <w:bottom w:val="single" w:sz="12" w:space="0" w:color="auto"/>
            </w:tcBorders>
            <w:shd w:val="clear" w:color="auto" w:fill="auto"/>
            <w:hideMark/>
          </w:tcPr>
          <w:p w14:paraId="75D9E130" w14:textId="77777777" w:rsidR="006D4CC1" w:rsidRPr="002546D1" w:rsidRDefault="006D4CC1" w:rsidP="00F307F5">
            <w:pPr>
              <w:jc w:val="right"/>
              <w:rPr>
                <w:color w:val="A6A6A6" w:themeColor="background1" w:themeShade="A6"/>
                <w:sz w:val="22"/>
                <w:szCs w:val="22"/>
              </w:rPr>
            </w:pPr>
            <w:r w:rsidRPr="002546D1">
              <w:rPr>
                <w:color w:val="A6A6A6" w:themeColor="background1" w:themeShade="A6"/>
                <w:sz w:val="22"/>
                <w:szCs w:val="22"/>
              </w:rPr>
              <w:t>4,663</w:t>
            </w:r>
          </w:p>
        </w:tc>
        <w:tc>
          <w:tcPr>
            <w:tcW w:w="517" w:type="pct"/>
            <w:tcBorders>
              <w:bottom w:val="single" w:sz="12" w:space="0" w:color="auto"/>
            </w:tcBorders>
            <w:shd w:val="clear" w:color="auto" w:fill="auto"/>
            <w:noWrap/>
            <w:hideMark/>
          </w:tcPr>
          <w:p w14:paraId="42A0E2F3" w14:textId="77777777" w:rsidR="006D4CC1" w:rsidRPr="002546D1" w:rsidRDefault="006D4CC1" w:rsidP="00F307F5">
            <w:pPr>
              <w:jc w:val="right"/>
              <w:rPr>
                <w:color w:val="A6A6A6" w:themeColor="background1" w:themeShade="A6"/>
                <w:sz w:val="22"/>
                <w:szCs w:val="22"/>
              </w:rPr>
            </w:pPr>
            <w:r w:rsidRPr="002546D1">
              <w:rPr>
                <w:color w:val="A6A6A6" w:themeColor="background1" w:themeShade="A6"/>
                <w:sz w:val="22"/>
                <w:szCs w:val="22"/>
              </w:rPr>
              <w:t>4,663</w:t>
            </w:r>
          </w:p>
        </w:tc>
        <w:tc>
          <w:tcPr>
            <w:tcW w:w="517" w:type="pct"/>
            <w:tcBorders>
              <w:bottom w:val="single" w:sz="12" w:space="0" w:color="auto"/>
            </w:tcBorders>
            <w:shd w:val="clear" w:color="auto" w:fill="auto"/>
            <w:noWrap/>
            <w:hideMark/>
          </w:tcPr>
          <w:p w14:paraId="312F6F80" w14:textId="77777777" w:rsidR="006D4CC1" w:rsidRPr="002546D1" w:rsidRDefault="006D4CC1" w:rsidP="00F307F5">
            <w:pPr>
              <w:jc w:val="right"/>
              <w:rPr>
                <w:color w:val="A6A6A6" w:themeColor="background1" w:themeShade="A6"/>
                <w:sz w:val="22"/>
                <w:szCs w:val="22"/>
              </w:rPr>
            </w:pPr>
            <w:r w:rsidRPr="002546D1">
              <w:rPr>
                <w:color w:val="A6A6A6" w:themeColor="background1" w:themeShade="A6"/>
                <w:sz w:val="22"/>
                <w:szCs w:val="22"/>
              </w:rPr>
              <w:t>5</w:t>
            </w:r>
          </w:p>
        </w:tc>
        <w:tc>
          <w:tcPr>
            <w:tcW w:w="466" w:type="pct"/>
            <w:tcBorders>
              <w:bottom w:val="single" w:sz="12" w:space="0" w:color="auto"/>
            </w:tcBorders>
            <w:shd w:val="clear" w:color="auto" w:fill="auto"/>
            <w:noWrap/>
            <w:hideMark/>
          </w:tcPr>
          <w:p w14:paraId="03D55892" w14:textId="77777777" w:rsidR="006D4CC1" w:rsidRPr="002546D1" w:rsidRDefault="006D4CC1" w:rsidP="00F307F5">
            <w:pPr>
              <w:jc w:val="right"/>
              <w:rPr>
                <w:color w:val="A6A6A6" w:themeColor="background1" w:themeShade="A6"/>
                <w:sz w:val="22"/>
                <w:szCs w:val="22"/>
              </w:rPr>
            </w:pPr>
            <w:r w:rsidRPr="002546D1">
              <w:rPr>
                <w:color w:val="A6A6A6" w:themeColor="background1" w:themeShade="A6"/>
                <w:sz w:val="22"/>
                <w:szCs w:val="22"/>
              </w:rPr>
              <w:t>389</w:t>
            </w:r>
          </w:p>
        </w:tc>
      </w:tr>
      <w:tr w:rsidR="007D76F0" w:rsidRPr="002546D1" w14:paraId="6701B74D" w14:textId="77777777" w:rsidTr="007D76F0">
        <w:trPr>
          <w:trHeight w:val="276"/>
        </w:trPr>
        <w:tc>
          <w:tcPr>
            <w:tcW w:w="1977" w:type="pct"/>
            <w:tcBorders>
              <w:top w:val="single" w:sz="12" w:space="0" w:color="auto"/>
              <w:bottom w:val="single" w:sz="12" w:space="0" w:color="auto"/>
            </w:tcBorders>
            <w:shd w:val="clear" w:color="auto" w:fill="auto"/>
            <w:noWrap/>
            <w:vAlign w:val="center"/>
            <w:hideMark/>
          </w:tcPr>
          <w:p w14:paraId="4584313A" w14:textId="77777777" w:rsidR="006D4CC1" w:rsidRPr="002546D1" w:rsidRDefault="006D4CC1" w:rsidP="00F307F5">
            <w:pPr>
              <w:rPr>
                <w:b/>
                <w:bCs/>
                <w:sz w:val="22"/>
                <w:szCs w:val="22"/>
              </w:rPr>
            </w:pPr>
            <w:r w:rsidRPr="002546D1">
              <w:rPr>
                <w:b/>
                <w:bCs/>
                <w:sz w:val="22"/>
                <w:szCs w:val="22"/>
              </w:rPr>
              <w:t>Field test totals</w:t>
            </w:r>
          </w:p>
        </w:tc>
        <w:tc>
          <w:tcPr>
            <w:tcW w:w="446" w:type="pct"/>
            <w:tcBorders>
              <w:top w:val="single" w:sz="12" w:space="0" w:color="auto"/>
              <w:bottom w:val="single" w:sz="12" w:space="0" w:color="auto"/>
            </w:tcBorders>
            <w:shd w:val="clear" w:color="auto" w:fill="auto"/>
            <w:noWrap/>
            <w:hideMark/>
          </w:tcPr>
          <w:p w14:paraId="7B6164CB" w14:textId="77777777" w:rsidR="006D4CC1" w:rsidRPr="002546D1" w:rsidRDefault="006D4CC1" w:rsidP="00F307F5">
            <w:pPr>
              <w:jc w:val="right"/>
              <w:rPr>
                <w:b/>
                <w:bCs/>
                <w:sz w:val="22"/>
                <w:szCs w:val="22"/>
              </w:rPr>
            </w:pPr>
          </w:p>
        </w:tc>
        <w:tc>
          <w:tcPr>
            <w:tcW w:w="560" w:type="pct"/>
            <w:tcBorders>
              <w:top w:val="single" w:sz="12" w:space="0" w:color="auto"/>
              <w:bottom w:val="single" w:sz="12" w:space="0" w:color="auto"/>
            </w:tcBorders>
            <w:shd w:val="clear" w:color="auto" w:fill="auto"/>
            <w:noWrap/>
            <w:hideMark/>
          </w:tcPr>
          <w:p w14:paraId="6264C112" w14:textId="77777777" w:rsidR="006D4CC1" w:rsidRPr="002546D1" w:rsidRDefault="006D4CC1" w:rsidP="00F307F5">
            <w:pPr>
              <w:jc w:val="right"/>
              <w:rPr>
                <w:b/>
                <w:bCs/>
                <w:sz w:val="22"/>
                <w:szCs w:val="22"/>
              </w:rPr>
            </w:pPr>
            <w:r w:rsidRPr="002546D1">
              <w:rPr>
                <w:b/>
                <w:bCs/>
                <w:sz w:val="22"/>
                <w:szCs w:val="22"/>
              </w:rPr>
              <w:t> </w:t>
            </w:r>
          </w:p>
        </w:tc>
        <w:tc>
          <w:tcPr>
            <w:tcW w:w="517" w:type="pct"/>
            <w:tcBorders>
              <w:top w:val="single" w:sz="12" w:space="0" w:color="auto"/>
              <w:bottom w:val="single" w:sz="12" w:space="0" w:color="auto"/>
            </w:tcBorders>
            <w:shd w:val="clear" w:color="auto" w:fill="auto"/>
            <w:noWrap/>
            <w:hideMark/>
          </w:tcPr>
          <w:p w14:paraId="4E4FBD29" w14:textId="77777777" w:rsidR="006D4CC1" w:rsidRPr="002546D1" w:rsidRDefault="006D4CC1" w:rsidP="00F307F5">
            <w:pPr>
              <w:jc w:val="right"/>
              <w:rPr>
                <w:b/>
                <w:bCs/>
                <w:sz w:val="22"/>
                <w:szCs w:val="22"/>
              </w:rPr>
            </w:pPr>
            <w:r w:rsidRPr="002546D1">
              <w:rPr>
                <w:b/>
                <w:bCs/>
                <w:sz w:val="22"/>
                <w:szCs w:val="22"/>
              </w:rPr>
              <w:t>5,367</w:t>
            </w:r>
          </w:p>
        </w:tc>
        <w:tc>
          <w:tcPr>
            <w:tcW w:w="517" w:type="pct"/>
            <w:tcBorders>
              <w:top w:val="single" w:sz="12" w:space="0" w:color="auto"/>
              <w:bottom w:val="single" w:sz="12" w:space="0" w:color="auto"/>
            </w:tcBorders>
            <w:shd w:val="clear" w:color="auto" w:fill="auto"/>
            <w:noWrap/>
            <w:hideMark/>
          </w:tcPr>
          <w:p w14:paraId="64189DC4" w14:textId="77777777" w:rsidR="006D4CC1" w:rsidRPr="002546D1" w:rsidRDefault="006D4CC1" w:rsidP="00F307F5">
            <w:pPr>
              <w:jc w:val="right"/>
              <w:rPr>
                <w:b/>
                <w:bCs/>
                <w:sz w:val="22"/>
                <w:szCs w:val="22"/>
              </w:rPr>
            </w:pPr>
            <w:r w:rsidRPr="002546D1">
              <w:rPr>
                <w:b/>
                <w:bCs/>
                <w:sz w:val="22"/>
                <w:szCs w:val="22"/>
              </w:rPr>
              <w:t>5,417</w:t>
            </w:r>
          </w:p>
        </w:tc>
        <w:tc>
          <w:tcPr>
            <w:tcW w:w="517" w:type="pct"/>
            <w:tcBorders>
              <w:top w:val="single" w:sz="12" w:space="0" w:color="auto"/>
              <w:bottom w:val="single" w:sz="12" w:space="0" w:color="auto"/>
            </w:tcBorders>
            <w:shd w:val="clear" w:color="auto" w:fill="auto"/>
            <w:noWrap/>
            <w:hideMark/>
          </w:tcPr>
          <w:p w14:paraId="1F695A2C" w14:textId="77777777" w:rsidR="006D4CC1" w:rsidRPr="002546D1" w:rsidRDefault="006D4CC1" w:rsidP="00F307F5">
            <w:pPr>
              <w:jc w:val="right"/>
              <w:rPr>
                <w:sz w:val="22"/>
                <w:szCs w:val="22"/>
              </w:rPr>
            </w:pPr>
          </w:p>
        </w:tc>
        <w:tc>
          <w:tcPr>
            <w:tcW w:w="466" w:type="pct"/>
            <w:tcBorders>
              <w:top w:val="single" w:sz="12" w:space="0" w:color="auto"/>
              <w:bottom w:val="single" w:sz="12" w:space="0" w:color="auto"/>
            </w:tcBorders>
            <w:shd w:val="clear" w:color="auto" w:fill="auto"/>
            <w:noWrap/>
            <w:hideMark/>
          </w:tcPr>
          <w:p w14:paraId="27B50807" w14:textId="77777777" w:rsidR="006D4CC1" w:rsidRPr="002546D1" w:rsidRDefault="006D4CC1" w:rsidP="00F307F5">
            <w:pPr>
              <w:jc w:val="right"/>
              <w:rPr>
                <w:b/>
                <w:bCs/>
                <w:sz w:val="22"/>
                <w:szCs w:val="22"/>
              </w:rPr>
            </w:pPr>
            <w:r w:rsidRPr="002546D1">
              <w:rPr>
                <w:b/>
                <w:bCs/>
                <w:sz w:val="22"/>
                <w:szCs w:val="22"/>
              </w:rPr>
              <w:t>808</w:t>
            </w:r>
          </w:p>
        </w:tc>
      </w:tr>
      <w:tr w:rsidR="00C71DB4" w:rsidRPr="002546D1" w14:paraId="44048B7F" w14:textId="77777777" w:rsidTr="00C71DB4">
        <w:trPr>
          <w:trHeight w:val="276"/>
        </w:trPr>
        <w:tc>
          <w:tcPr>
            <w:tcW w:w="5000" w:type="pct"/>
            <w:gridSpan w:val="7"/>
            <w:tcBorders>
              <w:top w:val="single" w:sz="12" w:space="0" w:color="auto"/>
              <w:bottom w:val="nil"/>
            </w:tcBorders>
            <w:shd w:val="clear" w:color="auto" w:fill="auto"/>
            <w:vAlign w:val="center"/>
          </w:tcPr>
          <w:p w14:paraId="47E1FF1B" w14:textId="77777777" w:rsidR="00C71DB4" w:rsidRPr="002546D1" w:rsidRDefault="00C71DB4" w:rsidP="00C71DB4">
            <w:pPr>
              <w:rPr>
                <w:color w:val="A6A6A6" w:themeColor="background1" w:themeShade="A6"/>
                <w:sz w:val="22"/>
                <w:szCs w:val="22"/>
              </w:rPr>
            </w:pPr>
            <w:r>
              <w:rPr>
                <w:i/>
                <w:color w:val="A6A6A6" w:themeColor="background1" w:themeShade="A6"/>
                <w:sz w:val="22"/>
                <w:szCs w:val="22"/>
              </w:rPr>
              <w:t>Records d</w:t>
            </w:r>
            <w:r w:rsidRPr="00C71DB4">
              <w:rPr>
                <w:i/>
                <w:color w:val="A6A6A6" w:themeColor="background1" w:themeShade="A6"/>
                <w:sz w:val="22"/>
                <w:szCs w:val="22"/>
              </w:rPr>
              <w:t>ata collection from institutions</w:t>
            </w:r>
          </w:p>
        </w:tc>
      </w:tr>
      <w:tr w:rsidR="00F56EAC" w:rsidRPr="002546D1" w14:paraId="785D8DEF" w14:textId="77777777" w:rsidTr="007D76F0">
        <w:trPr>
          <w:trHeight w:val="276"/>
        </w:trPr>
        <w:tc>
          <w:tcPr>
            <w:tcW w:w="1977" w:type="pct"/>
            <w:tcBorders>
              <w:top w:val="single" w:sz="12" w:space="0" w:color="auto"/>
              <w:bottom w:val="nil"/>
            </w:tcBorders>
            <w:shd w:val="clear" w:color="auto" w:fill="auto"/>
            <w:vAlign w:val="center"/>
            <w:hideMark/>
          </w:tcPr>
          <w:p w14:paraId="7D68550F" w14:textId="77777777" w:rsidR="00F56EAC" w:rsidRPr="002546D1" w:rsidRDefault="00F56EAC" w:rsidP="00F307F5">
            <w:pPr>
              <w:rPr>
                <w:color w:val="A6A6A6" w:themeColor="background1" w:themeShade="A6"/>
                <w:sz w:val="22"/>
                <w:szCs w:val="22"/>
              </w:rPr>
            </w:pPr>
            <w:r w:rsidRPr="002546D1">
              <w:rPr>
                <w:color w:val="A6A6A6" w:themeColor="background1" w:themeShade="A6"/>
                <w:sz w:val="22"/>
                <w:szCs w:val="22"/>
              </w:rPr>
              <w:t>Postsecondary Transcript collection</w:t>
            </w:r>
          </w:p>
        </w:tc>
        <w:tc>
          <w:tcPr>
            <w:tcW w:w="446" w:type="pct"/>
            <w:tcBorders>
              <w:top w:val="single" w:sz="12" w:space="0" w:color="auto"/>
              <w:bottom w:val="nil"/>
            </w:tcBorders>
            <w:shd w:val="clear" w:color="auto" w:fill="auto"/>
            <w:vAlign w:val="center"/>
            <w:hideMark/>
          </w:tcPr>
          <w:p w14:paraId="26941D0F" w14:textId="77777777" w:rsidR="00F56EAC" w:rsidRPr="002546D1" w:rsidRDefault="00F56EAC" w:rsidP="00F307F5">
            <w:pPr>
              <w:jc w:val="right"/>
              <w:rPr>
                <w:color w:val="A6A6A6" w:themeColor="background1" w:themeShade="A6"/>
                <w:sz w:val="22"/>
                <w:szCs w:val="22"/>
              </w:rPr>
            </w:pPr>
            <w:r w:rsidRPr="002546D1">
              <w:rPr>
                <w:color w:val="A6A6A6" w:themeColor="background1" w:themeShade="A6"/>
                <w:sz w:val="22"/>
                <w:szCs w:val="22"/>
              </w:rPr>
              <w:t>3,800</w:t>
            </w:r>
          </w:p>
        </w:tc>
        <w:tc>
          <w:tcPr>
            <w:tcW w:w="560" w:type="pct"/>
            <w:tcBorders>
              <w:top w:val="single" w:sz="12" w:space="0" w:color="auto"/>
              <w:bottom w:val="nil"/>
            </w:tcBorders>
            <w:shd w:val="clear" w:color="auto" w:fill="auto"/>
            <w:noWrap/>
            <w:vAlign w:val="bottom"/>
            <w:hideMark/>
          </w:tcPr>
          <w:p w14:paraId="1B2B7EA0" w14:textId="77777777" w:rsidR="00F56EAC" w:rsidRPr="002546D1" w:rsidRDefault="00F56EAC" w:rsidP="00F307F5">
            <w:pPr>
              <w:jc w:val="right"/>
              <w:rPr>
                <w:color w:val="A6A6A6" w:themeColor="background1" w:themeShade="A6"/>
                <w:sz w:val="22"/>
                <w:szCs w:val="22"/>
              </w:rPr>
            </w:pPr>
            <w:r w:rsidRPr="002546D1">
              <w:rPr>
                <w:color w:val="A6A6A6" w:themeColor="background1" w:themeShade="A6"/>
                <w:sz w:val="22"/>
                <w:szCs w:val="22"/>
              </w:rPr>
              <w:t>85%</w:t>
            </w:r>
          </w:p>
        </w:tc>
        <w:tc>
          <w:tcPr>
            <w:tcW w:w="517" w:type="pct"/>
            <w:tcBorders>
              <w:top w:val="single" w:sz="12" w:space="0" w:color="auto"/>
              <w:bottom w:val="nil"/>
            </w:tcBorders>
            <w:shd w:val="clear" w:color="auto" w:fill="auto"/>
            <w:vAlign w:val="center"/>
            <w:hideMark/>
          </w:tcPr>
          <w:p w14:paraId="6EA5801C" w14:textId="77777777" w:rsidR="00F56EAC" w:rsidRPr="002546D1" w:rsidRDefault="00F56EAC" w:rsidP="00F307F5">
            <w:pPr>
              <w:jc w:val="right"/>
              <w:rPr>
                <w:color w:val="A6A6A6" w:themeColor="background1" w:themeShade="A6"/>
                <w:sz w:val="22"/>
                <w:szCs w:val="22"/>
              </w:rPr>
            </w:pPr>
            <w:r w:rsidRPr="002546D1">
              <w:rPr>
                <w:color w:val="A6A6A6" w:themeColor="background1" w:themeShade="A6"/>
                <w:sz w:val="22"/>
                <w:szCs w:val="22"/>
              </w:rPr>
              <w:t>3,230</w:t>
            </w:r>
          </w:p>
        </w:tc>
        <w:tc>
          <w:tcPr>
            <w:tcW w:w="517" w:type="pct"/>
            <w:tcBorders>
              <w:top w:val="single" w:sz="12" w:space="0" w:color="auto"/>
              <w:bottom w:val="nil"/>
            </w:tcBorders>
            <w:shd w:val="clear" w:color="auto" w:fill="auto"/>
            <w:vAlign w:val="center"/>
            <w:hideMark/>
          </w:tcPr>
          <w:p w14:paraId="5E30B705" w14:textId="77777777" w:rsidR="00F56EAC" w:rsidRPr="002546D1" w:rsidRDefault="00F56EAC" w:rsidP="00F307F5">
            <w:pPr>
              <w:jc w:val="right"/>
              <w:rPr>
                <w:color w:val="A6A6A6" w:themeColor="background1" w:themeShade="A6"/>
                <w:sz w:val="22"/>
                <w:szCs w:val="22"/>
              </w:rPr>
            </w:pPr>
            <w:r w:rsidRPr="002546D1">
              <w:rPr>
                <w:color w:val="A6A6A6" w:themeColor="background1" w:themeShade="A6"/>
                <w:sz w:val="22"/>
                <w:szCs w:val="22"/>
              </w:rPr>
              <w:t>3,230</w:t>
            </w:r>
          </w:p>
        </w:tc>
        <w:tc>
          <w:tcPr>
            <w:tcW w:w="517" w:type="pct"/>
            <w:tcBorders>
              <w:top w:val="single" w:sz="12" w:space="0" w:color="auto"/>
              <w:bottom w:val="nil"/>
            </w:tcBorders>
            <w:shd w:val="clear" w:color="auto" w:fill="auto"/>
            <w:vAlign w:val="center"/>
            <w:hideMark/>
          </w:tcPr>
          <w:p w14:paraId="0DEA169B" w14:textId="77777777" w:rsidR="00F56EAC" w:rsidRPr="002546D1" w:rsidRDefault="00F56EAC" w:rsidP="00F307F5">
            <w:pPr>
              <w:jc w:val="right"/>
              <w:rPr>
                <w:color w:val="A6A6A6" w:themeColor="background1" w:themeShade="A6"/>
                <w:sz w:val="22"/>
                <w:szCs w:val="22"/>
              </w:rPr>
            </w:pPr>
            <w:r w:rsidRPr="002546D1">
              <w:rPr>
                <w:color w:val="A6A6A6" w:themeColor="background1" w:themeShade="A6"/>
                <w:sz w:val="22"/>
                <w:szCs w:val="22"/>
              </w:rPr>
              <w:t>30</w:t>
            </w:r>
          </w:p>
        </w:tc>
        <w:tc>
          <w:tcPr>
            <w:tcW w:w="466" w:type="pct"/>
            <w:tcBorders>
              <w:top w:val="single" w:sz="12" w:space="0" w:color="auto"/>
              <w:bottom w:val="nil"/>
            </w:tcBorders>
            <w:shd w:val="clear" w:color="auto" w:fill="auto"/>
            <w:vAlign w:val="center"/>
            <w:hideMark/>
          </w:tcPr>
          <w:p w14:paraId="6871FF57" w14:textId="77777777" w:rsidR="00F56EAC" w:rsidRPr="002546D1" w:rsidRDefault="00F56EAC" w:rsidP="00F307F5">
            <w:pPr>
              <w:jc w:val="right"/>
              <w:rPr>
                <w:color w:val="A6A6A6" w:themeColor="background1" w:themeShade="A6"/>
                <w:sz w:val="22"/>
                <w:szCs w:val="22"/>
              </w:rPr>
            </w:pPr>
            <w:r w:rsidRPr="002546D1">
              <w:rPr>
                <w:color w:val="A6A6A6" w:themeColor="background1" w:themeShade="A6"/>
                <w:sz w:val="22"/>
                <w:szCs w:val="22"/>
              </w:rPr>
              <w:t>1,615</w:t>
            </w:r>
          </w:p>
        </w:tc>
      </w:tr>
      <w:tr w:rsidR="00F56EAC" w:rsidRPr="002546D1" w14:paraId="68A2CB1D" w14:textId="77777777" w:rsidTr="007D76F0">
        <w:trPr>
          <w:trHeight w:val="288"/>
        </w:trPr>
        <w:tc>
          <w:tcPr>
            <w:tcW w:w="1977" w:type="pct"/>
            <w:tcBorders>
              <w:bottom w:val="single" w:sz="12" w:space="0" w:color="auto"/>
            </w:tcBorders>
            <w:shd w:val="clear" w:color="auto" w:fill="auto"/>
            <w:vAlign w:val="center"/>
            <w:hideMark/>
          </w:tcPr>
          <w:p w14:paraId="381B0827" w14:textId="77777777" w:rsidR="00F56EAC" w:rsidRPr="002546D1" w:rsidRDefault="00F56EAC" w:rsidP="00F307F5">
            <w:pPr>
              <w:rPr>
                <w:color w:val="A6A6A6" w:themeColor="background1" w:themeShade="A6"/>
                <w:sz w:val="22"/>
                <w:szCs w:val="22"/>
              </w:rPr>
            </w:pPr>
            <w:r w:rsidRPr="002546D1">
              <w:rPr>
                <w:color w:val="A6A6A6" w:themeColor="background1" w:themeShade="A6"/>
                <w:sz w:val="22"/>
                <w:szCs w:val="22"/>
              </w:rPr>
              <w:t>Financial Aid Record collection</w:t>
            </w:r>
          </w:p>
        </w:tc>
        <w:tc>
          <w:tcPr>
            <w:tcW w:w="446" w:type="pct"/>
            <w:tcBorders>
              <w:bottom w:val="single" w:sz="12" w:space="0" w:color="auto"/>
            </w:tcBorders>
            <w:shd w:val="clear" w:color="auto" w:fill="auto"/>
            <w:vAlign w:val="center"/>
            <w:hideMark/>
          </w:tcPr>
          <w:p w14:paraId="0014A39A" w14:textId="77777777" w:rsidR="00F56EAC" w:rsidRPr="002546D1" w:rsidRDefault="00F56EAC" w:rsidP="00F307F5">
            <w:pPr>
              <w:jc w:val="right"/>
              <w:rPr>
                <w:color w:val="A6A6A6" w:themeColor="background1" w:themeShade="A6"/>
                <w:sz w:val="22"/>
                <w:szCs w:val="22"/>
              </w:rPr>
            </w:pPr>
            <w:r w:rsidRPr="002546D1">
              <w:rPr>
                <w:color w:val="A6A6A6" w:themeColor="background1" w:themeShade="A6"/>
                <w:sz w:val="22"/>
                <w:szCs w:val="22"/>
              </w:rPr>
              <w:t>3,800</w:t>
            </w:r>
          </w:p>
        </w:tc>
        <w:tc>
          <w:tcPr>
            <w:tcW w:w="560" w:type="pct"/>
            <w:tcBorders>
              <w:bottom w:val="single" w:sz="12" w:space="0" w:color="auto"/>
            </w:tcBorders>
            <w:shd w:val="clear" w:color="auto" w:fill="auto"/>
            <w:noWrap/>
            <w:vAlign w:val="bottom"/>
            <w:hideMark/>
          </w:tcPr>
          <w:p w14:paraId="32D4FFD9" w14:textId="77777777" w:rsidR="00F56EAC" w:rsidRPr="002546D1" w:rsidRDefault="00F56EAC" w:rsidP="00F307F5">
            <w:pPr>
              <w:jc w:val="right"/>
              <w:rPr>
                <w:color w:val="A6A6A6" w:themeColor="background1" w:themeShade="A6"/>
                <w:sz w:val="22"/>
                <w:szCs w:val="22"/>
              </w:rPr>
            </w:pPr>
            <w:r w:rsidRPr="002546D1">
              <w:rPr>
                <w:color w:val="A6A6A6" w:themeColor="background1" w:themeShade="A6"/>
                <w:sz w:val="22"/>
                <w:szCs w:val="22"/>
              </w:rPr>
              <w:t>85%</w:t>
            </w:r>
          </w:p>
        </w:tc>
        <w:tc>
          <w:tcPr>
            <w:tcW w:w="517" w:type="pct"/>
            <w:tcBorders>
              <w:bottom w:val="single" w:sz="12" w:space="0" w:color="auto"/>
            </w:tcBorders>
            <w:shd w:val="clear" w:color="auto" w:fill="auto"/>
            <w:vAlign w:val="center"/>
            <w:hideMark/>
          </w:tcPr>
          <w:p w14:paraId="3067E474" w14:textId="77777777" w:rsidR="00F56EAC" w:rsidRPr="002546D1" w:rsidRDefault="00F56EAC" w:rsidP="00F307F5">
            <w:pPr>
              <w:jc w:val="right"/>
              <w:rPr>
                <w:color w:val="A6A6A6" w:themeColor="background1" w:themeShade="A6"/>
                <w:sz w:val="22"/>
                <w:szCs w:val="22"/>
              </w:rPr>
            </w:pPr>
            <w:r w:rsidRPr="002546D1">
              <w:rPr>
                <w:color w:val="A6A6A6" w:themeColor="background1" w:themeShade="A6"/>
                <w:sz w:val="22"/>
                <w:szCs w:val="22"/>
              </w:rPr>
              <w:t>3,230</w:t>
            </w:r>
          </w:p>
        </w:tc>
        <w:tc>
          <w:tcPr>
            <w:tcW w:w="517" w:type="pct"/>
            <w:tcBorders>
              <w:bottom w:val="single" w:sz="12" w:space="0" w:color="auto"/>
            </w:tcBorders>
            <w:shd w:val="clear" w:color="auto" w:fill="auto"/>
            <w:vAlign w:val="center"/>
            <w:hideMark/>
          </w:tcPr>
          <w:p w14:paraId="1CB3F53C" w14:textId="77777777" w:rsidR="00F56EAC" w:rsidRPr="002546D1" w:rsidRDefault="00F56EAC" w:rsidP="00AC5EAC">
            <w:pPr>
              <w:jc w:val="right"/>
              <w:rPr>
                <w:color w:val="A6A6A6" w:themeColor="background1" w:themeShade="A6"/>
                <w:sz w:val="22"/>
                <w:szCs w:val="22"/>
              </w:rPr>
            </w:pPr>
            <w:r w:rsidRPr="002546D1">
              <w:rPr>
                <w:color w:val="A6A6A6" w:themeColor="background1" w:themeShade="A6"/>
                <w:sz w:val="22"/>
                <w:szCs w:val="22"/>
              </w:rPr>
              <w:t>3,230</w:t>
            </w:r>
          </w:p>
        </w:tc>
        <w:tc>
          <w:tcPr>
            <w:tcW w:w="517" w:type="pct"/>
            <w:tcBorders>
              <w:bottom w:val="single" w:sz="12" w:space="0" w:color="auto"/>
            </w:tcBorders>
            <w:shd w:val="clear" w:color="auto" w:fill="auto"/>
            <w:vAlign w:val="center"/>
            <w:hideMark/>
          </w:tcPr>
          <w:p w14:paraId="3ED3B006" w14:textId="77777777" w:rsidR="00F56EAC" w:rsidRPr="002546D1" w:rsidRDefault="00F56EAC" w:rsidP="00F307F5">
            <w:pPr>
              <w:jc w:val="right"/>
              <w:rPr>
                <w:color w:val="A6A6A6" w:themeColor="background1" w:themeShade="A6"/>
                <w:sz w:val="22"/>
                <w:szCs w:val="22"/>
              </w:rPr>
            </w:pPr>
            <w:r w:rsidRPr="002546D1">
              <w:rPr>
                <w:color w:val="A6A6A6" w:themeColor="background1" w:themeShade="A6"/>
                <w:sz w:val="22"/>
                <w:szCs w:val="22"/>
              </w:rPr>
              <w:t>198</w:t>
            </w:r>
          </w:p>
        </w:tc>
        <w:tc>
          <w:tcPr>
            <w:tcW w:w="466" w:type="pct"/>
            <w:tcBorders>
              <w:bottom w:val="single" w:sz="12" w:space="0" w:color="auto"/>
            </w:tcBorders>
            <w:shd w:val="clear" w:color="auto" w:fill="auto"/>
            <w:vAlign w:val="center"/>
            <w:hideMark/>
          </w:tcPr>
          <w:p w14:paraId="5A14BCFB" w14:textId="77777777" w:rsidR="00F56EAC" w:rsidRPr="002546D1" w:rsidRDefault="00F56EAC" w:rsidP="00F307F5">
            <w:pPr>
              <w:jc w:val="right"/>
              <w:rPr>
                <w:color w:val="A6A6A6" w:themeColor="background1" w:themeShade="A6"/>
                <w:sz w:val="22"/>
                <w:szCs w:val="22"/>
              </w:rPr>
            </w:pPr>
            <w:r w:rsidRPr="002546D1">
              <w:rPr>
                <w:color w:val="A6A6A6" w:themeColor="background1" w:themeShade="A6"/>
                <w:sz w:val="22"/>
                <w:szCs w:val="22"/>
              </w:rPr>
              <w:t>10,659</w:t>
            </w:r>
          </w:p>
        </w:tc>
      </w:tr>
      <w:tr w:rsidR="009A7D49" w:rsidRPr="002546D1" w14:paraId="6287BD90" w14:textId="77777777" w:rsidTr="007D76F0">
        <w:trPr>
          <w:trHeight w:val="300"/>
        </w:trPr>
        <w:tc>
          <w:tcPr>
            <w:tcW w:w="1977" w:type="pct"/>
            <w:tcBorders>
              <w:top w:val="single" w:sz="12" w:space="0" w:color="auto"/>
              <w:bottom w:val="single" w:sz="12" w:space="0" w:color="auto"/>
            </w:tcBorders>
            <w:shd w:val="clear" w:color="auto" w:fill="auto"/>
            <w:noWrap/>
            <w:vAlign w:val="center"/>
            <w:hideMark/>
          </w:tcPr>
          <w:p w14:paraId="485700E2" w14:textId="77777777" w:rsidR="006D4CC1" w:rsidRPr="002546D1" w:rsidRDefault="006D4CC1" w:rsidP="00F307F5">
            <w:pPr>
              <w:rPr>
                <w:b/>
                <w:bCs/>
                <w:color w:val="A6A6A6" w:themeColor="background1" w:themeShade="A6"/>
                <w:sz w:val="22"/>
                <w:szCs w:val="22"/>
              </w:rPr>
            </w:pPr>
            <w:r w:rsidRPr="002546D1">
              <w:rPr>
                <w:b/>
                <w:bCs/>
                <w:color w:val="A6A6A6" w:themeColor="background1" w:themeShade="A6"/>
                <w:sz w:val="22"/>
                <w:szCs w:val="22"/>
              </w:rPr>
              <w:t>Records collections totals</w:t>
            </w:r>
          </w:p>
        </w:tc>
        <w:tc>
          <w:tcPr>
            <w:tcW w:w="446" w:type="pct"/>
            <w:tcBorders>
              <w:top w:val="single" w:sz="12" w:space="0" w:color="auto"/>
              <w:bottom w:val="single" w:sz="12" w:space="0" w:color="auto"/>
            </w:tcBorders>
            <w:shd w:val="clear" w:color="auto" w:fill="auto"/>
            <w:noWrap/>
            <w:vAlign w:val="center"/>
            <w:hideMark/>
          </w:tcPr>
          <w:p w14:paraId="4CC9C6C7" w14:textId="77777777" w:rsidR="006D4CC1" w:rsidRPr="002546D1" w:rsidRDefault="006D4CC1" w:rsidP="00F307F5">
            <w:pPr>
              <w:jc w:val="right"/>
              <w:rPr>
                <w:b/>
                <w:bCs/>
                <w:color w:val="A6A6A6" w:themeColor="background1" w:themeShade="A6"/>
                <w:sz w:val="22"/>
                <w:szCs w:val="22"/>
              </w:rPr>
            </w:pPr>
          </w:p>
        </w:tc>
        <w:tc>
          <w:tcPr>
            <w:tcW w:w="560" w:type="pct"/>
            <w:tcBorders>
              <w:top w:val="single" w:sz="12" w:space="0" w:color="auto"/>
              <w:bottom w:val="single" w:sz="12" w:space="0" w:color="auto"/>
            </w:tcBorders>
            <w:shd w:val="clear" w:color="auto" w:fill="auto"/>
            <w:noWrap/>
            <w:vAlign w:val="center"/>
            <w:hideMark/>
          </w:tcPr>
          <w:p w14:paraId="73DB909D" w14:textId="77777777" w:rsidR="006D4CC1" w:rsidRPr="002546D1" w:rsidRDefault="006D4CC1" w:rsidP="00F307F5">
            <w:pPr>
              <w:jc w:val="right"/>
              <w:rPr>
                <w:b/>
                <w:bCs/>
                <w:color w:val="A6A6A6" w:themeColor="background1" w:themeShade="A6"/>
                <w:sz w:val="22"/>
                <w:szCs w:val="22"/>
              </w:rPr>
            </w:pPr>
            <w:r w:rsidRPr="002546D1">
              <w:rPr>
                <w:b/>
                <w:bCs/>
                <w:color w:val="A6A6A6" w:themeColor="background1" w:themeShade="A6"/>
                <w:sz w:val="22"/>
                <w:szCs w:val="22"/>
              </w:rPr>
              <w:t> </w:t>
            </w:r>
          </w:p>
        </w:tc>
        <w:tc>
          <w:tcPr>
            <w:tcW w:w="517" w:type="pct"/>
            <w:tcBorders>
              <w:top w:val="single" w:sz="12" w:space="0" w:color="auto"/>
              <w:bottom w:val="single" w:sz="12" w:space="0" w:color="auto"/>
            </w:tcBorders>
            <w:shd w:val="clear" w:color="auto" w:fill="auto"/>
            <w:vAlign w:val="center"/>
            <w:hideMark/>
          </w:tcPr>
          <w:p w14:paraId="4947CC73" w14:textId="77777777" w:rsidR="006D4CC1" w:rsidRPr="002546D1" w:rsidRDefault="00C21BA3">
            <w:pPr>
              <w:jc w:val="right"/>
              <w:rPr>
                <w:b/>
                <w:bCs/>
                <w:color w:val="A6A6A6" w:themeColor="background1" w:themeShade="A6"/>
                <w:sz w:val="22"/>
                <w:szCs w:val="22"/>
              </w:rPr>
            </w:pPr>
            <w:r w:rsidRPr="002546D1">
              <w:rPr>
                <w:b/>
                <w:bCs/>
                <w:color w:val="A6A6A6" w:themeColor="background1" w:themeShade="A6"/>
                <w:sz w:val="22"/>
                <w:szCs w:val="22"/>
              </w:rPr>
              <w:t>3,23</w:t>
            </w:r>
            <w:r w:rsidR="006D4CC1" w:rsidRPr="002546D1">
              <w:rPr>
                <w:b/>
                <w:bCs/>
                <w:color w:val="A6A6A6" w:themeColor="background1" w:themeShade="A6"/>
                <w:sz w:val="22"/>
                <w:szCs w:val="22"/>
              </w:rPr>
              <w:t>0</w:t>
            </w:r>
          </w:p>
        </w:tc>
        <w:tc>
          <w:tcPr>
            <w:tcW w:w="517" w:type="pct"/>
            <w:tcBorders>
              <w:top w:val="single" w:sz="12" w:space="0" w:color="auto"/>
              <w:bottom w:val="single" w:sz="12" w:space="0" w:color="auto"/>
            </w:tcBorders>
            <w:shd w:val="clear" w:color="auto" w:fill="auto"/>
            <w:noWrap/>
            <w:vAlign w:val="center"/>
            <w:hideMark/>
          </w:tcPr>
          <w:p w14:paraId="627B2387" w14:textId="77777777" w:rsidR="006D4CC1" w:rsidRPr="002546D1" w:rsidRDefault="00F56EAC" w:rsidP="00F56EAC">
            <w:pPr>
              <w:jc w:val="right"/>
              <w:rPr>
                <w:b/>
                <w:bCs/>
                <w:color w:val="A6A6A6" w:themeColor="background1" w:themeShade="A6"/>
                <w:sz w:val="22"/>
                <w:szCs w:val="22"/>
              </w:rPr>
            </w:pPr>
            <w:r>
              <w:rPr>
                <w:b/>
                <w:bCs/>
                <w:color w:val="A6A6A6" w:themeColor="background1" w:themeShade="A6"/>
                <w:sz w:val="22"/>
                <w:szCs w:val="22"/>
              </w:rPr>
              <w:t>6</w:t>
            </w:r>
            <w:r w:rsidR="006D4CC1" w:rsidRPr="002546D1">
              <w:rPr>
                <w:b/>
                <w:bCs/>
                <w:color w:val="A6A6A6" w:themeColor="background1" w:themeShade="A6"/>
                <w:sz w:val="22"/>
                <w:szCs w:val="22"/>
              </w:rPr>
              <w:t>,</w:t>
            </w:r>
            <w:r>
              <w:rPr>
                <w:b/>
                <w:bCs/>
                <w:color w:val="A6A6A6" w:themeColor="background1" w:themeShade="A6"/>
                <w:sz w:val="22"/>
                <w:szCs w:val="22"/>
              </w:rPr>
              <w:t>46</w:t>
            </w:r>
            <w:r w:rsidR="00AA66B2" w:rsidRPr="002546D1">
              <w:rPr>
                <w:b/>
                <w:bCs/>
                <w:color w:val="A6A6A6" w:themeColor="background1" w:themeShade="A6"/>
                <w:sz w:val="22"/>
                <w:szCs w:val="22"/>
              </w:rPr>
              <w:t>0</w:t>
            </w:r>
          </w:p>
        </w:tc>
        <w:tc>
          <w:tcPr>
            <w:tcW w:w="517" w:type="pct"/>
            <w:tcBorders>
              <w:top w:val="single" w:sz="12" w:space="0" w:color="auto"/>
              <w:bottom w:val="single" w:sz="12" w:space="0" w:color="auto"/>
            </w:tcBorders>
            <w:shd w:val="clear" w:color="auto" w:fill="auto"/>
            <w:noWrap/>
            <w:vAlign w:val="center"/>
            <w:hideMark/>
          </w:tcPr>
          <w:p w14:paraId="290EE463" w14:textId="77777777" w:rsidR="006D4CC1" w:rsidRPr="002546D1" w:rsidRDefault="006D4CC1" w:rsidP="00F307F5">
            <w:pPr>
              <w:jc w:val="right"/>
              <w:rPr>
                <w:b/>
                <w:bCs/>
                <w:color w:val="A6A6A6" w:themeColor="background1" w:themeShade="A6"/>
                <w:sz w:val="22"/>
                <w:szCs w:val="22"/>
              </w:rPr>
            </w:pPr>
            <w:r w:rsidRPr="002546D1">
              <w:rPr>
                <w:b/>
                <w:bCs/>
                <w:color w:val="A6A6A6" w:themeColor="background1" w:themeShade="A6"/>
                <w:sz w:val="22"/>
                <w:szCs w:val="22"/>
              </w:rPr>
              <w:t> </w:t>
            </w:r>
          </w:p>
        </w:tc>
        <w:tc>
          <w:tcPr>
            <w:tcW w:w="466" w:type="pct"/>
            <w:tcBorders>
              <w:top w:val="single" w:sz="12" w:space="0" w:color="auto"/>
              <w:bottom w:val="single" w:sz="12" w:space="0" w:color="auto"/>
            </w:tcBorders>
            <w:shd w:val="clear" w:color="auto" w:fill="auto"/>
            <w:noWrap/>
            <w:vAlign w:val="center"/>
            <w:hideMark/>
          </w:tcPr>
          <w:p w14:paraId="3B5C647C" w14:textId="77777777" w:rsidR="006D4CC1" w:rsidRPr="002546D1" w:rsidRDefault="006D4CC1" w:rsidP="00F307F5">
            <w:pPr>
              <w:jc w:val="right"/>
              <w:rPr>
                <w:b/>
                <w:bCs/>
                <w:color w:val="A6A6A6" w:themeColor="background1" w:themeShade="A6"/>
                <w:sz w:val="22"/>
                <w:szCs w:val="22"/>
              </w:rPr>
            </w:pPr>
            <w:r w:rsidRPr="002546D1">
              <w:rPr>
                <w:b/>
                <w:bCs/>
                <w:color w:val="A6A6A6" w:themeColor="background1" w:themeShade="A6"/>
                <w:sz w:val="22"/>
                <w:szCs w:val="22"/>
              </w:rPr>
              <w:t>12,274</w:t>
            </w:r>
          </w:p>
        </w:tc>
      </w:tr>
      <w:tr w:rsidR="007D76F0" w:rsidRPr="002B5189" w14:paraId="2E23C9DE" w14:textId="77777777" w:rsidTr="007D76F0">
        <w:trPr>
          <w:trHeight w:val="288"/>
        </w:trPr>
        <w:tc>
          <w:tcPr>
            <w:tcW w:w="5000" w:type="pct"/>
            <w:gridSpan w:val="7"/>
            <w:tcBorders>
              <w:top w:val="single" w:sz="12" w:space="0" w:color="auto"/>
              <w:bottom w:val="nil"/>
            </w:tcBorders>
            <w:shd w:val="clear" w:color="auto" w:fill="auto"/>
            <w:noWrap/>
            <w:vAlign w:val="center"/>
            <w:hideMark/>
          </w:tcPr>
          <w:p w14:paraId="0C803953" w14:textId="77777777" w:rsidR="007D76F0" w:rsidRPr="002B5189" w:rsidRDefault="007D76F0" w:rsidP="00C71DB4">
            <w:r w:rsidRPr="002B5189">
              <w:rPr>
                <w:sz w:val="18"/>
                <w:szCs w:val="18"/>
              </w:rPr>
              <w:t xml:space="preserve">Note: The current request for OMB approval is </w:t>
            </w:r>
            <w:r w:rsidR="00C71DB4">
              <w:rPr>
                <w:sz w:val="18"/>
                <w:szCs w:val="18"/>
              </w:rPr>
              <w:t xml:space="preserve">only </w:t>
            </w:r>
            <w:r w:rsidRPr="002B5189">
              <w:rPr>
                <w:sz w:val="18"/>
                <w:szCs w:val="18"/>
              </w:rPr>
              <w:t>for t</w:t>
            </w:r>
            <w:r>
              <w:rPr>
                <w:sz w:val="18"/>
                <w:szCs w:val="18"/>
              </w:rPr>
              <w:t xml:space="preserve">he field test study burden and </w:t>
            </w:r>
            <w:r w:rsidR="00C71DB4">
              <w:rPr>
                <w:sz w:val="18"/>
                <w:szCs w:val="18"/>
              </w:rPr>
              <w:t xml:space="preserve">the </w:t>
            </w:r>
            <w:r w:rsidR="00C71DB4" w:rsidRPr="00C71DB4">
              <w:rPr>
                <w:sz w:val="18"/>
                <w:szCs w:val="18"/>
              </w:rPr>
              <w:t xml:space="preserve">main study sample panel maintenance </w:t>
            </w:r>
            <w:r w:rsidR="00C71DB4">
              <w:rPr>
                <w:sz w:val="18"/>
                <w:szCs w:val="18"/>
              </w:rPr>
              <w:t xml:space="preserve">in </w:t>
            </w:r>
            <w:r w:rsidR="00C71DB4" w:rsidRPr="00C71DB4">
              <w:rPr>
                <w:sz w:val="18"/>
                <w:szCs w:val="18"/>
              </w:rPr>
              <w:t>2015</w:t>
            </w:r>
            <w:r w:rsidRPr="002B5189">
              <w:rPr>
                <w:sz w:val="18"/>
                <w:szCs w:val="18"/>
              </w:rPr>
              <w:t>.</w:t>
            </w:r>
          </w:p>
        </w:tc>
      </w:tr>
    </w:tbl>
    <w:p w14:paraId="2E0423A4" w14:textId="77777777" w:rsidR="00A92054" w:rsidRDefault="00A92054" w:rsidP="00B313A7">
      <w:pPr>
        <w:pStyle w:val="exhibitsource"/>
      </w:pPr>
    </w:p>
    <w:p w14:paraId="45995777" w14:textId="77777777" w:rsidR="00DB3518" w:rsidRDefault="00A108D5" w:rsidP="00B52EF2">
      <w:pPr>
        <w:pStyle w:val="BodyText1"/>
      </w:pPr>
      <w:bookmarkStart w:id="82" w:name="_Toc401834517"/>
      <w:bookmarkStart w:id="83" w:name="_Toc403397641"/>
      <w:r>
        <w:t>T</w:t>
      </w:r>
      <w:r w:rsidR="00B52EF2">
        <w:t xml:space="preserve">he </w:t>
      </w:r>
      <w:r>
        <w:t xml:space="preserve">total </w:t>
      </w:r>
      <w:r w:rsidR="00B52EF2">
        <w:t xml:space="preserve">estimated cost to </w:t>
      </w:r>
      <w:r>
        <w:t xml:space="preserve">individual </w:t>
      </w:r>
      <w:r w:rsidR="00B52EF2">
        <w:t>respondents</w:t>
      </w:r>
      <w:r>
        <w:t xml:space="preserve"> is </w:t>
      </w:r>
      <w:r w:rsidRPr="00A108D5">
        <w:t>$14,574</w:t>
      </w:r>
      <w:r>
        <w:t>, which represents the 808 burden hours times an hourly rate of $18.04.</w:t>
      </w:r>
      <w:r w:rsidR="00DB3518">
        <w:t xml:space="preserve"> </w:t>
      </w:r>
      <w:r w:rsidR="00B52EF2">
        <w:t>The hourly rate was obtained by taking the average of the median</w:t>
      </w:r>
      <w:r w:rsidR="00B52EF2" w:rsidRPr="00E703D2">
        <w:t xml:space="preserve"> weekly earnings of full-time wage and salary workers</w:t>
      </w:r>
      <w:r w:rsidR="00B52EF2" w:rsidRPr="00D04F04">
        <w:rPr>
          <w:vertAlign w:val="superscript"/>
        </w:rPr>
        <w:footnoteReference w:id="5"/>
      </w:r>
      <w:r w:rsidR="00B52EF2" w:rsidRPr="00D04F04">
        <w:t xml:space="preserve"> among high school graduates with no college and individuals with some college or an associate’s degree.</w:t>
      </w:r>
    </w:p>
    <w:p w14:paraId="4D1786CD" w14:textId="6988F12E" w:rsidR="0072781E" w:rsidRPr="00D5480C" w:rsidRDefault="0072781E" w:rsidP="001265CD">
      <w:pPr>
        <w:pStyle w:val="Heading2"/>
      </w:pPr>
      <w:r w:rsidRPr="00BF65C4">
        <w:t>A.13</w:t>
      </w:r>
      <w:r w:rsidRPr="00BF65C4">
        <w:tab/>
        <w:t>Estimates of Total Annual Cost Burden</w:t>
      </w:r>
      <w:bookmarkEnd w:id="79"/>
      <w:r w:rsidRPr="00BF65C4">
        <w:t xml:space="preserve"> to Respondents</w:t>
      </w:r>
      <w:bookmarkEnd w:id="82"/>
      <w:bookmarkEnd w:id="83"/>
    </w:p>
    <w:p w14:paraId="44E6BC32" w14:textId="77777777" w:rsidR="00DB3518" w:rsidRDefault="0072781E" w:rsidP="00633DDE">
      <w:pPr>
        <w:pStyle w:val="BodyText1"/>
      </w:pPr>
      <w:r w:rsidRPr="00D5480C">
        <w:t>There are no capital, startup, or operating costs to respondents for participation in the project. No equipment, printing, or postage charges will be incurred.</w:t>
      </w:r>
    </w:p>
    <w:p w14:paraId="4F61215B" w14:textId="26BD3D55" w:rsidR="0072781E" w:rsidRPr="002B5189" w:rsidRDefault="0072781E" w:rsidP="001265CD">
      <w:pPr>
        <w:pStyle w:val="Heading2"/>
      </w:pPr>
      <w:bookmarkStart w:id="84" w:name="_Toc192579045"/>
      <w:bookmarkStart w:id="85" w:name="_Toc401834518"/>
      <w:bookmarkStart w:id="86" w:name="_Toc403397642"/>
      <w:r w:rsidRPr="002B5189">
        <w:t>A.14</w:t>
      </w:r>
      <w:r w:rsidRPr="002B5189">
        <w:tab/>
        <w:t>Annualized Cost to the Federal Government</w:t>
      </w:r>
      <w:bookmarkEnd w:id="84"/>
      <w:bookmarkEnd w:id="85"/>
      <w:bookmarkEnd w:id="86"/>
    </w:p>
    <w:p w14:paraId="5C498B6E" w14:textId="77777777" w:rsidR="0072781E" w:rsidRPr="002B5189" w:rsidRDefault="0072781E" w:rsidP="001265CD">
      <w:pPr>
        <w:pStyle w:val="BodyText1"/>
      </w:pPr>
      <w:r w:rsidRPr="002B5189">
        <w:t>Estimated costs to the federal government for HSLS:09 are shown in Exhibit</w:t>
      </w:r>
      <w:r w:rsidR="00A651B9" w:rsidRPr="002B5189">
        <w:t>s</w:t>
      </w:r>
      <w:r w:rsidRPr="002B5189">
        <w:t> A-</w:t>
      </w:r>
      <w:r w:rsidR="00C07835">
        <w:t>4</w:t>
      </w:r>
      <w:r w:rsidR="00A651B9" w:rsidRPr="002B5189">
        <w:t>a and A-</w:t>
      </w:r>
      <w:r w:rsidR="00C07835">
        <w:t>4</w:t>
      </w:r>
      <w:r w:rsidR="00A651B9" w:rsidRPr="002B5189">
        <w:t>b</w:t>
      </w:r>
      <w:r w:rsidRPr="002B5189">
        <w:t>. The estimated costs to the government for data collection for the field test are presented separately. Included in the contract estimates are all staff time, reproduction, postage, and telephone costs associated with the management, data collection, analysis, and reporting for which clearance is requested.</w:t>
      </w:r>
    </w:p>
    <w:p w14:paraId="0C76DFF8" w14:textId="77777777" w:rsidR="0072781E" w:rsidRPr="002B5189" w:rsidRDefault="0072781E" w:rsidP="00D96392">
      <w:pPr>
        <w:pStyle w:val="ExhibitTitle"/>
      </w:pPr>
      <w:bookmarkStart w:id="87" w:name="_Toc401842165"/>
      <w:bookmarkStart w:id="88" w:name="_Toc403596412"/>
      <w:r w:rsidRPr="002B5189">
        <w:t>Exhibit A-</w:t>
      </w:r>
      <w:r w:rsidR="00C07835">
        <w:t>4</w:t>
      </w:r>
      <w:r w:rsidR="005912A3" w:rsidRPr="002B5189">
        <w:t>a</w:t>
      </w:r>
      <w:r w:rsidRPr="002B5189">
        <w:t>.</w:t>
      </w:r>
      <w:r w:rsidRPr="002B5189">
        <w:tab/>
        <w:t>Total Costs to NCES</w:t>
      </w:r>
      <w:bookmarkEnd w:id="87"/>
      <w:bookmarkEnd w:id="8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6"/>
        <w:gridCol w:w="2790"/>
      </w:tblGrid>
      <w:tr w:rsidR="008568E9" w:rsidRPr="002B5189" w14:paraId="572139D1" w14:textId="77777777" w:rsidTr="00CC03C6">
        <w:trPr>
          <w:trHeight w:val="312"/>
        </w:trPr>
        <w:tc>
          <w:tcPr>
            <w:tcW w:w="7596" w:type="dxa"/>
            <w:tcBorders>
              <w:top w:val="single" w:sz="4" w:space="0" w:color="auto"/>
              <w:bottom w:val="single" w:sz="4" w:space="0" w:color="auto"/>
            </w:tcBorders>
            <w:hideMark/>
          </w:tcPr>
          <w:p w14:paraId="477ADAE0" w14:textId="77777777" w:rsidR="00CC03C6" w:rsidRPr="002B5189" w:rsidRDefault="00CC03C6">
            <w:pPr>
              <w:rPr>
                <w:b/>
                <w:bCs/>
              </w:rPr>
            </w:pPr>
            <w:r w:rsidRPr="002B5189">
              <w:rPr>
                <w:b/>
                <w:bCs/>
              </w:rPr>
              <w:t>Costs to NCES</w:t>
            </w:r>
          </w:p>
        </w:tc>
        <w:tc>
          <w:tcPr>
            <w:tcW w:w="2790" w:type="dxa"/>
            <w:tcBorders>
              <w:top w:val="single" w:sz="4" w:space="0" w:color="auto"/>
              <w:bottom w:val="single" w:sz="4" w:space="0" w:color="auto"/>
            </w:tcBorders>
            <w:hideMark/>
          </w:tcPr>
          <w:p w14:paraId="4F2B9C8A" w14:textId="77777777" w:rsidR="00CC03C6" w:rsidRPr="002B5189" w:rsidRDefault="00CC03C6" w:rsidP="002B5189">
            <w:pPr>
              <w:jc w:val="right"/>
              <w:rPr>
                <w:b/>
                <w:bCs/>
              </w:rPr>
            </w:pPr>
            <w:r w:rsidRPr="002B5189">
              <w:rPr>
                <w:b/>
                <w:bCs/>
              </w:rPr>
              <w:t>Amount</w:t>
            </w:r>
          </w:p>
        </w:tc>
      </w:tr>
      <w:tr w:rsidR="008568E9" w:rsidRPr="002B5189" w14:paraId="7DE93747" w14:textId="77777777" w:rsidTr="00CC03C6">
        <w:trPr>
          <w:trHeight w:val="458"/>
        </w:trPr>
        <w:tc>
          <w:tcPr>
            <w:tcW w:w="7596" w:type="dxa"/>
            <w:tcBorders>
              <w:top w:val="single" w:sz="4" w:space="0" w:color="auto"/>
            </w:tcBorders>
            <w:hideMark/>
          </w:tcPr>
          <w:p w14:paraId="30B3DF0B" w14:textId="77777777" w:rsidR="00CC03C6" w:rsidRPr="002B5189" w:rsidRDefault="00523CA3" w:rsidP="00523CA3">
            <w:pPr>
              <w:rPr>
                <w:b/>
              </w:rPr>
            </w:pPr>
            <w:r>
              <w:rPr>
                <w:b/>
              </w:rPr>
              <w:t>Total HSLS:09 s</w:t>
            </w:r>
            <w:r w:rsidR="00CC03C6" w:rsidRPr="002B5189">
              <w:rPr>
                <w:b/>
              </w:rPr>
              <w:t xml:space="preserve">econd </w:t>
            </w:r>
            <w:r>
              <w:rPr>
                <w:b/>
              </w:rPr>
              <w:t>f</w:t>
            </w:r>
            <w:r w:rsidR="00CC03C6" w:rsidRPr="002B5189">
              <w:rPr>
                <w:b/>
              </w:rPr>
              <w:t>ollow-up costs</w:t>
            </w:r>
          </w:p>
        </w:tc>
        <w:tc>
          <w:tcPr>
            <w:tcW w:w="2790" w:type="dxa"/>
            <w:tcBorders>
              <w:top w:val="single" w:sz="4" w:space="0" w:color="auto"/>
            </w:tcBorders>
            <w:noWrap/>
            <w:hideMark/>
          </w:tcPr>
          <w:p w14:paraId="7F8073D9" w14:textId="77777777" w:rsidR="00CC03C6" w:rsidRPr="00BF65C4" w:rsidRDefault="00CC03C6" w:rsidP="002B5189">
            <w:pPr>
              <w:jc w:val="right"/>
            </w:pPr>
            <w:r w:rsidRPr="00BF65C4">
              <w:t xml:space="preserve">$16,755,907 </w:t>
            </w:r>
          </w:p>
        </w:tc>
      </w:tr>
      <w:tr w:rsidR="008568E9" w:rsidRPr="002B5189" w14:paraId="718AAB55" w14:textId="77777777" w:rsidTr="00CC03C6">
        <w:trPr>
          <w:trHeight w:val="288"/>
        </w:trPr>
        <w:tc>
          <w:tcPr>
            <w:tcW w:w="7596" w:type="dxa"/>
            <w:hideMark/>
          </w:tcPr>
          <w:p w14:paraId="76FA8AE9" w14:textId="77777777" w:rsidR="00CC03C6" w:rsidRPr="002B5189" w:rsidRDefault="00CC03C6" w:rsidP="00CC03C6">
            <w:r w:rsidRPr="002B5189">
              <w:t>Salaries and expenses</w:t>
            </w:r>
          </w:p>
        </w:tc>
        <w:tc>
          <w:tcPr>
            <w:tcW w:w="2790" w:type="dxa"/>
            <w:hideMark/>
          </w:tcPr>
          <w:p w14:paraId="04B0110C" w14:textId="77777777" w:rsidR="00CC03C6" w:rsidRPr="002B5189" w:rsidRDefault="00CC03C6" w:rsidP="002B5189">
            <w:pPr>
              <w:jc w:val="right"/>
            </w:pPr>
            <w:r w:rsidRPr="002B5189">
              <w:t xml:space="preserve">$300,000 </w:t>
            </w:r>
          </w:p>
        </w:tc>
      </w:tr>
      <w:tr w:rsidR="008568E9" w:rsidRPr="002B5189" w14:paraId="1F5B478B" w14:textId="77777777" w:rsidTr="00CC03C6">
        <w:trPr>
          <w:trHeight w:val="288"/>
        </w:trPr>
        <w:tc>
          <w:tcPr>
            <w:tcW w:w="7596" w:type="dxa"/>
            <w:hideMark/>
          </w:tcPr>
          <w:p w14:paraId="6FDBE1FF" w14:textId="77777777" w:rsidR="00CC03C6" w:rsidRPr="002B5189" w:rsidRDefault="00CC03C6" w:rsidP="00CC03C6">
            <w:r w:rsidRPr="002B5189">
              <w:t>Contract costs</w:t>
            </w:r>
          </w:p>
        </w:tc>
        <w:tc>
          <w:tcPr>
            <w:tcW w:w="2790" w:type="dxa"/>
            <w:hideMark/>
          </w:tcPr>
          <w:p w14:paraId="6179F93B" w14:textId="77777777" w:rsidR="00CC03C6" w:rsidRPr="002B5189" w:rsidRDefault="00CC03C6" w:rsidP="002B5189">
            <w:pPr>
              <w:jc w:val="right"/>
            </w:pPr>
            <w:r w:rsidRPr="002B5189">
              <w:t xml:space="preserve">$16,455,907 </w:t>
            </w:r>
          </w:p>
        </w:tc>
      </w:tr>
      <w:tr w:rsidR="008568E9" w:rsidRPr="002B5189" w14:paraId="34E8C4FF" w14:textId="77777777" w:rsidTr="00CC03C6">
        <w:trPr>
          <w:trHeight w:val="288"/>
        </w:trPr>
        <w:tc>
          <w:tcPr>
            <w:tcW w:w="7596" w:type="dxa"/>
            <w:hideMark/>
          </w:tcPr>
          <w:p w14:paraId="0BD463AF" w14:textId="77777777" w:rsidR="00CC03C6" w:rsidRPr="002B5189" w:rsidRDefault="00CC03C6" w:rsidP="00CC03C6">
            <w:pPr>
              <w:rPr>
                <w:b/>
              </w:rPr>
            </w:pPr>
            <w:r w:rsidRPr="002B5189">
              <w:rPr>
                <w:b/>
              </w:rPr>
              <w:t>Field test (2015)</w:t>
            </w:r>
          </w:p>
        </w:tc>
        <w:tc>
          <w:tcPr>
            <w:tcW w:w="2790" w:type="dxa"/>
            <w:noWrap/>
            <w:hideMark/>
          </w:tcPr>
          <w:p w14:paraId="6E00EF49" w14:textId="77777777" w:rsidR="00CC03C6" w:rsidRPr="00BF65C4" w:rsidRDefault="00CC03C6" w:rsidP="002B5189">
            <w:pPr>
              <w:jc w:val="right"/>
            </w:pPr>
            <w:r w:rsidRPr="00BF65C4">
              <w:t xml:space="preserve">$2,435,026 </w:t>
            </w:r>
          </w:p>
        </w:tc>
      </w:tr>
      <w:tr w:rsidR="008568E9" w:rsidRPr="002B5189" w14:paraId="6D2DE9A8" w14:textId="77777777" w:rsidTr="00CC03C6">
        <w:trPr>
          <w:trHeight w:val="288"/>
        </w:trPr>
        <w:tc>
          <w:tcPr>
            <w:tcW w:w="7596" w:type="dxa"/>
            <w:hideMark/>
          </w:tcPr>
          <w:p w14:paraId="60DA3FAE" w14:textId="77777777" w:rsidR="00CC03C6" w:rsidRPr="002B5189" w:rsidRDefault="00CC03C6" w:rsidP="00CC03C6">
            <w:r w:rsidRPr="002B5189">
              <w:t>Salaries and expenses</w:t>
            </w:r>
          </w:p>
        </w:tc>
        <w:tc>
          <w:tcPr>
            <w:tcW w:w="2790" w:type="dxa"/>
            <w:hideMark/>
          </w:tcPr>
          <w:p w14:paraId="2FC9D645" w14:textId="77777777" w:rsidR="00CC03C6" w:rsidRPr="002B5189" w:rsidRDefault="00CC03C6" w:rsidP="002B5189">
            <w:pPr>
              <w:jc w:val="right"/>
            </w:pPr>
            <w:r w:rsidRPr="002B5189">
              <w:t xml:space="preserve">$150,000 </w:t>
            </w:r>
          </w:p>
        </w:tc>
      </w:tr>
      <w:tr w:rsidR="008568E9" w:rsidRPr="002B5189" w14:paraId="3D1237F0" w14:textId="77777777" w:rsidTr="00CC03C6">
        <w:trPr>
          <w:trHeight w:val="288"/>
        </w:trPr>
        <w:tc>
          <w:tcPr>
            <w:tcW w:w="7596" w:type="dxa"/>
            <w:hideMark/>
          </w:tcPr>
          <w:p w14:paraId="1569D502" w14:textId="77777777" w:rsidR="00CC03C6" w:rsidRPr="002B5189" w:rsidRDefault="00CC03C6" w:rsidP="00CC03C6">
            <w:r w:rsidRPr="002B5189">
              <w:t>Contract costs</w:t>
            </w:r>
          </w:p>
        </w:tc>
        <w:tc>
          <w:tcPr>
            <w:tcW w:w="2790" w:type="dxa"/>
            <w:hideMark/>
          </w:tcPr>
          <w:p w14:paraId="181D74B0" w14:textId="77777777" w:rsidR="00CC03C6" w:rsidRPr="002B5189" w:rsidRDefault="00CC03C6" w:rsidP="002B5189">
            <w:pPr>
              <w:jc w:val="right"/>
            </w:pPr>
            <w:r w:rsidRPr="002B5189">
              <w:t xml:space="preserve"> $</w:t>
            </w:r>
            <w:r w:rsidR="00BA0D27">
              <w:t xml:space="preserve"> </w:t>
            </w:r>
            <w:r w:rsidRPr="002B5189">
              <w:t xml:space="preserve">2,285,026 </w:t>
            </w:r>
          </w:p>
        </w:tc>
      </w:tr>
      <w:tr w:rsidR="008568E9" w:rsidRPr="002B5189" w14:paraId="7E475216" w14:textId="77777777" w:rsidTr="00CC03C6">
        <w:trPr>
          <w:trHeight w:val="288"/>
        </w:trPr>
        <w:tc>
          <w:tcPr>
            <w:tcW w:w="7596" w:type="dxa"/>
            <w:hideMark/>
          </w:tcPr>
          <w:p w14:paraId="7EF8CE45" w14:textId="77777777" w:rsidR="00CC03C6" w:rsidRPr="002B5189" w:rsidRDefault="00CC03C6" w:rsidP="00CC03C6">
            <w:pPr>
              <w:rPr>
                <w:b/>
              </w:rPr>
            </w:pPr>
            <w:r w:rsidRPr="002B5189">
              <w:rPr>
                <w:b/>
              </w:rPr>
              <w:t>Main study (2016)</w:t>
            </w:r>
          </w:p>
        </w:tc>
        <w:tc>
          <w:tcPr>
            <w:tcW w:w="2790" w:type="dxa"/>
            <w:noWrap/>
            <w:hideMark/>
          </w:tcPr>
          <w:p w14:paraId="2A0E3656" w14:textId="77777777" w:rsidR="00CC03C6" w:rsidRPr="00BF65C4" w:rsidRDefault="00CC03C6" w:rsidP="002B5189">
            <w:pPr>
              <w:jc w:val="right"/>
            </w:pPr>
            <w:r w:rsidRPr="00BF65C4">
              <w:t xml:space="preserve">$14,320,881 </w:t>
            </w:r>
          </w:p>
        </w:tc>
      </w:tr>
      <w:tr w:rsidR="008568E9" w:rsidRPr="002B5189" w14:paraId="0F49926C" w14:textId="77777777" w:rsidTr="00CC03C6">
        <w:trPr>
          <w:trHeight w:val="288"/>
        </w:trPr>
        <w:tc>
          <w:tcPr>
            <w:tcW w:w="7596" w:type="dxa"/>
            <w:hideMark/>
          </w:tcPr>
          <w:p w14:paraId="112515D3" w14:textId="77777777" w:rsidR="00CC03C6" w:rsidRPr="002B5189" w:rsidRDefault="00CC03C6" w:rsidP="00CC03C6">
            <w:r w:rsidRPr="002B5189">
              <w:t>Salaries and expenses</w:t>
            </w:r>
          </w:p>
        </w:tc>
        <w:tc>
          <w:tcPr>
            <w:tcW w:w="2790" w:type="dxa"/>
            <w:hideMark/>
          </w:tcPr>
          <w:p w14:paraId="56C2EEA2" w14:textId="77777777" w:rsidR="00CC03C6" w:rsidRPr="002B5189" w:rsidRDefault="00CC03C6" w:rsidP="002B5189">
            <w:pPr>
              <w:jc w:val="right"/>
            </w:pPr>
            <w:r w:rsidRPr="002B5189">
              <w:t xml:space="preserve">$150,000 </w:t>
            </w:r>
          </w:p>
        </w:tc>
      </w:tr>
      <w:tr w:rsidR="008568E9" w:rsidRPr="002B5189" w14:paraId="643C997F" w14:textId="77777777" w:rsidTr="00CC03C6">
        <w:trPr>
          <w:trHeight w:val="288"/>
        </w:trPr>
        <w:tc>
          <w:tcPr>
            <w:tcW w:w="7596" w:type="dxa"/>
            <w:tcBorders>
              <w:bottom w:val="single" w:sz="4" w:space="0" w:color="auto"/>
            </w:tcBorders>
            <w:hideMark/>
          </w:tcPr>
          <w:p w14:paraId="1482FD59" w14:textId="77777777" w:rsidR="00CC03C6" w:rsidRPr="002B5189" w:rsidRDefault="00CC03C6" w:rsidP="00CC03C6">
            <w:r w:rsidRPr="002B5189">
              <w:t>Contract costs</w:t>
            </w:r>
          </w:p>
        </w:tc>
        <w:tc>
          <w:tcPr>
            <w:tcW w:w="2790" w:type="dxa"/>
            <w:tcBorders>
              <w:bottom w:val="single" w:sz="4" w:space="0" w:color="auto"/>
            </w:tcBorders>
            <w:hideMark/>
          </w:tcPr>
          <w:p w14:paraId="003DF715" w14:textId="77777777" w:rsidR="00CC03C6" w:rsidRPr="002B5189" w:rsidRDefault="00CC03C6" w:rsidP="002B5189">
            <w:pPr>
              <w:jc w:val="right"/>
            </w:pPr>
            <w:r w:rsidRPr="002B5189">
              <w:t xml:space="preserve"> $</w:t>
            </w:r>
            <w:r w:rsidR="00BA0D27">
              <w:t xml:space="preserve"> </w:t>
            </w:r>
            <w:r w:rsidRPr="002B5189">
              <w:t xml:space="preserve">14,170,881 </w:t>
            </w:r>
          </w:p>
        </w:tc>
      </w:tr>
    </w:tbl>
    <w:p w14:paraId="03D9982D" w14:textId="77777777" w:rsidR="0072781E" w:rsidRPr="002B5189" w:rsidRDefault="0072781E" w:rsidP="001265CD">
      <w:pPr>
        <w:pStyle w:val="exhibitsource"/>
      </w:pPr>
      <w:r w:rsidRPr="002B5189">
        <w:t xml:space="preserve">NOTE: Field test costs represent Task </w:t>
      </w:r>
      <w:r w:rsidR="00CC03C6" w:rsidRPr="002B5189">
        <w:t xml:space="preserve">3 </w:t>
      </w:r>
      <w:r w:rsidR="00AF5035" w:rsidRPr="002B5189">
        <w:t>and two-fifths of Task 1 (representing two of the five years of the contract). O</w:t>
      </w:r>
      <w:r w:rsidRPr="002B5189">
        <w:t>f the HSLS:09 contract; base-year main study costs include task</w:t>
      </w:r>
      <w:r w:rsidR="00CC03C6" w:rsidRPr="002B5189">
        <w:t>s 2,</w:t>
      </w:r>
      <w:r w:rsidRPr="002B5189">
        <w:t xml:space="preserve"> </w:t>
      </w:r>
      <w:r w:rsidR="00CC03C6" w:rsidRPr="002B5189">
        <w:t>4, 5, 6,</w:t>
      </w:r>
      <w:r w:rsidR="00BA0D27">
        <w:t xml:space="preserve"> </w:t>
      </w:r>
      <w:r w:rsidR="00AF5035" w:rsidRPr="002B5189">
        <w:t>and three-fifths of Task 1</w:t>
      </w:r>
      <w:r w:rsidRPr="002B5189">
        <w:t>.</w:t>
      </w:r>
    </w:p>
    <w:p w14:paraId="4DAF9B96" w14:textId="77777777" w:rsidR="005912A3" w:rsidRPr="002B5189" w:rsidRDefault="005912A3" w:rsidP="005912A3">
      <w:pPr>
        <w:pStyle w:val="ExhibitTitle"/>
      </w:pPr>
      <w:bookmarkStart w:id="89" w:name="_Toc403596413"/>
      <w:bookmarkStart w:id="90" w:name="_Toc401834519"/>
      <w:bookmarkStart w:id="91" w:name="_Toc192579048"/>
      <w:r w:rsidRPr="002B5189">
        <w:t>Exhibit A-</w:t>
      </w:r>
      <w:r w:rsidR="00C07835">
        <w:t>4</w:t>
      </w:r>
      <w:r w:rsidRPr="002B5189">
        <w:t>b.</w:t>
      </w:r>
      <w:r w:rsidRPr="002B5189">
        <w:tab/>
        <w:t>Total Contract Costs</w:t>
      </w:r>
      <w:bookmarkEnd w:id="89"/>
      <w:r w:rsidRPr="002B5189">
        <w:t xml:space="preserve"> </w:t>
      </w:r>
    </w:p>
    <w:tbl>
      <w:tblPr>
        <w:tblW w:w="5000" w:type="pct"/>
        <w:tblLook w:val="04A0" w:firstRow="1" w:lastRow="0" w:firstColumn="1" w:lastColumn="0" w:noHBand="0" w:noVBand="1"/>
      </w:tblPr>
      <w:tblGrid>
        <w:gridCol w:w="7498"/>
        <w:gridCol w:w="2942"/>
      </w:tblGrid>
      <w:tr w:rsidR="008568E9" w:rsidRPr="002B5189" w14:paraId="018DDE33" w14:textId="77777777" w:rsidTr="00C07835">
        <w:trPr>
          <w:trHeight w:val="288"/>
        </w:trPr>
        <w:tc>
          <w:tcPr>
            <w:tcW w:w="3591" w:type="pct"/>
            <w:tcBorders>
              <w:top w:val="single" w:sz="12" w:space="0" w:color="auto"/>
              <w:left w:val="nil"/>
              <w:bottom w:val="nil"/>
              <w:right w:val="nil"/>
            </w:tcBorders>
            <w:shd w:val="clear" w:color="000000" w:fill="FFFFFF"/>
            <w:vAlign w:val="bottom"/>
            <w:hideMark/>
          </w:tcPr>
          <w:p w14:paraId="64F0ADE5" w14:textId="77777777" w:rsidR="00D8576F" w:rsidRPr="002B5189" w:rsidRDefault="00D8576F">
            <w:r w:rsidRPr="002B5189">
              <w:t>Task 1 - Management</w:t>
            </w:r>
          </w:p>
        </w:tc>
        <w:tc>
          <w:tcPr>
            <w:tcW w:w="1409" w:type="pct"/>
            <w:tcBorders>
              <w:top w:val="single" w:sz="12" w:space="0" w:color="auto"/>
              <w:left w:val="nil"/>
              <w:bottom w:val="nil"/>
              <w:right w:val="nil"/>
            </w:tcBorders>
            <w:shd w:val="clear" w:color="000000" w:fill="FFFFFF"/>
            <w:noWrap/>
            <w:vAlign w:val="bottom"/>
            <w:hideMark/>
          </w:tcPr>
          <w:p w14:paraId="004C1352" w14:textId="77777777" w:rsidR="00D8576F" w:rsidRPr="002B5189" w:rsidRDefault="00D8576F">
            <w:r w:rsidRPr="002B5189">
              <w:t xml:space="preserve"> $</w:t>
            </w:r>
            <w:r w:rsidR="00BA0D27">
              <w:t xml:space="preserve"> </w:t>
            </w:r>
            <w:r w:rsidRPr="002B5189">
              <w:t xml:space="preserve">1,367,965 </w:t>
            </w:r>
          </w:p>
        </w:tc>
      </w:tr>
      <w:tr w:rsidR="008568E9" w:rsidRPr="002B5189" w14:paraId="0355D933" w14:textId="77777777" w:rsidTr="00C07835">
        <w:trPr>
          <w:trHeight w:val="288"/>
        </w:trPr>
        <w:tc>
          <w:tcPr>
            <w:tcW w:w="3591" w:type="pct"/>
            <w:tcBorders>
              <w:top w:val="nil"/>
              <w:left w:val="nil"/>
              <w:bottom w:val="nil"/>
              <w:right w:val="nil"/>
            </w:tcBorders>
            <w:shd w:val="clear" w:color="000000" w:fill="FFFFFF"/>
            <w:vAlign w:val="bottom"/>
            <w:hideMark/>
          </w:tcPr>
          <w:p w14:paraId="3A9200DA" w14:textId="77777777" w:rsidR="00D8576F" w:rsidRPr="002B5189" w:rsidRDefault="00D8576F">
            <w:r w:rsidRPr="002B5189">
              <w:t>Task 2 - Panel Maintenance for HSLS: 09 Second Follow-Up</w:t>
            </w:r>
          </w:p>
        </w:tc>
        <w:tc>
          <w:tcPr>
            <w:tcW w:w="1409" w:type="pct"/>
            <w:tcBorders>
              <w:top w:val="nil"/>
              <w:left w:val="nil"/>
              <w:bottom w:val="nil"/>
              <w:right w:val="nil"/>
            </w:tcBorders>
            <w:shd w:val="clear" w:color="000000" w:fill="FFFFFF"/>
            <w:noWrap/>
            <w:vAlign w:val="bottom"/>
            <w:hideMark/>
          </w:tcPr>
          <w:p w14:paraId="0E37877F" w14:textId="77777777" w:rsidR="00D8576F" w:rsidRPr="002B5189" w:rsidRDefault="00D8576F">
            <w:r w:rsidRPr="002B5189">
              <w:t xml:space="preserve"> $</w:t>
            </w:r>
            <w:r w:rsidR="00BA0D27">
              <w:t xml:space="preserve"> </w:t>
            </w:r>
            <w:r w:rsidRPr="002B5189">
              <w:t xml:space="preserve">569,092 </w:t>
            </w:r>
          </w:p>
        </w:tc>
      </w:tr>
      <w:tr w:rsidR="008568E9" w:rsidRPr="002B5189" w14:paraId="2B5976F4" w14:textId="77777777" w:rsidTr="00C07835">
        <w:trPr>
          <w:trHeight w:val="288"/>
        </w:trPr>
        <w:tc>
          <w:tcPr>
            <w:tcW w:w="3591" w:type="pct"/>
            <w:tcBorders>
              <w:top w:val="nil"/>
              <w:left w:val="nil"/>
              <w:bottom w:val="nil"/>
              <w:right w:val="nil"/>
            </w:tcBorders>
            <w:shd w:val="clear" w:color="000000" w:fill="FFFFFF"/>
            <w:vAlign w:val="bottom"/>
            <w:hideMark/>
          </w:tcPr>
          <w:p w14:paraId="0F7A26A3" w14:textId="77777777" w:rsidR="00D8576F" w:rsidRPr="002B5189" w:rsidRDefault="00D8576F">
            <w:r w:rsidRPr="002B5189">
              <w:t>Task 3 - Field Test (FT)</w:t>
            </w:r>
          </w:p>
        </w:tc>
        <w:tc>
          <w:tcPr>
            <w:tcW w:w="1409" w:type="pct"/>
            <w:tcBorders>
              <w:top w:val="nil"/>
              <w:left w:val="nil"/>
              <w:bottom w:val="nil"/>
              <w:right w:val="nil"/>
            </w:tcBorders>
            <w:shd w:val="clear" w:color="000000" w:fill="FFFFFF"/>
            <w:noWrap/>
            <w:vAlign w:val="bottom"/>
            <w:hideMark/>
          </w:tcPr>
          <w:p w14:paraId="5C28FC07" w14:textId="77777777" w:rsidR="00D8576F" w:rsidRPr="002B5189" w:rsidRDefault="00D8576F">
            <w:r w:rsidRPr="002B5189">
              <w:t xml:space="preserve"> $</w:t>
            </w:r>
            <w:r w:rsidR="00BA0D27">
              <w:t xml:space="preserve"> </w:t>
            </w:r>
            <w:r w:rsidRPr="002B5189">
              <w:t xml:space="preserve">1,737,840 </w:t>
            </w:r>
          </w:p>
        </w:tc>
      </w:tr>
      <w:tr w:rsidR="008568E9" w:rsidRPr="002B5189" w14:paraId="383E23E2" w14:textId="77777777" w:rsidTr="00C07835">
        <w:trPr>
          <w:trHeight w:val="288"/>
        </w:trPr>
        <w:tc>
          <w:tcPr>
            <w:tcW w:w="3591" w:type="pct"/>
            <w:tcBorders>
              <w:top w:val="nil"/>
              <w:left w:val="nil"/>
              <w:bottom w:val="nil"/>
              <w:right w:val="nil"/>
            </w:tcBorders>
            <w:shd w:val="clear" w:color="000000" w:fill="FFFFFF"/>
            <w:vAlign w:val="bottom"/>
            <w:hideMark/>
          </w:tcPr>
          <w:p w14:paraId="22354363" w14:textId="77777777" w:rsidR="00D8576F" w:rsidRPr="002B5189" w:rsidRDefault="00D8576F" w:rsidP="00BF65C4">
            <w:r w:rsidRPr="002B5189">
              <w:t xml:space="preserve">Task 4 </w:t>
            </w:r>
            <w:r w:rsidR="00A651B9" w:rsidRPr="00BF65C4">
              <w:t>–</w:t>
            </w:r>
            <w:r w:rsidRPr="002B5189">
              <w:t xml:space="preserve"> </w:t>
            </w:r>
            <w:r w:rsidR="00A651B9" w:rsidRPr="00BF65C4">
              <w:t xml:space="preserve">Main </w:t>
            </w:r>
            <w:r w:rsidR="00A651B9" w:rsidRPr="00D5480C">
              <w:t>Study</w:t>
            </w:r>
            <w:r w:rsidRPr="002B5189">
              <w:t xml:space="preserve"> Data Collection</w:t>
            </w:r>
          </w:p>
        </w:tc>
        <w:tc>
          <w:tcPr>
            <w:tcW w:w="1409" w:type="pct"/>
            <w:tcBorders>
              <w:top w:val="nil"/>
              <w:left w:val="nil"/>
              <w:bottom w:val="nil"/>
              <w:right w:val="nil"/>
            </w:tcBorders>
            <w:shd w:val="clear" w:color="000000" w:fill="FFFFFF"/>
            <w:noWrap/>
            <w:vAlign w:val="bottom"/>
            <w:hideMark/>
          </w:tcPr>
          <w:p w14:paraId="7066F126" w14:textId="77777777" w:rsidR="00D8576F" w:rsidRPr="002B5189" w:rsidRDefault="00D8576F">
            <w:r w:rsidRPr="002B5189">
              <w:t xml:space="preserve"> $</w:t>
            </w:r>
            <w:r w:rsidR="00BA0D27">
              <w:t xml:space="preserve"> </w:t>
            </w:r>
            <w:r w:rsidRPr="002B5189">
              <w:t xml:space="preserve">6,759,209 </w:t>
            </w:r>
          </w:p>
        </w:tc>
      </w:tr>
      <w:tr w:rsidR="008568E9" w:rsidRPr="002B5189" w14:paraId="5BA10721" w14:textId="77777777" w:rsidTr="00C07835">
        <w:trPr>
          <w:trHeight w:val="288"/>
        </w:trPr>
        <w:tc>
          <w:tcPr>
            <w:tcW w:w="3591" w:type="pct"/>
            <w:tcBorders>
              <w:top w:val="nil"/>
              <w:left w:val="nil"/>
              <w:bottom w:val="nil"/>
              <w:right w:val="nil"/>
            </w:tcBorders>
            <w:shd w:val="clear" w:color="000000" w:fill="FFFFFF"/>
            <w:vAlign w:val="bottom"/>
            <w:hideMark/>
          </w:tcPr>
          <w:p w14:paraId="42F3704A" w14:textId="77777777" w:rsidR="00D8576F" w:rsidRPr="002B5189" w:rsidRDefault="00D8576F" w:rsidP="00BF65C4">
            <w:r w:rsidRPr="002B5189">
              <w:t>Task 5 - Student Financial Aid Records Collection</w:t>
            </w:r>
          </w:p>
        </w:tc>
        <w:tc>
          <w:tcPr>
            <w:tcW w:w="1409" w:type="pct"/>
            <w:tcBorders>
              <w:top w:val="nil"/>
              <w:left w:val="nil"/>
              <w:bottom w:val="nil"/>
              <w:right w:val="nil"/>
            </w:tcBorders>
            <w:shd w:val="clear" w:color="000000" w:fill="FFFFFF"/>
            <w:noWrap/>
            <w:vAlign w:val="bottom"/>
            <w:hideMark/>
          </w:tcPr>
          <w:p w14:paraId="1027A2E6" w14:textId="77777777" w:rsidR="00D8576F" w:rsidRPr="002B5189" w:rsidRDefault="00D8576F">
            <w:r w:rsidRPr="002B5189">
              <w:t xml:space="preserve"> $</w:t>
            </w:r>
            <w:r w:rsidR="00BA0D27">
              <w:t xml:space="preserve"> </w:t>
            </w:r>
            <w:r w:rsidRPr="002B5189">
              <w:t xml:space="preserve">2,218,028 </w:t>
            </w:r>
          </w:p>
        </w:tc>
      </w:tr>
      <w:tr w:rsidR="008568E9" w:rsidRPr="002B5189" w14:paraId="4E315A6F" w14:textId="77777777" w:rsidTr="00C07835">
        <w:trPr>
          <w:trHeight w:val="288"/>
        </w:trPr>
        <w:tc>
          <w:tcPr>
            <w:tcW w:w="3591" w:type="pct"/>
            <w:tcBorders>
              <w:top w:val="nil"/>
              <w:left w:val="nil"/>
              <w:bottom w:val="single" w:sz="12" w:space="0" w:color="auto"/>
              <w:right w:val="nil"/>
            </w:tcBorders>
            <w:shd w:val="clear" w:color="000000" w:fill="FFFFFF"/>
            <w:vAlign w:val="bottom"/>
            <w:hideMark/>
          </w:tcPr>
          <w:p w14:paraId="4B9B51F5" w14:textId="77777777" w:rsidR="00D8576F" w:rsidRPr="002B5189" w:rsidRDefault="00D8576F" w:rsidP="00BF65C4">
            <w:r w:rsidRPr="002B5189">
              <w:t>Task 6 - Postsecondary Transcript Collection</w:t>
            </w:r>
          </w:p>
        </w:tc>
        <w:tc>
          <w:tcPr>
            <w:tcW w:w="1409" w:type="pct"/>
            <w:tcBorders>
              <w:top w:val="nil"/>
              <w:left w:val="nil"/>
              <w:bottom w:val="single" w:sz="12" w:space="0" w:color="auto"/>
              <w:right w:val="nil"/>
            </w:tcBorders>
            <w:shd w:val="clear" w:color="000000" w:fill="FFFFFF"/>
            <w:noWrap/>
            <w:vAlign w:val="bottom"/>
            <w:hideMark/>
          </w:tcPr>
          <w:p w14:paraId="20A3FD19" w14:textId="77777777" w:rsidR="00D8576F" w:rsidRPr="002B5189" w:rsidRDefault="00D8576F">
            <w:r w:rsidRPr="002B5189">
              <w:t xml:space="preserve"> $</w:t>
            </w:r>
            <w:r w:rsidR="00BA0D27">
              <w:t xml:space="preserve"> </w:t>
            </w:r>
            <w:r w:rsidRPr="002B5189">
              <w:t xml:space="preserve">3,803,773 </w:t>
            </w:r>
          </w:p>
        </w:tc>
      </w:tr>
      <w:tr w:rsidR="008568E9" w:rsidRPr="002B5189" w14:paraId="66100A5A" w14:textId="77777777" w:rsidTr="00C07835">
        <w:trPr>
          <w:trHeight w:val="288"/>
        </w:trPr>
        <w:tc>
          <w:tcPr>
            <w:tcW w:w="3591" w:type="pct"/>
            <w:tcBorders>
              <w:top w:val="single" w:sz="12" w:space="0" w:color="auto"/>
              <w:left w:val="nil"/>
              <w:bottom w:val="single" w:sz="12" w:space="0" w:color="auto"/>
              <w:right w:val="nil"/>
            </w:tcBorders>
            <w:shd w:val="clear" w:color="000000" w:fill="FFFFFF"/>
            <w:noWrap/>
            <w:vAlign w:val="bottom"/>
            <w:hideMark/>
          </w:tcPr>
          <w:p w14:paraId="5667308F" w14:textId="77777777" w:rsidR="00D8576F" w:rsidRPr="002B5189" w:rsidRDefault="00D8576F">
            <w:r w:rsidRPr="002B5189">
              <w:t>Total</w:t>
            </w:r>
          </w:p>
        </w:tc>
        <w:tc>
          <w:tcPr>
            <w:tcW w:w="1409" w:type="pct"/>
            <w:tcBorders>
              <w:top w:val="single" w:sz="12" w:space="0" w:color="auto"/>
              <w:left w:val="nil"/>
              <w:bottom w:val="single" w:sz="12" w:space="0" w:color="auto"/>
              <w:right w:val="nil"/>
            </w:tcBorders>
            <w:shd w:val="clear" w:color="000000" w:fill="FFFFFF"/>
            <w:noWrap/>
            <w:vAlign w:val="bottom"/>
            <w:hideMark/>
          </w:tcPr>
          <w:p w14:paraId="4FBECECA" w14:textId="77777777" w:rsidR="00D8576F" w:rsidRPr="002B5189" w:rsidRDefault="00D8576F">
            <w:r w:rsidRPr="002B5189">
              <w:t xml:space="preserve"> $</w:t>
            </w:r>
            <w:r w:rsidR="00BA0D27">
              <w:t xml:space="preserve"> </w:t>
            </w:r>
            <w:r w:rsidRPr="002B5189">
              <w:t xml:space="preserve">16,455,907 </w:t>
            </w:r>
          </w:p>
        </w:tc>
      </w:tr>
    </w:tbl>
    <w:p w14:paraId="1069F8EA" w14:textId="77777777" w:rsidR="0072781E" w:rsidRPr="002B5189" w:rsidRDefault="0072781E" w:rsidP="0054679C">
      <w:pPr>
        <w:pStyle w:val="Heading2"/>
      </w:pPr>
      <w:bookmarkStart w:id="92" w:name="_Toc403397643"/>
      <w:r w:rsidRPr="002B5189">
        <w:t>A.15</w:t>
      </w:r>
      <w:r w:rsidRPr="002B5189">
        <w:tab/>
        <w:t>Reasons for Program Changes</w:t>
      </w:r>
      <w:bookmarkEnd w:id="90"/>
      <w:bookmarkEnd w:id="92"/>
    </w:p>
    <w:p w14:paraId="4C7ED0CB" w14:textId="77777777" w:rsidR="0072781E" w:rsidRPr="00BF65C4" w:rsidRDefault="003E3C39" w:rsidP="0054679C">
      <w:pPr>
        <w:pStyle w:val="BodyText1"/>
      </w:pPr>
      <w:r w:rsidRPr="002B5189">
        <w:t>The</w:t>
      </w:r>
      <w:r w:rsidR="00C07835">
        <w:t xml:space="preserve"> apparent de</w:t>
      </w:r>
      <w:r w:rsidRPr="002B5189">
        <w:t xml:space="preserve">crease in </w:t>
      </w:r>
      <w:r w:rsidR="00C07835">
        <w:t xml:space="preserve">respondent </w:t>
      </w:r>
      <w:r w:rsidRPr="002B5189">
        <w:t xml:space="preserve">burden for this collection is due to the fact that the last OMB approval was for the </w:t>
      </w:r>
      <w:r w:rsidR="00C07835">
        <w:t xml:space="preserve">main study </w:t>
      </w:r>
      <w:r w:rsidR="00A92054" w:rsidRPr="002B5189">
        <w:t xml:space="preserve">high school </w:t>
      </w:r>
      <w:r w:rsidRPr="002B5189">
        <w:t>transc</w:t>
      </w:r>
      <w:r w:rsidR="00C07835">
        <w:t>ript collection and 2013 update, while this request is for t</w:t>
      </w:r>
      <w:r w:rsidRPr="002B5189">
        <w:t xml:space="preserve">he second follow-up </w:t>
      </w:r>
      <w:r w:rsidR="00D775E1" w:rsidRPr="002B5189">
        <w:t xml:space="preserve">field test </w:t>
      </w:r>
      <w:r w:rsidR="00A92054" w:rsidRPr="002B5189">
        <w:t xml:space="preserve">and </w:t>
      </w:r>
      <w:r w:rsidR="00F832B7">
        <w:t xml:space="preserve">only </w:t>
      </w:r>
      <w:r w:rsidR="00A92054" w:rsidRPr="002B5189">
        <w:t xml:space="preserve">panel maintenance activities </w:t>
      </w:r>
      <w:r w:rsidR="00C07835">
        <w:t>for the main study</w:t>
      </w:r>
      <w:r w:rsidR="00A92054" w:rsidRPr="002B5189">
        <w:t>.</w:t>
      </w:r>
    </w:p>
    <w:p w14:paraId="381CE6E5" w14:textId="77777777" w:rsidR="0072781E" w:rsidRPr="00D5480C" w:rsidRDefault="0072781E" w:rsidP="0054679C">
      <w:pPr>
        <w:pStyle w:val="Heading2"/>
      </w:pPr>
      <w:bookmarkStart w:id="93" w:name="_Toc401834520"/>
      <w:bookmarkStart w:id="94" w:name="_Toc403397644"/>
      <w:r w:rsidRPr="00BF65C4">
        <w:t>A.16</w:t>
      </w:r>
      <w:r w:rsidRPr="00BF65C4">
        <w:tab/>
        <w:t>Publication Plans and Project Schedule</w:t>
      </w:r>
      <w:bookmarkEnd w:id="93"/>
      <w:bookmarkEnd w:id="94"/>
    </w:p>
    <w:p w14:paraId="47D2AF4A" w14:textId="77777777" w:rsidR="0072781E" w:rsidRPr="00D5480C" w:rsidRDefault="0072781E" w:rsidP="003B666B">
      <w:pPr>
        <w:pStyle w:val="BodyText"/>
      </w:pPr>
      <w:r w:rsidRPr="00D5480C">
        <w:t>The formal contract for HSLS:09 requires the following reports, publications, or other public information releases:</w:t>
      </w:r>
    </w:p>
    <w:p w14:paraId="789B8A63" w14:textId="77777777" w:rsidR="00BA6F4D" w:rsidRPr="002B5189" w:rsidRDefault="00BA6F4D" w:rsidP="00BA6F4D">
      <w:pPr>
        <w:pStyle w:val="bullets-blank"/>
        <w:numPr>
          <w:ilvl w:val="0"/>
          <w:numId w:val="24"/>
        </w:numPr>
      </w:pPr>
      <w:r w:rsidRPr="002B5189">
        <w:t>Descriptive summaries of significant findings for dissemination to a broad audience;</w:t>
      </w:r>
    </w:p>
    <w:p w14:paraId="0218F65F" w14:textId="77777777" w:rsidR="00BA6F4D" w:rsidRPr="002B5189" w:rsidRDefault="00BA6F4D" w:rsidP="00BA6F4D">
      <w:pPr>
        <w:pStyle w:val="bullets-blank"/>
        <w:numPr>
          <w:ilvl w:val="0"/>
          <w:numId w:val="24"/>
        </w:numPr>
      </w:pPr>
      <w:r w:rsidRPr="002B5189">
        <w:t>Detailed data file documentation describing all aspects of the main study design and data collection procedures, including an appendix summarizing the methodological findings from the field test;</w:t>
      </w:r>
    </w:p>
    <w:p w14:paraId="12B05E7A" w14:textId="77777777" w:rsidR="00BA6F4D" w:rsidRPr="002B5189" w:rsidRDefault="00BA6F4D" w:rsidP="00BA6F4D">
      <w:pPr>
        <w:pStyle w:val="bullets-blank"/>
        <w:numPr>
          <w:ilvl w:val="0"/>
          <w:numId w:val="24"/>
        </w:numPr>
      </w:pPr>
      <w:r w:rsidRPr="002B5189">
        <w:t>Complete data files and documentation for research data users in the form of both restricted-use and a public-use data files;</w:t>
      </w:r>
    </w:p>
    <w:p w14:paraId="13251823" w14:textId="77777777" w:rsidR="00BA6F4D" w:rsidRPr="002B5189" w:rsidRDefault="00BA6F4D" w:rsidP="00BA6F4D">
      <w:pPr>
        <w:pStyle w:val="bullets-blank"/>
        <w:numPr>
          <w:ilvl w:val="0"/>
          <w:numId w:val="24"/>
        </w:numPr>
      </w:pPr>
      <w:r w:rsidRPr="002B5189">
        <w:t>Special tabulations of issues of interest to the higher education community, as determined by NCES.</w:t>
      </w:r>
    </w:p>
    <w:p w14:paraId="111BA878" w14:textId="77777777" w:rsidR="0072781E" w:rsidRPr="002B5189" w:rsidRDefault="0072781E" w:rsidP="00BA6F4D">
      <w:pPr>
        <w:pStyle w:val="bullets-blank"/>
        <w:ind w:left="720" w:firstLine="0"/>
      </w:pPr>
      <w:r w:rsidRPr="002B5189">
        <w:t xml:space="preserve">The operational schedule for the HSLS:09 </w:t>
      </w:r>
      <w:r w:rsidR="000C509D" w:rsidRPr="002B5189">
        <w:t>Second Follow-up</w:t>
      </w:r>
      <w:r w:rsidR="009B5597" w:rsidRPr="002B5189">
        <w:t xml:space="preserve"> </w:t>
      </w:r>
      <w:r w:rsidRPr="002B5189">
        <w:t>field test is shown in Exhibit A</w:t>
      </w:r>
      <w:r w:rsidRPr="002B5189">
        <w:noBreakHyphen/>
      </w:r>
      <w:r w:rsidR="00AF1502">
        <w:t>5</w:t>
      </w:r>
      <w:r w:rsidRPr="002B5189">
        <w:t>.</w:t>
      </w:r>
    </w:p>
    <w:p w14:paraId="6D1ACE72" w14:textId="77777777" w:rsidR="0072781E" w:rsidRPr="002B5189" w:rsidRDefault="0072781E" w:rsidP="00B313A7">
      <w:pPr>
        <w:pStyle w:val="ExhibitTitle"/>
      </w:pPr>
      <w:bookmarkStart w:id="95" w:name="_Toc401842166"/>
      <w:bookmarkStart w:id="96" w:name="_Toc403596414"/>
      <w:bookmarkStart w:id="97" w:name="_Toc255888152"/>
      <w:bookmarkStart w:id="98" w:name="_Toc268594013"/>
      <w:r w:rsidRPr="002B5189">
        <w:t>Exhibit A-</w:t>
      </w:r>
      <w:r w:rsidR="00AF1502">
        <w:t>5</w:t>
      </w:r>
      <w:r w:rsidRPr="002B5189">
        <w:t>.</w:t>
      </w:r>
      <w:r w:rsidRPr="002B5189">
        <w:rPr>
          <w:rFonts w:ascii="Symbol" w:hAnsi="Symbol" w:cs="Symbol"/>
        </w:rPr>
        <w:tab/>
      </w:r>
      <w:r w:rsidRPr="002B5189">
        <w:t>Operational Schedule for HSLS:09</w:t>
      </w:r>
      <w:r w:rsidR="009B5597" w:rsidRPr="002B5189">
        <w:t xml:space="preserve"> Second Follow-up Field Test</w:t>
      </w:r>
      <w:bookmarkEnd w:id="95"/>
      <w:bookmarkEnd w:id="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2535"/>
        <w:gridCol w:w="2735"/>
      </w:tblGrid>
      <w:tr w:rsidR="008568E9" w:rsidRPr="00AF1502" w14:paraId="7E9F514C" w14:textId="77777777" w:rsidTr="00AF1502">
        <w:trPr>
          <w:cantSplit/>
          <w:trHeight w:val="312"/>
        </w:trPr>
        <w:tc>
          <w:tcPr>
            <w:tcW w:w="2476" w:type="pct"/>
            <w:shd w:val="clear" w:color="auto" w:fill="F2F2F2" w:themeFill="background1" w:themeFillShade="F2"/>
            <w:vAlign w:val="center"/>
            <w:hideMark/>
          </w:tcPr>
          <w:p w14:paraId="386ED6DD" w14:textId="77777777" w:rsidR="00B6360F" w:rsidRPr="00AF1502" w:rsidRDefault="00B6360F" w:rsidP="00AF1502">
            <w:pPr>
              <w:ind w:firstLineChars="200" w:firstLine="442"/>
              <w:rPr>
                <w:b/>
                <w:sz w:val="22"/>
                <w:szCs w:val="22"/>
              </w:rPr>
            </w:pPr>
            <w:r w:rsidRPr="00AF1502">
              <w:rPr>
                <w:b/>
                <w:sz w:val="22"/>
                <w:szCs w:val="22"/>
              </w:rPr>
              <w:t>HSLS:09 activity</w:t>
            </w:r>
          </w:p>
        </w:tc>
        <w:tc>
          <w:tcPr>
            <w:tcW w:w="1214" w:type="pct"/>
            <w:shd w:val="clear" w:color="auto" w:fill="F2F2F2" w:themeFill="background1" w:themeFillShade="F2"/>
            <w:vAlign w:val="center"/>
            <w:hideMark/>
          </w:tcPr>
          <w:p w14:paraId="0F35A20C" w14:textId="77777777" w:rsidR="00B6360F" w:rsidRPr="00AF1502" w:rsidRDefault="00B6360F" w:rsidP="00AF1502">
            <w:pPr>
              <w:ind w:firstLineChars="200" w:firstLine="442"/>
              <w:jc w:val="right"/>
              <w:rPr>
                <w:b/>
                <w:sz w:val="22"/>
                <w:szCs w:val="22"/>
              </w:rPr>
            </w:pPr>
            <w:r w:rsidRPr="00AF1502">
              <w:rPr>
                <w:b/>
                <w:sz w:val="22"/>
                <w:szCs w:val="22"/>
              </w:rPr>
              <w:t>Start date</w:t>
            </w:r>
          </w:p>
        </w:tc>
        <w:tc>
          <w:tcPr>
            <w:tcW w:w="1310" w:type="pct"/>
            <w:shd w:val="clear" w:color="auto" w:fill="F2F2F2" w:themeFill="background1" w:themeFillShade="F2"/>
            <w:vAlign w:val="center"/>
            <w:hideMark/>
          </w:tcPr>
          <w:p w14:paraId="17965DF5" w14:textId="77777777" w:rsidR="00B6360F" w:rsidRPr="00AF1502" w:rsidRDefault="00B6360F" w:rsidP="00AF1502">
            <w:pPr>
              <w:ind w:firstLineChars="200" w:firstLine="442"/>
              <w:jc w:val="right"/>
              <w:rPr>
                <w:b/>
                <w:sz w:val="22"/>
                <w:szCs w:val="22"/>
              </w:rPr>
            </w:pPr>
            <w:r w:rsidRPr="00AF1502">
              <w:rPr>
                <w:b/>
                <w:sz w:val="22"/>
                <w:szCs w:val="22"/>
              </w:rPr>
              <w:t>End date</w:t>
            </w:r>
          </w:p>
        </w:tc>
      </w:tr>
      <w:tr w:rsidR="008568E9" w:rsidRPr="002B5189" w14:paraId="10F2A7FB" w14:textId="77777777" w:rsidTr="00AF1502">
        <w:trPr>
          <w:cantSplit/>
          <w:trHeight w:val="288"/>
        </w:trPr>
        <w:tc>
          <w:tcPr>
            <w:tcW w:w="2476" w:type="pct"/>
            <w:shd w:val="clear" w:color="auto" w:fill="auto"/>
            <w:vAlign w:val="center"/>
            <w:hideMark/>
          </w:tcPr>
          <w:p w14:paraId="40FED3E2" w14:textId="77777777" w:rsidR="00B6360F" w:rsidRPr="002B5189" w:rsidRDefault="00B6360F">
            <w:pPr>
              <w:rPr>
                <w:b/>
                <w:bCs/>
                <w:sz w:val="22"/>
                <w:szCs w:val="22"/>
              </w:rPr>
            </w:pPr>
            <w:r w:rsidRPr="002B5189">
              <w:rPr>
                <w:b/>
                <w:bCs/>
                <w:sz w:val="22"/>
                <w:szCs w:val="22"/>
              </w:rPr>
              <w:t>Field Test (FT) Data Collection</w:t>
            </w:r>
          </w:p>
        </w:tc>
        <w:tc>
          <w:tcPr>
            <w:tcW w:w="1214" w:type="pct"/>
            <w:shd w:val="clear" w:color="auto" w:fill="auto"/>
            <w:vAlign w:val="center"/>
            <w:hideMark/>
          </w:tcPr>
          <w:p w14:paraId="0B1367EF" w14:textId="77777777" w:rsidR="00B6360F" w:rsidRPr="002B5189" w:rsidRDefault="00B6360F">
            <w:pPr>
              <w:jc w:val="right"/>
              <w:rPr>
                <w:b/>
                <w:bCs/>
                <w:sz w:val="22"/>
                <w:szCs w:val="22"/>
              </w:rPr>
            </w:pPr>
            <w:r w:rsidRPr="002B5189">
              <w:rPr>
                <w:b/>
                <w:bCs/>
                <w:sz w:val="22"/>
                <w:szCs w:val="22"/>
              </w:rPr>
              <w:t>7/1/2014</w:t>
            </w:r>
          </w:p>
        </w:tc>
        <w:tc>
          <w:tcPr>
            <w:tcW w:w="1310" w:type="pct"/>
            <w:shd w:val="clear" w:color="auto" w:fill="auto"/>
            <w:vAlign w:val="center"/>
            <w:hideMark/>
          </w:tcPr>
          <w:p w14:paraId="028705B5" w14:textId="77777777" w:rsidR="00B6360F" w:rsidRPr="002B5189" w:rsidRDefault="00B6360F">
            <w:pPr>
              <w:jc w:val="right"/>
              <w:rPr>
                <w:b/>
                <w:bCs/>
                <w:sz w:val="22"/>
                <w:szCs w:val="22"/>
              </w:rPr>
            </w:pPr>
            <w:r w:rsidRPr="002B5189">
              <w:rPr>
                <w:b/>
                <w:bCs/>
                <w:sz w:val="22"/>
                <w:szCs w:val="22"/>
              </w:rPr>
              <w:t>8/28/2015</w:t>
            </w:r>
          </w:p>
        </w:tc>
      </w:tr>
      <w:tr w:rsidR="008568E9" w:rsidRPr="002B5189" w14:paraId="4D3B2CC0" w14:textId="77777777" w:rsidTr="00AF1502">
        <w:trPr>
          <w:cantSplit/>
          <w:trHeight w:val="288"/>
        </w:trPr>
        <w:tc>
          <w:tcPr>
            <w:tcW w:w="2476" w:type="pct"/>
            <w:shd w:val="clear" w:color="auto" w:fill="auto"/>
            <w:vAlign w:val="center"/>
            <w:hideMark/>
          </w:tcPr>
          <w:p w14:paraId="4822F6A4" w14:textId="77777777" w:rsidR="00B6360F" w:rsidRPr="002B5189" w:rsidRDefault="00B6360F" w:rsidP="00B6360F">
            <w:pPr>
              <w:ind w:firstLineChars="100" w:firstLine="220"/>
              <w:rPr>
                <w:sz w:val="22"/>
                <w:szCs w:val="22"/>
              </w:rPr>
            </w:pPr>
            <w:r w:rsidRPr="002B5189">
              <w:rPr>
                <w:bCs/>
                <w:sz w:val="22"/>
                <w:szCs w:val="22"/>
              </w:rPr>
              <w:t xml:space="preserve">FT Instrument Development and System Support </w:t>
            </w:r>
          </w:p>
        </w:tc>
        <w:tc>
          <w:tcPr>
            <w:tcW w:w="1214" w:type="pct"/>
            <w:shd w:val="clear" w:color="auto" w:fill="auto"/>
            <w:vAlign w:val="center"/>
            <w:hideMark/>
          </w:tcPr>
          <w:p w14:paraId="005CD3BD" w14:textId="77777777" w:rsidR="00B6360F" w:rsidRPr="002B5189" w:rsidRDefault="00B6360F">
            <w:pPr>
              <w:jc w:val="right"/>
              <w:rPr>
                <w:sz w:val="22"/>
                <w:szCs w:val="22"/>
              </w:rPr>
            </w:pPr>
            <w:r w:rsidRPr="002B5189">
              <w:rPr>
                <w:bCs/>
                <w:sz w:val="22"/>
                <w:szCs w:val="22"/>
              </w:rPr>
              <w:t>7/1/2014</w:t>
            </w:r>
          </w:p>
        </w:tc>
        <w:tc>
          <w:tcPr>
            <w:tcW w:w="1310" w:type="pct"/>
            <w:shd w:val="clear" w:color="auto" w:fill="auto"/>
            <w:vAlign w:val="center"/>
            <w:hideMark/>
          </w:tcPr>
          <w:p w14:paraId="0433AB31" w14:textId="77777777" w:rsidR="00B6360F" w:rsidRPr="002B5189" w:rsidRDefault="00B6360F">
            <w:pPr>
              <w:jc w:val="right"/>
              <w:rPr>
                <w:sz w:val="22"/>
                <w:szCs w:val="22"/>
              </w:rPr>
            </w:pPr>
            <w:r w:rsidRPr="002B5189">
              <w:rPr>
                <w:bCs/>
                <w:sz w:val="22"/>
                <w:szCs w:val="22"/>
              </w:rPr>
              <w:t>3/6/2015</w:t>
            </w:r>
          </w:p>
        </w:tc>
      </w:tr>
      <w:tr w:rsidR="008568E9" w:rsidRPr="002B5189" w14:paraId="5B9FACEE" w14:textId="77777777" w:rsidTr="00AF1502">
        <w:trPr>
          <w:cantSplit/>
          <w:trHeight w:val="288"/>
        </w:trPr>
        <w:tc>
          <w:tcPr>
            <w:tcW w:w="2476" w:type="pct"/>
            <w:shd w:val="clear" w:color="auto" w:fill="auto"/>
            <w:vAlign w:val="center"/>
            <w:hideMark/>
          </w:tcPr>
          <w:p w14:paraId="7230A191" w14:textId="77777777" w:rsidR="00B6360F" w:rsidRPr="002B5189" w:rsidRDefault="00B6360F" w:rsidP="00B6360F">
            <w:pPr>
              <w:ind w:firstLineChars="100" w:firstLine="220"/>
              <w:rPr>
                <w:sz w:val="22"/>
                <w:szCs w:val="22"/>
              </w:rPr>
            </w:pPr>
            <w:r w:rsidRPr="002B5189">
              <w:rPr>
                <w:bCs/>
                <w:sz w:val="22"/>
                <w:szCs w:val="22"/>
              </w:rPr>
              <w:t xml:space="preserve">FT Cognitive Interviews </w:t>
            </w:r>
          </w:p>
        </w:tc>
        <w:tc>
          <w:tcPr>
            <w:tcW w:w="1214" w:type="pct"/>
            <w:shd w:val="clear" w:color="auto" w:fill="auto"/>
            <w:vAlign w:val="center"/>
            <w:hideMark/>
          </w:tcPr>
          <w:p w14:paraId="4EB32D3D" w14:textId="77777777" w:rsidR="00B6360F" w:rsidRPr="002B5189" w:rsidRDefault="00B6360F">
            <w:pPr>
              <w:jc w:val="right"/>
              <w:rPr>
                <w:sz w:val="22"/>
                <w:szCs w:val="22"/>
              </w:rPr>
            </w:pPr>
            <w:r w:rsidRPr="002B5189">
              <w:rPr>
                <w:bCs/>
                <w:sz w:val="22"/>
                <w:szCs w:val="22"/>
              </w:rPr>
              <w:t>11/26/2014</w:t>
            </w:r>
          </w:p>
        </w:tc>
        <w:tc>
          <w:tcPr>
            <w:tcW w:w="1310" w:type="pct"/>
            <w:shd w:val="clear" w:color="auto" w:fill="auto"/>
            <w:vAlign w:val="center"/>
            <w:hideMark/>
          </w:tcPr>
          <w:p w14:paraId="4ADB56D9" w14:textId="77777777" w:rsidR="00B6360F" w:rsidRPr="002B5189" w:rsidRDefault="00B6360F">
            <w:pPr>
              <w:jc w:val="right"/>
              <w:rPr>
                <w:sz w:val="22"/>
                <w:szCs w:val="22"/>
              </w:rPr>
            </w:pPr>
            <w:r w:rsidRPr="002B5189">
              <w:rPr>
                <w:bCs/>
                <w:sz w:val="22"/>
                <w:szCs w:val="22"/>
              </w:rPr>
              <w:t>3/6/2015</w:t>
            </w:r>
          </w:p>
        </w:tc>
      </w:tr>
      <w:tr w:rsidR="008568E9" w:rsidRPr="002B5189" w14:paraId="4F82FA31" w14:textId="77777777" w:rsidTr="00AF1502">
        <w:trPr>
          <w:cantSplit/>
          <w:trHeight w:val="288"/>
        </w:trPr>
        <w:tc>
          <w:tcPr>
            <w:tcW w:w="2476" w:type="pct"/>
            <w:shd w:val="clear" w:color="auto" w:fill="auto"/>
            <w:vAlign w:val="center"/>
            <w:hideMark/>
          </w:tcPr>
          <w:p w14:paraId="17BA0818" w14:textId="77777777" w:rsidR="00B6360F" w:rsidRPr="002B5189" w:rsidRDefault="00B6360F" w:rsidP="00B6360F">
            <w:pPr>
              <w:ind w:firstLineChars="100" w:firstLine="220"/>
              <w:rPr>
                <w:sz w:val="22"/>
                <w:szCs w:val="22"/>
              </w:rPr>
            </w:pPr>
            <w:r w:rsidRPr="002B5189">
              <w:rPr>
                <w:bCs/>
                <w:sz w:val="22"/>
                <w:szCs w:val="22"/>
              </w:rPr>
              <w:t xml:space="preserve">FT Web/CATI Training </w:t>
            </w:r>
          </w:p>
        </w:tc>
        <w:tc>
          <w:tcPr>
            <w:tcW w:w="1214" w:type="pct"/>
            <w:shd w:val="clear" w:color="auto" w:fill="auto"/>
            <w:vAlign w:val="center"/>
            <w:hideMark/>
          </w:tcPr>
          <w:p w14:paraId="56D54E32" w14:textId="77777777" w:rsidR="00B6360F" w:rsidRPr="002B5189" w:rsidRDefault="00B6360F">
            <w:pPr>
              <w:jc w:val="right"/>
              <w:rPr>
                <w:sz w:val="22"/>
                <w:szCs w:val="22"/>
              </w:rPr>
            </w:pPr>
            <w:r w:rsidRPr="002B5189">
              <w:rPr>
                <w:bCs/>
                <w:sz w:val="22"/>
                <w:szCs w:val="22"/>
              </w:rPr>
              <w:t>12/8/2014</w:t>
            </w:r>
          </w:p>
        </w:tc>
        <w:tc>
          <w:tcPr>
            <w:tcW w:w="1310" w:type="pct"/>
            <w:shd w:val="clear" w:color="auto" w:fill="auto"/>
            <w:vAlign w:val="center"/>
            <w:hideMark/>
          </w:tcPr>
          <w:p w14:paraId="5025A6F6" w14:textId="77777777" w:rsidR="00B6360F" w:rsidRPr="002B5189" w:rsidRDefault="00B6360F">
            <w:pPr>
              <w:jc w:val="right"/>
              <w:rPr>
                <w:sz w:val="22"/>
                <w:szCs w:val="22"/>
              </w:rPr>
            </w:pPr>
            <w:r w:rsidRPr="002B5189">
              <w:rPr>
                <w:bCs/>
                <w:sz w:val="22"/>
                <w:szCs w:val="22"/>
              </w:rPr>
              <w:t>4/9/2015</w:t>
            </w:r>
          </w:p>
        </w:tc>
      </w:tr>
      <w:tr w:rsidR="008568E9" w:rsidRPr="002B5189" w14:paraId="2C2DF678" w14:textId="77777777" w:rsidTr="00AF1502">
        <w:trPr>
          <w:cantSplit/>
          <w:trHeight w:val="288"/>
        </w:trPr>
        <w:tc>
          <w:tcPr>
            <w:tcW w:w="2476" w:type="pct"/>
            <w:shd w:val="clear" w:color="auto" w:fill="auto"/>
            <w:vAlign w:val="center"/>
            <w:hideMark/>
          </w:tcPr>
          <w:p w14:paraId="6EC506EF" w14:textId="77777777" w:rsidR="00B6360F" w:rsidRPr="002B5189" w:rsidRDefault="00B6360F" w:rsidP="00B6360F">
            <w:pPr>
              <w:ind w:firstLineChars="100" w:firstLine="220"/>
              <w:rPr>
                <w:sz w:val="22"/>
                <w:szCs w:val="22"/>
              </w:rPr>
            </w:pPr>
            <w:r w:rsidRPr="002B5189">
              <w:rPr>
                <w:bCs/>
                <w:sz w:val="22"/>
                <w:szCs w:val="22"/>
              </w:rPr>
              <w:t xml:space="preserve">Conduct FT Tracing </w:t>
            </w:r>
          </w:p>
        </w:tc>
        <w:tc>
          <w:tcPr>
            <w:tcW w:w="1214" w:type="pct"/>
            <w:shd w:val="clear" w:color="auto" w:fill="auto"/>
            <w:vAlign w:val="center"/>
            <w:hideMark/>
          </w:tcPr>
          <w:p w14:paraId="17A7F690" w14:textId="77777777" w:rsidR="00B6360F" w:rsidRPr="002B5189" w:rsidRDefault="00B6360F">
            <w:pPr>
              <w:jc w:val="right"/>
              <w:rPr>
                <w:sz w:val="22"/>
                <w:szCs w:val="22"/>
              </w:rPr>
            </w:pPr>
            <w:r w:rsidRPr="002B5189">
              <w:rPr>
                <w:bCs/>
                <w:sz w:val="22"/>
                <w:szCs w:val="22"/>
              </w:rPr>
              <w:t>1/12/2015</w:t>
            </w:r>
          </w:p>
        </w:tc>
        <w:tc>
          <w:tcPr>
            <w:tcW w:w="1310" w:type="pct"/>
            <w:shd w:val="clear" w:color="auto" w:fill="auto"/>
            <w:vAlign w:val="center"/>
            <w:hideMark/>
          </w:tcPr>
          <w:p w14:paraId="21AAAFFB" w14:textId="77777777" w:rsidR="00B6360F" w:rsidRPr="002B5189" w:rsidRDefault="00B6360F">
            <w:pPr>
              <w:jc w:val="right"/>
              <w:rPr>
                <w:sz w:val="22"/>
                <w:szCs w:val="22"/>
              </w:rPr>
            </w:pPr>
            <w:r w:rsidRPr="002B5189">
              <w:rPr>
                <w:bCs/>
                <w:sz w:val="22"/>
                <w:szCs w:val="22"/>
              </w:rPr>
              <w:t>7/30/2015</w:t>
            </w:r>
          </w:p>
        </w:tc>
      </w:tr>
      <w:tr w:rsidR="008568E9" w:rsidRPr="002B5189" w14:paraId="49B7544A" w14:textId="77777777" w:rsidTr="00AF1502">
        <w:trPr>
          <w:cantSplit/>
          <w:trHeight w:val="288"/>
        </w:trPr>
        <w:tc>
          <w:tcPr>
            <w:tcW w:w="2476" w:type="pct"/>
            <w:shd w:val="clear" w:color="auto" w:fill="auto"/>
            <w:vAlign w:val="center"/>
            <w:hideMark/>
          </w:tcPr>
          <w:p w14:paraId="7A551B9A" w14:textId="77777777" w:rsidR="00B6360F" w:rsidRPr="002B5189" w:rsidRDefault="00B6360F" w:rsidP="00B6360F">
            <w:pPr>
              <w:ind w:firstLineChars="100" w:firstLine="220"/>
              <w:rPr>
                <w:sz w:val="22"/>
                <w:szCs w:val="22"/>
              </w:rPr>
            </w:pPr>
            <w:r w:rsidRPr="002B5189">
              <w:rPr>
                <w:bCs/>
                <w:sz w:val="22"/>
                <w:szCs w:val="22"/>
              </w:rPr>
              <w:t xml:space="preserve">FT Data Files </w:t>
            </w:r>
          </w:p>
        </w:tc>
        <w:tc>
          <w:tcPr>
            <w:tcW w:w="1214" w:type="pct"/>
            <w:shd w:val="clear" w:color="auto" w:fill="auto"/>
            <w:vAlign w:val="center"/>
            <w:hideMark/>
          </w:tcPr>
          <w:p w14:paraId="2E10E420" w14:textId="77777777" w:rsidR="00B6360F" w:rsidRPr="002B5189" w:rsidRDefault="00B6360F">
            <w:pPr>
              <w:jc w:val="right"/>
              <w:rPr>
                <w:sz w:val="22"/>
                <w:szCs w:val="22"/>
              </w:rPr>
            </w:pPr>
            <w:r w:rsidRPr="002B5189">
              <w:rPr>
                <w:bCs/>
                <w:sz w:val="22"/>
                <w:szCs w:val="22"/>
              </w:rPr>
              <w:t>4/13/2015</w:t>
            </w:r>
          </w:p>
        </w:tc>
        <w:tc>
          <w:tcPr>
            <w:tcW w:w="1310" w:type="pct"/>
            <w:shd w:val="clear" w:color="auto" w:fill="auto"/>
            <w:vAlign w:val="center"/>
            <w:hideMark/>
          </w:tcPr>
          <w:p w14:paraId="590C58CB" w14:textId="77777777" w:rsidR="00B6360F" w:rsidRPr="002B5189" w:rsidRDefault="00B6360F">
            <w:pPr>
              <w:jc w:val="right"/>
              <w:rPr>
                <w:sz w:val="22"/>
                <w:szCs w:val="22"/>
              </w:rPr>
            </w:pPr>
            <w:r w:rsidRPr="002B5189">
              <w:rPr>
                <w:bCs/>
                <w:sz w:val="22"/>
                <w:szCs w:val="22"/>
              </w:rPr>
              <w:t>8/28/2015</w:t>
            </w:r>
          </w:p>
        </w:tc>
      </w:tr>
      <w:tr w:rsidR="008568E9" w:rsidRPr="002B5189" w14:paraId="6ED3D8F6" w14:textId="77777777" w:rsidTr="00AF1502">
        <w:trPr>
          <w:cantSplit/>
          <w:trHeight w:val="288"/>
        </w:trPr>
        <w:tc>
          <w:tcPr>
            <w:tcW w:w="2476" w:type="pct"/>
            <w:shd w:val="clear" w:color="auto" w:fill="auto"/>
            <w:vAlign w:val="center"/>
            <w:hideMark/>
          </w:tcPr>
          <w:p w14:paraId="19296DFB" w14:textId="77777777" w:rsidR="00B6360F" w:rsidRPr="002B5189" w:rsidRDefault="00B6360F" w:rsidP="00B6360F">
            <w:pPr>
              <w:ind w:firstLineChars="100" w:firstLine="220"/>
              <w:rPr>
                <w:sz w:val="22"/>
                <w:szCs w:val="22"/>
              </w:rPr>
            </w:pPr>
            <w:r w:rsidRPr="002B5189">
              <w:rPr>
                <w:bCs/>
                <w:sz w:val="22"/>
                <w:szCs w:val="22"/>
              </w:rPr>
              <w:t xml:space="preserve">FT Reporting </w:t>
            </w:r>
          </w:p>
        </w:tc>
        <w:tc>
          <w:tcPr>
            <w:tcW w:w="1214" w:type="pct"/>
            <w:shd w:val="clear" w:color="auto" w:fill="auto"/>
            <w:vAlign w:val="center"/>
            <w:hideMark/>
          </w:tcPr>
          <w:p w14:paraId="656CFA84" w14:textId="77777777" w:rsidR="00B6360F" w:rsidRPr="002B5189" w:rsidRDefault="00B6360F">
            <w:pPr>
              <w:jc w:val="right"/>
              <w:rPr>
                <w:sz w:val="22"/>
                <w:szCs w:val="22"/>
              </w:rPr>
            </w:pPr>
            <w:r w:rsidRPr="002B5189">
              <w:rPr>
                <w:bCs/>
                <w:sz w:val="22"/>
                <w:szCs w:val="22"/>
              </w:rPr>
              <w:t>5/26/2015</w:t>
            </w:r>
          </w:p>
        </w:tc>
        <w:tc>
          <w:tcPr>
            <w:tcW w:w="1310" w:type="pct"/>
            <w:shd w:val="clear" w:color="auto" w:fill="auto"/>
            <w:vAlign w:val="center"/>
            <w:hideMark/>
          </w:tcPr>
          <w:p w14:paraId="20D38CF8" w14:textId="77777777" w:rsidR="00B6360F" w:rsidRPr="002B5189" w:rsidRDefault="00B6360F">
            <w:pPr>
              <w:jc w:val="right"/>
              <w:rPr>
                <w:sz w:val="22"/>
                <w:szCs w:val="22"/>
              </w:rPr>
            </w:pPr>
            <w:r w:rsidRPr="002B5189">
              <w:rPr>
                <w:bCs/>
                <w:sz w:val="22"/>
                <w:szCs w:val="22"/>
              </w:rPr>
              <w:t>3/7/2016</w:t>
            </w:r>
          </w:p>
        </w:tc>
      </w:tr>
      <w:tr w:rsidR="008568E9" w:rsidRPr="002B5189" w14:paraId="3D9F7665" w14:textId="77777777" w:rsidTr="00AF1502">
        <w:trPr>
          <w:cantSplit/>
          <w:trHeight w:val="300"/>
        </w:trPr>
        <w:tc>
          <w:tcPr>
            <w:tcW w:w="2476" w:type="pct"/>
            <w:shd w:val="clear" w:color="auto" w:fill="auto"/>
            <w:vAlign w:val="center"/>
            <w:hideMark/>
          </w:tcPr>
          <w:p w14:paraId="50375186" w14:textId="77777777" w:rsidR="00B6360F" w:rsidRPr="002B5189" w:rsidRDefault="00B6360F" w:rsidP="00B6360F">
            <w:pPr>
              <w:ind w:firstLineChars="100" w:firstLine="220"/>
              <w:rPr>
                <w:sz w:val="22"/>
                <w:szCs w:val="22"/>
              </w:rPr>
            </w:pPr>
            <w:r w:rsidRPr="002B5189">
              <w:rPr>
                <w:bCs/>
                <w:sz w:val="22"/>
                <w:szCs w:val="22"/>
              </w:rPr>
              <w:t xml:space="preserve">Responsive Design Experiment </w:t>
            </w:r>
          </w:p>
        </w:tc>
        <w:tc>
          <w:tcPr>
            <w:tcW w:w="1214" w:type="pct"/>
            <w:shd w:val="clear" w:color="auto" w:fill="auto"/>
            <w:vAlign w:val="center"/>
            <w:hideMark/>
          </w:tcPr>
          <w:p w14:paraId="753F5AC4" w14:textId="77777777" w:rsidR="00B6360F" w:rsidRPr="002B5189" w:rsidRDefault="00B6360F">
            <w:pPr>
              <w:jc w:val="right"/>
              <w:rPr>
                <w:sz w:val="22"/>
                <w:szCs w:val="22"/>
              </w:rPr>
            </w:pPr>
            <w:r w:rsidRPr="002B5189">
              <w:rPr>
                <w:sz w:val="22"/>
                <w:szCs w:val="22"/>
              </w:rPr>
              <w:t>tbd</w:t>
            </w:r>
          </w:p>
        </w:tc>
        <w:tc>
          <w:tcPr>
            <w:tcW w:w="1310" w:type="pct"/>
            <w:shd w:val="clear" w:color="auto" w:fill="auto"/>
            <w:vAlign w:val="center"/>
            <w:hideMark/>
          </w:tcPr>
          <w:p w14:paraId="1A8A1049" w14:textId="77777777" w:rsidR="00B6360F" w:rsidRPr="002B5189" w:rsidRDefault="00B6360F">
            <w:pPr>
              <w:jc w:val="right"/>
              <w:rPr>
                <w:sz w:val="22"/>
                <w:szCs w:val="22"/>
              </w:rPr>
            </w:pPr>
            <w:r w:rsidRPr="002B5189">
              <w:rPr>
                <w:bCs/>
                <w:sz w:val="22"/>
                <w:szCs w:val="22"/>
              </w:rPr>
              <w:t>8/31/2015</w:t>
            </w:r>
          </w:p>
        </w:tc>
      </w:tr>
      <w:tr w:rsidR="008568E9" w:rsidRPr="002B5189" w14:paraId="52A886B0" w14:textId="77777777" w:rsidTr="00AF1502">
        <w:trPr>
          <w:cantSplit/>
          <w:trHeight w:val="296"/>
        </w:trPr>
        <w:tc>
          <w:tcPr>
            <w:tcW w:w="2476" w:type="pct"/>
            <w:shd w:val="clear" w:color="auto" w:fill="auto"/>
            <w:vAlign w:val="center"/>
            <w:hideMark/>
          </w:tcPr>
          <w:p w14:paraId="298DCB2C" w14:textId="77777777" w:rsidR="00B6360F" w:rsidRPr="002B5189" w:rsidRDefault="00B6360F">
            <w:pPr>
              <w:rPr>
                <w:b/>
                <w:bCs/>
                <w:sz w:val="22"/>
                <w:szCs w:val="22"/>
              </w:rPr>
            </w:pPr>
            <w:r w:rsidRPr="002B5189">
              <w:rPr>
                <w:b/>
                <w:bCs/>
                <w:sz w:val="22"/>
                <w:szCs w:val="22"/>
              </w:rPr>
              <w:t>Second Follow-up Main Study (MS) Data Collection</w:t>
            </w:r>
            <w:r w:rsidRPr="002B5189">
              <w:rPr>
                <w:sz w:val="22"/>
                <w:szCs w:val="22"/>
              </w:rPr>
              <w:t xml:space="preserve"> </w:t>
            </w:r>
          </w:p>
        </w:tc>
        <w:tc>
          <w:tcPr>
            <w:tcW w:w="1214" w:type="pct"/>
            <w:shd w:val="clear" w:color="auto" w:fill="auto"/>
            <w:vAlign w:val="center"/>
            <w:hideMark/>
          </w:tcPr>
          <w:p w14:paraId="3FB81F97" w14:textId="77777777" w:rsidR="00B6360F" w:rsidRPr="002B5189" w:rsidRDefault="00B6360F">
            <w:pPr>
              <w:jc w:val="right"/>
              <w:rPr>
                <w:b/>
                <w:bCs/>
                <w:sz w:val="22"/>
                <w:szCs w:val="22"/>
              </w:rPr>
            </w:pPr>
            <w:r w:rsidRPr="002B5189">
              <w:rPr>
                <w:b/>
                <w:bCs/>
                <w:sz w:val="22"/>
                <w:szCs w:val="22"/>
              </w:rPr>
              <w:t>11/26/2014</w:t>
            </w:r>
          </w:p>
        </w:tc>
        <w:tc>
          <w:tcPr>
            <w:tcW w:w="1310" w:type="pct"/>
            <w:shd w:val="clear" w:color="auto" w:fill="auto"/>
            <w:vAlign w:val="center"/>
            <w:hideMark/>
          </w:tcPr>
          <w:p w14:paraId="15A0BE12" w14:textId="77777777" w:rsidR="00B6360F" w:rsidRPr="002B5189" w:rsidRDefault="00B6360F">
            <w:pPr>
              <w:jc w:val="right"/>
              <w:rPr>
                <w:b/>
                <w:bCs/>
                <w:sz w:val="22"/>
                <w:szCs w:val="22"/>
              </w:rPr>
            </w:pPr>
            <w:r w:rsidRPr="002B5189">
              <w:rPr>
                <w:b/>
                <w:bCs/>
                <w:sz w:val="22"/>
                <w:szCs w:val="22"/>
              </w:rPr>
              <w:t>11/30/2018</w:t>
            </w:r>
          </w:p>
        </w:tc>
      </w:tr>
      <w:tr w:rsidR="008568E9" w:rsidRPr="002B5189" w14:paraId="79759953" w14:textId="77777777" w:rsidTr="00AF1502">
        <w:trPr>
          <w:cantSplit/>
          <w:trHeight w:val="288"/>
        </w:trPr>
        <w:tc>
          <w:tcPr>
            <w:tcW w:w="2476" w:type="pct"/>
            <w:shd w:val="clear" w:color="auto" w:fill="auto"/>
            <w:vAlign w:val="center"/>
            <w:hideMark/>
          </w:tcPr>
          <w:p w14:paraId="2643F916" w14:textId="77777777" w:rsidR="00B6360F" w:rsidRPr="002B5189" w:rsidRDefault="00B6360F" w:rsidP="00B6360F">
            <w:pPr>
              <w:ind w:firstLineChars="100" w:firstLine="220"/>
              <w:rPr>
                <w:sz w:val="22"/>
                <w:szCs w:val="22"/>
              </w:rPr>
            </w:pPr>
            <w:r w:rsidRPr="002B5189">
              <w:rPr>
                <w:bCs/>
                <w:sz w:val="22"/>
                <w:szCs w:val="22"/>
              </w:rPr>
              <w:t>OMB review of MS package</w:t>
            </w:r>
          </w:p>
        </w:tc>
        <w:tc>
          <w:tcPr>
            <w:tcW w:w="1214" w:type="pct"/>
            <w:shd w:val="clear" w:color="auto" w:fill="auto"/>
            <w:vAlign w:val="center"/>
            <w:hideMark/>
          </w:tcPr>
          <w:p w14:paraId="18B79118" w14:textId="77777777" w:rsidR="00B6360F" w:rsidRPr="002B5189" w:rsidRDefault="00A227B6">
            <w:pPr>
              <w:jc w:val="right"/>
              <w:rPr>
                <w:sz w:val="22"/>
                <w:szCs w:val="22"/>
              </w:rPr>
            </w:pPr>
            <w:r w:rsidRPr="002B5189">
              <w:rPr>
                <w:bCs/>
                <w:sz w:val="22"/>
                <w:szCs w:val="22"/>
              </w:rPr>
              <w:t>09/15/2015</w:t>
            </w:r>
          </w:p>
        </w:tc>
        <w:tc>
          <w:tcPr>
            <w:tcW w:w="1310" w:type="pct"/>
            <w:shd w:val="clear" w:color="auto" w:fill="auto"/>
            <w:vAlign w:val="center"/>
            <w:hideMark/>
          </w:tcPr>
          <w:p w14:paraId="5545FFDD" w14:textId="77777777" w:rsidR="00B6360F" w:rsidRPr="002B5189" w:rsidRDefault="00B6360F">
            <w:pPr>
              <w:jc w:val="right"/>
              <w:rPr>
                <w:sz w:val="22"/>
                <w:szCs w:val="22"/>
              </w:rPr>
            </w:pPr>
            <w:r w:rsidRPr="002B5189">
              <w:rPr>
                <w:bCs/>
                <w:sz w:val="22"/>
                <w:szCs w:val="22"/>
              </w:rPr>
              <w:t xml:space="preserve">-- </w:t>
            </w:r>
          </w:p>
        </w:tc>
      </w:tr>
      <w:tr w:rsidR="008568E9" w:rsidRPr="002B5189" w14:paraId="4C3A76BF" w14:textId="77777777" w:rsidTr="00AF1502">
        <w:trPr>
          <w:cantSplit/>
          <w:trHeight w:val="288"/>
        </w:trPr>
        <w:tc>
          <w:tcPr>
            <w:tcW w:w="2476" w:type="pct"/>
            <w:shd w:val="clear" w:color="auto" w:fill="auto"/>
            <w:vAlign w:val="center"/>
            <w:hideMark/>
          </w:tcPr>
          <w:p w14:paraId="2F87EF67" w14:textId="77777777" w:rsidR="00B6360F" w:rsidRPr="002B5189" w:rsidRDefault="00B6360F" w:rsidP="00B6360F">
            <w:pPr>
              <w:ind w:firstLineChars="100" w:firstLine="220"/>
              <w:rPr>
                <w:sz w:val="22"/>
                <w:szCs w:val="22"/>
              </w:rPr>
            </w:pPr>
            <w:r w:rsidRPr="002B5189">
              <w:rPr>
                <w:bCs/>
                <w:sz w:val="22"/>
                <w:szCs w:val="22"/>
              </w:rPr>
              <w:t xml:space="preserve">MS Instrument Development and System Support </w:t>
            </w:r>
          </w:p>
        </w:tc>
        <w:tc>
          <w:tcPr>
            <w:tcW w:w="1214" w:type="pct"/>
            <w:shd w:val="clear" w:color="auto" w:fill="auto"/>
            <w:vAlign w:val="center"/>
            <w:hideMark/>
          </w:tcPr>
          <w:p w14:paraId="0CF80BC7" w14:textId="77777777" w:rsidR="00B6360F" w:rsidRPr="002B5189" w:rsidRDefault="00B6360F">
            <w:pPr>
              <w:jc w:val="right"/>
              <w:rPr>
                <w:sz w:val="22"/>
                <w:szCs w:val="22"/>
              </w:rPr>
            </w:pPr>
            <w:r w:rsidRPr="002B5189">
              <w:rPr>
                <w:bCs/>
                <w:sz w:val="22"/>
                <w:szCs w:val="22"/>
              </w:rPr>
              <w:t>3/9/2015</w:t>
            </w:r>
          </w:p>
        </w:tc>
        <w:tc>
          <w:tcPr>
            <w:tcW w:w="1310" w:type="pct"/>
            <w:shd w:val="clear" w:color="auto" w:fill="auto"/>
            <w:vAlign w:val="center"/>
            <w:hideMark/>
          </w:tcPr>
          <w:p w14:paraId="22E87E1A" w14:textId="77777777" w:rsidR="00B6360F" w:rsidRPr="002B5189" w:rsidRDefault="00B6360F">
            <w:pPr>
              <w:jc w:val="right"/>
              <w:rPr>
                <w:sz w:val="22"/>
                <w:szCs w:val="22"/>
              </w:rPr>
            </w:pPr>
            <w:r w:rsidRPr="002B5189">
              <w:rPr>
                <w:bCs/>
                <w:sz w:val="22"/>
                <w:szCs w:val="22"/>
              </w:rPr>
              <w:t>1/26/2016</w:t>
            </w:r>
          </w:p>
        </w:tc>
      </w:tr>
      <w:tr w:rsidR="008568E9" w:rsidRPr="002B5189" w14:paraId="077B2896" w14:textId="77777777" w:rsidTr="00AF1502">
        <w:trPr>
          <w:cantSplit/>
          <w:trHeight w:val="288"/>
        </w:trPr>
        <w:tc>
          <w:tcPr>
            <w:tcW w:w="2476" w:type="pct"/>
            <w:shd w:val="clear" w:color="auto" w:fill="auto"/>
            <w:vAlign w:val="center"/>
            <w:hideMark/>
          </w:tcPr>
          <w:p w14:paraId="79EA6C47" w14:textId="77777777" w:rsidR="00B6360F" w:rsidRPr="002B5189" w:rsidRDefault="00B6360F" w:rsidP="00B6360F">
            <w:pPr>
              <w:ind w:firstLineChars="100" w:firstLine="220"/>
              <w:rPr>
                <w:sz w:val="22"/>
                <w:szCs w:val="22"/>
              </w:rPr>
            </w:pPr>
            <w:r w:rsidRPr="002B5189">
              <w:rPr>
                <w:bCs/>
                <w:sz w:val="22"/>
                <w:szCs w:val="22"/>
              </w:rPr>
              <w:t>OMB review of Cognitive Testing request</w:t>
            </w:r>
          </w:p>
        </w:tc>
        <w:tc>
          <w:tcPr>
            <w:tcW w:w="1214" w:type="pct"/>
            <w:shd w:val="clear" w:color="auto" w:fill="auto"/>
            <w:vAlign w:val="center"/>
            <w:hideMark/>
          </w:tcPr>
          <w:p w14:paraId="3148D967" w14:textId="77777777" w:rsidR="00B6360F" w:rsidRPr="002B5189" w:rsidRDefault="00B6360F">
            <w:pPr>
              <w:jc w:val="right"/>
              <w:rPr>
                <w:sz w:val="22"/>
                <w:szCs w:val="22"/>
              </w:rPr>
            </w:pPr>
            <w:r w:rsidRPr="002B5189">
              <w:rPr>
                <w:bCs/>
                <w:sz w:val="22"/>
                <w:szCs w:val="22"/>
              </w:rPr>
              <w:t>3/15/2015</w:t>
            </w:r>
          </w:p>
        </w:tc>
        <w:tc>
          <w:tcPr>
            <w:tcW w:w="1310" w:type="pct"/>
            <w:shd w:val="clear" w:color="auto" w:fill="auto"/>
            <w:vAlign w:val="center"/>
            <w:hideMark/>
          </w:tcPr>
          <w:p w14:paraId="52C916C3" w14:textId="77777777" w:rsidR="00B6360F" w:rsidRPr="002B5189" w:rsidRDefault="00B6360F">
            <w:pPr>
              <w:jc w:val="right"/>
              <w:rPr>
                <w:sz w:val="22"/>
                <w:szCs w:val="22"/>
              </w:rPr>
            </w:pPr>
            <w:r w:rsidRPr="002B5189">
              <w:rPr>
                <w:bCs/>
                <w:sz w:val="22"/>
                <w:szCs w:val="22"/>
              </w:rPr>
              <w:t>--</w:t>
            </w:r>
          </w:p>
        </w:tc>
      </w:tr>
      <w:tr w:rsidR="008568E9" w:rsidRPr="002B5189" w14:paraId="3EAF4D76" w14:textId="77777777" w:rsidTr="00AF1502">
        <w:trPr>
          <w:cantSplit/>
          <w:trHeight w:val="288"/>
        </w:trPr>
        <w:tc>
          <w:tcPr>
            <w:tcW w:w="2476" w:type="pct"/>
            <w:shd w:val="clear" w:color="auto" w:fill="auto"/>
            <w:vAlign w:val="center"/>
            <w:hideMark/>
          </w:tcPr>
          <w:p w14:paraId="1AD0ABA1" w14:textId="77777777" w:rsidR="00B6360F" w:rsidRPr="002B5189" w:rsidRDefault="00B6360F" w:rsidP="00B6360F">
            <w:pPr>
              <w:ind w:firstLineChars="100" w:firstLine="220"/>
              <w:rPr>
                <w:sz w:val="22"/>
                <w:szCs w:val="22"/>
              </w:rPr>
            </w:pPr>
            <w:r w:rsidRPr="002B5189">
              <w:rPr>
                <w:bCs/>
                <w:sz w:val="22"/>
                <w:szCs w:val="22"/>
              </w:rPr>
              <w:t xml:space="preserve">MS Data Elements and Justifications </w:t>
            </w:r>
          </w:p>
        </w:tc>
        <w:tc>
          <w:tcPr>
            <w:tcW w:w="1214" w:type="pct"/>
            <w:shd w:val="clear" w:color="auto" w:fill="auto"/>
            <w:vAlign w:val="center"/>
            <w:hideMark/>
          </w:tcPr>
          <w:p w14:paraId="52550E9D" w14:textId="77777777" w:rsidR="00B6360F" w:rsidRPr="002B5189" w:rsidRDefault="00B6360F">
            <w:pPr>
              <w:jc w:val="right"/>
              <w:rPr>
                <w:sz w:val="22"/>
                <w:szCs w:val="22"/>
              </w:rPr>
            </w:pPr>
            <w:r w:rsidRPr="002B5189">
              <w:rPr>
                <w:bCs/>
                <w:sz w:val="22"/>
                <w:szCs w:val="22"/>
              </w:rPr>
              <w:t>4/22/2015</w:t>
            </w:r>
          </w:p>
        </w:tc>
        <w:tc>
          <w:tcPr>
            <w:tcW w:w="1310" w:type="pct"/>
            <w:shd w:val="clear" w:color="auto" w:fill="auto"/>
            <w:vAlign w:val="center"/>
            <w:hideMark/>
          </w:tcPr>
          <w:p w14:paraId="241E6FAF" w14:textId="77777777" w:rsidR="00B6360F" w:rsidRPr="002B5189" w:rsidRDefault="00B6360F">
            <w:pPr>
              <w:jc w:val="right"/>
              <w:rPr>
                <w:sz w:val="22"/>
                <w:szCs w:val="22"/>
              </w:rPr>
            </w:pPr>
            <w:r w:rsidRPr="002B5189">
              <w:rPr>
                <w:bCs/>
                <w:sz w:val="22"/>
                <w:szCs w:val="22"/>
              </w:rPr>
              <w:t>10/15/2015</w:t>
            </w:r>
          </w:p>
        </w:tc>
      </w:tr>
      <w:tr w:rsidR="008568E9" w:rsidRPr="002B5189" w14:paraId="32C36B5D" w14:textId="77777777" w:rsidTr="00AF1502">
        <w:trPr>
          <w:cantSplit/>
          <w:trHeight w:val="288"/>
        </w:trPr>
        <w:tc>
          <w:tcPr>
            <w:tcW w:w="2476" w:type="pct"/>
            <w:shd w:val="clear" w:color="auto" w:fill="auto"/>
            <w:vAlign w:val="center"/>
            <w:hideMark/>
          </w:tcPr>
          <w:p w14:paraId="663B8D3E" w14:textId="77777777" w:rsidR="00B6360F" w:rsidRPr="002B5189" w:rsidRDefault="00B6360F" w:rsidP="00B6360F">
            <w:pPr>
              <w:ind w:firstLineChars="100" w:firstLine="220"/>
              <w:rPr>
                <w:sz w:val="22"/>
                <w:szCs w:val="22"/>
              </w:rPr>
            </w:pPr>
            <w:r w:rsidRPr="002B5189">
              <w:rPr>
                <w:bCs/>
                <w:sz w:val="22"/>
                <w:szCs w:val="22"/>
              </w:rPr>
              <w:t xml:space="preserve">MS Cognitive Testing </w:t>
            </w:r>
          </w:p>
        </w:tc>
        <w:tc>
          <w:tcPr>
            <w:tcW w:w="1214" w:type="pct"/>
            <w:shd w:val="clear" w:color="auto" w:fill="auto"/>
            <w:vAlign w:val="center"/>
            <w:hideMark/>
          </w:tcPr>
          <w:p w14:paraId="15A67A83" w14:textId="77777777" w:rsidR="00B6360F" w:rsidRPr="002B5189" w:rsidRDefault="00B6360F">
            <w:pPr>
              <w:jc w:val="right"/>
              <w:rPr>
                <w:sz w:val="22"/>
                <w:szCs w:val="22"/>
              </w:rPr>
            </w:pPr>
            <w:r w:rsidRPr="002B5189">
              <w:rPr>
                <w:bCs/>
                <w:sz w:val="22"/>
                <w:szCs w:val="22"/>
              </w:rPr>
              <w:t>5/15/2015</w:t>
            </w:r>
          </w:p>
        </w:tc>
        <w:tc>
          <w:tcPr>
            <w:tcW w:w="1310" w:type="pct"/>
            <w:shd w:val="clear" w:color="auto" w:fill="auto"/>
            <w:vAlign w:val="center"/>
            <w:hideMark/>
          </w:tcPr>
          <w:p w14:paraId="2EB6B827" w14:textId="77777777" w:rsidR="00B6360F" w:rsidRPr="002B5189" w:rsidRDefault="00B6360F">
            <w:pPr>
              <w:jc w:val="right"/>
              <w:rPr>
                <w:sz w:val="22"/>
                <w:szCs w:val="22"/>
              </w:rPr>
            </w:pPr>
            <w:r w:rsidRPr="002B5189">
              <w:rPr>
                <w:bCs/>
                <w:sz w:val="22"/>
                <w:szCs w:val="22"/>
              </w:rPr>
              <w:t>7/15/2015</w:t>
            </w:r>
          </w:p>
        </w:tc>
      </w:tr>
      <w:tr w:rsidR="008568E9" w:rsidRPr="002B5189" w14:paraId="18C6B26A" w14:textId="77777777" w:rsidTr="00AF1502">
        <w:trPr>
          <w:cantSplit/>
          <w:trHeight w:val="288"/>
        </w:trPr>
        <w:tc>
          <w:tcPr>
            <w:tcW w:w="2476" w:type="pct"/>
            <w:shd w:val="clear" w:color="auto" w:fill="auto"/>
            <w:vAlign w:val="center"/>
            <w:hideMark/>
          </w:tcPr>
          <w:p w14:paraId="0DFA954C" w14:textId="77777777" w:rsidR="00B6360F" w:rsidRPr="002B5189" w:rsidRDefault="00B6360F" w:rsidP="00B6360F">
            <w:pPr>
              <w:ind w:firstLineChars="100" w:firstLine="220"/>
              <w:rPr>
                <w:sz w:val="22"/>
                <w:szCs w:val="22"/>
              </w:rPr>
            </w:pPr>
            <w:r w:rsidRPr="002B5189">
              <w:rPr>
                <w:bCs/>
                <w:sz w:val="22"/>
                <w:szCs w:val="22"/>
              </w:rPr>
              <w:t>Panel Maintenance</w:t>
            </w:r>
          </w:p>
        </w:tc>
        <w:tc>
          <w:tcPr>
            <w:tcW w:w="1214" w:type="pct"/>
            <w:shd w:val="clear" w:color="auto" w:fill="auto"/>
            <w:vAlign w:val="center"/>
            <w:hideMark/>
          </w:tcPr>
          <w:p w14:paraId="613E3529" w14:textId="77777777" w:rsidR="00B6360F" w:rsidRPr="002B5189" w:rsidRDefault="00B6360F">
            <w:pPr>
              <w:jc w:val="right"/>
              <w:rPr>
                <w:sz w:val="22"/>
                <w:szCs w:val="22"/>
              </w:rPr>
            </w:pPr>
            <w:r w:rsidRPr="002B5189">
              <w:rPr>
                <w:bCs/>
                <w:sz w:val="22"/>
                <w:szCs w:val="22"/>
              </w:rPr>
              <w:t>7/10/2015</w:t>
            </w:r>
          </w:p>
        </w:tc>
        <w:tc>
          <w:tcPr>
            <w:tcW w:w="1310" w:type="pct"/>
            <w:shd w:val="clear" w:color="auto" w:fill="auto"/>
            <w:vAlign w:val="center"/>
            <w:hideMark/>
          </w:tcPr>
          <w:p w14:paraId="2A8A5AB6" w14:textId="77777777" w:rsidR="00B6360F" w:rsidRPr="002B5189" w:rsidRDefault="00B6360F">
            <w:pPr>
              <w:jc w:val="right"/>
              <w:rPr>
                <w:sz w:val="22"/>
                <w:szCs w:val="22"/>
              </w:rPr>
            </w:pPr>
            <w:r w:rsidRPr="002B5189">
              <w:rPr>
                <w:bCs/>
                <w:sz w:val="22"/>
                <w:szCs w:val="22"/>
              </w:rPr>
              <w:t>12/31/2015</w:t>
            </w:r>
          </w:p>
        </w:tc>
      </w:tr>
      <w:tr w:rsidR="008568E9" w:rsidRPr="002B5189" w14:paraId="23BD1C5F" w14:textId="77777777" w:rsidTr="00AF1502">
        <w:trPr>
          <w:cantSplit/>
          <w:trHeight w:val="288"/>
        </w:trPr>
        <w:tc>
          <w:tcPr>
            <w:tcW w:w="2476" w:type="pct"/>
            <w:shd w:val="clear" w:color="auto" w:fill="auto"/>
            <w:vAlign w:val="center"/>
            <w:hideMark/>
          </w:tcPr>
          <w:p w14:paraId="19B74C20" w14:textId="77777777" w:rsidR="00B6360F" w:rsidRPr="002B5189" w:rsidRDefault="00B6360F" w:rsidP="00B6360F">
            <w:pPr>
              <w:ind w:firstLineChars="100" w:firstLine="220"/>
              <w:rPr>
                <w:sz w:val="22"/>
                <w:szCs w:val="22"/>
              </w:rPr>
            </w:pPr>
            <w:r w:rsidRPr="002B5189">
              <w:rPr>
                <w:bCs/>
                <w:sz w:val="22"/>
                <w:szCs w:val="22"/>
              </w:rPr>
              <w:t xml:space="preserve">MS Sampling </w:t>
            </w:r>
          </w:p>
        </w:tc>
        <w:tc>
          <w:tcPr>
            <w:tcW w:w="1214" w:type="pct"/>
            <w:shd w:val="clear" w:color="auto" w:fill="auto"/>
            <w:vAlign w:val="center"/>
            <w:hideMark/>
          </w:tcPr>
          <w:p w14:paraId="27F02345" w14:textId="77777777" w:rsidR="00B6360F" w:rsidRPr="002B5189" w:rsidRDefault="00B6360F">
            <w:pPr>
              <w:jc w:val="right"/>
              <w:rPr>
                <w:sz w:val="22"/>
                <w:szCs w:val="22"/>
              </w:rPr>
            </w:pPr>
            <w:r w:rsidRPr="002B5189">
              <w:rPr>
                <w:bCs/>
                <w:sz w:val="22"/>
                <w:szCs w:val="22"/>
              </w:rPr>
              <w:t>7/30/2015</w:t>
            </w:r>
          </w:p>
        </w:tc>
        <w:tc>
          <w:tcPr>
            <w:tcW w:w="1310" w:type="pct"/>
            <w:shd w:val="clear" w:color="auto" w:fill="auto"/>
            <w:vAlign w:val="center"/>
            <w:hideMark/>
          </w:tcPr>
          <w:p w14:paraId="4285D805" w14:textId="77777777" w:rsidR="00B6360F" w:rsidRPr="002B5189" w:rsidRDefault="00B6360F">
            <w:pPr>
              <w:jc w:val="right"/>
              <w:rPr>
                <w:sz w:val="22"/>
                <w:szCs w:val="22"/>
              </w:rPr>
            </w:pPr>
            <w:r w:rsidRPr="002B5189">
              <w:rPr>
                <w:bCs/>
                <w:sz w:val="22"/>
                <w:szCs w:val="22"/>
              </w:rPr>
              <w:t>11/11/2015</w:t>
            </w:r>
          </w:p>
        </w:tc>
      </w:tr>
      <w:tr w:rsidR="008568E9" w:rsidRPr="002B5189" w14:paraId="5CA29E9E" w14:textId="77777777" w:rsidTr="00AF1502">
        <w:trPr>
          <w:cantSplit/>
          <w:trHeight w:val="288"/>
        </w:trPr>
        <w:tc>
          <w:tcPr>
            <w:tcW w:w="2476" w:type="pct"/>
            <w:shd w:val="clear" w:color="auto" w:fill="auto"/>
            <w:vAlign w:val="center"/>
            <w:hideMark/>
          </w:tcPr>
          <w:p w14:paraId="28F63936" w14:textId="77777777" w:rsidR="00B6360F" w:rsidRPr="002B5189" w:rsidRDefault="00B6360F" w:rsidP="00B6360F">
            <w:pPr>
              <w:ind w:firstLineChars="100" w:firstLine="220"/>
              <w:rPr>
                <w:sz w:val="22"/>
                <w:szCs w:val="22"/>
              </w:rPr>
            </w:pPr>
            <w:r w:rsidRPr="002B5189">
              <w:rPr>
                <w:bCs/>
                <w:sz w:val="22"/>
                <w:szCs w:val="22"/>
              </w:rPr>
              <w:t xml:space="preserve">Develop Training Materials </w:t>
            </w:r>
          </w:p>
        </w:tc>
        <w:tc>
          <w:tcPr>
            <w:tcW w:w="1214" w:type="pct"/>
            <w:shd w:val="clear" w:color="auto" w:fill="auto"/>
            <w:vAlign w:val="center"/>
            <w:hideMark/>
          </w:tcPr>
          <w:p w14:paraId="08FD9826" w14:textId="77777777" w:rsidR="00B6360F" w:rsidRPr="002B5189" w:rsidRDefault="00B6360F">
            <w:pPr>
              <w:jc w:val="right"/>
              <w:rPr>
                <w:sz w:val="22"/>
                <w:szCs w:val="22"/>
              </w:rPr>
            </w:pPr>
            <w:r w:rsidRPr="002B5189">
              <w:rPr>
                <w:bCs/>
                <w:sz w:val="22"/>
                <w:szCs w:val="22"/>
              </w:rPr>
              <w:t>11/30/2015</w:t>
            </w:r>
          </w:p>
        </w:tc>
        <w:tc>
          <w:tcPr>
            <w:tcW w:w="1310" w:type="pct"/>
            <w:shd w:val="clear" w:color="auto" w:fill="auto"/>
            <w:vAlign w:val="center"/>
            <w:hideMark/>
          </w:tcPr>
          <w:p w14:paraId="03C2A0E2" w14:textId="77777777" w:rsidR="00B6360F" w:rsidRPr="002B5189" w:rsidRDefault="00B6360F">
            <w:pPr>
              <w:jc w:val="right"/>
              <w:rPr>
                <w:sz w:val="22"/>
                <w:szCs w:val="22"/>
              </w:rPr>
            </w:pPr>
            <w:r w:rsidRPr="002B5189">
              <w:rPr>
                <w:bCs/>
                <w:sz w:val="22"/>
                <w:szCs w:val="22"/>
              </w:rPr>
              <w:t>6/13/2016</w:t>
            </w:r>
          </w:p>
        </w:tc>
      </w:tr>
      <w:tr w:rsidR="008568E9" w:rsidRPr="002B5189" w14:paraId="0624FC2D" w14:textId="77777777" w:rsidTr="00AF1502">
        <w:trPr>
          <w:cantSplit/>
          <w:trHeight w:val="288"/>
        </w:trPr>
        <w:tc>
          <w:tcPr>
            <w:tcW w:w="2476" w:type="pct"/>
            <w:shd w:val="clear" w:color="auto" w:fill="auto"/>
            <w:vAlign w:val="center"/>
            <w:hideMark/>
          </w:tcPr>
          <w:p w14:paraId="65AC0D28" w14:textId="77777777" w:rsidR="00B6360F" w:rsidRPr="002B5189" w:rsidRDefault="00B6360F" w:rsidP="00B6360F">
            <w:pPr>
              <w:ind w:firstLineChars="100" w:firstLine="220"/>
              <w:rPr>
                <w:sz w:val="22"/>
                <w:szCs w:val="22"/>
              </w:rPr>
            </w:pPr>
            <w:r w:rsidRPr="002B5189">
              <w:rPr>
                <w:bCs/>
                <w:sz w:val="22"/>
                <w:szCs w:val="22"/>
              </w:rPr>
              <w:t xml:space="preserve">MS CATI Training </w:t>
            </w:r>
          </w:p>
        </w:tc>
        <w:tc>
          <w:tcPr>
            <w:tcW w:w="1214" w:type="pct"/>
            <w:shd w:val="clear" w:color="auto" w:fill="auto"/>
            <w:vAlign w:val="center"/>
            <w:hideMark/>
          </w:tcPr>
          <w:p w14:paraId="148197BE" w14:textId="77777777" w:rsidR="00B6360F" w:rsidRPr="002B5189" w:rsidRDefault="00B6360F">
            <w:pPr>
              <w:jc w:val="right"/>
              <w:rPr>
                <w:sz w:val="22"/>
                <w:szCs w:val="22"/>
              </w:rPr>
            </w:pPr>
            <w:r w:rsidRPr="002B5189">
              <w:rPr>
                <w:bCs/>
                <w:sz w:val="22"/>
                <w:szCs w:val="22"/>
              </w:rPr>
              <w:t>11/30/2015</w:t>
            </w:r>
          </w:p>
        </w:tc>
        <w:tc>
          <w:tcPr>
            <w:tcW w:w="1310" w:type="pct"/>
            <w:shd w:val="clear" w:color="auto" w:fill="auto"/>
            <w:vAlign w:val="center"/>
            <w:hideMark/>
          </w:tcPr>
          <w:p w14:paraId="4AA71031" w14:textId="77777777" w:rsidR="00B6360F" w:rsidRPr="002B5189" w:rsidRDefault="00B6360F">
            <w:pPr>
              <w:jc w:val="right"/>
              <w:rPr>
                <w:sz w:val="22"/>
                <w:szCs w:val="22"/>
              </w:rPr>
            </w:pPr>
            <w:r w:rsidRPr="002B5189">
              <w:rPr>
                <w:bCs/>
                <w:sz w:val="22"/>
                <w:szCs w:val="22"/>
              </w:rPr>
              <w:t>9/23/2016</w:t>
            </w:r>
          </w:p>
        </w:tc>
      </w:tr>
      <w:tr w:rsidR="008568E9" w:rsidRPr="002B5189" w14:paraId="0AD637BB" w14:textId="77777777" w:rsidTr="00AF1502">
        <w:trPr>
          <w:cantSplit/>
          <w:trHeight w:val="288"/>
        </w:trPr>
        <w:tc>
          <w:tcPr>
            <w:tcW w:w="2476" w:type="pct"/>
            <w:shd w:val="clear" w:color="auto" w:fill="auto"/>
            <w:vAlign w:val="center"/>
            <w:hideMark/>
          </w:tcPr>
          <w:p w14:paraId="53EAEBB1" w14:textId="77777777" w:rsidR="00B6360F" w:rsidRPr="002B5189" w:rsidRDefault="00B6360F" w:rsidP="00B6360F">
            <w:pPr>
              <w:ind w:firstLineChars="100" w:firstLine="220"/>
              <w:rPr>
                <w:sz w:val="22"/>
                <w:szCs w:val="22"/>
              </w:rPr>
            </w:pPr>
            <w:r w:rsidRPr="002B5189">
              <w:rPr>
                <w:bCs/>
                <w:sz w:val="22"/>
                <w:szCs w:val="22"/>
              </w:rPr>
              <w:t xml:space="preserve">MS Locating/Tracing Plan </w:t>
            </w:r>
          </w:p>
        </w:tc>
        <w:tc>
          <w:tcPr>
            <w:tcW w:w="1214" w:type="pct"/>
            <w:shd w:val="clear" w:color="auto" w:fill="auto"/>
            <w:vAlign w:val="center"/>
            <w:hideMark/>
          </w:tcPr>
          <w:p w14:paraId="7660B89E" w14:textId="77777777" w:rsidR="00B6360F" w:rsidRPr="002B5189" w:rsidRDefault="00B6360F">
            <w:pPr>
              <w:jc w:val="right"/>
              <w:rPr>
                <w:sz w:val="22"/>
                <w:szCs w:val="22"/>
              </w:rPr>
            </w:pPr>
            <w:r w:rsidRPr="002B5189">
              <w:rPr>
                <w:bCs/>
                <w:sz w:val="22"/>
                <w:szCs w:val="22"/>
              </w:rPr>
              <w:t>12/29/2015</w:t>
            </w:r>
          </w:p>
        </w:tc>
        <w:tc>
          <w:tcPr>
            <w:tcW w:w="1310" w:type="pct"/>
            <w:shd w:val="clear" w:color="auto" w:fill="auto"/>
            <w:vAlign w:val="center"/>
            <w:hideMark/>
          </w:tcPr>
          <w:p w14:paraId="77978500" w14:textId="77777777" w:rsidR="00B6360F" w:rsidRPr="002B5189" w:rsidRDefault="00B6360F">
            <w:pPr>
              <w:jc w:val="right"/>
              <w:rPr>
                <w:sz w:val="22"/>
                <w:szCs w:val="22"/>
              </w:rPr>
            </w:pPr>
            <w:r w:rsidRPr="002B5189">
              <w:rPr>
                <w:bCs/>
                <w:sz w:val="22"/>
                <w:szCs w:val="22"/>
              </w:rPr>
              <w:t>2/1/2016</w:t>
            </w:r>
          </w:p>
        </w:tc>
      </w:tr>
      <w:tr w:rsidR="008568E9" w:rsidRPr="002B5189" w14:paraId="0A26CCE6" w14:textId="77777777" w:rsidTr="00AF1502">
        <w:trPr>
          <w:cantSplit/>
          <w:trHeight w:val="288"/>
        </w:trPr>
        <w:tc>
          <w:tcPr>
            <w:tcW w:w="2476" w:type="pct"/>
            <w:shd w:val="clear" w:color="auto" w:fill="auto"/>
            <w:vAlign w:val="center"/>
            <w:hideMark/>
          </w:tcPr>
          <w:p w14:paraId="5724B59B" w14:textId="77777777" w:rsidR="00B6360F" w:rsidRPr="002B5189" w:rsidRDefault="00B6360F" w:rsidP="00B6360F">
            <w:pPr>
              <w:ind w:firstLineChars="100" w:firstLine="220"/>
              <w:rPr>
                <w:sz w:val="22"/>
                <w:szCs w:val="22"/>
              </w:rPr>
            </w:pPr>
            <w:r w:rsidRPr="002B5189">
              <w:rPr>
                <w:bCs/>
                <w:sz w:val="22"/>
                <w:szCs w:val="22"/>
              </w:rPr>
              <w:t xml:space="preserve">Deliver MS item wording list </w:t>
            </w:r>
          </w:p>
        </w:tc>
        <w:tc>
          <w:tcPr>
            <w:tcW w:w="1214" w:type="pct"/>
            <w:shd w:val="clear" w:color="auto" w:fill="auto"/>
            <w:vAlign w:val="center"/>
            <w:hideMark/>
          </w:tcPr>
          <w:p w14:paraId="3657EFC0" w14:textId="77777777" w:rsidR="00B6360F" w:rsidRPr="002B5189" w:rsidRDefault="00B6360F">
            <w:pPr>
              <w:jc w:val="right"/>
              <w:rPr>
                <w:sz w:val="22"/>
                <w:szCs w:val="22"/>
              </w:rPr>
            </w:pPr>
            <w:r w:rsidRPr="002B5189">
              <w:rPr>
                <w:bCs/>
                <w:sz w:val="22"/>
                <w:szCs w:val="22"/>
              </w:rPr>
              <w:t>1/19/2016</w:t>
            </w:r>
          </w:p>
        </w:tc>
        <w:tc>
          <w:tcPr>
            <w:tcW w:w="1310" w:type="pct"/>
            <w:shd w:val="clear" w:color="auto" w:fill="auto"/>
            <w:vAlign w:val="center"/>
            <w:hideMark/>
          </w:tcPr>
          <w:p w14:paraId="66955690" w14:textId="77777777" w:rsidR="00B6360F" w:rsidRPr="002B5189" w:rsidRDefault="00B6360F">
            <w:pPr>
              <w:jc w:val="right"/>
              <w:rPr>
                <w:sz w:val="22"/>
                <w:szCs w:val="22"/>
              </w:rPr>
            </w:pPr>
            <w:r w:rsidRPr="002B5189">
              <w:rPr>
                <w:bCs/>
                <w:sz w:val="22"/>
                <w:szCs w:val="22"/>
              </w:rPr>
              <w:t>3/21/2016</w:t>
            </w:r>
          </w:p>
        </w:tc>
      </w:tr>
      <w:tr w:rsidR="008568E9" w:rsidRPr="002B5189" w14:paraId="0A1A2FCB" w14:textId="77777777" w:rsidTr="00AF1502">
        <w:trPr>
          <w:cantSplit/>
          <w:trHeight w:val="288"/>
        </w:trPr>
        <w:tc>
          <w:tcPr>
            <w:tcW w:w="2476" w:type="pct"/>
            <w:shd w:val="clear" w:color="auto" w:fill="auto"/>
            <w:vAlign w:val="center"/>
            <w:hideMark/>
          </w:tcPr>
          <w:p w14:paraId="0D8F4D54" w14:textId="77777777" w:rsidR="00B6360F" w:rsidRPr="002B5189" w:rsidRDefault="00B6360F" w:rsidP="00B6360F">
            <w:pPr>
              <w:ind w:firstLineChars="100" w:firstLine="220"/>
              <w:rPr>
                <w:sz w:val="22"/>
                <w:szCs w:val="22"/>
              </w:rPr>
            </w:pPr>
            <w:r w:rsidRPr="002B5189">
              <w:rPr>
                <w:bCs/>
                <w:sz w:val="22"/>
                <w:szCs w:val="22"/>
              </w:rPr>
              <w:t xml:space="preserve">MS Tracing </w:t>
            </w:r>
          </w:p>
        </w:tc>
        <w:tc>
          <w:tcPr>
            <w:tcW w:w="1214" w:type="pct"/>
            <w:shd w:val="clear" w:color="auto" w:fill="auto"/>
            <w:vAlign w:val="center"/>
            <w:hideMark/>
          </w:tcPr>
          <w:p w14:paraId="4D9644B7" w14:textId="77777777" w:rsidR="00B6360F" w:rsidRPr="002B5189" w:rsidRDefault="00B6360F">
            <w:pPr>
              <w:jc w:val="right"/>
              <w:rPr>
                <w:sz w:val="22"/>
                <w:szCs w:val="22"/>
              </w:rPr>
            </w:pPr>
            <w:r w:rsidRPr="002B5189">
              <w:rPr>
                <w:bCs/>
                <w:sz w:val="22"/>
                <w:szCs w:val="22"/>
              </w:rPr>
              <w:t>2/29/2016</w:t>
            </w:r>
          </w:p>
        </w:tc>
        <w:tc>
          <w:tcPr>
            <w:tcW w:w="1310" w:type="pct"/>
            <w:shd w:val="clear" w:color="auto" w:fill="auto"/>
            <w:vAlign w:val="center"/>
            <w:hideMark/>
          </w:tcPr>
          <w:p w14:paraId="18D6F8F9" w14:textId="77777777" w:rsidR="00B6360F" w:rsidRPr="002B5189" w:rsidRDefault="00B6360F">
            <w:pPr>
              <w:jc w:val="right"/>
              <w:rPr>
                <w:sz w:val="22"/>
                <w:szCs w:val="22"/>
              </w:rPr>
            </w:pPr>
            <w:r w:rsidRPr="002B5189">
              <w:rPr>
                <w:bCs/>
                <w:sz w:val="22"/>
                <w:szCs w:val="22"/>
              </w:rPr>
              <w:t>10/27/2016</w:t>
            </w:r>
          </w:p>
        </w:tc>
      </w:tr>
      <w:tr w:rsidR="008568E9" w:rsidRPr="002B5189" w14:paraId="1AC1369B" w14:textId="77777777" w:rsidTr="00AF1502">
        <w:trPr>
          <w:cantSplit/>
          <w:trHeight w:val="288"/>
        </w:trPr>
        <w:tc>
          <w:tcPr>
            <w:tcW w:w="2476" w:type="pct"/>
            <w:shd w:val="clear" w:color="auto" w:fill="auto"/>
            <w:vAlign w:val="center"/>
            <w:hideMark/>
          </w:tcPr>
          <w:p w14:paraId="29A82F3A" w14:textId="77777777" w:rsidR="00B6360F" w:rsidRPr="002B5189" w:rsidRDefault="00B6360F" w:rsidP="00B6360F">
            <w:pPr>
              <w:ind w:firstLineChars="100" w:firstLine="220"/>
              <w:rPr>
                <w:sz w:val="22"/>
                <w:szCs w:val="22"/>
              </w:rPr>
            </w:pPr>
            <w:r w:rsidRPr="002B5189">
              <w:rPr>
                <w:bCs/>
                <w:sz w:val="22"/>
                <w:szCs w:val="22"/>
              </w:rPr>
              <w:t xml:space="preserve">MS Web/CATI Data Collection </w:t>
            </w:r>
          </w:p>
        </w:tc>
        <w:tc>
          <w:tcPr>
            <w:tcW w:w="1214" w:type="pct"/>
            <w:shd w:val="clear" w:color="auto" w:fill="auto"/>
            <w:vAlign w:val="center"/>
            <w:hideMark/>
          </w:tcPr>
          <w:p w14:paraId="34288B8E" w14:textId="77777777" w:rsidR="00B6360F" w:rsidRPr="002B5189" w:rsidRDefault="00B6360F">
            <w:pPr>
              <w:jc w:val="right"/>
              <w:rPr>
                <w:sz w:val="22"/>
                <w:szCs w:val="22"/>
              </w:rPr>
            </w:pPr>
            <w:r w:rsidRPr="002B5189">
              <w:rPr>
                <w:bCs/>
                <w:sz w:val="22"/>
                <w:szCs w:val="22"/>
              </w:rPr>
              <w:t>3/28/2016</w:t>
            </w:r>
          </w:p>
        </w:tc>
        <w:tc>
          <w:tcPr>
            <w:tcW w:w="1310" w:type="pct"/>
            <w:shd w:val="clear" w:color="auto" w:fill="auto"/>
            <w:vAlign w:val="center"/>
            <w:hideMark/>
          </w:tcPr>
          <w:p w14:paraId="127E8501" w14:textId="77777777" w:rsidR="00B6360F" w:rsidRPr="002B5189" w:rsidRDefault="00B6360F">
            <w:pPr>
              <w:jc w:val="right"/>
              <w:rPr>
                <w:sz w:val="22"/>
                <w:szCs w:val="22"/>
              </w:rPr>
            </w:pPr>
            <w:r w:rsidRPr="002B5189">
              <w:rPr>
                <w:bCs/>
                <w:sz w:val="22"/>
                <w:szCs w:val="22"/>
              </w:rPr>
              <w:t>12/31/2016</w:t>
            </w:r>
          </w:p>
        </w:tc>
      </w:tr>
      <w:tr w:rsidR="008568E9" w:rsidRPr="002B5189" w14:paraId="2F48E99F" w14:textId="77777777" w:rsidTr="00AF1502">
        <w:trPr>
          <w:trHeight w:val="288"/>
        </w:trPr>
        <w:tc>
          <w:tcPr>
            <w:tcW w:w="2476" w:type="pct"/>
            <w:shd w:val="clear" w:color="auto" w:fill="auto"/>
            <w:vAlign w:val="center"/>
            <w:hideMark/>
          </w:tcPr>
          <w:p w14:paraId="0158977A" w14:textId="77777777" w:rsidR="00B6360F" w:rsidRPr="002B5189" w:rsidRDefault="00B6360F" w:rsidP="00B6360F">
            <w:pPr>
              <w:ind w:firstLineChars="100" w:firstLine="220"/>
              <w:rPr>
                <w:sz w:val="22"/>
                <w:szCs w:val="22"/>
              </w:rPr>
            </w:pPr>
            <w:r w:rsidRPr="002B5189">
              <w:rPr>
                <w:bCs/>
                <w:sz w:val="22"/>
                <w:szCs w:val="22"/>
              </w:rPr>
              <w:t xml:space="preserve">MS CAPI Training </w:t>
            </w:r>
          </w:p>
        </w:tc>
        <w:tc>
          <w:tcPr>
            <w:tcW w:w="1214" w:type="pct"/>
            <w:shd w:val="clear" w:color="auto" w:fill="auto"/>
            <w:vAlign w:val="center"/>
            <w:hideMark/>
          </w:tcPr>
          <w:p w14:paraId="3EB7DB84" w14:textId="77777777" w:rsidR="00B6360F" w:rsidRPr="002B5189" w:rsidRDefault="00B6360F">
            <w:pPr>
              <w:jc w:val="right"/>
              <w:rPr>
                <w:sz w:val="22"/>
                <w:szCs w:val="22"/>
              </w:rPr>
            </w:pPr>
            <w:r w:rsidRPr="002B5189">
              <w:rPr>
                <w:bCs/>
                <w:sz w:val="22"/>
                <w:szCs w:val="22"/>
              </w:rPr>
              <w:t>5/10/2016</w:t>
            </w:r>
          </w:p>
        </w:tc>
        <w:tc>
          <w:tcPr>
            <w:tcW w:w="1310" w:type="pct"/>
            <w:shd w:val="clear" w:color="auto" w:fill="auto"/>
            <w:vAlign w:val="center"/>
            <w:hideMark/>
          </w:tcPr>
          <w:p w14:paraId="2E6D39A3" w14:textId="77777777" w:rsidR="00B6360F" w:rsidRPr="002B5189" w:rsidRDefault="00B6360F">
            <w:pPr>
              <w:jc w:val="right"/>
              <w:rPr>
                <w:sz w:val="22"/>
                <w:szCs w:val="22"/>
              </w:rPr>
            </w:pPr>
            <w:r w:rsidRPr="002B5189">
              <w:rPr>
                <w:bCs/>
                <w:sz w:val="22"/>
                <w:szCs w:val="22"/>
              </w:rPr>
              <w:t>8/26/2016</w:t>
            </w:r>
          </w:p>
        </w:tc>
      </w:tr>
      <w:tr w:rsidR="008568E9" w:rsidRPr="002B5189" w14:paraId="1284C35C" w14:textId="77777777" w:rsidTr="00AF1502">
        <w:trPr>
          <w:trHeight w:val="288"/>
        </w:trPr>
        <w:tc>
          <w:tcPr>
            <w:tcW w:w="2476" w:type="pct"/>
            <w:shd w:val="clear" w:color="auto" w:fill="auto"/>
            <w:vAlign w:val="center"/>
            <w:hideMark/>
          </w:tcPr>
          <w:p w14:paraId="1B375693" w14:textId="77777777" w:rsidR="00B6360F" w:rsidRPr="002B5189" w:rsidRDefault="00B6360F" w:rsidP="00B6360F">
            <w:pPr>
              <w:ind w:firstLineChars="100" w:firstLine="220"/>
              <w:rPr>
                <w:sz w:val="22"/>
                <w:szCs w:val="22"/>
              </w:rPr>
            </w:pPr>
            <w:r w:rsidRPr="002B5189">
              <w:rPr>
                <w:bCs/>
                <w:sz w:val="22"/>
                <w:szCs w:val="22"/>
              </w:rPr>
              <w:t xml:space="preserve">MS CAPI Data Collection </w:t>
            </w:r>
          </w:p>
        </w:tc>
        <w:tc>
          <w:tcPr>
            <w:tcW w:w="1214" w:type="pct"/>
            <w:shd w:val="clear" w:color="auto" w:fill="auto"/>
            <w:vAlign w:val="center"/>
            <w:hideMark/>
          </w:tcPr>
          <w:p w14:paraId="350108C4" w14:textId="77777777" w:rsidR="00B6360F" w:rsidRPr="002B5189" w:rsidRDefault="00B6360F">
            <w:pPr>
              <w:jc w:val="right"/>
              <w:rPr>
                <w:sz w:val="22"/>
                <w:szCs w:val="22"/>
              </w:rPr>
            </w:pPr>
            <w:r w:rsidRPr="002B5189">
              <w:rPr>
                <w:bCs/>
                <w:sz w:val="22"/>
                <w:szCs w:val="22"/>
              </w:rPr>
              <w:t>6/20/2016</w:t>
            </w:r>
          </w:p>
        </w:tc>
        <w:tc>
          <w:tcPr>
            <w:tcW w:w="1310" w:type="pct"/>
            <w:shd w:val="clear" w:color="auto" w:fill="auto"/>
            <w:vAlign w:val="center"/>
            <w:hideMark/>
          </w:tcPr>
          <w:p w14:paraId="03BA05FF" w14:textId="77777777" w:rsidR="00B6360F" w:rsidRPr="002B5189" w:rsidRDefault="00B6360F">
            <w:pPr>
              <w:jc w:val="right"/>
              <w:rPr>
                <w:sz w:val="22"/>
                <w:szCs w:val="22"/>
              </w:rPr>
            </w:pPr>
            <w:r w:rsidRPr="002B5189">
              <w:rPr>
                <w:bCs/>
                <w:sz w:val="22"/>
                <w:szCs w:val="22"/>
              </w:rPr>
              <w:t>11/30/2016</w:t>
            </w:r>
          </w:p>
        </w:tc>
      </w:tr>
      <w:tr w:rsidR="008568E9" w:rsidRPr="002B5189" w14:paraId="2936471D" w14:textId="77777777" w:rsidTr="00AF1502">
        <w:trPr>
          <w:trHeight w:val="288"/>
        </w:trPr>
        <w:tc>
          <w:tcPr>
            <w:tcW w:w="2476" w:type="pct"/>
            <w:shd w:val="clear" w:color="auto" w:fill="auto"/>
            <w:vAlign w:val="center"/>
            <w:hideMark/>
          </w:tcPr>
          <w:p w14:paraId="0A474AFC" w14:textId="77777777" w:rsidR="00B6360F" w:rsidRPr="002B5189" w:rsidRDefault="00B6360F" w:rsidP="00B6360F">
            <w:pPr>
              <w:ind w:firstLineChars="100" w:firstLine="220"/>
              <w:rPr>
                <w:sz w:val="22"/>
                <w:szCs w:val="22"/>
              </w:rPr>
            </w:pPr>
            <w:r w:rsidRPr="002B5189">
              <w:rPr>
                <w:sz w:val="22"/>
                <w:szCs w:val="22"/>
              </w:rPr>
              <w:t>Student Financial Aid Records Collection</w:t>
            </w:r>
          </w:p>
        </w:tc>
        <w:tc>
          <w:tcPr>
            <w:tcW w:w="1214" w:type="pct"/>
            <w:shd w:val="clear" w:color="auto" w:fill="auto"/>
            <w:vAlign w:val="center"/>
            <w:hideMark/>
          </w:tcPr>
          <w:p w14:paraId="6C145F9D" w14:textId="77777777" w:rsidR="00B6360F" w:rsidRPr="002B5189" w:rsidRDefault="00B6360F">
            <w:pPr>
              <w:jc w:val="right"/>
              <w:rPr>
                <w:sz w:val="22"/>
                <w:szCs w:val="22"/>
              </w:rPr>
            </w:pPr>
            <w:r w:rsidRPr="002B5189">
              <w:rPr>
                <w:sz w:val="22"/>
                <w:szCs w:val="22"/>
              </w:rPr>
              <w:t>10/26/2016</w:t>
            </w:r>
          </w:p>
        </w:tc>
        <w:tc>
          <w:tcPr>
            <w:tcW w:w="1310" w:type="pct"/>
            <w:shd w:val="clear" w:color="auto" w:fill="auto"/>
            <w:vAlign w:val="center"/>
            <w:hideMark/>
          </w:tcPr>
          <w:p w14:paraId="64A50178" w14:textId="77777777" w:rsidR="00B6360F" w:rsidRPr="002B5189" w:rsidRDefault="00B6360F">
            <w:pPr>
              <w:jc w:val="right"/>
              <w:rPr>
                <w:sz w:val="22"/>
                <w:szCs w:val="22"/>
              </w:rPr>
            </w:pPr>
            <w:r w:rsidRPr="002B5189">
              <w:rPr>
                <w:sz w:val="22"/>
                <w:szCs w:val="22"/>
              </w:rPr>
              <w:t>12/29/2017</w:t>
            </w:r>
          </w:p>
        </w:tc>
      </w:tr>
      <w:tr w:rsidR="008568E9" w:rsidRPr="002B5189" w14:paraId="26A6562A" w14:textId="77777777" w:rsidTr="00AF1502">
        <w:trPr>
          <w:trHeight w:val="288"/>
        </w:trPr>
        <w:tc>
          <w:tcPr>
            <w:tcW w:w="2476" w:type="pct"/>
            <w:shd w:val="clear" w:color="auto" w:fill="auto"/>
            <w:vAlign w:val="center"/>
            <w:hideMark/>
          </w:tcPr>
          <w:p w14:paraId="2252FA4E" w14:textId="77777777" w:rsidR="00A227B6" w:rsidRPr="002B5189" w:rsidRDefault="00A227B6" w:rsidP="00B6360F">
            <w:pPr>
              <w:ind w:firstLineChars="100" w:firstLine="220"/>
              <w:rPr>
                <w:sz w:val="22"/>
                <w:szCs w:val="22"/>
              </w:rPr>
            </w:pPr>
            <w:r w:rsidRPr="002B5189">
              <w:rPr>
                <w:sz w:val="22"/>
                <w:szCs w:val="22"/>
              </w:rPr>
              <w:t>Postsecondary Transcript Collection</w:t>
            </w:r>
          </w:p>
        </w:tc>
        <w:tc>
          <w:tcPr>
            <w:tcW w:w="1214" w:type="pct"/>
            <w:shd w:val="clear" w:color="auto" w:fill="auto"/>
            <w:vAlign w:val="center"/>
            <w:hideMark/>
          </w:tcPr>
          <w:p w14:paraId="645942D9" w14:textId="77777777" w:rsidR="00A227B6" w:rsidRPr="002B5189" w:rsidRDefault="00A227B6">
            <w:pPr>
              <w:jc w:val="right"/>
              <w:rPr>
                <w:sz w:val="22"/>
                <w:szCs w:val="22"/>
              </w:rPr>
            </w:pPr>
            <w:r w:rsidRPr="002B5189">
              <w:rPr>
                <w:sz w:val="22"/>
                <w:szCs w:val="22"/>
              </w:rPr>
              <w:t>10/26/2016</w:t>
            </w:r>
          </w:p>
        </w:tc>
        <w:tc>
          <w:tcPr>
            <w:tcW w:w="1310" w:type="pct"/>
            <w:shd w:val="clear" w:color="auto" w:fill="auto"/>
            <w:vAlign w:val="center"/>
            <w:hideMark/>
          </w:tcPr>
          <w:p w14:paraId="4F6667BB" w14:textId="77777777" w:rsidR="00A227B6" w:rsidRPr="002B5189" w:rsidRDefault="00A227B6">
            <w:pPr>
              <w:jc w:val="right"/>
              <w:rPr>
                <w:sz w:val="22"/>
                <w:szCs w:val="22"/>
              </w:rPr>
            </w:pPr>
            <w:r w:rsidRPr="002B5189">
              <w:rPr>
                <w:sz w:val="22"/>
                <w:szCs w:val="22"/>
              </w:rPr>
              <w:t>12/29/2017</w:t>
            </w:r>
          </w:p>
        </w:tc>
      </w:tr>
      <w:tr w:rsidR="008568E9" w:rsidRPr="002B5189" w14:paraId="516CE46F" w14:textId="77777777" w:rsidTr="00AF1502">
        <w:trPr>
          <w:trHeight w:val="288"/>
        </w:trPr>
        <w:tc>
          <w:tcPr>
            <w:tcW w:w="2476" w:type="pct"/>
            <w:shd w:val="clear" w:color="auto" w:fill="auto"/>
            <w:vAlign w:val="center"/>
            <w:hideMark/>
          </w:tcPr>
          <w:p w14:paraId="56444BF1" w14:textId="77777777" w:rsidR="00B6360F" w:rsidRPr="002B5189" w:rsidRDefault="00B6360F" w:rsidP="00B6360F">
            <w:pPr>
              <w:ind w:firstLineChars="100" w:firstLine="220"/>
              <w:rPr>
                <w:sz w:val="22"/>
                <w:szCs w:val="22"/>
              </w:rPr>
            </w:pPr>
            <w:r w:rsidRPr="002B5189">
              <w:rPr>
                <w:bCs/>
                <w:sz w:val="22"/>
                <w:szCs w:val="22"/>
              </w:rPr>
              <w:t xml:space="preserve">MS Data Collection Products </w:t>
            </w:r>
          </w:p>
        </w:tc>
        <w:tc>
          <w:tcPr>
            <w:tcW w:w="1214" w:type="pct"/>
            <w:shd w:val="clear" w:color="auto" w:fill="auto"/>
            <w:vAlign w:val="center"/>
            <w:hideMark/>
          </w:tcPr>
          <w:p w14:paraId="15224FB8" w14:textId="77777777" w:rsidR="00B6360F" w:rsidRPr="002B5189" w:rsidRDefault="00B6360F">
            <w:pPr>
              <w:jc w:val="right"/>
              <w:rPr>
                <w:sz w:val="22"/>
                <w:szCs w:val="22"/>
              </w:rPr>
            </w:pPr>
            <w:r w:rsidRPr="002B5189">
              <w:rPr>
                <w:bCs/>
                <w:sz w:val="22"/>
                <w:szCs w:val="22"/>
              </w:rPr>
              <w:t>11/30/2016</w:t>
            </w:r>
          </w:p>
        </w:tc>
        <w:tc>
          <w:tcPr>
            <w:tcW w:w="1310" w:type="pct"/>
            <w:shd w:val="clear" w:color="auto" w:fill="auto"/>
            <w:vAlign w:val="center"/>
            <w:hideMark/>
          </w:tcPr>
          <w:p w14:paraId="60590049" w14:textId="77777777" w:rsidR="00B6360F" w:rsidRPr="002B5189" w:rsidRDefault="00B6360F">
            <w:pPr>
              <w:jc w:val="right"/>
              <w:rPr>
                <w:sz w:val="22"/>
                <w:szCs w:val="22"/>
              </w:rPr>
            </w:pPr>
            <w:r w:rsidRPr="002B5189">
              <w:rPr>
                <w:bCs/>
                <w:sz w:val="22"/>
                <w:szCs w:val="22"/>
              </w:rPr>
              <w:t>12/29/2017</w:t>
            </w:r>
          </w:p>
        </w:tc>
      </w:tr>
      <w:tr w:rsidR="008568E9" w:rsidRPr="002B5189" w14:paraId="7BB54C37" w14:textId="77777777" w:rsidTr="00AF1502">
        <w:trPr>
          <w:trHeight w:val="288"/>
        </w:trPr>
        <w:tc>
          <w:tcPr>
            <w:tcW w:w="2476" w:type="pct"/>
            <w:shd w:val="clear" w:color="auto" w:fill="auto"/>
            <w:vAlign w:val="center"/>
            <w:hideMark/>
          </w:tcPr>
          <w:p w14:paraId="59845016" w14:textId="77777777" w:rsidR="00B6360F" w:rsidRPr="002B5189" w:rsidRDefault="00B6360F" w:rsidP="00B6360F">
            <w:pPr>
              <w:ind w:firstLineChars="100" w:firstLine="220"/>
              <w:rPr>
                <w:sz w:val="22"/>
                <w:szCs w:val="22"/>
              </w:rPr>
            </w:pPr>
            <w:r w:rsidRPr="002B5189">
              <w:rPr>
                <w:sz w:val="22"/>
                <w:szCs w:val="22"/>
              </w:rPr>
              <w:t>Student Financial Aid Records Products</w:t>
            </w:r>
          </w:p>
        </w:tc>
        <w:tc>
          <w:tcPr>
            <w:tcW w:w="1214" w:type="pct"/>
            <w:shd w:val="clear" w:color="auto" w:fill="auto"/>
            <w:vAlign w:val="center"/>
            <w:hideMark/>
          </w:tcPr>
          <w:p w14:paraId="44014D0F" w14:textId="77777777" w:rsidR="00B6360F" w:rsidRPr="002B5189" w:rsidRDefault="00B6360F">
            <w:pPr>
              <w:jc w:val="right"/>
              <w:rPr>
                <w:sz w:val="22"/>
                <w:szCs w:val="22"/>
              </w:rPr>
            </w:pPr>
            <w:r w:rsidRPr="002B5189">
              <w:rPr>
                <w:sz w:val="22"/>
                <w:szCs w:val="22"/>
              </w:rPr>
              <w:t>10/12/2017</w:t>
            </w:r>
          </w:p>
        </w:tc>
        <w:tc>
          <w:tcPr>
            <w:tcW w:w="1310" w:type="pct"/>
            <w:shd w:val="clear" w:color="auto" w:fill="auto"/>
            <w:vAlign w:val="center"/>
            <w:hideMark/>
          </w:tcPr>
          <w:p w14:paraId="00F615F7" w14:textId="77777777" w:rsidR="00B6360F" w:rsidRPr="002B5189" w:rsidRDefault="00B6360F">
            <w:pPr>
              <w:jc w:val="right"/>
              <w:rPr>
                <w:sz w:val="22"/>
                <w:szCs w:val="22"/>
              </w:rPr>
            </w:pPr>
            <w:r w:rsidRPr="002B5189">
              <w:rPr>
                <w:sz w:val="22"/>
                <w:szCs w:val="22"/>
              </w:rPr>
              <w:t>11/30/2018</w:t>
            </w:r>
          </w:p>
        </w:tc>
      </w:tr>
      <w:tr w:rsidR="008568E9" w:rsidRPr="002B5189" w14:paraId="60D69CF6" w14:textId="77777777" w:rsidTr="00AF1502">
        <w:trPr>
          <w:trHeight w:val="288"/>
        </w:trPr>
        <w:tc>
          <w:tcPr>
            <w:tcW w:w="2476" w:type="pct"/>
            <w:shd w:val="clear" w:color="auto" w:fill="auto"/>
            <w:vAlign w:val="center"/>
            <w:hideMark/>
          </w:tcPr>
          <w:p w14:paraId="7539CF9E" w14:textId="77777777" w:rsidR="00B6360F" w:rsidRPr="002B5189" w:rsidRDefault="00B6360F" w:rsidP="00B6360F">
            <w:pPr>
              <w:ind w:firstLineChars="100" w:firstLine="220"/>
              <w:rPr>
                <w:sz w:val="22"/>
                <w:szCs w:val="22"/>
              </w:rPr>
            </w:pPr>
            <w:r w:rsidRPr="002B5189">
              <w:rPr>
                <w:sz w:val="22"/>
                <w:szCs w:val="22"/>
              </w:rPr>
              <w:t>Postsecondary Transcript Products</w:t>
            </w:r>
          </w:p>
        </w:tc>
        <w:tc>
          <w:tcPr>
            <w:tcW w:w="1214" w:type="pct"/>
            <w:shd w:val="clear" w:color="auto" w:fill="auto"/>
            <w:vAlign w:val="center"/>
            <w:hideMark/>
          </w:tcPr>
          <w:p w14:paraId="45DECC85" w14:textId="77777777" w:rsidR="00B6360F" w:rsidRPr="002B5189" w:rsidRDefault="00A227B6">
            <w:pPr>
              <w:jc w:val="right"/>
              <w:rPr>
                <w:sz w:val="22"/>
                <w:szCs w:val="22"/>
              </w:rPr>
            </w:pPr>
            <w:r w:rsidRPr="002B5189">
              <w:rPr>
                <w:sz w:val="22"/>
                <w:szCs w:val="22"/>
              </w:rPr>
              <w:t>10/12/2017</w:t>
            </w:r>
          </w:p>
        </w:tc>
        <w:tc>
          <w:tcPr>
            <w:tcW w:w="1310" w:type="pct"/>
            <w:shd w:val="clear" w:color="auto" w:fill="auto"/>
            <w:vAlign w:val="center"/>
            <w:hideMark/>
          </w:tcPr>
          <w:p w14:paraId="0F58E85B" w14:textId="77777777" w:rsidR="00B6360F" w:rsidRPr="002B5189" w:rsidRDefault="00B6360F">
            <w:pPr>
              <w:jc w:val="right"/>
              <w:rPr>
                <w:sz w:val="22"/>
                <w:szCs w:val="22"/>
              </w:rPr>
            </w:pPr>
            <w:r w:rsidRPr="002B5189">
              <w:rPr>
                <w:sz w:val="22"/>
                <w:szCs w:val="22"/>
              </w:rPr>
              <w:t>11/30/2018</w:t>
            </w:r>
          </w:p>
        </w:tc>
      </w:tr>
      <w:tr w:rsidR="008568E9" w:rsidRPr="002B5189" w14:paraId="6BC330CB" w14:textId="77777777" w:rsidTr="00AF1502">
        <w:trPr>
          <w:trHeight w:val="300"/>
        </w:trPr>
        <w:tc>
          <w:tcPr>
            <w:tcW w:w="2476" w:type="pct"/>
            <w:shd w:val="clear" w:color="auto" w:fill="auto"/>
            <w:vAlign w:val="center"/>
            <w:hideMark/>
          </w:tcPr>
          <w:p w14:paraId="24506229" w14:textId="77777777" w:rsidR="00B6360F" w:rsidRPr="002B5189" w:rsidRDefault="00B6360F" w:rsidP="00B6360F">
            <w:pPr>
              <w:ind w:firstLineChars="100" w:firstLine="220"/>
              <w:rPr>
                <w:sz w:val="22"/>
                <w:szCs w:val="22"/>
              </w:rPr>
            </w:pPr>
            <w:r w:rsidRPr="002B5189">
              <w:rPr>
                <w:sz w:val="22"/>
                <w:szCs w:val="22"/>
              </w:rPr>
              <w:t>Additional Panel Maintenance</w:t>
            </w:r>
          </w:p>
        </w:tc>
        <w:tc>
          <w:tcPr>
            <w:tcW w:w="1214" w:type="pct"/>
            <w:shd w:val="clear" w:color="auto" w:fill="auto"/>
            <w:vAlign w:val="center"/>
            <w:hideMark/>
          </w:tcPr>
          <w:p w14:paraId="3AD27BBD" w14:textId="77777777" w:rsidR="00B6360F" w:rsidRPr="002B5189" w:rsidRDefault="00B6360F">
            <w:pPr>
              <w:jc w:val="right"/>
              <w:rPr>
                <w:sz w:val="22"/>
                <w:szCs w:val="22"/>
              </w:rPr>
            </w:pPr>
            <w:r w:rsidRPr="002B5189">
              <w:rPr>
                <w:sz w:val="22"/>
                <w:szCs w:val="22"/>
              </w:rPr>
              <w:t>1/1/2018</w:t>
            </w:r>
          </w:p>
        </w:tc>
        <w:tc>
          <w:tcPr>
            <w:tcW w:w="1310" w:type="pct"/>
            <w:shd w:val="clear" w:color="auto" w:fill="auto"/>
            <w:vAlign w:val="center"/>
            <w:hideMark/>
          </w:tcPr>
          <w:p w14:paraId="37E1C805" w14:textId="77777777" w:rsidR="00B6360F" w:rsidRPr="002B5189" w:rsidRDefault="00B6360F">
            <w:pPr>
              <w:jc w:val="right"/>
              <w:rPr>
                <w:sz w:val="22"/>
                <w:szCs w:val="22"/>
              </w:rPr>
            </w:pPr>
            <w:r w:rsidRPr="002B5189">
              <w:rPr>
                <w:sz w:val="22"/>
                <w:szCs w:val="22"/>
              </w:rPr>
              <w:t>6/30/2018</w:t>
            </w:r>
          </w:p>
        </w:tc>
      </w:tr>
    </w:tbl>
    <w:p w14:paraId="3A33D8CD" w14:textId="77777777" w:rsidR="00434B13" w:rsidRPr="002B5189" w:rsidRDefault="00434B13" w:rsidP="00C22EFC">
      <w:pPr>
        <w:pStyle w:val="exhibitsource"/>
        <w:spacing w:after="120"/>
      </w:pPr>
    </w:p>
    <w:p w14:paraId="72111074" w14:textId="77777777" w:rsidR="0072781E" w:rsidRPr="002B5189" w:rsidRDefault="0072781E" w:rsidP="001265CD">
      <w:pPr>
        <w:pStyle w:val="Heading2"/>
      </w:pPr>
      <w:bookmarkStart w:id="99" w:name="_Toc251941761"/>
      <w:bookmarkStart w:id="100" w:name="_Toc251941852"/>
      <w:bookmarkStart w:id="101" w:name="_Toc251949059"/>
      <w:bookmarkStart w:id="102" w:name="_Toc401834521"/>
      <w:bookmarkStart w:id="103" w:name="_Toc403397645"/>
      <w:bookmarkEnd w:id="97"/>
      <w:bookmarkEnd w:id="98"/>
      <w:bookmarkEnd w:id="99"/>
      <w:bookmarkEnd w:id="100"/>
      <w:bookmarkEnd w:id="101"/>
      <w:r w:rsidRPr="002B5189">
        <w:t>A.17</w:t>
      </w:r>
      <w:r w:rsidRPr="002B5189">
        <w:tab/>
        <w:t>Reason(s) Display of OMB Expiration Date Is Inappropriate</w:t>
      </w:r>
      <w:bookmarkEnd w:id="91"/>
      <w:bookmarkEnd w:id="102"/>
      <w:bookmarkEnd w:id="103"/>
    </w:p>
    <w:p w14:paraId="13B12622" w14:textId="77777777" w:rsidR="0072781E" w:rsidRPr="002B5189" w:rsidRDefault="0072781E" w:rsidP="00907474">
      <w:pPr>
        <w:pStyle w:val="BodyText1"/>
        <w:keepNext/>
        <w:keepLines/>
      </w:pPr>
      <w:r w:rsidRPr="002B5189">
        <w:t>The expiration date for OMB approval of the information collection will be displayed on data collection instruments and materials. No special exception to this requirement is requested.</w:t>
      </w:r>
    </w:p>
    <w:p w14:paraId="0E10A0B9" w14:textId="77777777" w:rsidR="0072781E" w:rsidRPr="002B5189" w:rsidRDefault="0072781E" w:rsidP="001265CD">
      <w:pPr>
        <w:pStyle w:val="Heading2"/>
      </w:pPr>
      <w:bookmarkStart w:id="104" w:name="_Toc192579049"/>
      <w:bookmarkStart w:id="105" w:name="_Toc401834522"/>
      <w:bookmarkStart w:id="106" w:name="_Toc403397646"/>
      <w:r w:rsidRPr="002B5189">
        <w:t>A.18</w:t>
      </w:r>
      <w:r w:rsidRPr="002B5189">
        <w:tab/>
        <w:t xml:space="preserve">Exceptions to Certification for Paperwork Reduction Act </w:t>
      </w:r>
      <w:bookmarkEnd w:id="104"/>
      <w:r w:rsidRPr="002B5189">
        <w:t>Statement</w:t>
      </w:r>
      <w:bookmarkEnd w:id="105"/>
      <w:bookmarkEnd w:id="106"/>
    </w:p>
    <w:p w14:paraId="2EF29FCA" w14:textId="77777777" w:rsidR="0072781E" w:rsidRPr="002B5189" w:rsidRDefault="0072781E" w:rsidP="001265CD">
      <w:pPr>
        <w:pStyle w:val="BodyText1"/>
      </w:pPr>
      <w:r w:rsidRPr="002B5189">
        <w:t>There are no exceptions to the certification statement identified in the Certification for Paperwork Reduction Act Submissions of OMB Form 83-I.</w:t>
      </w:r>
    </w:p>
    <w:sectPr w:rsidR="0072781E" w:rsidRPr="002B5189" w:rsidSect="00962E9E">
      <w:headerReference w:type="even" r:id="rId20"/>
      <w:headerReference w:type="default" r:id="rId21"/>
      <w:footerReference w:type="even" r:id="rId22"/>
      <w:footerReference w:type="default" r:id="rId23"/>
      <w:headerReference w:type="first" r:id="rId24"/>
      <w:footerReference w:type="first" r:id="rId25"/>
      <w:pgSz w:w="12240" w:h="15840" w:code="1"/>
      <w:pgMar w:top="1008" w:right="1008" w:bottom="1008" w:left="1008" w:header="432" w:footer="43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53E06" w14:textId="77777777" w:rsidR="00517FEF" w:rsidRDefault="00517FEF">
      <w:r>
        <w:separator/>
      </w:r>
    </w:p>
  </w:endnote>
  <w:endnote w:type="continuationSeparator" w:id="0">
    <w:p w14:paraId="6C535155" w14:textId="77777777" w:rsidR="00517FEF" w:rsidRDefault="00517FEF">
      <w:r>
        <w:continuationSeparator/>
      </w:r>
    </w:p>
  </w:endnote>
  <w:endnote w:type="continuationNotice" w:id="1">
    <w:p w14:paraId="439B45CB" w14:textId="77777777" w:rsidR="00517FEF" w:rsidRDefault="00517F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Optima">
    <w:altName w:val="Courier"/>
    <w:panose1 w:val="00000000000000000000"/>
    <w:charset w:val="00"/>
    <w:family w:val="swiss"/>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9CC70" w14:textId="77777777" w:rsidR="00517FEF" w:rsidRDefault="00517FEF" w:rsidP="006E7C52">
    <w:pPr>
      <w:pStyle w:val="Footer"/>
      <w:tabs>
        <w:tab w:val="clear" w:pos="4320"/>
        <w:tab w:val="clear" w:pos="8640"/>
        <w:tab w:val="right" w:pos="9360"/>
      </w:tabs>
    </w:pPr>
    <w:r w:rsidRPr="00A132D1">
      <w:rPr>
        <w:rFonts w:ascii="Arial" w:hAnsi="Arial" w:cs="Arial"/>
        <w:sz w:val="18"/>
        <w:szCs w:val="18"/>
      </w:rPr>
      <w:t>Supporting Statement Request for OMB Review (SF83I)</w:t>
    </w:r>
    <w:r w:rsidRPr="00A132D1">
      <w:rPr>
        <w:rFonts w:ascii="Arial" w:hAnsi="Arial" w:cs="Arial"/>
        <w:sz w:val="18"/>
        <w:szCs w:val="18"/>
      </w:rPr>
      <w:tab/>
    </w:r>
    <w:r w:rsidRPr="00A132D1">
      <w:rPr>
        <w:rFonts w:ascii="Arial" w:hAnsi="Arial" w:cs="Arial"/>
        <w:sz w:val="18"/>
        <w:szCs w:val="18"/>
      </w:rPr>
      <w:fldChar w:fldCharType="begin"/>
    </w:r>
    <w:r w:rsidRPr="00A132D1">
      <w:rPr>
        <w:rFonts w:ascii="Arial" w:hAnsi="Arial" w:cs="Arial"/>
        <w:sz w:val="18"/>
        <w:szCs w:val="18"/>
      </w:rPr>
      <w:instrText xml:space="preserve"> PAGE   \* MERGEFORMAT </w:instrText>
    </w:r>
    <w:r w:rsidRPr="00A132D1">
      <w:rPr>
        <w:rFonts w:ascii="Arial" w:hAnsi="Arial" w:cs="Arial"/>
        <w:sz w:val="18"/>
        <w:szCs w:val="18"/>
      </w:rPr>
      <w:fldChar w:fldCharType="separate"/>
    </w:r>
    <w:r>
      <w:rPr>
        <w:rFonts w:ascii="Arial" w:hAnsi="Arial" w:cs="Arial"/>
        <w:noProof/>
        <w:sz w:val="18"/>
        <w:szCs w:val="18"/>
      </w:rPr>
      <w:t>ii</w:t>
    </w:r>
    <w:r w:rsidRPr="00A132D1">
      <w:rPr>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C16CB" w14:textId="77777777" w:rsidR="00517FEF" w:rsidRDefault="00517FEF" w:rsidP="006E7C52">
    <w:pPr>
      <w:pStyle w:val="NCESoddfooter"/>
    </w:pPr>
    <w:r>
      <w:t>Supporting Statement Request for OMB Review (SF83I)</w:t>
    </w:r>
    <w:r>
      <w:tab/>
    </w:r>
    <w:r>
      <w:fldChar w:fldCharType="begin"/>
    </w:r>
    <w:r>
      <w:instrText xml:space="preserve"> PAGE  \* roman  \* MERGEFORMAT </w:instrText>
    </w:r>
    <w:r>
      <w:fldChar w:fldCharType="separate"/>
    </w:r>
    <w:r>
      <w:rPr>
        <w:noProof/>
      </w:rPr>
      <w:t>iii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6D90F" w14:textId="77777777" w:rsidR="00517FEF" w:rsidRPr="00003F7F" w:rsidRDefault="00517FEF" w:rsidP="00003F7F">
    <w:pPr>
      <w:pStyle w:val="Footer"/>
      <w:tabs>
        <w:tab w:val="clear" w:pos="4320"/>
        <w:tab w:val="clear" w:pos="8640"/>
        <w:tab w:val="right" w:pos="9360"/>
      </w:tabs>
    </w:pPr>
    <w:r>
      <w:fldChar w:fldCharType="begin"/>
    </w:r>
    <w:r>
      <w:instrText xml:space="preserve"> PAGE   \* MERGEFORMAT </w:instrText>
    </w:r>
    <w:r>
      <w:fldChar w:fldCharType="separate"/>
    </w:r>
    <w:r w:rsidR="00C5625F">
      <w:rPr>
        <w:noProof/>
      </w:rPr>
      <w:t>ii</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4E23B" w14:textId="77777777" w:rsidR="00517FEF" w:rsidRPr="00F61A80" w:rsidRDefault="00517FEF" w:rsidP="00003F7F">
    <w:pPr>
      <w:pStyle w:val="Footer"/>
      <w:rPr>
        <w:szCs w:val="24"/>
      </w:rPr>
    </w:pPr>
    <w:r w:rsidRPr="00F61A80">
      <w:rPr>
        <w:szCs w:val="24"/>
      </w:rPr>
      <w:fldChar w:fldCharType="begin"/>
    </w:r>
    <w:r w:rsidRPr="00F61A80">
      <w:rPr>
        <w:szCs w:val="24"/>
      </w:rPr>
      <w:instrText xml:space="preserve"> PAGE  \* roman  \* MERGEFORMAT </w:instrText>
    </w:r>
    <w:r w:rsidRPr="00F61A80">
      <w:rPr>
        <w:szCs w:val="24"/>
      </w:rPr>
      <w:fldChar w:fldCharType="separate"/>
    </w:r>
    <w:r w:rsidR="00C5625F">
      <w:rPr>
        <w:noProof/>
        <w:szCs w:val="24"/>
      </w:rPr>
      <w:t>i</w:t>
    </w:r>
    <w:r w:rsidRPr="00F61A80">
      <w:rPr>
        <w:noProof/>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B242C" w14:textId="77777777" w:rsidR="00517FEF" w:rsidRPr="00003F7F" w:rsidRDefault="00517FEF" w:rsidP="006E7C52">
    <w:pPr>
      <w:pStyle w:val="Footer"/>
      <w:tabs>
        <w:tab w:val="clear" w:pos="4320"/>
        <w:tab w:val="clear" w:pos="8640"/>
        <w:tab w:val="right" w:pos="9360"/>
      </w:tabs>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7A193" w14:textId="77777777" w:rsidR="00517FEF" w:rsidRPr="00003F7F" w:rsidRDefault="00517FEF" w:rsidP="00003F7F">
    <w:pPr>
      <w:pStyle w:val="Footer"/>
      <w:tabs>
        <w:tab w:val="clear" w:pos="4320"/>
        <w:tab w:val="clear" w:pos="8640"/>
        <w:tab w:val="right" w:pos="9360"/>
      </w:tabs>
    </w:pPr>
    <w:r>
      <w:fldChar w:fldCharType="begin"/>
    </w:r>
    <w:r>
      <w:instrText xml:space="preserve"> PAGE   \* MERGEFORMAT </w:instrText>
    </w:r>
    <w:r>
      <w:fldChar w:fldCharType="separate"/>
    </w:r>
    <w:r w:rsidR="00C5625F">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BDA91" w14:textId="77777777" w:rsidR="00517FEF" w:rsidRPr="00003F7F" w:rsidRDefault="00517FEF" w:rsidP="00D82783">
    <w:pPr>
      <w:pStyle w:val="Footer"/>
      <w:tabs>
        <w:tab w:val="clear" w:pos="4320"/>
        <w:tab w:val="clear" w:pos="8640"/>
        <w:tab w:val="right" w:pos="9360"/>
      </w:tabs>
    </w:pPr>
    <w:r>
      <w:fldChar w:fldCharType="begin"/>
    </w:r>
    <w:r>
      <w:instrText xml:space="preserve"> PAGE   \* MERGEFORMAT </w:instrText>
    </w:r>
    <w:r>
      <w:fldChar w:fldCharType="separate"/>
    </w:r>
    <w:r w:rsidR="00C5625F">
      <w:rPr>
        <w:noProof/>
      </w:rPr>
      <w:t>1</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42808" w14:textId="77777777" w:rsidR="00517FEF" w:rsidRPr="00003F7F" w:rsidRDefault="00517FEF" w:rsidP="006E7C52">
    <w:pPr>
      <w:pStyle w:val="Footer"/>
      <w:tabs>
        <w:tab w:val="clear" w:pos="4320"/>
        <w:tab w:val="clear" w:pos="8640"/>
        <w:tab w:val="right" w:pos="9360"/>
      </w:tabs>
    </w:pPr>
    <w:r>
      <w:fldChar w:fldCharType="begin"/>
    </w:r>
    <w:r>
      <w:instrText xml:space="preserve"> PAGE   \* MERGEFORMAT </w:instrText>
    </w:r>
    <w:r>
      <w:fldChar w:fldCharType="separate"/>
    </w:r>
    <w:r>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3C888" w14:textId="77777777" w:rsidR="00517FEF" w:rsidRDefault="00517FEF">
      <w:r>
        <w:separator/>
      </w:r>
    </w:p>
  </w:footnote>
  <w:footnote w:type="continuationSeparator" w:id="0">
    <w:p w14:paraId="5217DFD7" w14:textId="77777777" w:rsidR="00517FEF" w:rsidRDefault="00517FEF">
      <w:r>
        <w:continuationSeparator/>
      </w:r>
    </w:p>
  </w:footnote>
  <w:footnote w:type="continuationNotice" w:id="1">
    <w:p w14:paraId="1F3B27D0" w14:textId="77777777" w:rsidR="00517FEF" w:rsidRDefault="00517FEF"/>
  </w:footnote>
  <w:footnote w:id="2">
    <w:p w14:paraId="1957EFE6" w14:textId="77777777" w:rsidR="00517FEF" w:rsidRPr="001E73F4" w:rsidRDefault="00517FEF" w:rsidP="00643F30">
      <w:pPr>
        <w:pStyle w:val="FootnoteText"/>
        <w:rPr>
          <w:rFonts w:ascii="Times New Roman" w:hAnsi="Times New Roman" w:cs="Times New Roman"/>
          <w:sz w:val="18"/>
          <w:szCs w:val="18"/>
        </w:rPr>
      </w:pPr>
      <w:r w:rsidRPr="001C6397">
        <w:rPr>
          <w:rStyle w:val="FootnoteReference"/>
          <w:rFonts w:ascii="Times New Roman" w:hAnsi="Times New Roman"/>
          <w:sz w:val="18"/>
          <w:vertAlign w:val="superscript"/>
        </w:rPr>
        <w:footnoteRef/>
      </w:r>
      <w:r w:rsidRPr="001E73F4">
        <w:rPr>
          <w:rFonts w:ascii="Times New Roman" w:hAnsi="Times New Roman" w:cs="Times New Roman"/>
          <w:sz w:val="18"/>
          <w:szCs w:val="18"/>
        </w:rPr>
        <w:t xml:space="preserve"> Types of schools that were excluded from the sample based on the HSLS:09 eligibility definitions are described as part of the discussion of the target population in the </w:t>
      </w:r>
      <w:r w:rsidRPr="001E73F4">
        <w:rPr>
          <w:rFonts w:ascii="Times New Roman" w:hAnsi="Times New Roman" w:cs="Times New Roman"/>
          <w:i/>
          <w:iCs/>
          <w:sz w:val="18"/>
          <w:szCs w:val="18"/>
        </w:rPr>
        <w:t>HSLS:09 Base-Year Data File Documentation</w:t>
      </w:r>
      <w:r w:rsidRPr="001E73F4">
        <w:rPr>
          <w:rFonts w:ascii="Times New Roman" w:hAnsi="Times New Roman" w:cs="Times New Roman"/>
          <w:sz w:val="18"/>
          <w:szCs w:val="18"/>
        </w:rPr>
        <w:t xml:space="preserve"> (see chapter 3, section 3.2.1), Ingels et al. (2011).</w:t>
      </w:r>
      <w:r>
        <w:rPr>
          <w:rFonts w:ascii="Times New Roman" w:hAnsi="Times New Roman" w:cs="Times New Roman"/>
          <w:sz w:val="18"/>
          <w:szCs w:val="18"/>
        </w:rPr>
        <w:t xml:space="preserve"> </w:t>
      </w:r>
      <w:r w:rsidRPr="001E73F4">
        <w:rPr>
          <w:rFonts w:ascii="Times New Roman" w:hAnsi="Times New Roman" w:cs="Times New Roman"/>
          <w:sz w:val="18"/>
          <w:szCs w:val="18"/>
        </w:rPr>
        <w:t>See the same source for further information about the study sample design, including state-representative samples and base year student oversampling.</w:t>
      </w:r>
    </w:p>
  </w:footnote>
  <w:footnote w:id="3">
    <w:p w14:paraId="5D9AF7BC" w14:textId="77777777" w:rsidR="00517FEF" w:rsidRPr="00C01D61" w:rsidRDefault="00517FEF" w:rsidP="00E54BB9">
      <w:pPr>
        <w:pStyle w:val="FootnoteText"/>
        <w:rPr>
          <w:rFonts w:ascii="Times New Roman" w:hAnsi="Times New Roman" w:cs="Times New Roman"/>
          <w:sz w:val="20"/>
          <w:szCs w:val="20"/>
        </w:rPr>
      </w:pPr>
      <w:r w:rsidRPr="00C01D61">
        <w:rPr>
          <w:rFonts w:ascii="Times New Roman" w:hAnsi="Times New Roman" w:cs="Times New Roman"/>
          <w:noProof/>
          <w:sz w:val="20"/>
          <w:szCs w:val="20"/>
          <w:vertAlign w:val="superscript"/>
        </w:rPr>
        <w:footnoteRef/>
      </w:r>
      <w:r w:rsidRPr="00C01D61">
        <w:rPr>
          <w:rFonts w:ascii="Times New Roman" w:hAnsi="Times New Roman" w:cs="Times New Roman"/>
          <w:noProof/>
          <w:sz w:val="20"/>
          <w:szCs w:val="20"/>
          <w:vertAlign w:val="superscript"/>
        </w:rPr>
        <w:t xml:space="preserve"> </w:t>
      </w:r>
      <w:r>
        <w:rPr>
          <w:rFonts w:ascii="Times New Roman" w:hAnsi="Times New Roman" w:cs="Times New Roman"/>
          <w:sz w:val="20"/>
          <w:szCs w:val="20"/>
        </w:rPr>
        <w:t>Adelman, C. (2006). “</w:t>
      </w:r>
      <w:r w:rsidRPr="00C01D61">
        <w:rPr>
          <w:rFonts w:ascii="Times New Roman" w:hAnsi="Times New Roman" w:cs="Times New Roman"/>
          <w:sz w:val="20"/>
          <w:szCs w:val="20"/>
        </w:rPr>
        <w:t>The Toolbox Revisited:</w:t>
      </w:r>
      <w:r>
        <w:rPr>
          <w:rFonts w:ascii="Times New Roman" w:hAnsi="Times New Roman" w:cs="Times New Roman"/>
          <w:sz w:val="20"/>
          <w:szCs w:val="20"/>
        </w:rPr>
        <w:t xml:space="preserve"> </w:t>
      </w:r>
      <w:r w:rsidRPr="00C01D61">
        <w:rPr>
          <w:rFonts w:ascii="Times New Roman" w:hAnsi="Times New Roman" w:cs="Times New Roman"/>
          <w:sz w:val="20"/>
          <w:szCs w:val="20"/>
        </w:rPr>
        <w:t>Paths to Degree Completion from High School Through College” Washington, DC:</w:t>
      </w:r>
      <w:r>
        <w:rPr>
          <w:rFonts w:ascii="Times New Roman" w:hAnsi="Times New Roman" w:cs="Times New Roman"/>
          <w:sz w:val="20"/>
          <w:szCs w:val="20"/>
        </w:rPr>
        <w:t xml:space="preserve"> </w:t>
      </w:r>
      <w:r w:rsidRPr="00C01D61">
        <w:rPr>
          <w:rFonts w:ascii="Times New Roman" w:hAnsi="Times New Roman" w:cs="Times New Roman"/>
          <w:sz w:val="20"/>
          <w:szCs w:val="20"/>
        </w:rPr>
        <w:t>US Department of Education.</w:t>
      </w:r>
    </w:p>
  </w:footnote>
  <w:footnote w:id="4">
    <w:p w14:paraId="1D1ED572" w14:textId="77777777" w:rsidR="00517FEF" w:rsidRDefault="00517FEF">
      <w:pPr>
        <w:pStyle w:val="FootnoteText"/>
      </w:pPr>
      <w:r w:rsidRPr="002B5189">
        <w:rPr>
          <w:rStyle w:val="FootnoteReference"/>
          <w:rFonts w:ascii="Times New Roman" w:hAnsi="Times New Roman" w:cs="Times New Roman"/>
          <w:vertAlign w:val="superscript"/>
        </w:rPr>
        <w:footnoteRef/>
      </w:r>
      <w:r w:rsidRPr="002B5189">
        <w:rPr>
          <w:rFonts w:ascii="Times New Roman" w:hAnsi="Times New Roman" w:cs="Times New Roman"/>
          <w:vertAlign w:val="superscript"/>
        </w:rPr>
        <w:t xml:space="preserve"> </w:t>
      </w:r>
      <w:r>
        <w:rPr>
          <w:rFonts w:ascii="Times New Roman" w:hAnsi="Times New Roman" w:cs="Times New Roman"/>
          <w:color w:val="000000"/>
        </w:rPr>
        <w:t>A</w:t>
      </w:r>
      <w:r w:rsidRPr="002B5189">
        <w:rPr>
          <w:rFonts w:ascii="Times New Roman" w:hAnsi="Times New Roman" w:cs="Times New Roman"/>
          <w:color w:val="000000"/>
        </w:rPr>
        <w:t>pproved in April 2013 (OMB# 1850-0852 v.11</w:t>
      </w:r>
      <w:r>
        <w:rPr>
          <w:rFonts w:ascii="Times New Roman" w:hAnsi="Times New Roman" w:cs="Times New Roman"/>
          <w:color w:val="000000"/>
        </w:rPr>
        <w:t xml:space="preserve"> &amp; 12).</w:t>
      </w:r>
    </w:p>
  </w:footnote>
  <w:footnote w:id="5">
    <w:p w14:paraId="42EF2A57" w14:textId="5E435EDD" w:rsidR="00517FEF" w:rsidRPr="00C22EFC" w:rsidRDefault="00517FEF" w:rsidP="00B52EF2">
      <w:pPr>
        <w:pStyle w:val="FootnoteText"/>
        <w:rPr>
          <w:rFonts w:ascii="Times New Roman" w:hAnsi="Times New Roman"/>
        </w:rPr>
      </w:pPr>
      <w:r w:rsidRPr="00D04F04">
        <w:rPr>
          <w:rStyle w:val="FootnoteReference"/>
          <w:rFonts w:ascii="Times New Roman" w:hAnsi="Times New Roman"/>
          <w:vertAlign w:val="superscript"/>
        </w:rPr>
        <w:footnoteRef/>
      </w:r>
      <w:r>
        <w:rPr>
          <w:rFonts w:ascii="Times New Roman" w:hAnsi="Times New Roman"/>
        </w:rPr>
        <w:t xml:space="preserve"> </w:t>
      </w:r>
      <w:r w:rsidRPr="0037387C">
        <w:rPr>
          <w:rFonts w:ascii="Times New Roman" w:hAnsi="Times New Roman"/>
          <w:sz w:val="20"/>
        </w:rPr>
        <w:t>Taken from Table 5 - Quartiles and selected deciles of usual weekly earnings of full-time wage and salary workers by selected characteristics, 3rd quarter 2014 averages, not seasonally adjusted.</w:t>
      </w:r>
      <w:r w:rsidR="00DB3518">
        <w:rPr>
          <w:rFonts w:ascii="Times New Roman" w:hAnsi="Times New Roman"/>
          <w:sz w:val="20"/>
        </w:rPr>
        <w:t xml:space="preserve"> </w:t>
      </w:r>
      <w:hyperlink r:id="rId1" w:history="1">
        <w:r w:rsidRPr="0037387C">
          <w:rPr>
            <w:rStyle w:val="Hyperlink"/>
            <w:rFonts w:ascii="Times New Roman" w:hAnsi="Times New Roman" w:cs="Courier New"/>
            <w:sz w:val="20"/>
          </w:rPr>
          <w:t>http://www.bls.gov/news.release/pdf/wkyeng.pdf</w:t>
        </w:r>
      </w:hyperlink>
      <w:r w:rsidRPr="0037387C">
        <w:rPr>
          <w:rFonts w:ascii="Times New Roman" w:hAnsi="Times New Roman"/>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803D0" w14:textId="77777777" w:rsidR="00517FEF" w:rsidRPr="00AB7B58" w:rsidRDefault="00517FEF" w:rsidP="00AB7B58">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A44BD" w14:textId="77777777" w:rsidR="00517FEF" w:rsidRDefault="00517FEF" w:rsidP="00003F7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800F3" w14:textId="77777777" w:rsidR="00517FEF" w:rsidRDefault="00517FEF" w:rsidP="00AB7B58">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74F73" w14:textId="77777777" w:rsidR="00517FEF" w:rsidRDefault="00517FEF" w:rsidP="00003F7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75192" w14:textId="77777777" w:rsidR="00517FEF" w:rsidRDefault="00517FEF" w:rsidP="00AB7B58">
    <w:pPr>
      <w:pStyle w:val="Header"/>
      <w:tabs>
        <w:tab w:val="clear" w:pos="9360"/>
        <w:tab w:val="right" w:pos="10170"/>
      </w:tabs>
    </w:pPr>
    <w:r>
      <w:t>A. Justification</w:t>
    </w:r>
    <w:r>
      <w:tab/>
    </w:r>
    <w:r w:rsidRPr="00003F7F">
      <w:t>Supporting Statement Request for OMB Review (SF83I)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00D72" w14:textId="77777777" w:rsidR="00517FEF" w:rsidRDefault="00517FEF" w:rsidP="00AB7B58">
    <w:pPr>
      <w:pStyle w:val="Header"/>
      <w:tabs>
        <w:tab w:val="clear" w:pos="9360"/>
        <w:tab w:val="right" w:pos="10170"/>
      </w:tabs>
    </w:pPr>
    <w:r w:rsidRPr="00003F7F">
      <w:t>Supporting Statement Request for OMB Review (SF83I)</w:t>
    </w:r>
    <w:r>
      <w:tab/>
      <w:t>A. Justification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5FEC6" w14:textId="77777777" w:rsidR="00517FEF" w:rsidRDefault="00517FEF" w:rsidP="00003F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B602F6E"/>
    <w:lvl w:ilvl="0">
      <w:start w:val="1"/>
      <w:numFmt w:val="bullet"/>
      <w:pStyle w:val="HSLSbullet2ndlevel"/>
      <w:lvlText w:val=""/>
      <w:lvlJc w:val="left"/>
      <w:pPr>
        <w:tabs>
          <w:tab w:val="num" w:pos="720"/>
        </w:tabs>
        <w:ind w:left="720" w:hanging="360"/>
      </w:pPr>
      <w:rPr>
        <w:rFonts w:ascii="Symbol" w:hAnsi="Symbol" w:hint="default"/>
      </w:rPr>
    </w:lvl>
  </w:abstractNum>
  <w:abstractNum w:abstractNumId="1">
    <w:nsid w:val="FFFFFF89"/>
    <w:multiLevelType w:val="singleLevel"/>
    <w:tmpl w:val="34C82EC8"/>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singleLevel"/>
    <w:tmpl w:val="00000000"/>
    <w:lvl w:ilvl="0">
      <w:start w:val="1"/>
      <w:numFmt w:val="decimal"/>
      <w:pStyle w:val="1"/>
      <w:lvlText w:val="%1."/>
      <w:lvlJc w:val="left"/>
      <w:pPr>
        <w:tabs>
          <w:tab w:val="num" w:pos="1440"/>
        </w:tabs>
      </w:pPr>
      <w:rPr>
        <w:rFonts w:cs="Times New Roman"/>
      </w:rPr>
    </w:lvl>
  </w:abstractNum>
  <w:abstractNum w:abstractNumId="3">
    <w:nsid w:val="02EC434D"/>
    <w:multiLevelType w:val="multilevel"/>
    <w:tmpl w:val="34143B54"/>
    <w:lvl w:ilvl="0">
      <w:start w:val="2"/>
      <w:numFmt w:val="upperLetter"/>
      <w:pStyle w:val="StyleHeading1CapsLeft0Firstline0Before0pt"/>
      <w:lvlText w:val="%1."/>
      <w:lvlJc w:val="left"/>
      <w:pPr>
        <w:tabs>
          <w:tab w:val="num" w:pos="720"/>
        </w:tabs>
        <w:ind w:left="720" w:hanging="720"/>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AA75FC5"/>
    <w:multiLevelType w:val="hybridMultilevel"/>
    <w:tmpl w:val="C6CAEF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8A47BE"/>
    <w:multiLevelType w:val="hybridMultilevel"/>
    <w:tmpl w:val="A7284656"/>
    <w:lvl w:ilvl="0" w:tplc="761A26F4">
      <w:start w:val="1"/>
      <w:numFmt w:val="upperLetter"/>
      <w:pStyle w:val="QuickA"/>
      <w:lvlText w:val="(%1)"/>
      <w:lvlJc w:val="left"/>
      <w:pPr>
        <w:tabs>
          <w:tab w:val="num" w:pos="1305"/>
        </w:tabs>
        <w:ind w:left="1305" w:hanging="390"/>
      </w:pPr>
      <w:rPr>
        <w:rFonts w:cs="Times New Roman" w:hint="default"/>
      </w:rPr>
    </w:lvl>
    <w:lvl w:ilvl="1" w:tplc="04090019"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6">
    <w:nsid w:val="11C452C8"/>
    <w:multiLevelType w:val="hybridMultilevel"/>
    <w:tmpl w:val="087CC5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9E23441"/>
    <w:multiLevelType w:val="hybridMultilevel"/>
    <w:tmpl w:val="B478E6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199234F"/>
    <w:multiLevelType w:val="hybridMultilevel"/>
    <w:tmpl w:val="A9E684D6"/>
    <w:lvl w:ilvl="0" w:tplc="A8345F94">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6DA29E6"/>
    <w:multiLevelType w:val="hybridMultilevel"/>
    <w:tmpl w:val="4112D796"/>
    <w:lvl w:ilvl="0" w:tplc="CD8E54B4">
      <w:start w:val="1"/>
      <w:numFmt w:val="bullet"/>
      <w:lvlText w:val=""/>
      <w:lvlJc w:val="left"/>
      <w:pPr>
        <w:ind w:left="1440" w:hanging="360"/>
      </w:pPr>
      <w:rPr>
        <w:rFonts w:ascii="Symbol" w:hAnsi="Symbol" w:hint="default"/>
        <w:color w:val="auto"/>
      </w:rPr>
    </w:lvl>
    <w:lvl w:ilvl="1" w:tplc="CD8E54B4">
      <w:start w:val="1"/>
      <w:numFmt w:val="bullet"/>
      <w:lvlText w:val=""/>
      <w:lvlJc w:val="left"/>
      <w:pPr>
        <w:ind w:left="2160" w:hanging="360"/>
      </w:pPr>
      <w:rPr>
        <w:rFonts w:ascii="Symbol" w:hAnsi="Symbol" w:hint="default"/>
        <w:b/>
        <w:i w:val="0"/>
        <w:color w:val="auto"/>
      </w:rPr>
    </w:lvl>
    <w:lvl w:ilvl="2" w:tplc="149C190A">
      <w:start w:val="1"/>
      <w:numFmt w:val="bullet"/>
      <w:pStyle w:val="bullet3rdlevel"/>
      <w:lvlText w:val="-"/>
      <w:lvlJc w:val="left"/>
      <w:pPr>
        <w:ind w:left="2880" w:hanging="360"/>
      </w:pPr>
      <w:rPr>
        <w:rFonts w:ascii="Times New Roman" w:hAnsi="Times New Roman" w:hint="default"/>
        <w:b/>
        <w:i w:val="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8A570E1"/>
    <w:multiLevelType w:val="hybridMultilevel"/>
    <w:tmpl w:val="92E4BE2C"/>
    <w:lvl w:ilvl="0" w:tplc="6E7034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C06D85"/>
    <w:multiLevelType w:val="hybridMultilevel"/>
    <w:tmpl w:val="CDD4F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F311AD"/>
    <w:multiLevelType w:val="hybridMultilevel"/>
    <w:tmpl w:val="06E841E2"/>
    <w:lvl w:ilvl="0" w:tplc="C90AF92E">
      <w:start w:val="1"/>
      <w:numFmt w:val="decimal"/>
      <w:pStyle w:val="ListBullet"/>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BB31AF3"/>
    <w:multiLevelType w:val="hybridMultilevel"/>
    <w:tmpl w:val="0A90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A22ABC"/>
    <w:multiLevelType w:val="hybridMultilevel"/>
    <w:tmpl w:val="2C74E6C8"/>
    <w:lvl w:ilvl="0" w:tplc="CCA6721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2FF2EDE"/>
    <w:multiLevelType w:val="hybridMultilevel"/>
    <w:tmpl w:val="FBC2F2BC"/>
    <w:lvl w:ilvl="0" w:tplc="F456251C">
      <w:start w:val="1"/>
      <w:numFmt w:val="lowerLetter"/>
      <w:pStyle w:val="Quick1"/>
      <w:lvlText w:val="(%1)"/>
      <w:lvlJc w:val="left"/>
      <w:pPr>
        <w:tabs>
          <w:tab w:val="num" w:pos="600"/>
        </w:tabs>
        <w:ind w:left="600" w:hanging="360"/>
      </w:pPr>
      <w:rPr>
        <w:rFonts w:cs="Times New Roman" w:hint="default"/>
      </w:rPr>
    </w:lvl>
    <w:lvl w:ilvl="1" w:tplc="04090019">
      <w:start w:val="1"/>
      <w:numFmt w:val="decimal"/>
      <w:lvlText w:val="(%2)"/>
      <w:lvlJc w:val="left"/>
      <w:pPr>
        <w:tabs>
          <w:tab w:val="num" w:pos="1320"/>
        </w:tabs>
        <w:ind w:left="1320" w:hanging="360"/>
      </w:pPr>
      <w:rPr>
        <w:rFonts w:cs="Times New Roman" w:hint="default"/>
      </w:rPr>
    </w:lvl>
    <w:lvl w:ilvl="2" w:tplc="0409001B">
      <w:start w:val="1"/>
      <w:numFmt w:val="upperLetter"/>
      <w:lvlText w:val="(%3)"/>
      <w:lvlJc w:val="left"/>
      <w:pPr>
        <w:tabs>
          <w:tab w:val="num" w:pos="2250"/>
        </w:tabs>
        <w:ind w:left="2250" w:hanging="39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17">
    <w:nsid w:val="34427576"/>
    <w:multiLevelType w:val="hybridMultilevel"/>
    <w:tmpl w:val="E70C59D2"/>
    <w:lvl w:ilvl="0" w:tplc="BF0A8F8E">
      <w:numFmt w:val="bullet"/>
      <w:lvlText w:val="•"/>
      <w:lvlJc w:val="left"/>
      <w:pPr>
        <w:ind w:left="2160" w:hanging="144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6BD213E"/>
    <w:multiLevelType w:val="hybridMultilevel"/>
    <w:tmpl w:val="7BC24C06"/>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382FF3"/>
    <w:multiLevelType w:val="hybridMultilevel"/>
    <w:tmpl w:val="970C21D4"/>
    <w:lvl w:ilvl="0" w:tplc="04090019">
      <w:start w:val="1"/>
      <w:numFmt w:val="upperLetter"/>
      <w:pStyle w:val="Bullet1"/>
      <w:lvlText w:val="(%1)"/>
      <w:lvlJc w:val="left"/>
      <w:pPr>
        <w:tabs>
          <w:tab w:val="num" w:pos="1305"/>
        </w:tabs>
        <w:ind w:left="1305" w:hanging="390"/>
      </w:pPr>
      <w:rPr>
        <w:rFonts w:cs="Times New Roman" w:hint="default"/>
      </w:rPr>
    </w:lvl>
    <w:lvl w:ilvl="1" w:tplc="DD2C7852"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20">
    <w:nsid w:val="457C6F60"/>
    <w:multiLevelType w:val="hybridMultilevel"/>
    <w:tmpl w:val="E8887030"/>
    <w:lvl w:ilvl="0" w:tplc="4F9A54DC">
      <w:start w:val="1"/>
      <w:numFmt w:val="bullet"/>
      <w:pStyle w:val="bulletresponsenumbered"/>
      <w:lvlText w:val="o"/>
      <w:lvlJc w:val="left"/>
      <w:pPr>
        <w:tabs>
          <w:tab w:val="num" w:pos="1440"/>
        </w:tabs>
        <w:ind w:left="1440" w:hanging="360"/>
      </w:pPr>
      <w:rPr>
        <w:rFonts w:ascii="Courier New" w:hAnsi="Courier New" w:hint="default"/>
        <w:sz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2">
    <w:nsid w:val="61AE2BC4"/>
    <w:multiLevelType w:val="hybridMultilevel"/>
    <w:tmpl w:val="6966CED2"/>
    <w:lvl w:ilvl="0" w:tplc="FFFFFFFF">
      <w:start w:val="1"/>
      <w:numFmt w:val="bullet"/>
      <w:pStyle w:val="bullet10"/>
      <w:lvlText w:val=""/>
      <w:lvlJc w:val="left"/>
      <w:pPr>
        <w:ind w:left="720" w:hanging="360"/>
      </w:pPr>
      <w:rPr>
        <w:rFonts w:ascii="Symbol" w:hAnsi="Symbol" w:hint="default"/>
      </w:rPr>
    </w:lvl>
    <w:lvl w:ilvl="1" w:tplc="FFFFFFFF">
      <w:numFmt w:val="bullet"/>
      <w:lvlText w:val="-"/>
      <w:lvlJc w:val="left"/>
      <w:pPr>
        <w:ind w:left="1440" w:hanging="360"/>
      </w:pPr>
      <w:rPr>
        <w:rFonts w:ascii="Arial" w:hAnsi="Arial" w:hint="default"/>
        <w:b w:val="0"/>
        <w:i w:val="0"/>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66896078"/>
    <w:multiLevelType w:val="hybridMultilevel"/>
    <w:tmpl w:val="43EC0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F93E83"/>
    <w:multiLevelType w:val="hybridMultilevel"/>
    <w:tmpl w:val="B94410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nsid w:val="6CCA5BAB"/>
    <w:multiLevelType w:val="hybridMultilevel"/>
    <w:tmpl w:val="6A42E63E"/>
    <w:lvl w:ilvl="0" w:tplc="FFFFFFFF">
      <w:start w:val="1"/>
      <w:numFmt w:val="decimal"/>
      <w:pStyle w:val="question"/>
      <w:lvlText w:val="%1."/>
      <w:lvlJc w:val="left"/>
      <w:pPr>
        <w:tabs>
          <w:tab w:val="num" w:pos="1440"/>
        </w:tabs>
        <w:ind w:left="1440" w:hanging="720"/>
      </w:pPr>
      <w:rPr>
        <w:rFonts w:ascii="Times New Roman" w:hAnsi="Times New Roman" w:cs="Times New Roman" w:hint="default"/>
        <w:b w:val="0"/>
        <w:bCs w:val="0"/>
        <w:sz w:val="24"/>
        <w:szCs w:val="24"/>
      </w:rPr>
    </w:lvl>
    <w:lvl w:ilvl="1" w:tplc="04090019">
      <w:start w:val="1"/>
      <w:numFmt w:val="lowerLetter"/>
      <w:lvlText w:val="%2."/>
      <w:lvlJc w:val="left"/>
      <w:pPr>
        <w:tabs>
          <w:tab w:val="num" w:pos="2160"/>
        </w:tabs>
        <w:ind w:left="216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712556AB"/>
    <w:multiLevelType w:val="hybridMultilevel"/>
    <w:tmpl w:val="76BEE442"/>
    <w:lvl w:ilvl="0" w:tplc="3BC8F61C">
      <w:start w:val="1"/>
      <w:numFmt w:val="decimal"/>
      <w:lvlText w:val="%1."/>
      <w:lvlJc w:val="left"/>
      <w:pPr>
        <w:ind w:left="1440" w:hanging="720"/>
      </w:pPr>
      <w:rPr>
        <w:rFonts w:ascii="Times New Roman Bold"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0"/>
  </w:num>
  <w:num w:numId="4">
    <w:abstractNumId w:val="1"/>
  </w:num>
  <w:num w:numId="5">
    <w:abstractNumId w:val="0"/>
  </w:num>
  <w:num w:numId="6">
    <w:abstractNumId w:val="19"/>
  </w:num>
  <w:num w:numId="7">
    <w:abstractNumId w:val="5"/>
  </w:num>
  <w:num w:numId="8">
    <w:abstractNumId w:val="16"/>
  </w:num>
  <w:num w:numId="9">
    <w:abstractNumId w:val="9"/>
  </w:num>
  <w:num w:numId="10">
    <w:abstractNumId w:val="3"/>
  </w:num>
  <w:num w:numId="11">
    <w:abstractNumId w:val="2"/>
    <w:lvlOverride w:ilvl="0">
      <w:lvl w:ilvl="0">
        <w:start w:val="1"/>
        <w:numFmt w:val="decimal"/>
        <w:pStyle w:val="1"/>
        <w:lvlText w:val="%1."/>
        <w:lvlJc w:val="left"/>
        <w:rPr>
          <w:rFonts w:cs="Times New Roman"/>
        </w:rPr>
      </w:lvl>
    </w:lvlOverride>
  </w:num>
  <w:num w:numId="12">
    <w:abstractNumId w:val="10"/>
  </w:num>
  <w:num w:numId="13">
    <w:abstractNumId w:val="22"/>
  </w:num>
  <w:num w:numId="14">
    <w:abstractNumId w:val="25"/>
  </w:num>
  <w:num w:numId="15">
    <w:abstractNumId w:val="13"/>
  </w:num>
  <w:num w:numId="16">
    <w:abstractNumId w:val="20"/>
  </w:num>
  <w:num w:numId="17">
    <w:abstractNumId w:val="21"/>
  </w:num>
  <w:num w:numId="18">
    <w:abstractNumId w:val="8"/>
  </w:num>
  <w:num w:numId="19">
    <w:abstractNumId w:val="24"/>
  </w:num>
  <w:num w:numId="20">
    <w:abstractNumId w:val="6"/>
  </w:num>
  <w:num w:numId="21">
    <w:abstractNumId w:val="7"/>
  </w:num>
  <w:num w:numId="22">
    <w:abstractNumId w:val="26"/>
  </w:num>
  <w:num w:numId="23">
    <w:abstractNumId w:val="8"/>
  </w:num>
  <w:num w:numId="24">
    <w:abstractNumId w:val="12"/>
  </w:num>
  <w:num w:numId="25">
    <w:abstractNumId w:val="11"/>
  </w:num>
  <w:num w:numId="26">
    <w:abstractNumId w:val="15"/>
  </w:num>
  <w:num w:numId="27">
    <w:abstractNumId w:val="4"/>
  </w:num>
  <w:num w:numId="28">
    <w:abstractNumId w:val="17"/>
  </w:num>
  <w:num w:numId="29">
    <w:abstractNumId w:val="14"/>
  </w:num>
  <w:num w:numId="30">
    <w:abstractNumId w:val="23"/>
  </w:num>
  <w:num w:numId="3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87"/>
  <w:displayHorizontalDrawingGridEvery w:val="2"/>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95"/>
    <w:rsid w:val="00000B41"/>
    <w:rsid w:val="000010B8"/>
    <w:rsid w:val="00003F7F"/>
    <w:rsid w:val="00004979"/>
    <w:rsid w:val="00005467"/>
    <w:rsid w:val="0000572A"/>
    <w:rsid w:val="0000653A"/>
    <w:rsid w:val="00006D0C"/>
    <w:rsid w:val="0001009B"/>
    <w:rsid w:val="00017CE2"/>
    <w:rsid w:val="00020665"/>
    <w:rsid w:val="000206CC"/>
    <w:rsid w:val="00020B6F"/>
    <w:rsid w:val="000212FF"/>
    <w:rsid w:val="00021CB2"/>
    <w:rsid w:val="000228E3"/>
    <w:rsid w:val="00024DC0"/>
    <w:rsid w:val="00025A65"/>
    <w:rsid w:val="00025B26"/>
    <w:rsid w:val="00026F50"/>
    <w:rsid w:val="000310CC"/>
    <w:rsid w:val="00031803"/>
    <w:rsid w:val="00033C74"/>
    <w:rsid w:val="00034EB0"/>
    <w:rsid w:val="00035536"/>
    <w:rsid w:val="000355C3"/>
    <w:rsid w:val="000374CC"/>
    <w:rsid w:val="00037740"/>
    <w:rsid w:val="00037AE5"/>
    <w:rsid w:val="000543FB"/>
    <w:rsid w:val="00054969"/>
    <w:rsid w:val="00055534"/>
    <w:rsid w:val="00056DED"/>
    <w:rsid w:val="00060427"/>
    <w:rsid w:val="000620F8"/>
    <w:rsid w:val="00062FE0"/>
    <w:rsid w:val="00065393"/>
    <w:rsid w:val="00071A84"/>
    <w:rsid w:val="00074788"/>
    <w:rsid w:val="000771CD"/>
    <w:rsid w:val="000778C2"/>
    <w:rsid w:val="00083F1C"/>
    <w:rsid w:val="00084B36"/>
    <w:rsid w:val="00086D9E"/>
    <w:rsid w:val="000871CC"/>
    <w:rsid w:val="00087790"/>
    <w:rsid w:val="00090725"/>
    <w:rsid w:val="000924CC"/>
    <w:rsid w:val="00093C14"/>
    <w:rsid w:val="00093ED7"/>
    <w:rsid w:val="00094288"/>
    <w:rsid w:val="00094D3C"/>
    <w:rsid w:val="000961C5"/>
    <w:rsid w:val="00097C87"/>
    <w:rsid w:val="000A2D00"/>
    <w:rsid w:val="000A2EB7"/>
    <w:rsid w:val="000A305D"/>
    <w:rsid w:val="000A4C56"/>
    <w:rsid w:val="000A5756"/>
    <w:rsid w:val="000A6365"/>
    <w:rsid w:val="000B06B5"/>
    <w:rsid w:val="000B1786"/>
    <w:rsid w:val="000B2E86"/>
    <w:rsid w:val="000B3B4A"/>
    <w:rsid w:val="000B6AFC"/>
    <w:rsid w:val="000C0CBA"/>
    <w:rsid w:val="000C3A06"/>
    <w:rsid w:val="000C509D"/>
    <w:rsid w:val="000C51BA"/>
    <w:rsid w:val="000C5211"/>
    <w:rsid w:val="000C5D55"/>
    <w:rsid w:val="000C7494"/>
    <w:rsid w:val="000E0A8F"/>
    <w:rsid w:val="000E24FF"/>
    <w:rsid w:val="000E3FCC"/>
    <w:rsid w:val="000E7780"/>
    <w:rsid w:val="000F2C97"/>
    <w:rsid w:val="000F3D1A"/>
    <w:rsid w:val="000F56FC"/>
    <w:rsid w:val="000F76FB"/>
    <w:rsid w:val="000F7FAF"/>
    <w:rsid w:val="001037D5"/>
    <w:rsid w:val="001039C4"/>
    <w:rsid w:val="00104637"/>
    <w:rsid w:val="00105447"/>
    <w:rsid w:val="001066FF"/>
    <w:rsid w:val="00107C11"/>
    <w:rsid w:val="001129D6"/>
    <w:rsid w:val="00114779"/>
    <w:rsid w:val="0011510C"/>
    <w:rsid w:val="00117B12"/>
    <w:rsid w:val="00117FA3"/>
    <w:rsid w:val="0012130D"/>
    <w:rsid w:val="00122814"/>
    <w:rsid w:val="00124E15"/>
    <w:rsid w:val="00125344"/>
    <w:rsid w:val="001265CD"/>
    <w:rsid w:val="001267EF"/>
    <w:rsid w:val="00130660"/>
    <w:rsid w:val="00131EDE"/>
    <w:rsid w:val="00134312"/>
    <w:rsid w:val="001345DF"/>
    <w:rsid w:val="00136CEF"/>
    <w:rsid w:val="00137A3C"/>
    <w:rsid w:val="00141C1E"/>
    <w:rsid w:val="00141D9E"/>
    <w:rsid w:val="00144B6C"/>
    <w:rsid w:val="00147279"/>
    <w:rsid w:val="001474C9"/>
    <w:rsid w:val="00151267"/>
    <w:rsid w:val="00151C55"/>
    <w:rsid w:val="00152739"/>
    <w:rsid w:val="00154338"/>
    <w:rsid w:val="00154452"/>
    <w:rsid w:val="001558E2"/>
    <w:rsid w:val="00155DFC"/>
    <w:rsid w:val="0016077B"/>
    <w:rsid w:val="001634B5"/>
    <w:rsid w:val="001643A5"/>
    <w:rsid w:val="00164864"/>
    <w:rsid w:val="00164A09"/>
    <w:rsid w:val="00165C1A"/>
    <w:rsid w:val="00166AC8"/>
    <w:rsid w:val="00166AF2"/>
    <w:rsid w:val="00166E71"/>
    <w:rsid w:val="001676F3"/>
    <w:rsid w:val="00167764"/>
    <w:rsid w:val="00171B6D"/>
    <w:rsid w:val="00173153"/>
    <w:rsid w:val="00173942"/>
    <w:rsid w:val="00173B36"/>
    <w:rsid w:val="00175434"/>
    <w:rsid w:val="00176CED"/>
    <w:rsid w:val="00177906"/>
    <w:rsid w:val="00182345"/>
    <w:rsid w:val="0018415B"/>
    <w:rsid w:val="00184778"/>
    <w:rsid w:val="00187BF6"/>
    <w:rsid w:val="00190B30"/>
    <w:rsid w:val="00193A1D"/>
    <w:rsid w:val="001944F8"/>
    <w:rsid w:val="00194FBF"/>
    <w:rsid w:val="00195242"/>
    <w:rsid w:val="001955B6"/>
    <w:rsid w:val="00196959"/>
    <w:rsid w:val="001A003F"/>
    <w:rsid w:val="001A41AD"/>
    <w:rsid w:val="001A43BC"/>
    <w:rsid w:val="001A63CC"/>
    <w:rsid w:val="001B1352"/>
    <w:rsid w:val="001B1C56"/>
    <w:rsid w:val="001B1E22"/>
    <w:rsid w:val="001B4CAB"/>
    <w:rsid w:val="001B64B7"/>
    <w:rsid w:val="001B717B"/>
    <w:rsid w:val="001B76CF"/>
    <w:rsid w:val="001C1423"/>
    <w:rsid w:val="001C1AEF"/>
    <w:rsid w:val="001C28AC"/>
    <w:rsid w:val="001C3193"/>
    <w:rsid w:val="001C4BFA"/>
    <w:rsid w:val="001C4FE2"/>
    <w:rsid w:val="001C6397"/>
    <w:rsid w:val="001C730D"/>
    <w:rsid w:val="001D129D"/>
    <w:rsid w:val="001D1E0D"/>
    <w:rsid w:val="001D228D"/>
    <w:rsid w:val="001D2308"/>
    <w:rsid w:val="001D29AA"/>
    <w:rsid w:val="001D37B1"/>
    <w:rsid w:val="001E2964"/>
    <w:rsid w:val="001E73F4"/>
    <w:rsid w:val="001E7558"/>
    <w:rsid w:val="001E7BE4"/>
    <w:rsid w:val="001F1791"/>
    <w:rsid w:val="001F22E4"/>
    <w:rsid w:val="001F2C95"/>
    <w:rsid w:val="001F2E61"/>
    <w:rsid w:val="001F4AFC"/>
    <w:rsid w:val="001F4FBA"/>
    <w:rsid w:val="001F6C3C"/>
    <w:rsid w:val="001F7BCE"/>
    <w:rsid w:val="00200F17"/>
    <w:rsid w:val="00200FCC"/>
    <w:rsid w:val="00203A6B"/>
    <w:rsid w:val="00204464"/>
    <w:rsid w:val="00205492"/>
    <w:rsid w:val="002150EB"/>
    <w:rsid w:val="002156F9"/>
    <w:rsid w:val="00215AB1"/>
    <w:rsid w:val="00215C69"/>
    <w:rsid w:val="00221291"/>
    <w:rsid w:val="00221530"/>
    <w:rsid w:val="00221BC8"/>
    <w:rsid w:val="00221CDC"/>
    <w:rsid w:val="00224384"/>
    <w:rsid w:val="00225CC0"/>
    <w:rsid w:val="00226F3B"/>
    <w:rsid w:val="00235611"/>
    <w:rsid w:val="00235D75"/>
    <w:rsid w:val="00237307"/>
    <w:rsid w:val="0024153D"/>
    <w:rsid w:val="00241D7C"/>
    <w:rsid w:val="00241E3E"/>
    <w:rsid w:val="0024406E"/>
    <w:rsid w:val="00253873"/>
    <w:rsid w:val="00254586"/>
    <w:rsid w:val="002546D1"/>
    <w:rsid w:val="002549A0"/>
    <w:rsid w:val="00254F58"/>
    <w:rsid w:val="002602A4"/>
    <w:rsid w:val="00261368"/>
    <w:rsid w:val="002624EE"/>
    <w:rsid w:val="002626C2"/>
    <w:rsid w:val="002626D9"/>
    <w:rsid w:val="00262777"/>
    <w:rsid w:val="002627B1"/>
    <w:rsid w:val="00262ADB"/>
    <w:rsid w:val="0026371F"/>
    <w:rsid w:val="002639F2"/>
    <w:rsid w:val="00264D22"/>
    <w:rsid w:val="00265879"/>
    <w:rsid w:val="00266C17"/>
    <w:rsid w:val="00267AB3"/>
    <w:rsid w:val="00271A27"/>
    <w:rsid w:val="00273921"/>
    <w:rsid w:val="00273B0F"/>
    <w:rsid w:val="00274C57"/>
    <w:rsid w:val="002758A7"/>
    <w:rsid w:val="002772BC"/>
    <w:rsid w:val="0028063C"/>
    <w:rsid w:val="00281590"/>
    <w:rsid w:val="0028421B"/>
    <w:rsid w:val="00285CF2"/>
    <w:rsid w:val="002873F0"/>
    <w:rsid w:val="002921F0"/>
    <w:rsid w:val="00294223"/>
    <w:rsid w:val="002971B5"/>
    <w:rsid w:val="00297547"/>
    <w:rsid w:val="00297A49"/>
    <w:rsid w:val="002A0E0B"/>
    <w:rsid w:val="002A19D1"/>
    <w:rsid w:val="002A405F"/>
    <w:rsid w:val="002A4094"/>
    <w:rsid w:val="002A4957"/>
    <w:rsid w:val="002A5930"/>
    <w:rsid w:val="002A6C88"/>
    <w:rsid w:val="002A7F9F"/>
    <w:rsid w:val="002B1D4D"/>
    <w:rsid w:val="002B2D62"/>
    <w:rsid w:val="002B2F99"/>
    <w:rsid w:val="002B5189"/>
    <w:rsid w:val="002B5B0A"/>
    <w:rsid w:val="002B6C73"/>
    <w:rsid w:val="002C11CF"/>
    <w:rsid w:val="002C1C8F"/>
    <w:rsid w:val="002C26C3"/>
    <w:rsid w:val="002C51CE"/>
    <w:rsid w:val="002D1F8A"/>
    <w:rsid w:val="002D26FC"/>
    <w:rsid w:val="002D61A5"/>
    <w:rsid w:val="002D7A46"/>
    <w:rsid w:val="002E2CA9"/>
    <w:rsid w:val="002E3ADF"/>
    <w:rsid w:val="002E4F05"/>
    <w:rsid w:val="002E5772"/>
    <w:rsid w:val="002E79F2"/>
    <w:rsid w:val="002F25B2"/>
    <w:rsid w:val="002F342B"/>
    <w:rsid w:val="002F483F"/>
    <w:rsid w:val="002F7642"/>
    <w:rsid w:val="00300466"/>
    <w:rsid w:val="0030132F"/>
    <w:rsid w:val="0030192E"/>
    <w:rsid w:val="0030199C"/>
    <w:rsid w:val="0030380A"/>
    <w:rsid w:val="0030393D"/>
    <w:rsid w:val="003041CE"/>
    <w:rsid w:val="00304226"/>
    <w:rsid w:val="00304242"/>
    <w:rsid w:val="0030575C"/>
    <w:rsid w:val="003110E4"/>
    <w:rsid w:val="003112D1"/>
    <w:rsid w:val="00311BAB"/>
    <w:rsid w:val="00311E5E"/>
    <w:rsid w:val="00312120"/>
    <w:rsid w:val="00312BA8"/>
    <w:rsid w:val="0031648B"/>
    <w:rsid w:val="003178B1"/>
    <w:rsid w:val="00320564"/>
    <w:rsid w:val="00320909"/>
    <w:rsid w:val="003233F2"/>
    <w:rsid w:val="0032373E"/>
    <w:rsid w:val="003255BB"/>
    <w:rsid w:val="00325B05"/>
    <w:rsid w:val="003270DE"/>
    <w:rsid w:val="00327EF5"/>
    <w:rsid w:val="00327F62"/>
    <w:rsid w:val="00330C2A"/>
    <w:rsid w:val="003317AF"/>
    <w:rsid w:val="0033182F"/>
    <w:rsid w:val="00334DE0"/>
    <w:rsid w:val="00334E24"/>
    <w:rsid w:val="003356EC"/>
    <w:rsid w:val="003365BC"/>
    <w:rsid w:val="003368ED"/>
    <w:rsid w:val="00336EF8"/>
    <w:rsid w:val="00337455"/>
    <w:rsid w:val="00341562"/>
    <w:rsid w:val="00342795"/>
    <w:rsid w:val="003433A9"/>
    <w:rsid w:val="00344F12"/>
    <w:rsid w:val="0034672B"/>
    <w:rsid w:val="0035162B"/>
    <w:rsid w:val="00353219"/>
    <w:rsid w:val="00353648"/>
    <w:rsid w:val="00355479"/>
    <w:rsid w:val="00355856"/>
    <w:rsid w:val="00357116"/>
    <w:rsid w:val="00357228"/>
    <w:rsid w:val="003606CF"/>
    <w:rsid w:val="00361791"/>
    <w:rsid w:val="00361DB2"/>
    <w:rsid w:val="00361F33"/>
    <w:rsid w:val="003625C7"/>
    <w:rsid w:val="00363A75"/>
    <w:rsid w:val="00364493"/>
    <w:rsid w:val="00365534"/>
    <w:rsid w:val="00367E8B"/>
    <w:rsid w:val="00371224"/>
    <w:rsid w:val="00371C36"/>
    <w:rsid w:val="00371C37"/>
    <w:rsid w:val="0037320E"/>
    <w:rsid w:val="0037387C"/>
    <w:rsid w:val="00374594"/>
    <w:rsid w:val="0037527C"/>
    <w:rsid w:val="00377BF8"/>
    <w:rsid w:val="003804DF"/>
    <w:rsid w:val="00380915"/>
    <w:rsid w:val="00383151"/>
    <w:rsid w:val="003834F3"/>
    <w:rsid w:val="003848CB"/>
    <w:rsid w:val="00385384"/>
    <w:rsid w:val="0039279B"/>
    <w:rsid w:val="0039459D"/>
    <w:rsid w:val="003951B0"/>
    <w:rsid w:val="00396249"/>
    <w:rsid w:val="00396701"/>
    <w:rsid w:val="003973C2"/>
    <w:rsid w:val="003A32FB"/>
    <w:rsid w:val="003A3FE7"/>
    <w:rsid w:val="003A762D"/>
    <w:rsid w:val="003B0509"/>
    <w:rsid w:val="003B0729"/>
    <w:rsid w:val="003B081D"/>
    <w:rsid w:val="003B0FA3"/>
    <w:rsid w:val="003B146D"/>
    <w:rsid w:val="003B3E19"/>
    <w:rsid w:val="003B4B76"/>
    <w:rsid w:val="003B5E12"/>
    <w:rsid w:val="003B666B"/>
    <w:rsid w:val="003B66A9"/>
    <w:rsid w:val="003B72A4"/>
    <w:rsid w:val="003B75BD"/>
    <w:rsid w:val="003C031C"/>
    <w:rsid w:val="003C6E57"/>
    <w:rsid w:val="003C7775"/>
    <w:rsid w:val="003D085F"/>
    <w:rsid w:val="003D2165"/>
    <w:rsid w:val="003D50D1"/>
    <w:rsid w:val="003D5921"/>
    <w:rsid w:val="003D6676"/>
    <w:rsid w:val="003E3C39"/>
    <w:rsid w:val="003E6F0B"/>
    <w:rsid w:val="003E7D32"/>
    <w:rsid w:val="003F08FD"/>
    <w:rsid w:val="003F14AF"/>
    <w:rsid w:val="003F17C7"/>
    <w:rsid w:val="003F25D3"/>
    <w:rsid w:val="003F2811"/>
    <w:rsid w:val="003F308F"/>
    <w:rsid w:val="003F3518"/>
    <w:rsid w:val="003F468B"/>
    <w:rsid w:val="003F473D"/>
    <w:rsid w:val="003F5865"/>
    <w:rsid w:val="003F59B4"/>
    <w:rsid w:val="003F5F4F"/>
    <w:rsid w:val="003F746A"/>
    <w:rsid w:val="004015D4"/>
    <w:rsid w:val="00402C48"/>
    <w:rsid w:val="00403C45"/>
    <w:rsid w:val="00404108"/>
    <w:rsid w:val="00404B5D"/>
    <w:rsid w:val="0041070D"/>
    <w:rsid w:val="004111FA"/>
    <w:rsid w:val="00411DD5"/>
    <w:rsid w:val="004137A3"/>
    <w:rsid w:val="00415F89"/>
    <w:rsid w:val="00416E8F"/>
    <w:rsid w:val="004177DB"/>
    <w:rsid w:val="00417CF8"/>
    <w:rsid w:val="00417FB3"/>
    <w:rsid w:val="0042018A"/>
    <w:rsid w:val="0042519F"/>
    <w:rsid w:val="004252A6"/>
    <w:rsid w:val="0042733E"/>
    <w:rsid w:val="004309AC"/>
    <w:rsid w:val="00430B8C"/>
    <w:rsid w:val="00434B13"/>
    <w:rsid w:val="00435077"/>
    <w:rsid w:val="0043515F"/>
    <w:rsid w:val="004367AB"/>
    <w:rsid w:val="00437F84"/>
    <w:rsid w:val="004406A8"/>
    <w:rsid w:val="0044075D"/>
    <w:rsid w:val="00440935"/>
    <w:rsid w:val="00440D24"/>
    <w:rsid w:val="004414FF"/>
    <w:rsid w:val="00441958"/>
    <w:rsid w:val="00443C68"/>
    <w:rsid w:val="0044488E"/>
    <w:rsid w:val="0044627D"/>
    <w:rsid w:val="00446F31"/>
    <w:rsid w:val="00447C51"/>
    <w:rsid w:val="004519E6"/>
    <w:rsid w:val="00451A61"/>
    <w:rsid w:val="00452757"/>
    <w:rsid w:val="00462209"/>
    <w:rsid w:val="00464773"/>
    <w:rsid w:val="00465C62"/>
    <w:rsid w:val="004663A0"/>
    <w:rsid w:val="00466F49"/>
    <w:rsid w:val="00474CB1"/>
    <w:rsid w:val="00475FA6"/>
    <w:rsid w:val="00476B26"/>
    <w:rsid w:val="00484834"/>
    <w:rsid w:val="00485BF0"/>
    <w:rsid w:val="00485FD2"/>
    <w:rsid w:val="00487741"/>
    <w:rsid w:val="00487A37"/>
    <w:rsid w:val="004903A4"/>
    <w:rsid w:val="00490BED"/>
    <w:rsid w:val="00491CA8"/>
    <w:rsid w:val="0049428B"/>
    <w:rsid w:val="00497E51"/>
    <w:rsid w:val="004A0884"/>
    <w:rsid w:val="004A5179"/>
    <w:rsid w:val="004B14C6"/>
    <w:rsid w:val="004B4007"/>
    <w:rsid w:val="004B4398"/>
    <w:rsid w:val="004B6629"/>
    <w:rsid w:val="004B71F6"/>
    <w:rsid w:val="004B7383"/>
    <w:rsid w:val="004B7452"/>
    <w:rsid w:val="004B798E"/>
    <w:rsid w:val="004C0788"/>
    <w:rsid w:val="004C0B18"/>
    <w:rsid w:val="004C166D"/>
    <w:rsid w:val="004C1B63"/>
    <w:rsid w:val="004C3026"/>
    <w:rsid w:val="004C38AA"/>
    <w:rsid w:val="004C3DB8"/>
    <w:rsid w:val="004C59DC"/>
    <w:rsid w:val="004C610B"/>
    <w:rsid w:val="004C65EF"/>
    <w:rsid w:val="004D0E07"/>
    <w:rsid w:val="004D18A4"/>
    <w:rsid w:val="004D1F69"/>
    <w:rsid w:val="004D2017"/>
    <w:rsid w:val="004D2336"/>
    <w:rsid w:val="004D4506"/>
    <w:rsid w:val="004D4807"/>
    <w:rsid w:val="004E013C"/>
    <w:rsid w:val="004E1118"/>
    <w:rsid w:val="004E1351"/>
    <w:rsid w:val="004E1487"/>
    <w:rsid w:val="004E22BB"/>
    <w:rsid w:val="004E4712"/>
    <w:rsid w:val="004F00AB"/>
    <w:rsid w:val="004F104B"/>
    <w:rsid w:val="004F25CD"/>
    <w:rsid w:val="004F348B"/>
    <w:rsid w:val="005029BB"/>
    <w:rsid w:val="00504279"/>
    <w:rsid w:val="00504295"/>
    <w:rsid w:val="0050520F"/>
    <w:rsid w:val="0050733F"/>
    <w:rsid w:val="00510DB7"/>
    <w:rsid w:val="0051311B"/>
    <w:rsid w:val="00515E4E"/>
    <w:rsid w:val="00517C45"/>
    <w:rsid w:val="00517FEF"/>
    <w:rsid w:val="00520194"/>
    <w:rsid w:val="00520A68"/>
    <w:rsid w:val="00523CA3"/>
    <w:rsid w:val="00523D4E"/>
    <w:rsid w:val="00524896"/>
    <w:rsid w:val="00524F20"/>
    <w:rsid w:val="00527375"/>
    <w:rsid w:val="00527EB1"/>
    <w:rsid w:val="00530A99"/>
    <w:rsid w:val="00531E02"/>
    <w:rsid w:val="005349B9"/>
    <w:rsid w:val="00534C01"/>
    <w:rsid w:val="00534EEC"/>
    <w:rsid w:val="005404E3"/>
    <w:rsid w:val="00542B38"/>
    <w:rsid w:val="00542B5F"/>
    <w:rsid w:val="00543876"/>
    <w:rsid w:val="00545A16"/>
    <w:rsid w:val="0054679C"/>
    <w:rsid w:val="0054748B"/>
    <w:rsid w:val="005504F9"/>
    <w:rsid w:val="00550768"/>
    <w:rsid w:val="00550B29"/>
    <w:rsid w:val="00553391"/>
    <w:rsid w:val="00553DBC"/>
    <w:rsid w:val="005560BC"/>
    <w:rsid w:val="00556B14"/>
    <w:rsid w:val="005571C6"/>
    <w:rsid w:val="00557710"/>
    <w:rsid w:val="0056029E"/>
    <w:rsid w:val="005618E1"/>
    <w:rsid w:val="00562117"/>
    <w:rsid w:val="00563C0C"/>
    <w:rsid w:val="0056661E"/>
    <w:rsid w:val="005671FC"/>
    <w:rsid w:val="00570BEF"/>
    <w:rsid w:val="00570D03"/>
    <w:rsid w:val="00571102"/>
    <w:rsid w:val="00573A58"/>
    <w:rsid w:val="0057447B"/>
    <w:rsid w:val="00581BCA"/>
    <w:rsid w:val="00582B4F"/>
    <w:rsid w:val="00582BAF"/>
    <w:rsid w:val="0058330B"/>
    <w:rsid w:val="0058504E"/>
    <w:rsid w:val="00586BE4"/>
    <w:rsid w:val="0059064B"/>
    <w:rsid w:val="005912A3"/>
    <w:rsid w:val="0059498B"/>
    <w:rsid w:val="005972D9"/>
    <w:rsid w:val="005A0363"/>
    <w:rsid w:val="005A0F44"/>
    <w:rsid w:val="005A336C"/>
    <w:rsid w:val="005A3AF2"/>
    <w:rsid w:val="005A4BF8"/>
    <w:rsid w:val="005A7747"/>
    <w:rsid w:val="005B147D"/>
    <w:rsid w:val="005B2CBA"/>
    <w:rsid w:val="005B37DF"/>
    <w:rsid w:val="005B6961"/>
    <w:rsid w:val="005C1417"/>
    <w:rsid w:val="005C3BE3"/>
    <w:rsid w:val="005C3C62"/>
    <w:rsid w:val="005C5C62"/>
    <w:rsid w:val="005C5DE6"/>
    <w:rsid w:val="005C5E23"/>
    <w:rsid w:val="005D00FA"/>
    <w:rsid w:val="005D5615"/>
    <w:rsid w:val="005D68AF"/>
    <w:rsid w:val="005D7DE4"/>
    <w:rsid w:val="005D7F7E"/>
    <w:rsid w:val="005E0294"/>
    <w:rsid w:val="005E0B22"/>
    <w:rsid w:val="005E29D6"/>
    <w:rsid w:val="005E2DA8"/>
    <w:rsid w:val="005E3252"/>
    <w:rsid w:val="005E3395"/>
    <w:rsid w:val="005E573D"/>
    <w:rsid w:val="005E5ABA"/>
    <w:rsid w:val="005E68D3"/>
    <w:rsid w:val="005E72A7"/>
    <w:rsid w:val="005F16D2"/>
    <w:rsid w:val="005F1CCF"/>
    <w:rsid w:val="005F2A67"/>
    <w:rsid w:val="005F4428"/>
    <w:rsid w:val="005F5F9D"/>
    <w:rsid w:val="005F7FA8"/>
    <w:rsid w:val="0060157E"/>
    <w:rsid w:val="00602B86"/>
    <w:rsid w:val="00603285"/>
    <w:rsid w:val="0060502F"/>
    <w:rsid w:val="00606253"/>
    <w:rsid w:val="00607954"/>
    <w:rsid w:val="006118E6"/>
    <w:rsid w:val="00612482"/>
    <w:rsid w:val="006148E2"/>
    <w:rsid w:val="00614D87"/>
    <w:rsid w:val="00617B67"/>
    <w:rsid w:val="006202A6"/>
    <w:rsid w:val="00623ADB"/>
    <w:rsid w:val="0062479C"/>
    <w:rsid w:val="00627B74"/>
    <w:rsid w:val="00627FD1"/>
    <w:rsid w:val="00630C08"/>
    <w:rsid w:val="00633535"/>
    <w:rsid w:val="00633DDE"/>
    <w:rsid w:val="00635103"/>
    <w:rsid w:val="0063658A"/>
    <w:rsid w:val="0063676B"/>
    <w:rsid w:val="00636A35"/>
    <w:rsid w:val="00637F51"/>
    <w:rsid w:val="00640E81"/>
    <w:rsid w:val="006418E2"/>
    <w:rsid w:val="00642BEE"/>
    <w:rsid w:val="0064386D"/>
    <w:rsid w:val="00643F23"/>
    <w:rsid w:val="00643F30"/>
    <w:rsid w:val="00647222"/>
    <w:rsid w:val="00650D3C"/>
    <w:rsid w:val="00650EE8"/>
    <w:rsid w:val="00654119"/>
    <w:rsid w:val="006544A8"/>
    <w:rsid w:val="00655385"/>
    <w:rsid w:val="006569CD"/>
    <w:rsid w:val="00656E3A"/>
    <w:rsid w:val="00660DCA"/>
    <w:rsid w:val="006618DC"/>
    <w:rsid w:val="006622BD"/>
    <w:rsid w:val="00663366"/>
    <w:rsid w:val="006664A1"/>
    <w:rsid w:val="006666AD"/>
    <w:rsid w:val="006667EC"/>
    <w:rsid w:val="006670D6"/>
    <w:rsid w:val="00671D3A"/>
    <w:rsid w:val="006775DD"/>
    <w:rsid w:val="00677972"/>
    <w:rsid w:val="00677D81"/>
    <w:rsid w:val="00680C91"/>
    <w:rsid w:val="006815E6"/>
    <w:rsid w:val="00681BCC"/>
    <w:rsid w:val="0068242D"/>
    <w:rsid w:val="006852A6"/>
    <w:rsid w:val="00685463"/>
    <w:rsid w:val="006866D9"/>
    <w:rsid w:val="00690A5F"/>
    <w:rsid w:val="00690CF3"/>
    <w:rsid w:val="00691DF0"/>
    <w:rsid w:val="00694CB8"/>
    <w:rsid w:val="00695A22"/>
    <w:rsid w:val="006960A1"/>
    <w:rsid w:val="006976B4"/>
    <w:rsid w:val="006A07CD"/>
    <w:rsid w:val="006A1EDE"/>
    <w:rsid w:val="006A1F94"/>
    <w:rsid w:val="006A2EE6"/>
    <w:rsid w:val="006A34B0"/>
    <w:rsid w:val="006A4117"/>
    <w:rsid w:val="006A4FB8"/>
    <w:rsid w:val="006A55D7"/>
    <w:rsid w:val="006A7D72"/>
    <w:rsid w:val="006B2DC1"/>
    <w:rsid w:val="006B2DC5"/>
    <w:rsid w:val="006B4B72"/>
    <w:rsid w:val="006B73C7"/>
    <w:rsid w:val="006C023C"/>
    <w:rsid w:val="006C0D69"/>
    <w:rsid w:val="006C475C"/>
    <w:rsid w:val="006C53A5"/>
    <w:rsid w:val="006C6102"/>
    <w:rsid w:val="006D32D4"/>
    <w:rsid w:val="006D34C9"/>
    <w:rsid w:val="006D3AE5"/>
    <w:rsid w:val="006D3F49"/>
    <w:rsid w:val="006D49B2"/>
    <w:rsid w:val="006D4A5C"/>
    <w:rsid w:val="006D4CC1"/>
    <w:rsid w:val="006D4F5C"/>
    <w:rsid w:val="006D5FA2"/>
    <w:rsid w:val="006D6F3C"/>
    <w:rsid w:val="006D767A"/>
    <w:rsid w:val="006E1504"/>
    <w:rsid w:val="006E22CE"/>
    <w:rsid w:val="006E24F5"/>
    <w:rsid w:val="006E3F78"/>
    <w:rsid w:val="006E499F"/>
    <w:rsid w:val="006E4A88"/>
    <w:rsid w:val="006E7C52"/>
    <w:rsid w:val="006E7C83"/>
    <w:rsid w:val="006F5662"/>
    <w:rsid w:val="006F5C58"/>
    <w:rsid w:val="006F7046"/>
    <w:rsid w:val="007006FF"/>
    <w:rsid w:val="00700997"/>
    <w:rsid w:val="00702549"/>
    <w:rsid w:val="00702795"/>
    <w:rsid w:val="007065AD"/>
    <w:rsid w:val="0070670C"/>
    <w:rsid w:val="0070706F"/>
    <w:rsid w:val="00710D78"/>
    <w:rsid w:val="00711BA3"/>
    <w:rsid w:val="007127BC"/>
    <w:rsid w:val="00713481"/>
    <w:rsid w:val="0071615B"/>
    <w:rsid w:val="00717B4E"/>
    <w:rsid w:val="00717FDE"/>
    <w:rsid w:val="00721A25"/>
    <w:rsid w:val="00726716"/>
    <w:rsid w:val="0072781E"/>
    <w:rsid w:val="00727D65"/>
    <w:rsid w:val="007302BF"/>
    <w:rsid w:val="007317FF"/>
    <w:rsid w:val="00733464"/>
    <w:rsid w:val="007376F3"/>
    <w:rsid w:val="00740332"/>
    <w:rsid w:val="00743468"/>
    <w:rsid w:val="0074460A"/>
    <w:rsid w:val="007446AB"/>
    <w:rsid w:val="00745E37"/>
    <w:rsid w:val="007465EC"/>
    <w:rsid w:val="00750B9D"/>
    <w:rsid w:val="00751B42"/>
    <w:rsid w:val="00751FE1"/>
    <w:rsid w:val="00755256"/>
    <w:rsid w:val="007570CA"/>
    <w:rsid w:val="00761D23"/>
    <w:rsid w:val="00762E16"/>
    <w:rsid w:val="00763DAF"/>
    <w:rsid w:val="00764E4D"/>
    <w:rsid w:val="00766068"/>
    <w:rsid w:val="00766603"/>
    <w:rsid w:val="007670BD"/>
    <w:rsid w:val="00771B21"/>
    <w:rsid w:val="00773065"/>
    <w:rsid w:val="007749F1"/>
    <w:rsid w:val="007761A6"/>
    <w:rsid w:val="00777B47"/>
    <w:rsid w:val="007801FF"/>
    <w:rsid w:val="007816EE"/>
    <w:rsid w:val="00782833"/>
    <w:rsid w:val="00782C5C"/>
    <w:rsid w:val="00785E13"/>
    <w:rsid w:val="00786CF4"/>
    <w:rsid w:val="0079118D"/>
    <w:rsid w:val="00792A0F"/>
    <w:rsid w:val="007968CB"/>
    <w:rsid w:val="0079783F"/>
    <w:rsid w:val="00797D71"/>
    <w:rsid w:val="007A01C0"/>
    <w:rsid w:val="007A0B46"/>
    <w:rsid w:val="007A0FEA"/>
    <w:rsid w:val="007A1759"/>
    <w:rsid w:val="007A2AE1"/>
    <w:rsid w:val="007A354A"/>
    <w:rsid w:val="007A3DEF"/>
    <w:rsid w:val="007A4E32"/>
    <w:rsid w:val="007A734E"/>
    <w:rsid w:val="007B00F7"/>
    <w:rsid w:val="007B023F"/>
    <w:rsid w:val="007B19B9"/>
    <w:rsid w:val="007B3543"/>
    <w:rsid w:val="007B4C4C"/>
    <w:rsid w:val="007B6233"/>
    <w:rsid w:val="007B6277"/>
    <w:rsid w:val="007B77A2"/>
    <w:rsid w:val="007B7A79"/>
    <w:rsid w:val="007B7BAC"/>
    <w:rsid w:val="007C04FA"/>
    <w:rsid w:val="007C1B95"/>
    <w:rsid w:val="007C207F"/>
    <w:rsid w:val="007C33E9"/>
    <w:rsid w:val="007D148D"/>
    <w:rsid w:val="007D59EE"/>
    <w:rsid w:val="007D5E79"/>
    <w:rsid w:val="007D6235"/>
    <w:rsid w:val="007D6C8D"/>
    <w:rsid w:val="007D76F0"/>
    <w:rsid w:val="007E08B5"/>
    <w:rsid w:val="007E28C8"/>
    <w:rsid w:val="007E4661"/>
    <w:rsid w:val="007E485F"/>
    <w:rsid w:val="007E592E"/>
    <w:rsid w:val="007E5997"/>
    <w:rsid w:val="007E6952"/>
    <w:rsid w:val="007F0755"/>
    <w:rsid w:val="007F17CF"/>
    <w:rsid w:val="007F1857"/>
    <w:rsid w:val="007F383E"/>
    <w:rsid w:val="007F3858"/>
    <w:rsid w:val="007F413A"/>
    <w:rsid w:val="007F414E"/>
    <w:rsid w:val="007F4900"/>
    <w:rsid w:val="007F4AE6"/>
    <w:rsid w:val="007F6832"/>
    <w:rsid w:val="00800A9C"/>
    <w:rsid w:val="00800B82"/>
    <w:rsid w:val="008036AD"/>
    <w:rsid w:val="00804C24"/>
    <w:rsid w:val="0080663A"/>
    <w:rsid w:val="0080708A"/>
    <w:rsid w:val="00810E27"/>
    <w:rsid w:val="00811E4C"/>
    <w:rsid w:val="00814AC1"/>
    <w:rsid w:val="00816B44"/>
    <w:rsid w:val="00816C61"/>
    <w:rsid w:val="00817012"/>
    <w:rsid w:val="00817F12"/>
    <w:rsid w:val="00821C82"/>
    <w:rsid w:val="0082371B"/>
    <w:rsid w:val="00823844"/>
    <w:rsid w:val="00823BD2"/>
    <w:rsid w:val="00824A43"/>
    <w:rsid w:val="008252C3"/>
    <w:rsid w:val="00825CCC"/>
    <w:rsid w:val="0083050A"/>
    <w:rsid w:val="00834293"/>
    <w:rsid w:val="008373D0"/>
    <w:rsid w:val="00841174"/>
    <w:rsid w:val="008437D4"/>
    <w:rsid w:val="00852C13"/>
    <w:rsid w:val="008542C2"/>
    <w:rsid w:val="008568E9"/>
    <w:rsid w:val="00860184"/>
    <w:rsid w:val="00862718"/>
    <w:rsid w:val="008629CA"/>
    <w:rsid w:val="00863A03"/>
    <w:rsid w:val="00870BCB"/>
    <w:rsid w:val="008722EA"/>
    <w:rsid w:val="0087325E"/>
    <w:rsid w:val="008759AC"/>
    <w:rsid w:val="008766C1"/>
    <w:rsid w:val="00876FDB"/>
    <w:rsid w:val="008813A9"/>
    <w:rsid w:val="008837DA"/>
    <w:rsid w:val="00883D9E"/>
    <w:rsid w:val="0088461A"/>
    <w:rsid w:val="00887231"/>
    <w:rsid w:val="0088757F"/>
    <w:rsid w:val="00890371"/>
    <w:rsid w:val="008906F4"/>
    <w:rsid w:val="0089073C"/>
    <w:rsid w:val="00891FB6"/>
    <w:rsid w:val="00892D50"/>
    <w:rsid w:val="00893855"/>
    <w:rsid w:val="00895BE1"/>
    <w:rsid w:val="00895F03"/>
    <w:rsid w:val="008A192E"/>
    <w:rsid w:val="008A6F5C"/>
    <w:rsid w:val="008A7306"/>
    <w:rsid w:val="008B503F"/>
    <w:rsid w:val="008C0811"/>
    <w:rsid w:val="008C4B04"/>
    <w:rsid w:val="008C673F"/>
    <w:rsid w:val="008C6B28"/>
    <w:rsid w:val="008C75B1"/>
    <w:rsid w:val="008D0377"/>
    <w:rsid w:val="008D26FB"/>
    <w:rsid w:val="008D499D"/>
    <w:rsid w:val="008D57E3"/>
    <w:rsid w:val="008D5B12"/>
    <w:rsid w:val="008E2DDB"/>
    <w:rsid w:val="008E3253"/>
    <w:rsid w:val="008E3D72"/>
    <w:rsid w:val="008E6113"/>
    <w:rsid w:val="008E779D"/>
    <w:rsid w:val="008F0198"/>
    <w:rsid w:val="008F4B80"/>
    <w:rsid w:val="00902503"/>
    <w:rsid w:val="00902732"/>
    <w:rsid w:val="009047E8"/>
    <w:rsid w:val="00904F18"/>
    <w:rsid w:val="00907474"/>
    <w:rsid w:val="00907730"/>
    <w:rsid w:val="0091247A"/>
    <w:rsid w:val="00912C74"/>
    <w:rsid w:val="00914659"/>
    <w:rsid w:val="0091551A"/>
    <w:rsid w:val="00915789"/>
    <w:rsid w:val="00915859"/>
    <w:rsid w:val="009176BD"/>
    <w:rsid w:val="00921F66"/>
    <w:rsid w:val="00922F5E"/>
    <w:rsid w:val="0092457B"/>
    <w:rsid w:val="00926181"/>
    <w:rsid w:val="00930BC3"/>
    <w:rsid w:val="00933B47"/>
    <w:rsid w:val="00934184"/>
    <w:rsid w:val="0093430F"/>
    <w:rsid w:val="00940B74"/>
    <w:rsid w:val="00941BF9"/>
    <w:rsid w:val="00941CCF"/>
    <w:rsid w:val="00941D49"/>
    <w:rsid w:val="009425A0"/>
    <w:rsid w:val="0094279B"/>
    <w:rsid w:val="009467D9"/>
    <w:rsid w:val="00946D3B"/>
    <w:rsid w:val="00950289"/>
    <w:rsid w:val="0095046D"/>
    <w:rsid w:val="00952BC7"/>
    <w:rsid w:val="00954696"/>
    <w:rsid w:val="009575CF"/>
    <w:rsid w:val="00960EE2"/>
    <w:rsid w:val="00962C7A"/>
    <w:rsid w:val="00962E91"/>
    <w:rsid w:val="00962E9E"/>
    <w:rsid w:val="0096385D"/>
    <w:rsid w:val="009647BB"/>
    <w:rsid w:val="009648C4"/>
    <w:rsid w:val="0096675E"/>
    <w:rsid w:val="00966B02"/>
    <w:rsid w:val="00972348"/>
    <w:rsid w:val="00972B65"/>
    <w:rsid w:val="00972C4B"/>
    <w:rsid w:val="00973A04"/>
    <w:rsid w:val="00974A4F"/>
    <w:rsid w:val="00974E6E"/>
    <w:rsid w:val="0097597D"/>
    <w:rsid w:val="00975EC2"/>
    <w:rsid w:val="0097726F"/>
    <w:rsid w:val="009818C4"/>
    <w:rsid w:val="009825DD"/>
    <w:rsid w:val="00982DA7"/>
    <w:rsid w:val="0098302A"/>
    <w:rsid w:val="00983ABA"/>
    <w:rsid w:val="00985E38"/>
    <w:rsid w:val="009860E8"/>
    <w:rsid w:val="009900BA"/>
    <w:rsid w:val="00990866"/>
    <w:rsid w:val="009908E7"/>
    <w:rsid w:val="00990B97"/>
    <w:rsid w:val="00991584"/>
    <w:rsid w:val="00991F22"/>
    <w:rsid w:val="0099201F"/>
    <w:rsid w:val="009973A6"/>
    <w:rsid w:val="00997843"/>
    <w:rsid w:val="00997A0C"/>
    <w:rsid w:val="009A0BA6"/>
    <w:rsid w:val="009A16AD"/>
    <w:rsid w:val="009A1FEA"/>
    <w:rsid w:val="009A24F5"/>
    <w:rsid w:val="009A32B8"/>
    <w:rsid w:val="009A361A"/>
    <w:rsid w:val="009A74A0"/>
    <w:rsid w:val="009A7D49"/>
    <w:rsid w:val="009B098F"/>
    <w:rsid w:val="009B2210"/>
    <w:rsid w:val="009B2434"/>
    <w:rsid w:val="009B308E"/>
    <w:rsid w:val="009B5597"/>
    <w:rsid w:val="009B6458"/>
    <w:rsid w:val="009B7D48"/>
    <w:rsid w:val="009C1ED8"/>
    <w:rsid w:val="009C26C6"/>
    <w:rsid w:val="009C3958"/>
    <w:rsid w:val="009C4690"/>
    <w:rsid w:val="009C4C67"/>
    <w:rsid w:val="009C6DA7"/>
    <w:rsid w:val="009C7317"/>
    <w:rsid w:val="009C7BE8"/>
    <w:rsid w:val="009D1611"/>
    <w:rsid w:val="009D3626"/>
    <w:rsid w:val="009D3C6D"/>
    <w:rsid w:val="009D416D"/>
    <w:rsid w:val="009D4DE2"/>
    <w:rsid w:val="009D5569"/>
    <w:rsid w:val="009D7CF4"/>
    <w:rsid w:val="009D7EDC"/>
    <w:rsid w:val="009E0258"/>
    <w:rsid w:val="009E1E4A"/>
    <w:rsid w:val="009E2F7E"/>
    <w:rsid w:val="009E4453"/>
    <w:rsid w:val="009E50DE"/>
    <w:rsid w:val="009E5D24"/>
    <w:rsid w:val="009E6623"/>
    <w:rsid w:val="009F0728"/>
    <w:rsid w:val="009F3DC7"/>
    <w:rsid w:val="009F4209"/>
    <w:rsid w:val="009F54E8"/>
    <w:rsid w:val="009F5EF8"/>
    <w:rsid w:val="009F65B4"/>
    <w:rsid w:val="00A0513C"/>
    <w:rsid w:val="00A1037F"/>
    <w:rsid w:val="00A10623"/>
    <w:rsid w:val="00A108D5"/>
    <w:rsid w:val="00A109E5"/>
    <w:rsid w:val="00A11646"/>
    <w:rsid w:val="00A12BD6"/>
    <w:rsid w:val="00A12D2F"/>
    <w:rsid w:val="00A132D1"/>
    <w:rsid w:val="00A14419"/>
    <w:rsid w:val="00A20084"/>
    <w:rsid w:val="00A20F7A"/>
    <w:rsid w:val="00A227B6"/>
    <w:rsid w:val="00A22AB8"/>
    <w:rsid w:val="00A2390B"/>
    <w:rsid w:val="00A23EB6"/>
    <w:rsid w:val="00A24288"/>
    <w:rsid w:val="00A2533A"/>
    <w:rsid w:val="00A25571"/>
    <w:rsid w:val="00A26BA0"/>
    <w:rsid w:val="00A26EE8"/>
    <w:rsid w:val="00A27281"/>
    <w:rsid w:val="00A309DA"/>
    <w:rsid w:val="00A31FB7"/>
    <w:rsid w:val="00A32DF2"/>
    <w:rsid w:val="00A34495"/>
    <w:rsid w:val="00A36790"/>
    <w:rsid w:val="00A36E2E"/>
    <w:rsid w:val="00A42B7C"/>
    <w:rsid w:val="00A470A0"/>
    <w:rsid w:val="00A5073E"/>
    <w:rsid w:val="00A50A20"/>
    <w:rsid w:val="00A530D5"/>
    <w:rsid w:val="00A53C0A"/>
    <w:rsid w:val="00A57466"/>
    <w:rsid w:val="00A60C4F"/>
    <w:rsid w:val="00A6169B"/>
    <w:rsid w:val="00A619EE"/>
    <w:rsid w:val="00A622FA"/>
    <w:rsid w:val="00A6321D"/>
    <w:rsid w:val="00A63255"/>
    <w:rsid w:val="00A651B9"/>
    <w:rsid w:val="00A662E5"/>
    <w:rsid w:val="00A67248"/>
    <w:rsid w:val="00A67AD3"/>
    <w:rsid w:val="00A71C59"/>
    <w:rsid w:val="00A727A5"/>
    <w:rsid w:val="00A72CDA"/>
    <w:rsid w:val="00A7561A"/>
    <w:rsid w:val="00A758F6"/>
    <w:rsid w:val="00A80149"/>
    <w:rsid w:val="00A8605F"/>
    <w:rsid w:val="00A869E7"/>
    <w:rsid w:val="00A911AA"/>
    <w:rsid w:val="00A92054"/>
    <w:rsid w:val="00A93079"/>
    <w:rsid w:val="00A936C1"/>
    <w:rsid w:val="00A9385F"/>
    <w:rsid w:val="00A93FC9"/>
    <w:rsid w:val="00A94690"/>
    <w:rsid w:val="00A95A01"/>
    <w:rsid w:val="00A9639B"/>
    <w:rsid w:val="00A96599"/>
    <w:rsid w:val="00A977C3"/>
    <w:rsid w:val="00A97F96"/>
    <w:rsid w:val="00AA2076"/>
    <w:rsid w:val="00AA233A"/>
    <w:rsid w:val="00AA376B"/>
    <w:rsid w:val="00AA3834"/>
    <w:rsid w:val="00AA57C5"/>
    <w:rsid w:val="00AA66B2"/>
    <w:rsid w:val="00AA7EAA"/>
    <w:rsid w:val="00AB0098"/>
    <w:rsid w:val="00AB1477"/>
    <w:rsid w:val="00AB2AF2"/>
    <w:rsid w:val="00AB2C7B"/>
    <w:rsid w:val="00AB2F16"/>
    <w:rsid w:val="00AB403E"/>
    <w:rsid w:val="00AB5D9C"/>
    <w:rsid w:val="00AB6D5D"/>
    <w:rsid w:val="00AB7B58"/>
    <w:rsid w:val="00AC2D06"/>
    <w:rsid w:val="00AC4D52"/>
    <w:rsid w:val="00AC5479"/>
    <w:rsid w:val="00AC59D5"/>
    <w:rsid w:val="00AC5EAC"/>
    <w:rsid w:val="00AD33B9"/>
    <w:rsid w:val="00AD3EA6"/>
    <w:rsid w:val="00AD5E57"/>
    <w:rsid w:val="00AD6BCB"/>
    <w:rsid w:val="00AE1861"/>
    <w:rsid w:val="00AE1A95"/>
    <w:rsid w:val="00AE242A"/>
    <w:rsid w:val="00AE279F"/>
    <w:rsid w:val="00AE4969"/>
    <w:rsid w:val="00AE6D00"/>
    <w:rsid w:val="00AE7635"/>
    <w:rsid w:val="00AE7D1A"/>
    <w:rsid w:val="00AF0BDF"/>
    <w:rsid w:val="00AF1502"/>
    <w:rsid w:val="00AF27A4"/>
    <w:rsid w:val="00AF5035"/>
    <w:rsid w:val="00AF7CA2"/>
    <w:rsid w:val="00B03E63"/>
    <w:rsid w:val="00B058D5"/>
    <w:rsid w:val="00B05980"/>
    <w:rsid w:val="00B11CE5"/>
    <w:rsid w:val="00B11FBF"/>
    <w:rsid w:val="00B13A56"/>
    <w:rsid w:val="00B13E7F"/>
    <w:rsid w:val="00B1687A"/>
    <w:rsid w:val="00B16E47"/>
    <w:rsid w:val="00B21452"/>
    <w:rsid w:val="00B21BDE"/>
    <w:rsid w:val="00B22268"/>
    <w:rsid w:val="00B24477"/>
    <w:rsid w:val="00B277DE"/>
    <w:rsid w:val="00B313A7"/>
    <w:rsid w:val="00B32B5E"/>
    <w:rsid w:val="00B32F74"/>
    <w:rsid w:val="00B3452B"/>
    <w:rsid w:val="00B37837"/>
    <w:rsid w:val="00B41C75"/>
    <w:rsid w:val="00B444D9"/>
    <w:rsid w:val="00B5002B"/>
    <w:rsid w:val="00B52EF2"/>
    <w:rsid w:val="00B551B6"/>
    <w:rsid w:val="00B60286"/>
    <w:rsid w:val="00B608CF"/>
    <w:rsid w:val="00B6360F"/>
    <w:rsid w:val="00B64537"/>
    <w:rsid w:val="00B65A7F"/>
    <w:rsid w:val="00B65FA9"/>
    <w:rsid w:val="00B6610B"/>
    <w:rsid w:val="00B66A50"/>
    <w:rsid w:val="00B6797D"/>
    <w:rsid w:val="00B705C1"/>
    <w:rsid w:val="00B72787"/>
    <w:rsid w:val="00B7335F"/>
    <w:rsid w:val="00B77C73"/>
    <w:rsid w:val="00B77CE1"/>
    <w:rsid w:val="00B800ED"/>
    <w:rsid w:val="00B82BC4"/>
    <w:rsid w:val="00B8462E"/>
    <w:rsid w:val="00B85CCC"/>
    <w:rsid w:val="00B85F60"/>
    <w:rsid w:val="00B90961"/>
    <w:rsid w:val="00B92AAC"/>
    <w:rsid w:val="00B92F91"/>
    <w:rsid w:val="00B94C14"/>
    <w:rsid w:val="00B969C6"/>
    <w:rsid w:val="00B976D9"/>
    <w:rsid w:val="00BA0D27"/>
    <w:rsid w:val="00BA178B"/>
    <w:rsid w:val="00BA2088"/>
    <w:rsid w:val="00BA212F"/>
    <w:rsid w:val="00BA251B"/>
    <w:rsid w:val="00BA366C"/>
    <w:rsid w:val="00BA574C"/>
    <w:rsid w:val="00BA5EF7"/>
    <w:rsid w:val="00BA6F4D"/>
    <w:rsid w:val="00BA7A06"/>
    <w:rsid w:val="00BB0931"/>
    <w:rsid w:val="00BB7482"/>
    <w:rsid w:val="00BC0A5A"/>
    <w:rsid w:val="00BC102B"/>
    <w:rsid w:val="00BC16A8"/>
    <w:rsid w:val="00BC2F26"/>
    <w:rsid w:val="00BC45FE"/>
    <w:rsid w:val="00BC5D5F"/>
    <w:rsid w:val="00BC70AA"/>
    <w:rsid w:val="00BC7F36"/>
    <w:rsid w:val="00BD0B55"/>
    <w:rsid w:val="00BD3B23"/>
    <w:rsid w:val="00BD4CE7"/>
    <w:rsid w:val="00BD52CA"/>
    <w:rsid w:val="00BD5979"/>
    <w:rsid w:val="00BD6F8F"/>
    <w:rsid w:val="00BD79E1"/>
    <w:rsid w:val="00BE1144"/>
    <w:rsid w:val="00BE2160"/>
    <w:rsid w:val="00BE293C"/>
    <w:rsid w:val="00BE2D2A"/>
    <w:rsid w:val="00BE3D23"/>
    <w:rsid w:val="00BE45AD"/>
    <w:rsid w:val="00BE6692"/>
    <w:rsid w:val="00BE69AD"/>
    <w:rsid w:val="00BE71CD"/>
    <w:rsid w:val="00BF0EE5"/>
    <w:rsid w:val="00BF3267"/>
    <w:rsid w:val="00BF3AFB"/>
    <w:rsid w:val="00BF482B"/>
    <w:rsid w:val="00BF4F3A"/>
    <w:rsid w:val="00BF539A"/>
    <w:rsid w:val="00BF643A"/>
    <w:rsid w:val="00BF65C4"/>
    <w:rsid w:val="00BF7B1E"/>
    <w:rsid w:val="00C0244F"/>
    <w:rsid w:val="00C02CA0"/>
    <w:rsid w:val="00C02DDB"/>
    <w:rsid w:val="00C03214"/>
    <w:rsid w:val="00C03803"/>
    <w:rsid w:val="00C0512F"/>
    <w:rsid w:val="00C06D3A"/>
    <w:rsid w:val="00C0775B"/>
    <w:rsid w:val="00C0780D"/>
    <w:rsid w:val="00C07835"/>
    <w:rsid w:val="00C07BEA"/>
    <w:rsid w:val="00C100B5"/>
    <w:rsid w:val="00C1209C"/>
    <w:rsid w:val="00C12514"/>
    <w:rsid w:val="00C13D65"/>
    <w:rsid w:val="00C15601"/>
    <w:rsid w:val="00C15A91"/>
    <w:rsid w:val="00C162B5"/>
    <w:rsid w:val="00C21BA3"/>
    <w:rsid w:val="00C2213E"/>
    <w:rsid w:val="00C22EFC"/>
    <w:rsid w:val="00C24C13"/>
    <w:rsid w:val="00C24F29"/>
    <w:rsid w:val="00C26B85"/>
    <w:rsid w:val="00C2759D"/>
    <w:rsid w:val="00C3059A"/>
    <w:rsid w:val="00C30612"/>
    <w:rsid w:val="00C3164B"/>
    <w:rsid w:val="00C3253A"/>
    <w:rsid w:val="00C32808"/>
    <w:rsid w:val="00C33DE6"/>
    <w:rsid w:val="00C34246"/>
    <w:rsid w:val="00C36187"/>
    <w:rsid w:val="00C366DA"/>
    <w:rsid w:val="00C36B76"/>
    <w:rsid w:val="00C40046"/>
    <w:rsid w:val="00C41A05"/>
    <w:rsid w:val="00C432FC"/>
    <w:rsid w:val="00C436C5"/>
    <w:rsid w:val="00C4377C"/>
    <w:rsid w:val="00C43972"/>
    <w:rsid w:val="00C445CB"/>
    <w:rsid w:val="00C463A0"/>
    <w:rsid w:val="00C466D7"/>
    <w:rsid w:val="00C53A44"/>
    <w:rsid w:val="00C550C1"/>
    <w:rsid w:val="00C552E8"/>
    <w:rsid w:val="00C55335"/>
    <w:rsid w:val="00C5625F"/>
    <w:rsid w:val="00C56DAE"/>
    <w:rsid w:val="00C56F39"/>
    <w:rsid w:val="00C57554"/>
    <w:rsid w:val="00C63EA3"/>
    <w:rsid w:val="00C648BC"/>
    <w:rsid w:val="00C70FD3"/>
    <w:rsid w:val="00C71D1F"/>
    <w:rsid w:val="00C71DB4"/>
    <w:rsid w:val="00C7547A"/>
    <w:rsid w:val="00C76862"/>
    <w:rsid w:val="00C7791D"/>
    <w:rsid w:val="00C77DAC"/>
    <w:rsid w:val="00C81D74"/>
    <w:rsid w:val="00C83E0F"/>
    <w:rsid w:val="00C85022"/>
    <w:rsid w:val="00C85631"/>
    <w:rsid w:val="00C857F8"/>
    <w:rsid w:val="00C86CBF"/>
    <w:rsid w:val="00C87294"/>
    <w:rsid w:val="00C9097D"/>
    <w:rsid w:val="00C90B8B"/>
    <w:rsid w:val="00C92403"/>
    <w:rsid w:val="00C92DCC"/>
    <w:rsid w:val="00C92F8D"/>
    <w:rsid w:val="00C94E1D"/>
    <w:rsid w:val="00C96BFF"/>
    <w:rsid w:val="00CA014E"/>
    <w:rsid w:val="00CA0491"/>
    <w:rsid w:val="00CA263A"/>
    <w:rsid w:val="00CA3F2B"/>
    <w:rsid w:val="00CA4473"/>
    <w:rsid w:val="00CA45AA"/>
    <w:rsid w:val="00CA4813"/>
    <w:rsid w:val="00CA69AB"/>
    <w:rsid w:val="00CA7ECA"/>
    <w:rsid w:val="00CB11DD"/>
    <w:rsid w:val="00CB5676"/>
    <w:rsid w:val="00CB6F3C"/>
    <w:rsid w:val="00CB7D3A"/>
    <w:rsid w:val="00CB7EF3"/>
    <w:rsid w:val="00CC0195"/>
    <w:rsid w:val="00CC03C6"/>
    <w:rsid w:val="00CC0B55"/>
    <w:rsid w:val="00CC2D76"/>
    <w:rsid w:val="00CC312C"/>
    <w:rsid w:val="00CC418A"/>
    <w:rsid w:val="00CC6539"/>
    <w:rsid w:val="00CC6F53"/>
    <w:rsid w:val="00CD1547"/>
    <w:rsid w:val="00CD335D"/>
    <w:rsid w:val="00CD41EF"/>
    <w:rsid w:val="00CD4B51"/>
    <w:rsid w:val="00CD50A0"/>
    <w:rsid w:val="00CD574F"/>
    <w:rsid w:val="00CE12D2"/>
    <w:rsid w:val="00CE1DBB"/>
    <w:rsid w:val="00CE2EAE"/>
    <w:rsid w:val="00CE5490"/>
    <w:rsid w:val="00CE6B84"/>
    <w:rsid w:val="00CE73F7"/>
    <w:rsid w:val="00CE7C7F"/>
    <w:rsid w:val="00CF0DD2"/>
    <w:rsid w:val="00CF27C4"/>
    <w:rsid w:val="00CF6F8B"/>
    <w:rsid w:val="00D01D49"/>
    <w:rsid w:val="00D03552"/>
    <w:rsid w:val="00D037DA"/>
    <w:rsid w:val="00D03C7F"/>
    <w:rsid w:val="00D04208"/>
    <w:rsid w:val="00D04392"/>
    <w:rsid w:val="00D04CA1"/>
    <w:rsid w:val="00D0505F"/>
    <w:rsid w:val="00D07B9F"/>
    <w:rsid w:val="00D12461"/>
    <w:rsid w:val="00D1268A"/>
    <w:rsid w:val="00D12A73"/>
    <w:rsid w:val="00D12B08"/>
    <w:rsid w:val="00D132B3"/>
    <w:rsid w:val="00D15198"/>
    <w:rsid w:val="00D15DC6"/>
    <w:rsid w:val="00D22808"/>
    <w:rsid w:val="00D240F9"/>
    <w:rsid w:val="00D2731B"/>
    <w:rsid w:val="00D301E1"/>
    <w:rsid w:val="00D30D23"/>
    <w:rsid w:val="00D315BB"/>
    <w:rsid w:val="00D316FD"/>
    <w:rsid w:val="00D32150"/>
    <w:rsid w:val="00D3265A"/>
    <w:rsid w:val="00D3286D"/>
    <w:rsid w:val="00D34E29"/>
    <w:rsid w:val="00D36195"/>
    <w:rsid w:val="00D36373"/>
    <w:rsid w:val="00D37472"/>
    <w:rsid w:val="00D40F70"/>
    <w:rsid w:val="00D41498"/>
    <w:rsid w:val="00D41A70"/>
    <w:rsid w:val="00D435AB"/>
    <w:rsid w:val="00D4574C"/>
    <w:rsid w:val="00D47B53"/>
    <w:rsid w:val="00D5238F"/>
    <w:rsid w:val="00D53DD2"/>
    <w:rsid w:val="00D5480C"/>
    <w:rsid w:val="00D55B49"/>
    <w:rsid w:val="00D56A46"/>
    <w:rsid w:val="00D56FA4"/>
    <w:rsid w:val="00D57F04"/>
    <w:rsid w:val="00D60BCC"/>
    <w:rsid w:val="00D612E2"/>
    <w:rsid w:val="00D61994"/>
    <w:rsid w:val="00D621B5"/>
    <w:rsid w:val="00D631C4"/>
    <w:rsid w:val="00D63315"/>
    <w:rsid w:val="00D63EAD"/>
    <w:rsid w:val="00D640D2"/>
    <w:rsid w:val="00D713A9"/>
    <w:rsid w:val="00D72319"/>
    <w:rsid w:val="00D75348"/>
    <w:rsid w:val="00D75DFF"/>
    <w:rsid w:val="00D7658F"/>
    <w:rsid w:val="00D775A3"/>
    <w:rsid w:val="00D775E1"/>
    <w:rsid w:val="00D80F1D"/>
    <w:rsid w:val="00D81977"/>
    <w:rsid w:val="00D81BB2"/>
    <w:rsid w:val="00D81EB9"/>
    <w:rsid w:val="00D82783"/>
    <w:rsid w:val="00D82F7D"/>
    <w:rsid w:val="00D83631"/>
    <w:rsid w:val="00D83F6F"/>
    <w:rsid w:val="00D8576F"/>
    <w:rsid w:val="00D87698"/>
    <w:rsid w:val="00D87F6F"/>
    <w:rsid w:val="00D906BE"/>
    <w:rsid w:val="00D9310C"/>
    <w:rsid w:val="00D94914"/>
    <w:rsid w:val="00D94E09"/>
    <w:rsid w:val="00D955FA"/>
    <w:rsid w:val="00D96239"/>
    <w:rsid w:val="00D96392"/>
    <w:rsid w:val="00D967DE"/>
    <w:rsid w:val="00DA2319"/>
    <w:rsid w:val="00DA408E"/>
    <w:rsid w:val="00DA4F94"/>
    <w:rsid w:val="00DA6FEB"/>
    <w:rsid w:val="00DB0295"/>
    <w:rsid w:val="00DB104F"/>
    <w:rsid w:val="00DB13E5"/>
    <w:rsid w:val="00DB161E"/>
    <w:rsid w:val="00DB1B17"/>
    <w:rsid w:val="00DB2D54"/>
    <w:rsid w:val="00DB3518"/>
    <w:rsid w:val="00DB4564"/>
    <w:rsid w:val="00DB5B84"/>
    <w:rsid w:val="00DB5DA9"/>
    <w:rsid w:val="00DB6296"/>
    <w:rsid w:val="00DB72E7"/>
    <w:rsid w:val="00DB7ABF"/>
    <w:rsid w:val="00DC0DFB"/>
    <w:rsid w:val="00DC505B"/>
    <w:rsid w:val="00DC577A"/>
    <w:rsid w:val="00DC6B01"/>
    <w:rsid w:val="00DC6B9F"/>
    <w:rsid w:val="00DC7C2E"/>
    <w:rsid w:val="00DD1BDB"/>
    <w:rsid w:val="00DD4847"/>
    <w:rsid w:val="00DD58C4"/>
    <w:rsid w:val="00DD5B75"/>
    <w:rsid w:val="00DD753A"/>
    <w:rsid w:val="00DE2E45"/>
    <w:rsid w:val="00DE3237"/>
    <w:rsid w:val="00DE374A"/>
    <w:rsid w:val="00DE518B"/>
    <w:rsid w:val="00DE56B4"/>
    <w:rsid w:val="00DE5D99"/>
    <w:rsid w:val="00DE607B"/>
    <w:rsid w:val="00DE60A4"/>
    <w:rsid w:val="00DE6E5C"/>
    <w:rsid w:val="00DE72F9"/>
    <w:rsid w:val="00DE7A94"/>
    <w:rsid w:val="00DF0361"/>
    <w:rsid w:val="00DF23BD"/>
    <w:rsid w:val="00DF3591"/>
    <w:rsid w:val="00DF5440"/>
    <w:rsid w:val="00E00FA5"/>
    <w:rsid w:val="00E02631"/>
    <w:rsid w:val="00E02E07"/>
    <w:rsid w:val="00E04F60"/>
    <w:rsid w:val="00E05BA0"/>
    <w:rsid w:val="00E075E1"/>
    <w:rsid w:val="00E07F18"/>
    <w:rsid w:val="00E10978"/>
    <w:rsid w:val="00E11DAB"/>
    <w:rsid w:val="00E13AD2"/>
    <w:rsid w:val="00E14645"/>
    <w:rsid w:val="00E16C0C"/>
    <w:rsid w:val="00E201E6"/>
    <w:rsid w:val="00E26E14"/>
    <w:rsid w:val="00E308BC"/>
    <w:rsid w:val="00E30A79"/>
    <w:rsid w:val="00E31405"/>
    <w:rsid w:val="00E32B61"/>
    <w:rsid w:val="00E33184"/>
    <w:rsid w:val="00E35C1F"/>
    <w:rsid w:val="00E368F4"/>
    <w:rsid w:val="00E40485"/>
    <w:rsid w:val="00E448A9"/>
    <w:rsid w:val="00E5282E"/>
    <w:rsid w:val="00E5286A"/>
    <w:rsid w:val="00E53321"/>
    <w:rsid w:val="00E54392"/>
    <w:rsid w:val="00E54BB9"/>
    <w:rsid w:val="00E54E66"/>
    <w:rsid w:val="00E56EF2"/>
    <w:rsid w:val="00E57B37"/>
    <w:rsid w:val="00E60D1D"/>
    <w:rsid w:val="00E64829"/>
    <w:rsid w:val="00E65925"/>
    <w:rsid w:val="00E71E31"/>
    <w:rsid w:val="00E7558C"/>
    <w:rsid w:val="00E75846"/>
    <w:rsid w:val="00E76AD5"/>
    <w:rsid w:val="00E77AF1"/>
    <w:rsid w:val="00E77EC7"/>
    <w:rsid w:val="00E80E22"/>
    <w:rsid w:val="00E810AB"/>
    <w:rsid w:val="00E86B4B"/>
    <w:rsid w:val="00E91027"/>
    <w:rsid w:val="00E9103B"/>
    <w:rsid w:val="00E95BE6"/>
    <w:rsid w:val="00EA09BF"/>
    <w:rsid w:val="00EA1B87"/>
    <w:rsid w:val="00EA206C"/>
    <w:rsid w:val="00EA336A"/>
    <w:rsid w:val="00EA4FC0"/>
    <w:rsid w:val="00EB025D"/>
    <w:rsid w:val="00EB11BD"/>
    <w:rsid w:val="00EB254D"/>
    <w:rsid w:val="00EB29FF"/>
    <w:rsid w:val="00EB4B44"/>
    <w:rsid w:val="00EB5284"/>
    <w:rsid w:val="00EB5DF0"/>
    <w:rsid w:val="00EB656E"/>
    <w:rsid w:val="00EC0F50"/>
    <w:rsid w:val="00EC2888"/>
    <w:rsid w:val="00EC69DC"/>
    <w:rsid w:val="00ED00DD"/>
    <w:rsid w:val="00ED436D"/>
    <w:rsid w:val="00ED48F5"/>
    <w:rsid w:val="00ED5185"/>
    <w:rsid w:val="00ED7D6E"/>
    <w:rsid w:val="00EE068C"/>
    <w:rsid w:val="00EE4659"/>
    <w:rsid w:val="00EF286C"/>
    <w:rsid w:val="00EF560F"/>
    <w:rsid w:val="00EF5A79"/>
    <w:rsid w:val="00EF5F2C"/>
    <w:rsid w:val="00EF7A76"/>
    <w:rsid w:val="00EF7BC3"/>
    <w:rsid w:val="00F02A83"/>
    <w:rsid w:val="00F03886"/>
    <w:rsid w:val="00F04FB8"/>
    <w:rsid w:val="00F07DD8"/>
    <w:rsid w:val="00F10952"/>
    <w:rsid w:val="00F10BD8"/>
    <w:rsid w:val="00F121EF"/>
    <w:rsid w:val="00F12AB8"/>
    <w:rsid w:val="00F22433"/>
    <w:rsid w:val="00F22867"/>
    <w:rsid w:val="00F307F5"/>
    <w:rsid w:val="00F31B85"/>
    <w:rsid w:val="00F341F6"/>
    <w:rsid w:val="00F34277"/>
    <w:rsid w:val="00F36640"/>
    <w:rsid w:val="00F37AFF"/>
    <w:rsid w:val="00F37E26"/>
    <w:rsid w:val="00F40426"/>
    <w:rsid w:val="00F4219E"/>
    <w:rsid w:val="00F4255D"/>
    <w:rsid w:val="00F42896"/>
    <w:rsid w:val="00F42D85"/>
    <w:rsid w:val="00F45CA9"/>
    <w:rsid w:val="00F466A6"/>
    <w:rsid w:val="00F519DC"/>
    <w:rsid w:val="00F5377E"/>
    <w:rsid w:val="00F5647B"/>
    <w:rsid w:val="00F56EAC"/>
    <w:rsid w:val="00F5755D"/>
    <w:rsid w:val="00F611B9"/>
    <w:rsid w:val="00F6131A"/>
    <w:rsid w:val="00F6154F"/>
    <w:rsid w:val="00F61885"/>
    <w:rsid w:val="00F61A80"/>
    <w:rsid w:val="00F636FC"/>
    <w:rsid w:val="00F656A7"/>
    <w:rsid w:val="00F6597B"/>
    <w:rsid w:val="00F67054"/>
    <w:rsid w:val="00F67FB0"/>
    <w:rsid w:val="00F704C2"/>
    <w:rsid w:val="00F7257F"/>
    <w:rsid w:val="00F727DF"/>
    <w:rsid w:val="00F7343F"/>
    <w:rsid w:val="00F753D8"/>
    <w:rsid w:val="00F75926"/>
    <w:rsid w:val="00F77550"/>
    <w:rsid w:val="00F8067B"/>
    <w:rsid w:val="00F82737"/>
    <w:rsid w:val="00F82F64"/>
    <w:rsid w:val="00F832B7"/>
    <w:rsid w:val="00F84767"/>
    <w:rsid w:val="00F84B65"/>
    <w:rsid w:val="00F90CEB"/>
    <w:rsid w:val="00F91B33"/>
    <w:rsid w:val="00F93925"/>
    <w:rsid w:val="00F944CF"/>
    <w:rsid w:val="00F956BA"/>
    <w:rsid w:val="00F96278"/>
    <w:rsid w:val="00F964FD"/>
    <w:rsid w:val="00F96BC0"/>
    <w:rsid w:val="00F96D1B"/>
    <w:rsid w:val="00F96EEC"/>
    <w:rsid w:val="00F977EA"/>
    <w:rsid w:val="00FA17C0"/>
    <w:rsid w:val="00FB2F18"/>
    <w:rsid w:val="00FB3C6E"/>
    <w:rsid w:val="00FB3F67"/>
    <w:rsid w:val="00FC0A48"/>
    <w:rsid w:val="00FC15DC"/>
    <w:rsid w:val="00FC1720"/>
    <w:rsid w:val="00FC1996"/>
    <w:rsid w:val="00FC19EB"/>
    <w:rsid w:val="00FC40AF"/>
    <w:rsid w:val="00FC458E"/>
    <w:rsid w:val="00FC6338"/>
    <w:rsid w:val="00FD1C7E"/>
    <w:rsid w:val="00FD228F"/>
    <w:rsid w:val="00FD2BB0"/>
    <w:rsid w:val="00FD3932"/>
    <w:rsid w:val="00FD427B"/>
    <w:rsid w:val="00FD563B"/>
    <w:rsid w:val="00FD61FA"/>
    <w:rsid w:val="00FE1E84"/>
    <w:rsid w:val="00FE2596"/>
    <w:rsid w:val="00FE3483"/>
    <w:rsid w:val="00FE3ED0"/>
    <w:rsid w:val="00FE401D"/>
    <w:rsid w:val="00FE6A1E"/>
    <w:rsid w:val="00FF0BB3"/>
    <w:rsid w:val="00FF0C9D"/>
    <w:rsid w:val="00FF1F22"/>
    <w:rsid w:val="00FF33FC"/>
    <w:rsid w:val="00FF3969"/>
    <w:rsid w:val="00FF496F"/>
    <w:rsid w:val="00FF4C01"/>
    <w:rsid w:val="00FF5511"/>
    <w:rsid w:val="00FF6C9B"/>
    <w:rsid w:val="00FF73FE"/>
    <w:rsid w:val="00FF7E8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2EA6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5" w:uiPriority="39"/>
    <w:lsdException w:name="footnote text" w:qFormat="1"/>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0"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03F7F"/>
    <w:pPr>
      <w:keepNext/>
      <w:jc w:val="center"/>
      <w:outlineLvl w:val="6"/>
    </w:pPr>
    <w:rPr>
      <w:b/>
      <w:szCs w:val="22"/>
      <w:u w:val="single"/>
    </w:rPr>
  </w:style>
  <w:style w:type="paragraph" w:styleId="Heading8">
    <w:name w:val="heading 8"/>
    <w:basedOn w:val="Normal"/>
    <w:next w:val="Normal"/>
    <w:link w:val="Heading8Char"/>
    <w:uiPriority w:val="9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059A"/>
    <w:rPr>
      <w:rFonts w:ascii="Times New Roman Bold" w:hAnsi="Times New Roman Bold" w:cs="Times New Roman"/>
      <w:b/>
      <w:bCs/>
      <w:caps/>
      <w:sz w:val="24"/>
      <w:szCs w:val="24"/>
    </w:rPr>
  </w:style>
  <w:style w:type="character" w:customStyle="1" w:styleId="Heading2Char">
    <w:name w:val="Heading 2 Char"/>
    <w:basedOn w:val="DefaultParagraphFont"/>
    <w:link w:val="Heading2"/>
    <w:uiPriority w:val="99"/>
    <w:locked/>
    <w:rsid w:val="00A20F7A"/>
    <w:rPr>
      <w:rFonts w:cs="Arial"/>
      <w:b/>
      <w:bCs/>
      <w:iCs/>
      <w:sz w:val="28"/>
      <w:szCs w:val="28"/>
    </w:rPr>
  </w:style>
  <w:style w:type="character" w:customStyle="1" w:styleId="Heading3Char">
    <w:name w:val="Heading 3 Char"/>
    <w:basedOn w:val="DefaultParagraphFont"/>
    <w:link w:val="Heading3"/>
    <w:uiPriority w:val="99"/>
    <w:locked/>
    <w:rsid w:val="00435077"/>
    <w:rPr>
      <w:rFonts w:cs="Arial"/>
      <w:b/>
      <w:bCs/>
      <w:i/>
      <w:iCs/>
      <w:sz w:val="24"/>
      <w:lang w:val="en-CA"/>
    </w:rPr>
  </w:style>
  <w:style w:type="character" w:customStyle="1" w:styleId="Heading4Char">
    <w:name w:val="Heading 4 Char"/>
    <w:basedOn w:val="DefaultParagraphFont"/>
    <w:link w:val="Heading4"/>
    <w:uiPriority w:val="99"/>
    <w:locked/>
    <w:rsid w:val="00435077"/>
    <w:rPr>
      <w:rFonts w:ascii="Arial" w:hAnsi="Arial" w:cs="Arial"/>
      <w:b/>
      <w:bCs/>
    </w:rPr>
  </w:style>
  <w:style w:type="character" w:customStyle="1" w:styleId="Heading5Char">
    <w:name w:val="Heading 5 Char"/>
    <w:basedOn w:val="DefaultParagraphFont"/>
    <w:link w:val="Heading5"/>
    <w:uiPriority w:val="99"/>
    <w:locked/>
    <w:rsid w:val="00435077"/>
    <w:rPr>
      <w:rFonts w:ascii="Arial" w:hAnsi="Arial" w:cs="Arial"/>
      <w:b/>
      <w:bCs/>
      <w:sz w:val="20"/>
      <w:szCs w:val="20"/>
      <w:u w:val="single"/>
    </w:rPr>
  </w:style>
  <w:style w:type="character" w:customStyle="1" w:styleId="Heading6Char">
    <w:name w:val="Heading 6 Char"/>
    <w:basedOn w:val="DefaultParagraphFont"/>
    <w:link w:val="Heading6"/>
    <w:uiPriority w:val="99"/>
    <w:locked/>
    <w:rsid w:val="00435077"/>
    <w:rPr>
      <w:rFonts w:ascii="Arial" w:hAnsi="Arial" w:cs="Arial"/>
      <w:b/>
      <w:bCs/>
      <w:sz w:val="24"/>
      <w:szCs w:val="24"/>
    </w:rPr>
  </w:style>
  <w:style w:type="character" w:customStyle="1" w:styleId="Heading7Char">
    <w:name w:val="Heading 7 Char"/>
    <w:basedOn w:val="DefaultParagraphFont"/>
    <w:link w:val="Heading7"/>
    <w:uiPriority w:val="99"/>
    <w:locked/>
    <w:rsid w:val="00003F7F"/>
    <w:rPr>
      <w:rFonts w:cs="Times New Roman"/>
      <w:b/>
      <w:snapToGrid w:val="0"/>
      <w:sz w:val="24"/>
      <w:u w:val="single"/>
      <w:lang w:val="en-US" w:eastAsia="en-US" w:bidi="ar-SA"/>
    </w:rPr>
  </w:style>
  <w:style w:type="character" w:customStyle="1" w:styleId="Heading8Char">
    <w:name w:val="Heading 8 Char"/>
    <w:basedOn w:val="DefaultParagraphFont"/>
    <w:link w:val="Heading8"/>
    <w:uiPriority w:val="99"/>
    <w:locked/>
    <w:rsid w:val="00435077"/>
    <w:rPr>
      <w:rFonts w:ascii="Arial" w:hAnsi="Arial" w:cs="Arial"/>
      <w:b/>
      <w:bCs/>
      <w:sz w:val="20"/>
      <w:szCs w:val="20"/>
      <w:u w:val="single"/>
    </w:rPr>
  </w:style>
  <w:style w:type="character" w:customStyle="1" w:styleId="Heading9Char">
    <w:name w:val="Heading 9 Char"/>
    <w:basedOn w:val="DefaultParagraphFont"/>
    <w:link w:val="Heading9"/>
    <w:uiPriority w:val="99"/>
    <w:locked/>
    <w:rsid w:val="00435077"/>
    <w:rPr>
      <w:rFonts w:ascii="Arial" w:hAnsi="Arial" w:cs="Arial"/>
      <w:b/>
      <w:bCs/>
      <w:sz w:val="20"/>
      <w:szCs w:val="20"/>
      <w:u w:val="single"/>
    </w:rPr>
  </w:style>
  <w:style w:type="paragraph" w:styleId="BodyText">
    <w:name w:val="Body Text"/>
    <w:basedOn w:val="Normal"/>
    <w:link w:val="BodyTextChar"/>
    <w:uiPriority w:val="99"/>
    <w:rsid w:val="00A9639B"/>
    <w:pPr>
      <w:spacing w:before="120" w:after="120"/>
      <w:ind w:firstLine="720"/>
    </w:pPr>
  </w:style>
  <w:style w:type="character" w:customStyle="1" w:styleId="BodyTextChar">
    <w:name w:val="Body Text Char"/>
    <w:basedOn w:val="DefaultParagraphFont"/>
    <w:link w:val="BodyText"/>
    <w:uiPriority w:val="99"/>
    <w:locked/>
    <w:rsid w:val="001037D5"/>
    <w:rPr>
      <w:rFonts w:cs="Times New Roman"/>
      <w:sz w:val="24"/>
      <w:lang w:val="en-US" w:eastAsia="en-US" w:bidi="ar-SA"/>
    </w:rPr>
  </w:style>
  <w:style w:type="character" w:customStyle="1" w:styleId="CharChar">
    <w:name w:val="Char Char"/>
    <w:basedOn w:val="DefaultParagraphFont"/>
    <w:uiPriority w:val="99"/>
    <w:rsid w:val="00A9639B"/>
    <w:rPr>
      <w:rFonts w:cs="Times New Roman"/>
      <w:sz w:val="24"/>
      <w:lang w:val="en-US" w:eastAsia="en-US" w:bidi="ar-SA"/>
    </w:rPr>
  </w:style>
  <w:style w:type="character" w:customStyle="1" w:styleId="Heading1CharChar">
    <w:name w:val="Heading 1 Char Char"/>
    <w:basedOn w:val="DefaultParagraphFont"/>
    <w:uiPriority w:val="99"/>
    <w:rsid w:val="00A9639B"/>
    <w:rPr>
      <w:rFonts w:ascii="Arial" w:hAnsi="Arial" w:cs="Arial"/>
      <w:b/>
      <w:sz w:val="28"/>
      <w:lang w:val="en-US" w:eastAsia="en-US" w:bidi="ar-SA"/>
    </w:rPr>
  </w:style>
  <w:style w:type="character" w:customStyle="1" w:styleId="Heading2CharChar">
    <w:name w:val="Heading 2 Char Char"/>
    <w:basedOn w:val="DefaultParagraphFont"/>
    <w:uiPriority w:val="99"/>
    <w:rsid w:val="00A9639B"/>
    <w:rPr>
      <w:rFonts w:ascii="Arial" w:hAnsi="Arial" w:cs="Arial"/>
      <w:b/>
      <w:bCs/>
      <w:iCs/>
      <w:sz w:val="28"/>
      <w:szCs w:val="28"/>
      <w:lang w:val="en-US" w:eastAsia="en-US" w:bidi="ar-SA"/>
    </w:rPr>
  </w:style>
  <w:style w:type="paragraph" w:styleId="BalloonText">
    <w:name w:val="Balloon Text"/>
    <w:basedOn w:val="Normal"/>
    <w:link w:val="BalloonTextChar"/>
    <w:uiPriority w:val="99"/>
    <w:semiHidden/>
    <w:rsid w:val="00003F7F"/>
    <w:pPr>
      <w:numPr>
        <w:numId w:val="17"/>
      </w:numPr>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5077"/>
    <w:rPr>
      <w:rFonts w:ascii="Tahoma" w:hAnsi="Tahoma" w:cs="Tahoma"/>
      <w:sz w:val="16"/>
      <w:szCs w:val="16"/>
    </w:rPr>
  </w:style>
  <w:style w:type="character" w:styleId="FootnoteReference">
    <w:name w:val="footnote reference"/>
    <w:aliases w:val="fr,footnote reference"/>
    <w:basedOn w:val="DefaultParagraphFont"/>
    <w:uiPriority w:val="99"/>
    <w:rsid w:val="00003F7F"/>
    <w:rPr>
      <w:rFonts w:ascii="Courier New" w:hAnsi="Courier New" w:cs="Courier New"/>
      <w:sz w:val="24"/>
      <w:szCs w:val="24"/>
    </w:rPr>
  </w:style>
  <w:style w:type="paragraph" w:styleId="FootnoteText">
    <w:name w:val="footnote text"/>
    <w:aliases w:val="ft,fo,footnote text 9 pt,ft9,footnote text,F1"/>
    <w:basedOn w:val="Normal"/>
    <w:link w:val="FootnoteTextChar1"/>
    <w:uiPriority w:val="99"/>
    <w:qFormat/>
    <w:rsid w:val="00003F7F"/>
    <w:pPr>
      <w:widowControl w:val="0"/>
    </w:pPr>
    <w:rPr>
      <w:rFonts w:ascii="Courier New" w:hAnsi="Courier New" w:cs="Courier New"/>
    </w:rPr>
  </w:style>
  <w:style w:type="character" w:customStyle="1" w:styleId="FootnoteTextChar">
    <w:name w:val="Footnote Text Char"/>
    <w:aliases w:val="ft Char,fo Char,footnote text 9 pt Char,ft9 Char,footnote text Char,F1 Char"/>
    <w:basedOn w:val="DefaultParagraphFont"/>
    <w:uiPriority w:val="99"/>
    <w:locked/>
    <w:rsid w:val="00435077"/>
    <w:rPr>
      <w:rFonts w:cs="Times New Roman"/>
    </w:rPr>
  </w:style>
  <w:style w:type="character" w:customStyle="1" w:styleId="FootnoteTextChar1">
    <w:name w:val="Footnote Text Char1"/>
    <w:aliases w:val="ft Char1,fo Char1,footnote text 9 pt Char1,ft9 Char1,footnote text Char1,F1 Char1"/>
    <w:basedOn w:val="DefaultParagraphFont"/>
    <w:link w:val="FootnoteText"/>
    <w:uiPriority w:val="99"/>
    <w:locked/>
    <w:rsid w:val="0087325E"/>
    <w:rPr>
      <w:rFonts w:ascii="Courier New" w:hAnsi="Courier New" w:cs="Courier New"/>
      <w:sz w:val="24"/>
      <w:szCs w:val="24"/>
    </w:rPr>
  </w:style>
  <w:style w:type="paragraph" w:customStyle="1" w:styleId="Bullet1">
    <w:name w:val="Bullet1"/>
    <w:basedOn w:val="Normal"/>
    <w:uiPriority w:val="99"/>
    <w:rsid w:val="00A9639B"/>
    <w:pPr>
      <w:numPr>
        <w:numId w:val="6"/>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basedOn w:val="DefaultParagraphFont"/>
    <w:uiPriority w:val="99"/>
    <w:rsid w:val="00A9639B"/>
    <w:rPr>
      <w:rFonts w:ascii="Arial" w:hAnsi="Arial" w:cs="Times New Roman"/>
      <w:lang w:val="en-US" w:eastAsia="en-US" w:bidi="ar-SA"/>
    </w:rPr>
  </w:style>
  <w:style w:type="paragraph" w:customStyle="1" w:styleId="tabletitle-continued">
    <w:name w:val="table title - continued"/>
    <w:basedOn w:val="TableTitle"/>
    <w:link w:val="tabletitle-continuedChar"/>
    <w:uiPriority w:val="99"/>
    <w:rsid w:val="00571102"/>
    <w:pPr>
      <w:ind w:left="1037" w:hanging="1037"/>
    </w:pPr>
  </w:style>
  <w:style w:type="paragraph" w:customStyle="1" w:styleId="TableTitle">
    <w:name w:val="Table Title"/>
    <w:basedOn w:val="Normal"/>
    <w:link w:val="TableTitleChar1"/>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basedOn w:val="DefaultParagraphFont"/>
    <w:uiPriority w:val="99"/>
    <w:rsid w:val="00A9639B"/>
    <w:rPr>
      <w:rFonts w:ascii="Arial" w:hAnsi="Arial" w:cs="Times New Roman"/>
      <w:b/>
      <w:lang w:val="en-US" w:eastAsia="en-US" w:bidi="ar-SA"/>
    </w:rPr>
  </w:style>
  <w:style w:type="paragraph" w:styleId="TOC1">
    <w:name w:val="toc 1"/>
    <w:basedOn w:val="Normal"/>
    <w:next w:val="Normal"/>
    <w:autoRedefine/>
    <w:uiPriority w:val="39"/>
    <w:rsid w:val="00003F7F"/>
    <w:pPr>
      <w:tabs>
        <w:tab w:val="right" w:leader="dot" w:pos="9350"/>
      </w:tabs>
      <w:spacing w:before="240" w:after="120"/>
      <w:ind w:left="720" w:hanging="360"/>
    </w:pPr>
    <w:rPr>
      <w:noProof/>
    </w:rPr>
  </w:style>
  <w:style w:type="paragraph" w:styleId="TOC2">
    <w:name w:val="toc 2"/>
    <w:basedOn w:val="Normal"/>
    <w:next w:val="Normal"/>
    <w:autoRedefine/>
    <w:uiPriority w:val="39"/>
    <w:rsid w:val="00003F7F"/>
    <w:pPr>
      <w:tabs>
        <w:tab w:val="right" w:leader="dot" w:pos="9350"/>
      </w:tabs>
      <w:spacing w:before="120" w:after="120"/>
      <w:ind w:left="1350" w:hanging="630"/>
    </w:pPr>
    <w:rPr>
      <w:noProof/>
    </w:rPr>
  </w:style>
  <w:style w:type="paragraph" w:styleId="TOC3">
    <w:name w:val="toc 3"/>
    <w:basedOn w:val="Normal"/>
    <w:next w:val="Normal"/>
    <w:uiPriority w:val="39"/>
    <w:rsid w:val="00003F7F"/>
    <w:pPr>
      <w:tabs>
        <w:tab w:val="right" w:leader="dot" w:pos="9360"/>
      </w:tabs>
      <w:spacing w:before="80" w:after="40"/>
      <w:ind w:left="2340" w:right="720" w:hanging="900"/>
    </w:pPr>
    <w:rPr>
      <w:noProof/>
      <w:szCs w:val="20"/>
    </w:rPr>
  </w:style>
  <w:style w:type="paragraph" w:styleId="TOC4">
    <w:name w:val="toc 4"/>
    <w:basedOn w:val="Normal"/>
    <w:next w:val="Normal"/>
    <w:uiPriority w:val="99"/>
    <w:rsid w:val="00003F7F"/>
    <w:pPr>
      <w:tabs>
        <w:tab w:val="right" w:leader="dot" w:pos="9360"/>
      </w:tabs>
      <w:spacing w:before="60"/>
      <w:ind w:left="3240" w:hanging="720"/>
    </w:pPr>
    <w:rPr>
      <w:szCs w:val="20"/>
    </w:rPr>
  </w:style>
  <w:style w:type="paragraph" w:styleId="TOC5">
    <w:name w:val="toc 5"/>
    <w:basedOn w:val="Normal"/>
    <w:next w:val="Normal"/>
    <w:uiPriority w:val="3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uiPriority w:val="99"/>
    <w:rsid w:val="00D1268A"/>
    <w:pPr>
      <w:tabs>
        <w:tab w:val="num" w:pos="1080"/>
      </w:tabs>
      <w:spacing w:before="120" w:after="120"/>
      <w:ind w:left="1080" w:hanging="360"/>
    </w:pPr>
    <w:rPr>
      <w:rFonts w:cs="Arial"/>
    </w:rPr>
  </w:style>
  <w:style w:type="character" w:customStyle="1" w:styleId="bulletroundCharChar">
    <w:name w:val="bullet round Char Char"/>
    <w:basedOn w:val="DefaultParagraphFont"/>
    <w:uiPriority w:val="99"/>
    <w:rsid w:val="00A9639B"/>
    <w:rPr>
      <w:rFonts w:cs="Arial"/>
      <w:sz w:val="24"/>
      <w:lang w:val="en-US" w:eastAsia="en-US" w:bidi="ar-SA"/>
    </w:rPr>
  </w:style>
  <w:style w:type="paragraph" w:customStyle="1" w:styleId="Number1">
    <w:name w:val="Number1"/>
    <w:uiPriority w:val="99"/>
    <w:semiHidden/>
    <w:rsid w:val="00A9639B"/>
    <w:pPr>
      <w:tabs>
        <w:tab w:val="num" w:pos="1080"/>
      </w:tabs>
      <w:spacing w:before="240"/>
      <w:ind w:left="1080" w:hanging="360"/>
    </w:pPr>
    <w:rPr>
      <w:sz w:val="24"/>
      <w:szCs w:val="20"/>
    </w:rPr>
  </w:style>
  <w:style w:type="paragraph" w:customStyle="1" w:styleId="Figuretitle">
    <w:name w:val="Figure title"/>
    <w:basedOn w:val="Normal"/>
    <w:autoRedefine/>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rsid w:val="00A9639B"/>
    <w:rPr>
      <w:rFonts w:ascii="Arial" w:hAnsi="Arial" w:cs="Times New Roman"/>
      <w:smallCaps/>
      <w:noProof/>
      <w:sz w:val="18"/>
      <w:szCs w:val="18"/>
      <w:lang w:val="en-US" w:eastAsia="en-US" w:bidi="ar-SA"/>
    </w:rPr>
  </w:style>
  <w:style w:type="character" w:styleId="PageNumber">
    <w:name w:val="page number"/>
    <w:basedOn w:val="DefaultParagraphFont"/>
    <w:uiPriority w:val="99"/>
    <w:rsid w:val="00003F7F"/>
    <w:rPr>
      <w:rFonts w:ascii="Times New Roman" w:hAnsi="Times New Roman" w:cs="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basedOn w:val="DefaultParagraphFont"/>
    <w:uiPriority w:val="99"/>
    <w:rsid w:val="00A9639B"/>
    <w:rPr>
      <w:rFonts w:ascii="Arial" w:hAnsi="Arial" w:cs="Times New Roman"/>
      <w:sz w:val="18"/>
      <w:szCs w:val="18"/>
      <w:lang w:val="en-US" w:eastAsia="en-US" w:bidi="ar-SA"/>
    </w:rPr>
  </w:style>
  <w:style w:type="paragraph" w:styleId="Footer">
    <w:name w:val="footer"/>
    <w:basedOn w:val="Normal"/>
    <w:link w:val="FooterChar"/>
    <w:uiPriority w:val="99"/>
    <w:rsid w:val="00003F7F"/>
    <w:pPr>
      <w:tabs>
        <w:tab w:val="center" w:pos="4320"/>
        <w:tab w:val="right" w:pos="8640"/>
      </w:tabs>
      <w:jc w:val="center"/>
    </w:pPr>
    <w:rPr>
      <w:szCs w:val="20"/>
    </w:rPr>
  </w:style>
  <w:style w:type="character" w:customStyle="1" w:styleId="FooterChar">
    <w:name w:val="Footer Char"/>
    <w:basedOn w:val="DefaultParagraphFont"/>
    <w:link w:val="Footer"/>
    <w:uiPriority w:val="99"/>
    <w:locked/>
    <w:rsid w:val="00003F7F"/>
    <w:rPr>
      <w:rFonts w:cs="Times New Roman"/>
      <w:sz w:val="20"/>
      <w:szCs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basedOn w:val="DefaultParagraphFont"/>
    <w:link w:val="Header"/>
    <w:uiPriority w:val="99"/>
    <w:locked/>
    <w:rsid w:val="00003F7F"/>
    <w:rPr>
      <w:rFonts w:cs="Times New Roman"/>
      <w:i/>
      <w:iCs/>
      <w:sz w:val="18"/>
      <w:szCs w:val="18"/>
    </w:rPr>
  </w:style>
  <w:style w:type="paragraph" w:customStyle="1" w:styleId="figurewobox">
    <w:name w:val="figure w/o box"/>
    <w:basedOn w:val="Normal"/>
    <w:rsid w:val="00003F7F"/>
    <w:pPr>
      <w:keepNext/>
      <w:spacing w:before="240"/>
      <w:jc w:val="center"/>
    </w:pPr>
    <w:rPr>
      <w:szCs w:val="20"/>
    </w:rPr>
  </w:style>
  <w:style w:type="paragraph" w:styleId="ListBullet">
    <w:name w:val="List Bullet"/>
    <w:basedOn w:val="Normal"/>
    <w:autoRedefine/>
    <w:uiPriority w:val="99"/>
    <w:rsid w:val="00A9639B"/>
    <w:pPr>
      <w:numPr>
        <w:numId w:val="15"/>
      </w:numPr>
    </w:pPr>
  </w:style>
  <w:style w:type="paragraph" w:styleId="TableofFigures">
    <w:name w:val="table of figures"/>
    <w:basedOn w:val="Normal"/>
    <w:next w:val="Normal"/>
    <w:uiPriority w:val="99"/>
    <w:semiHidden/>
    <w:rsid w:val="00A9639B"/>
  </w:style>
  <w:style w:type="paragraph" w:customStyle="1" w:styleId="ESHeading2">
    <w:name w:val="ES Heading 2"/>
    <w:basedOn w:val="Heading2"/>
    <w:uiPriority w:val="99"/>
    <w:rsid w:val="00A9639B"/>
  </w:style>
  <w:style w:type="character" w:styleId="CommentReference">
    <w:name w:val="annotation reference"/>
    <w:basedOn w:val="DefaultParagraphFont"/>
    <w:uiPriority w:val="99"/>
    <w:semiHidden/>
    <w:rsid w:val="00A9639B"/>
    <w:rPr>
      <w:rFonts w:cs="Times New Roman"/>
      <w:sz w:val="16"/>
      <w:szCs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basedOn w:val="DefaultParagraphFont"/>
    <w:link w:val="CommentText"/>
    <w:uiPriority w:val="99"/>
    <w:semiHidden/>
    <w:locked/>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basedOn w:val="CommentTextChar"/>
    <w:link w:val="CommentSubject"/>
    <w:uiPriority w:val="99"/>
    <w:semiHidden/>
    <w:locked/>
    <w:rsid w:val="00435077"/>
    <w:rPr>
      <w:rFonts w:cs="Times New Roman"/>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basedOn w:val="DefaultParagraphFont"/>
    <w:uiPriority w:val="99"/>
    <w:rsid w:val="00003F7F"/>
    <w:rPr>
      <w:rFonts w:cs="Times New Roman"/>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99"/>
    <w:qFormat/>
    <w:rsid w:val="00003F7F"/>
    <w:pPr>
      <w:ind w:left="-270"/>
      <w:jc w:val="center"/>
    </w:pPr>
    <w:rPr>
      <w:b/>
      <w:bCs/>
    </w:rPr>
  </w:style>
  <w:style w:type="character" w:customStyle="1" w:styleId="TitleChar">
    <w:name w:val="Title Char"/>
    <w:basedOn w:val="DefaultParagraphFont"/>
    <w:link w:val="Title"/>
    <w:uiPriority w:val="99"/>
    <w:locked/>
    <w:rsid w:val="00435077"/>
    <w:rPr>
      <w:rFonts w:cs="Times New Roman"/>
      <w:b/>
      <w:bCs/>
      <w:sz w:val="24"/>
      <w:szCs w:val="24"/>
    </w:rPr>
  </w:style>
  <w:style w:type="paragraph" w:customStyle="1" w:styleId="3ensptotalnosubgroup">
    <w:name w:val="3 en sp (total no subgroup)"/>
    <w:basedOn w:val="4enspsubgroup2"/>
    <w:uiPriority w:val="99"/>
    <w:rsid w:val="00571102"/>
    <w:pPr>
      <w:ind w:left="677"/>
    </w:pPr>
    <w:rPr>
      <w:rFonts w:eastAsia="Arial Unicode MS"/>
    </w:r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basedOn w:val="TabletextChar"/>
    <w:uiPriority w:val="99"/>
    <w:rsid w:val="00A9639B"/>
    <w:rPr>
      <w:rFonts w:ascii="Arial" w:hAnsi="Arial" w:cs="Times New Roman"/>
      <w:lang w:val="en-US" w:eastAsia="en-US" w:bidi="ar-SA"/>
    </w:rPr>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uiPriority w:val="99"/>
    <w:rsid w:val="00A9639B"/>
    <w:rPr>
      <w:rFonts w:ascii="Arial" w:hAnsi="Arial" w:cs="Times New Roman"/>
      <w:smallCaps/>
      <w:sz w:val="22"/>
      <w:szCs w:val="22"/>
      <w:lang w:val="en-US" w:eastAsia="en-US" w:bidi="ar-SA"/>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basedOn w:val="DefaultParagraphFont"/>
    <w:uiPriority w:val="99"/>
    <w:rsid w:val="00A9639B"/>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35077"/>
    <w:rPr>
      <w:rFonts w:ascii="Tahoma" w:hAnsi="Tahoma" w:cs="Tahoma"/>
      <w:sz w:val="24"/>
      <w:szCs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rsid w:val="00A9639B"/>
    <w:pPr>
      <w:keepLines/>
      <w:spacing w:after="240"/>
      <w:ind w:left="360" w:hanging="360"/>
    </w:pPr>
    <w:rPr>
      <w:kern w:val="2"/>
    </w:rPr>
  </w:style>
  <w:style w:type="paragraph" w:styleId="TOCHeading">
    <w:name w:val="TOC Heading"/>
    <w:basedOn w:val="Heading1"/>
    <w:uiPriority w:val="99"/>
    <w:qFormat/>
    <w:rsid w:val="00A9639B"/>
    <w:pPr>
      <w:keepLines/>
      <w:spacing w:before="0" w:after="360"/>
      <w:outlineLvl w:val="9"/>
    </w:pPr>
    <w:rPr>
      <w:rFonts w:ascii="Arial" w:hAnsi="Arial" w:cs="Arial"/>
      <w:bCs w:val="0"/>
      <w:caps w:val="0"/>
      <w:sz w:val="32"/>
      <w:szCs w:val="20"/>
    </w:rPr>
  </w:style>
  <w:style w:type="character" w:customStyle="1" w:styleId="CharChar5">
    <w:name w:val="Char Char5"/>
    <w:basedOn w:val="DefaultParagraphFont"/>
    <w:uiPriority w:val="99"/>
    <w:semiHidden/>
    <w:locked/>
    <w:rsid w:val="00A9639B"/>
    <w:rPr>
      <w:rFonts w:cs="Times New Roman"/>
      <w:sz w:val="24"/>
      <w:lang w:val="en-US" w:eastAsia="en-US" w:bidi="ar-SA"/>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uiPriority w:val="99"/>
    <w:rsid w:val="00003F7F"/>
    <w:pPr>
      <w:jc w:val="right"/>
    </w:pPr>
    <w:rPr>
      <w:rFonts w:ascii="Arial" w:hAnsi="Arial"/>
      <w:szCs w:val="20"/>
    </w:rPr>
  </w:style>
  <w:style w:type="paragraph" w:customStyle="1" w:styleId="Bodytextnoindent">
    <w:name w:val="Body text no indent"/>
    <w:basedOn w:val="BodyTextIndent"/>
    <w:uiPriority w:val="99"/>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basedOn w:val="NCESoddfooterChar"/>
    <w:uiPriority w:val="99"/>
    <w:rsid w:val="00A9639B"/>
    <w:rPr>
      <w:rFonts w:ascii="Arial" w:hAnsi="Arial" w:cs="Times New Roman"/>
      <w:smallCaps/>
      <w:sz w:val="22"/>
      <w:szCs w:val="22"/>
      <w:lang w:val="en-US" w:eastAsia="en-US" w:bidi="ar-SA"/>
    </w:rPr>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uiPriority w:val="99"/>
    <w:rsid w:val="00003F7F"/>
    <w:pPr>
      <w:jc w:val="right"/>
    </w:pPr>
    <w:rPr>
      <w:rFonts w:ascii="Arial Black" w:hAnsi="Arial Black"/>
      <w:szCs w:val="20"/>
    </w:rPr>
  </w:style>
  <w:style w:type="paragraph" w:customStyle="1" w:styleId="Cov-Date">
    <w:name w:val="Cov-Date"/>
    <w:basedOn w:val="Normal"/>
    <w:uiPriority w:val="99"/>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uiPriority w:val="99"/>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qFormat/>
    <w:rsid w:val="00A9639B"/>
    <w:pPr>
      <w:ind w:left="720" w:right="720" w:firstLine="0"/>
    </w:pPr>
    <w:rPr>
      <w:iCs/>
      <w:sz w:val="22"/>
    </w:rPr>
  </w:style>
  <w:style w:type="character" w:customStyle="1" w:styleId="QuoteChar">
    <w:name w:val="Quote Char"/>
    <w:basedOn w:val="DefaultParagraphFont"/>
    <w:link w:val="Quote"/>
    <w:uiPriority w:val="99"/>
    <w:locked/>
    <w:rsid w:val="00435077"/>
    <w:rPr>
      <w:rFonts w:cs="Times New Roman"/>
      <w:i/>
      <w:iCs/>
      <w:color w:val="000000"/>
      <w:sz w:val="24"/>
      <w:szCs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9"/>
      </w:numPr>
      <w:tabs>
        <w:tab w:val="clear" w:pos="720"/>
      </w:tabs>
      <w:spacing w:after="120"/>
      <w:ind w:left="1440"/>
    </w:pPr>
    <w:rPr>
      <w:sz w:val="24"/>
      <w:szCs w:val="20"/>
    </w:rPr>
  </w:style>
  <w:style w:type="character" w:styleId="Emphasis">
    <w:name w:val="Emphasis"/>
    <w:basedOn w:val="DefaultParagraphFont"/>
    <w:uiPriority w:val="99"/>
    <w:qFormat/>
    <w:rsid w:val="00003F7F"/>
    <w:rPr>
      <w:rFonts w:cs="Times New Roman"/>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basedOn w:val="DefaultParagraphFont"/>
    <w:link w:val="BodyText2"/>
    <w:uiPriority w:val="99"/>
    <w:semiHidden/>
    <w:locked/>
    <w:rsid w:val="00435077"/>
    <w:rPr>
      <w:rFonts w:cs="Times New Roman"/>
      <w:sz w:val="24"/>
      <w:szCs w:val="24"/>
    </w:rPr>
  </w:style>
  <w:style w:type="character" w:customStyle="1" w:styleId="CharChar1">
    <w:name w:val="Char Char1"/>
    <w:basedOn w:val="DefaultParagraphFont"/>
    <w:uiPriority w:val="99"/>
    <w:semiHidden/>
    <w:rsid w:val="00A9639B"/>
    <w:rPr>
      <w:rFonts w:ascii="Arial" w:hAnsi="Arial" w:cs="Arial"/>
      <w:b/>
      <w:bCs/>
      <w:sz w:val="24"/>
      <w:szCs w:val="24"/>
      <w:lang w:val="en-US" w:eastAsia="en-US" w:bidi="ar-SA"/>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sz w:val="20"/>
      <w:szCs w:val="20"/>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basedOn w:val="DefaultParagraphFont"/>
    <w:link w:val="BodyTextIndent"/>
    <w:uiPriority w:val="99"/>
    <w:semiHidden/>
    <w:locked/>
    <w:rsid w:val="00435077"/>
    <w:rPr>
      <w:rFonts w:cs="Times New Roman"/>
      <w:sz w:val="24"/>
      <w:szCs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basedOn w:val="DefaultParagraphFont"/>
    <w:link w:val="BodyTextIndent2"/>
    <w:uiPriority w:val="99"/>
    <w:semiHidden/>
    <w:locked/>
    <w:rsid w:val="00435077"/>
    <w:rPr>
      <w:rFonts w:cs="Times New Roman"/>
      <w:sz w:val="24"/>
      <w:szCs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basedOn w:val="DefaultParagraphFont"/>
    <w:link w:val="BodyTextIndent3"/>
    <w:uiPriority w:val="99"/>
    <w:semiHidden/>
    <w:locked/>
    <w:rsid w:val="00435077"/>
    <w:rPr>
      <w:rFonts w:cs="Times New Roman"/>
      <w:sz w:val="16"/>
      <w:szCs w:val="16"/>
    </w:rPr>
  </w:style>
  <w:style w:type="paragraph" w:customStyle="1" w:styleId="Bodytextnoindent0">
    <w:name w:val="Body text_no indent"/>
    <w:uiPriority w:val="99"/>
    <w:rsid w:val="00A9639B"/>
    <w:pPr>
      <w:spacing w:line="300" w:lineRule="atLeast"/>
    </w:pPr>
    <w:rPr>
      <w:sz w:val="24"/>
      <w:szCs w:val="20"/>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10"/>
      </w:numPr>
      <w:spacing w:before="240" w:after="120"/>
    </w:pPr>
    <w:rPr>
      <w:szCs w:val="20"/>
    </w:rPr>
  </w:style>
  <w:style w:type="paragraph" w:customStyle="1" w:styleId="bullets">
    <w:name w:val="bullets"/>
    <w:basedOn w:val="Normal"/>
    <w:uiPriority w:val="99"/>
    <w:rsid w:val="00B313A7"/>
    <w:pPr>
      <w:numPr>
        <w:numId w:val="18"/>
      </w:numPr>
      <w:spacing w:after="120" w:line="240" w:lineRule="exact"/>
      <w:ind w:left="1080"/>
    </w:pPr>
    <w:rPr>
      <w:color w:val="000000"/>
    </w:rPr>
  </w:style>
  <w:style w:type="paragraph" w:customStyle="1" w:styleId="ExhibitTitle">
    <w:name w:val="Exhibit Title"/>
    <w:next w:val="Normal"/>
    <w:uiPriority w:val="99"/>
    <w:rsid w:val="00B313A7"/>
    <w:pPr>
      <w:keepNext/>
      <w:spacing w:before="240" w:after="120"/>
      <w:ind w:left="1440" w:hanging="1440"/>
    </w:pPr>
    <w:rPr>
      <w:b/>
      <w:sz w:val="24"/>
      <w:szCs w:val="20"/>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basedOn w:val="DefaultParagraphFont"/>
    <w:uiPriority w:val="99"/>
    <w:rsid w:val="00A9639B"/>
    <w:rPr>
      <w:rFonts w:cs="Times New Roman"/>
      <w:sz w:val="24"/>
      <w:szCs w:val="24"/>
      <w:lang w:val="en-US" w:eastAsia="en-US" w:bidi="ar-SA"/>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basedOn w:val="DefaultParagraphFont"/>
    <w:uiPriority w:val="99"/>
    <w:qFormat/>
    <w:rsid w:val="00003F7F"/>
    <w:rPr>
      <w:rFonts w:cs="Times New Roman"/>
      <w:b/>
      <w:bCs/>
    </w:rPr>
  </w:style>
  <w:style w:type="character" w:customStyle="1" w:styleId="CharChar2">
    <w:name w:val="Char Char2"/>
    <w:basedOn w:val="DefaultParagraphFont"/>
    <w:uiPriority w:val="99"/>
    <w:rsid w:val="00A9639B"/>
    <w:rPr>
      <w:rFonts w:ascii="Arial" w:hAnsi="Arial" w:cs="Arial"/>
      <w:b/>
      <w:bCs/>
      <w:sz w:val="24"/>
      <w:szCs w:val="24"/>
      <w:lang w:val="en-US" w:eastAsia="en-US" w:bidi="ar-SA"/>
    </w:rPr>
  </w:style>
  <w:style w:type="character" w:customStyle="1" w:styleId="CharChar4">
    <w:name w:val="Char Char4"/>
    <w:basedOn w:val="DefaultParagraphFont"/>
    <w:uiPriority w:val="99"/>
    <w:locked/>
    <w:rsid w:val="00A9639B"/>
    <w:rPr>
      <w:rFonts w:ascii="Arial" w:hAnsi="Arial" w:cs="Arial"/>
      <w:b/>
      <w:sz w:val="28"/>
      <w:lang w:val="en-US" w:eastAsia="en-US" w:bidi="ar-SA"/>
    </w:rPr>
  </w:style>
  <w:style w:type="character" w:customStyle="1" w:styleId="CharChar3">
    <w:name w:val="Char Char3"/>
    <w:basedOn w:val="DefaultParagraphFont"/>
    <w:uiPriority w:val="99"/>
    <w:locked/>
    <w:rsid w:val="00A9639B"/>
    <w:rPr>
      <w:rFonts w:ascii="Arial" w:hAnsi="Arial" w:cs="Arial"/>
      <w:b/>
      <w:bCs/>
      <w:iCs/>
      <w:sz w:val="28"/>
      <w:szCs w:val="28"/>
      <w:lang w:val="en-US" w:eastAsia="en-US" w:bidi="ar-SA"/>
    </w:rPr>
  </w:style>
  <w:style w:type="character" w:customStyle="1" w:styleId="bulletroundChar">
    <w:name w:val="bullet round Char"/>
    <w:basedOn w:val="DefaultParagraphFont"/>
    <w:uiPriority w:val="99"/>
    <w:locked/>
    <w:rsid w:val="00A9639B"/>
    <w:rPr>
      <w:rFonts w:cs="Arial"/>
      <w:sz w:val="24"/>
      <w:lang w:val="en-US" w:eastAsia="en-US" w:bidi="ar-SA"/>
    </w:rPr>
  </w:style>
  <w:style w:type="character" w:customStyle="1" w:styleId="CharChar21">
    <w:name w:val="Char Char21"/>
    <w:basedOn w:val="DefaultParagraphFont"/>
    <w:uiPriority w:val="99"/>
    <w:semiHidden/>
    <w:locked/>
    <w:rsid w:val="00A9639B"/>
    <w:rPr>
      <w:rFonts w:cs="Times New Roman"/>
      <w:sz w:val="24"/>
      <w:lang w:val="en-US" w:eastAsia="en-US" w:bidi="ar-SA"/>
    </w:rPr>
  </w:style>
  <w:style w:type="character" w:customStyle="1" w:styleId="CharChar11">
    <w:name w:val="Char Char11"/>
    <w:basedOn w:val="DefaultParagraphFont"/>
    <w:uiPriority w:val="99"/>
    <w:semiHidden/>
    <w:locked/>
    <w:rsid w:val="00A9639B"/>
    <w:rPr>
      <w:rFonts w:ascii="Arial" w:hAnsi="Arial" w:cs="Arial"/>
      <w:b/>
      <w:bCs/>
      <w:iCs/>
      <w:sz w:val="28"/>
      <w:szCs w:val="28"/>
      <w:lang w:val="en-US" w:eastAsia="en-US" w:bidi="ar-SA"/>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sz w:val="20"/>
      <w:szCs w:val="20"/>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basedOn w:val="DefaultParagraphFont"/>
    <w:link w:val="PlainText"/>
    <w:uiPriority w:val="99"/>
    <w:semiHidden/>
    <w:locked/>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uiPriority w:val="99"/>
    <w:rsid w:val="00003F7F"/>
    <w:pPr>
      <w:keepNext/>
      <w:ind w:left="360"/>
    </w:pPr>
    <w:rPr>
      <w:szCs w:val="20"/>
    </w:rPr>
  </w:style>
  <w:style w:type="paragraph" w:styleId="Index2">
    <w:name w:val="index 2"/>
    <w:basedOn w:val="Normal"/>
    <w:next w:val="Normal"/>
    <w:uiPriority w:val="99"/>
    <w:rsid w:val="00003F7F"/>
    <w:pPr>
      <w:keepNext/>
      <w:ind w:left="720"/>
    </w:pPr>
    <w:rPr>
      <w:szCs w:val="20"/>
    </w:rPr>
  </w:style>
  <w:style w:type="paragraph" w:styleId="Index3">
    <w:name w:val="index 3"/>
    <w:basedOn w:val="Normal"/>
    <w:next w:val="Normal"/>
    <w:uiPriority w:val="99"/>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basedOn w:val="DefaultParagraphFont"/>
    <w:link w:val="Subtitle"/>
    <w:uiPriority w:val="99"/>
    <w:locked/>
    <w:rsid w:val="00435077"/>
    <w:rPr>
      <w:rFonts w:ascii="Cambria" w:hAnsi="Cambria" w:cs="Times New Roman"/>
      <w:sz w:val="24"/>
      <w:szCs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szCs w:val="20"/>
    </w:rPr>
  </w:style>
  <w:style w:type="paragraph" w:styleId="List">
    <w:name w:val="List"/>
    <w:basedOn w:val="Normal"/>
    <w:uiPriority w:val="99"/>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7"/>
      </w:numPr>
      <w:tabs>
        <w:tab w:val="num" w:pos="720"/>
      </w:tabs>
      <w:ind w:left="223" w:hanging="223"/>
    </w:pPr>
  </w:style>
  <w:style w:type="paragraph" w:customStyle="1" w:styleId="Quick1">
    <w:name w:val="Quick 1."/>
    <w:basedOn w:val="Normal"/>
    <w:uiPriority w:val="99"/>
    <w:semiHidden/>
    <w:rsid w:val="00A9639B"/>
    <w:pPr>
      <w:widowControl w:val="0"/>
      <w:numPr>
        <w:numId w:val="8"/>
      </w:numPr>
      <w:tabs>
        <w:tab w:val="num" w:pos="1080"/>
      </w:tabs>
      <w:ind w:left="550" w:hanging="327"/>
    </w:pPr>
  </w:style>
  <w:style w:type="paragraph" w:customStyle="1" w:styleId="Quick">
    <w:name w:val="Quick ­"/>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uiPriority w:val="99"/>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sz w:val="20"/>
      <w:szCs w:val="20"/>
    </w:rPr>
  </w:style>
  <w:style w:type="paragraph" w:styleId="NormalWeb">
    <w:name w:val="Normal (Web)"/>
    <w:basedOn w:val="Normal"/>
    <w:uiPriority w:val="99"/>
    <w:rsid w:val="00003F7F"/>
    <w:pPr>
      <w:spacing w:before="100" w:beforeAutospacing="1" w:after="100" w:afterAutospacing="1"/>
    </w:pPr>
    <w:rPr>
      <w:rFonts w:ascii="Arial" w:hAnsi="Arial" w:cs="Arial"/>
      <w:color w:val="000000"/>
    </w:rPr>
  </w:style>
  <w:style w:type="character" w:customStyle="1" w:styleId="BlockedquoteChar">
    <w:name w:val="Blocked quote Char"/>
    <w:basedOn w:val="CharChar"/>
    <w:uiPriority w:val="99"/>
    <w:locked/>
    <w:rsid w:val="00A9639B"/>
    <w:rPr>
      <w:rFonts w:cs="Times New Roman"/>
      <w:i/>
      <w:iCs/>
      <w:sz w:val="24"/>
      <w:lang w:val="en-US" w:eastAsia="en-US" w:bidi="ar-SA"/>
    </w:rPr>
  </w:style>
  <w:style w:type="paragraph" w:customStyle="1" w:styleId="Table2">
    <w:name w:val="Table 2"/>
    <w:basedOn w:val="Tabletext"/>
    <w:uiPriority w:val="99"/>
    <w:semiHidden/>
    <w:rsid w:val="00A9639B"/>
  </w:style>
  <w:style w:type="character" w:customStyle="1" w:styleId="AppendixTitleChar">
    <w:name w:val="Appendix Title Char"/>
    <w:basedOn w:val="DefaultParagraphFont"/>
    <w:uiPriority w:val="99"/>
    <w:locked/>
    <w:rsid w:val="00A9639B"/>
    <w:rPr>
      <w:rFonts w:ascii="Arial" w:hAnsi="Arial" w:cs="Arial"/>
      <w:b/>
      <w:sz w:val="28"/>
      <w:szCs w:val="28"/>
      <w:lang w:val="en-US" w:eastAsia="en-US" w:bidi="ar-SA"/>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uiPriority w:val="99"/>
    <w:rsid w:val="00003F7F"/>
    <w:pPr>
      <w:tabs>
        <w:tab w:val="center" w:pos="4680"/>
        <w:tab w:val="right" w:pos="9360"/>
      </w:tabs>
      <w:spacing w:after="240" w:line="480" w:lineRule="atLeast"/>
      <w:ind w:firstLine="720"/>
    </w:pPr>
    <w:rPr>
      <w:sz w:val="24"/>
      <w:szCs w:val="20"/>
    </w:rPr>
  </w:style>
  <w:style w:type="character" w:customStyle="1" w:styleId="BodytextnoindentChar">
    <w:name w:val="Body text no indent Char"/>
    <w:basedOn w:val="CharChar"/>
    <w:uiPriority w:val="99"/>
    <w:locked/>
    <w:rsid w:val="00A9639B"/>
    <w:rPr>
      <w:rFonts w:cs="Times New Roman"/>
      <w:sz w:val="24"/>
      <w:lang w:val="en-US" w:eastAsia="en-US" w:bidi="ar-SA"/>
    </w:rPr>
  </w:style>
  <w:style w:type="character" w:customStyle="1" w:styleId="footer1">
    <w:name w:val="footer1"/>
    <w:basedOn w:val="DefaultParagraphFont"/>
    <w:uiPriority w:val="99"/>
    <w:rsid w:val="00A9639B"/>
    <w:rPr>
      <w:rFonts w:ascii="Verdana" w:hAnsi="Verdana" w:cs="Times New Roman"/>
      <w:color w:val="auto"/>
      <w:sz w:val="15"/>
      <w:szCs w:val="15"/>
    </w:rPr>
  </w:style>
  <w:style w:type="character" w:styleId="FollowedHyperlink">
    <w:name w:val="FollowedHyperlink"/>
    <w:basedOn w:val="DefaultParagraphFont"/>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basedOn w:val="DefaultParagraphFont"/>
    <w:link w:val="BodyText3"/>
    <w:uiPriority w:val="99"/>
    <w:semiHidden/>
    <w:locked/>
    <w:rsid w:val="00435077"/>
    <w:rPr>
      <w:rFonts w:cs="Times New Roman"/>
      <w:sz w:val="16"/>
      <w:szCs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uiPriority w:val="99"/>
    <w:locked/>
    <w:rsid w:val="00A9639B"/>
    <w:rPr>
      <w:rFonts w:cs="Times New Roman"/>
      <w:kern w:val="2"/>
      <w:sz w:val="24"/>
      <w:lang w:val="en-US" w:eastAsia="en-US" w:bidi="ar-SA"/>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basedOn w:val="DefaultParagraphFont"/>
    <w:uiPriority w:val="99"/>
    <w:locked/>
    <w:rsid w:val="00A9639B"/>
    <w:rPr>
      <w:rFonts w:cs="Times New Roman"/>
      <w:sz w:val="24"/>
      <w:lang w:val="en-US" w:eastAsia="en-US" w:bidi="ar-SA"/>
    </w:rPr>
  </w:style>
  <w:style w:type="paragraph" w:customStyle="1" w:styleId="tocpagehead">
    <w:name w:val="toc page head"/>
    <w:uiPriority w:val="99"/>
    <w:rsid w:val="00A9639B"/>
    <w:pPr>
      <w:tabs>
        <w:tab w:val="right" w:pos="9360"/>
      </w:tabs>
      <w:jc w:val="both"/>
    </w:pPr>
    <w:rPr>
      <w:b/>
      <w:bCs/>
      <w:noProof/>
      <w:szCs w:val="20"/>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basedOn w:val="DefaultParagraphFont"/>
    <w:uiPriority w:val="99"/>
    <w:locked/>
    <w:rsid w:val="00A9639B"/>
    <w:rPr>
      <w:rFonts w:cs="Times New Roman"/>
      <w:sz w:val="22"/>
      <w:lang w:val="en-US" w:eastAsia="en-US" w:bidi="ar-SA"/>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11"/>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435077"/>
    <w:rPr>
      <w:rFonts w:ascii="Courier New" w:hAnsi="Courier New" w:cs="Courier New"/>
      <w:sz w:val="20"/>
      <w:szCs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basedOn w:val="DefaultParagraphFon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12"/>
      </w:numPr>
      <w:spacing w:line="276" w:lineRule="auto"/>
    </w:pPr>
    <w:rPr>
      <w:rFonts w:ascii="Arial" w:hAnsi="Arial"/>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link w:val="ListParagraphChar"/>
    <w:uiPriority w:val="34"/>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basedOn w:val="DefaultParagraphFont"/>
    <w:uiPriority w:val="99"/>
    <w:rsid w:val="00D316FD"/>
    <w:rPr>
      <w:rFonts w:ascii="Arial" w:hAnsi="Arial" w:cs="Arial"/>
      <w:i/>
      <w:sz w:val="24"/>
      <w:szCs w:val="24"/>
      <w:lang w:val="en-US" w:eastAsia="en-US" w:bidi="ar-SA"/>
    </w:rPr>
  </w:style>
  <w:style w:type="paragraph" w:customStyle="1" w:styleId="bullet10">
    <w:name w:val="bullet 1"/>
    <w:basedOn w:val="ListParagraph"/>
    <w:link w:val="bullet1Char"/>
    <w:uiPriority w:val="99"/>
    <w:rsid w:val="00D316FD"/>
    <w:pPr>
      <w:numPr>
        <w:numId w:val="13"/>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basedOn w:val="DefaultParagraphFont"/>
    <w:link w:val="Salutation"/>
    <w:uiPriority w:val="99"/>
    <w:semiHidden/>
    <w:locked/>
    <w:rsid w:val="00435077"/>
    <w:rPr>
      <w:rFonts w:cs="Times New Roman"/>
      <w:sz w:val="24"/>
      <w:szCs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numPr>
        <w:ilvl w:val="1"/>
        <w:numId w:val="3"/>
      </w:numPr>
      <w:tabs>
        <w:tab w:val="clear" w:pos="720"/>
      </w:tabs>
      <w:spacing w:line="276" w:lineRule="auto"/>
      <w:ind w:left="1080"/>
    </w:pPr>
    <w:rPr>
      <w:rFonts w:ascii="Arial" w:hAnsi="Arial"/>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Cs w:val="28"/>
    </w:rPr>
  </w:style>
  <w:style w:type="paragraph" w:customStyle="1" w:styleId="HSLSH3">
    <w:name w:val="HSLS H3"/>
    <w:uiPriority w:val="99"/>
    <w:rsid w:val="00C3253A"/>
    <w:pPr>
      <w:keepNext/>
      <w:spacing w:before="120" w:after="120"/>
      <w:ind w:left="720"/>
    </w:pPr>
    <w:rPr>
      <w:rFonts w:ascii="Arial" w:hAnsi="Arial" w:cs="Arial"/>
      <w:b/>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basedOn w:val="DefaultParagraphFont"/>
    <w:link w:val="ListParagraph"/>
    <w:uiPriority w:val="99"/>
    <w:locked/>
    <w:rsid w:val="000A4C56"/>
    <w:rPr>
      <w:rFonts w:ascii="Calibri" w:hAnsi="Calibri" w:cs="Times New Roman"/>
      <w:sz w:val="22"/>
      <w:szCs w:val="22"/>
      <w:lang w:val="en-US" w:eastAsia="en-US" w:bidi="ar-SA"/>
    </w:rPr>
  </w:style>
  <w:style w:type="character" w:customStyle="1" w:styleId="bullet1Char">
    <w:name w:val="bullet 1 Char"/>
    <w:basedOn w:val="ListParagraphChar"/>
    <w:link w:val="bullet10"/>
    <w:uiPriority w:val="99"/>
    <w:locked/>
    <w:rsid w:val="000A4C56"/>
    <w:rPr>
      <w:rFonts w:ascii="Arial" w:hAnsi="Arial" w:cs="Arial"/>
      <w:sz w:val="22"/>
      <w:szCs w:val="22"/>
      <w:lang w:val="en-US" w:eastAsia="en-US" w:bidi="ar-SA"/>
    </w:rPr>
  </w:style>
  <w:style w:type="paragraph" w:customStyle="1" w:styleId="FMheading">
    <w:name w:val="FM heading"/>
    <w:basedOn w:val="TOCHeading"/>
    <w:uiPriority w:val="99"/>
    <w:rsid w:val="00571102"/>
    <w:rPr>
      <w:noProof/>
    </w:rPr>
  </w:style>
  <w:style w:type="table" w:styleId="TableGrid">
    <w:name w:val="Table Grid"/>
    <w:basedOn w:val="TableNormal"/>
    <w:uiPriority w:val="99"/>
    <w:rsid w:val="00003F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link w:val="QuestionChar"/>
    <w:uiPriority w:val="99"/>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basedOn w:val="DefaultParagraphFont"/>
    <w:uiPriority w:val="99"/>
    <w:rsid w:val="005972D9"/>
    <w:rPr>
      <w:rFonts w:cs="Times New Roman"/>
    </w:rPr>
  </w:style>
  <w:style w:type="character" w:customStyle="1" w:styleId="updated-short-citation1">
    <w:name w:val="updated-short-citation1"/>
    <w:basedOn w:val="DefaultParagraphFont"/>
    <w:uiPriority w:val="99"/>
    <w:rsid w:val="005972D9"/>
    <w:rPr>
      <w:rFonts w:cs="Times New Roman"/>
    </w:rPr>
  </w:style>
  <w:style w:type="character" w:customStyle="1" w:styleId="medium-font">
    <w:name w:val="medium-font"/>
    <w:basedOn w:val="DefaultParagraphFont"/>
    <w:uiPriority w:val="99"/>
    <w:rsid w:val="005972D9"/>
    <w:rPr>
      <w:rFonts w:cs="Times New Roman"/>
    </w:rPr>
  </w:style>
  <w:style w:type="paragraph" w:customStyle="1" w:styleId="Default">
    <w:name w:val="Default"/>
    <w:uiPriority w:val="99"/>
    <w:rsid w:val="005972D9"/>
    <w:pPr>
      <w:autoSpaceDE w:val="0"/>
      <w:autoSpaceDN w:val="0"/>
      <w:adjustRightInd w:val="0"/>
    </w:pPr>
    <w:rPr>
      <w:color w:val="000000"/>
      <w:sz w:val="24"/>
      <w:szCs w:val="24"/>
    </w:rPr>
  </w:style>
  <w:style w:type="character" w:customStyle="1" w:styleId="ct-with-fmlt">
    <w:name w:val="ct-with-fmlt"/>
    <w:basedOn w:val="DefaultParagraphFont"/>
    <w:uiPriority w:val="99"/>
    <w:rsid w:val="005972D9"/>
    <w:rPr>
      <w:rFonts w:cs="Times New Roman"/>
    </w:rPr>
  </w:style>
  <w:style w:type="character" w:styleId="HTMLCite">
    <w:name w:val="HTML Cite"/>
    <w:basedOn w:val="DefaultParagraphFont"/>
    <w:uiPriority w:val="99"/>
    <w:rsid w:val="005972D9"/>
    <w:rPr>
      <w:rFonts w:cs="Times New Roman"/>
      <w:i/>
      <w:iCs/>
    </w:rPr>
  </w:style>
  <w:style w:type="character" w:customStyle="1" w:styleId="bullet3rdlevelChar">
    <w:name w:val="bullet 3rd level Char"/>
    <w:basedOn w:val="ListParagraphChar"/>
    <w:uiPriority w:val="99"/>
    <w:rsid w:val="005972D9"/>
    <w:rPr>
      <w:rFonts w:ascii="Arial" w:hAnsi="Arial" w:cs="Times New Roman"/>
      <w:sz w:val="22"/>
      <w:szCs w:val="22"/>
      <w:lang w:val="en-US" w:eastAsia="en-US" w:bidi="ar-SA"/>
    </w:rPr>
  </w:style>
  <w:style w:type="paragraph" w:customStyle="1" w:styleId="question">
    <w:name w:val="question"/>
    <w:basedOn w:val="Normal"/>
    <w:link w:val="questionChar0"/>
    <w:uiPriority w:val="99"/>
    <w:rsid w:val="004D18A4"/>
    <w:pPr>
      <w:numPr>
        <w:numId w:val="14"/>
      </w:numPr>
      <w:spacing w:before="120" w:after="120"/>
    </w:pPr>
  </w:style>
  <w:style w:type="paragraph" w:customStyle="1" w:styleId="questionnonumbering">
    <w:name w:val="question no numbering"/>
    <w:basedOn w:val="question"/>
    <w:link w:val="questionnonumberingChar"/>
    <w:uiPriority w:val="99"/>
    <w:rsid w:val="004D18A4"/>
    <w:pPr>
      <w:numPr>
        <w:numId w:val="0"/>
      </w:numPr>
      <w:spacing w:after="60"/>
      <w:ind w:left="1267" w:hanging="547"/>
    </w:pPr>
  </w:style>
  <w:style w:type="character" w:customStyle="1" w:styleId="questionChar0">
    <w:name w:val="question Char"/>
    <w:basedOn w:val="DefaultParagraphFont"/>
    <w:link w:val="question"/>
    <w:uiPriority w:val="99"/>
    <w:locked/>
    <w:rsid w:val="004D18A4"/>
    <w:rPr>
      <w:sz w:val="24"/>
      <w:szCs w:val="24"/>
    </w:rPr>
  </w:style>
  <w:style w:type="character" w:customStyle="1" w:styleId="questionnonumberingChar">
    <w:name w:val="question no numbering Char"/>
    <w:basedOn w:val="questionChar0"/>
    <w:link w:val="questionnonumbering"/>
    <w:uiPriority w:val="99"/>
    <w:locked/>
    <w:rsid w:val="004D18A4"/>
    <w:rPr>
      <w:sz w:val="24"/>
      <w:szCs w:val="24"/>
    </w:rPr>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basedOn w:val="DefaultParagraphFont"/>
    <w:link w:val="TableTitle"/>
    <w:uiPriority w:val="99"/>
    <w:locked/>
    <w:rsid w:val="00635103"/>
    <w:rPr>
      <w:rFonts w:ascii="Arial" w:eastAsia="MS Mincho" w:hAnsi="Arial" w:cs="Times New Roman"/>
      <w:b/>
      <w:kern w:val="2"/>
      <w:lang w:val="en-US" w:eastAsia="en-US" w:bidi="ar-SA"/>
    </w:rPr>
  </w:style>
  <w:style w:type="character" w:customStyle="1" w:styleId="tabletitle-continuedChar">
    <w:name w:val="table title - continued Char"/>
    <w:basedOn w:val="TableTitleChar1"/>
    <w:link w:val="tabletitle-continued"/>
    <w:uiPriority w:val="99"/>
    <w:locked/>
    <w:rsid w:val="00635103"/>
    <w:rPr>
      <w:rFonts w:ascii="Arial" w:eastAsia="MS Mincho" w:hAnsi="Arial" w:cs="Times New Roman"/>
      <w:b/>
      <w:kern w:val="2"/>
      <w:lang w:val="en-US" w:eastAsia="en-US" w:bidi="ar-SA"/>
    </w:rPr>
  </w:style>
  <w:style w:type="character" w:customStyle="1" w:styleId="QuestionChar">
    <w:name w:val="Question Char"/>
    <w:basedOn w:val="DefaultParagraphFont"/>
    <w:link w:val="Question0"/>
    <w:uiPriority w:val="99"/>
    <w:locked/>
    <w:rsid w:val="00020B6F"/>
    <w:rPr>
      <w:rFonts w:ascii="Optima" w:hAnsi="Optima" w:cs="Times New Roman"/>
      <w:sz w:val="20"/>
      <w:szCs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6"/>
      </w:numPr>
      <w:tabs>
        <w:tab w:val="left" w:pos="1710"/>
      </w:tabs>
      <w:ind w:left="1710" w:hanging="630"/>
    </w:pPr>
    <w:rPr>
      <w:sz w:val="22"/>
      <w:szCs w:val="28"/>
    </w:rPr>
  </w:style>
  <w:style w:type="paragraph" w:customStyle="1" w:styleId="Responselist">
    <w:name w:val="Response list"/>
    <w:basedOn w:val="Normal"/>
    <w:link w:val="ResponselistChar"/>
    <w:uiPriority w:val="99"/>
    <w:rsid w:val="000C0CBA"/>
    <w:pPr>
      <w:tabs>
        <w:tab w:val="left" w:pos="1080"/>
        <w:tab w:val="left" w:pos="1260"/>
      </w:tabs>
      <w:ind w:left="1260" w:hanging="540"/>
    </w:pPr>
  </w:style>
  <w:style w:type="character" w:customStyle="1" w:styleId="ResponselistChar">
    <w:name w:val="Response list Char"/>
    <w:basedOn w:val="DefaultParagraphFont"/>
    <w:link w:val="Responselist"/>
    <w:uiPriority w:val="99"/>
    <w:locked/>
    <w:rsid w:val="000C0CBA"/>
    <w:rPr>
      <w:rFonts w:cs="Times New Roman"/>
      <w:sz w:val="24"/>
    </w:rPr>
  </w:style>
  <w:style w:type="paragraph" w:customStyle="1" w:styleId="bodytextpsg">
    <w:name w:val="body text_psg"/>
    <w:basedOn w:val="Normal"/>
    <w:link w:val="bodytextpsgChar"/>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uiPriority w:val="99"/>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uiPriority w:val="99"/>
    <w:rsid w:val="00003F7F"/>
    <w:pPr>
      <w:spacing w:after="120" w:line="240" w:lineRule="exact"/>
      <w:ind w:left="1440" w:hanging="360"/>
    </w:pPr>
    <w:rPr>
      <w:szCs w:val="20"/>
    </w:rPr>
  </w:style>
  <w:style w:type="paragraph" w:styleId="E-mailSignature">
    <w:name w:val="E-mail Signature"/>
    <w:basedOn w:val="Normal"/>
    <w:link w:val="E-mailSignatureChar"/>
    <w:uiPriority w:val="99"/>
    <w:rsid w:val="00003F7F"/>
  </w:style>
  <w:style w:type="character" w:customStyle="1" w:styleId="E-mailSignatureChar">
    <w:name w:val="E-mail Signature Char"/>
    <w:basedOn w:val="DefaultParagraphFont"/>
    <w:link w:val="E-mailSignature"/>
    <w:uiPriority w:val="99"/>
    <w:locked/>
    <w:rsid w:val="00E075E1"/>
    <w:rPr>
      <w:rFonts w:cs="Times New Roman"/>
      <w:sz w:val="24"/>
      <w:szCs w:val="24"/>
    </w:rPr>
  </w:style>
  <w:style w:type="character" w:styleId="EndnoteReference">
    <w:name w:val="endnote reference"/>
    <w:basedOn w:val="DefaultParagraphFont"/>
    <w:uiPriority w:val="99"/>
    <w:semiHidden/>
    <w:rsid w:val="00003F7F"/>
    <w:rPr>
      <w:rFonts w:cs="Times New Roman"/>
      <w:vertAlign w:val="superscript"/>
    </w:rPr>
  </w:style>
  <w:style w:type="paragraph" w:styleId="EndnoteText">
    <w:name w:val="endnote text"/>
    <w:basedOn w:val="Normal"/>
    <w:link w:val="EndnoteTextChar"/>
    <w:uiPriority w:val="99"/>
    <w:semiHidden/>
    <w:rsid w:val="00003F7F"/>
    <w:rPr>
      <w:sz w:val="20"/>
      <w:szCs w:val="20"/>
    </w:rPr>
  </w:style>
  <w:style w:type="character" w:customStyle="1" w:styleId="EndnoteTextChar">
    <w:name w:val="Endnote Text Char"/>
    <w:basedOn w:val="DefaultParagraphFont"/>
    <w:link w:val="EndnoteText"/>
    <w:uiPriority w:val="99"/>
    <w:semiHidden/>
    <w:locked/>
    <w:rsid w:val="00E075E1"/>
    <w:rPr>
      <w:rFonts w:cs="Times New Roman"/>
      <w:sz w:val="20"/>
      <w:szCs w:val="20"/>
    </w:rPr>
  </w:style>
  <w:style w:type="paragraph" w:customStyle="1" w:styleId="FigureTitle0">
    <w:name w:val="Figure Title"/>
    <w:basedOn w:val="Normal"/>
    <w:uiPriority w:val="99"/>
    <w:rsid w:val="00003F7F"/>
    <w:pPr>
      <w:keepNext/>
      <w:keepLines/>
      <w:spacing w:before="240" w:after="240"/>
    </w:pPr>
    <w:rPr>
      <w:b/>
      <w:szCs w:val="20"/>
    </w:rPr>
  </w:style>
  <w:style w:type="paragraph" w:customStyle="1" w:styleId="footnotetex">
    <w:name w:val="footnote tex"/>
    <w:uiPriority w:val="99"/>
    <w:rsid w:val="00003F7F"/>
    <w:pPr>
      <w:autoSpaceDE w:val="0"/>
      <w:autoSpaceDN w:val="0"/>
      <w:adjustRightInd w:val="0"/>
    </w:pPr>
    <w:rPr>
      <w:sz w:val="20"/>
      <w:szCs w:val="20"/>
    </w:rPr>
  </w:style>
  <w:style w:type="character" w:customStyle="1" w:styleId="Heading4Char1">
    <w:name w:val="Heading 4 Char1"/>
    <w:aliases w:val="l4 Char Char,l4 Char1"/>
    <w:basedOn w:val="DefaultParagraphFont"/>
    <w:uiPriority w:val="99"/>
    <w:rsid w:val="00D12B08"/>
    <w:rPr>
      <w:rFonts w:cs="Times New Roman"/>
      <w:i/>
    </w:rPr>
  </w:style>
  <w:style w:type="paragraph" w:customStyle="1" w:styleId="heading10">
    <w:name w:val="heading1"/>
    <w:basedOn w:val="Normal"/>
    <w:next w:val="Normal"/>
    <w:uiPriority w:val="99"/>
    <w:semiHidden/>
    <w:rsid w:val="00003F7F"/>
    <w:pPr>
      <w:spacing w:before="120" w:after="120"/>
    </w:pPr>
    <w:rPr>
      <w:b/>
      <w:bCs/>
      <w:sz w:val="22"/>
      <w:szCs w:val="22"/>
    </w:rPr>
  </w:style>
  <w:style w:type="paragraph" w:customStyle="1" w:styleId="heading20">
    <w:name w:val="heading2"/>
    <w:basedOn w:val="Heading3"/>
    <w:next w:val="Normal"/>
    <w:uiPriority w:val="99"/>
    <w:semiHidden/>
    <w:rsid w:val="00003F7F"/>
    <w:pPr>
      <w:spacing w:before="120"/>
    </w:pPr>
    <w:rPr>
      <w:rFonts w:cs="Times New Roman"/>
    </w:rPr>
  </w:style>
  <w:style w:type="paragraph" w:customStyle="1" w:styleId="Level1">
    <w:name w:val="Level 1"/>
    <w:basedOn w:val="Normal"/>
    <w:uiPriority w:val="99"/>
    <w:rsid w:val="00003F7F"/>
    <w:pPr>
      <w:widowControl w:val="0"/>
      <w:autoSpaceDE w:val="0"/>
      <w:autoSpaceDN w:val="0"/>
      <w:adjustRightInd w:val="0"/>
      <w:ind w:left="720" w:hanging="720"/>
    </w:pPr>
  </w:style>
  <w:style w:type="character" w:styleId="LineNumber">
    <w:name w:val="line number"/>
    <w:basedOn w:val="DefaultParagraphFont"/>
    <w:uiPriority w:val="99"/>
    <w:semiHidden/>
    <w:rsid w:val="00003F7F"/>
    <w:rPr>
      <w:rFonts w:cs="Times New Roman"/>
    </w:rPr>
  </w:style>
  <w:style w:type="paragraph" w:styleId="List3">
    <w:name w:val="List 3"/>
    <w:basedOn w:val="Normal"/>
    <w:uiPriority w:val="99"/>
    <w:semiHidden/>
    <w:rsid w:val="00003F7F"/>
    <w:pPr>
      <w:ind w:left="1915" w:hanging="360"/>
    </w:pPr>
    <w:rPr>
      <w:rFonts w:ascii="Arial" w:hAnsi="Arial"/>
      <w:spacing w:val="-5"/>
      <w:sz w:val="20"/>
      <w:szCs w:val="20"/>
    </w:rPr>
  </w:style>
  <w:style w:type="paragraph" w:customStyle="1" w:styleId="NumberBullets">
    <w:name w:val="Number Bullets"/>
    <w:basedOn w:val="Normal"/>
    <w:uiPriority w:val="99"/>
    <w:semiHidden/>
    <w:rsid w:val="00003F7F"/>
    <w:rPr>
      <w:szCs w:val="20"/>
    </w:rPr>
  </w:style>
  <w:style w:type="paragraph" w:customStyle="1" w:styleId="paragraph">
    <w:name w:val="paragraph"/>
    <w:basedOn w:val="Normal"/>
    <w:uiPriority w:val="99"/>
    <w:rsid w:val="00003F7F"/>
    <w:pPr>
      <w:spacing w:before="200" w:line="320" w:lineRule="exact"/>
      <w:ind w:left="1440"/>
    </w:pPr>
  </w:style>
  <w:style w:type="paragraph" w:customStyle="1" w:styleId="TOC0">
    <w:name w:val="TOC 0"/>
    <w:basedOn w:val="Normal"/>
    <w:uiPriority w:val="99"/>
    <w:rsid w:val="00003F7F"/>
    <w:pPr>
      <w:spacing w:after="240"/>
      <w:jc w:val="center"/>
    </w:pPr>
    <w:rPr>
      <w:b/>
      <w:caps/>
      <w:sz w:val="28"/>
      <w:szCs w:val="20"/>
    </w:rPr>
  </w:style>
  <w:style w:type="paragraph" w:customStyle="1" w:styleId="TOCHeader">
    <w:name w:val="TOC Header"/>
    <w:basedOn w:val="Normal"/>
    <w:uiPriority w:val="99"/>
    <w:rsid w:val="00003F7F"/>
    <w:pPr>
      <w:tabs>
        <w:tab w:val="right" w:pos="9360"/>
      </w:tabs>
      <w:spacing w:after="240"/>
    </w:pPr>
    <w:rPr>
      <w:szCs w:val="20"/>
      <w:u w:val="words"/>
    </w:rPr>
  </w:style>
  <w:style w:type="paragraph" w:customStyle="1" w:styleId="toc-tabfig">
    <w:name w:val="toc-tab/fig"/>
    <w:basedOn w:val="Normal"/>
    <w:uiPriority w:val="99"/>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uiPriority w:val="99"/>
    <w:rsid w:val="00003F7F"/>
    <w:pPr>
      <w:jc w:val="center"/>
    </w:pPr>
  </w:style>
  <w:style w:type="paragraph" w:customStyle="1" w:styleId="Pa9">
    <w:name w:val="Pa9"/>
    <w:basedOn w:val="Normal"/>
    <w:next w:val="Normal"/>
    <w:uiPriority w:val="99"/>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uiPriority w:val="99"/>
    <w:rsid w:val="00CA45AA"/>
  </w:style>
  <w:style w:type="paragraph" w:customStyle="1" w:styleId="AppHeading3">
    <w:name w:val="App Heading 3"/>
    <w:basedOn w:val="Heading3"/>
    <w:uiPriority w:val="99"/>
    <w:rsid w:val="000310CC"/>
    <w:pPr>
      <w:spacing w:before="360"/>
    </w:pPr>
  </w:style>
  <w:style w:type="paragraph" w:customStyle="1" w:styleId="AppHeading4">
    <w:name w:val="App Heading 4"/>
    <w:basedOn w:val="Normal"/>
    <w:uiPriority w:val="99"/>
    <w:rsid w:val="005A7747"/>
    <w:pPr>
      <w:keepNext/>
      <w:keepLines/>
      <w:spacing w:before="360" w:after="120"/>
      <w:outlineLvl w:val="3"/>
    </w:pPr>
    <w:rPr>
      <w:b/>
      <w:i/>
      <w:iCs/>
      <w:u w:val="single"/>
    </w:rPr>
  </w:style>
  <w:style w:type="character" w:customStyle="1" w:styleId="bodytextpsgChar">
    <w:name w:val="body text_psg Char"/>
    <w:basedOn w:val="DefaultParagraphFont"/>
    <w:link w:val="bodytextpsg"/>
    <w:locked/>
    <w:rsid w:val="00193A1D"/>
    <w:rPr>
      <w:rFonts w:cs="Times New Roman"/>
      <w:sz w:val="24"/>
      <w:szCs w:val="24"/>
    </w:rPr>
  </w:style>
  <w:style w:type="paragraph" w:customStyle="1" w:styleId="bodytext0">
    <w:name w:val="bodytext"/>
    <w:basedOn w:val="Normal"/>
    <w:uiPriority w:val="99"/>
    <w:rsid w:val="00193A1D"/>
    <w:pPr>
      <w:spacing w:after="240" w:line="320" w:lineRule="atLeast"/>
      <w:ind w:firstLine="720"/>
    </w:pPr>
    <w:rPr>
      <w:sz w:val="22"/>
      <w:szCs w:val="22"/>
    </w:rPr>
  </w:style>
  <w:style w:type="paragraph" w:customStyle="1" w:styleId="Source75">
    <w:name w:val="Source 7.5"/>
    <w:basedOn w:val="Source"/>
    <w:rsid w:val="00975EC2"/>
    <w:pPr>
      <w:keepLines/>
      <w:spacing w:before="0" w:line="180" w:lineRule="atLeast"/>
    </w:pPr>
    <w:rPr>
      <w:sz w:val="15"/>
      <w:szCs w:val="15"/>
    </w:rPr>
  </w:style>
  <w:style w:type="table" w:styleId="MediumGrid3-Accent1">
    <w:name w:val="Medium Grid 3 Accent 1"/>
    <w:aliases w:val="NCES DFD"/>
    <w:basedOn w:val="TableNormal"/>
    <w:rsid w:val="00975EC2"/>
    <w:rPr>
      <w:rFonts w:ascii="Arial" w:hAnsi="Arial"/>
      <w:sz w:val="18"/>
      <w:szCs w:val="24"/>
    </w:rPr>
    <w:tblPr>
      <w:tblStyleRowBandSize w:val="1"/>
      <w:tblStyleColBandSize w:val="1"/>
      <w:tblInd w:w="864" w:type="dxa"/>
      <w:tblBorders>
        <w:bottom w:val="single" w:sz="24" w:space="0" w:color="17365D" w:themeColor="text2" w:themeShade="BF"/>
      </w:tblBorders>
    </w:tblPr>
    <w:tcPr>
      <w:shd w:val="clear" w:color="auto" w:fill="EEF2F8"/>
      <w:vAlign w:val="bottom"/>
    </w:tcPr>
    <w:tblStylePr w:type="firstRow">
      <w:rPr>
        <w:b/>
        <w:bCs/>
        <w:i w:val="0"/>
        <w:iCs w:val="0"/>
        <w:color w:val="FFFFFF" w:themeColor="background1"/>
      </w:rPr>
      <w:tblPr/>
      <w:tcPr>
        <w:shd w:val="clear" w:color="auto" w:fill="1F497D" w:themeFill="tex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pPr>
        <w:jc w:val="left"/>
      </w:pPr>
      <w:rPr>
        <w:b/>
        <w:bCs/>
        <w:i w:val="0"/>
        <w:iCs w:val="0"/>
        <w:color w:val="FFFFFF" w:themeColor="background1"/>
        <w:sz w:val="20"/>
      </w:rPr>
      <w:tblPr/>
      <w:tcPr>
        <w:tcBorders>
          <w:top w:val="nil"/>
          <w:left w:val="nil"/>
          <w:bottom w:val="nil"/>
          <w:right w:val="nil"/>
          <w:insideH w:val="nil"/>
          <w:insideV w:val="nil"/>
          <w:tl2br w:val="nil"/>
          <w:tr2bl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StyleTableheadingTimesNewRoman11ptBoldCenteredBefor">
    <w:name w:val="Style Table heading + Times New Roman 11 pt Bold Centered Befor..."/>
    <w:basedOn w:val="Normal"/>
    <w:rsid w:val="00825CCC"/>
    <w:pPr>
      <w:keepNext/>
      <w:shd w:val="clear" w:color="auto" w:fill="FFFFFF"/>
      <w:spacing w:before="240" w:after="120"/>
    </w:pPr>
    <w:rPr>
      <w:rFonts w:eastAsiaTheme="minorHAnsi"/>
      <w:b/>
      <w:bCs/>
    </w:rPr>
  </w:style>
  <w:style w:type="paragraph" w:styleId="Revision">
    <w:name w:val="Revision"/>
    <w:hidden/>
    <w:uiPriority w:val="99"/>
    <w:semiHidden/>
    <w:rsid w:val="00AF0BDF"/>
    <w:rPr>
      <w:sz w:val="24"/>
      <w:szCs w:val="24"/>
    </w:rPr>
  </w:style>
  <w:style w:type="paragraph" w:customStyle="1" w:styleId="BodyText20">
    <w:name w:val="Body Text2"/>
    <w:basedOn w:val="Normal"/>
    <w:link w:val="bodytextChar0"/>
    <w:rsid w:val="00E54BB9"/>
    <w:pPr>
      <w:spacing w:after="120" w:line="360" w:lineRule="auto"/>
      <w:ind w:firstLine="720"/>
    </w:pPr>
    <w:rPr>
      <w:szCs w:val="20"/>
    </w:rPr>
  </w:style>
  <w:style w:type="character" w:customStyle="1" w:styleId="bodytextChar0">
    <w:name w:val="body text Char"/>
    <w:basedOn w:val="DefaultParagraphFont"/>
    <w:link w:val="BodyText20"/>
    <w:locked/>
    <w:rsid w:val="00E54BB9"/>
    <w:rPr>
      <w:sz w:val="24"/>
      <w:szCs w:val="20"/>
    </w:rPr>
  </w:style>
  <w:style w:type="paragraph" w:customStyle="1" w:styleId="body">
    <w:name w:val="body"/>
    <w:basedOn w:val="Normal"/>
    <w:link w:val="bodyChar"/>
    <w:qFormat/>
    <w:rsid w:val="00E54BB9"/>
    <w:pPr>
      <w:spacing w:after="120" w:line="360" w:lineRule="auto"/>
      <w:ind w:firstLine="720"/>
    </w:pPr>
  </w:style>
  <w:style w:type="character" w:customStyle="1" w:styleId="bodyChar">
    <w:name w:val="body Char"/>
    <w:basedOn w:val="DefaultParagraphFont"/>
    <w:link w:val="body"/>
    <w:rsid w:val="00E54BB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5" w:uiPriority="39"/>
    <w:lsdException w:name="footnote text" w:qFormat="1"/>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0"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03F7F"/>
    <w:pPr>
      <w:keepNext/>
      <w:jc w:val="center"/>
      <w:outlineLvl w:val="6"/>
    </w:pPr>
    <w:rPr>
      <w:b/>
      <w:szCs w:val="22"/>
      <w:u w:val="single"/>
    </w:rPr>
  </w:style>
  <w:style w:type="paragraph" w:styleId="Heading8">
    <w:name w:val="heading 8"/>
    <w:basedOn w:val="Normal"/>
    <w:next w:val="Normal"/>
    <w:link w:val="Heading8Char"/>
    <w:uiPriority w:val="9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059A"/>
    <w:rPr>
      <w:rFonts w:ascii="Times New Roman Bold" w:hAnsi="Times New Roman Bold" w:cs="Times New Roman"/>
      <w:b/>
      <w:bCs/>
      <w:caps/>
      <w:sz w:val="24"/>
      <w:szCs w:val="24"/>
    </w:rPr>
  </w:style>
  <w:style w:type="character" w:customStyle="1" w:styleId="Heading2Char">
    <w:name w:val="Heading 2 Char"/>
    <w:basedOn w:val="DefaultParagraphFont"/>
    <w:link w:val="Heading2"/>
    <w:uiPriority w:val="99"/>
    <w:locked/>
    <w:rsid w:val="00A20F7A"/>
    <w:rPr>
      <w:rFonts w:cs="Arial"/>
      <w:b/>
      <w:bCs/>
      <w:iCs/>
      <w:sz w:val="28"/>
      <w:szCs w:val="28"/>
    </w:rPr>
  </w:style>
  <w:style w:type="character" w:customStyle="1" w:styleId="Heading3Char">
    <w:name w:val="Heading 3 Char"/>
    <w:basedOn w:val="DefaultParagraphFont"/>
    <w:link w:val="Heading3"/>
    <w:uiPriority w:val="99"/>
    <w:locked/>
    <w:rsid w:val="00435077"/>
    <w:rPr>
      <w:rFonts w:cs="Arial"/>
      <w:b/>
      <w:bCs/>
      <w:i/>
      <w:iCs/>
      <w:sz w:val="24"/>
      <w:lang w:val="en-CA"/>
    </w:rPr>
  </w:style>
  <w:style w:type="character" w:customStyle="1" w:styleId="Heading4Char">
    <w:name w:val="Heading 4 Char"/>
    <w:basedOn w:val="DefaultParagraphFont"/>
    <w:link w:val="Heading4"/>
    <w:uiPriority w:val="99"/>
    <w:locked/>
    <w:rsid w:val="00435077"/>
    <w:rPr>
      <w:rFonts w:ascii="Arial" w:hAnsi="Arial" w:cs="Arial"/>
      <w:b/>
      <w:bCs/>
    </w:rPr>
  </w:style>
  <w:style w:type="character" w:customStyle="1" w:styleId="Heading5Char">
    <w:name w:val="Heading 5 Char"/>
    <w:basedOn w:val="DefaultParagraphFont"/>
    <w:link w:val="Heading5"/>
    <w:uiPriority w:val="99"/>
    <w:locked/>
    <w:rsid w:val="00435077"/>
    <w:rPr>
      <w:rFonts w:ascii="Arial" w:hAnsi="Arial" w:cs="Arial"/>
      <w:b/>
      <w:bCs/>
      <w:sz w:val="20"/>
      <w:szCs w:val="20"/>
      <w:u w:val="single"/>
    </w:rPr>
  </w:style>
  <w:style w:type="character" w:customStyle="1" w:styleId="Heading6Char">
    <w:name w:val="Heading 6 Char"/>
    <w:basedOn w:val="DefaultParagraphFont"/>
    <w:link w:val="Heading6"/>
    <w:uiPriority w:val="99"/>
    <w:locked/>
    <w:rsid w:val="00435077"/>
    <w:rPr>
      <w:rFonts w:ascii="Arial" w:hAnsi="Arial" w:cs="Arial"/>
      <w:b/>
      <w:bCs/>
      <w:sz w:val="24"/>
      <w:szCs w:val="24"/>
    </w:rPr>
  </w:style>
  <w:style w:type="character" w:customStyle="1" w:styleId="Heading7Char">
    <w:name w:val="Heading 7 Char"/>
    <w:basedOn w:val="DefaultParagraphFont"/>
    <w:link w:val="Heading7"/>
    <w:uiPriority w:val="99"/>
    <w:locked/>
    <w:rsid w:val="00003F7F"/>
    <w:rPr>
      <w:rFonts w:cs="Times New Roman"/>
      <w:b/>
      <w:snapToGrid w:val="0"/>
      <w:sz w:val="24"/>
      <w:u w:val="single"/>
      <w:lang w:val="en-US" w:eastAsia="en-US" w:bidi="ar-SA"/>
    </w:rPr>
  </w:style>
  <w:style w:type="character" w:customStyle="1" w:styleId="Heading8Char">
    <w:name w:val="Heading 8 Char"/>
    <w:basedOn w:val="DefaultParagraphFont"/>
    <w:link w:val="Heading8"/>
    <w:uiPriority w:val="99"/>
    <w:locked/>
    <w:rsid w:val="00435077"/>
    <w:rPr>
      <w:rFonts w:ascii="Arial" w:hAnsi="Arial" w:cs="Arial"/>
      <w:b/>
      <w:bCs/>
      <w:sz w:val="20"/>
      <w:szCs w:val="20"/>
      <w:u w:val="single"/>
    </w:rPr>
  </w:style>
  <w:style w:type="character" w:customStyle="1" w:styleId="Heading9Char">
    <w:name w:val="Heading 9 Char"/>
    <w:basedOn w:val="DefaultParagraphFont"/>
    <w:link w:val="Heading9"/>
    <w:uiPriority w:val="99"/>
    <w:locked/>
    <w:rsid w:val="00435077"/>
    <w:rPr>
      <w:rFonts w:ascii="Arial" w:hAnsi="Arial" w:cs="Arial"/>
      <w:b/>
      <w:bCs/>
      <w:sz w:val="20"/>
      <w:szCs w:val="20"/>
      <w:u w:val="single"/>
    </w:rPr>
  </w:style>
  <w:style w:type="paragraph" w:styleId="BodyText">
    <w:name w:val="Body Text"/>
    <w:basedOn w:val="Normal"/>
    <w:link w:val="BodyTextChar"/>
    <w:uiPriority w:val="99"/>
    <w:rsid w:val="00A9639B"/>
    <w:pPr>
      <w:spacing w:before="120" w:after="120"/>
      <w:ind w:firstLine="720"/>
    </w:pPr>
  </w:style>
  <w:style w:type="character" w:customStyle="1" w:styleId="BodyTextChar">
    <w:name w:val="Body Text Char"/>
    <w:basedOn w:val="DefaultParagraphFont"/>
    <w:link w:val="BodyText"/>
    <w:uiPriority w:val="99"/>
    <w:locked/>
    <w:rsid w:val="001037D5"/>
    <w:rPr>
      <w:rFonts w:cs="Times New Roman"/>
      <w:sz w:val="24"/>
      <w:lang w:val="en-US" w:eastAsia="en-US" w:bidi="ar-SA"/>
    </w:rPr>
  </w:style>
  <w:style w:type="character" w:customStyle="1" w:styleId="CharChar">
    <w:name w:val="Char Char"/>
    <w:basedOn w:val="DefaultParagraphFont"/>
    <w:uiPriority w:val="99"/>
    <w:rsid w:val="00A9639B"/>
    <w:rPr>
      <w:rFonts w:cs="Times New Roman"/>
      <w:sz w:val="24"/>
      <w:lang w:val="en-US" w:eastAsia="en-US" w:bidi="ar-SA"/>
    </w:rPr>
  </w:style>
  <w:style w:type="character" w:customStyle="1" w:styleId="Heading1CharChar">
    <w:name w:val="Heading 1 Char Char"/>
    <w:basedOn w:val="DefaultParagraphFont"/>
    <w:uiPriority w:val="99"/>
    <w:rsid w:val="00A9639B"/>
    <w:rPr>
      <w:rFonts w:ascii="Arial" w:hAnsi="Arial" w:cs="Arial"/>
      <w:b/>
      <w:sz w:val="28"/>
      <w:lang w:val="en-US" w:eastAsia="en-US" w:bidi="ar-SA"/>
    </w:rPr>
  </w:style>
  <w:style w:type="character" w:customStyle="1" w:styleId="Heading2CharChar">
    <w:name w:val="Heading 2 Char Char"/>
    <w:basedOn w:val="DefaultParagraphFont"/>
    <w:uiPriority w:val="99"/>
    <w:rsid w:val="00A9639B"/>
    <w:rPr>
      <w:rFonts w:ascii="Arial" w:hAnsi="Arial" w:cs="Arial"/>
      <w:b/>
      <w:bCs/>
      <w:iCs/>
      <w:sz w:val="28"/>
      <w:szCs w:val="28"/>
      <w:lang w:val="en-US" w:eastAsia="en-US" w:bidi="ar-SA"/>
    </w:rPr>
  </w:style>
  <w:style w:type="paragraph" w:styleId="BalloonText">
    <w:name w:val="Balloon Text"/>
    <w:basedOn w:val="Normal"/>
    <w:link w:val="BalloonTextChar"/>
    <w:uiPriority w:val="99"/>
    <w:semiHidden/>
    <w:rsid w:val="00003F7F"/>
    <w:pPr>
      <w:numPr>
        <w:numId w:val="17"/>
      </w:numPr>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5077"/>
    <w:rPr>
      <w:rFonts w:ascii="Tahoma" w:hAnsi="Tahoma" w:cs="Tahoma"/>
      <w:sz w:val="16"/>
      <w:szCs w:val="16"/>
    </w:rPr>
  </w:style>
  <w:style w:type="character" w:styleId="FootnoteReference">
    <w:name w:val="footnote reference"/>
    <w:aliases w:val="fr,footnote reference"/>
    <w:basedOn w:val="DefaultParagraphFont"/>
    <w:uiPriority w:val="99"/>
    <w:rsid w:val="00003F7F"/>
    <w:rPr>
      <w:rFonts w:ascii="Courier New" w:hAnsi="Courier New" w:cs="Courier New"/>
      <w:sz w:val="24"/>
      <w:szCs w:val="24"/>
    </w:rPr>
  </w:style>
  <w:style w:type="paragraph" w:styleId="FootnoteText">
    <w:name w:val="footnote text"/>
    <w:aliases w:val="ft,fo,footnote text 9 pt,ft9,footnote text,F1"/>
    <w:basedOn w:val="Normal"/>
    <w:link w:val="FootnoteTextChar1"/>
    <w:uiPriority w:val="99"/>
    <w:qFormat/>
    <w:rsid w:val="00003F7F"/>
    <w:pPr>
      <w:widowControl w:val="0"/>
    </w:pPr>
    <w:rPr>
      <w:rFonts w:ascii="Courier New" w:hAnsi="Courier New" w:cs="Courier New"/>
    </w:rPr>
  </w:style>
  <w:style w:type="character" w:customStyle="1" w:styleId="FootnoteTextChar">
    <w:name w:val="Footnote Text Char"/>
    <w:aliases w:val="ft Char,fo Char,footnote text 9 pt Char,ft9 Char,footnote text Char,F1 Char"/>
    <w:basedOn w:val="DefaultParagraphFont"/>
    <w:uiPriority w:val="99"/>
    <w:locked/>
    <w:rsid w:val="00435077"/>
    <w:rPr>
      <w:rFonts w:cs="Times New Roman"/>
    </w:rPr>
  </w:style>
  <w:style w:type="character" w:customStyle="1" w:styleId="FootnoteTextChar1">
    <w:name w:val="Footnote Text Char1"/>
    <w:aliases w:val="ft Char1,fo Char1,footnote text 9 pt Char1,ft9 Char1,footnote text Char1,F1 Char1"/>
    <w:basedOn w:val="DefaultParagraphFont"/>
    <w:link w:val="FootnoteText"/>
    <w:uiPriority w:val="99"/>
    <w:locked/>
    <w:rsid w:val="0087325E"/>
    <w:rPr>
      <w:rFonts w:ascii="Courier New" w:hAnsi="Courier New" w:cs="Courier New"/>
      <w:sz w:val="24"/>
      <w:szCs w:val="24"/>
    </w:rPr>
  </w:style>
  <w:style w:type="paragraph" w:customStyle="1" w:styleId="Bullet1">
    <w:name w:val="Bullet1"/>
    <w:basedOn w:val="Normal"/>
    <w:uiPriority w:val="99"/>
    <w:rsid w:val="00A9639B"/>
    <w:pPr>
      <w:numPr>
        <w:numId w:val="6"/>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basedOn w:val="DefaultParagraphFont"/>
    <w:uiPriority w:val="99"/>
    <w:rsid w:val="00A9639B"/>
    <w:rPr>
      <w:rFonts w:ascii="Arial" w:hAnsi="Arial" w:cs="Times New Roman"/>
      <w:lang w:val="en-US" w:eastAsia="en-US" w:bidi="ar-SA"/>
    </w:rPr>
  </w:style>
  <w:style w:type="paragraph" w:customStyle="1" w:styleId="tabletitle-continued">
    <w:name w:val="table title - continued"/>
    <w:basedOn w:val="TableTitle"/>
    <w:link w:val="tabletitle-continuedChar"/>
    <w:uiPriority w:val="99"/>
    <w:rsid w:val="00571102"/>
    <w:pPr>
      <w:ind w:left="1037" w:hanging="1037"/>
    </w:pPr>
  </w:style>
  <w:style w:type="paragraph" w:customStyle="1" w:styleId="TableTitle">
    <w:name w:val="Table Title"/>
    <w:basedOn w:val="Normal"/>
    <w:link w:val="TableTitleChar1"/>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basedOn w:val="DefaultParagraphFont"/>
    <w:uiPriority w:val="99"/>
    <w:rsid w:val="00A9639B"/>
    <w:rPr>
      <w:rFonts w:ascii="Arial" w:hAnsi="Arial" w:cs="Times New Roman"/>
      <w:b/>
      <w:lang w:val="en-US" w:eastAsia="en-US" w:bidi="ar-SA"/>
    </w:rPr>
  </w:style>
  <w:style w:type="paragraph" w:styleId="TOC1">
    <w:name w:val="toc 1"/>
    <w:basedOn w:val="Normal"/>
    <w:next w:val="Normal"/>
    <w:autoRedefine/>
    <w:uiPriority w:val="39"/>
    <w:rsid w:val="00003F7F"/>
    <w:pPr>
      <w:tabs>
        <w:tab w:val="right" w:leader="dot" w:pos="9350"/>
      </w:tabs>
      <w:spacing w:before="240" w:after="120"/>
      <w:ind w:left="720" w:hanging="360"/>
    </w:pPr>
    <w:rPr>
      <w:noProof/>
    </w:rPr>
  </w:style>
  <w:style w:type="paragraph" w:styleId="TOC2">
    <w:name w:val="toc 2"/>
    <w:basedOn w:val="Normal"/>
    <w:next w:val="Normal"/>
    <w:autoRedefine/>
    <w:uiPriority w:val="39"/>
    <w:rsid w:val="00003F7F"/>
    <w:pPr>
      <w:tabs>
        <w:tab w:val="right" w:leader="dot" w:pos="9350"/>
      </w:tabs>
      <w:spacing w:before="120" w:after="120"/>
      <w:ind w:left="1350" w:hanging="630"/>
    </w:pPr>
    <w:rPr>
      <w:noProof/>
    </w:rPr>
  </w:style>
  <w:style w:type="paragraph" w:styleId="TOC3">
    <w:name w:val="toc 3"/>
    <w:basedOn w:val="Normal"/>
    <w:next w:val="Normal"/>
    <w:uiPriority w:val="39"/>
    <w:rsid w:val="00003F7F"/>
    <w:pPr>
      <w:tabs>
        <w:tab w:val="right" w:leader="dot" w:pos="9360"/>
      </w:tabs>
      <w:spacing w:before="80" w:after="40"/>
      <w:ind w:left="2340" w:right="720" w:hanging="900"/>
    </w:pPr>
    <w:rPr>
      <w:noProof/>
      <w:szCs w:val="20"/>
    </w:rPr>
  </w:style>
  <w:style w:type="paragraph" w:styleId="TOC4">
    <w:name w:val="toc 4"/>
    <w:basedOn w:val="Normal"/>
    <w:next w:val="Normal"/>
    <w:uiPriority w:val="99"/>
    <w:rsid w:val="00003F7F"/>
    <w:pPr>
      <w:tabs>
        <w:tab w:val="right" w:leader="dot" w:pos="9360"/>
      </w:tabs>
      <w:spacing w:before="60"/>
      <w:ind w:left="3240" w:hanging="720"/>
    </w:pPr>
    <w:rPr>
      <w:szCs w:val="20"/>
    </w:rPr>
  </w:style>
  <w:style w:type="paragraph" w:styleId="TOC5">
    <w:name w:val="toc 5"/>
    <w:basedOn w:val="Normal"/>
    <w:next w:val="Normal"/>
    <w:uiPriority w:val="3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uiPriority w:val="99"/>
    <w:rsid w:val="00D1268A"/>
    <w:pPr>
      <w:tabs>
        <w:tab w:val="num" w:pos="1080"/>
      </w:tabs>
      <w:spacing w:before="120" w:after="120"/>
      <w:ind w:left="1080" w:hanging="360"/>
    </w:pPr>
    <w:rPr>
      <w:rFonts w:cs="Arial"/>
    </w:rPr>
  </w:style>
  <w:style w:type="character" w:customStyle="1" w:styleId="bulletroundCharChar">
    <w:name w:val="bullet round Char Char"/>
    <w:basedOn w:val="DefaultParagraphFont"/>
    <w:uiPriority w:val="99"/>
    <w:rsid w:val="00A9639B"/>
    <w:rPr>
      <w:rFonts w:cs="Arial"/>
      <w:sz w:val="24"/>
      <w:lang w:val="en-US" w:eastAsia="en-US" w:bidi="ar-SA"/>
    </w:rPr>
  </w:style>
  <w:style w:type="paragraph" w:customStyle="1" w:styleId="Number1">
    <w:name w:val="Number1"/>
    <w:uiPriority w:val="99"/>
    <w:semiHidden/>
    <w:rsid w:val="00A9639B"/>
    <w:pPr>
      <w:tabs>
        <w:tab w:val="num" w:pos="1080"/>
      </w:tabs>
      <w:spacing w:before="240"/>
      <w:ind w:left="1080" w:hanging="360"/>
    </w:pPr>
    <w:rPr>
      <w:sz w:val="24"/>
      <w:szCs w:val="20"/>
    </w:rPr>
  </w:style>
  <w:style w:type="paragraph" w:customStyle="1" w:styleId="Figuretitle">
    <w:name w:val="Figure title"/>
    <w:basedOn w:val="Normal"/>
    <w:autoRedefine/>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rsid w:val="00A9639B"/>
    <w:rPr>
      <w:rFonts w:ascii="Arial" w:hAnsi="Arial" w:cs="Times New Roman"/>
      <w:smallCaps/>
      <w:noProof/>
      <w:sz w:val="18"/>
      <w:szCs w:val="18"/>
      <w:lang w:val="en-US" w:eastAsia="en-US" w:bidi="ar-SA"/>
    </w:rPr>
  </w:style>
  <w:style w:type="character" w:styleId="PageNumber">
    <w:name w:val="page number"/>
    <w:basedOn w:val="DefaultParagraphFont"/>
    <w:uiPriority w:val="99"/>
    <w:rsid w:val="00003F7F"/>
    <w:rPr>
      <w:rFonts w:ascii="Times New Roman" w:hAnsi="Times New Roman" w:cs="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basedOn w:val="DefaultParagraphFont"/>
    <w:uiPriority w:val="99"/>
    <w:rsid w:val="00A9639B"/>
    <w:rPr>
      <w:rFonts w:ascii="Arial" w:hAnsi="Arial" w:cs="Times New Roman"/>
      <w:sz w:val="18"/>
      <w:szCs w:val="18"/>
      <w:lang w:val="en-US" w:eastAsia="en-US" w:bidi="ar-SA"/>
    </w:rPr>
  </w:style>
  <w:style w:type="paragraph" w:styleId="Footer">
    <w:name w:val="footer"/>
    <w:basedOn w:val="Normal"/>
    <w:link w:val="FooterChar"/>
    <w:uiPriority w:val="99"/>
    <w:rsid w:val="00003F7F"/>
    <w:pPr>
      <w:tabs>
        <w:tab w:val="center" w:pos="4320"/>
        <w:tab w:val="right" w:pos="8640"/>
      </w:tabs>
      <w:jc w:val="center"/>
    </w:pPr>
    <w:rPr>
      <w:szCs w:val="20"/>
    </w:rPr>
  </w:style>
  <w:style w:type="character" w:customStyle="1" w:styleId="FooterChar">
    <w:name w:val="Footer Char"/>
    <w:basedOn w:val="DefaultParagraphFont"/>
    <w:link w:val="Footer"/>
    <w:uiPriority w:val="99"/>
    <w:locked/>
    <w:rsid w:val="00003F7F"/>
    <w:rPr>
      <w:rFonts w:cs="Times New Roman"/>
      <w:sz w:val="20"/>
      <w:szCs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basedOn w:val="DefaultParagraphFont"/>
    <w:link w:val="Header"/>
    <w:uiPriority w:val="99"/>
    <w:locked/>
    <w:rsid w:val="00003F7F"/>
    <w:rPr>
      <w:rFonts w:cs="Times New Roman"/>
      <w:i/>
      <w:iCs/>
      <w:sz w:val="18"/>
      <w:szCs w:val="18"/>
    </w:rPr>
  </w:style>
  <w:style w:type="paragraph" w:customStyle="1" w:styleId="figurewobox">
    <w:name w:val="figure w/o box"/>
    <w:basedOn w:val="Normal"/>
    <w:rsid w:val="00003F7F"/>
    <w:pPr>
      <w:keepNext/>
      <w:spacing w:before="240"/>
      <w:jc w:val="center"/>
    </w:pPr>
    <w:rPr>
      <w:szCs w:val="20"/>
    </w:rPr>
  </w:style>
  <w:style w:type="paragraph" w:styleId="ListBullet">
    <w:name w:val="List Bullet"/>
    <w:basedOn w:val="Normal"/>
    <w:autoRedefine/>
    <w:uiPriority w:val="99"/>
    <w:rsid w:val="00A9639B"/>
    <w:pPr>
      <w:numPr>
        <w:numId w:val="15"/>
      </w:numPr>
    </w:pPr>
  </w:style>
  <w:style w:type="paragraph" w:styleId="TableofFigures">
    <w:name w:val="table of figures"/>
    <w:basedOn w:val="Normal"/>
    <w:next w:val="Normal"/>
    <w:uiPriority w:val="99"/>
    <w:semiHidden/>
    <w:rsid w:val="00A9639B"/>
  </w:style>
  <w:style w:type="paragraph" w:customStyle="1" w:styleId="ESHeading2">
    <w:name w:val="ES Heading 2"/>
    <w:basedOn w:val="Heading2"/>
    <w:uiPriority w:val="99"/>
    <w:rsid w:val="00A9639B"/>
  </w:style>
  <w:style w:type="character" w:styleId="CommentReference">
    <w:name w:val="annotation reference"/>
    <w:basedOn w:val="DefaultParagraphFont"/>
    <w:uiPriority w:val="99"/>
    <w:semiHidden/>
    <w:rsid w:val="00A9639B"/>
    <w:rPr>
      <w:rFonts w:cs="Times New Roman"/>
      <w:sz w:val="16"/>
      <w:szCs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basedOn w:val="DefaultParagraphFont"/>
    <w:link w:val="CommentText"/>
    <w:uiPriority w:val="99"/>
    <w:semiHidden/>
    <w:locked/>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basedOn w:val="CommentTextChar"/>
    <w:link w:val="CommentSubject"/>
    <w:uiPriority w:val="99"/>
    <w:semiHidden/>
    <w:locked/>
    <w:rsid w:val="00435077"/>
    <w:rPr>
      <w:rFonts w:cs="Times New Roman"/>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basedOn w:val="DefaultParagraphFont"/>
    <w:uiPriority w:val="99"/>
    <w:rsid w:val="00003F7F"/>
    <w:rPr>
      <w:rFonts w:cs="Times New Roman"/>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99"/>
    <w:qFormat/>
    <w:rsid w:val="00003F7F"/>
    <w:pPr>
      <w:ind w:left="-270"/>
      <w:jc w:val="center"/>
    </w:pPr>
    <w:rPr>
      <w:b/>
      <w:bCs/>
    </w:rPr>
  </w:style>
  <w:style w:type="character" w:customStyle="1" w:styleId="TitleChar">
    <w:name w:val="Title Char"/>
    <w:basedOn w:val="DefaultParagraphFont"/>
    <w:link w:val="Title"/>
    <w:uiPriority w:val="99"/>
    <w:locked/>
    <w:rsid w:val="00435077"/>
    <w:rPr>
      <w:rFonts w:cs="Times New Roman"/>
      <w:b/>
      <w:bCs/>
      <w:sz w:val="24"/>
      <w:szCs w:val="24"/>
    </w:rPr>
  </w:style>
  <w:style w:type="paragraph" w:customStyle="1" w:styleId="3ensptotalnosubgroup">
    <w:name w:val="3 en sp (total no subgroup)"/>
    <w:basedOn w:val="4enspsubgroup2"/>
    <w:uiPriority w:val="99"/>
    <w:rsid w:val="00571102"/>
    <w:pPr>
      <w:ind w:left="677"/>
    </w:pPr>
    <w:rPr>
      <w:rFonts w:eastAsia="Arial Unicode MS"/>
    </w:r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basedOn w:val="TabletextChar"/>
    <w:uiPriority w:val="99"/>
    <w:rsid w:val="00A9639B"/>
    <w:rPr>
      <w:rFonts w:ascii="Arial" w:hAnsi="Arial" w:cs="Times New Roman"/>
      <w:lang w:val="en-US" w:eastAsia="en-US" w:bidi="ar-SA"/>
    </w:rPr>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uiPriority w:val="99"/>
    <w:rsid w:val="00A9639B"/>
    <w:rPr>
      <w:rFonts w:ascii="Arial" w:hAnsi="Arial" w:cs="Times New Roman"/>
      <w:smallCaps/>
      <w:sz w:val="22"/>
      <w:szCs w:val="22"/>
      <w:lang w:val="en-US" w:eastAsia="en-US" w:bidi="ar-SA"/>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basedOn w:val="DefaultParagraphFont"/>
    <w:uiPriority w:val="99"/>
    <w:rsid w:val="00A9639B"/>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35077"/>
    <w:rPr>
      <w:rFonts w:ascii="Tahoma" w:hAnsi="Tahoma" w:cs="Tahoma"/>
      <w:sz w:val="24"/>
      <w:szCs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rsid w:val="00A9639B"/>
    <w:pPr>
      <w:keepLines/>
      <w:spacing w:after="240"/>
      <w:ind w:left="360" w:hanging="360"/>
    </w:pPr>
    <w:rPr>
      <w:kern w:val="2"/>
    </w:rPr>
  </w:style>
  <w:style w:type="paragraph" w:styleId="TOCHeading">
    <w:name w:val="TOC Heading"/>
    <w:basedOn w:val="Heading1"/>
    <w:uiPriority w:val="99"/>
    <w:qFormat/>
    <w:rsid w:val="00A9639B"/>
    <w:pPr>
      <w:keepLines/>
      <w:spacing w:before="0" w:after="360"/>
      <w:outlineLvl w:val="9"/>
    </w:pPr>
    <w:rPr>
      <w:rFonts w:ascii="Arial" w:hAnsi="Arial" w:cs="Arial"/>
      <w:bCs w:val="0"/>
      <w:caps w:val="0"/>
      <w:sz w:val="32"/>
      <w:szCs w:val="20"/>
    </w:rPr>
  </w:style>
  <w:style w:type="character" w:customStyle="1" w:styleId="CharChar5">
    <w:name w:val="Char Char5"/>
    <w:basedOn w:val="DefaultParagraphFont"/>
    <w:uiPriority w:val="99"/>
    <w:semiHidden/>
    <w:locked/>
    <w:rsid w:val="00A9639B"/>
    <w:rPr>
      <w:rFonts w:cs="Times New Roman"/>
      <w:sz w:val="24"/>
      <w:lang w:val="en-US" w:eastAsia="en-US" w:bidi="ar-SA"/>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uiPriority w:val="99"/>
    <w:rsid w:val="00003F7F"/>
    <w:pPr>
      <w:jc w:val="right"/>
    </w:pPr>
    <w:rPr>
      <w:rFonts w:ascii="Arial" w:hAnsi="Arial"/>
      <w:szCs w:val="20"/>
    </w:rPr>
  </w:style>
  <w:style w:type="paragraph" w:customStyle="1" w:styleId="Bodytextnoindent">
    <w:name w:val="Body text no indent"/>
    <w:basedOn w:val="BodyTextIndent"/>
    <w:uiPriority w:val="99"/>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basedOn w:val="NCESoddfooterChar"/>
    <w:uiPriority w:val="99"/>
    <w:rsid w:val="00A9639B"/>
    <w:rPr>
      <w:rFonts w:ascii="Arial" w:hAnsi="Arial" w:cs="Times New Roman"/>
      <w:smallCaps/>
      <w:sz w:val="22"/>
      <w:szCs w:val="22"/>
      <w:lang w:val="en-US" w:eastAsia="en-US" w:bidi="ar-SA"/>
    </w:rPr>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uiPriority w:val="99"/>
    <w:rsid w:val="00003F7F"/>
    <w:pPr>
      <w:jc w:val="right"/>
    </w:pPr>
    <w:rPr>
      <w:rFonts w:ascii="Arial Black" w:hAnsi="Arial Black"/>
      <w:szCs w:val="20"/>
    </w:rPr>
  </w:style>
  <w:style w:type="paragraph" w:customStyle="1" w:styleId="Cov-Date">
    <w:name w:val="Cov-Date"/>
    <w:basedOn w:val="Normal"/>
    <w:uiPriority w:val="99"/>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uiPriority w:val="99"/>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qFormat/>
    <w:rsid w:val="00A9639B"/>
    <w:pPr>
      <w:ind w:left="720" w:right="720" w:firstLine="0"/>
    </w:pPr>
    <w:rPr>
      <w:iCs/>
      <w:sz w:val="22"/>
    </w:rPr>
  </w:style>
  <w:style w:type="character" w:customStyle="1" w:styleId="QuoteChar">
    <w:name w:val="Quote Char"/>
    <w:basedOn w:val="DefaultParagraphFont"/>
    <w:link w:val="Quote"/>
    <w:uiPriority w:val="99"/>
    <w:locked/>
    <w:rsid w:val="00435077"/>
    <w:rPr>
      <w:rFonts w:cs="Times New Roman"/>
      <w:i/>
      <w:iCs/>
      <w:color w:val="000000"/>
      <w:sz w:val="24"/>
      <w:szCs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9"/>
      </w:numPr>
      <w:tabs>
        <w:tab w:val="clear" w:pos="720"/>
      </w:tabs>
      <w:spacing w:after="120"/>
      <w:ind w:left="1440"/>
    </w:pPr>
    <w:rPr>
      <w:sz w:val="24"/>
      <w:szCs w:val="20"/>
    </w:rPr>
  </w:style>
  <w:style w:type="character" w:styleId="Emphasis">
    <w:name w:val="Emphasis"/>
    <w:basedOn w:val="DefaultParagraphFont"/>
    <w:uiPriority w:val="99"/>
    <w:qFormat/>
    <w:rsid w:val="00003F7F"/>
    <w:rPr>
      <w:rFonts w:cs="Times New Roman"/>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basedOn w:val="DefaultParagraphFont"/>
    <w:link w:val="BodyText2"/>
    <w:uiPriority w:val="99"/>
    <w:semiHidden/>
    <w:locked/>
    <w:rsid w:val="00435077"/>
    <w:rPr>
      <w:rFonts w:cs="Times New Roman"/>
      <w:sz w:val="24"/>
      <w:szCs w:val="24"/>
    </w:rPr>
  </w:style>
  <w:style w:type="character" w:customStyle="1" w:styleId="CharChar1">
    <w:name w:val="Char Char1"/>
    <w:basedOn w:val="DefaultParagraphFont"/>
    <w:uiPriority w:val="99"/>
    <w:semiHidden/>
    <w:rsid w:val="00A9639B"/>
    <w:rPr>
      <w:rFonts w:ascii="Arial" w:hAnsi="Arial" w:cs="Arial"/>
      <w:b/>
      <w:bCs/>
      <w:sz w:val="24"/>
      <w:szCs w:val="24"/>
      <w:lang w:val="en-US" w:eastAsia="en-US" w:bidi="ar-SA"/>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sz w:val="20"/>
      <w:szCs w:val="20"/>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basedOn w:val="DefaultParagraphFont"/>
    <w:link w:val="BodyTextIndent"/>
    <w:uiPriority w:val="99"/>
    <w:semiHidden/>
    <w:locked/>
    <w:rsid w:val="00435077"/>
    <w:rPr>
      <w:rFonts w:cs="Times New Roman"/>
      <w:sz w:val="24"/>
      <w:szCs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basedOn w:val="DefaultParagraphFont"/>
    <w:link w:val="BodyTextIndent2"/>
    <w:uiPriority w:val="99"/>
    <w:semiHidden/>
    <w:locked/>
    <w:rsid w:val="00435077"/>
    <w:rPr>
      <w:rFonts w:cs="Times New Roman"/>
      <w:sz w:val="24"/>
      <w:szCs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basedOn w:val="DefaultParagraphFont"/>
    <w:link w:val="BodyTextIndent3"/>
    <w:uiPriority w:val="99"/>
    <w:semiHidden/>
    <w:locked/>
    <w:rsid w:val="00435077"/>
    <w:rPr>
      <w:rFonts w:cs="Times New Roman"/>
      <w:sz w:val="16"/>
      <w:szCs w:val="16"/>
    </w:rPr>
  </w:style>
  <w:style w:type="paragraph" w:customStyle="1" w:styleId="Bodytextnoindent0">
    <w:name w:val="Body text_no indent"/>
    <w:uiPriority w:val="99"/>
    <w:rsid w:val="00A9639B"/>
    <w:pPr>
      <w:spacing w:line="300" w:lineRule="atLeast"/>
    </w:pPr>
    <w:rPr>
      <w:sz w:val="24"/>
      <w:szCs w:val="20"/>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10"/>
      </w:numPr>
      <w:spacing w:before="240" w:after="120"/>
    </w:pPr>
    <w:rPr>
      <w:szCs w:val="20"/>
    </w:rPr>
  </w:style>
  <w:style w:type="paragraph" w:customStyle="1" w:styleId="bullets">
    <w:name w:val="bullets"/>
    <w:basedOn w:val="Normal"/>
    <w:uiPriority w:val="99"/>
    <w:rsid w:val="00B313A7"/>
    <w:pPr>
      <w:numPr>
        <w:numId w:val="18"/>
      </w:numPr>
      <w:spacing w:after="120" w:line="240" w:lineRule="exact"/>
      <w:ind w:left="1080"/>
    </w:pPr>
    <w:rPr>
      <w:color w:val="000000"/>
    </w:rPr>
  </w:style>
  <w:style w:type="paragraph" w:customStyle="1" w:styleId="ExhibitTitle">
    <w:name w:val="Exhibit Title"/>
    <w:next w:val="Normal"/>
    <w:uiPriority w:val="99"/>
    <w:rsid w:val="00B313A7"/>
    <w:pPr>
      <w:keepNext/>
      <w:spacing w:before="240" w:after="120"/>
      <w:ind w:left="1440" w:hanging="1440"/>
    </w:pPr>
    <w:rPr>
      <w:b/>
      <w:sz w:val="24"/>
      <w:szCs w:val="20"/>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basedOn w:val="DefaultParagraphFont"/>
    <w:uiPriority w:val="99"/>
    <w:rsid w:val="00A9639B"/>
    <w:rPr>
      <w:rFonts w:cs="Times New Roman"/>
      <w:sz w:val="24"/>
      <w:szCs w:val="24"/>
      <w:lang w:val="en-US" w:eastAsia="en-US" w:bidi="ar-SA"/>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basedOn w:val="DefaultParagraphFont"/>
    <w:uiPriority w:val="99"/>
    <w:qFormat/>
    <w:rsid w:val="00003F7F"/>
    <w:rPr>
      <w:rFonts w:cs="Times New Roman"/>
      <w:b/>
      <w:bCs/>
    </w:rPr>
  </w:style>
  <w:style w:type="character" w:customStyle="1" w:styleId="CharChar2">
    <w:name w:val="Char Char2"/>
    <w:basedOn w:val="DefaultParagraphFont"/>
    <w:uiPriority w:val="99"/>
    <w:rsid w:val="00A9639B"/>
    <w:rPr>
      <w:rFonts w:ascii="Arial" w:hAnsi="Arial" w:cs="Arial"/>
      <w:b/>
      <w:bCs/>
      <w:sz w:val="24"/>
      <w:szCs w:val="24"/>
      <w:lang w:val="en-US" w:eastAsia="en-US" w:bidi="ar-SA"/>
    </w:rPr>
  </w:style>
  <w:style w:type="character" w:customStyle="1" w:styleId="CharChar4">
    <w:name w:val="Char Char4"/>
    <w:basedOn w:val="DefaultParagraphFont"/>
    <w:uiPriority w:val="99"/>
    <w:locked/>
    <w:rsid w:val="00A9639B"/>
    <w:rPr>
      <w:rFonts w:ascii="Arial" w:hAnsi="Arial" w:cs="Arial"/>
      <w:b/>
      <w:sz w:val="28"/>
      <w:lang w:val="en-US" w:eastAsia="en-US" w:bidi="ar-SA"/>
    </w:rPr>
  </w:style>
  <w:style w:type="character" w:customStyle="1" w:styleId="CharChar3">
    <w:name w:val="Char Char3"/>
    <w:basedOn w:val="DefaultParagraphFont"/>
    <w:uiPriority w:val="99"/>
    <w:locked/>
    <w:rsid w:val="00A9639B"/>
    <w:rPr>
      <w:rFonts w:ascii="Arial" w:hAnsi="Arial" w:cs="Arial"/>
      <w:b/>
      <w:bCs/>
      <w:iCs/>
      <w:sz w:val="28"/>
      <w:szCs w:val="28"/>
      <w:lang w:val="en-US" w:eastAsia="en-US" w:bidi="ar-SA"/>
    </w:rPr>
  </w:style>
  <w:style w:type="character" w:customStyle="1" w:styleId="bulletroundChar">
    <w:name w:val="bullet round Char"/>
    <w:basedOn w:val="DefaultParagraphFont"/>
    <w:uiPriority w:val="99"/>
    <w:locked/>
    <w:rsid w:val="00A9639B"/>
    <w:rPr>
      <w:rFonts w:cs="Arial"/>
      <w:sz w:val="24"/>
      <w:lang w:val="en-US" w:eastAsia="en-US" w:bidi="ar-SA"/>
    </w:rPr>
  </w:style>
  <w:style w:type="character" w:customStyle="1" w:styleId="CharChar21">
    <w:name w:val="Char Char21"/>
    <w:basedOn w:val="DefaultParagraphFont"/>
    <w:uiPriority w:val="99"/>
    <w:semiHidden/>
    <w:locked/>
    <w:rsid w:val="00A9639B"/>
    <w:rPr>
      <w:rFonts w:cs="Times New Roman"/>
      <w:sz w:val="24"/>
      <w:lang w:val="en-US" w:eastAsia="en-US" w:bidi="ar-SA"/>
    </w:rPr>
  </w:style>
  <w:style w:type="character" w:customStyle="1" w:styleId="CharChar11">
    <w:name w:val="Char Char11"/>
    <w:basedOn w:val="DefaultParagraphFont"/>
    <w:uiPriority w:val="99"/>
    <w:semiHidden/>
    <w:locked/>
    <w:rsid w:val="00A9639B"/>
    <w:rPr>
      <w:rFonts w:ascii="Arial" w:hAnsi="Arial" w:cs="Arial"/>
      <w:b/>
      <w:bCs/>
      <w:iCs/>
      <w:sz w:val="28"/>
      <w:szCs w:val="28"/>
      <w:lang w:val="en-US" w:eastAsia="en-US" w:bidi="ar-SA"/>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sz w:val="20"/>
      <w:szCs w:val="20"/>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basedOn w:val="DefaultParagraphFont"/>
    <w:link w:val="PlainText"/>
    <w:uiPriority w:val="99"/>
    <w:semiHidden/>
    <w:locked/>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uiPriority w:val="99"/>
    <w:rsid w:val="00003F7F"/>
    <w:pPr>
      <w:keepNext/>
      <w:ind w:left="360"/>
    </w:pPr>
    <w:rPr>
      <w:szCs w:val="20"/>
    </w:rPr>
  </w:style>
  <w:style w:type="paragraph" w:styleId="Index2">
    <w:name w:val="index 2"/>
    <w:basedOn w:val="Normal"/>
    <w:next w:val="Normal"/>
    <w:uiPriority w:val="99"/>
    <w:rsid w:val="00003F7F"/>
    <w:pPr>
      <w:keepNext/>
      <w:ind w:left="720"/>
    </w:pPr>
    <w:rPr>
      <w:szCs w:val="20"/>
    </w:rPr>
  </w:style>
  <w:style w:type="paragraph" w:styleId="Index3">
    <w:name w:val="index 3"/>
    <w:basedOn w:val="Normal"/>
    <w:next w:val="Normal"/>
    <w:uiPriority w:val="99"/>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basedOn w:val="DefaultParagraphFont"/>
    <w:link w:val="Subtitle"/>
    <w:uiPriority w:val="99"/>
    <w:locked/>
    <w:rsid w:val="00435077"/>
    <w:rPr>
      <w:rFonts w:ascii="Cambria" w:hAnsi="Cambria" w:cs="Times New Roman"/>
      <w:sz w:val="24"/>
      <w:szCs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szCs w:val="20"/>
    </w:rPr>
  </w:style>
  <w:style w:type="paragraph" w:styleId="List">
    <w:name w:val="List"/>
    <w:basedOn w:val="Normal"/>
    <w:uiPriority w:val="99"/>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7"/>
      </w:numPr>
      <w:tabs>
        <w:tab w:val="num" w:pos="720"/>
      </w:tabs>
      <w:ind w:left="223" w:hanging="223"/>
    </w:pPr>
  </w:style>
  <w:style w:type="paragraph" w:customStyle="1" w:styleId="Quick1">
    <w:name w:val="Quick 1."/>
    <w:basedOn w:val="Normal"/>
    <w:uiPriority w:val="99"/>
    <w:semiHidden/>
    <w:rsid w:val="00A9639B"/>
    <w:pPr>
      <w:widowControl w:val="0"/>
      <w:numPr>
        <w:numId w:val="8"/>
      </w:numPr>
      <w:tabs>
        <w:tab w:val="num" w:pos="1080"/>
      </w:tabs>
      <w:ind w:left="550" w:hanging="327"/>
    </w:pPr>
  </w:style>
  <w:style w:type="paragraph" w:customStyle="1" w:styleId="Quick">
    <w:name w:val="Quick ­"/>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uiPriority w:val="99"/>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sz w:val="20"/>
      <w:szCs w:val="20"/>
    </w:rPr>
  </w:style>
  <w:style w:type="paragraph" w:styleId="NormalWeb">
    <w:name w:val="Normal (Web)"/>
    <w:basedOn w:val="Normal"/>
    <w:uiPriority w:val="99"/>
    <w:rsid w:val="00003F7F"/>
    <w:pPr>
      <w:spacing w:before="100" w:beforeAutospacing="1" w:after="100" w:afterAutospacing="1"/>
    </w:pPr>
    <w:rPr>
      <w:rFonts w:ascii="Arial" w:hAnsi="Arial" w:cs="Arial"/>
      <w:color w:val="000000"/>
    </w:rPr>
  </w:style>
  <w:style w:type="character" w:customStyle="1" w:styleId="BlockedquoteChar">
    <w:name w:val="Blocked quote Char"/>
    <w:basedOn w:val="CharChar"/>
    <w:uiPriority w:val="99"/>
    <w:locked/>
    <w:rsid w:val="00A9639B"/>
    <w:rPr>
      <w:rFonts w:cs="Times New Roman"/>
      <w:i/>
      <w:iCs/>
      <w:sz w:val="24"/>
      <w:lang w:val="en-US" w:eastAsia="en-US" w:bidi="ar-SA"/>
    </w:rPr>
  </w:style>
  <w:style w:type="paragraph" w:customStyle="1" w:styleId="Table2">
    <w:name w:val="Table 2"/>
    <w:basedOn w:val="Tabletext"/>
    <w:uiPriority w:val="99"/>
    <w:semiHidden/>
    <w:rsid w:val="00A9639B"/>
  </w:style>
  <w:style w:type="character" w:customStyle="1" w:styleId="AppendixTitleChar">
    <w:name w:val="Appendix Title Char"/>
    <w:basedOn w:val="DefaultParagraphFont"/>
    <w:uiPriority w:val="99"/>
    <w:locked/>
    <w:rsid w:val="00A9639B"/>
    <w:rPr>
      <w:rFonts w:ascii="Arial" w:hAnsi="Arial" w:cs="Arial"/>
      <w:b/>
      <w:sz w:val="28"/>
      <w:szCs w:val="28"/>
      <w:lang w:val="en-US" w:eastAsia="en-US" w:bidi="ar-SA"/>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uiPriority w:val="99"/>
    <w:rsid w:val="00003F7F"/>
    <w:pPr>
      <w:tabs>
        <w:tab w:val="center" w:pos="4680"/>
        <w:tab w:val="right" w:pos="9360"/>
      </w:tabs>
      <w:spacing w:after="240" w:line="480" w:lineRule="atLeast"/>
      <w:ind w:firstLine="720"/>
    </w:pPr>
    <w:rPr>
      <w:sz w:val="24"/>
      <w:szCs w:val="20"/>
    </w:rPr>
  </w:style>
  <w:style w:type="character" w:customStyle="1" w:styleId="BodytextnoindentChar">
    <w:name w:val="Body text no indent Char"/>
    <w:basedOn w:val="CharChar"/>
    <w:uiPriority w:val="99"/>
    <w:locked/>
    <w:rsid w:val="00A9639B"/>
    <w:rPr>
      <w:rFonts w:cs="Times New Roman"/>
      <w:sz w:val="24"/>
      <w:lang w:val="en-US" w:eastAsia="en-US" w:bidi="ar-SA"/>
    </w:rPr>
  </w:style>
  <w:style w:type="character" w:customStyle="1" w:styleId="footer1">
    <w:name w:val="footer1"/>
    <w:basedOn w:val="DefaultParagraphFont"/>
    <w:uiPriority w:val="99"/>
    <w:rsid w:val="00A9639B"/>
    <w:rPr>
      <w:rFonts w:ascii="Verdana" w:hAnsi="Verdana" w:cs="Times New Roman"/>
      <w:color w:val="auto"/>
      <w:sz w:val="15"/>
      <w:szCs w:val="15"/>
    </w:rPr>
  </w:style>
  <w:style w:type="character" w:styleId="FollowedHyperlink">
    <w:name w:val="FollowedHyperlink"/>
    <w:basedOn w:val="DefaultParagraphFont"/>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basedOn w:val="DefaultParagraphFont"/>
    <w:link w:val="BodyText3"/>
    <w:uiPriority w:val="99"/>
    <w:semiHidden/>
    <w:locked/>
    <w:rsid w:val="00435077"/>
    <w:rPr>
      <w:rFonts w:cs="Times New Roman"/>
      <w:sz w:val="16"/>
      <w:szCs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uiPriority w:val="99"/>
    <w:locked/>
    <w:rsid w:val="00A9639B"/>
    <w:rPr>
      <w:rFonts w:cs="Times New Roman"/>
      <w:kern w:val="2"/>
      <w:sz w:val="24"/>
      <w:lang w:val="en-US" w:eastAsia="en-US" w:bidi="ar-SA"/>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basedOn w:val="DefaultParagraphFont"/>
    <w:uiPriority w:val="99"/>
    <w:locked/>
    <w:rsid w:val="00A9639B"/>
    <w:rPr>
      <w:rFonts w:cs="Times New Roman"/>
      <w:sz w:val="24"/>
      <w:lang w:val="en-US" w:eastAsia="en-US" w:bidi="ar-SA"/>
    </w:rPr>
  </w:style>
  <w:style w:type="paragraph" w:customStyle="1" w:styleId="tocpagehead">
    <w:name w:val="toc page head"/>
    <w:uiPriority w:val="99"/>
    <w:rsid w:val="00A9639B"/>
    <w:pPr>
      <w:tabs>
        <w:tab w:val="right" w:pos="9360"/>
      </w:tabs>
      <w:jc w:val="both"/>
    </w:pPr>
    <w:rPr>
      <w:b/>
      <w:bCs/>
      <w:noProof/>
      <w:szCs w:val="20"/>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basedOn w:val="DefaultParagraphFont"/>
    <w:uiPriority w:val="99"/>
    <w:locked/>
    <w:rsid w:val="00A9639B"/>
    <w:rPr>
      <w:rFonts w:cs="Times New Roman"/>
      <w:sz w:val="22"/>
      <w:lang w:val="en-US" w:eastAsia="en-US" w:bidi="ar-SA"/>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11"/>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435077"/>
    <w:rPr>
      <w:rFonts w:ascii="Courier New" w:hAnsi="Courier New" w:cs="Courier New"/>
      <w:sz w:val="20"/>
      <w:szCs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basedOn w:val="DefaultParagraphFon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12"/>
      </w:numPr>
      <w:spacing w:line="276" w:lineRule="auto"/>
    </w:pPr>
    <w:rPr>
      <w:rFonts w:ascii="Arial" w:hAnsi="Arial"/>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link w:val="ListParagraphChar"/>
    <w:uiPriority w:val="34"/>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basedOn w:val="DefaultParagraphFont"/>
    <w:uiPriority w:val="99"/>
    <w:rsid w:val="00D316FD"/>
    <w:rPr>
      <w:rFonts w:ascii="Arial" w:hAnsi="Arial" w:cs="Arial"/>
      <w:i/>
      <w:sz w:val="24"/>
      <w:szCs w:val="24"/>
      <w:lang w:val="en-US" w:eastAsia="en-US" w:bidi="ar-SA"/>
    </w:rPr>
  </w:style>
  <w:style w:type="paragraph" w:customStyle="1" w:styleId="bullet10">
    <w:name w:val="bullet 1"/>
    <w:basedOn w:val="ListParagraph"/>
    <w:link w:val="bullet1Char"/>
    <w:uiPriority w:val="99"/>
    <w:rsid w:val="00D316FD"/>
    <w:pPr>
      <w:numPr>
        <w:numId w:val="13"/>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basedOn w:val="DefaultParagraphFont"/>
    <w:link w:val="Salutation"/>
    <w:uiPriority w:val="99"/>
    <w:semiHidden/>
    <w:locked/>
    <w:rsid w:val="00435077"/>
    <w:rPr>
      <w:rFonts w:cs="Times New Roman"/>
      <w:sz w:val="24"/>
      <w:szCs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numPr>
        <w:ilvl w:val="1"/>
        <w:numId w:val="3"/>
      </w:numPr>
      <w:tabs>
        <w:tab w:val="clear" w:pos="720"/>
      </w:tabs>
      <w:spacing w:line="276" w:lineRule="auto"/>
      <w:ind w:left="1080"/>
    </w:pPr>
    <w:rPr>
      <w:rFonts w:ascii="Arial" w:hAnsi="Arial"/>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Cs w:val="28"/>
    </w:rPr>
  </w:style>
  <w:style w:type="paragraph" w:customStyle="1" w:styleId="HSLSH3">
    <w:name w:val="HSLS H3"/>
    <w:uiPriority w:val="99"/>
    <w:rsid w:val="00C3253A"/>
    <w:pPr>
      <w:keepNext/>
      <w:spacing w:before="120" w:after="120"/>
      <w:ind w:left="720"/>
    </w:pPr>
    <w:rPr>
      <w:rFonts w:ascii="Arial" w:hAnsi="Arial" w:cs="Arial"/>
      <w:b/>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basedOn w:val="DefaultParagraphFont"/>
    <w:link w:val="ListParagraph"/>
    <w:uiPriority w:val="99"/>
    <w:locked/>
    <w:rsid w:val="000A4C56"/>
    <w:rPr>
      <w:rFonts w:ascii="Calibri" w:hAnsi="Calibri" w:cs="Times New Roman"/>
      <w:sz w:val="22"/>
      <w:szCs w:val="22"/>
      <w:lang w:val="en-US" w:eastAsia="en-US" w:bidi="ar-SA"/>
    </w:rPr>
  </w:style>
  <w:style w:type="character" w:customStyle="1" w:styleId="bullet1Char">
    <w:name w:val="bullet 1 Char"/>
    <w:basedOn w:val="ListParagraphChar"/>
    <w:link w:val="bullet10"/>
    <w:uiPriority w:val="99"/>
    <w:locked/>
    <w:rsid w:val="000A4C56"/>
    <w:rPr>
      <w:rFonts w:ascii="Arial" w:hAnsi="Arial" w:cs="Arial"/>
      <w:sz w:val="22"/>
      <w:szCs w:val="22"/>
      <w:lang w:val="en-US" w:eastAsia="en-US" w:bidi="ar-SA"/>
    </w:rPr>
  </w:style>
  <w:style w:type="paragraph" w:customStyle="1" w:styleId="FMheading">
    <w:name w:val="FM heading"/>
    <w:basedOn w:val="TOCHeading"/>
    <w:uiPriority w:val="99"/>
    <w:rsid w:val="00571102"/>
    <w:rPr>
      <w:noProof/>
    </w:rPr>
  </w:style>
  <w:style w:type="table" w:styleId="TableGrid">
    <w:name w:val="Table Grid"/>
    <w:basedOn w:val="TableNormal"/>
    <w:uiPriority w:val="99"/>
    <w:rsid w:val="00003F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link w:val="QuestionChar"/>
    <w:uiPriority w:val="99"/>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basedOn w:val="DefaultParagraphFont"/>
    <w:uiPriority w:val="99"/>
    <w:rsid w:val="005972D9"/>
    <w:rPr>
      <w:rFonts w:cs="Times New Roman"/>
    </w:rPr>
  </w:style>
  <w:style w:type="character" w:customStyle="1" w:styleId="updated-short-citation1">
    <w:name w:val="updated-short-citation1"/>
    <w:basedOn w:val="DefaultParagraphFont"/>
    <w:uiPriority w:val="99"/>
    <w:rsid w:val="005972D9"/>
    <w:rPr>
      <w:rFonts w:cs="Times New Roman"/>
    </w:rPr>
  </w:style>
  <w:style w:type="character" w:customStyle="1" w:styleId="medium-font">
    <w:name w:val="medium-font"/>
    <w:basedOn w:val="DefaultParagraphFont"/>
    <w:uiPriority w:val="99"/>
    <w:rsid w:val="005972D9"/>
    <w:rPr>
      <w:rFonts w:cs="Times New Roman"/>
    </w:rPr>
  </w:style>
  <w:style w:type="paragraph" w:customStyle="1" w:styleId="Default">
    <w:name w:val="Default"/>
    <w:uiPriority w:val="99"/>
    <w:rsid w:val="005972D9"/>
    <w:pPr>
      <w:autoSpaceDE w:val="0"/>
      <w:autoSpaceDN w:val="0"/>
      <w:adjustRightInd w:val="0"/>
    </w:pPr>
    <w:rPr>
      <w:color w:val="000000"/>
      <w:sz w:val="24"/>
      <w:szCs w:val="24"/>
    </w:rPr>
  </w:style>
  <w:style w:type="character" w:customStyle="1" w:styleId="ct-with-fmlt">
    <w:name w:val="ct-with-fmlt"/>
    <w:basedOn w:val="DefaultParagraphFont"/>
    <w:uiPriority w:val="99"/>
    <w:rsid w:val="005972D9"/>
    <w:rPr>
      <w:rFonts w:cs="Times New Roman"/>
    </w:rPr>
  </w:style>
  <w:style w:type="character" w:styleId="HTMLCite">
    <w:name w:val="HTML Cite"/>
    <w:basedOn w:val="DefaultParagraphFont"/>
    <w:uiPriority w:val="99"/>
    <w:rsid w:val="005972D9"/>
    <w:rPr>
      <w:rFonts w:cs="Times New Roman"/>
      <w:i/>
      <w:iCs/>
    </w:rPr>
  </w:style>
  <w:style w:type="character" w:customStyle="1" w:styleId="bullet3rdlevelChar">
    <w:name w:val="bullet 3rd level Char"/>
    <w:basedOn w:val="ListParagraphChar"/>
    <w:uiPriority w:val="99"/>
    <w:rsid w:val="005972D9"/>
    <w:rPr>
      <w:rFonts w:ascii="Arial" w:hAnsi="Arial" w:cs="Times New Roman"/>
      <w:sz w:val="22"/>
      <w:szCs w:val="22"/>
      <w:lang w:val="en-US" w:eastAsia="en-US" w:bidi="ar-SA"/>
    </w:rPr>
  </w:style>
  <w:style w:type="paragraph" w:customStyle="1" w:styleId="question">
    <w:name w:val="question"/>
    <w:basedOn w:val="Normal"/>
    <w:link w:val="questionChar0"/>
    <w:uiPriority w:val="99"/>
    <w:rsid w:val="004D18A4"/>
    <w:pPr>
      <w:numPr>
        <w:numId w:val="14"/>
      </w:numPr>
      <w:spacing w:before="120" w:after="120"/>
    </w:pPr>
  </w:style>
  <w:style w:type="paragraph" w:customStyle="1" w:styleId="questionnonumbering">
    <w:name w:val="question no numbering"/>
    <w:basedOn w:val="question"/>
    <w:link w:val="questionnonumberingChar"/>
    <w:uiPriority w:val="99"/>
    <w:rsid w:val="004D18A4"/>
    <w:pPr>
      <w:numPr>
        <w:numId w:val="0"/>
      </w:numPr>
      <w:spacing w:after="60"/>
      <w:ind w:left="1267" w:hanging="547"/>
    </w:pPr>
  </w:style>
  <w:style w:type="character" w:customStyle="1" w:styleId="questionChar0">
    <w:name w:val="question Char"/>
    <w:basedOn w:val="DefaultParagraphFont"/>
    <w:link w:val="question"/>
    <w:uiPriority w:val="99"/>
    <w:locked/>
    <w:rsid w:val="004D18A4"/>
    <w:rPr>
      <w:sz w:val="24"/>
      <w:szCs w:val="24"/>
    </w:rPr>
  </w:style>
  <w:style w:type="character" w:customStyle="1" w:styleId="questionnonumberingChar">
    <w:name w:val="question no numbering Char"/>
    <w:basedOn w:val="questionChar0"/>
    <w:link w:val="questionnonumbering"/>
    <w:uiPriority w:val="99"/>
    <w:locked/>
    <w:rsid w:val="004D18A4"/>
    <w:rPr>
      <w:sz w:val="24"/>
      <w:szCs w:val="24"/>
    </w:rPr>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basedOn w:val="DefaultParagraphFont"/>
    <w:link w:val="TableTitle"/>
    <w:uiPriority w:val="99"/>
    <w:locked/>
    <w:rsid w:val="00635103"/>
    <w:rPr>
      <w:rFonts w:ascii="Arial" w:eastAsia="MS Mincho" w:hAnsi="Arial" w:cs="Times New Roman"/>
      <w:b/>
      <w:kern w:val="2"/>
      <w:lang w:val="en-US" w:eastAsia="en-US" w:bidi="ar-SA"/>
    </w:rPr>
  </w:style>
  <w:style w:type="character" w:customStyle="1" w:styleId="tabletitle-continuedChar">
    <w:name w:val="table title - continued Char"/>
    <w:basedOn w:val="TableTitleChar1"/>
    <w:link w:val="tabletitle-continued"/>
    <w:uiPriority w:val="99"/>
    <w:locked/>
    <w:rsid w:val="00635103"/>
    <w:rPr>
      <w:rFonts w:ascii="Arial" w:eastAsia="MS Mincho" w:hAnsi="Arial" w:cs="Times New Roman"/>
      <w:b/>
      <w:kern w:val="2"/>
      <w:lang w:val="en-US" w:eastAsia="en-US" w:bidi="ar-SA"/>
    </w:rPr>
  </w:style>
  <w:style w:type="character" w:customStyle="1" w:styleId="QuestionChar">
    <w:name w:val="Question Char"/>
    <w:basedOn w:val="DefaultParagraphFont"/>
    <w:link w:val="Question0"/>
    <w:uiPriority w:val="99"/>
    <w:locked/>
    <w:rsid w:val="00020B6F"/>
    <w:rPr>
      <w:rFonts w:ascii="Optima" w:hAnsi="Optima" w:cs="Times New Roman"/>
      <w:sz w:val="20"/>
      <w:szCs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6"/>
      </w:numPr>
      <w:tabs>
        <w:tab w:val="left" w:pos="1710"/>
      </w:tabs>
      <w:ind w:left="1710" w:hanging="630"/>
    </w:pPr>
    <w:rPr>
      <w:sz w:val="22"/>
      <w:szCs w:val="28"/>
    </w:rPr>
  </w:style>
  <w:style w:type="paragraph" w:customStyle="1" w:styleId="Responselist">
    <w:name w:val="Response list"/>
    <w:basedOn w:val="Normal"/>
    <w:link w:val="ResponselistChar"/>
    <w:uiPriority w:val="99"/>
    <w:rsid w:val="000C0CBA"/>
    <w:pPr>
      <w:tabs>
        <w:tab w:val="left" w:pos="1080"/>
        <w:tab w:val="left" w:pos="1260"/>
      </w:tabs>
      <w:ind w:left="1260" w:hanging="540"/>
    </w:pPr>
  </w:style>
  <w:style w:type="character" w:customStyle="1" w:styleId="ResponselistChar">
    <w:name w:val="Response list Char"/>
    <w:basedOn w:val="DefaultParagraphFont"/>
    <w:link w:val="Responselist"/>
    <w:uiPriority w:val="99"/>
    <w:locked/>
    <w:rsid w:val="000C0CBA"/>
    <w:rPr>
      <w:rFonts w:cs="Times New Roman"/>
      <w:sz w:val="24"/>
    </w:rPr>
  </w:style>
  <w:style w:type="paragraph" w:customStyle="1" w:styleId="bodytextpsg">
    <w:name w:val="body text_psg"/>
    <w:basedOn w:val="Normal"/>
    <w:link w:val="bodytextpsgChar"/>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uiPriority w:val="99"/>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uiPriority w:val="99"/>
    <w:rsid w:val="00003F7F"/>
    <w:pPr>
      <w:spacing w:after="120" w:line="240" w:lineRule="exact"/>
      <w:ind w:left="1440" w:hanging="360"/>
    </w:pPr>
    <w:rPr>
      <w:szCs w:val="20"/>
    </w:rPr>
  </w:style>
  <w:style w:type="paragraph" w:styleId="E-mailSignature">
    <w:name w:val="E-mail Signature"/>
    <w:basedOn w:val="Normal"/>
    <w:link w:val="E-mailSignatureChar"/>
    <w:uiPriority w:val="99"/>
    <w:rsid w:val="00003F7F"/>
  </w:style>
  <w:style w:type="character" w:customStyle="1" w:styleId="E-mailSignatureChar">
    <w:name w:val="E-mail Signature Char"/>
    <w:basedOn w:val="DefaultParagraphFont"/>
    <w:link w:val="E-mailSignature"/>
    <w:uiPriority w:val="99"/>
    <w:locked/>
    <w:rsid w:val="00E075E1"/>
    <w:rPr>
      <w:rFonts w:cs="Times New Roman"/>
      <w:sz w:val="24"/>
      <w:szCs w:val="24"/>
    </w:rPr>
  </w:style>
  <w:style w:type="character" w:styleId="EndnoteReference">
    <w:name w:val="endnote reference"/>
    <w:basedOn w:val="DefaultParagraphFont"/>
    <w:uiPriority w:val="99"/>
    <w:semiHidden/>
    <w:rsid w:val="00003F7F"/>
    <w:rPr>
      <w:rFonts w:cs="Times New Roman"/>
      <w:vertAlign w:val="superscript"/>
    </w:rPr>
  </w:style>
  <w:style w:type="paragraph" w:styleId="EndnoteText">
    <w:name w:val="endnote text"/>
    <w:basedOn w:val="Normal"/>
    <w:link w:val="EndnoteTextChar"/>
    <w:uiPriority w:val="99"/>
    <w:semiHidden/>
    <w:rsid w:val="00003F7F"/>
    <w:rPr>
      <w:sz w:val="20"/>
      <w:szCs w:val="20"/>
    </w:rPr>
  </w:style>
  <w:style w:type="character" w:customStyle="1" w:styleId="EndnoteTextChar">
    <w:name w:val="Endnote Text Char"/>
    <w:basedOn w:val="DefaultParagraphFont"/>
    <w:link w:val="EndnoteText"/>
    <w:uiPriority w:val="99"/>
    <w:semiHidden/>
    <w:locked/>
    <w:rsid w:val="00E075E1"/>
    <w:rPr>
      <w:rFonts w:cs="Times New Roman"/>
      <w:sz w:val="20"/>
      <w:szCs w:val="20"/>
    </w:rPr>
  </w:style>
  <w:style w:type="paragraph" w:customStyle="1" w:styleId="FigureTitle0">
    <w:name w:val="Figure Title"/>
    <w:basedOn w:val="Normal"/>
    <w:uiPriority w:val="99"/>
    <w:rsid w:val="00003F7F"/>
    <w:pPr>
      <w:keepNext/>
      <w:keepLines/>
      <w:spacing w:before="240" w:after="240"/>
    </w:pPr>
    <w:rPr>
      <w:b/>
      <w:szCs w:val="20"/>
    </w:rPr>
  </w:style>
  <w:style w:type="paragraph" w:customStyle="1" w:styleId="footnotetex">
    <w:name w:val="footnote tex"/>
    <w:uiPriority w:val="99"/>
    <w:rsid w:val="00003F7F"/>
    <w:pPr>
      <w:autoSpaceDE w:val="0"/>
      <w:autoSpaceDN w:val="0"/>
      <w:adjustRightInd w:val="0"/>
    </w:pPr>
    <w:rPr>
      <w:sz w:val="20"/>
      <w:szCs w:val="20"/>
    </w:rPr>
  </w:style>
  <w:style w:type="character" w:customStyle="1" w:styleId="Heading4Char1">
    <w:name w:val="Heading 4 Char1"/>
    <w:aliases w:val="l4 Char Char,l4 Char1"/>
    <w:basedOn w:val="DefaultParagraphFont"/>
    <w:uiPriority w:val="99"/>
    <w:rsid w:val="00D12B08"/>
    <w:rPr>
      <w:rFonts w:cs="Times New Roman"/>
      <w:i/>
    </w:rPr>
  </w:style>
  <w:style w:type="paragraph" w:customStyle="1" w:styleId="heading10">
    <w:name w:val="heading1"/>
    <w:basedOn w:val="Normal"/>
    <w:next w:val="Normal"/>
    <w:uiPriority w:val="99"/>
    <w:semiHidden/>
    <w:rsid w:val="00003F7F"/>
    <w:pPr>
      <w:spacing w:before="120" w:after="120"/>
    </w:pPr>
    <w:rPr>
      <w:b/>
      <w:bCs/>
      <w:sz w:val="22"/>
      <w:szCs w:val="22"/>
    </w:rPr>
  </w:style>
  <w:style w:type="paragraph" w:customStyle="1" w:styleId="heading20">
    <w:name w:val="heading2"/>
    <w:basedOn w:val="Heading3"/>
    <w:next w:val="Normal"/>
    <w:uiPriority w:val="99"/>
    <w:semiHidden/>
    <w:rsid w:val="00003F7F"/>
    <w:pPr>
      <w:spacing w:before="120"/>
    </w:pPr>
    <w:rPr>
      <w:rFonts w:cs="Times New Roman"/>
    </w:rPr>
  </w:style>
  <w:style w:type="paragraph" w:customStyle="1" w:styleId="Level1">
    <w:name w:val="Level 1"/>
    <w:basedOn w:val="Normal"/>
    <w:uiPriority w:val="99"/>
    <w:rsid w:val="00003F7F"/>
    <w:pPr>
      <w:widowControl w:val="0"/>
      <w:autoSpaceDE w:val="0"/>
      <w:autoSpaceDN w:val="0"/>
      <w:adjustRightInd w:val="0"/>
      <w:ind w:left="720" w:hanging="720"/>
    </w:pPr>
  </w:style>
  <w:style w:type="character" w:styleId="LineNumber">
    <w:name w:val="line number"/>
    <w:basedOn w:val="DefaultParagraphFont"/>
    <w:uiPriority w:val="99"/>
    <w:semiHidden/>
    <w:rsid w:val="00003F7F"/>
    <w:rPr>
      <w:rFonts w:cs="Times New Roman"/>
    </w:rPr>
  </w:style>
  <w:style w:type="paragraph" w:styleId="List3">
    <w:name w:val="List 3"/>
    <w:basedOn w:val="Normal"/>
    <w:uiPriority w:val="99"/>
    <w:semiHidden/>
    <w:rsid w:val="00003F7F"/>
    <w:pPr>
      <w:ind w:left="1915" w:hanging="360"/>
    </w:pPr>
    <w:rPr>
      <w:rFonts w:ascii="Arial" w:hAnsi="Arial"/>
      <w:spacing w:val="-5"/>
      <w:sz w:val="20"/>
      <w:szCs w:val="20"/>
    </w:rPr>
  </w:style>
  <w:style w:type="paragraph" w:customStyle="1" w:styleId="NumberBullets">
    <w:name w:val="Number Bullets"/>
    <w:basedOn w:val="Normal"/>
    <w:uiPriority w:val="99"/>
    <w:semiHidden/>
    <w:rsid w:val="00003F7F"/>
    <w:rPr>
      <w:szCs w:val="20"/>
    </w:rPr>
  </w:style>
  <w:style w:type="paragraph" w:customStyle="1" w:styleId="paragraph">
    <w:name w:val="paragraph"/>
    <w:basedOn w:val="Normal"/>
    <w:uiPriority w:val="99"/>
    <w:rsid w:val="00003F7F"/>
    <w:pPr>
      <w:spacing w:before="200" w:line="320" w:lineRule="exact"/>
      <w:ind w:left="1440"/>
    </w:pPr>
  </w:style>
  <w:style w:type="paragraph" w:customStyle="1" w:styleId="TOC0">
    <w:name w:val="TOC 0"/>
    <w:basedOn w:val="Normal"/>
    <w:uiPriority w:val="99"/>
    <w:rsid w:val="00003F7F"/>
    <w:pPr>
      <w:spacing w:after="240"/>
      <w:jc w:val="center"/>
    </w:pPr>
    <w:rPr>
      <w:b/>
      <w:caps/>
      <w:sz w:val="28"/>
      <w:szCs w:val="20"/>
    </w:rPr>
  </w:style>
  <w:style w:type="paragraph" w:customStyle="1" w:styleId="TOCHeader">
    <w:name w:val="TOC Header"/>
    <w:basedOn w:val="Normal"/>
    <w:uiPriority w:val="99"/>
    <w:rsid w:val="00003F7F"/>
    <w:pPr>
      <w:tabs>
        <w:tab w:val="right" w:pos="9360"/>
      </w:tabs>
      <w:spacing w:after="240"/>
    </w:pPr>
    <w:rPr>
      <w:szCs w:val="20"/>
      <w:u w:val="words"/>
    </w:rPr>
  </w:style>
  <w:style w:type="paragraph" w:customStyle="1" w:styleId="toc-tabfig">
    <w:name w:val="toc-tab/fig"/>
    <w:basedOn w:val="Normal"/>
    <w:uiPriority w:val="99"/>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uiPriority w:val="99"/>
    <w:rsid w:val="00003F7F"/>
    <w:pPr>
      <w:jc w:val="center"/>
    </w:pPr>
  </w:style>
  <w:style w:type="paragraph" w:customStyle="1" w:styleId="Pa9">
    <w:name w:val="Pa9"/>
    <w:basedOn w:val="Normal"/>
    <w:next w:val="Normal"/>
    <w:uiPriority w:val="99"/>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uiPriority w:val="99"/>
    <w:rsid w:val="00CA45AA"/>
  </w:style>
  <w:style w:type="paragraph" w:customStyle="1" w:styleId="AppHeading3">
    <w:name w:val="App Heading 3"/>
    <w:basedOn w:val="Heading3"/>
    <w:uiPriority w:val="99"/>
    <w:rsid w:val="000310CC"/>
    <w:pPr>
      <w:spacing w:before="360"/>
    </w:pPr>
  </w:style>
  <w:style w:type="paragraph" w:customStyle="1" w:styleId="AppHeading4">
    <w:name w:val="App Heading 4"/>
    <w:basedOn w:val="Normal"/>
    <w:uiPriority w:val="99"/>
    <w:rsid w:val="005A7747"/>
    <w:pPr>
      <w:keepNext/>
      <w:keepLines/>
      <w:spacing w:before="360" w:after="120"/>
      <w:outlineLvl w:val="3"/>
    </w:pPr>
    <w:rPr>
      <w:b/>
      <w:i/>
      <w:iCs/>
      <w:u w:val="single"/>
    </w:rPr>
  </w:style>
  <w:style w:type="character" w:customStyle="1" w:styleId="bodytextpsgChar">
    <w:name w:val="body text_psg Char"/>
    <w:basedOn w:val="DefaultParagraphFont"/>
    <w:link w:val="bodytextpsg"/>
    <w:locked/>
    <w:rsid w:val="00193A1D"/>
    <w:rPr>
      <w:rFonts w:cs="Times New Roman"/>
      <w:sz w:val="24"/>
      <w:szCs w:val="24"/>
    </w:rPr>
  </w:style>
  <w:style w:type="paragraph" w:customStyle="1" w:styleId="bodytext0">
    <w:name w:val="bodytext"/>
    <w:basedOn w:val="Normal"/>
    <w:uiPriority w:val="99"/>
    <w:rsid w:val="00193A1D"/>
    <w:pPr>
      <w:spacing w:after="240" w:line="320" w:lineRule="atLeast"/>
      <w:ind w:firstLine="720"/>
    </w:pPr>
    <w:rPr>
      <w:sz w:val="22"/>
      <w:szCs w:val="22"/>
    </w:rPr>
  </w:style>
  <w:style w:type="paragraph" w:customStyle="1" w:styleId="Source75">
    <w:name w:val="Source 7.5"/>
    <w:basedOn w:val="Source"/>
    <w:rsid w:val="00975EC2"/>
    <w:pPr>
      <w:keepLines/>
      <w:spacing w:before="0" w:line="180" w:lineRule="atLeast"/>
    </w:pPr>
    <w:rPr>
      <w:sz w:val="15"/>
      <w:szCs w:val="15"/>
    </w:rPr>
  </w:style>
  <w:style w:type="table" w:styleId="MediumGrid3-Accent1">
    <w:name w:val="Medium Grid 3 Accent 1"/>
    <w:aliases w:val="NCES DFD"/>
    <w:basedOn w:val="TableNormal"/>
    <w:rsid w:val="00975EC2"/>
    <w:rPr>
      <w:rFonts w:ascii="Arial" w:hAnsi="Arial"/>
      <w:sz w:val="18"/>
      <w:szCs w:val="24"/>
    </w:rPr>
    <w:tblPr>
      <w:tblStyleRowBandSize w:val="1"/>
      <w:tblStyleColBandSize w:val="1"/>
      <w:tblInd w:w="864" w:type="dxa"/>
      <w:tblBorders>
        <w:bottom w:val="single" w:sz="24" w:space="0" w:color="17365D" w:themeColor="text2" w:themeShade="BF"/>
      </w:tblBorders>
    </w:tblPr>
    <w:tcPr>
      <w:shd w:val="clear" w:color="auto" w:fill="EEF2F8"/>
      <w:vAlign w:val="bottom"/>
    </w:tcPr>
    <w:tblStylePr w:type="firstRow">
      <w:rPr>
        <w:b/>
        <w:bCs/>
        <w:i w:val="0"/>
        <w:iCs w:val="0"/>
        <w:color w:val="FFFFFF" w:themeColor="background1"/>
      </w:rPr>
      <w:tblPr/>
      <w:tcPr>
        <w:shd w:val="clear" w:color="auto" w:fill="1F497D" w:themeFill="tex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pPr>
        <w:jc w:val="left"/>
      </w:pPr>
      <w:rPr>
        <w:b/>
        <w:bCs/>
        <w:i w:val="0"/>
        <w:iCs w:val="0"/>
        <w:color w:val="FFFFFF" w:themeColor="background1"/>
        <w:sz w:val="20"/>
      </w:rPr>
      <w:tblPr/>
      <w:tcPr>
        <w:tcBorders>
          <w:top w:val="nil"/>
          <w:left w:val="nil"/>
          <w:bottom w:val="nil"/>
          <w:right w:val="nil"/>
          <w:insideH w:val="nil"/>
          <w:insideV w:val="nil"/>
          <w:tl2br w:val="nil"/>
          <w:tr2bl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StyleTableheadingTimesNewRoman11ptBoldCenteredBefor">
    <w:name w:val="Style Table heading + Times New Roman 11 pt Bold Centered Befor..."/>
    <w:basedOn w:val="Normal"/>
    <w:rsid w:val="00825CCC"/>
    <w:pPr>
      <w:keepNext/>
      <w:shd w:val="clear" w:color="auto" w:fill="FFFFFF"/>
      <w:spacing w:before="240" w:after="120"/>
    </w:pPr>
    <w:rPr>
      <w:rFonts w:eastAsiaTheme="minorHAnsi"/>
      <w:b/>
      <w:bCs/>
    </w:rPr>
  </w:style>
  <w:style w:type="paragraph" w:styleId="Revision">
    <w:name w:val="Revision"/>
    <w:hidden/>
    <w:uiPriority w:val="99"/>
    <w:semiHidden/>
    <w:rsid w:val="00AF0BDF"/>
    <w:rPr>
      <w:sz w:val="24"/>
      <w:szCs w:val="24"/>
    </w:rPr>
  </w:style>
  <w:style w:type="paragraph" w:customStyle="1" w:styleId="BodyText20">
    <w:name w:val="Body Text2"/>
    <w:basedOn w:val="Normal"/>
    <w:link w:val="bodytextChar0"/>
    <w:rsid w:val="00E54BB9"/>
    <w:pPr>
      <w:spacing w:after="120" w:line="360" w:lineRule="auto"/>
      <w:ind w:firstLine="720"/>
    </w:pPr>
    <w:rPr>
      <w:szCs w:val="20"/>
    </w:rPr>
  </w:style>
  <w:style w:type="character" w:customStyle="1" w:styleId="bodytextChar0">
    <w:name w:val="body text Char"/>
    <w:basedOn w:val="DefaultParagraphFont"/>
    <w:link w:val="BodyText20"/>
    <w:locked/>
    <w:rsid w:val="00E54BB9"/>
    <w:rPr>
      <w:sz w:val="24"/>
      <w:szCs w:val="20"/>
    </w:rPr>
  </w:style>
  <w:style w:type="paragraph" w:customStyle="1" w:styleId="body">
    <w:name w:val="body"/>
    <w:basedOn w:val="Normal"/>
    <w:link w:val="bodyChar"/>
    <w:qFormat/>
    <w:rsid w:val="00E54BB9"/>
    <w:pPr>
      <w:spacing w:after="120" w:line="360" w:lineRule="auto"/>
      <w:ind w:firstLine="720"/>
    </w:pPr>
  </w:style>
  <w:style w:type="character" w:customStyle="1" w:styleId="bodyChar">
    <w:name w:val="body Char"/>
    <w:basedOn w:val="DefaultParagraphFont"/>
    <w:link w:val="body"/>
    <w:rsid w:val="00E54B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9452">
      <w:bodyDiv w:val="1"/>
      <w:marLeft w:val="0"/>
      <w:marRight w:val="0"/>
      <w:marTop w:val="0"/>
      <w:marBottom w:val="0"/>
      <w:divBdr>
        <w:top w:val="none" w:sz="0" w:space="0" w:color="auto"/>
        <w:left w:val="none" w:sz="0" w:space="0" w:color="auto"/>
        <w:bottom w:val="none" w:sz="0" w:space="0" w:color="auto"/>
        <w:right w:val="none" w:sz="0" w:space="0" w:color="auto"/>
      </w:divBdr>
    </w:div>
    <w:div w:id="164245660">
      <w:bodyDiv w:val="1"/>
      <w:marLeft w:val="0"/>
      <w:marRight w:val="0"/>
      <w:marTop w:val="0"/>
      <w:marBottom w:val="0"/>
      <w:divBdr>
        <w:top w:val="none" w:sz="0" w:space="0" w:color="auto"/>
        <w:left w:val="none" w:sz="0" w:space="0" w:color="auto"/>
        <w:bottom w:val="none" w:sz="0" w:space="0" w:color="auto"/>
        <w:right w:val="none" w:sz="0" w:space="0" w:color="auto"/>
      </w:divBdr>
    </w:div>
    <w:div w:id="367225359">
      <w:bodyDiv w:val="1"/>
      <w:marLeft w:val="0"/>
      <w:marRight w:val="0"/>
      <w:marTop w:val="0"/>
      <w:marBottom w:val="0"/>
      <w:divBdr>
        <w:top w:val="none" w:sz="0" w:space="0" w:color="auto"/>
        <w:left w:val="none" w:sz="0" w:space="0" w:color="auto"/>
        <w:bottom w:val="none" w:sz="0" w:space="0" w:color="auto"/>
        <w:right w:val="none" w:sz="0" w:space="0" w:color="auto"/>
      </w:divBdr>
    </w:div>
    <w:div w:id="370695535">
      <w:bodyDiv w:val="1"/>
      <w:marLeft w:val="0"/>
      <w:marRight w:val="0"/>
      <w:marTop w:val="0"/>
      <w:marBottom w:val="0"/>
      <w:divBdr>
        <w:top w:val="none" w:sz="0" w:space="0" w:color="auto"/>
        <w:left w:val="none" w:sz="0" w:space="0" w:color="auto"/>
        <w:bottom w:val="none" w:sz="0" w:space="0" w:color="auto"/>
        <w:right w:val="none" w:sz="0" w:space="0" w:color="auto"/>
      </w:divBdr>
    </w:div>
    <w:div w:id="390543655">
      <w:bodyDiv w:val="1"/>
      <w:marLeft w:val="0"/>
      <w:marRight w:val="0"/>
      <w:marTop w:val="0"/>
      <w:marBottom w:val="0"/>
      <w:divBdr>
        <w:top w:val="none" w:sz="0" w:space="0" w:color="auto"/>
        <w:left w:val="none" w:sz="0" w:space="0" w:color="auto"/>
        <w:bottom w:val="none" w:sz="0" w:space="0" w:color="auto"/>
        <w:right w:val="none" w:sz="0" w:space="0" w:color="auto"/>
      </w:divBdr>
    </w:div>
    <w:div w:id="644941333">
      <w:bodyDiv w:val="1"/>
      <w:marLeft w:val="0"/>
      <w:marRight w:val="0"/>
      <w:marTop w:val="0"/>
      <w:marBottom w:val="0"/>
      <w:divBdr>
        <w:top w:val="none" w:sz="0" w:space="0" w:color="auto"/>
        <w:left w:val="none" w:sz="0" w:space="0" w:color="auto"/>
        <w:bottom w:val="none" w:sz="0" w:space="0" w:color="auto"/>
        <w:right w:val="none" w:sz="0" w:space="0" w:color="auto"/>
      </w:divBdr>
    </w:div>
    <w:div w:id="872881628">
      <w:marLeft w:val="0"/>
      <w:marRight w:val="0"/>
      <w:marTop w:val="0"/>
      <w:marBottom w:val="0"/>
      <w:divBdr>
        <w:top w:val="none" w:sz="0" w:space="0" w:color="auto"/>
        <w:left w:val="none" w:sz="0" w:space="0" w:color="auto"/>
        <w:bottom w:val="none" w:sz="0" w:space="0" w:color="auto"/>
        <w:right w:val="none" w:sz="0" w:space="0" w:color="auto"/>
      </w:divBdr>
    </w:div>
    <w:div w:id="872881629">
      <w:marLeft w:val="0"/>
      <w:marRight w:val="0"/>
      <w:marTop w:val="0"/>
      <w:marBottom w:val="0"/>
      <w:divBdr>
        <w:top w:val="none" w:sz="0" w:space="0" w:color="auto"/>
        <w:left w:val="none" w:sz="0" w:space="0" w:color="auto"/>
        <w:bottom w:val="none" w:sz="0" w:space="0" w:color="auto"/>
        <w:right w:val="none" w:sz="0" w:space="0" w:color="auto"/>
      </w:divBdr>
    </w:div>
    <w:div w:id="872881630">
      <w:marLeft w:val="0"/>
      <w:marRight w:val="0"/>
      <w:marTop w:val="0"/>
      <w:marBottom w:val="0"/>
      <w:divBdr>
        <w:top w:val="none" w:sz="0" w:space="0" w:color="auto"/>
        <w:left w:val="none" w:sz="0" w:space="0" w:color="auto"/>
        <w:bottom w:val="none" w:sz="0" w:space="0" w:color="auto"/>
        <w:right w:val="none" w:sz="0" w:space="0" w:color="auto"/>
      </w:divBdr>
    </w:div>
    <w:div w:id="872881631">
      <w:marLeft w:val="0"/>
      <w:marRight w:val="0"/>
      <w:marTop w:val="0"/>
      <w:marBottom w:val="0"/>
      <w:divBdr>
        <w:top w:val="none" w:sz="0" w:space="0" w:color="auto"/>
        <w:left w:val="none" w:sz="0" w:space="0" w:color="auto"/>
        <w:bottom w:val="none" w:sz="0" w:space="0" w:color="auto"/>
        <w:right w:val="none" w:sz="0" w:space="0" w:color="auto"/>
      </w:divBdr>
    </w:div>
    <w:div w:id="872881632">
      <w:marLeft w:val="0"/>
      <w:marRight w:val="0"/>
      <w:marTop w:val="0"/>
      <w:marBottom w:val="0"/>
      <w:divBdr>
        <w:top w:val="none" w:sz="0" w:space="0" w:color="auto"/>
        <w:left w:val="none" w:sz="0" w:space="0" w:color="auto"/>
        <w:bottom w:val="none" w:sz="0" w:space="0" w:color="auto"/>
        <w:right w:val="none" w:sz="0" w:space="0" w:color="auto"/>
      </w:divBdr>
    </w:div>
    <w:div w:id="872881633">
      <w:marLeft w:val="0"/>
      <w:marRight w:val="0"/>
      <w:marTop w:val="0"/>
      <w:marBottom w:val="0"/>
      <w:divBdr>
        <w:top w:val="none" w:sz="0" w:space="0" w:color="auto"/>
        <w:left w:val="none" w:sz="0" w:space="0" w:color="auto"/>
        <w:bottom w:val="none" w:sz="0" w:space="0" w:color="auto"/>
        <w:right w:val="none" w:sz="0" w:space="0" w:color="auto"/>
      </w:divBdr>
    </w:div>
    <w:div w:id="872881634">
      <w:marLeft w:val="0"/>
      <w:marRight w:val="0"/>
      <w:marTop w:val="0"/>
      <w:marBottom w:val="0"/>
      <w:divBdr>
        <w:top w:val="none" w:sz="0" w:space="0" w:color="auto"/>
        <w:left w:val="none" w:sz="0" w:space="0" w:color="auto"/>
        <w:bottom w:val="none" w:sz="0" w:space="0" w:color="auto"/>
        <w:right w:val="none" w:sz="0" w:space="0" w:color="auto"/>
      </w:divBdr>
    </w:div>
    <w:div w:id="872881635">
      <w:marLeft w:val="0"/>
      <w:marRight w:val="0"/>
      <w:marTop w:val="0"/>
      <w:marBottom w:val="0"/>
      <w:divBdr>
        <w:top w:val="none" w:sz="0" w:space="0" w:color="auto"/>
        <w:left w:val="none" w:sz="0" w:space="0" w:color="auto"/>
        <w:bottom w:val="none" w:sz="0" w:space="0" w:color="auto"/>
        <w:right w:val="none" w:sz="0" w:space="0" w:color="auto"/>
      </w:divBdr>
    </w:div>
    <w:div w:id="872881636">
      <w:marLeft w:val="0"/>
      <w:marRight w:val="0"/>
      <w:marTop w:val="0"/>
      <w:marBottom w:val="0"/>
      <w:divBdr>
        <w:top w:val="none" w:sz="0" w:space="0" w:color="auto"/>
        <w:left w:val="none" w:sz="0" w:space="0" w:color="auto"/>
        <w:bottom w:val="none" w:sz="0" w:space="0" w:color="auto"/>
        <w:right w:val="none" w:sz="0" w:space="0" w:color="auto"/>
      </w:divBdr>
    </w:div>
    <w:div w:id="872881637">
      <w:marLeft w:val="0"/>
      <w:marRight w:val="0"/>
      <w:marTop w:val="0"/>
      <w:marBottom w:val="0"/>
      <w:divBdr>
        <w:top w:val="none" w:sz="0" w:space="0" w:color="auto"/>
        <w:left w:val="none" w:sz="0" w:space="0" w:color="auto"/>
        <w:bottom w:val="none" w:sz="0" w:space="0" w:color="auto"/>
        <w:right w:val="none" w:sz="0" w:space="0" w:color="auto"/>
      </w:divBdr>
    </w:div>
    <w:div w:id="872881638">
      <w:marLeft w:val="0"/>
      <w:marRight w:val="0"/>
      <w:marTop w:val="0"/>
      <w:marBottom w:val="0"/>
      <w:divBdr>
        <w:top w:val="none" w:sz="0" w:space="0" w:color="auto"/>
        <w:left w:val="none" w:sz="0" w:space="0" w:color="auto"/>
        <w:bottom w:val="none" w:sz="0" w:space="0" w:color="auto"/>
        <w:right w:val="none" w:sz="0" w:space="0" w:color="auto"/>
      </w:divBdr>
    </w:div>
    <w:div w:id="872881639">
      <w:marLeft w:val="0"/>
      <w:marRight w:val="0"/>
      <w:marTop w:val="0"/>
      <w:marBottom w:val="0"/>
      <w:divBdr>
        <w:top w:val="none" w:sz="0" w:space="0" w:color="auto"/>
        <w:left w:val="none" w:sz="0" w:space="0" w:color="auto"/>
        <w:bottom w:val="none" w:sz="0" w:space="0" w:color="auto"/>
        <w:right w:val="none" w:sz="0" w:space="0" w:color="auto"/>
      </w:divBdr>
    </w:div>
    <w:div w:id="942495486">
      <w:bodyDiv w:val="1"/>
      <w:marLeft w:val="0"/>
      <w:marRight w:val="0"/>
      <w:marTop w:val="0"/>
      <w:marBottom w:val="0"/>
      <w:divBdr>
        <w:top w:val="none" w:sz="0" w:space="0" w:color="auto"/>
        <w:left w:val="none" w:sz="0" w:space="0" w:color="auto"/>
        <w:bottom w:val="none" w:sz="0" w:space="0" w:color="auto"/>
        <w:right w:val="none" w:sz="0" w:space="0" w:color="auto"/>
      </w:divBdr>
    </w:div>
    <w:div w:id="1018387441">
      <w:bodyDiv w:val="1"/>
      <w:marLeft w:val="0"/>
      <w:marRight w:val="0"/>
      <w:marTop w:val="0"/>
      <w:marBottom w:val="0"/>
      <w:divBdr>
        <w:top w:val="none" w:sz="0" w:space="0" w:color="auto"/>
        <w:left w:val="none" w:sz="0" w:space="0" w:color="auto"/>
        <w:bottom w:val="none" w:sz="0" w:space="0" w:color="auto"/>
        <w:right w:val="none" w:sz="0" w:space="0" w:color="auto"/>
      </w:divBdr>
    </w:div>
    <w:div w:id="1121680125">
      <w:bodyDiv w:val="1"/>
      <w:marLeft w:val="0"/>
      <w:marRight w:val="0"/>
      <w:marTop w:val="0"/>
      <w:marBottom w:val="0"/>
      <w:divBdr>
        <w:top w:val="none" w:sz="0" w:space="0" w:color="auto"/>
        <w:left w:val="none" w:sz="0" w:space="0" w:color="auto"/>
        <w:bottom w:val="none" w:sz="0" w:space="0" w:color="auto"/>
        <w:right w:val="none" w:sz="0" w:space="0" w:color="auto"/>
      </w:divBdr>
    </w:div>
    <w:div w:id="1213228565">
      <w:bodyDiv w:val="1"/>
      <w:marLeft w:val="0"/>
      <w:marRight w:val="0"/>
      <w:marTop w:val="0"/>
      <w:marBottom w:val="0"/>
      <w:divBdr>
        <w:top w:val="none" w:sz="0" w:space="0" w:color="auto"/>
        <w:left w:val="none" w:sz="0" w:space="0" w:color="auto"/>
        <w:bottom w:val="none" w:sz="0" w:space="0" w:color="auto"/>
        <w:right w:val="none" w:sz="0" w:space="0" w:color="auto"/>
      </w:divBdr>
    </w:div>
    <w:div w:id="1245607310">
      <w:bodyDiv w:val="1"/>
      <w:marLeft w:val="0"/>
      <w:marRight w:val="0"/>
      <w:marTop w:val="0"/>
      <w:marBottom w:val="0"/>
      <w:divBdr>
        <w:top w:val="none" w:sz="0" w:space="0" w:color="auto"/>
        <w:left w:val="none" w:sz="0" w:space="0" w:color="auto"/>
        <w:bottom w:val="none" w:sz="0" w:space="0" w:color="auto"/>
        <w:right w:val="none" w:sz="0" w:space="0" w:color="auto"/>
      </w:divBdr>
    </w:div>
    <w:div w:id="1313561476">
      <w:bodyDiv w:val="1"/>
      <w:marLeft w:val="0"/>
      <w:marRight w:val="0"/>
      <w:marTop w:val="0"/>
      <w:marBottom w:val="0"/>
      <w:divBdr>
        <w:top w:val="none" w:sz="0" w:space="0" w:color="auto"/>
        <w:left w:val="none" w:sz="0" w:space="0" w:color="auto"/>
        <w:bottom w:val="none" w:sz="0" w:space="0" w:color="auto"/>
        <w:right w:val="none" w:sz="0" w:space="0" w:color="auto"/>
      </w:divBdr>
    </w:div>
    <w:div w:id="1348168627">
      <w:bodyDiv w:val="1"/>
      <w:marLeft w:val="0"/>
      <w:marRight w:val="0"/>
      <w:marTop w:val="0"/>
      <w:marBottom w:val="0"/>
      <w:divBdr>
        <w:top w:val="none" w:sz="0" w:space="0" w:color="auto"/>
        <w:left w:val="none" w:sz="0" w:space="0" w:color="auto"/>
        <w:bottom w:val="none" w:sz="0" w:space="0" w:color="auto"/>
        <w:right w:val="none" w:sz="0" w:space="0" w:color="auto"/>
      </w:divBdr>
    </w:div>
    <w:div w:id="1501893349">
      <w:bodyDiv w:val="1"/>
      <w:marLeft w:val="0"/>
      <w:marRight w:val="0"/>
      <w:marTop w:val="0"/>
      <w:marBottom w:val="0"/>
      <w:divBdr>
        <w:top w:val="none" w:sz="0" w:space="0" w:color="auto"/>
        <w:left w:val="none" w:sz="0" w:space="0" w:color="auto"/>
        <w:bottom w:val="none" w:sz="0" w:space="0" w:color="auto"/>
        <w:right w:val="none" w:sz="0" w:space="0" w:color="auto"/>
      </w:divBdr>
    </w:div>
    <w:div w:id="1770196050">
      <w:bodyDiv w:val="1"/>
      <w:marLeft w:val="0"/>
      <w:marRight w:val="0"/>
      <w:marTop w:val="0"/>
      <w:marBottom w:val="0"/>
      <w:divBdr>
        <w:top w:val="none" w:sz="0" w:space="0" w:color="auto"/>
        <w:left w:val="none" w:sz="0" w:space="0" w:color="auto"/>
        <w:bottom w:val="none" w:sz="0" w:space="0" w:color="auto"/>
        <w:right w:val="none" w:sz="0" w:space="0" w:color="auto"/>
      </w:divBdr>
    </w:div>
    <w:div w:id="1880628054">
      <w:bodyDiv w:val="1"/>
      <w:marLeft w:val="0"/>
      <w:marRight w:val="0"/>
      <w:marTop w:val="0"/>
      <w:marBottom w:val="0"/>
      <w:divBdr>
        <w:top w:val="none" w:sz="0" w:space="0" w:color="auto"/>
        <w:left w:val="none" w:sz="0" w:space="0" w:color="auto"/>
        <w:bottom w:val="none" w:sz="0" w:space="0" w:color="auto"/>
        <w:right w:val="none" w:sz="0" w:space="0" w:color="auto"/>
      </w:divBdr>
    </w:div>
    <w:div w:id="206343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http://nces.ed.gov/statprog/standards.asp"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pdf/wky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467AF-1401-466D-A309-E78C614B3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9</Pages>
  <Words>11548</Words>
  <Characters>65829</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77223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Kubzdela,Kashka</cp:lastModifiedBy>
  <cp:revision>47</cp:revision>
  <cp:lastPrinted>2014-11-21T17:44:00Z</cp:lastPrinted>
  <dcterms:created xsi:type="dcterms:W3CDTF">2014-11-13T21:15:00Z</dcterms:created>
  <dcterms:modified xsi:type="dcterms:W3CDTF">2014-12-23T17:32:00Z</dcterms:modified>
</cp:coreProperties>
</file>