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65918" w14:textId="77777777" w:rsidR="00EB3E6F" w:rsidRDefault="00FD66F1" w:rsidP="00FD66F1">
      <w:pPr>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Supporting Statement</w:t>
      </w:r>
    </w:p>
    <w:p w14:paraId="71749FFE" w14:textId="4DDFAA5A" w:rsidR="00FD66F1" w:rsidRDefault="00DB596C"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FERC-582</w:t>
      </w:r>
      <w:r w:rsidR="00702D51">
        <w:rPr>
          <w:rFonts w:ascii="Times New Roman" w:hAnsi="Times New Roman" w:cs="Times New Roman"/>
          <w:b/>
          <w:sz w:val="24"/>
          <w:szCs w:val="24"/>
        </w:rPr>
        <w:t xml:space="preserve"> (Electric Fees, Annual Charges, Waivers, and Exemptions) and FERC-917 (Non-Discriminatory Open Access Transmission Tariff)</w:t>
      </w:r>
    </w:p>
    <w:p w14:paraId="222ACEE9" w14:textId="77777777" w:rsidR="00FD66F1" w:rsidRDefault="00FD66F1" w:rsidP="00FD66F1">
      <w:pPr>
        <w:spacing w:after="0"/>
        <w:jc w:val="center"/>
        <w:rPr>
          <w:rFonts w:ascii="Times New Roman" w:hAnsi="Times New Roman" w:cs="Times New Roman"/>
          <w:sz w:val="24"/>
          <w:szCs w:val="24"/>
        </w:rPr>
      </w:pPr>
    </w:p>
    <w:p w14:paraId="5F507744" w14:textId="43890B89" w:rsidR="00773AEB" w:rsidRDefault="00FE2317" w:rsidP="00FD66F1">
      <w:pPr>
        <w:spacing w:after="0"/>
        <w:rPr>
          <w:rFonts w:ascii="Times New Roman" w:hAnsi="Times New Roman" w:cs="Times New Roman"/>
          <w:sz w:val="24"/>
          <w:szCs w:val="24"/>
        </w:rPr>
      </w:pPr>
      <w:r>
        <w:rPr>
          <w:rFonts w:ascii="Times New Roman" w:hAnsi="Times New Roman" w:cs="Times New Roman"/>
          <w:sz w:val="24"/>
          <w:szCs w:val="24"/>
        </w:rPr>
        <w:t>The Federal Energy Regulatory Commission (FERC or Commission) request</w:t>
      </w:r>
      <w:r w:rsidR="00EC19DF">
        <w:rPr>
          <w:rFonts w:ascii="Times New Roman" w:hAnsi="Times New Roman" w:cs="Times New Roman"/>
          <w:sz w:val="24"/>
          <w:szCs w:val="24"/>
        </w:rPr>
        <w:t>s</w:t>
      </w:r>
      <w:r>
        <w:rPr>
          <w:rFonts w:ascii="Times New Roman" w:hAnsi="Times New Roman" w:cs="Times New Roman"/>
          <w:sz w:val="24"/>
          <w:szCs w:val="24"/>
        </w:rPr>
        <w:t xml:space="preserve"> that the Office of Management and Budget (OMB) review </w:t>
      </w:r>
      <w:r w:rsidR="006A0DFC">
        <w:rPr>
          <w:rFonts w:ascii="Times New Roman" w:hAnsi="Times New Roman" w:cs="Times New Roman"/>
          <w:sz w:val="24"/>
          <w:szCs w:val="24"/>
        </w:rPr>
        <w:t xml:space="preserve">the information collection requirements in </w:t>
      </w:r>
      <w:r>
        <w:rPr>
          <w:rFonts w:ascii="Times New Roman" w:hAnsi="Times New Roman" w:cs="Times New Roman"/>
          <w:sz w:val="24"/>
          <w:szCs w:val="24"/>
        </w:rPr>
        <w:t xml:space="preserve">the </w:t>
      </w:r>
      <w:r w:rsidR="00B13770">
        <w:rPr>
          <w:rFonts w:ascii="Times New Roman" w:hAnsi="Times New Roman" w:cs="Times New Roman"/>
          <w:sz w:val="24"/>
          <w:szCs w:val="24"/>
        </w:rPr>
        <w:t xml:space="preserve">RM14-11-000 </w:t>
      </w:r>
      <w:r w:rsidR="00CB1A09">
        <w:rPr>
          <w:rFonts w:ascii="Times New Roman" w:hAnsi="Times New Roman" w:cs="Times New Roman"/>
          <w:sz w:val="24"/>
          <w:szCs w:val="24"/>
        </w:rPr>
        <w:t>Final Rule</w:t>
      </w:r>
      <w:r w:rsidR="00B13770">
        <w:rPr>
          <w:rFonts w:ascii="Times New Roman" w:hAnsi="Times New Roman" w:cs="Times New Roman"/>
          <w:sz w:val="24"/>
          <w:szCs w:val="24"/>
        </w:rPr>
        <w:t xml:space="preserve"> (Open Access and Priority Rights on Interconnection Customer’s Interconnection Facilities)</w:t>
      </w:r>
      <w:r>
        <w:rPr>
          <w:rFonts w:ascii="Times New Roman" w:hAnsi="Times New Roman" w:cs="Times New Roman"/>
          <w:sz w:val="24"/>
          <w:szCs w:val="24"/>
        </w:rPr>
        <w:t xml:space="preserve"> un</w:t>
      </w:r>
      <w:r w:rsidR="00B13770">
        <w:rPr>
          <w:rFonts w:ascii="Times New Roman" w:hAnsi="Times New Roman" w:cs="Times New Roman"/>
          <w:sz w:val="24"/>
          <w:szCs w:val="24"/>
        </w:rPr>
        <w:t>der OMB Control Number</w:t>
      </w:r>
      <w:r w:rsidR="006A0DFC">
        <w:rPr>
          <w:rFonts w:ascii="Times New Roman" w:hAnsi="Times New Roman" w:cs="Times New Roman"/>
          <w:sz w:val="24"/>
          <w:szCs w:val="24"/>
        </w:rPr>
        <w:t>s</w:t>
      </w:r>
      <w:r w:rsidR="00B13770">
        <w:rPr>
          <w:rFonts w:ascii="Times New Roman" w:hAnsi="Times New Roman" w:cs="Times New Roman"/>
          <w:sz w:val="24"/>
          <w:szCs w:val="24"/>
        </w:rPr>
        <w:t xml:space="preserve"> 1902-0233</w:t>
      </w:r>
      <w:r w:rsidR="003559FE">
        <w:rPr>
          <w:rFonts w:ascii="Times New Roman" w:hAnsi="Times New Roman" w:cs="Times New Roman"/>
          <w:sz w:val="24"/>
          <w:szCs w:val="24"/>
        </w:rPr>
        <w:t xml:space="preserve"> (FERC-917)</w:t>
      </w:r>
      <w:r w:rsidR="00B13770">
        <w:rPr>
          <w:rFonts w:ascii="Times New Roman" w:hAnsi="Times New Roman" w:cs="Times New Roman"/>
          <w:sz w:val="24"/>
          <w:szCs w:val="24"/>
        </w:rPr>
        <w:t xml:space="preserve"> and 1902-0132</w:t>
      </w:r>
      <w:r w:rsidR="003559FE">
        <w:rPr>
          <w:rFonts w:ascii="Times New Roman" w:hAnsi="Times New Roman" w:cs="Times New Roman"/>
          <w:sz w:val="24"/>
          <w:szCs w:val="24"/>
        </w:rPr>
        <w:t xml:space="preserve"> (FERC-582)</w:t>
      </w:r>
      <w:r>
        <w:rPr>
          <w:rFonts w:ascii="Times New Roman" w:hAnsi="Times New Roman" w:cs="Times New Roman"/>
          <w:sz w:val="24"/>
          <w:szCs w:val="24"/>
        </w:rPr>
        <w:t xml:space="preserve">. </w:t>
      </w:r>
      <w:r w:rsidR="003559FE">
        <w:rPr>
          <w:rFonts w:ascii="Times New Roman" w:hAnsi="Times New Roman" w:cs="Times New Roman"/>
          <w:sz w:val="24"/>
          <w:szCs w:val="24"/>
        </w:rPr>
        <w:t>This supporting statement is a consolidated document that covers the requirements of both information collections and how they pertain to the RM14-11-00</w:t>
      </w:r>
      <w:r w:rsidR="00702D51">
        <w:rPr>
          <w:rFonts w:ascii="Times New Roman" w:hAnsi="Times New Roman" w:cs="Times New Roman"/>
          <w:sz w:val="24"/>
          <w:szCs w:val="24"/>
        </w:rPr>
        <w:t>0</w:t>
      </w:r>
      <w:r w:rsidR="00CB1A09">
        <w:rPr>
          <w:rFonts w:ascii="Times New Roman" w:hAnsi="Times New Roman" w:cs="Times New Roman"/>
          <w:sz w:val="24"/>
          <w:szCs w:val="24"/>
        </w:rPr>
        <w:t xml:space="preserve"> Final Rule</w:t>
      </w:r>
      <w:r w:rsidR="003559FE">
        <w:rPr>
          <w:rFonts w:ascii="Times New Roman" w:hAnsi="Times New Roman" w:cs="Times New Roman"/>
          <w:sz w:val="24"/>
          <w:szCs w:val="24"/>
        </w:rPr>
        <w:t>.</w:t>
      </w:r>
    </w:p>
    <w:p w14:paraId="2CFC5581" w14:textId="77777777" w:rsidR="0002242D" w:rsidRDefault="0002242D" w:rsidP="00FD66F1">
      <w:pPr>
        <w:spacing w:after="0"/>
        <w:rPr>
          <w:rFonts w:ascii="Times New Roman" w:hAnsi="Times New Roman" w:cs="Times New Roman"/>
          <w:sz w:val="24"/>
          <w:szCs w:val="24"/>
        </w:rPr>
      </w:pPr>
    </w:p>
    <w:p w14:paraId="6768FB9F"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4189E0B9" w14:textId="77777777" w:rsidR="00A72E7B" w:rsidRDefault="00A72E7B" w:rsidP="00EB3E6F">
      <w:pPr>
        <w:spacing w:after="0"/>
        <w:rPr>
          <w:rFonts w:ascii="Times New Roman" w:hAnsi="Times New Roman" w:cs="Times New Roman"/>
          <w:sz w:val="24"/>
          <w:szCs w:val="24"/>
        </w:rPr>
      </w:pPr>
    </w:p>
    <w:p w14:paraId="617EEA81" w14:textId="796B8ACB" w:rsidR="00F63DF4" w:rsidRDefault="003559FE" w:rsidP="007C150D">
      <w:pPr>
        <w:spacing w:after="0"/>
        <w:rPr>
          <w:rFonts w:ascii="Times New Roman" w:hAnsi="Times New Roman" w:cs="Times New Roman"/>
          <w:sz w:val="24"/>
          <w:szCs w:val="24"/>
        </w:rPr>
      </w:pPr>
      <w:r>
        <w:rPr>
          <w:rFonts w:ascii="Times New Roman" w:hAnsi="Times New Roman" w:cs="Times New Roman"/>
          <w:sz w:val="24"/>
          <w:szCs w:val="24"/>
        </w:rPr>
        <w:t xml:space="preserve">FERC-582: </w:t>
      </w:r>
      <w:r w:rsidR="007C150D">
        <w:rPr>
          <w:rFonts w:ascii="Times New Roman" w:hAnsi="Times New Roman" w:cs="Times New Roman"/>
          <w:sz w:val="24"/>
          <w:szCs w:val="24"/>
        </w:rPr>
        <w:t xml:space="preserve">The Commission has jurisdiction over all facilities used for the transmission of electrical energy in interstate commerce under Section 201(b) of the FPA.  </w:t>
      </w:r>
      <w:r w:rsidR="001E3D20">
        <w:rPr>
          <w:rFonts w:ascii="Times New Roman" w:hAnsi="Times New Roman" w:cs="Times New Roman"/>
          <w:sz w:val="24"/>
          <w:szCs w:val="24"/>
        </w:rPr>
        <w:t xml:space="preserve">Any person who owns or operates facilities subject to the Commission’s jurisdiction is a public utility.  </w:t>
      </w:r>
      <w:r w:rsidR="001E3D20" w:rsidRPr="001E3D20">
        <w:rPr>
          <w:rFonts w:ascii="Times New Roman" w:hAnsi="Times New Roman" w:cs="Times New Roman"/>
          <w:sz w:val="24"/>
          <w:szCs w:val="24"/>
        </w:rPr>
        <w:t xml:space="preserve">The Commission is </w:t>
      </w:r>
      <w:r w:rsidR="001E3D20">
        <w:rPr>
          <w:rFonts w:ascii="Times New Roman" w:hAnsi="Times New Roman" w:cs="Times New Roman"/>
          <w:sz w:val="24"/>
          <w:szCs w:val="24"/>
        </w:rPr>
        <w:t xml:space="preserve">charged with the responsibility </w:t>
      </w:r>
      <w:r w:rsidR="001E3D20" w:rsidRPr="001E3D20">
        <w:rPr>
          <w:rFonts w:ascii="Times New Roman" w:hAnsi="Times New Roman" w:cs="Times New Roman"/>
          <w:sz w:val="24"/>
          <w:szCs w:val="24"/>
        </w:rPr>
        <w:t>to ensure that a public utility’s rates, charges, and classifications are just and reasonable and not unduly</w:t>
      </w:r>
      <w:r w:rsidR="001E3D20">
        <w:rPr>
          <w:rFonts w:ascii="Times New Roman" w:hAnsi="Times New Roman" w:cs="Times New Roman"/>
          <w:sz w:val="24"/>
          <w:szCs w:val="24"/>
        </w:rPr>
        <w:t xml:space="preserve"> discriminatory or preferential</w:t>
      </w:r>
      <w:r w:rsidR="001E3D20" w:rsidRPr="001E3D20">
        <w:rPr>
          <w:rFonts w:ascii="Times New Roman" w:hAnsi="Times New Roman" w:cs="Times New Roman"/>
          <w:sz w:val="24"/>
          <w:szCs w:val="24"/>
        </w:rPr>
        <w:t xml:space="preserve"> </w:t>
      </w:r>
      <w:r w:rsidR="001E3D20">
        <w:rPr>
          <w:rFonts w:ascii="Times New Roman" w:hAnsi="Times New Roman" w:cs="Times New Roman"/>
          <w:sz w:val="24"/>
          <w:szCs w:val="24"/>
        </w:rPr>
        <w:t>under S</w:t>
      </w:r>
      <w:r w:rsidR="001E3D20" w:rsidRPr="001E3D20">
        <w:rPr>
          <w:rFonts w:ascii="Times New Roman" w:hAnsi="Times New Roman" w:cs="Times New Roman"/>
          <w:sz w:val="24"/>
          <w:szCs w:val="24"/>
        </w:rPr>
        <w:t>ections 205 and 206 of the FPA</w:t>
      </w:r>
      <w:r w:rsidR="001E3D20">
        <w:rPr>
          <w:rFonts w:ascii="Times New Roman" w:hAnsi="Times New Roman" w:cs="Times New Roman"/>
          <w:sz w:val="24"/>
          <w:szCs w:val="24"/>
        </w:rPr>
        <w:t>.</w:t>
      </w:r>
    </w:p>
    <w:p w14:paraId="5CF733C6" w14:textId="77777777" w:rsidR="001E3D20" w:rsidRDefault="001E3D20" w:rsidP="007C150D">
      <w:pPr>
        <w:spacing w:after="0"/>
        <w:rPr>
          <w:rFonts w:ascii="Times New Roman" w:hAnsi="Times New Roman" w:cs="Times New Roman"/>
          <w:sz w:val="24"/>
          <w:szCs w:val="24"/>
        </w:rPr>
      </w:pPr>
    </w:p>
    <w:p w14:paraId="128A15C3" w14:textId="275816B3" w:rsidR="001E3D20" w:rsidRDefault="003559FE" w:rsidP="007C150D">
      <w:pPr>
        <w:spacing w:after="0"/>
        <w:rPr>
          <w:rFonts w:ascii="Times New Roman" w:hAnsi="Times New Roman" w:cs="Times New Roman"/>
          <w:sz w:val="24"/>
          <w:szCs w:val="24"/>
        </w:rPr>
      </w:pPr>
      <w:r>
        <w:rPr>
          <w:rFonts w:ascii="Times New Roman" w:hAnsi="Times New Roman" w:cs="Times New Roman"/>
          <w:sz w:val="24"/>
          <w:szCs w:val="24"/>
        </w:rPr>
        <w:t xml:space="preserve">FERC-917: </w:t>
      </w:r>
      <w:r w:rsidR="001E3D20">
        <w:rPr>
          <w:rFonts w:ascii="Times New Roman" w:hAnsi="Times New Roman" w:cs="Times New Roman"/>
          <w:sz w:val="24"/>
          <w:szCs w:val="24"/>
        </w:rPr>
        <w:t xml:space="preserve">In order No. 888 </w:t>
      </w:r>
      <w:r w:rsidR="00BD3FCB">
        <w:rPr>
          <w:rFonts w:ascii="Times New Roman" w:hAnsi="Times New Roman" w:cs="Times New Roman"/>
          <w:sz w:val="24"/>
          <w:szCs w:val="24"/>
        </w:rPr>
        <w:t>r</w:t>
      </w:r>
      <w:r w:rsidR="001E3D20">
        <w:rPr>
          <w:rFonts w:ascii="Times New Roman" w:hAnsi="Times New Roman" w:cs="Times New Roman"/>
          <w:sz w:val="24"/>
          <w:szCs w:val="24"/>
        </w:rPr>
        <w:t xml:space="preserve">elying upon its authority under Sections 205 and 206 of the FPA, the Commission established nondiscriminatory open access to electric transmission service as </w:t>
      </w:r>
      <w:r w:rsidR="007F1F0F">
        <w:rPr>
          <w:rFonts w:ascii="Times New Roman" w:hAnsi="Times New Roman" w:cs="Times New Roman"/>
          <w:sz w:val="24"/>
          <w:szCs w:val="24"/>
        </w:rPr>
        <w:t>the necessary</w:t>
      </w:r>
      <w:r w:rsidR="001E3D20">
        <w:rPr>
          <w:rFonts w:ascii="Times New Roman" w:hAnsi="Times New Roman" w:cs="Times New Roman"/>
          <w:sz w:val="24"/>
          <w:szCs w:val="24"/>
        </w:rPr>
        <w:t xml:space="preserve"> foundation to develop competitive bulk power markets in the United States.  Order No. 888 requires that all public utilities that own, control, or operate facilities must offer transmission service to all eligible customers under</w:t>
      </w:r>
      <w:r w:rsidR="00BD3FCB">
        <w:rPr>
          <w:rFonts w:ascii="Times New Roman" w:hAnsi="Times New Roman" w:cs="Times New Roman"/>
          <w:sz w:val="24"/>
          <w:szCs w:val="24"/>
        </w:rPr>
        <w:t xml:space="preserve"> standard terms and conditions.  Order No. 888 (codified in 18 CFR Section 35.28) requires that any public utility that owns, controls, or operates facilities used for the transmission of electric energy in interstate commerce must file an </w:t>
      </w:r>
      <w:r w:rsidR="00E35735">
        <w:rPr>
          <w:rFonts w:ascii="Times New Roman" w:hAnsi="Times New Roman" w:cs="Times New Roman"/>
          <w:sz w:val="24"/>
          <w:szCs w:val="24"/>
        </w:rPr>
        <w:t>Open Access Transmission Tariff (</w:t>
      </w:r>
      <w:r w:rsidR="00BD3FCB">
        <w:rPr>
          <w:rFonts w:ascii="Times New Roman" w:hAnsi="Times New Roman" w:cs="Times New Roman"/>
          <w:sz w:val="24"/>
          <w:szCs w:val="24"/>
        </w:rPr>
        <w:t>OATT</w:t>
      </w:r>
      <w:r w:rsidR="00E35735">
        <w:rPr>
          <w:rFonts w:ascii="Times New Roman" w:hAnsi="Times New Roman" w:cs="Times New Roman"/>
          <w:sz w:val="24"/>
          <w:szCs w:val="24"/>
        </w:rPr>
        <w:t>)</w:t>
      </w:r>
      <w:r w:rsidR="00BD3FCB">
        <w:rPr>
          <w:rFonts w:ascii="Times New Roman" w:hAnsi="Times New Roman" w:cs="Times New Roman"/>
          <w:sz w:val="24"/>
          <w:szCs w:val="24"/>
        </w:rPr>
        <w:t xml:space="preserve"> and comply with other related requirements.  </w:t>
      </w:r>
    </w:p>
    <w:p w14:paraId="5671A3B8" w14:textId="77777777" w:rsidR="00EB3E6F" w:rsidRPr="00EB3E6F" w:rsidRDefault="00EB3E6F" w:rsidP="00EB3E6F">
      <w:pPr>
        <w:spacing w:after="0"/>
        <w:rPr>
          <w:rFonts w:ascii="Times New Roman" w:hAnsi="Times New Roman" w:cs="Times New Roman"/>
          <w:sz w:val="24"/>
          <w:szCs w:val="24"/>
        </w:rPr>
      </w:pPr>
    </w:p>
    <w:p w14:paraId="60A2A76D"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5AFDFBC7" w14:textId="77777777" w:rsidR="00EB3E6F" w:rsidRDefault="00EB3E6F" w:rsidP="00EB3E6F">
      <w:pPr>
        <w:spacing w:after="0"/>
        <w:rPr>
          <w:rFonts w:ascii="Times New Roman" w:hAnsi="Times New Roman" w:cs="Times New Roman"/>
          <w:sz w:val="24"/>
          <w:szCs w:val="24"/>
        </w:rPr>
      </w:pPr>
    </w:p>
    <w:p w14:paraId="5CB0F2CF" w14:textId="7F2ED7C7" w:rsidR="00F63DF4" w:rsidRDefault="00BD3FCB" w:rsidP="00BD3FCB">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CB1A09">
        <w:rPr>
          <w:rFonts w:ascii="Times New Roman" w:hAnsi="Times New Roman" w:cs="Times New Roman"/>
          <w:sz w:val="24"/>
          <w:szCs w:val="24"/>
        </w:rPr>
        <w:t>Final Rule in Docket No.</w:t>
      </w:r>
      <w:proofErr w:type="gramEnd"/>
      <w:r w:rsidR="00CB1A09">
        <w:rPr>
          <w:rFonts w:ascii="Times New Roman" w:hAnsi="Times New Roman" w:cs="Times New Roman"/>
          <w:sz w:val="24"/>
          <w:szCs w:val="24"/>
        </w:rPr>
        <w:t xml:space="preserve"> RM14-11 approves</w:t>
      </w:r>
      <w:r>
        <w:rPr>
          <w:rFonts w:ascii="Times New Roman" w:hAnsi="Times New Roman" w:cs="Times New Roman"/>
          <w:sz w:val="24"/>
          <w:szCs w:val="24"/>
        </w:rPr>
        <w:t xml:space="preserve"> the following changes to provide non-discriminatory access to </w:t>
      </w:r>
      <w:r w:rsidR="00E35735">
        <w:rPr>
          <w:rFonts w:ascii="Times New Roman" w:hAnsi="Times New Roman" w:cs="Times New Roman"/>
          <w:sz w:val="24"/>
          <w:szCs w:val="24"/>
        </w:rPr>
        <w:t>Interconnection Customer’s Interconnection Facilities (</w:t>
      </w:r>
      <w:r>
        <w:rPr>
          <w:rFonts w:ascii="Times New Roman" w:hAnsi="Times New Roman" w:cs="Times New Roman"/>
          <w:sz w:val="24"/>
          <w:szCs w:val="24"/>
        </w:rPr>
        <w:t>ICIF</w:t>
      </w:r>
      <w:r w:rsidR="00E35735">
        <w:rPr>
          <w:rFonts w:ascii="Times New Roman" w:hAnsi="Times New Roman" w:cs="Times New Roman"/>
          <w:sz w:val="24"/>
          <w:szCs w:val="24"/>
        </w:rPr>
        <w:t>)</w:t>
      </w:r>
      <w:r>
        <w:rPr>
          <w:rFonts w:ascii="Times New Roman" w:hAnsi="Times New Roman" w:cs="Times New Roman"/>
          <w:sz w:val="24"/>
          <w:szCs w:val="24"/>
        </w:rPr>
        <w:t xml:space="preserve"> to replace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current case-by-case approach for granting waivers of the OATT and priority rights declarations:</w:t>
      </w:r>
    </w:p>
    <w:p w14:paraId="0B5FD029" w14:textId="77777777" w:rsidR="00BD3FCB" w:rsidRDefault="00BD3FCB" w:rsidP="00BD3FCB">
      <w:pPr>
        <w:spacing w:after="0"/>
        <w:rPr>
          <w:rFonts w:ascii="Times New Roman" w:hAnsi="Times New Roman" w:cs="Times New Roman"/>
          <w:sz w:val="24"/>
          <w:szCs w:val="24"/>
        </w:rPr>
      </w:pPr>
    </w:p>
    <w:p w14:paraId="75C16A04" w14:textId="26F3D908" w:rsidR="00BD3FCB" w:rsidRDefault="00B81C6C" w:rsidP="00BD3FCB">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FERC-917: </w:t>
      </w:r>
      <w:r w:rsidR="00BD3FCB">
        <w:rPr>
          <w:rFonts w:ascii="Times New Roman" w:hAnsi="Times New Roman" w:cs="Times New Roman"/>
          <w:sz w:val="24"/>
          <w:szCs w:val="24"/>
        </w:rPr>
        <w:t>Granting Blanket Waivers to Eligibl</w:t>
      </w:r>
      <w:r w:rsidR="0041251C">
        <w:rPr>
          <w:rFonts w:ascii="Times New Roman" w:hAnsi="Times New Roman" w:cs="Times New Roman"/>
          <w:sz w:val="24"/>
          <w:szCs w:val="24"/>
        </w:rPr>
        <w:t>e</w:t>
      </w:r>
      <w:r w:rsidR="00BD3FCB">
        <w:rPr>
          <w:rFonts w:ascii="Times New Roman" w:hAnsi="Times New Roman" w:cs="Times New Roman"/>
          <w:sz w:val="24"/>
          <w:szCs w:val="24"/>
        </w:rPr>
        <w:t xml:space="preserve"> ICIF Owners</w:t>
      </w:r>
      <w:r w:rsidR="00366CB8">
        <w:rPr>
          <w:rFonts w:ascii="Times New Roman" w:hAnsi="Times New Roman" w:cs="Times New Roman"/>
          <w:sz w:val="24"/>
          <w:szCs w:val="24"/>
        </w:rPr>
        <w:t>. Th</w:t>
      </w:r>
      <w:r w:rsidR="00183F28">
        <w:rPr>
          <w:rFonts w:ascii="Times New Roman" w:hAnsi="Times New Roman" w:cs="Times New Roman"/>
          <w:sz w:val="24"/>
          <w:szCs w:val="24"/>
        </w:rPr>
        <w:t>e</w:t>
      </w:r>
      <w:r w:rsidR="00366CB8">
        <w:rPr>
          <w:rFonts w:ascii="Times New Roman" w:hAnsi="Times New Roman" w:cs="Times New Roman"/>
          <w:sz w:val="24"/>
          <w:szCs w:val="24"/>
        </w:rPr>
        <w:t>s</w:t>
      </w:r>
      <w:r w:rsidR="00183F28">
        <w:rPr>
          <w:rFonts w:ascii="Times New Roman" w:hAnsi="Times New Roman" w:cs="Times New Roman"/>
          <w:sz w:val="24"/>
          <w:szCs w:val="24"/>
        </w:rPr>
        <w:t>e</w:t>
      </w:r>
      <w:r w:rsidR="00366CB8">
        <w:rPr>
          <w:rFonts w:ascii="Times New Roman" w:hAnsi="Times New Roman" w:cs="Times New Roman"/>
          <w:sz w:val="24"/>
          <w:szCs w:val="24"/>
        </w:rPr>
        <w:t xml:space="preserve"> blanket waiver</w:t>
      </w:r>
      <w:r w:rsidR="00183F28">
        <w:rPr>
          <w:rFonts w:ascii="Times New Roman" w:hAnsi="Times New Roman" w:cs="Times New Roman"/>
          <w:sz w:val="24"/>
          <w:szCs w:val="24"/>
        </w:rPr>
        <w:t>s</w:t>
      </w:r>
      <w:r w:rsidR="00366CB8">
        <w:rPr>
          <w:rFonts w:ascii="Times New Roman" w:hAnsi="Times New Roman" w:cs="Times New Roman"/>
          <w:sz w:val="24"/>
          <w:szCs w:val="24"/>
        </w:rPr>
        <w:t xml:space="preserve"> r</w:t>
      </w:r>
      <w:r w:rsidR="00183F28">
        <w:rPr>
          <w:rFonts w:ascii="Times New Roman" w:hAnsi="Times New Roman" w:cs="Times New Roman"/>
          <w:sz w:val="24"/>
          <w:szCs w:val="24"/>
        </w:rPr>
        <w:t>esult</w:t>
      </w:r>
      <w:r w:rsidR="00366CB8">
        <w:rPr>
          <w:rFonts w:ascii="Times New Roman" w:hAnsi="Times New Roman" w:cs="Times New Roman"/>
          <w:sz w:val="24"/>
          <w:szCs w:val="24"/>
        </w:rPr>
        <w:t xml:space="preserve"> in the reduction in burden associated with avoided OATT filings and OATT waiver filings.  </w:t>
      </w:r>
      <w:r w:rsidR="00EB55CF">
        <w:rPr>
          <w:rFonts w:ascii="Times New Roman" w:hAnsi="Times New Roman" w:cs="Times New Roman"/>
          <w:sz w:val="24"/>
          <w:szCs w:val="24"/>
        </w:rPr>
        <w:t xml:space="preserve">These filings have been used to </w:t>
      </w:r>
      <w:r w:rsidR="007F1015">
        <w:rPr>
          <w:rFonts w:ascii="Times New Roman" w:hAnsi="Times New Roman" w:cs="Times New Roman"/>
          <w:sz w:val="24"/>
          <w:szCs w:val="24"/>
        </w:rPr>
        <w:t xml:space="preserve">clarify </w:t>
      </w:r>
      <w:r w:rsidR="00EB55CF">
        <w:rPr>
          <w:rFonts w:ascii="Times New Roman" w:hAnsi="Times New Roman" w:cs="Times New Roman"/>
          <w:sz w:val="24"/>
          <w:szCs w:val="24"/>
        </w:rPr>
        <w:t xml:space="preserve">the rights and obligations of </w:t>
      </w:r>
      <w:r w:rsidR="007F1015">
        <w:rPr>
          <w:rFonts w:ascii="Times New Roman" w:hAnsi="Times New Roman" w:cs="Times New Roman"/>
          <w:sz w:val="24"/>
          <w:szCs w:val="24"/>
        </w:rPr>
        <w:t>owners of transmission facilities.</w:t>
      </w:r>
      <w:r w:rsidR="00366CB8">
        <w:rPr>
          <w:rFonts w:ascii="Times New Roman" w:hAnsi="Times New Roman" w:cs="Times New Roman"/>
          <w:sz w:val="24"/>
          <w:szCs w:val="24"/>
        </w:rPr>
        <w:t xml:space="preserve"> </w:t>
      </w:r>
    </w:p>
    <w:p w14:paraId="180D1357" w14:textId="73D9D12F" w:rsidR="00BD3FCB" w:rsidRDefault="00B81C6C" w:rsidP="00BD3FCB">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FERC-582: </w:t>
      </w:r>
      <w:r w:rsidR="00B50450">
        <w:rPr>
          <w:rFonts w:ascii="Times New Roman" w:hAnsi="Times New Roman" w:cs="Times New Roman"/>
          <w:sz w:val="24"/>
          <w:szCs w:val="24"/>
        </w:rPr>
        <w:t xml:space="preserve">Providing Open Access and Establishing Priority Rights to ICIF through FPA Sections 210 and 211. </w:t>
      </w:r>
      <w:r w:rsidR="00366CB8">
        <w:rPr>
          <w:rFonts w:ascii="Times New Roman" w:hAnsi="Times New Roman" w:cs="Times New Roman"/>
          <w:sz w:val="24"/>
          <w:szCs w:val="24"/>
        </w:rPr>
        <w:t xml:space="preserve">  This process results in the reduction in burden associated with avoided petitions for declaratory order</w:t>
      </w:r>
      <w:r w:rsidR="00AF496D">
        <w:rPr>
          <w:rFonts w:ascii="Times New Roman" w:hAnsi="Times New Roman" w:cs="Times New Roman"/>
          <w:sz w:val="24"/>
          <w:szCs w:val="24"/>
        </w:rPr>
        <w:t xml:space="preserve">, which have been used </w:t>
      </w:r>
      <w:r w:rsidR="00EB55CF">
        <w:rPr>
          <w:rFonts w:ascii="Times New Roman" w:hAnsi="Times New Roman" w:cs="Times New Roman"/>
          <w:sz w:val="24"/>
          <w:szCs w:val="24"/>
        </w:rPr>
        <w:t xml:space="preserve">by ICIF owners </w:t>
      </w:r>
      <w:r w:rsidR="00AF496D">
        <w:rPr>
          <w:rFonts w:ascii="Times New Roman" w:hAnsi="Times New Roman" w:cs="Times New Roman"/>
          <w:sz w:val="24"/>
          <w:szCs w:val="24"/>
        </w:rPr>
        <w:t xml:space="preserve">to secure priority rights </w:t>
      </w:r>
      <w:r w:rsidR="00EB55CF">
        <w:rPr>
          <w:rFonts w:ascii="Times New Roman" w:hAnsi="Times New Roman" w:cs="Times New Roman"/>
          <w:sz w:val="24"/>
          <w:szCs w:val="24"/>
        </w:rPr>
        <w:t xml:space="preserve">to ICIF capacity </w:t>
      </w:r>
      <w:r w:rsidR="00AF496D">
        <w:rPr>
          <w:rFonts w:ascii="Times New Roman" w:hAnsi="Times New Roman" w:cs="Times New Roman"/>
          <w:sz w:val="24"/>
          <w:szCs w:val="24"/>
        </w:rPr>
        <w:t xml:space="preserve">for future phased generation development.  </w:t>
      </w:r>
    </w:p>
    <w:p w14:paraId="48ABBC0F" w14:textId="6C24B07C" w:rsidR="00B50450" w:rsidRDefault="00B81C6C" w:rsidP="00BD3FCB">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FERC-917: </w:t>
      </w:r>
      <w:r w:rsidR="00B50450">
        <w:rPr>
          <w:rFonts w:ascii="Times New Roman" w:hAnsi="Times New Roman" w:cs="Times New Roman"/>
          <w:sz w:val="24"/>
          <w:szCs w:val="24"/>
        </w:rPr>
        <w:t>Safe Harbor</w:t>
      </w:r>
      <w:r w:rsidR="00E35735" w:rsidRPr="00363551">
        <w:rPr>
          <w:rStyle w:val="FootnoteReference"/>
          <w:rFonts w:ascii="Times New Roman" w:hAnsi="Times New Roman" w:cs="Times New Roman"/>
          <w:sz w:val="24"/>
          <w:szCs w:val="24"/>
          <w:vertAlign w:val="superscript"/>
        </w:rPr>
        <w:footnoteReference w:id="1"/>
      </w:r>
      <w:r w:rsidR="00B50450">
        <w:rPr>
          <w:rFonts w:ascii="Times New Roman" w:hAnsi="Times New Roman" w:cs="Times New Roman"/>
          <w:sz w:val="24"/>
          <w:szCs w:val="24"/>
        </w:rPr>
        <w:t xml:space="preserve"> for Early Years </w:t>
      </w:r>
      <w:r w:rsidR="00F438A9">
        <w:rPr>
          <w:rFonts w:ascii="Times New Roman" w:hAnsi="Times New Roman" w:cs="Times New Roman"/>
          <w:sz w:val="24"/>
          <w:szCs w:val="24"/>
        </w:rPr>
        <w:t>of Project</w:t>
      </w:r>
      <w:r w:rsidR="00366CB8">
        <w:rPr>
          <w:rFonts w:ascii="Times New Roman" w:hAnsi="Times New Roman" w:cs="Times New Roman"/>
          <w:sz w:val="24"/>
          <w:szCs w:val="24"/>
        </w:rPr>
        <w:t>.</w:t>
      </w:r>
      <w:r w:rsidR="00A26F9A">
        <w:rPr>
          <w:rFonts w:ascii="Times New Roman" w:hAnsi="Times New Roman" w:cs="Times New Roman"/>
          <w:i/>
          <w:sz w:val="24"/>
          <w:szCs w:val="24"/>
        </w:rPr>
        <w:t xml:space="preserve"> </w:t>
      </w:r>
      <w:r w:rsidR="00366CB8">
        <w:rPr>
          <w:rFonts w:ascii="Times New Roman" w:hAnsi="Times New Roman" w:cs="Times New Roman"/>
          <w:sz w:val="24"/>
          <w:szCs w:val="24"/>
        </w:rPr>
        <w:t xml:space="preserve">Creating this safe harbor necessitates the safe harbor </w:t>
      </w:r>
      <w:r w:rsidR="00F438A9">
        <w:rPr>
          <w:rFonts w:ascii="Times New Roman" w:hAnsi="Times New Roman" w:cs="Times New Roman"/>
          <w:sz w:val="24"/>
          <w:szCs w:val="24"/>
        </w:rPr>
        <w:t xml:space="preserve">commercial operation </w:t>
      </w:r>
      <w:r w:rsidR="00366CB8">
        <w:rPr>
          <w:rFonts w:ascii="Times New Roman" w:hAnsi="Times New Roman" w:cs="Times New Roman"/>
          <w:sz w:val="24"/>
          <w:szCs w:val="24"/>
        </w:rPr>
        <w:t>date filing</w:t>
      </w:r>
      <w:r w:rsidR="00E35735" w:rsidRPr="00363551">
        <w:rPr>
          <w:rStyle w:val="FootnoteReference"/>
          <w:rFonts w:ascii="Times New Roman" w:hAnsi="Times New Roman" w:cs="Times New Roman"/>
          <w:sz w:val="24"/>
          <w:szCs w:val="24"/>
          <w:vertAlign w:val="superscript"/>
        </w:rPr>
        <w:footnoteReference w:id="2"/>
      </w:r>
      <w:r w:rsidR="00366CB8">
        <w:rPr>
          <w:rFonts w:ascii="Times New Roman" w:hAnsi="Times New Roman" w:cs="Times New Roman"/>
          <w:sz w:val="24"/>
          <w:szCs w:val="24"/>
        </w:rPr>
        <w:t xml:space="preserve">.  This information may be used by both the Commission and the public to ascertain when a safe harbor period will be in effect, which would have implications on the standard a third party would have to meet </w:t>
      </w:r>
      <w:r w:rsidR="00C3607B">
        <w:rPr>
          <w:rFonts w:ascii="Times New Roman" w:hAnsi="Times New Roman" w:cs="Times New Roman"/>
          <w:sz w:val="24"/>
          <w:szCs w:val="24"/>
        </w:rPr>
        <w:t>in an FPA section 210 and 211 application</w:t>
      </w:r>
      <w:r w:rsidR="00366CB8">
        <w:rPr>
          <w:rFonts w:ascii="Times New Roman" w:hAnsi="Times New Roman" w:cs="Times New Roman"/>
          <w:sz w:val="24"/>
          <w:szCs w:val="24"/>
        </w:rPr>
        <w:t xml:space="preserve">.  </w:t>
      </w:r>
      <w:r w:rsidR="00D200A9">
        <w:rPr>
          <w:rFonts w:ascii="Times New Roman" w:hAnsi="Times New Roman" w:cs="Times New Roman"/>
          <w:sz w:val="24"/>
          <w:szCs w:val="24"/>
        </w:rPr>
        <w:t xml:space="preserve">Without the safe harbor </w:t>
      </w:r>
      <w:r w:rsidR="00F438A9">
        <w:rPr>
          <w:rFonts w:ascii="Times New Roman" w:hAnsi="Times New Roman" w:cs="Times New Roman"/>
          <w:sz w:val="24"/>
          <w:szCs w:val="24"/>
        </w:rPr>
        <w:t xml:space="preserve">commercial operation </w:t>
      </w:r>
      <w:r w:rsidR="00D200A9">
        <w:rPr>
          <w:rFonts w:ascii="Times New Roman" w:hAnsi="Times New Roman" w:cs="Times New Roman"/>
          <w:sz w:val="24"/>
          <w:szCs w:val="24"/>
        </w:rPr>
        <w:t>date filing, it would be more difficult for the Commission and any potentially interested third party to verify when the safe harbor period would expire, which could cause confusion</w:t>
      </w:r>
      <w:r w:rsidR="00C3607B">
        <w:rPr>
          <w:rFonts w:ascii="Times New Roman" w:hAnsi="Times New Roman" w:cs="Times New Roman"/>
          <w:sz w:val="24"/>
          <w:szCs w:val="24"/>
        </w:rPr>
        <w:t xml:space="preserve"> as to the standard a third party would need to meet in an FPA section 210 and 211 application.</w:t>
      </w:r>
      <w:r w:rsidR="00D200A9">
        <w:rPr>
          <w:rFonts w:ascii="Times New Roman" w:hAnsi="Times New Roman" w:cs="Times New Roman"/>
          <w:sz w:val="24"/>
          <w:szCs w:val="24"/>
        </w:rPr>
        <w:t xml:space="preserve"> </w:t>
      </w:r>
      <w:r w:rsidR="00F438A9">
        <w:rPr>
          <w:rFonts w:ascii="Times New Roman" w:hAnsi="Times New Roman" w:cs="Times New Roman"/>
          <w:sz w:val="24"/>
          <w:szCs w:val="24"/>
        </w:rPr>
        <w:t xml:space="preserve"> </w:t>
      </w:r>
    </w:p>
    <w:p w14:paraId="3D8EDD7E" w14:textId="487915DF" w:rsidR="00F438A9" w:rsidRPr="00F571E6" w:rsidRDefault="00F438A9" w:rsidP="00166C01">
      <w:pPr>
        <w:pStyle w:val="ListParagraph"/>
        <w:numPr>
          <w:ilvl w:val="0"/>
          <w:numId w:val="8"/>
        </w:numPr>
        <w:spacing w:after="0"/>
        <w:rPr>
          <w:rFonts w:ascii="Times New Roman" w:hAnsi="Times New Roman" w:cs="Times New Roman"/>
          <w:sz w:val="24"/>
          <w:szCs w:val="24"/>
        </w:rPr>
      </w:pPr>
      <w:r w:rsidRPr="00166C01">
        <w:rPr>
          <w:rFonts w:ascii="Times New Roman" w:hAnsi="Times New Roman" w:cs="Times New Roman"/>
          <w:sz w:val="24"/>
          <w:szCs w:val="24"/>
        </w:rPr>
        <w:t xml:space="preserve">FERC-917: </w:t>
      </w:r>
      <w:r w:rsidR="00B0473A" w:rsidRPr="00166C01">
        <w:rPr>
          <w:rFonts w:ascii="Times New Roman" w:hAnsi="Times New Roman" w:cs="Times New Roman"/>
          <w:sz w:val="24"/>
          <w:szCs w:val="24"/>
        </w:rPr>
        <w:t>Extend blanket waiver to ICIF own</w:t>
      </w:r>
      <w:r w:rsidR="00B0473A" w:rsidRPr="00F571E6">
        <w:rPr>
          <w:rFonts w:ascii="Times New Roman" w:hAnsi="Times New Roman" w:cs="Times New Roman"/>
          <w:sz w:val="24"/>
          <w:szCs w:val="24"/>
        </w:rPr>
        <w:t xml:space="preserve">ers that do not sell electricity.  </w:t>
      </w:r>
      <w:r w:rsidR="00166C01" w:rsidRPr="00F571E6">
        <w:rPr>
          <w:rFonts w:ascii="Times New Roman" w:hAnsi="Times New Roman" w:cs="Times New Roman"/>
          <w:sz w:val="24"/>
          <w:szCs w:val="24"/>
        </w:rPr>
        <w:t>The Commission intends section</w:t>
      </w:r>
      <w:r w:rsidR="00166C01" w:rsidRPr="00291382">
        <w:rPr>
          <w:rFonts w:ascii="Times New Roman" w:hAnsi="Times New Roman" w:cs="Times New Roman"/>
          <w:sz w:val="24"/>
          <w:szCs w:val="24"/>
        </w:rPr>
        <w:t xml:space="preserve">s 210 and 211 of the FPA to provide </w:t>
      </w:r>
      <w:r w:rsidR="00166C01" w:rsidRPr="00166C01">
        <w:rPr>
          <w:rFonts w:ascii="Times New Roman" w:hAnsi="Times New Roman" w:cs="Times New Roman"/>
          <w:sz w:val="24"/>
          <w:szCs w:val="24"/>
        </w:rPr>
        <w:t>a backstop means for third party access to ICIF in the wake of the blanket OATT waiver.  Section 210 is only applicable to electric utilities, i.e., entities that sell electricity, and not all ICIF owners sell electricity, due to varying project ownership structures.  Thus, the Commission chose to extend the blanket waiver to ICIF owners that do not sell electricity, provided that such entities file an informational statement committing to comply and be bound by the obligations and procedures applicable to electric utilities under</w:t>
      </w:r>
      <w:r w:rsidR="00166C01">
        <w:rPr>
          <w:rFonts w:ascii="Times New Roman" w:hAnsi="Times New Roman" w:cs="Times New Roman"/>
          <w:sz w:val="24"/>
          <w:szCs w:val="24"/>
        </w:rPr>
        <w:t xml:space="preserve"> </w:t>
      </w:r>
      <w:r w:rsidR="00166C01" w:rsidRPr="00166C01">
        <w:rPr>
          <w:rFonts w:ascii="Times New Roman" w:hAnsi="Times New Roman" w:cs="Times New Roman"/>
          <w:sz w:val="24"/>
          <w:szCs w:val="24"/>
        </w:rPr>
        <w:t>section 210 of the FPA</w:t>
      </w:r>
      <w:r w:rsidR="00F571E6">
        <w:rPr>
          <w:rFonts w:ascii="Times New Roman" w:hAnsi="Times New Roman" w:cs="Times New Roman"/>
          <w:sz w:val="24"/>
          <w:szCs w:val="24"/>
        </w:rPr>
        <w:t>.</w:t>
      </w:r>
    </w:p>
    <w:p w14:paraId="496B3F60" w14:textId="77777777" w:rsidR="00785CD2" w:rsidRPr="00EB3E6F" w:rsidRDefault="00785CD2" w:rsidP="00F63DF4">
      <w:pPr>
        <w:spacing w:after="0"/>
        <w:rPr>
          <w:rFonts w:ascii="Times New Roman" w:hAnsi="Times New Roman" w:cs="Times New Roman"/>
          <w:sz w:val="24"/>
          <w:szCs w:val="24"/>
        </w:rPr>
      </w:pPr>
    </w:p>
    <w:p w14:paraId="326B18F9"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51A9CCCA" w14:textId="77777777" w:rsidR="00EB3E6F" w:rsidRDefault="00EB3E6F" w:rsidP="00EB3E6F">
      <w:pPr>
        <w:spacing w:after="0"/>
        <w:rPr>
          <w:rFonts w:ascii="Times New Roman" w:hAnsi="Times New Roman" w:cs="Times New Roman"/>
          <w:sz w:val="24"/>
          <w:szCs w:val="24"/>
        </w:rPr>
      </w:pPr>
    </w:p>
    <w:p w14:paraId="7A225465" w14:textId="7116007B" w:rsidR="00EB3E6F" w:rsidRDefault="007F57C9" w:rsidP="00EB3E6F">
      <w:pPr>
        <w:spacing w:after="0"/>
        <w:rPr>
          <w:rFonts w:ascii="Times New Roman" w:hAnsi="Times New Roman" w:cs="Times New Roman"/>
          <w:sz w:val="24"/>
          <w:szCs w:val="24"/>
        </w:rPr>
      </w:pPr>
      <w:r>
        <w:rPr>
          <w:rFonts w:ascii="Times New Roman" w:hAnsi="Times New Roman" w:cs="Times New Roman"/>
          <w:sz w:val="24"/>
          <w:szCs w:val="24"/>
        </w:rPr>
        <w:t xml:space="preserve">Filers can use </w:t>
      </w:r>
      <w:proofErr w:type="spellStart"/>
      <w:r w:rsidR="00934B37">
        <w:rPr>
          <w:rFonts w:ascii="Times New Roman" w:hAnsi="Times New Roman" w:cs="Times New Roman"/>
          <w:sz w:val="24"/>
          <w:szCs w:val="24"/>
        </w:rPr>
        <w:t>eFiling</w:t>
      </w:r>
      <w:proofErr w:type="spellEnd"/>
      <w:r w:rsidR="00934B37">
        <w:rPr>
          <w:rFonts w:ascii="Times New Roman" w:hAnsi="Times New Roman" w:cs="Times New Roman"/>
          <w:sz w:val="24"/>
          <w:szCs w:val="24"/>
        </w:rPr>
        <w:t xml:space="preserve"> in order to submit the </w:t>
      </w:r>
      <w:r w:rsidR="00A26F9A">
        <w:rPr>
          <w:rFonts w:ascii="Times New Roman" w:hAnsi="Times New Roman" w:cs="Times New Roman"/>
          <w:sz w:val="24"/>
          <w:szCs w:val="24"/>
        </w:rPr>
        <w:t xml:space="preserve">safe harbor </w:t>
      </w:r>
      <w:r w:rsidR="00F438A9">
        <w:rPr>
          <w:rFonts w:ascii="Times New Roman" w:hAnsi="Times New Roman" w:cs="Times New Roman"/>
          <w:sz w:val="24"/>
          <w:szCs w:val="24"/>
        </w:rPr>
        <w:t xml:space="preserve">commercial operation </w:t>
      </w:r>
      <w:r w:rsidR="00A26F9A">
        <w:rPr>
          <w:rFonts w:ascii="Times New Roman" w:hAnsi="Times New Roman" w:cs="Times New Roman"/>
          <w:sz w:val="24"/>
          <w:szCs w:val="24"/>
        </w:rPr>
        <w:t xml:space="preserve">date. </w:t>
      </w:r>
      <w:r w:rsidR="00934B37">
        <w:rPr>
          <w:rFonts w:ascii="Times New Roman" w:hAnsi="Times New Roman" w:cs="Times New Roman"/>
          <w:sz w:val="24"/>
          <w:szCs w:val="24"/>
        </w:rPr>
        <w:t>This would allow those users to minimize their submission burden using electronic submission as opposed to more traditional means (e.g. mail, messenger-service).</w:t>
      </w:r>
    </w:p>
    <w:p w14:paraId="120C9FEE" w14:textId="77777777" w:rsidR="00A0495C" w:rsidRPr="00EB3E6F" w:rsidRDefault="00A0495C" w:rsidP="00EB3E6F">
      <w:pPr>
        <w:spacing w:after="0"/>
        <w:rPr>
          <w:rFonts w:ascii="Times New Roman" w:hAnsi="Times New Roman" w:cs="Times New Roman"/>
          <w:sz w:val="24"/>
          <w:szCs w:val="24"/>
        </w:rPr>
      </w:pPr>
    </w:p>
    <w:p w14:paraId="09601D0B"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lastRenderedPageBreak/>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4746EF96" w14:textId="77777777" w:rsidR="00EB3E6F" w:rsidRDefault="00EB3E6F" w:rsidP="00EB3E6F">
      <w:pPr>
        <w:spacing w:after="0"/>
        <w:rPr>
          <w:rFonts w:ascii="Times New Roman" w:hAnsi="Times New Roman" w:cs="Times New Roman"/>
          <w:sz w:val="24"/>
          <w:szCs w:val="24"/>
        </w:rPr>
      </w:pPr>
    </w:p>
    <w:p w14:paraId="07621700" w14:textId="25635667" w:rsidR="00EB3E6F" w:rsidRDefault="00A0495C" w:rsidP="00EB3E6F">
      <w:pPr>
        <w:spacing w:after="0"/>
        <w:rPr>
          <w:rFonts w:ascii="Times New Roman" w:hAnsi="Times New Roman" w:cs="Times New Roman"/>
          <w:sz w:val="24"/>
          <w:szCs w:val="24"/>
        </w:rPr>
      </w:pPr>
      <w:r>
        <w:rPr>
          <w:rFonts w:ascii="Times New Roman" w:hAnsi="Times New Roman" w:cs="Times New Roman"/>
          <w:sz w:val="24"/>
          <w:szCs w:val="24"/>
        </w:rPr>
        <w:t xml:space="preserve">The Commission periodically reviews filing requirements concurrent with OMB review or as the Commission deems necessary to eliminate duplicative filing and to minimize the filing burden. </w:t>
      </w:r>
      <w:r w:rsidR="00584DD5">
        <w:rPr>
          <w:rFonts w:ascii="Times New Roman" w:hAnsi="Times New Roman" w:cs="Times New Roman"/>
          <w:sz w:val="24"/>
          <w:szCs w:val="24"/>
        </w:rPr>
        <w:t>There is no information collection that dup</w:t>
      </w:r>
      <w:r w:rsidR="008B1F00">
        <w:rPr>
          <w:rFonts w:ascii="Times New Roman" w:hAnsi="Times New Roman" w:cs="Times New Roman"/>
          <w:sz w:val="24"/>
          <w:szCs w:val="24"/>
        </w:rPr>
        <w:t>licates the efforts in this Final Rule</w:t>
      </w:r>
      <w:r w:rsidR="00584DD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91915BE" w14:textId="77777777" w:rsidR="00A0495C" w:rsidRPr="00EB3E6F" w:rsidRDefault="00A0495C" w:rsidP="00EB3E6F">
      <w:pPr>
        <w:spacing w:after="0"/>
        <w:rPr>
          <w:rFonts w:ascii="Times New Roman" w:hAnsi="Times New Roman" w:cs="Times New Roman"/>
          <w:sz w:val="24"/>
          <w:szCs w:val="24"/>
        </w:rPr>
      </w:pPr>
    </w:p>
    <w:p w14:paraId="32640373"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41E51C0F" w14:textId="77777777" w:rsidR="00A0495C" w:rsidRDefault="00A0495C" w:rsidP="00EB3E6F">
      <w:pPr>
        <w:spacing w:after="0"/>
        <w:rPr>
          <w:rFonts w:ascii="Times New Roman" w:hAnsi="Times New Roman" w:cs="Times New Roman"/>
          <w:sz w:val="24"/>
          <w:szCs w:val="24"/>
        </w:rPr>
      </w:pPr>
    </w:p>
    <w:p w14:paraId="0D7237A8" w14:textId="4337C394" w:rsidR="00A0495C" w:rsidRDefault="008B1F00" w:rsidP="00EB3E6F">
      <w:pPr>
        <w:spacing w:after="0"/>
        <w:rPr>
          <w:rFonts w:ascii="Times New Roman" w:hAnsi="Times New Roman" w:cs="Times New Roman"/>
          <w:sz w:val="24"/>
          <w:szCs w:val="24"/>
        </w:rPr>
      </w:pPr>
      <w:r>
        <w:rPr>
          <w:rFonts w:ascii="Times New Roman" w:hAnsi="Times New Roman" w:cs="Times New Roman"/>
          <w:sz w:val="24"/>
          <w:szCs w:val="24"/>
        </w:rPr>
        <w:t>The Final Rule</w:t>
      </w:r>
      <w:r w:rsidR="00C303E3">
        <w:rPr>
          <w:rFonts w:ascii="Times New Roman" w:hAnsi="Times New Roman" w:cs="Times New Roman"/>
          <w:sz w:val="24"/>
          <w:szCs w:val="24"/>
        </w:rPr>
        <w:t xml:space="preserve"> </w:t>
      </w:r>
      <w:r>
        <w:rPr>
          <w:rFonts w:ascii="Times New Roman" w:hAnsi="Times New Roman" w:cs="Times New Roman"/>
          <w:sz w:val="24"/>
          <w:szCs w:val="24"/>
        </w:rPr>
        <w:t>approves</w:t>
      </w:r>
      <w:r w:rsidR="00E15721">
        <w:rPr>
          <w:rFonts w:ascii="Times New Roman" w:hAnsi="Times New Roman" w:cs="Times New Roman"/>
          <w:sz w:val="24"/>
          <w:szCs w:val="24"/>
        </w:rPr>
        <w:t xml:space="preserve"> </w:t>
      </w:r>
      <w:r w:rsidR="0041251C">
        <w:rPr>
          <w:rFonts w:ascii="Times New Roman" w:hAnsi="Times New Roman" w:cs="Times New Roman"/>
          <w:sz w:val="24"/>
          <w:szCs w:val="24"/>
        </w:rPr>
        <w:t>a reduction in burden overall for ICIF owners, some of whom may be small entities.</w:t>
      </w:r>
      <w:r w:rsidR="00C70921">
        <w:rPr>
          <w:rFonts w:ascii="Times New Roman" w:hAnsi="Times New Roman" w:cs="Times New Roman"/>
          <w:sz w:val="24"/>
          <w:szCs w:val="24"/>
        </w:rPr>
        <w:t xml:space="preserve">  </w:t>
      </w:r>
      <w:r w:rsidR="00C70921" w:rsidRPr="00E86C7F">
        <w:rPr>
          <w:rFonts w:ascii="Times New Roman" w:hAnsi="Times New Roman" w:cs="Times New Roman"/>
          <w:sz w:val="24"/>
          <w:szCs w:val="24"/>
        </w:rPr>
        <w:t xml:space="preserve">The </w:t>
      </w:r>
      <w:r w:rsidR="00C70921">
        <w:rPr>
          <w:rFonts w:ascii="Times New Roman" w:hAnsi="Times New Roman" w:cs="Times New Roman"/>
          <w:sz w:val="24"/>
          <w:szCs w:val="24"/>
        </w:rPr>
        <w:t xml:space="preserve">reduction will result from </w:t>
      </w:r>
      <w:r w:rsidR="00C70921" w:rsidRPr="00E86C7F">
        <w:rPr>
          <w:rFonts w:ascii="Times New Roman" w:hAnsi="Times New Roman" w:cs="Times New Roman"/>
          <w:sz w:val="24"/>
          <w:szCs w:val="24"/>
        </w:rPr>
        <w:t>a blanket waiver of OATT, OASIS, and Standards of Conduct filing requirements, and thus</w:t>
      </w:r>
      <w:r w:rsidR="00C70921">
        <w:rPr>
          <w:rFonts w:ascii="Times New Roman" w:hAnsi="Times New Roman" w:cs="Times New Roman"/>
          <w:sz w:val="24"/>
          <w:szCs w:val="24"/>
        </w:rPr>
        <w:t xml:space="preserve"> an</w:t>
      </w:r>
      <w:r w:rsidR="00C70921" w:rsidRPr="00E86C7F">
        <w:rPr>
          <w:rFonts w:ascii="Times New Roman" w:hAnsi="Times New Roman" w:cs="Times New Roman"/>
          <w:sz w:val="24"/>
          <w:szCs w:val="24"/>
        </w:rPr>
        <w:t xml:space="preserve"> avoid</w:t>
      </w:r>
      <w:r w:rsidR="00C70921">
        <w:rPr>
          <w:rFonts w:ascii="Times New Roman" w:hAnsi="Times New Roman" w:cs="Times New Roman"/>
          <w:sz w:val="24"/>
          <w:szCs w:val="24"/>
        </w:rPr>
        <w:t>ance of</w:t>
      </w:r>
      <w:r w:rsidR="00C70921" w:rsidRPr="00E86C7F">
        <w:rPr>
          <w:rFonts w:ascii="Times New Roman" w:hAnsi="Times New Roman" w:cs="Times New Roman"/>
          <w:sz w:val="24"/>
          <w:szCs w:val="24"/>
        </w:rPr>
        <w:t xml:space="preserve"> both individual filings to request waiver as well as OATT filings.  The Commission also beli</w:t>
      </w:r>
      <w:r w:rsidR="00C20553">
        <w:rPr>
          <w:rFonts w:ascii="Times New Roman" w:hAnsi="Times New Roman" w:cs="Times New Roman"/>
          <w:sz w:val="24"/>
          <w:szCs w:val="24"/>
        </w:rPr>
        <w:t>eves that the approved</w:t>
      </w:r>
      <w:r w:rsidR="00C70921" w:rsidRPr="00E86C7F">
        <w:rPr>
          <w:rFonts w:ascii="Times New Roman" w:hAnsi="Times New Roman" w:cs="Times New Roman"/>
          <w:sz w:val="24"/>
          <w:szCs w:val="24"/>
        </w:rPr>
        <w:t xml:space="preserve"> regulations will reduce the need for eligible ICIF owners to file petitions for declaratory order to pre-emptively seek priority rights.</w:t>
      </w:r>
      <w:r w:rsidR="001A2BDD">
        <w:rPr>
          <w:rFonts w:ascii="Times New Roman" w:hAnsi="Times New Roman" w:cs="Times New Roman"/>
          <w:sz w:val="24"/>
          <w:szCs w:val="24"/>
        </w:rPr>
        <w:t xml:space="preserve">  These</w:t>
      </w:r>
      <w:r w:rsidR="00C70921">
        <w:rPr>
          <w:rFonts w:ascii="Times New Roman" w:hAnsi="Times New Roman" w:cs="Times New Roman"/>
          <w:sz w:val="24"/>
          <w:szCs w:val="24"/>
        </w:rPr>
        <w:t xml:space="preserve"> reductions will undoubtedly affect small entities.</w:t>
      </w:r>
    </w:p>
    <w:p w14:paraId="71CDD117" w14:textId="77777777" w:rsidR="003C0C1E" w:rsidRPr="00EB3E6F" w:rsidRDefault="003C0C1E" w:rsidP="00EB3E6F">
      <w:pPr>
        <w:spacing w:after="0"/>
        <w:rPr>
          <w:rFonts w:ascii="Times New Roman" w:hAnsi="Times New Roman" w:cs="Times New Roman"/>
          <w:sz w:val="24"/>
          <w:szCs w:val="24"/>
        </w:rPr>
      </w:pPr>
    </w:p>
    <w:p w14:paraId="7FDB4DDF"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1B476138" w14:textId="77777777" w:rsidR="00EB3E6F" w:rsidRDefault="00EB3E6F" w:rsidP="00EB3E6F">
      <w:pPr>
        <w:spacing w:after="0"/>
        <w:rPr>
          <w:rFonts w:ascii="Times New Roman" w:hAnsi="Times New Roman" w:cs="Times New Roman"/>
          <w:sz w:val="24"/>
          <w:szCs w:val="24"/>
        </w:rPr>
      </w:pPr>
    </w:p>
    <w:p w14:paraId="1C6968E7" w14:textId="1677146F" w:rsidR="00A0495C" w:rsidRDefault="00557B7A" w:rsidP="00EB3E6F">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C20553">
        <w:rPr>
          <w:rFonts w:ascii="Times New Roman" w:hAnsi="Times New Roman" w:cs="Times New Roman"/>
          <w:sz w:val="24"/>
          <w:szCs w:val="24"/>
        </w:rPr>
        <w:t>Final Rule</w:t>
      </w:r>
      <w:r w:rsidRPr="00CD3816">
        <w:rPr>
          <w:rFonts w:ascii="Times New Roman" w:hAnsi="Times New Roman" w:cs="Times New Roman"/>
          <w:sz w:val="24"/>
          <w:szCs w:val="24"/>
        </w:rPr>
        <w:t xml:space="preserve"> is intended </w:t>
      </w:r>
      <w:r w:rsidRPr="00124318">
        <w:rPr>
          <w:rFonts w:ascii="Times New Roman" w:hAnsi="Times New Roman" w:cs="Times New Roman"/>
          <w:sz w:val="24"/>
          <w:szCs w:val="24"/>
        </w:rPr>
        <w:t>to reduce regulatory burdens and promote development of generation facilities while continuing to ensure open access to transmission facilities.</w:t>
      </w:r>
      <w:r w:rsidRPr="00CD3816">
        <w:rPr>
          <w:rFonts w:ascii="Times New Roman" w:hAnsi="Times New Roman" w:cs="Times New Roman"/>
          <w:sz w:val="24"/>
          <w:szCs w:val="24"/>
        </w:rPr>
        <w:t xml:space="preserve">  </w:t>
      </w:r>
      <w:r w:rsidR="00C20553">
        <w:rPr>
          <w:rFonts w:ascii="Times New Roman" w:hAnsi="Times New Roman" w:cs="Times New Roman"/>
          <w:sz w:val="24"/>
          <w:szCs w:val="24"/>
        </w:rPr>
        <w:t xml:space="preserve">Without this </w:t>
      </w:r>
      <w:r>
        <w:rPr>
          <w:rFonts w:ascii="Times New Roman" w:hAnsi="Times New Roman" w:cs="Times New Roman"/>
          <w:sz w:val="24"/>
          <w:szCs w:val="24"/>
        </w:rPr>
        <w:t xml:space="preserve">reform, </w:t>
      </w:r>
      <w:r w:rsidRPr="00124318">
        <w:rPr>
          <w:rFonts w:ascii="Times New Roman" w:hAnsi="Times New Roman" w:cs="Times New Roman"/>
          <w:sz w:val="24"/>
          <w:szCs w:val="24"/>
        </w:rPr>
        <w:t>the Commission</w:t>
      </w:r>
      <w:r>
        <w:rPr>
          <w:rFonts w:ascii="Times New Roman" w:hAnsi="Times New Roman" w:cs="Times New Roman"/>
          <w:sz w:val="24"/>
          <w:szCs w:val="24"/>
        </w:rPr>
        <w:t xml:space="preserve"> would continue to apply its</w:t>
      </w:r>
      <w:r w:rsidRPr="00124318">
        <w:rPr>
          <w:rFonts w:ascii="Times New Roman" w:hAnsi="Times New Roman" w:cs="Times New Roman"/>
          <w:sz w:val="24"/>
          <w:szCs w:val="24"/>
        </w:rPr>
        <w:t xml:space="preserve"> current OATT requirements to </w:t>
      </w:r>
      <w:proofErr w:type="gramStart"/>
      <w:r w:rsidRPr="00124318">
        <w:rPr>
          <w:rFonts w:ascii="Times New Roman" w:hAnsi="Times New Roman" w:cs="Times New Roman"/>
          <w:sz w:val="24"/>
          <w:szCs w:val="24"/>
        </w:rPr>
        <w:t>ICIF</w:t>
      </w:r>
      <w:r>
        <w:rPr>
          <w:rFonts w:ascii="Times New Roman" w:hAnsi="Times New Roman" w:cs="Times New Roman"/>
          <w:sz w:val="24"/>
          <w:szCs w:val="24"/>
        </w:rPr>
        <w:t>,</w:t>
      </w:r>
      <w:proofErr w:type="gramEnd"/>
      <w:r>
        <w:rPr>
          <w:rFonts w:ascii="Times New Roman" w:hAnsi="Times New Roman" w:cs="Times New Roman"/>
          <w:sz w:val="24"/>
          <w:szCs w:val="24"/>
        </w:rPr>
        <w:t xml:space="preserve"> and in doing so</w:t>
      </w:r>
      <w:r w:rsidRPr="00124318">
        <w:rPr>
          <w:rFonts w:ascii="Times New Roman" w:hAnsi="Times New Roman" w:cs="Times New Roman"/>
          <w:sz w:val="24"/>
          <w:szCs w:val="24"/>
        </w:rPr>
        <w:t xml:space="preserve"> may impose risks and burdens on generators and create regulatory inefficiencies that are not necessary to achieve the Commission’s open access goals.  </w:t>
      </w:r>
      <w:r w:rsidR="005A2C6F">
        <w:rPr>
          <w:rFonts w:ascii="Times New Roman" w:hAnsi="Times New Roman" w:cs="Times New Roman"/>
          <w:sz w:val="24"/>
          <w:szCs w:val="24"/>
        </w:rPr>
        <w:t>We also note that the only addition</w:t>
      </w:r>
      <w:r w:rsidR="00F571E6">
        <w:rPr>
          <w:rFonts w:ascii="Times New Roman" w:hAnsi="Times New Roman" w:cs="Times New Roman"/>
          <w:sz w:val="24"/>
          <w:szCs w:val="24"/>
        </w:rPr>
        <w:t>s</w:t>
      </w:r>
      <w:r w:rsidR="005A2C6F">
        <w:rPr>
          <w:rFonts w:ascii="Times New Roman" w:hAnsi="Times New Roman" w:cs="Times New Roman"/>
          <w:sz w:val="24"/>
          <w:szCs w:val="24"/>
        </w:rPr>
        <w:t xml:space="preserve"> of burden </w:t>
      </w:r>
      <w:r w:rsidR="00F571E6">
        <w:rPr>
          <w:rFonts w:ascii="Times New Roman" w:hAnsi="Times New Roman" w:cs="Times New Roman"/>
          <w:sz w:val="24"/>
          <w:szCs w:val="24"/>
        </w:rPr>
        <w:t>are</w:t>
      </w:r>
      <w:r w:rsidR="005A2C6F">
        <w:rPr>
          <w:rFonts w:ascii="Times New Roman" w:hAnsi="Times New Roman" w:cs="Times New Roman"/>
          <w:sz w:val="24"/>
          <w:szCs w:val="24"/>
        </w:rPr>
        <w:t xml:space="preserve"> the safe harbor </w:t>
      </w:r>
      <w:r w:rsidR="00F438A9">
        <w:rPr>
          <w:rFonts w:ascii="Times New Roman" w:hAnsi="Times New Roman" w:cs="Times New Roman"/>
          <w:sz w:val="24"/>
          <w:szCs w:val="24"/>
        </w:rPr>
        <w:t xml:space="preserve">commercial operation </w:t>
      </w:r>
      <w:r w:rsidR="005A2C6F">
        <w:rPr>
          <w:rFonts w:ascii="Times New Roman" w:hAnsi="Times New Roman" w:cs="Times New Roman"/>
          <w:sz w:val="24"/>
          <w:szCs w:val="24"/>
        </w:rPr>
        <w:t>date filing</w:t>
      </w:r>
      <w:r w:rsidR="00F571E6">
        <w:rPr>
          <w:rFonts w:ascii="Times New Roman" w:hAnsi="Times New Roman" w:cs="Times New Roman"/>
          <w:sz w:val="24"/>
          <w:szCs w:val="24"/>
        </w:rPr>
        <w:t xml:space="preserve"> and the </w:t>
      </w:r>
      <w:r w:rsidR="003B5D69">
        <w:rPr>
          <w:rFonts w:ascii="Times New Roman" w:hAnsi="Times New Roman" w:cs="Times New Roman"/>
          <w:sz w:val="24"/>
          <w:szCs w:val="24"/>
        </w:rPr>
        <w:t xml:space="preserve">Section </w:t>
      </w:r>
      <w:r w:rsidR="00F571E6">
        <w:rPr>
          <w:rFonts w:ascii="Times New Roman" w:hAnsi="Times New Roman" w:cs="Times New Roman"/>
          <w:sz w:val="24"/>
          <w:szCs w:val="24"/>
        </w:rPr>
        <w:t>210 statement filing (needed only if the ICIF owner does not sell electricity)</w:t>
      </w:r>
      <w:r w:rsidR="005A2C6F">
        <w:rPr>
          <w:rFonts w:ascii="Times New Roman" w:hAnsi="Times New Roman" w:cs="Times New Roman"/>
          <w:sz w:val="24"/>
          <w:szCs w:val="24"/>
        </w:rPr>
        <w:t xml:space="preserve">, which </w:t>
      </w:r>
      <w:r w:rsidR="00F571E6">
        <w:rPr>
          <w:rFonts w:ascii="Times New Roman" w:hAnsi="Times New Roman" w:cs="Times New Roman"/>
          <w:sz w:val="24"/>
          <w:szCs w:val="24"/>
        </w:rPr>
        <w:t>are</w:t>
      </w:r>
      <w:r w:rsidR="005A2C6F">
        <w:rPr>
          <w:rFonts w:ascii="Times New Roman" w:hAnsi="Times New Roman" w:cs="Times New Roman"/>
          <w:sz w:val="24"/>
          <w:szCs w:val="24"/>
        </w:rPr>
        <w:t xml:space="preserve"> one-time only filing</w:t>
      </w:r>
      <w:r w:rsidR="00F571E6">
        <w:rPr>
          <w:rFonts w:ascii="Times New Roman" w:hAnsi="Times New Roman" w:cs="Times New Roman"/>
          <w:sz w:val="24"/>
          <w:szCs w:val="24"/>
        </w:rPr>
        <w:t>s</w:t>
      </w:r>
      <w:r w:rsidR="005A2C6F">
        <w:rPr>
          <w:rFonts w:ascii="Times New Roman" w:hAnsi="Times New Roman" w:cs="Times New Roman"/>
          <w:sz w:val="24"/>
          <w:szCs w:val="24"/>
        </w:rPr>
        <w:t xml:space="preserve"> for each ICIF owner.</w:t>
      </w:r>
    </w:p>
    <w:p w14:paraId="12EA2B4E" w14:textId="77777777" w:rsidR="003C0C1E" w:rsidRPr="00EB3E6F" w:rsidRDefault="003C0C1E" w:rsidP="00EB3E6F">
      <w:pPr>
        <w:spacing w:after="0"/>
        <w:rPr>
          <w:rFonts w:ascii="Times New Roman" w:hAnsi="Times New Roman" w:cs="Times New Roman"/>
          <w:sz w:val="24"/>
          <w:szCs w:val="24"/>
        </w:rPr>
      </w:pPr>
    </w:p>
    <w:p w14:paraId="3C8C0A74"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6379EA0B" w14:textId="77777777" w:rsidR="00EB3E6F" w:rsidRDefault="00EB3E6F" w:rsidP="00EB3E6F">
      <w:pPr>
        <w:spacing w:after="0"/>
        <w:rPr>
          <w:rFonts w:ascii="Times New Roman" w:hAnsi="Times New Roman" w:cs="Times New Roman"/>
          <w:sz w:val="24"/>
          <w:szCs w:val="24"/>
        </w:rPr>
      </w:pPr>
    </w:p>
    <w:p w14:paraId="57148308" w14:textId="77777777" w:rsidR="00EB3E6F" w:rsidRDefault="00867AF1" w:rsidP="00EB3E6F">
      <w:pPr>
        <w:spacing w:after="0"/>
        <w:rPr>
          <w:rFonts w:ascii="Times New Roman" w:hAnsi="Times New Roman" w:cs="Times New Roman"/>
          <w:sz w:val="24"/>
          <w:szCs w:val="24"/>
        </w:rPr>
      </w:pPr>
      <w:r>
        <w:rPr>
          <w:rFonts w:ascii="Times New Roman" w:hAnsi="Times New Roman" w:cs="Times New Roman"/>
          <w:sz w:val="24"/>
          <w:szCs w:val="24"/>
        </w:rPr>
        <w:t>There are no special circumstances related to the information collection.</w:t>
      </w:r>
    </w:p>
    <w:p w14:paraId="48F3BE58" w14:textId="77777777" w:rsidR="00867AF1" w:rsidRPr="00EB3E6F" w:rsidRDefault="00867AF1" w:rsidP="00EB3E6F">
      <w:pPr>
        <w:spacing w:after="0"/>
        <w:rPr>
          <w:rFonts w:ascii="Times New Roman" w:hAnsi="Times New Roman" w:cs="Times New Roman"/>
          <w:sz w:val="24"/>
          <w:szCs w:val="24"/>
        </w:rPr>
      </w:pPr>
    </w:p>
    <w:p w14:paraId="49DA1A26"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4F29F806" w14:textId="77777777" w:rsidR="00EB3E6F" w:rsidRDefault="00EB3E6F" w:rsidP="00EB3E6F">
      <w:pPr>
        <w:spacing w:after="0"/>
        <w:rPr>
          <w:rFonts w:ascii="Times New Roman" w:hAnsi="Times New Roman" w:cs="Times New Roman"/>
          <w:sz w:val="24"/>
          <w:szCs w:val="24"/>
        </w:rPr>
      </w:pPr>
    </w:p>
    <w:p w14:paraId="181CDE51" w14:textId="4290A39F" w:rsidR="006039B3" w:rsidRDefault="00713351" w:rsidP="006039B3">
      <w:pPr>
        <w:spacing w:after="0"/>
        <w:rPr>
          <w:rFonts w:ascii="Times New Roman" w:hAnsi="Times New Roman" w:cs="Times New Roman"/>
          <w:sz w:val="24"/>
          <w:szCs w:val="24"/>
        </w:rPr>
      </w:pPr>
      <w:r>
        <w:rPr>
          <w:rFonts w:ascii="Times New Roman" w:hAnsi="Times New Roman" w:cs="Times New Roman"/>
          <w:sz w:val="24"/>
          <w:szCs w:val="24"/>
        </w:rPr>
        <w:lastRenderedPageBreak/>
        <w:t>The Commission publishes</w:t>
      </w:r>
      <w:r w:rsidR="004E3B1B">
        <w:rPr>
          <w:rFonts w:ascii="Times New Roman" w:hAnsi="Times New Roman" w:cs="Times New Roman"/>
          <w:sz w:val="24"/>
          <w:szCs w:val="24"/>
        </w:rPr>
        <w:t xml:space="preserve"> each rulemaking (e.g. this Final Rule</w:t>
      </w:r>
      <w:r>
        <w:rPr>
          <w:rFonts w:ascii="Times New Roman" w:hAnsi="Times New Roman" w:cs="Times New Roman"/>
          <w:sz w:val="24"/>
          <w:szCs w:val="24"/>
        </w:rPr>
        <w:t>) in the Federal Register affording all public utilities and interested parties an opportunity to submit comments or sug</w:t>
      </w:r>
      <w:r w:rsidR="00484838">
        <w:rPr>
          <w:rFonts w:ascii="Times New Roman" w:hAnsi="Times New Roman" w:cs="Times New Roman"/>
          <w:sz w:val="24"/>
          <w:szCs w:val="24"/>
        </w:rPr>
        <w:t>gestions concerning the approved</w:t>
      </w:r>
      <w:r>
        <w:rPr>
          <w:rFonts w:ascii="Times New Roman" w:hAnsi="Times New Roman" w:cs="Times New Roman"/>
          <w:sz w:val="24"/>
          <w:szCs w:val="24"/>
        </w:rPr>
        <w:t xml:space="preserve"> in</w:t>
      </w:r>
      <w:r w:rsidR="004E3B1B">
        <w:rPr>
          <w:rFonts w:ascii="Times New Roman" w:hAnsi="Times New Roman" w:cs="Times New Roman"/>
          <w:sz w:val="24"/>
          <w:szCs w:val="24"/>
        </w:rPr>
        <w:t>formation collection.  This Final Rule</w:t>
      </w:r>
      <w:r>
        <w:rPr>
          <w:rFonts w:ascii="Times New Roman" w:hAnsi="Times New Roman" w:cs="Times New Roman"/>
          <w:sz w:val="24"/>
          <w:szCs w:val="24"/>
        </w:rPr>
        <w:t xml:space="preserve"> was published</w:t>
      </w:r>
      <w:r w:rsidR="00602AD1" w:rsidRPr="008C17EA">
        <w:rPr>
          <w:rStyle w:val="FootnoteReference"/>
          <w:rFonts w:ascii="Times New Roman" w:hAnsi="Times New Roman" w:cs="Times New Roman"/>
          <w:sz w:val="24"/>
          <w:szCs w:val="24"/>
          <w:vertAlign w:val="superscript"/>
        </w:rPr>
        <w:footnoteReference w:id="3"/>
      </w:r>
      <w:r w:rsidRPr="008C17EA">
        <w:rPr>
          <w:rFonts w:ascii="Times New Roman" w:hAnsi="Times New Roman" w:cs="Times New Roman"/>
          <w:sz w:val="24"/>
          <w:szCs w:val="24"/>
          <w:vertAlign w:val="superscript"/>
        </w:rPr>
        <w:t xml:space="preserve"> </w:t>
      </w:r>
      <w:r>
        <w:rPr>
          <w:rFonts w:ascii="Times New Roman" w:hAnsi="Times New Roman" w:cs="Times New Roman"/>
          <w:sz w:val="24"/>
          <w:szCs w:val="24"/>
        </w:rPr>
        <w:t>wit</w:t>
      </w:r>
      <w:r w:rsidR="004E3B1B">
        <w:rPr>
          <w:rFonts w:ascii="Times New Roman" w:hAnsi="Times New Roman" w:cs="Times New Roman"/>
          <w:sz w:val="24"/>
          <w:szCs w:val="24"/>
        </w:rPr>
        <w:t xml:space="preserve">hin the Federal Register </w:t>
      </w:r>
      <w:r w:rsidR="004E3B1B" w:rsidRPr="00484838">
        <w:rPr>
          <w:rFonts w:ascii="Times New Roman" w:hAnsi="Times New Roman" w:cs="Times New Roman"/>
          <w:sz w:val="24"/>
          <w:szCs w:val="24"/>
        </w:rPr>
        <w:t xml:space="preserve">on </w:t>
      </w:r>
      <w:r w:rsidR="00484838" w:rsidRPr="00484838">
        <w:rPr>
          <w:rFonts w:ascii="Times New Roman" w:hAnsi="Times New Roman" w:cs="Times New Roman"/>
          <w:sz w:val="24"/>
          <w:szCs w:val="24"/>
        </w:rPr>
        <w:t>4/1/2015</w:t>
      </w:r>
      <w:r w:rsidRPr="00484838">
        <w:rPr>
          <w:rFonts w:ascii="Times New Roman" w:hAnsi="Times New Roman" w:cs="Times New Roman"/>
          <w:sz w:val="24"/>
          <w:szCs w:val="24"/>
        </w:rPr>
        <w:t xml:space="preserve">. </w:t>
      </w:r>
    </w:p>
    <w:p w14:paraId="599E7709" w14:textId="77777777" w:rsidR="003374C1" w:rsidRDefault="003374C1" w:rsidP="006039B3">
      <w:pPr>
        <w:spacing w:after="0"/>
        <w:rPr>
          <w:rFonts w:ascii="Times New Roman" w:hAnsi="Times New Roman" w:cs="Times New Roman"/>
          <w:sz w:val="24"/>
          <w:szCs w:val="24"/>
        </w:rPr>
      </w:pPr>
    </w:p>
    <w:p w14:paraId="7480A5F7" w14:textId="527601DC" w:rsidR="003374C1" w:rsidRDefault="003374C1" w:rsidP="00F571E6">
      <w:pPr>
        <w:spacing w:after="0"/>
        <w:rPr>
          <w:rFonts w:ascii="Times New Roman" w:hAnsi="Times New Roman" w:cs="Times New Roman"/>
          <w:sz w:val="24"/>
          <w:szCs w:val="24"/>
        </w:rPr>
      </w:pPr>
      <w:r>
        <w:rPr>
          <w:rFonts w:ascii="Times New Roman" w:hAnsi="Times New Roman" w:cs="Times New Roman"/>
          <w:sz w:val="24"/>
          <w:szCs w:val="24"/>
        </w:rPr>
        <w:t xml:space="preserve">In response to the NOPR, the Commission received </w:t>
      </w:r>
      <w:r w:rsidR="00F571E6">
        <w:rPr>
          <w:rFonts w:ascii="Times New Roman" w:hAnsi="Times New Roman" w:cs="Times New Roman"/>
          <w:sz w:val="24"/>
          <w:szCs w:val="24"/>
        </w:rPr>
        <w:t>25</w:t>
      </w:r>
      <w:r>
        <w:rPr>
          <w:rFonts w:ascii="Times New Roman" w:hAnsi="Times New Roman" w:cs="Times New Roman"/>
          <w:sz w:val="24"/>
          <w:szCs w:val="24"/>
        </w:rPr>
        <w:t xml:space="preserve"> comments</w:t>
      </w:r>
      <w:r w:rsidR="00F571E6">
        <w:rPr>
          <w:rFonts w:ascii="Times New Roman" w:hAnsi="Times New Roman" w:cs="Times New Roman"/>
          <w:sz w:val="24"/>
          <w:szCs w:val="24"/>
        </w:rPr>
        <w:t>,</w:t>
      </w:r>
      <w:r>
        <w:rPr>
          <w:rFonts w:ascii="Times New Roman" w:hAnsi="Times New Roman" w:cs="Times New Roman"/>
          <w:sz w:val="24"/>
          <w:szCs w:val="24"/>
        </w:rPr>
        <w:t xml:space="preserve"> </w:t>
      </w:r>
      <w:r w:rsidR="00F571E6">
        <w:rPr>
          <w:rFonts w:ascii="Times New Roman" w:hAnsi="Times New Roman" w:cs="Times New Roman"/>
          <w:sz w:val="24"/>
          <w:szCs w:val="24"/>
        </w:rPr>
        <w:t>none</w:t>
      </w:r>
      <w:r>
        <w:rPr>
          <w:rFonts w:ascii="Times New Roman" w:hAnsi="Times New Roman" w:cs="Times New Roman"/>
          <w:sz w:val="24"/>
          <w:szCs w:val="24"/>
        </w:rPr>
        <w:t xml:space="preserve"> of which are related to paperwork burden.  The responses received are generally related to</w:t>
      </w:r>
      <w:r w:rsidR="00484838">
        <w:rPr>
          <w:rFonts w:ascii="Times New Roman" w:hAnsi="Times New Roman" w:cs="Times New Roman"/>
          <w:sz w:val="24"/>
          <w:szCs w:val="24"/>
        </w:rPr>
        <w:t xml:space="preserve"> </w:t>
      </w:r>
      <w:r w:rsidR="00F571E6" w:rsidRPr="00F571E6">
        <w:rPr>
          <w:rFonts w:ascii="Times New Roman" w:hAnsi="Times New Roman" w:cs="Times New Roman"/>
          <w:sz w:val="24"/>
          <w:szCs w:val="24"/>
        </w:rPr>
        <w:t>support</w:t>
      </w:r>
      <w:r w:rsidR="00F571E6">
        <w:rPr>
          <w:rFonts w:ascii="Times New Roman" w:hAnsi="Times New Roman" w:cs="Times New Roman"/>
          <w:sz w:val="24"/>
          <w:szCs w:val="24"/>
        </w:rPr>
        <w:t>ing</w:t>
      </w:r>
      <w:r w:rsidR="00F571E6" w:rsidRPr="00F571E6">
        <w:rPr>
          <w:rFonts w:ascii="Times New Roman" w:hAnsi="Times New Roman" w:cs="Times New Roman"/>
          <w:sz w:val="24"/>
          <w:szCs w:val="24"/>
        </w:rPr>
        <w:t xml:space="preserve"> the need for reform and the NOPR</w:t>
      </w:r>
      <w:r w:rsidR="00F571E6">
        <w:rPr>
          <w:rFonts w:ascii="Times New Roman" w:hAnsi="Times New Roman" w:cs="Times New Roman"/>
          <w:sz w:val="24"/>
          <w:szCs w:val="24"/>
        </w:rPr>
        <w:t xml:space="preserve"> </w:t>
      </w:r>
      <w:r w:rsidR="00F571E6" w:rsidRPr="00F571E6">
        <w:rPr>
          <w:rFonts w:ascii="Times New Roman" w:hAnsi="Times New Roman" w:cs="Times New Roman"/>
          <w:sz w:val="24"/>
          <w:szCs w:val="24"/>
        </w:rPr>
        <w:t xml:space="preserve">proposals. </w:t>
      </w:r>
      <w:r w:rsidR="00F571E6">
        <w:rPr>
          <w:rFonts w:ascii="Times New Roman" w:hAnsi="Times New Roman" w:cs="Times New Roman"/>
          <w:sz w:val="24"/>
          <w:szCs w:val="24"/>
        </w:rPr>
        <w:t xml:space="preserve"> </w:t>
      </w:r>
      <w:r w:rsidR="00F571E6" w:rsidRPr="00F571E6">
        <w:rPr>
          <w:rFonts w:ascii="Times New Roman" w:hAnsi="Times New Roman" w:cs="Times New Roman"/>
          <w:sz w:val="24"/>
          <w:szCs w:val="24"/>
        </w:rPr>
        <w:t>Commenters state that the Commission’s existing policy is unduly</w:t>
      </w:r>
      <w:r w:rsidR="00F571E6">
        <w:rPr>
          <w:rFonts w:ascii="Times New Roman" w:hAnsi="Times New Roman" w:cs="Times New Roman"/>
          <w:sz w:val="24"/>
          <w:szCs w:val="24"/>
        </w:rPr>
        <w:t xml:space="preserve"> </w:t>
      </w:r>
      <w:r w:rsidR="00F571E6" w:rsidRPr="00F571E6">
        <w:rPr>
          <w:rFonts w:ascii="Times New Roman" w:hAnsi="Times New Roman" w:cs="Times New Roman"/>
          <w:sz w:val="24"/>
          <w:szCs w:val="24"/>
        </w:rPr>
        <w:t>burdensome and unnecessary and that it does not meet the goal of promoting</w:t>
      </w:r>
      <w:r w:rsidR="00F571E6" w:rsidRPr="00F571E6">
        <w:t xml:space="preserve"> </w:t>
      </w:r>
      <w:r w:rsidR="00F571E6" w:rsidRPr="00F571E6">
        <w:rPr>
          <w:rFonts w:ascii="Times New Roman" w:hAnsi="Times New Roman" w:cs="Times New Roman"/>
          <w:sz w:val="24"/>
          <w:szCs w:val="24"/>
        </w:rPr>
        <w:t>development of generation facilities while ensuring not unduly discriminatory open</w:t>
      </w:r>
      <w:r w:rsidR="00F571E6">
        <w:rPr>
          <w:rFonts w:ascii="Times New Roman" w:hAnsi="Times New Roman" w:cs="Times New Roman"/>
          <w:sz w:val="24"/>
          <w:szCs w:val="24"/>
        </w:rPr>
        <w:t xml:space="preserve"> </w:t>
      </w:r>
      <w:r w:rsidR="00F571E6" w:rsidRPr="00F571E6">
        <w:rPr>
          <w:rFonts w:ascii="Times New Roman" w:hAnsi="Times New Roman" w:cs="Times New Roman"/>
          <w:sz w:val="24"/>
          <w:szCs w:val="24"/>
        </w:rPr>
        <w:t>access to transmission facilities.</w:t>
      </w:r>
      <w:r w:rsidR="00F571E6">
        <w:rPr>
          <w:rFonts w:ascii="Times New Roman" w:hAnsi="Times New Roman" w:cs="Times New Roman"/>
          <w:sz w:val="24"/>
          <w:szCs w:val="24"/>
        </w:rPr>
        <w:t xml:space="preserve"> </w:t>
      </w:r>
      <w:r w:rsidR="00F571E6" w:rsidRPr="00F571E6">
        <w:rPr>
          <w:rFonts w:ascii="Times New Roman" w:hAnsi="Times New Roman" w:cs="Times New Roman"/>
          <w:sz w:val="24"/>
          <w:szCs w:val="24"/>
        </w:rPr>
        <w:t xml:space="preserve"> Commenters argue that ICIF owners are focused on</w:t>
      </w:r>
      <w:r w:rsidR="00F571E6">
        <w:rPr>
          <w:rFonts w:ascii="Times New Roman" w:hAnsi="Times New Roman" w:cs="Times New Roman"/>
          <w:sz w:val="24"/>
          <w:szCs w:val="24"/>
        </w:rPr>
        <w:t xml:space="preserve"> </w:t>
      </w:r>
      <w:r w:rsidR="00F571E6" w:rsidRPr="00F571E6">
        <w:rPr>
          <w:rFonts w:ascii="Times New Roman" w:hAnsi="Times New Roman" w:cs="Times New Roman"/>
          <w:sz w:val="24"/>
          <w:szCs w:val="24"/>
        </w:rPr>
        <w:t>developing new generation resources and the time, effort and cost of complying with the</w:t>
      </w:r>
      <w:r w:rsidR="00F571E6">
        <w:rPr>
          <w:rFonts w:ascii="Times New Roman" w:hAnsi="Times New Roman" w:cs="Times New Roman"/>
          <w:sz w:val="24"/>
          <w:szCs w:val="24"/>
        </w:rPr>
        <w:t xml:space="preserve"> </w:t>
      </w:r>
      <w:r w:rsidR="00F571E6" w:rsidRPr="00F571E6">
        <w:rPr>
          <w:rFonts w:ascii="Times New Roman" w:hAnsi="Times New Roman" w:cs="Times New Roman"/>
          <w:sz w:val="24"/>
          <w:szCs w:val="24"/>
        </w:rPr>
        <w:t>OATT requirements under the Commission’s existing policy hinders generation</w:t>
      </w:r>
      <w:r w:rsidR="00F571E6">
        <w:rPr>
          <w:rFonts w:ascii="Times New Roman" w:hAnsi="Times New Roman" w:cs="Times New Roman"/>
          <w:sz w:val="24"/>
          <w:szCs w:val="24"/>
        </w:rPr>
        <w:t xml:space="preserve"> </w:t>
      </w:r>
      <w:r w:rsidR="00F571E6" w:rsidRPr="00F571E6">
        <w:rPr>
          <w:rFonts w:ascii="Times New Roman" w:hAnsi="Times New Roman" w:cs="Times New Roman"/>
          <w:sz w:val="24"/>
          <w:szCs w:val="24"/>
        </w:rPr>
        <w:t>development.</w:t>
      </w:r>
      <w:r w:rsidR="00F571E6">
        <w:rPr>
          <w:rFonts w:ascii="Times New Roman" w:hAnsi="Times New Roman" w:cs="Times New Roman"/>
          <w:sz w:val="24"/>
          <w:szCs w:val="24"/>
        </w:rPr>
        <w:t xml:space="preserve"> </w:t>
      </w:r>
      <w:r w:rsidR="00F571E6" w:rsidRPr="00F571E6">
        <w:rPr>
          <w:rFonts w:ascii="Times New Roman" w:hAnsi="Times New Roman" w:cs="Times New Roman"/>
          <w:sz w:val="24"/>
          <w:szCs w:val="24"/>
        </w:rPr>
        <w:t xml:space="preserve"> Commenters support the Commission’s goal of reducing regulatory</w:t>
      </w:r>
      <w:r w:rsidR="00F571E6">
        <w:rPr>
          <w:rFonts w:ascii="Times New Roman" w:hAnsi="Times New Roman" w:cs="Times New Roman"/>
          <w:sz w:val="24"/>
          <w:szCs w:val="24"/>
        </w:rPr>
        <w:t xml:space="preserve"> </w:t>
      </w:r>
      <w:r w:rsidR="00F571E6" w:rsidRPr="00F571E6">
        <w:rPr>
          <w:rFonts w:ascii="Times New Roman" w:hAnsi="Times New Roman" w:cs="Times New Roman"/>
          <w:sz w:val="24"/>
          <w:szCs w:val="24"/>
        </w:rPr>
        <w:t>burdens and promoting development of generation facilities while ensuring open access</w:t>
      </w:r>
      <w:r w:rsidR="00F571E6">
        <w:rPr>
          <w:rFonts w:ascii="Times New Roman" w:hAnsi="Times New Roman" w:cs="Times New Roman"/>
          <w:sz w:val="24"/>
          <w:szCs w:val="24"/>
        </w:rPr>
        <w:t xml:space="preserve"> </w:t>
      </w:r>
      <w:r w:rsidR="00F571E6" w:rsidRPr="00F571E6">
        <w:rPr>
          <w:rFonts w:ascii="Times New Roman" w:hAnsi="Times New Roman" w:cs="Times New Roman"/>
          <w:sz w:val="24"/>
          <w:szCs w:val="24"/>
        </w:rPr>
        <w:t>to transmission facilities and support the Commission’s proposal to revise its current ICIF</w:t>
      </w:r>
      <w:r w:rsidR="00F571E6">
        <w:rPr>
          <w:rFonts w:ascii="Times New Roman" w:hAnsi="Times New Roman" w:cs="Times New Roman"/>
          <w:sz w:val="24"/>
          <w:szCs w:val="24"/>
        </w:rPr>
        <w:t xml:space="preserve"> </w:t>
      </w:r>
      <w:r w:rsidR="00F571E6" w:rsidRPr="00F571E6">
        <w:rPr>
          <w:rFonts w:ascii="Times New Roman" w:hAnsi="Times New Roman" w:cs="Times New Roman"/>
          <w:sz w:val="24"/>
          <w:szCs w:val="24"/>
        </w:rPr>
        <w:t>policies.</w:t>
      </w:r>
      <w:r w:rsidR="00F571E6">
        <w:rPr>
          <w:rFonts w:ascii="Times New Roman" w:hAnsi="Times New Roman" w:cs="Times New Roman"/>
          <w:sz w:val="24"/>
          <w:szCs w:val="24"/>
        </w:rPr>
        <w:t xml:space="preserve">  Commenters offer suggestions for how the Commission could extend the reforms to ICIF owners that do not sell electricity, opine on how the </w:t>
      </w:r>
      <w:r w:rsidR="00291382">
        <w:rPr>
          <w:rFonts w:ascii="Times New Roman" w:hAnsi="Times New Roman" w:cs="Times New Roman"/>
          <w:sz w:val="24"/>
          <w:szCs w:val="24"/>
        </w:rPr>
        <w:t xml:space="preserve">reforms should apply to </w:t>
      </w:r>
      <w:r w:rsidR="00F571E6">
        <w:rPr>
          <w:rFonts w:ascii="Times New Roman" w:hAnsi="Times New Roman" w:cs="Times New Roman"/>
          <w:sz w:val="24"/>
          <w:szCs w:val="24"/>
        </w:rPr>
        <w:t xml:space="preserve">affiliates and generation functions </w:t>
      </w:r>
      <w:r w:rsidR="00291382">
        <w:rPr>
          <w:rFonts w:ascii="Times New Roman" w:hAnsi="Times New Roman" w:cs="Times New Roman"/>
          <w:sz w:val="24"/>
          <w:szCs w:val="24"/>
        </w:rPr>
        <w:t>of public utility transmission providers, and argue regarding the duration and starting point of the safe harbor.</w:t>
      </w:r>
    </w:p>
    <w:p w14:paraId="74F8CDE5" w14:textId="77777777" w:rsidR="00291382" w:rsidRDefault="00291382" w:rsidP="00291382">
      <w:pPr>
        <w:spacing w:after="0"/>
        <w:rPr>
          <w:rFonts w:ascii="Times New Roman" w:hAnsi="Times New Roman" w:cs="Times New Roman"/>
          <w:sz w:val="24"/>
          <w:szCs w:val="24"/>
        </w:rPr>
      </w:pPr>
    </w:p>
    <w:p w14:paraId="31B09F1E" w14:textId="52C78B8C" w:rsidR="00F571E6" w:rsidRDefault="00291382" w:rsidP="00F571E6">
      <w:pPr>
        <w:spacing w:after="0"/>
        <w:rPr>
          <w:rFonts w:ascii="Times New Roman" w:hAnsi="Times New Roman" w:cs="Times New Roman"/>
          <w:sz w:val="24"/>
          <w:szCs w:val="24"/>
        </w:rPr>
      </w:pPr>
      <w:r w:rsidRPr="00291382">
        <w:rPr>
          <w:rFonts w:ascii="Times New Roman" w:hAnsi="Times New Roman" w:cs="Times New Roman"/>
          <w:sz w:val="24"/>
          <w:szCs w:val="24"/>
        </w:rPr>
        <w:t xml:space="preserve">On the other hand, </w:t>
      </w:r>
      <w:r>
        <w:rPr>
          <w:rFonts w:ascii="Times New Roman" w:hAnsi="Times New Roman" w:cs="Times New Roman"/>
          <w:sz w:val="24"/>
          <w:szCs w:val="24"/>
        </w:rPr>
        <w:t xml:space="preserve">a few commenters </w:t>
      </w:r>
      <w:r w:rsidRPr="00291382">
        <w:rPr>
          <w:rFonts w:ascii="Times New Roman" w:hAnsi="Times New Roman" w:cs="Times New Roman"/>
          <w:sz w:val="24"/>
          <w:szCs w:val="24"/>
        </w:rPr>
        <w:t>assert that the NOPR</w:t>
      </w:r>
      <w:r>
        <w:rPr>
          <w:rFonts w:ascii="Times New Roman" w:hAnsi="Times New Roman" w:cs="Times New Roman"/>
          <w:sz w:val="24"/>
          <w:szCs w:val="24"/>
        </w:rPr>
        <w:t xml:space="preserve"> </w:t>
      </w:r>
      <w:r w:rsidRPr="00291382">
        <w:rPr>
          <w:rFonts w:ascii="Times New Roman" w:hAnsi="Times New Roman" w:cs="Times New Roman"/>
          <w:sz w:val="24"/>
          <w:szCs w:val="24"/>
        </w:rPr>
        <w:t>proposals would erode the Commission’s open</w:t>
      </w:r>
      <w:r>
        <w:rPr>
          <w:rFonts w:ascii="Times New Roman" w:hAnsi="Times New Roman" w:cs="Times New Roman"/>
          <w:sz w:val="24"/>
          <w:szCs w:val="24"/>
        </w:rPr>
        <w:t xml:space="preserve"> access transmission policies.</w:t>
      </w:r>
      <w:r w:rsidRPr="00291382">
        <w:rPr>
          <w:rFonts w:ascii="Times New Roman" w:hAnsi="Times New Roman" w:cs="Times New Roman"/>
          <w:sz w:val="24"/>
          <w:szCs w:val="24"/>
        </w:rPr>
        <w:t xml:space="preserve"> </w:t>
      </w:r>
      <w:r>
        <w:rPr>
          <w:rFonts w:ascii="Times New Roman" w:hAnsi="Times New Roman" w:cs="Times New Roman"/>
          <w:sz w:val="24"/>
          <w:szCs w:val="24"/>
        </w:rPr>
        <w:t xml:space="preserve"> These commenters </w:t>
      </w:r>
      <w:r w:rsidRPr="00291382">
        <w:rPr>
          <w:rFonts w:ascii="Times New Roman" w:hAnsi="Times New Roman" w:cs="Times New Roman"/>
          <w:sz w:val="24"/>
          <w:szCs w:val="24"/>
        </w:rPr>
        <w:t>argue that the Commission should instead address the concerns identified in the</w:t>
      </w:r>
      <w:r>
        <w:rPr>
          <w:rFonts w:ascii="Times New Roman" w:hAnsi="Times New Roman" w:cs="Times New Roman"/>
          <w:sz w:val="24"/>
          <w:szCs w:val="24"/>
        </w:rPr>
        <w:t xml:space="preserve"> </w:t>
      </w:r>
      <w:r w:rsidRPr="00291382">
        <w:rPr>
          <w:rFonts w:ascii="Times New Roman" w:hAnsi="Times New Roman" w:cs="Times New Roman"/>
          <w:sz w:val="24"/>
          <w:szCs w:val="24"/>
        </w:rPr>
        <w:t>NOPR in a manner that preserves the open access underpinnings of competitive markets</w:t>
      </w:r>
      <w:r>
        <w:rPr>
          <w:rFonts w:ascii="Times New Roman" w:hAnsi="Times New Roman" w:cs="Times New Roman"/>
          <w:sz w:val="24"/>
          <w:szCs w:val="24"/>
        </w:rPr>
        <w:t xml:space="preserve"> </w:t>
      </w:r>
      <w:r w:rsidRPr="00291382">
        <w:rPr>
          <w:rFonts w:ascii="Times New Roman" w:hAnsi="Times New Roman" w:cs="Times New Roman"/>
          <w:sz w:val="24"/>
          <w:szCs w:val="24"/>
        </w:rPr>
        <w:t>and its reliance on market-based rates to ensure just and reasonable wholesale sales, and</w:t>
      </w:r>
      <w:r>
        <w:rPr>
          <w:rFonts w:ascii="Times New Roman" w:hAnsi="Times New Roman" w:cs="Times New Roman"/>
          <w:sz w:val="24"/>
          <w:szCs w:val="24"/>
        </w:rPr>
        <w:t xml:space="preserve"> </w:t>
      </w:r>
      <w:r w:rsidRPr="00291382">
        <w:rPr>
          <w:rFonts w:ascii="Times New Roman" w:hAnsi="Times New Roman" w:cs="Times New Roman"/>
          <w:sz w:val="24"/>
          <w:szCs w:val="24"/>
        </w:rPr>
        <w:t>meets its statutory obligation to eliminate undue discrimination in transmission service.</w:t>
      </w:r>
      <w:r>
        <w:rPr>
          <w:rFonts w:ascii="Times New Roman" w:hAnsi="Times New Roman" w:cs="Times New Roman"/>
          <w:sz w:val="24"/>
          <w:szCs w:val="24"/>
        </w:rPr>
        <w:t xml:space="preserve">  They </w:t>
      </w:r>
      <w:r w:rsidRPr="00291382">
        <w:rPr>
          <w:rFonts w:ascii="Times New Roman" w:hAnsi="Times New Roman" w:cs="Times New Roman"/>
          <w:sz w:val="24"/>
          <w:szCs w:val="24"/>
        </w:rPr>
        <w:t xml:space="preserve">contend that the NOPR, as </w:t>
      </w:r>
      <w:r w:rsidR="00484838">
        <w:rPr>
          <w:rFonts w:ascii="Times New Roman" w:hAnsi="Times New Roman" w:cs="Times New Roman"/>
          <w:sz w:val="24"/>
          <w:szCs w:val="24"/>
        </w:rPr>
        <w:t xml:space="preserve">it was </w:t>
      </w:r>
      <w:r w:rsidRPr="00291382">
        <w:rPr>
          <w:rFonts w:ascii="Times New Roman" w:hAnsi="Times New Roman" w:cs="Times New Roman"/>
          <w:sz w:val="24"/>
          <w:szCs w:val="24"/>
        </w:rPr>
        <w:t>proposed, fundamentally erodes open access</w:t>
      </w:r>
      <w:r>
        <w:rPr>
          <w:rFonts w:ascii="Times New Roman" w:hAnsi="Times New Roman" w:cs="Times New Roman"/>
          <w:sz w:val="24"/>
          <w:szCs w:val="24"/>
        </w:rPr>
        <w:t xml:space="preserve"> </w:t>
      </w:r>
      <w:r w:rsidRPr="00291382">
        <w:rPr>
          <w:rFonts w:ascii="Times New Roman" w:hAnsi="Times New Roman" w:cs="Times New Roman"/>
          <w:sz w:val="24"/>
          <w:szCs w:val="24"/>
        </w:rPr>
        <w:t>by making it effectively impossible for subsequent competitive generation developers to</w:t>
      </w:r>
      <w:r>
        <w:rPr>
          <w:rFonts w:ascii="Times New Roman" w:hAnsi="Times New Roman" w:cs="Times New Roman"/>
          <w:sz w:val="24"/>
          <w:szCs w:val="24"/>
        </w:rPr>
        <w:t xml:space="preserve"> </w:t>
      </w:r>
      <w:r w:rsidRPr="00291382">
        <w:rPr>
          <w:rFonts w:ascii="Times New Roman" w:hAnsi="Times New Roman" w:cs="Times New Roman"/>
          <w:sz w:val="24"/>
          <w:szCs w:val="24"/>
        </w:rPr>
        <w:t>interconnect with the ICIF owner’s facilities for long periods of time, if ever.</w:t>
      </w:r>
      <w:r>
        <w:rPr>
          <w:rFonts w:ascii="Times New Roman" w:hAnsi="Times New Roman" w:cs="Times New Roman"/>
          <w:sz w:val="24"/>
          <w:szCs w:val="24"/>
        </w:rPr>
        <w:t xml:space="preserve"> </w:t>
      </w:r>
      <w:r w:rsidRPr="00291382">
        <w:rPr>
          <w:rFonts w:ascii="Times New Roman" w:hAnsi="Times New Roman" w:cs="Times New Roman"/>
          <w:sz w:val="24"/>
          <w:szCs w:val="24"/>
        </w:rPr>
        <w:t xml:space="preserve"> </w:t>
      </w:r>
    </w:p>
    <w:p w14:paraId="26897EA0" w14:textId="77777777" w:rsidR="00EB3E6F" w:rsidRPr="00EB3E6F" w:rsidRDefault="00EB3E6F" w:rsidP="00EB3E6F">
      <w:pPr>
        <w:spacing w:after="0"/>
        <w:rPr>
          <w:rFonts w:ascii="Times New Roman" w:hAnsi="Times New Roman" w:cs="Times New Roman"/>
          <w:sz w:val="24"/>
          <w:szCs w:val="24"/>
        </w:rPr>
      </w:pPr>
    </w:p>
    <w:p w14:paraId="03CB989F"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34AAACBB" w14:textId="77777777" w:rsidR="00D80FBD" w:rsidRDefault="00D80FBD" w:rsidP="00D80FBD">
      <w:pPr>
        <w:spacing w:after="0"/>
        <w:rPr>
          <w:rFonts w:ascii="Times New Roman" w:hAnsi="Times New Roman" w:cs="Times New Roman"/>
          <w:sz w:val="24"/>
          <w:szCs w:val="24"/>
        </w:rPr>
      </w:pPr>
    </w:p>
    <w:p w14:paraId="12B158C7" w14:textId="77777777" w:rsidR="00D80FBD" w:rsidRDefault="00867AF1" w:rsidP="00D80FBD">
      <w:pPr>
        <w:spacing w:after="0"/>
        <w:rPr>
          <w:rFonts w:ascii="Times New Roman" w:hAnsi="Times New Roman" w:cs="Times New Roman"/>
          <w:sz w:val="24"/>
          <w:szCs w:val="24"/>
        </w:rPr>
      </w:pPr>
      <w:r>
        <w:rPr>
          <w:rFonts w:ascii="Times New Roman" w:hAnsi="Times New Roman" w:cs="Times New Roman"/>
          <w:sz w:val="24"/>
          <w:szCs w:val="24"/>
        </w:rPr>
        <w:t>There are no gifts or payments given to the respondents.</w:t>
      </w:r>
    </w:p>
    <w:p w14:paraId="38A791C6" w14:textId="77777777" w:rsidR="00867AF1" w:rsidRPr="00D80FBD" w:rsidRDefault="00867AF1" w:rsidP="00D80FBD">
      <w:pPr>
        <w:spacing w:after="0"/>
        <w:rPr>
          <w:rFonts w:ascii="Times New Roman" w:hAnsi="Times New Roman" w:cs="Times New Roman"/>
          <w:sz w:val="24"/>
          <w:szCs w:val="24"/>
        </w:rPr>
      </w:pPr>
    </w:p>
    <w:p w14:paraId="0F903DB6"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2B9C2E5C" w14:textId="77777777" w:rsidR="00D80FBD" w:rsidRDefault="00D80FBD" w:rsidP="00D80FBD">
      <w:pPr>
        <w:spacing w:after="0"/>
        <w:rPr>
          <w:rFonts w:ascii="Times New Roman" w:hAnsi="Times New Roman" w:cs="Times New Roman"/>
          <w:sz w:val="24"/>
          <w:szCs w:val="24"/>
        </w:rPr>
      </w:pPr>
    </w:p>
    <w:p w14:paraId="21AB3E97" w14:textId="77777777" w:rsidR="00867AF1" w:rsidRDefault="00E86C7F" w:rsidP="00867AF1">
      <w:pPr>
        <w:spacing w:after="0"/>
        <w:rPr>
          <w:rFonts w:ascii="Times New Roman" w:hAnsi="Times New Roman" w:cs="Times New Roman"/>
          <w:sz w:val="24"/>
          <w:szCs w:val="24"/>
        </w:rPr>
      </w:pPr>
      <w:r>
        <w:rPr>
          <w:rFonts w:ascii="Times New Roman" w:hAnsi="Times New Roman" w:cs="Times New Roman"/>
          <w:sz w:val="24"/>
          <w:szCs w:val="24"/>
        </w:rPr>
        <w:lastRenderedPageBreak/>
        <w:t>The Commission does not consider the data as part of this information collection to be confidential</w:t>
      </w:r>
      <w:r w:rsidR="008B59AF">
        <w:rPr>
          <w:rFonts w:ascii="Times New Roman" w:hAnsi="Times New Roman" w:cs="Times New Roman"/>
          <w:sz w:val="24"/>
          <w:szCs w:val="24"/>
        </w:rPr>
        <w:t>.</w:t>
      </w:r>
      <w:r>
        <w:rPr>
          <w:rFonts w:ascii="Times New Roman" w:hAnsi="Times New Roman" w:cs="Times New Roman"/>
          <w:sz w:val="24"/>
          <w:szCs w:val="24"/>
        </w:rPr>
        <w:t xml:space="preserve">  Thus, the Commission provides no assurance of confidentiality.</w:t>
      </w:r>
    </w:p>
    <w:p w14:paraId="418CDF0D" w14:textId="77777777" w:rsidR="00D80FBD" w:rsidRPr="00D80FBD" w:rsidRDefault="00D80FBD" w:rsidP="00D80FBD">
      <w:pPr>
        <w:spacing w:after="0"/>
        <w:rPr>
          <w:rFonts w:ascii="Times New Roman" w:hAnsi="Times New Roman" w:cs="Times New Roman"/>
          <w:sz w:val="24"/>
          <w:szCs w:val="24"/>
        </w:rPr>
      </w:pPr>
    </w:p>
    <w:p w14:paraId="5455D867"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p>
    <w:p w14:paraId="7C5BC9B8" w14:textId="77777777" w:rsidR="00D80FBD" w:rsidRDefault="00D80FBD" w:rsidP="00D80FBD">
      <w:pPr>
        <w:spacing w:after="0"/>
        <w:rPr>
          <w:rFonts w:ascii="Times New Roman" w:hAnsi="Times New Roman" w:cs="Times New Roman"/>
          <w:sz w:val="24"/>
          <w:szCs w:val="24"/>
        </w:rPr>
      </w:pPr>
    </w:p>
    <w:p w14:paraId="6856A408" w14:textId="77777777" w:rsidR="00D80FBD" w:rsidRDefault="00867AF1" w:rsidP="00D80FBD">
      <w:pPr>
        <w:spacing w:after="0"/>
        <w:rPr>
          <w:rFonts w:ascii="Times New Roman" w:hAnsi="Times New Roman" w:cs="Times New Roman"/>
          <w:sz w:val="24"/>
          <w:szCs w:val="24"/>
        </w:rPr>
      </w:pPr>
      <w:r>
        <w:rPr>
          <w:rFonts w:ascii="Times New Roman" w:hAnsi="Times New Roman" w:cs="Times New Roman"/>
          <w:sz w:val="24"/>
          <w:szCs w:val="24"/>
        </w:rPr>
        <w:t>This collection does not include any questions of a sensitive nature.</w:t>
      </w:r>
    </w:p>
    <w:p w14:paraId="5EDFC16A" w14:textId="77777777" w:rsidR="00867AF1" w:rsidRPr="00D80FBD" w:rsidRDefault="00867AF1" w:rsidP="00D80FBD">
      <w:pPr>
        <w:spacing w:after="0"/>
        <w:rPr>
          <w:rFonts w:ascii="Times New Roman" w:hAnsi="Times New Roman" w:cs="Times New Roman"/>
          <w:sz w:val="24"/>
          <w:szCs w:val="24"/>
        </w:rPr>
      </w:pPr>
    </w:p>
    <w:p w14:paraId="490BD8AC"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66841E2A" w14:textId="77777777" w:rsidR="00D80FBD" w:rsidRDefault="00D80FBD" w:rsidP="00D80FBD">
      <w:pPr>
        <w:spacing w:after="0"/>
        <w:rPr>
          <w:rFonts w:ascii="Times New Roman" w:hAnsi="Times New Roman" w:cs="Times New Roman"/>
          <w:sz w:val="24"/>
          <w:szCs w:val="24"/>
        </w:rPr>
      </w:pPr>
    </w:p>
    <w:p w14:paraId="1BCE0389" w14:textId="1F7654CA" w:rsidR="00106E70" w:rsidRDefault="00106E70" w:rsidP="00D80FBD">
      <w:pPr>
        <w:spacing w:after="0"/>
        <w:rPr>
          <w:rFonts w:ascii="Times New Roman" w:hAnsi="Times New Roman" w:cs="Times New Roman"/>
          <w:sz w:val="24"/>
          <w:szCs w:val="24"/>
        </w:rPr>
      </w:pPr>
      <w:r>
        <w:rPr>
          <w:rFonts w:ascii="Times New Roman" w:hAnsi="Times New Roman" w:cs="Times New Roman"/>
          <w:sz w:val="24"/>
          <w:szCs w:val="24"/>
        </w:rPr>
        <w:t>The existing burden for FERC-917</w:t>
      </w:r>
      <w:r w:rsidRPr="00363551">
        <w:rPr>
          <w:rStyle w:val="FootnoteReference"/>
          <w:rFonts w:ascii="Times New Roman" w:hAnsi="Times New Roman" w:cs="Times New Roman"/>
          <w:sz w:val="24"/>
          <w:szCs w:val="24"/>
          <w:vertAlign w:val="superscript"/>
        </w:rPr>
        <w:footnoteReference w:id="4"/>
      </w:r>
      <w:r>
        <w:rPr>
          <w:rFonts w:ascii="Times New Roman" w:hAnsi="Times New Roman" w:cs="Times New Roman"/>
          <w:sz w:val="24"/>
          <w:szCs w:val="24"/>
        </w:rPr>
        <w:t xml:space="preserve"> and FERC-582 follows:</w:t>
      </w:r>
    </w:p>
    <w:p w14:paraId="105D7B7E" w14:textId="77777777" w:rsidR="00106E70" w:rsidRDefault="00106E70" w:rsidP="00D80FBD">
      <w:pPr>
        <w:spacing w:after="0"/>
        <w:rPr>
          <w:rFonts w:ascii="Times New Roman" w:hAnsi="Times New Roman" w:cs="Times New Roman"/>
          <w:sz w:val="24"/>
          <w:szCs w:val="24"/>
        </w:rPr>
      </w:pPr>
    </w:p>
    <w:p w14:paraId="46C86998" w14:textId="38821138" w:rsidR="00106E70" w:rsidRDefault="00106E70" w:rsidP="00D80FBD">
      <w:pPr>
        <w:spacing w:after="0"/>
        <w:rPr>
          <w:rFonts w:ascii="Times New Roman" w:hAnsi="Times New Roman" w:cs="Times New Roman"/>
          <w:sz w:val="24"/>
          <w:szCs w:val="24"/>
        </w:rPr>
      </w:pPr>
      <w:r>
        <w:rPr>
          <w:rFonts w:ascii="Times New Roman" w:hAnsi="Times New Roman" w:cs="Times New Roman"/>
          <w:sz w:val="24"/>
          <w:szCs w:val="24"/>
        </w:rPr>
        <w:t>FERC-917: 160,042</w:t>
      </w:r>
      <w:r w:rsidR="007F1DE4">
        <w:rPr>
          <w:rFonts w:ascii="Times New Roman" w:hAnsi="Times New Roman" w:cs="Times New Roman"/>
          <w:sz w:val="24"/>
          <w:szCs w:val="24"/>
        </w:rPr>
        <w:t xml:space="preserve"> hours</w:t>
      </w:r>
      <w:r>
        <w:rPr>
          <w:rFonts w:ascii="Times New Roman" w:hAnsi="Times New Roman" w:cs="Times New Roman"/>
          <w:sz w:val="24"/>
          <w:szCs w:val="24"/>
        </w:rPr>
        <w:t xml:space="preserve"> </w:t>
      </w:r>
      <w:r w:rsidR="00590498">
        <w:rPr>
          <w:rFonts w:ascii="Times New Roman" w:hAnsi="Times New Roman" w:cs="Times New Roman"/>
          <w:sz w:val="24"/>
          <w:szCs w:val="24"/>
        </w:rPr>
        <w:t>($</w:t>
      </w:r>
      <w:r w:rsidR="007F1DE4">
        <w:rPr>
          <w:rFonts w:ascii="Times New Roman" w:hAnsi="Times New Roman" w:cs="Times New Roman"/>
          <w:sz w:val="24"/>
          <w:szCs w:val="24"/>
        </w:rPr>
        <w:t>29,923,812)</w:t>
      </w:r>
      <w:r>
        <w:rPr>
          <w:rFonts w:ascii="Times New Roman" w:hAnsi="Times New Roman" w:cs="Times New Roman"/>
          <w:sz w:val="24"/>
          <w:szCs w:val="24"/>
        </w:rPr>
        <w:t xml:space="preserve"> mostly comprised of effort towards non-discriminatory OATTs.</w:t>
      </w:r>
      <w:r w:rsidR="00437F37">
        <w:rPr>
          <w:rFonts w:ascii="Times New Roman" w:hAnsi="Times New Roman" w:cs="Times New Roman"/>
          <w:sz w:val="24"/>
          <w:szCs w:val="24"/>
        </w:rPr>
        <w:t xml:space="preserve"> </w:t>
      </w:r>
    </w:p>
    <w:p w14:paraId="2D2F8D9D" w14:textId="77777777" w:rsidR="00106E70" w:rsidRDefault="00106E70" w:rsidP="00D80FBD">
      <w:pPr>
        <w:spacing w:after="0"/>
        <w:rPr>
          <w:rFonts w:ascii="Times New Roman" w:hAnsi="Times New Roman" w:cs="Times New Roman"/>
          <w:sz w:val="24"/>
          <w:szCs w:val="24"/>
        </w:rPr>
      </w:pPr>
    </w:p>
    <w:p w14:paraId="21A48B22" w14:textId="168C9F1E" w:rsidR="00106E70" w:rsidRDefault="00106E70" w:rsidP="00D80FBD">
      <w:pPr>
        <w:spacing w:after="0"/>
        <w:rPr>
          <w:rFonts w:ascii="Times New Roman" w:hAnsi="Times New Roman" w:cs="Times New Roman"/>
          <w:sz w:val="24"/>
          <w:szCs w:val="24"/>
        </w:rPr>
      </w:pPr>
      <w:r>
        <w:rPr>
          <w:rFonts w:ascii="Times New Roman" w:hAnsi="Times New Roman" w:cs="Times New Roman"/>
          <w:sz w:val="24"/>
          <w:szCs w:val="24"/>
        </w:rPr>
        <w:t>FERC-582: 300 hours dealing primarily</w:t>
      </w:r>
      <w:r w:rsidR="00437F37">
        <w:rPr>
          <w:rFonts w:ascii="Times New Roman" w:hAnsi="Times New Roman" w:cs="Times New Roman"/>
          <w:sz w:val="24"/>
          <w:szCs w:val="24"/>
        </w:rPr>
        <w:t xml:space="preserve"> with</w:t>
      </w:r>
      <w:r>
        <w:rPr>
          <w:rFonts w:ascii="Times New Roman" w:hAnsi="Times New Roman" w:cs="Times New Roman"/>
          <w:sz w:val="24"/>
          <w:szCs w:val="24"/>
        </w:rPr>
        <w:t xml:space="preserve"> annual charges, but also with declaratory orders, waivers and exemptions regarding the annual charges.  </w:t>
      </w:r>
      <w:r w:rsidR="00437F37">
        <w:rPr>
          <w:rFonts w:ascii="Times New Roman" w:hAnsi="Times New Roman" w:cs="Times New Roman"/>
          <w:sz w:val="24"/>
          <w:szCs w:val="24"/>
        </w:rPr>
        <w:t xml:space="preserve">Labor costs: $21,000 </w:t>
      </w:r>
      <w:r w:rsidR="004C7EEA">
        <w:rPr>
          <w:rFonts w:ascii="Times New Roman" w:hAnsi="Times New Roman" w:cs="Times New Roman"/>
          <w:sz w:val="24"/>
          <w:szCs w:val="24"/>
        </w:rPr>
        <w:t>(</w:t>
      </w:r>
      <w:r w:rsidR="00F03087">
        <w:rPr>
          <w:rFonts w:ascii="Times New Roman" w:hAnsi="Times New Roman" w:cs="Times New Roman"/>
          <w:sz w:val="24"/>
          <w:szCs w:val="24"/>
        </w:rPr>
        <w:t xml:space="preserve">300 hours x $70/hour = </w:t>
      </w:r>
      <w:r w:rsidR="004C7EEA">
        <w:rPr>
          <w:rFonts w:ascii="Times New Roman" w:hAnsi="Times New Roman" w:cs="Times New Roman"/>
          <w:sz w:val="24"/>
          <w:szCs w:val="24"/>
        </w:rPr>
        <w:t>$21,000</w:t>
      </w:r>
      <w:r w:rsidR="00F03087">
        <w:rPr>
          <w:rFonts w:ascii="Times New Roman" w:hAnsi="Times New Roman" w:cs="Times New Roman"/>
          <w:sz w:val="24"/>
          <w:szCs w:val="24"/>
        </w:rPr>
        <w:t>)</w:t>
      </w:r>
      <w:r w:rsidR="007F1DE4">
        <w:rPr>
          <w:rFonts w:ascii="Times New Roman" w:hAnsi="Times New Roman" w:cs="Times New Roman"/>
          <w:sz w:val="24"/>
          <w:szCs w:val="24"/>
        </w:rPr>
        <w:t>.</w:t>
      </w:r>
    </w:p>
    <w:p w14:paraId="7279355E" w14:textId="77777777" w:rsidR="00E854DC" w:rsidRDefault="00E854DC" w:rsidP="00D80FBD">
      <w:pPr>
        <w:spacing w:after="0"/>
        <w:rPr>
          <w:rFonts w:ascii="Times New Roman" w:hAnsi="Times New Roman" w:cs="Times New Roman"/>
          <w:sz w:val="24"/>
          <w:szCs w:val="24"/>
        </w:rPr>
      </w:pPr>
    </w:p>
    <w:p w14:paraId="2F01515C" w14:textId="4CD5E5FD" w:rsidR="00E854DC" w:rsidRDefault="00E854DC" w:rsidP="00D80FBD">
      <w:pPr>
        <w:spacing w:after="0"/>
        <w:rPr>
          <w:rFonts w:ascii="Times New Roman" w:hAnsi="Times New Roman" w:cs="Times New Roman"/>
          <w:sz w:val="24"/>
          <w:szCs w:val="24"/>
        </w:rPr>
      </w:pPr>
      <w:r>
        <w:rPr>
          <w:rFonts w:ascii="Times New Roman" w:hAnsi="Times New Roman" w:cs="Times New Roman"/>
          <w:sz w:val="24"/>
          <w:szCs w:val="24"/>
        </w:rPr>
        <w:t>The estimated public reporting burden due to the Final Rule in docket RM14-11-000 is as follows:</w:t>
      </w:r>
    </w:p>
    <w:p w14:paraId="12CA4B9B" w14:textId="77777777" w:rsidR="00E854DC" w:rsidRDefault="00E854DC" w:rsidP="00D80FBD">
      <w:pPr>
        <w:spacing w:after="0"/>
        <w:rPr>
          <w:rFonts w:ascii="Times New Roman" w:hAnsi="Times New Roman" w:cs="Times New Roman"/>
          <w:sz w:val="24"/>
          <w:szCs w:val="24"/>
        </w:rPr>
      </w:pPr>
    </w:p>
    <w:tbl>
      <w:tblPr>
        <w:tblW w:w="539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1442"/>
        <w:gridCol w:w="1349"/>
        <w:gridCol w:w="1353"/>
        <w:gridCol w:w="1438"/>
        <w:gridCol w:w="1533"/>
        <w:gridCol w:w="1506"/>
      </w:tblGrid>
      <w:tr w:rsidR="00E854DC" w:rsidRPr="00426496" w14:paraId="0757C914" w14:textId="77777777" w:rsidTr="00C15440">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14:paraId="5EF56605" w14:textId="77777777" w:rsidR="00E854DC" w:rsidRPr="00426496" w:rsidRDefault="00E854DC" w:rsidP="00C1544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26496">
              <w:rPr>
                <w:rFonts w:ascii="Times New Roman" w:eastAsia="Calibri" w:hAnsi="Times New Roman" w:cs="Times New Roman"/>
                <w:b/>
                <w:sz w:val="20"/>
                <w:szCs w:val="20"/>
              </w:rPr>
              <w:t>RM14-11-000 Final Rule (Open Access and Priority Rights on Interconnection Customer’s Interconnection Facilities)</w:t>
            </w:r>
          </w:p>
        </w:tc>
      </w:tr>
      <w:tr w:rsidR="00E854DC" w:rsidRPr="00426496" w14:paraId="6986737C" w14:textId="77777777" w:rsidTr="00C15440">
        <w:trPr>
          <w:cantSplit/>
        </w:trPr>
        <w:tc>
          <w:tcPr>
            <w:tcW w:w="827" w:type="pct"/>
            <w:shd w:val="clear" w:color="auto" w:fill="D9D9D9"/>
          </w:tcPr>
          <w:p w14:paraId="4DC9B006" w14:textId="77777777" w:rsidR="00E854DC" w:rsidRPr="00426496" w:rsidRDefault="00E854DC" w:rsidP="00C15440">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698" w:type="pct"/>
            <w:shd w:val="clear" w:color="auto" w:fill="D9D9D9"/>
            <w:vAlign w:val="bottom"/>
          </w:tcPr>
          <w:p w14:paraId="4D72B304" w14:textId="77777777" w:rsidR="00E854DC" w:rsidRPr="00426496" w:rsidRDefault="00E854DC" w:rsidP="00C1544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26496">
              <w:rPr>
                <w:rFonts w:ascii="Times New Roman" w:eastAsia="Calibri" w:hAnsi="Times New Roman" w:cs="Times New Roman"/>
                <w:b/>
                <w:sz w:val="20"/>
                <w:szCs w:val="20"/>
              </w:rPr>
              <w:t>Number of Respondents</w:t>
            </w:r>
          </w:p>
          <w:p w14:paraId="444A7C51" w14:textId="77777777" w:rsidR="00E854DC" w:rsidRPr="00426496" w:rsidRDefault="00E854DC" w:rsidP="00C1544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26496">
              <w:rPr>
                <w:rFonts w:ascii="Times New Roman" w:eastAsia="Calibri" w:hAnsi="Times New Roman" w:cs="Times New Roman"/>
                <w:b/>
                <w:sz w:val="20"/>
                <w:szCs w:val="20"/>
              </w:rPr>
              <w:t>(1)</w:t>
            </w:r>
          </w:p>
        </w:tc>
        <w:tc>
          <w:tcPr>
            <w:tcW w:w="653" w:type="pct"/>
            <w:shd w:val="clear" w:color="auto" w:fill="D9D9D9"/>
            <w:vAlign w:val="bottom"/>
          </w:tcPr>
          <w:p w14:paraId="788FFD6C" w14:textId="77777777" w:rsidR="00E854DC" w:rsidRPr="00426496" w:rsidRDefault="00E854DC" w:rsidP="00C1544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26496">
              <w:rPr>
                <w:rFonts w:ascii="Times New Roman" w:eastAsia="Calibri" w:hAnsi="Times New Roman" w:cs="Times New Roman"/>
                <w:b/>
                <w:sz w:val="20"/>
                <w:szCs w:val="20"/>
              </w:rPr>
              <w:t>Annual Number of Responses per Respondent</w:t>
            </w:r>
          </w:p>
          <w:p w14:paraId="46FA1BCF" w14:textId="77777777" w:rsidR="00E854DC" w:rsidRPr="00426496" w:rsidRDefault="00E854DC" w:rsidP="00C1544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26496">
              <w:rPr>
                <w:rFonts w:ascii="Times New Roman" w:eastAsia="Calibri" w:hAnsi="Times New Roman" w:cs="Times New Roman"/>
                <w:b/>
                <w:sz w:val="20"/>
                <w:szCs w:val="20"/>
              </w:rPr>
              <w:t>(2)</w:t>
            </w:r>
          </w:p>
        </w:tc>
        <w:tc>
          <w:tcPr>
            <w:tcW w:w="655" w:type="pct"/>
            <w:shd w:val="clear" w:color="auto" w:fill="D9D9D9"/>
            <w:vAlign w:val="bottom"/>
          </w:tcPr>
          <w:p w14:paraId="0409AC8B" w14:textId="77777777" w:rsidR="00E854DC" w:rsidRPr="00426496" w:rsidRDefault="00E854DC" w:rsidP="00C1544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26496">
              <w:rPr>
                <w:rFonts w:ascii="Times New Roman" w:eastAsia="Calibri" w:hAnsi="Times New Roman" w:cs="Times New Roman"/>
                <w:b/>
                <w:sz w:val="20"/>
                <w:szCs w:val="20"/>
              </w:rPr>
              <w:t>Total Number of Responses (1)*(2)=(3)</w:t>
            </w:r>
          </w:p>
        </w:tc>
        <w:tc>
          <w:tcPr>
            <w:tcW w:w="696" w:type="pct"/>
            <w:shd w:val="clear" w:color="auto" w:fill="D9D9D9"/>
            <w:vAlign w:val="bottom"/>
          </w:tcPr>
          <w:p w14:paraId="022D09E5" w14:textId="77777777" w:rsidR="00E854DC" w:rsidRPr="00426496" w:rsidRDefault="00E854DC" w:rsidP="00C1544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26496">
              <w:rPr>
                <w:rFonts w:ascii="Times New Roman" w:eastAsia="Calibri" w:hAnsi="Times New Roman" w:cs="Times New Roman"/>
                <w:b/>
                <w:sz w:val="20"/>
                <w:szCs w:val="20"/>
              </w:rPr>
              <w:t>Average Burden &amp; Cost Per Response</w:t>
            </w:r>
            <w:r w:rsidRPr="00426496">
              <w:rPr>
                <w:rFonts w:ascii="Times New Roman" w:eastAsia="Calibri" w:hAnsi="Times New Roman" w:cs="Times New Roman"/>
                <w:b/>
                <w:sz w:val="20"/>
                <w:szCs w:val="20"/>
                <w:vertAlign w:val="superscript"/>
              </w:rPr>
              <w:footnoteReference w:id="5"/>
            </w:r>
          </w:p>
          <w:p w14:paraId="14E14EEA" w14:textId="77777777" w:rsidR="00E854DC" w:rsidRPr="00426496" w:rsidRDefault="00E854DC" w:rsidP="00C1544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26496">
              <w:rPr>
                <w:rFonts w:ascii="Times New Roman" w:eastAsia="Calibri" w:hAnsi="Times New Roman" w:cs="Times New Roman"/>
                <w:b/>
                <w:sz w:val="20"/>
                <w:szCs w:val="20"/>
              </w:rPr>
              <w:t>(4)</w:t>
            </w:r>
          </w:p>
        </w:tc>
        <w:tc>
          <w:tcPr>
            <w:tcW w:w="742" w:type="pct"/>
            <w:shd w:val="clear" w:color="auto" w:fill="D9D9D9"/>
            <w:vAlign w:val="bottom"/>
          </w:tcPr>
          <w:p w14:paraId="229D2DBF" w14:textId="77777777" w:rsidR="00E854DC" w:rsidRPr="00426496" w:rsidRDefault="00E854DC" w:rsidP="00C1544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26496">
              <w:rPr>
                <w:rFonts w:ascii="Times New Roman" w:eastAsia="Calibri" w:hAnsi="Times New Roman" w:cs="Times New Roman"/>
                <w:b/>
                <w:sz w:val="20"/>
                <w:szCs w:val="20"/>
              </w:rPr>
              <w:t>Total Annual Burden Hours &amp; Total Annual Cost</w:t>
            </w:r>
          </w:p>
          <w:p w14:paraId="02F0AE7D" w14:textId="77777777" w:rsidR="00E854DC" w:rsidRPr="00426496" w:rsidRDefault="00E854DC" w:rsidP="00C1544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26496">
              <w:rPr>
                <w:rFonts w:ascii="Times New Roman" w:eastAsia="Calibri" w:hAnsi="Times New Roman" w:cs="Times New Roman"/>
                <w:b/>
                <w:sz w:val="20"/>
                <w:szCs w:val="20"/>
              </w:rPr>
              <w:t>(3)*(4)=(5)</w:t>
            </w:r>
          </w:p>
        </w:tc>
        <w:tc>
          <w:tcPr>
            <w:tcW w:w="729" w:type="pct"/>
            <w:shd w:val="clear" w:color="auto" w:fill="D9D9D9"/>
            <w:vAlign w:val="bottom"/>
          </w:tcPr>
          <w:p w14:paraId="6662AA6E" w14:textId="77777777" w:rsidR="00E854DC" w:rsidRPr="00426496" w:rsidRDefault="00E854DC" w:rsidP="00C1544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26496">
              <w:rPr>
                <w:rFonts w:ascii="Times New Roman" w:eastAsia="Calibri" w:hAnsi="Times New Roman" w:cs="Times New Roman"/>
                <w:b/>
                <w:sz w:val="20"/>
                <w:szCs w:val="20"/>
              </w:rPr>
              <w:t>Average Cost per Respondent</w:t>
            </w:r>
          </w:p>
          <w:p w14:paraId="72312091" w14:textId="77777777" w:rsidR="00E854DC" w:rsidRPr="00426496" w:rsidRDefault="00E854DC" w:rsidP="00C1544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26496">
              <w:rPr>
                <w:rFonts w:ascii="Times New Roman" w:eastAsia="Calibri" w:hAnsi="Times New Roman" w:cs="Times New Roman"/>
                <w:b/>
                <w:sz w:val="20"/>
                <w:szCs w:val="20"/>
              </w:rPr>
              <w:t xml:space="preserve"> ($)</w:t>
            </w:r>
          </w:p>
          <w:p w14:paraId="61BB4D04" w14:textId="77777777" w:rsidR="00E854DC" w:rsidRPr="00426496" w:rsidRDefault="00E854DC" w:rsidP="00C15440">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26496">
              <w:rPr>
                <w:rFonts w:ascii="Times New Roman" w:eastAsia="Calibri" w:hAnsi="Times New Roman" w:cs="Times New Roman"/>
                <w:b/>
                <w:sz w:val="20"/>
                <w:szCs w:val="20"/>
              </w:rPr>
              <w:t>(5)÷(1)</w:t>
            </w:r>
          </w:p>
        </w:tc>
      </w:tr>
      <w:tr w:rsidR="00E854DC" w:rsidRPr="00426496" w14:paraId="05CC046D" w14:textId="77777777" w:rsidTr="00C15440">
        <w:trPr>
          <w:cantSplit/>
        </w:trPr>
        <w:tc>
          <w:tcPr>
            <w:tcW w:w="827" w:type="pct"/>
          </w:tcPr>
          <w:p w14:paraId="66093E80" w14:textId="77777777" w:rsidR="00E854DC" w:rsidRPr="00426496" w:rsidRDefault="00E854DC" w:rsidP="00C15440">
            <w:pPr>
              <w:widowControl w:val="0"/>
              <w:autoSpaceDE w:val="0"/>
              <w:autoSpaceDN w:val="0"/>
              <w:adjustRightInd w:val="0"/>
              <w:spacing w:after="0" w:line="240" w:lineRule="auto"/>
              <w:rPr>
                <w:rFonts w:ascii="Times New Roman" w:eastAsia="Calibri" w:hAnsi="Times New Roman" w:cs="Times New Roman"/>
                <w:sz w:val="20"/>
                <w:szCs w:val="20"/>
              </w:rPr>
            </w:pPr>
            <w:r w:rsidRPr="00426496">
              <w:rPr>
                <w:rFonts w:ascii="Times New Roman" w:eastAsia="Calibri" w:hAnsi="Times New Roman" w:cs="Times New Roman"/>
                <w:sz w:val="20"/>
                <w:szCs w:val="20"/>
              </w:rPr>
              <w:t>Individual Requests for Waiver (FERC-917)</w:t>
            </w:r>
          </w:p>
        </w:tc>
        <w:tc>
          <w:tcPr>
            <w:tcW w:w="698" w:type="pct"/>
          </w:tcPr>
          <w:p w14:paraId="0BAFA845"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16</w:t>
            </w:r>
          </w:p>
          <w:p w14:paraId="6CD70487"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653" w:type="pct"/>
          </w:tcPr>
          <w:p w14:paraId="0FD5A85B"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w:t>
            </w:r>
          </w:p>
        </w:tc>
        <w:tc>
          <w:tcPr>
            <w:tcW w:w="655" w:type="pct"/>
          </w:tcPr>
          <w:p w14:paraId="12A86189"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-16</w:t>
            </w:r>
          </w:p>
        </w:tc>
        <w:tc>
          <w:tcPr>
            <w:tcW w:w="696" w:type="pct"/>
          </w:tcPr>
          <w:p w14:paraId="60B27A44"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10</w:t>
            </w:r>
          </w:p>
          <w:p w14:paraId="3A097711"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$947</w:t>
            </w:r>
            <w:r w:rsidRPr="00A52089">
              <w:rPr>
                <w:rStyle w:val="FootnoteReference"/>
                <w:rFonts w:ascii="Times New Roman" w:eastAsia="Calibri" w:hAnsi="Times New Roman" w:cs="Times New Roman"/>
                <w:sz w:val="20"/>
                <w:szCs w:val="20"/>
                <w:vertAlign w:val="superscript"/>
              </w:rPr>
              <w:footnoteReference w:id="6"/>
            </w:r>
          </w:p>
          <w:p w14:paraId="1829A464"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742" w:type="pct"/>
          </w:tcPr>
          <w:p w14:paraId="1094424F"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 xml:space="preserve"> -160</w:t>
            </w:r>
          </w:p>
          <w:p w14:paraId="22C08A19"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-$15,146</w:t>
            </w:r>
          </w:p>
          <w:p w14:paraId="4F7E99CD"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 xml:space="preserve"> </w:t>
            </w:r>
          </w:p>
        </w:tc>
        <w:tc>
          <w:tcPr>
            <w:tcW w:w="729" w:type="pct"/>
          </w:tcPr>
          <w:p w14:paraId="46DF3A91"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-$947</w:t>
            </w:r>
          </w:p>
          <w:p w14:paraId="7CD6B87F"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 xml:space="preserve"> </w:t>
            </w:r>
          </w:p>
          <w:p w14:paraId="5470C896"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tc>
      </w:tr>
      <w:tr w:rsidR="00E854DC" w:rsidRPr="00426496" w14:paraId="1BEB2BA0" w14:textId="77777777" w:rsidTr="00C15440">
        <w:trPr>
          <w:cantSplit/>
        </w:trPr>
        <w:tc>
          <w:tcPr>
            <w:tcW w:w="827" w:type="pct"/>
          </w:tcPr>
          <w:p w14:paraId="7ED28C94" w14:textId="77777777" w:rsidR="00E854DC" w:rsidRPr="00426496" w:rsidRDefault="00E854DC" w:rsidP="00C15440">
            <w:pPr>
              <w:widowControl w:val="0"/>
              <w:autoSpaceDE w:val="0"/>
              <w:autoSpaceDN w:val="0"/>
              <w:adjustRightInd w:val="0"/>
              <w:spacing w:after="0" w:line="240" w:lineRule="auto"/>
              <w:rPr>
                <w:rFonts w:ascii="Times New Roman" w:eastAsia="Calibri" w:hAnsi="Times New Roman" w:cs="Times New Roman"/>
                <w:sz w:val="20"/>
                <w:szCs w:val="20"/>
              </w:rPr>
            </w:pPr>
            <w:r w:rsidRPr="00426496">
              <w:rPr>
                <w:rFonts w:ascii="Times New Roman" w:eastAsia="Calibri" w:hAnsi="Times New Roman" w:cs="Times New Roman"/>
                <w:sz w:val="20"/>
                <w:szCs w:val="20"/>
              </w:rPr>
              <w:lastRenderedPageBreak/>
              <w:t>OATT Filings  (FERC-917)</w:t>
            </w:r>
          </w:p>
        </w:tc>
        <w:tc>
          <w:tcPr>
            <w:tcW w:w="698" w:type="pct"/>
          </w:tcPr>
          <w:p w14:paraId="6E6818CD"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w:t>
            </w:r>
          </w:p>
        </w:tc>
        <w:tc>
          <w:tcPr>
            <w:tcW w:w="653" w:type="pct"/>
          </w:tcPr>
          <w:p w14:paraId="2A8C673C"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w:t>
            </w:r>
          </w:p>
        </w:tc>
        <w:tc>
          <w:tcPr>
            <w:tcW w:w="655" w:type="pct"/>
          </w:tcPr>
          <w:p w14:paraId="67613EE3"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w:t>
            </w:r>
          </w:p>
        </w:tc>
        <w:tc>
          <w:tcPr>
            <w:tcW w:w="696" w:type="pct"/>
          </w:tcPr>
          <w:p w14:paraId="18B67F5B"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100</w:t>
            </w:r>
          </w:p>
          <w:p w14:paraId="2C408753"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$9,466</w:t>
            </w:r>
          </w:p>
        </w:tc>
        <w:tc>
          <w:tcPr>
            <w:tcW w:w="742" w:type="pct"/>
          </w:tcPr>
          <w:p w14:paraId="429436A5"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-100</w:t>
            </w:r>
          </w:p>
          <w:p w14:paraId="4B013A52"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-$9,466</w:t>
            </w:r>
          </w:p>
        </w:tc>
        <w:tc>
          <w:tcPr>
            <w:tcW w:w="729" w:type="pct"/>
          </w:tcPr>
          <w:p w14:paraId="09274897"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-$9,466</w:t>
            </w:r>
          </w:p>
          <w:p w14:paraId="43187271"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tc>
      </w:tr>
      <w:tr w:rsidR="00E854DC" w:rsidRPr="00426496" w14:paraId="01086B5F" w14:textId="77777777" w:rsidTr="00C15440">
        <w:trPr>
          <w:cantSplit/>
        </w:trPr>
        <w:tc>
          <w:tcPr>
            <w:tcW w:w="827" w:type="pct"/>
          </w:tcPr>
          <w:p w14:paraId="27F5530C" w14:textId="77777777" w:rsidR="00E854DC" w:rsidRPr="00426496" w:rsidRDefault="00E854DC" w:rsidP="00C15440">
            <w:pPr>
              <w:widowControl w:val="0"/>
              <w:autoSpaceDE w:val="0"/>
              <w:autoSpaceDN w:val="0"/>
              <w:adjustRightInd w:val="0"/>
              <w:spacing w:after="0" w:line="240" w:lineRule="auto"/>
              <w:rPr>
                <w:rFonts w:ascii="Times New Roman" w:eastAsia="Calibri" w:hAnsi="Times New Roman" w:cs="Times New Roman"/>
                <w:sz w:val="20"/>
                <w:szCs w:val="20"/>
              </w:rPr>
            </w:pPr>
            <w:r w:rsidRPr="00426496">
              <w:rPr>
                <w:rFonts w:ascii="Times New Roman" w:eastAsia="Calibri" w:hAnsi="Times New Roman" w:cs="Times New Roman"/>
                <w:sz w:val="20"/>
                <w:szCs w:val="20"/>
              </w:rPr>
              <w:t>Petitions for Declaratory Order requesting priority rights (FERC-582)</w:t>
            </w:r>
          </w:p>
        </w:tc>
        <w:tc>
          <w:tcPr>
            <w:tcW w:w="698" w:type="pct"/>
          </w:tcPr>
          <w:p w14:paraId="097FB680"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w:t>
            </w:r>
          </w:p>
        </w:tc>
        <w:tc>
          <w:tcPr>
            <w:tcW w:w="653" w:type="pct"/>
          </w:tcPr>
          <w:p w14:paraId="0388F664"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w:t>
            </w:r>
          </w:p>
        </w:tc>
        <w:tc>
          <w:tcPr>
            <w:tcW w:w="655" w:type="pct"/>
          </w:tcPr>
          <w:p w14:paraId="3860FC0C"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w:t>
            </w:r>
          </w:p>
        </w:tc>
        <w:tc>
          <w:tcPr>
            <w:tcW w:w="696" w:type="pct"/>
          </w:tcPr>
          <w:p w14:paraId="7BB22828"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30</w:t>
            </w:r>
          </w:p>
          <w:p w14:paraId="7CBB7187"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$2,840</w:t>
            </w:r>
          </w:p>
          <w:p w14:paraId="3DFF3092"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p w14:paraId="01F71381"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742" w:type="pct"/>
          </w:tcPr>
          <w:p w14:paraId="7EB3F3C2"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-30</w:t>
            </w:r>
          </w:p>
          <w:p w14:paraId="589B46A6"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-$2,840</w:t>
            </w:r>
          </w:p>
          <w:p w14:paraId="57F231BC"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p w14:paraId="016AD490"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729" w:type="pct"/>
          </w:tcPr>
          <w:p w14:paraId="7A6954ED"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-$2,840</w:t>
            </w:r>
          </w:p>
          <w:p w14:paraId="35EC0647"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p w14:paraId="3AB9B2AD"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tc>
      </w:tr>
      <w:tr w:rsidR="00E854DC" w:rsidRPr="00426496" w14:paraId="66104376" w14:textId="77777777" w:rsidTr="00C15440">
        <w:trPr>
          <w:cantSplit/>
        </w:trPr>
        <w:tc>
          <w:tcPr>
            <w:tcW w:w="827" w:type="pct"/>
          </w:tcPr>
          <w:p w14:paraId="3B0BCACB" w14:textId="77777777" w:rsidR="00E854DC" w:rsidRPr="00426496" w:rsidRDefault="00E854DC" w:rsidP="00C15440">
            <w:pPr>
              <w:widowControl w:val="0"/>
              <w:autoSpaceDE w:val="0"/>
              <w:autoSpaceDN w:val="0"/>
              <w:adjustRightInd w:val="0"/>
              <w:spacing w:after="0" w:line="240" w:lineRule="auto"/>
              <w:rPr>
                <w:rFonts w:ascii="Times New Roman" w:eastAsia="Calibri" w:hAnsi="Times New Roman" w:cs="Times New Roman"/>
                <w:sz w:val="20"/>
                <w:szCs w:val="20"/>
              </w:rPr>
            </w:pPr>
            <w:r w:rsidRPr="00426496">
              <w:rPr>
                <w:rFonts w:ascii="Times New Roman" w:eastAsia="Calibri" w:hAnsi="Times New Roman" w:cs="Times New Roman"/>
                <w:sz w:val="20"/>
                <w:szCs w:val="20"/>
              </w:rPr>
              <w:t>Safe Harbor Commercial Operation Date Filing (average of first three years)</w:t>
            </w:r>
            <w:r w:rsidRPr="00426496">
              <w:rPr>
                <w:rFonts w:ascii="Times New Roman" w:eastAsia="Calibri" w:hAnsi="Times New Roman" w:cs="Times New Roman"/>
                <w:b/>
                <w:sz w:val="20"/>
                <w:szCs w:val="20"/>
                <w:vertAlign w:val="superscript"/>
              </w:rPr>
              <w:footnoteReference w:id="7"/>
            </w:r>
            <w:r w:rsidRPr="00426496">
              <w:rPr>
                <w:rFonts w:ascii="Times New Roman" w:eastAsia="Calibri" w:hAnsi="Times New Roman" w:cs="Times New Roman"/>
                <w:sz w:val="20"/>
                <w:szCs w:val="20"/>
              </w:rPr>
              <w:t xml:space="preserve"> (FERC-917)</w:t>
            </w:r>
          </w:p>
        </w:tc>
        <w:tc>
          <w:tcPr>
            <w:tcW w:w="698" w:type="pct"/>
          </w:tcPr>
          <w:p w14:paraId="4E6F98D3"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39</w:t>
            </w:r>
          </w:p>
        </w:tc>
        <w:tc>
          <w:tcPr>
            <w:tcW w:w="653" w:type="pct"/>
          </w:tcPr>
          <w:p w14:paraId="2A46BC1B"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w:t>
            </w:r>
          </w:p>
        </w:tc>
        <w:tc>
          <w:tcPr>
            <w:tcW w:w="655" w:type="pct"/>
          </w:tcPr>
          <w:p w14:paraId="76AB2F66"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39</w:t>
            </w:r>
          </w:p>
        </w:tc>
        <w:tc>
          <w:tcPr>
            <w:tcW w:w="696" w:type="pct"/>
          </w:tcPr>
          <w:p w14:paraId="204642DC"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w:t>
            </w:r>
          </w:p>
          <w:p w14:paraId="427FAD7D"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$95</w:t>
            </w:r>
            <w:r w:rsidRPr="00A52089">
              <w:rPr>
                <w:rStyle w:val="FootnoteReference"/>
                <w:rFonts w:ascii="Times New Roman" w:eastAsia="Calibri" w:hAnsi="Times New Roman" w:cs="Times New Roman"/>
                <w:sz w:val="20"/>
                <w:szCs w:val="20"/>
                <w:vertAlign w:val="superscript"/>
              </w:rPr>
              <w:footnoteReference w:id="8"/>
            </w:r>
          </w:p>
          <w:p w14:paraId="372F7DC3"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742" w:type="pct"/>
          </w:tcPr>
          <w:p w14:paraId="33F86427"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39</w:t>
            </w:r>
          </w:p>
          <w:p w14:paraId="5B26FC7D"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$3,692</w:t>
            </w:r>
          </w:p>
          <w:p w14:paraId="01B13CD4"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729" w:type="pct"/>
          </w:tcPr>
          <w:p w14:paraId="07773655"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$95</w:t>
            </w:r>
          </w:p>
          <w:p w14:paraId="036C1FE5"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tc>
      </w:tr>
      <w:tr w:rsidR="00E854DC" w:rsidRPr="00426496" w14:paraId="77E3329A" w14:textId="77777777" w:rsidTr="00C15440">
        <w:trPr>
          <w:cantSplit/>
        </w:trPr>
        <w:tc>
          <w:tcPr>
            <w:tcW w:w="827" w:type="pct"/>
          </w:tcPr>
          <w:p w14:paraId="18F8E80E" w14:textId="77777777" w:rsidR="00E854DC" w:rsidRPr="00426496" w:rsidRDefault="00E854DC" w:rsidP="00C15440">
            <w:pPr>
              <w:widowControl w:val="0"/>
              <w:autoSpaceDE w:val="0"/>
              <w:autoSpaceDN w:val="0"/>
              <w:adjustRightInd w:val="0"/>
              <w:spacing w:after="0" w:line="240" w:lineRule="auto"/>
              <w:rPr>
                <w:rFonts w:ascii="Times New Roman" w:eastAsia="Calibri" w:hAnsi="Times New Roman" w:cs="Times New Roman"/>
                <w:sz w:val="20"/>
                <w:szCs w:val="20"/>
              </w:rPr>
            </w:pPr>
            <w:r w:rsidRPr="00426496">
              <w:rPr>
                <w:rFonts w:ascii="Times New Roman" w:eastAsia="Calibri" w:hAnsi="Times New Roman" w:cs="Times New Roman"/>
                <w:sz w:val="20"/>
                <w:szCs w:val="20"/>
              </w:rPr>
              <w:t>ICIF Owner that Does Not Sell Electric Energy Filing to Receive Blanket Waiver (average of first three years)</w:t>
            </w:r>
            <w:r w:rsidRPr="00426496">
              <w:rPr>
                <w:rFonts w:ascii="Times New Roman" w:eastAsia="Calibri" w:hAnsi="Times New Roman" w:cs="Times New Roman"/>
                <w:b/>
                <w:sz w:val="20"/>
                <w:szCs w:val="20"/>
                <w:vertAlign w:val="superscript"/>
              </w:rPr>
              <w:footnoteReference w:id="9"/>
            </w:r>
          </w:p>
          <w:p w14:paraId="1FEB1A09" w14:textId="77777777" w:rsidR="00E854DC" w:rsidRPr="00426496" w:rsidRDefault="00E854DC" w:rsidP="00C15440">
            <w:pPr>
              <w:widowControl w:val="0"/>
              <w:autoSpaceDE w:val="0"/>
              <w:autoSpaceDN w:val="0"/>
              <w:adjustRightInd w:val="0"/>
              <w:spacing w:after="0" w:line="240" w:lineRule="auto"/>
              <w:rPr>
                <w:rFonts w:ascii="Times New Roman" w:eastAsia="Calibri" w:hAnsi="Times New Roman" w:cs="Times New Roman"/>
                <w:sz w:val="20"/>
                <w:szCs w:val="20"/>
              </w:rPr>
            </w:pPr>
            <w:r w:rsidRPr="00426496">
              <w:rPr>
                <w:rFonts w:ascii="Times New Roman" w:eastAsia="Calibri" w:hAnsi="Times New Roman" w:cs="Times New Roman"/>
                <w:sz w:val="20"/>
                <w:szCs w:val="20"/>
              </w:rPr>
              <w:t>(FERC-917)</w:t>
            </w:r>
          </w:p>
        </w:tc>
        <w:tc>
          <w:tcPr>
            <w:tcW w:w="698" w:type="pct"/>
          </w:tcPr>
          <w:p w14:paraId="1952808C"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19</w:t>
            </w:r>
          </w:p>
        </w:tc>
        <w:tc>
          <w:tcPr>
            <w:tcW w:w="653" w:type="pct"/>
          </w:tcPr>
          <w:p w14:paraId="0D1A33F5"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w:t>
            </w:r>
          </w:p>
        </w:tc>
        <w:tc>
          <w:tcPr>
            <w:tcW w:w="655" w:type="pct"/>
          </w:tcPr>
          <w:p w14:paraId="41480137"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19</w:t>
            </w:r>
          </w:p>
        </w:tc>
        <w:tc>
          <w:tcPr>
            <w:tcW w:w="696" w:type="pct"/>
          </w:tcPr>
          <w:p w14:paraId="02637233"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w:t>
            </w:r>
          </w:p>
          <w:p w14:paraId="3C20D27D"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$95</w:t>
            </w:r>
            <w:r w:rsidRPr="00A52089">
              <w:rPr>
                <w:rFonts w:ascii="Times New Roman" w:eastAsia="Calibri" w:hAnsi="Times New Roman" w:cs="Times New Roman"/>
                <w:sz w:val="20"/>
                <w:szCs w:val="20"/>
                <w:vertAlign w:val="superscript"/>
              </w:rPr>
              <w:fldChar w:fldCharType="begin"/>
            </w:r>
            <w:r w:rsidRPr="00A52089">
              <w:rPr>
                <w:rFonts w:ascii="Times New Roman" w:eastAsia="Calibri" w:hAnsi="Times New Roman" w:cs="Times New Roman"/>
                <w:sz w:val="20"/>
                <w:szCs w:val="20"/>
                <w:vertAlign w:val="superscript"/>
              </w:rPr>
              <w:instrText xml:space="preserve"> NOTEREF _Ref415744548 \h </w:instrText>
            </w:r>
            <w:r>
              <w:rPr>
                <w:rFonts w:ascii="Times New Roman" w:eastAsia="Calibri" w:hAnsi="Times New Roman" w:cs="Times New Roman"/>
                <w:sz w:val="20"/>
                <w:szCs w:val="20"/>
                <w:vertAlign w:val="superscript"/>
              </w:rPr>
              <w:instrText xml:space="preserve"> \* MERGEFORMAT </w:instrText>
            </w:r>
            <w:r w:rsidRPr="00A52089">
              <w:rPr>
                <w:rFonts w:ascii="Times New Roman" w:eastAsia="Calibri" w:hAnsi="Times New Roman" w:cs="Times New Roman"/>
                <w:sz w:val="20"/>
                <w:szCs w:val="20"/>
                <w:vertAlign w:val="superscript"/>
              </w:rPr>
            </w:r>
            <w:r w:rsidRPr="00A52089">
              <w:rPr>
                <w:rFonts w:ascii="Times New Roman" w:eastAsia="Calibri" w:hAnsi="Times New Roman" w:cs="Times New Roman"/>
                <w:sz w:val="20"/>
                <w:szCs w:val="20"/>
                <w:vertAlign w:val="superscript"/>
              </w:rPr>
              <w:fldChar w:fldCharType="separate"/>
            </w:r>
            <w:r>
              <w:rPr>
                <w:rFonts w:ascii="Times New Roman" w:eastAsia="Calibri" w:hAnsi="Times New Roman" w:cs="Times New Roman"/>
                <w:sz w:val="20"/>
                <w:szCs w:val="20"/>
                <w:vertAlign w:val="superscript"/>
              </w:rPr>
              <w:t>10</w:t>
            </w:r>
            <w:r w:rsidRPr="00A52089">
              <w:rPr>
                <w:rFonts w:ascii="Times New Roman" w:eastAsia="Calibri" w:hAnsi="Times New Roman" w:cs="Times New Roman"/>
                <w:sz w:val="20"/>
                <w:szCs w:val="20"/>
                <w:vertAlign w:val="superscript"/>
              </w:rPr>
              <w:fldChar w:fldCharType="end"/>
            </w:r>
          </w:p>
          <w:p w14:paraId="5237D596"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742" w:type="pct"/>
          </w:tcPr>
          <w:p w14:paraId="4309B39C"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19</w:t>
            </w:r>
          </w:p>
          <w:p w14:paraId="663C3286"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$1,799</w:t>
            </w:r>
          </w:p>
        </w:tc>
        <w:tc>
          <w:tcPr>
            <w:tcW w:w="729" w:type="pct"/>
          </w:tcPr>
          <w:p w14:paraId="2E6B2A21"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26496">
              <w:rPr>
                <w:rFonts w:ascii="Times New Roman" w:eastAsia="Calibri" w:hAnsi="Times New Roman" w:cs="Times New Roman"/>
                <w:sz w:val="20"/>
                <w:szCs w:val="20"/>
              </w:rPr>
              <w:t>$95</w:t>
            </w:r>
          </w:p>
          <w:p w14:paraId="603BF998"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tc>
      </w:tr>
      <w:tr w:rsidR="00E854DC" w:rsidRPr="00426496" w14:paraId="1BF985DF" w14:textId="77777777" w:rsidTr="00C15440">
        <w:trPr>
          <w:cantSplit/>
          <w:trHeight w:val="485"/>
        </w:trPr>
        <w:tc>
          <w:tcPr>
            <w:tcW w:w="827" w:type="pct"/>
            <w:tcBorders>
              <w:bottom w:val="single" w:sz="4" w:space="0" w:color="auto"/>
            </w:tcBorders>
          </w:tcPr>
          <w:p w14:paraId="62193DD9" w14:textId="77777777" w:rsidR="00E854DC" w:rsidRPr="00426496" w:rsidRDefault="00E854DC" w:rsidP="00C15440">
            <w:pPr>
              <w:widowControl w:val="0"/>
              <w:autoSpaceDE w:val="0"/>
              <w:autoSpaceDN w:val="0"/>
              <w:adjustRightInd w:val="0"/>
              <w:spacing w:after="0" w:line="240" w:lineRule="auto"/>
              <w:rPr>
                <w:rFonts w:ascii="Times New Roman" w:eastAsia="Calibri" w:hAnsi="Times New Roman" w:cs="Times New Roman"/>
                <w:b/>
                <w:sz w:val="20"/>
                <w:szCs w:val="20"/>
              </w:rPr>
            </w:pPr>
            <w:r w:rsidRPr="00426496">
              <w:rPr>
                <w:rFonts w:ascii="Times New Roman" w:eastAsia="Calibri" w:hAnsi="Times New Roman" w:cs="Times New Roman"/>
                <w:b/>
                <w:sz w:val="20"/>
                <w:szCs w:val="20"/>
              </w:rPr>
              <w:t>TOTAL</w:t>
            </w:r>
          </w:p>
        </w:tc>
        <w:tc>
          <w:tcPr>
            <w:tcW w:w="1351" w:type="pct"/>
            <w:gridSpan w:val="2"/>
            <w:tcBorders>
              <w:bottom w:val="single" w:sz="4" w:space="0" w:color="auto"/>
            </w:tcBorders>
            <w:shd w:val="clear" w:color="auto" w:fill="D9D9D9"/>
          </w:tcPr>
          <w:p w14:paraId="7D668A11"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655" w:type="pct"/>
            <w:tcBorders>
              <w:bottom w:val="single" w:sz="4" w:space="0" w:color="auto"/>
            </w:tcBorders>
            <w:shd w:val="clear" w:color="auto" w:fill="auto"/>
          </w:tcPr>
          <w:p w14:paraId="61CB9F04"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b/>
                <w:sz w:val="20"/>
                <w:szCs w:val="20"/>
              </w:rPr>
            </w:pPr>
            <w:r w:rsidRPr="00426496">
              <w:rPr>
                <w:rFonts w:ascii="Times New Roman" w:eastAsia="Calibri" w:hAnsi="Times New Roman" w:cs="Times New Roman"/>
                <w:b/>
                <w:sz w:val="20"/>
                <w:szCs w:val="20"/>
              </w:rPr>
              <w:t>40</w:t>
            </w:r>
          </w:p>
        </w:tc>
        <w:tc>
          <w:tcPr>
            <w:tcW w:w="696" w:type="pct"/>
            <w:tcBorders>
              <w:bottom w:val="single" w:sz="4" w:space="0" w:color="auto"/>
            </w:tcBorders>
            <w:shd w:val="clear" w:color="auto" w:fill="D9D9D9"/>
          </w:tcPr>
          <w:p w14:paraId="5BA04B92"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742" w:type="pct"/>
            <w:tcBorders>
              <w:bottom w:val="single" w:sz="4" w:space="0" w:color="auto"/>
            </w:tcBorders>
          </w:tcPr>
          <w:p w14:paraId="2F800831"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b/>
                <w:sz w:val="20"/>
                <w:szCs w:val="20"/>
              </w:rPr>
            </w:pPr>
            <w:r w:rsidRPr="00426496">
              <w:rPr>
                <w:rFonts w:ascii="Times New Roman" w:eastAsia="Calibri" w:hAnsi="Times New Roman" w:cs="Times New Roman"/>
                <w:b/>
                <w:sz w:val="20"/>
                <w:szCs w:val="20"/>
              </w:rPr>
              <w:t>-232</w:t>
            </w:r>
          </w:p>
          <w:p w14:paraId="5DC705B5"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b/>
                <w:sz w:val="20"/>
                <w:szCs w:val="20"/>
              </w:rPr>
            </w:pPr>
            <w:r w:rsidRPr="00426496">
              <w:rPr>
                <w:rFonts w:ascii="Times New Roman" w:eastAsia="Calibri" w:hAnsi="Times New Roman" w:cs="Times New Roman"/>
                <w:b/>
                <w:sz w:val="20"/>
                <w:szCs w:val="20"/>
              </w:rPr>
              <w:t>-$21,961</w:t>
            </w:r>
          </w:p>
        </w:tc>
        <w:tc>
          <w:tcPr>
            <w:tcW w:w="729" w:type="pct"/>
            <w:tcBorders>
              <w:bottom w:val="single" w:sz="4" w:space="0" w:color="auto"/>
            </w:tcBorders>
          </w:tcPr>
          <w:p w14:paraId="3732DCA7"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b/>
                <w:sz w:val="20"/>
                <w:szCs w:val="20"/>
              </w:rPr>
            </w:pPr>
            <w:r w:rsidRPr="00426496">
              <w:rPr>
                <w:rFonts w:ascii="Times New Roman" w:eastAsia="Calibri" w:hAnsi="Times New Roman" w:cs="Times New Roman"/>
                <w:b/>
                <w:sz w:val="20"/>
                <w:szCs w:val="20"/>
              </w:rPr>
              <w:t>-$13,063</w:t>
            </w:r>
          </w:p>
          <w:p w14:paraId="3547BBB9" w14:textId="77777777" w:rsidR="00E854DC" w:rsidRPr="00426496" w:rsidRDefault="00E854DC" w:rsidP="00C15440">
            <w:pPr>
              <w:widowControl w:val="0"/>
              <w:autoSpaceDE w:val="0"/>
              <w:autoSpaceDN w:val="0"/>
              <w:adjustRightInd w:val="0"/>
              <w:spacing w:after="0" w:line="240" w:lineRule="auto"/>
              <w:jc w:val="right"/>
              <w:rPr>
                <w:rFonts w:ascii="Times New Roman" w:eastAsia="Calibri" w:hAnsi="Times New Roman" w:cs="Times New Roman"/>
                <w:b/>
                <w:sz w:val="20"/>
                <w:szCs w:val="20"/>
              </w:rPr>
            </w:pPr>
          </w:p>
        </w:tc>
      </w:tr>
    </w:tbl>
    <w:p w14:paraId="75C3432F" w14:textId="77777777" w:rsidR="00E854DC" w:rsidRDefault="00E854DC" w:rsidP="00D80FBD">
      <w:pPr>
        <w:spacing w:after="0"/>
        <w:rPr>
          <w:rFonts w:ascii="Times New Roman" w:hAnsi="Times New Roman" w:cs="Times New Roman"/>
          <w:sz w:val="24"/>
          <w:szCs w:val="24"/>
        </w:rPr>
      </w:pPr>
    </w:p>
    <w:p w14:paraId="44E50994" w14:textId="08702AB7" w:rsidR="00E854DC" w:rsidRDefault="00E854DC" w:rsidP="00D80FBD">
      <w:pPr>
        <w:spacing w:after="0"/>
        <w:rPr>
          <w:rFonts w:ascii="Times New Roman" w:hAnsi="Times New Roman" w:cs="Times New Roman"/>
          <w:sz w:val="24"/>
          <w:szCs w:val="24"/>
        </w:rPr>
      </w:pPr>
      <w:r>
        <w:rPr>
          <w:rFonts w:ascii="Times New Roman" w:hAnsi="Times New Roman" w:cs="Times New Roman"/>
          <w:sz w:val="24"/>
          <w:szCs w:val="24"/>
        </w:rPr>
        <w:t xml:space="preserve">The total </w:t>
      </w:r>
      <w:r w:rsidR="00EF4108">
        <w:rPr>
          <w:rFonts w:ascii="Times New Roman" w:hAnsi="Times New Roman" w:cs="Times New Roman"/>
          <w:sz w:val="24"/>
          <w:szCs w:val="24"/>
        </w:rPr>
        <w:t xml:space="preserve">respondent totals and </w:t>
      </w:r>
      <w:r>
        <w:rPr>
          <w:rFonts w:ascii="Times New Roman" w:hAnsi="Times New Roman" w:cs="Times New Roman"/>
          <w:sz w:val="24"/>
          <w:szCs w:val="24"/>
        </w:rPr>
        <w:t>burden estimates for both FERC-582 and FERC-917 follow:</w:t>
      </w:r>
    </w:p>
    <w:p w14:paraId="5CB86106" w14:textId="77777777" w:rsidR="00442B47" w:rsidRDefault="00442B47" w:rsidP="00EF4108">
      <w:pPr>
        <w:spacing w:after="0"/>
        <w:rPr>
          <w:rFonts w:ascii="Times New Roman" w:hAnsi="Times New Roman" w:cs="Times New Roman"/>
          <w:sz w:val="24"/>
          <w:szCs w:val="24"/>
        </w:rPr>
      </w:pPr>
    </w:p>
    <w:p w14:paraId="4B31A90B" w14:textId="77777777" w:rsidR="00EF4108" w:rsidRDefault="00EF4108" w:rsidP="00EF4108">
      <w:pPr>
        <w:spacing w:after="0"/>
        <w:rPr>
          <w:rFonts w:ascii="Times New Roman" w:hAnsi="Times New Roman" w:cs="Times New Roman"/>
          <w:sz w:val="24"/>
          <w:szCs w:val="24"/>
        </w:rPr>
      </w:pPr>
      <w:r w:rsidRPr="000B6F92">
        <w:rPr>
          <w:rFonts w:ascii="Times New Roman" w:hAnsi="Times New Roman" w:cs="Times New Roman"/>
          <w:sz w:val="24"/>
          <w:szCs w:val="24"/>
          <w:u w:val="single"/>
        </w:rPr>
        <w:t>FERC-917</w:t>
      </w:r>
      <w:r>
        <w:rPr>
          <w:rFonts w:ascii="Times New Roman" w:hAnsi="Times New Roman" w:cs="Times New Roman"/>
          <w:sz w:val="24"/>
          <w:szCs w:val="24"/>
        </w:rPr>
        <w:t xml:space="preserve">: </w:t>
      </w:r>
    </w:p>
    <w:p w14:paraId="52236EB1" w14:textId="0C7BA8A7" w:rsidR="00EF4108" w:rsidRDefault="00EF4108" w:rsidP="00EF4108">
      <w:pPr>
        <w:spacing w:after="0"/>
        <w:rPr>
          <w:rFonts w:ascii="Times New Roman" w:hAnsi="Times New Roman" w:cs="Times New Roman"/>
          <w:sz w:val="24"/>
          <w:szCs w:val="24"/>
        </w:rPr>
      </w:pPr>
      <w:r>
        <w:rPr>
          <w:rFonts w:ascii="Times New Roman" w:hAnsi="Times New Roman" w:cs="Times New Roman"/>
          <w:sz w:val="24"/>
          <w:szCs w:val="24"/>
        </w:rPr>
        <w:lastRenderedPageBreak/>
        <w:t>804 respondents + 41 respondents (due to RM14-11 Final Rule) = 845 respondents.</w:t>
      </w:r>
    </w:p>
    <w:p w14:paraId="5FC8E607" w14:textId="77777777" w:rsidR="00EF4108" w:rsidRDefault="00EF4108" w:rsidP="00EF4108">
      <w:pPr>
        <w:spacing w:after="0"/>
        <w:rPr>
          <w:rFonts w:ascii="Times New Roman" w:hAnsi="Times New Roman" w:cs="Times New Roman"/>
          <w:sz w:val="24"/>
          <w:szCs w:val="24"/>
        </w:rPr>
      </w:pPr>
    </w:p>
    <w:p w14:paraId="392D7941" w14:textId="77777777" w:rsidR="00EF4108" w:rsidRDefault="00EF4108" w:rsidP="00EF4108">
      <w:pPr>
        <w:spacing w:after="0"/>
        <w:rPr>
          <w:rFonts w:ascii="Times New Roman" w:hAnsi="Times New Roman" w:cs="Times New Roman"/>
          <w:sz w:val="24"/>
          <w:szCs w:val="24"/>
        </w:rPr>
      </w:pPr>
    </w:p>
    <w:p w14:paraId="63F545CA" w14:textId="4B2EDC5E" w:rsidR="00EF4108" w:rsidRDefault="00EF4108" w:rsidP="00EF4108">
      <w:pPr>
        <w:spacing w:after="0"/>
        <w:rPr>
          <w:rFonts w:ascii="Times New Roman" w:hAnsi="Times New Roman" w:cs="Times New Roman"/>
          <w:sz w:val="24"/>
          <w:szCs w:val="24"/>
        </w:rPr>
      </w:pPr>
      <w:r>
        <w:rPr>
          <w:rFonts w:ascii="Times New Roman" w:hAnsi="Times New Roman" w:cs="Times New Roman"/>
          <w:sz w:val="24"/>
          <w:szCs w:val="24"/>
        </w:rPr>
        <w:t>160,042 hours (previously approved burden hours) – 202 hours (reduction due to RM14-11 Final Rule) = 159,840 hours.</w:t>
      </w:r>
    </w:p>
    <w:p w14:paraId="53833D09" w14:textId="77777777" w:rsidR="00EF4108" w:rsidRDefault="00EF4108" w:rsidP="00EF4108">
      <w:pPr>
        <w:spacing w:after="0"/>
        <w:rPr>
          <w:rFonts w:ascii="Times New Roman" w:hAnsi="Times New Roman" w:cs="Times New Roman"/>
          <w:sz w:val="24"/>
          <w:szCs w:val="24"/>
        </w:rPr>
      </w:pPr>
    </w:p>
    <w:p w14:paraId="7F01CFDA" w14:textId="77777777" w:rsidR="00EF4108" w:rsidRDefault="00EF4108" w:rsidP="00EF4108">
      <w:pPr>
        <w:spacing w:after="0"/>
        <w:rPr>
          <w:rFonts w:ascii="Times New Roman" w:hAnsi="Times New Roman" w:cs="Times New Roman"/>
          <w:sz w:val="24"/>
          <w:szCs w:val="24"/>
        </w:rPr>
      </w:pPr>
      <w:r w:rsidRPr="000B6F92">
        <w:rPr>
          <w:rFonts w:ascii="Times New Roman" w:hAnsi="Times New Roman" w:cs="Times New Roman"/>
          <w:sz w:val="24"/>
          <w:szCs w:val="24"/>
          <w:u w:val="single"/>
        </w:rPr>
        <w:t>FERC-582</w:t>
      </w:r>
      <w:r>
        <w:rPr>
          <w:rFonts w:ascii="Times New Roman" w:hAnsi="Times New Roman" w:cs="Times New Roman"/>
          <w:sz w:val="24"/>
          <w:szCs w:val="24"/>
        </w:rPr>
        <w:t xml:space="preserve">: </w:t>
      </w:r>
    </w:p>
    <w:p w14:paraId="417BFEFE" w14:textId="401973A9" w:rsidR="00EF4108" w:rsidRDefault="00EF4108" w:rsidP="00EF4108">
      <w:pPr>
        <w:spacing w:after="0"/>
        <w:rPr>
          <w:rFonts w:ascii="Times New Roman" w:hAnsi="Times New Roman" w:cs="Times New Roman"/>
          <w:sz w:val="24"/>
          <w:szCs w:val="24"/>
        </w:rPr>
      </w:pPr>
      <w:r>
        <w:rPr>
          <w:rFonts w:ascii="Times New Roman" w:hAnsi="Times New Roman" w:cs="Times New Roman"/>
          <w:sz w:val="24"/>
          <w:szCs w:val="24"/>
        </w:rPr>
        <w:t>114 respondents – 1 respondent (due to RM14-11 Final Rule) = 113 respondents.</w:t>
      </w:r>
    </w:p>
    <w:p w14:paraId="4CF2234D" w14:textId="77777777" w:rsidR="00EF4108" w:rsidRDefault="00EF4108" w:rsidP="00EF4108">
      <w:pPr>
        <w:spacing w:after="0"/>
        <w:rPr>
          <w:rFonts w:ascii="Times New Roman" w:hAnsi="Times New Roman" w:cs="Times New Roman"/>
          <w:sz w:val="24"/>
          <w:szCs w:val="24"/>
        </w:rPr>
      </w:pPr>
    </w:p>
    <w:p w14:paraId="6CC95643" w14:textId="038FDF73" w:rsidR="00EF4108" w:rsidRDefault="00EF4108" w:rsidP="00EF4108">
      <w:pPr>
        <w:spacing w:after="0"/>
        <w:rPr>
          <w:rFonts w:ascii="Times New Roman" w:hAnsi="Times New Roman" w:cs="Times New Roman"/>
          <w:sz w:val="24"/>
          <w:szCs w:val="24"/>
        </w:rPr>
      </w:pPr>
      <w:r>
        <w:rPr>
          <w:rFonts w:ascii="Times New Roman" w:hAnsi="Times New Roman" w:cs="Times New Roman"/>
          <w:sz w:val="24"/>
          <w:szCs w:val="24"/>
        </w:rPr>
        <w:t>300 hours (previously approved burden hours) – 30 hours (reduction due to RM14-11 Final Rule) = 270 hours.</w:t>
      </w:r>
    </w:p>
    <w:p w14:paraId="7E0D3BB4" w14:textId="77777777" w:rsidR="00442B47" w:rsidRDefault="00442B47" w:rsidP="00D80FBD">
      <w:pPr>
        <w:spacing w:after="0"/>
        <w:rPr>
          <w:rFonts w:ascii="Times New Roman" w:hAnsi="Times New Roman" w:cs="Times New Roman"/>
          <w:sz w:val="24"/>
          <w:szCs w:val="24"/>
        </w:rPr>
      </w:pPr>
    </w:p>
    <w:p w14:paraId="66128DE6" w14:textId="77777777" w:rsidR="00C62B86" w:rsidRPr="00D80FBD" w:rsidRDefault="00C62B86" w:rsidP="00D80FBD">
      <w:pPr>
        <w:spacing w:after="0"/>
        <w:rPr>
          <w:rFonts w:ascii="Times New Roman" w:hAnsi="Times New Roman" w:cs="Times New Roman"/>
          <w:sz w:val="24"/>
          <w:szCs w:val="24"/>
        </w:rPr>
      </w:pPr>
    </w:p>
    <w:p w14:paraId="70DA8C30"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0B411343" w14:textId="77777777" w:rsidR="00E636D7" w:rsidRDefault="00E636D7" w:rsidP="00E636D7">
      <w:pPr>
        <w:spacing w:after="0"/>
        <w:rPr>
          <w:rFonts w:ascii="Times New Roman" w:hAnsi="Times New Roman" w:cs="Times New Roman"/>
          <w:sz w:val="24"/>
          <w:szCs w:val="24"/>
        </w:rPr>
      </w:pPr>
    </w:p>
    <w:p w14:paraId="093E4216" w14:textId="413FB47C" w:rsidR="00A73E17" w:rsidRDefault="00C62B86" w:rsidP="00E636D7">
      <w:pPr>
        <w:spacing w:after="0"/>
        <w:rPr>
          <w:rFonts w:ascii="Times New Roman" w:hAnsi="Times New Roman" w:cs="Times New Roman"/>
          <w:sz w:val="24"/>
          <w:szCs w:val="24"/>
        </w:rPr>
      </w:pPr>
      <w:r>
        <w:rPr>
          <w:rFonts w:ascii="Times New Roman" w:hAnsi="Times New Roman" w:cs="Times New Roman"/>
          <w:sz w:val="24"/>
          <w:szCs w:val="24"/>
        </w:rPr>
        <w:t xml:space="preserve">There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no </w:t>
      </w:r>
      <w:r w:rsidR="000B6F92">
        <w:rPr>
          <w:rFonts w:ascii="Times New Roman" w:hAnsi="Times New Roman" w:cs="Times New Roman"/>
          <w:sz w:val="24"/>
          <w:szCs w:val="24"/>
        </w:rPr>
        <w:t>s</w:t>
      </w:r>
      <w:r>
        <w:rPr>
          <w:rFonts w:ascii="Times New Roman" w:hAnsi="Times New Roman" w:cs="Times New Roman"/>
          <w:sz w:val="24"/>
          <w:szCs w:val="24"/>
        </w:rPr>
        <w:t>tart-up or</w:t>
      </w:r>
      <w:r w:rsidR="006039B3">
        <w:rPr>
          <w:rFonts w:ascii="Times New Roman" w:hAnsi="Times New Roman" w:cs="Times New Roman"/>
          <w:sz w:val="24"/>
          <w:szCs w:val="24"/>
        </w:rPr>
        <w:t xml:space="preserve"> other non-labor costs associated with </w:t>
      </w:r>
      <w:r w:rsidR="00442B47">
        <w:rPr>
          <w:rFonts w:ascii="Times New Roman" w:hAnsi="Times New Roman" w:cs="Times New Roman"/>
          <w:sz w:val="24"/>
          <w:szCs w:val="24"/>
        </w:rPr>
        <w:t>the RM14-11 Final Rule</w:t>
      </w:r>
      <w:r w:rsidR="00A73E17">
        <w:rPr>
          <w:rFonts w:ascii="Times New Roman" w:hAnsi="Times New Roman" w:cs="Times New Roman"/>
          <w:sz w:val="24"/>
          <w:szCs w:val="24"/>
        </w:rPr>
        <w:t>.</w:t>
      </w:r>
    </w:p>
    <w:p w14:paraId="46D17D5A" w14:textId="77777777" w:rsidR="00A73E17" w:rsidRDefault="00A73E17" w:rsidP="00E636D7">
      <w:pPr>
        <w:spacing w:after="0"/>
        <w:rPr>
          <w:rFonts w:ascii="Times New Roman" w:hAnsi="Times New Roman" w:cs="Times New Roman"/>
          <w:sz w:val="24"/>
          <w:szCs w:val="24"/>
        </w:rPr>
      </w:pPr>
    </w:p>
    <w:p w14:paraId="5A8CB4B3" w14:textId="2ABDFD2A" w:rsidR="00E636D7" w:rsidRDefault="00442B47" w:rsidP="00E636D7">
      <w:pPr>
        <w:spacing w:after="0"/>
        <w:rPr>
          <w:rFonts w:ascii="Times New Roman" w:hAnsi="Times New Roman" w:cs="Times New Roman"/>
          <w:sz w:val="24"/>
          <w:szCs w:val="24"/>
        </w:rPr>
      </w:pPr>
      <w:r>
        <w:rPr>
          <w:rFonts w:ascii="Times New Roman" w:hAnsi="Times New Roman" w:cs="Times New Roman"/>
          <w:sz w:val="24"/>
          <w:szCs w:val="24"/>
        </w:rPr>
        <w:t xml:space="preserve"> </w:t>
      </w:r>
      <w:r w:rsidR="00A73E17" w:rsidRPr="00A73E17">
        <w:rPr>
          <w:rFonts w:ascii="Times New Roman" w:hAnsi="Times New Roman" w:cs="Times New Roman"/>
          <w:sz w:val="24"/>
          <w:szCs w:val="24"/>
        </w:rPr>
        <w:t xml:space="preserve">Start-up or other non-labor costs </w:t>
      </w:r>
      <w:r w:rsidR="00A73E17">
        <w:rPr>
          <w:rFonts w:ascii="Times New Roman" w:hAnsi="Times New Roman" w:cs="Times New Roman"/>
          <w:sz w:val="24"/>
          <w:szCs w:val="24"/>
        </w:rPr>
        <w:t>unrelated to the RM14-11 Final Rule are</w:t>
      </w:r>
      <w:proofErr w:type="gramStart"/>
      <w:r w:rsidR="00A73E17">
        <w:rPr>
          <w:rFonts w:ascii="Times New Roman" w:hAnsi="Times New Roman" w:cs="Times New Roman"/>
          <w:sz w:val="24"/>
          <w:szCs w:val="24"/>
        </w:rPr>
        <w:t>:</w:t>
      </w:r>
      <w:r>
        <w:rPr>
          <w:rFonts w:ascii="Times New Roman" w:hAnsi="Times New Roman" w:cs="Times New Roman"/>
          <w:sz w:val="24"/>
          <w:szCs w:val="24"/>
        </w:rPr>
        <w:t>:</w:t>
      </w:r>
      <w:proofErr w:type="gramEnd"/>
    </w:p>
    <w:p w14:paraId="62FD1C2E" w14:textId="77777777" w:rsidR="006039B3" w:rsidRDefault="006039B3" w:rsidP="00E636D7">
      <w:pPr>
        <w:spacing w:after="0"/>
        <w:rPr>
          <w:rFonts w:ascii="Times New Roman" w:hAnsi="Times New Roman" w:cs="Times New Roman"/>
          <w:sz w:val="24"/>
          <w:szCs w:val="24"/>
        </w:rPr>
      </w:pPr>
    </w:p>
    <w:p w14:paraId="232EF2CB" w14:textId="77777777" w:rsidR="006039B3" w:rsidRDefault="006039B3" w:rsidP="000B6F92">
      <w:pPr>
        <w:spacing w:after="0"/>
        <w:ind w:left="720"/>
        <w:rPr>
          <w:rFonts w:ascii="Times New Roman" w:hAnsi="Times New Roman" w:cs="Times New Roman"/>
          <w:sz w:val="24"/>
          <w:szCs w:val="24"/>
        </w:rPr>
      </w:pPr>
      <w:r>
        <w:rPr>
          <w:rFonts w:ascii="Times New Roman" w:hAnsi="Times New Roman" w:cs="Times New Roman"/>
          <w:sz w:val="24"/>
          <w:szCs w:val="24"/>
        </w:rPr>
        <w:t>Total Capital and Start-up cost: $0</w:t>
      </w:r>
    </w:p>
    <w:p w14:paraId="0765754E" w14:textId="2BF3BFCE" w:rsidR="00442B47" w:rsidRDefault="006039B3" w:rsidP="00AC3997">
      <w:pPr>
        <w:spacing w:after="0"/>
        <w:rPr>
          <w:rFonts w:ascii="Times New Roman" w:hAnsi="Times New Roman" w:cs="Times New Roman"/>
          <w:sz w:val="24"/>
          <w:szCs w:val="24"/>
        </w:rPr>
      </w:pPr>
      <w:r>
        <w:rPr>
          <w:rFonts w:ascii="Times New Roman" w:hAnsi="Times New Roman" w:cs="Times New Roman"/>
          <w:sz w:val="24"/>
          <w:szCs w:val="24"/>
        </w:rPr>
        <w:t>Total Operation, Maintenan</w:t>
      </w:r>
      <w:r w:rsidR="00D45637">
        <w:rPr>
          <w:rFonts w:ascii="Times New Roman" w:hAnsi="Times New Roman" w:cs="Times New Roman"/>
          <w:sz w:val="24"/>
          <w:szCs w:val="24"/>
        </w:rPr>
        <w:t xml:space="preserve">ce, and Purchase of Services: </w:t>
      </w:r>
      <w:r w:rsidR="004C7EEA">
        <w:rPr>
          <w:rFonts w:ascii="Times New Roman" w:hAnsi="Times New Roman" w:cs="Times New Roman"/>
          <w:sz w:val="24"/>
          <w:szCs w:val="24"/>
        </w:rPr>
        <w:t xml:space="preserve">FERC-917: </w:t>
      </w:r>
      <w:r w:rsidR="00AC3997">
        <w:rPr>
          <w:rFonts w:ascii="Times New Roman" w:hAnsi="Times New Roman" w:cs="Times New Roman"/>
          <w:sz w:val="24"/>
          <w:szCs w:val="24"/>
        </w:rPr>
        <w:t>$7,400,000</w:t>
      </w:r>
      <w:r w:rsidR="00AC3997" w:rsidRPr="00D45637">
        <w:rPr>
          <w:rStyle w:val="FootnoteReference"/>
          <w:rFonts w:ascii="Times New Roman" w:hAnsi="Times New Roman" w:cs="Times New Roman"/>
          <w:sz w:val="24"/>
          <w:szCs w:val="24"/>
          <w:vertAlign w:val="superscript"/>
        </w:rPr>
        <w:footnoteReference w:id="10"/>
      </w:r>
      <w:r w:rsidR="004C7EEA">
        <w:rPr>
          <w:rFonts w:ascii="Times New Roman" w:hAnsi="Times New Roman" w:cs="Times New Roman"/>
          <w:sz w:val="24"/>
          <w:szCs w:val="24"/>
        </w:rPr>
        <w:t>; FERC-582: $0</w:t>
      </w:r>
    </w:p>
    <w:p w14:paraId="5A51F0F3" w14:textId="23D09937" w:rsidR="00442B47" w:rsidRDefault="00442B47" w:rsidP="00AC3997">
      <w:pPr>
        <w:spacing w:after="0"/>
        <w:rPr>
          <w:rFonts w:ascii="Times New Roman" w:hAnsi="Times New Roman" w:cs="Times New Roman"/>
          <w:sz w:val="24"/>
          <w:szCs w:val="24"/>
        </w:rPr>
      </w:pPr>
      <w:r>
        <w:rPr>
          <w:rFonts w:ascii="Times New Roman" w:hAnsi="Times New Roman" w:cs="Times New Roman"/>
          <w:sz w:val="24"/>
          <w:szCs w:val="24"/>
        </w:rPr>
        <w:t xml:space="preserve">The $7,400,000 cost </w:t>
      </w:r>
      <w:r w:rsidR="00C8192F">
        <w:rPr>
          <w:rFonts w:ascii="Times New Roman" w:hAnsi="Times New Roman" w:cs="Times New Roman"/>
          <w:sz w:val="24"/>
          <w:szCs w:val="24"/>
        </w:rPr>
        <w:t xml:space="preserve">(associated with the FERC-917) resulted from </w:t>
      </w:r>
      <w:r w:rsidR="00A73E17" w:rsidRPr="00A73E17">
        <w:rPr>
          <w:rFonts w:ascii="Times New Roman" w:hAnsi="Times New Roman" w:cs="Times New Roman"/>
          <w:sz w:val="24"/>
          <w:szCs w:val="24"/>
        </w:rPr>
        <w:t xml:space="preserve">offsite storage of record-keeping requirements </w:t>
      </w:r>
      <w:r w:rsidR="00A73E17">
        <w:rPr>
          <w:rFonts w:ascii="Times New Roman" w:hAnsi="Times New Roman" w:cs="Times New Roman"/>
          <w:sz w:val="24"/>
          <w:szCs w:val="24"/>
        </w:rPr>
        <w:t xml:space="preserve">related to the </w:t>
      </w:r>
      <w:r w:rsidR="00C8192F">
        <w:rPr>
          <w:rFonts w:ascii="Times New Roman" w:hAnsi="Times New Roman" w:cs="Times New Roman"/>
          <w:sz w:val="24"/>
          <w:szCs w:val="24"/>
        </w:rPr>
        <w:t xml:space="preserve">RM10-23 Final Rule.  That cost is not affected </w:t>
      </w:r>
      <w:r w:rsidR="00A73E17">
        <w:rPr>
          <w:rFonts w:ascii="Times New Roman" w:hAnsi="Times New Roman" w:cs="Times New Roman"/>
          <w:sz w:val="24"/>
          <w:szCs w:val="24"/>
        </w:rPr>
        <w:t>by</w:t>
      </w:r>
      <w:r w:rsidR="00C8192F">
        <w:rPr>
          <w:rFonts w:ascii="Times New Roman" w:hAnsi="Times New Roman" w:cs="Times New Roman"/>
          <w:sz w:val="24"/>
          <w:szCs w:val="24"/>
        </w:rPr>
        <w:t xml:space="preserve"> the RM14-11 Final Rule.</w:t>
      </w:r>
    </w:p>
    <w:p w14:paraId="6661079E" w14:textId="77777777" w:rsidR="00AC3997" w:rsidRDefault="00AC3997" w:rsidP="00AC3997">
      <w:pPr>
        <w:spacing w:after="0"/>
        <w:rPr>
          <w:rFonts w:ascii="Times New Roman" w:hAnsi="Times New Roman" w:cs="Times New Roman"/>
          <w:sz w:val="24"/>
          <w:szCs w:val="24"/>
        </w:rPr>
      </w:pPr>
    </w:p>
    <w:p w14:paraId="06576EAA" w14:textId="787357A7" w:rsidR="00E636D7" w:rsidRPr="00A72FBE" w:rsidRDefault="00A276F5" w:rsidP="00A72FBE">
      <w:pPr>
        <w:pStyle w:val="ListParagraph"/>
        <w:numPr>
          <w:ilvl w:val="0"/>
          <w:numId w:val="1"/>
        </w:numPr>
        <w:spacing w:after="0"/>
        <w:ind w:left="360"/>
        <w:rPr>
          <w:rFonts w:ascii="Times New Roman" w:hAnsi="Times New Roman" w:cs="Times New Roman"/>
          <w:b/>
          <w:sz w:val="24"/>
          <w:szCs w:val="24"/>
        </w:rPr>
      </w:pPr>
      <w:r w:rsidRPr="00A72FBE">
        <w:rPr>
          <w:rFonts w:ascii="Times New Roman" w:hAnsi="Times New Roman" w:cs="Times New Roman"/>
          <w:b/>
          <w:sz w:val="24"/>
          <w:szCs w:val="24"/>
        </w:rPr>
        <w:t>ESTIMATED ANNUALIZED COST TO FEDERAL GOVERNMENT</w:t>
      </w:r>
    </w:p>
    <w:p w14:paraId="633D1166" w14:textId="77777777" w:rsidR="00A276F5" w:rsidRDefault="00A276F5" w:rsidP="00A276F5">
      <w:pPr>
        <w:spacing w:after="0"/>
        <w:rPr>
          <w:rFonts w:ascii="Times New Roman" w:hAnsi="Times New Roman" w:cs="Times New Roman"/>
          <w:sz w:val="24"/>
          <w:szCs w:val="24"/>
        </w:rPr>
      </w:pPr>
    </w:p>
    <w:p w14:paraId="34B81AF9" w14:textId="1492858F" w:rsidR="00106E70" w:rsidRDefault="00106E70" w:rsidP="00A276F5">
      <w:pPr>
        <w:spacing w:after="0"/>
        <w:rPr>
          <w:rFonts w:ascii="Times New Roman" w:hAnsi="Times New Roman" w:cs="Times New Roman"/>
          <w:sz w:val="24"/>
          <w:szCs w:val="24"/>
        </w:rPr>
      </w:pPr>
      <w:r>
        <w:rPr>
          <w:rFonts w:ascii="Times New Roman" w:hAnsi="Times New Roman" w:cs="Times New Roman"/>
          <w:sz w:val="24"/>
          <w:szCs w:val="24"/>
        </w:rPr>
        <w:t xml:space="preserve">The following table pertains only to costs associated with the </w:t>
      </w:r>
      <w:r w:rsidR="00A73E17">
        <w:rPr>
          <w:rFonts w:ascii="Times New Roman" w:hAnsi="Times New Roman" w:cs="Times New Roman"/>
          <w:sz w:val="24"/>
          <w:szCs w:val="24"/>
        </w:rPr>
        <w:t xml:space="preserve">Final Rule </w:t>
      </w:r>
      <w:r>
        <w:rPr>
          <w:rFonts w:ascii="Times New Roman" w:hAnsi="Times New Roman" w:cs="Times New Roman"/>
          <w:sz w:val="24"/>
          <w:szCs w:val="24"/>
        </w:rPr>
        <w:t>in RM14-11, not the entire collection for either FERC-582 or FERC-917.</w:t>
      </w:r>
    </w:p>
    <w:p w14:paraId="15EF9C60" w14:textId="77777777" w:rsidR="00106E70" w:rsidRDefault="00106E70"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039B3" w:rsidRPr="00A276F5" w14:paraId="3A62FCDD" w14:textId="77777777" w:rsidTr="007C150D">
        <w:tc>
          <w:tcPr>
            <w:tcW w:w="3182" w:type="dxa"/>
            <w:shd w:val="clear" w:color="auto" w:fill="CCCCCC"/>
          </w:tcPr>
          <w:p w14:paraId="38D16540" w14:textId="6641F994" w:rsidR="006039B3" w:rsidRPr="00355D34" w:rsidRDefault="00A628FB" w:rsidP="007C150D">
            <w:pPr>
              <w:spacing w:after="0" w:line="240" w:lineRule="auto"/>
              <w:rPr>
                <w:rFonts w:ascii="Times New Roman" w:hAnsi="Times New Roman" w:cs="Times New Roman"/>
                <w:b/>
                <w:sz w:val="24"/>
                <w:szCs w:val="24"/>
              </w:rPr>
            </w:pPr>
            <w:r>
              <w:rPr>
                <w:rFonts w:ascii="Times New Roman" w:hAnsi="Times New Roman" w:cs="Times New Roman"/>
                <w:b/>
                <w:sz w:val="24"/>
                <w:szCs w:val="24"/>
              </w:rPr>
              <w:t>FERC-582</w:t>
            </w:r>
          </w:p>
        </w:tc>
        <w:tc>
          <w:tcPr>
            <w:tcW w:w="3201" w:type="dxa"/>
            <w:shd w:val="clear" w:color="auto" w:fill="CCCCCC"/>
          </w:tcPr>
          <w:p w14:paraId="54261101" w14:textId="18812DAF" w:rsidR="006039B3" w:rsidRPr="00A276F5" w:rsidRDefault="006039B3" w:rsidP="007C150D">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Number of Employees (FTEs)</w:t>
            </w:r>
          </w:p>
        </w:tc>
        <w:tc>
          <w:tcPr>
            <w:tcW w:w="2995" w:type="dxa"/>
            <w:shd w:val="clear" w:color="auto" w:fill="CCCCCC"/>
          </w:tcPr>
          <w:p w14:paraId="53673B83" w14:textId="77777777" w:rsidR="006039B3" w:rsidRPr="00A276F5" w:rsidRDefault="006039B3" w:rsidP="007C150D">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6039B3" w:rsidRPr="00A276F5" w14:paraId="4AB70047" w14:textId="77777777" w:rsidTr="007C150D">
        <w:tc>
          <w:tcPr>
            <w:tcW w:w="3182" w:type="dxa"/>
            <w:shd w:val="clear" w:color="auto" w:fill="auto"/>
          </w:tcPr>
          <w:p w14:paraId="028B6FD3" w14:textId="486A1202" w:rsidR="006039B3" w:rsidRPr="00A276F5" w:rsidRDefault="006039B3" w:rsidP="007C150D">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t>Analysis and Processing of filings</w:t>
            </w:r>
            <w:r w:rsidR="006C5490">
              <w:rPr>
                <w:rFonts w:ascii="Times New Roman" w:hAnsi="Times New Roman" w:cs="Times New Roman"/>
                <w:sz w:val="24"/>
                <w:szCs w:val="24"/>
              </w:rPr>
              <w:t xml:space="preserve"> – Existing Cost</w:t>
            </w:r>
          </w:p>
        </w:tc>
        <w:tc>
          <w:tcPr>
            <w:tcW w:w="3201" w:type="dxa"/>
            <w:tcBorders>
              <w:bottom w:val="single" w:sz="4" w:space="0" w:color="auto"/>
            </w:tcBorders>
            <w:shd w:val="clear" w:color="auto" w:fill="auto"/>
            <w:vAlign w:val="center"/>
          </w:tcPr>
          <w:p w14:paraId="3A4D9458" w14:textId="62A9CA12" w:rsidR="006039B3" w:rsidRPr="00A276F5" w:rsidRDefault="006039B3"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r w:rsidR="00363551">
              <w:rPr>
                <w:rFonts w:ascii="Times New Roman" w:hAnsi="Times New Roman" w:cs="Times New Roman"/>
                <w:sz w:val="24"/>
                <w:szCs w:val="24"/>
              </w:rPr>
              <w:t>.0</w:t>
            </w:r>
            <w:r w:rsidR="00F03087">
              <w:rPr>
                <w:rFonts w:ascii="Times New Roman" w:hAnsi="Times New Roman" w:cs="Times New Roman"/>
                <w:sz w:val="24"/>
                <w:szCs w:val="24"/>
              </w:rPr>
              <w:t>5</w:t>
            </w:r>
          </w:p>
        </w:tc>
        <w:tc>
          <w:tcPr>
            <w:tcW w:w="2995" w:type="dxa"/>
            <w:shd w:val="clear" w:color="auto" w:fill="auto"/>
            <w:vAlign w:val="center"/>
          </w:tcPr>
          <w:p w14:paraId="4D40D1A2" w14:textId="57A831B3" w:rsidR="006039B3" w:rsidRPr="00A276F5" w:rsidRDefault="006039B3"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F03087">
              <w:rPr>
                <w:rFonts w:ascii="Times New Roman" w:hAnsi="Times New Roman" w:cs="Times New Roman"/>
                <w:sz w:val="24"/>
                <w:szCs w:val="24"/>
              </w:rPr>
              <w:t>7,291</w:t>
            </w:r>
          </w:p>
        </w:tc>
      </w:tr>
      <w:tr w:rsidR="006C5490" w:rsidRPr="00A276F5" w14:paraId="30024F35" w14:textId="77777777" w:rsidTr="007C150D">
        <w:tc>
          <w:tcPr>
            <w:tcW w:w="3182" w:type="dxa"/>
            <w:shd w:val="clear" w:color="auto" w:fill="auto"/>
          </w:tcPr>
          <w:p w14:paraId="4F9A57B0" w14:textId="2C336884" w:rsidR="006C5490" w:rsidRPr="00A276F5" w:rsidRDefault="006C5490" w:rsidP="007C150D">
            <w:pPr>
              <w:spacing w:after="0" w:line="240" w:lineRule="auto"/>
              <w:rPr>
                <w:rFonts w:ascii="Times New Roman" w:hAnsi="Times New Roman" w:cs="Times New Roman"/>
                <w:sz w:val="24"/>
                <w:szCs w:val="24"/>
              </w:rPr>
            </w:pPr>
            <w:r>
              <w:rPr>
                <w:rFonts w:ascii="Times New Roman" w:hAnsi="Times New Roman" w:cs="Times New Roman"/>
                <w:sz w:val="24"/>
                <w:szCs w:val="24"/>
              </w:rPr>
              <w:t>Analysis and Processin</w:t>
            </w:r>
            <w:r w:rsidR="003573A1">
              <w:rPr>
                <w:rFonts w:ascii="Times New Roman" w:hAnsi="Times New Roman" w:cs="Times New Roman"/>
                <w:sz w:val="24"/>
                <w:szCs w:val="24"/>
              </w:rPr>
              <w:t xml:space="preserve">g of </w:t>
            </w:r>
            <w:r w:rsidR="003573A1">
              <w:rPr>
                <w:rFonts w:ascii="Times New Roman" w:hAnsi="Times New Roman" w:cs="Times New Roman"/>
                <w:sz w:val="24"/>
                <w:szCs w:val="24"/>
              </w:rPr>
              <w:lastRenderedPageBreak/>
              <w:t>filings – Added by the Final Rule</w:t>
            </w:r>
          </w:p>
        </w:tc>
        <w:tc>
          <w:tcPr>
            <w:tcW w:w="3201" w:type="dxa"/>
            <w:tcBorders>
              <w:bottom w:val="single" w:sz="4" w:space="0" w:color="auto"/>
            </w:tcBorders>
            <w:shd w:val="clear" w:color="auto" w:fill="auto"/>
            <w:vAlign w:val="center"/>
          </w:tcPr>
          <w:p w14:paraId="6F22CBDC" w14:textId="5E11EBC9" w:rsidR="006C5490" w:rsidRDefault="006C5490"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0.077</w:t>
            </w:r>
          </w:p>
        </w:tc>
        <w:tc>
          <w:tcPr>
            <w:tcW w:w="2995" w:type="dxa"/>
            <w:shd w:val="clear" w:color="auto" w:fill="auto"/>
            <w:vAlign w:val="center"/>
          </w:tcPr>
          <w:p w14:paraId="24F3975B" w14:textId="708F6BC9" w:rsidR="006C5490" w:rsidRDefault="006C5490"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$11,276</w:t>
            </w:r>
          </w:p>
        </w:tc>
      </w:tr>
      <w:tr w:rsidR="006039B3" w:rsidRPr="00A276F5" w14:paraId="4A721C27" w14:textId="77777777" w:rsidTr="007C150D">
        <w:tc>
          <w:tcPr>
            <w:tcW w:w="3182" w:type="dxa"/>
            <w:shd w:val="clear" w:color="auto" w:fill="auto"/>
          </w:tcPr>
          <w:p w14:paraId="6992881F" w14:textId="77777777" w:rsidR="006039B3" w:rsidRPr="00A276F5" w:rsidRDefault="006039B3" w:rsidP="007C150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Paperwork Reduction Act Administrative Cost</w:t>
            </w:r>
            <w:bookmarkStart w:id="1" w:name="_Ref389748397"/>
            <w:r w:rsidRPr="00AE5B29">
              <w:rPr>
                <w:rFonts w:ascii="Times New Roman" w:eastAsia="Times New Roman" w:hAnsi="Times New Roman" w:cs="Times New Roman"/>
                <w:sz w:val="24"/>
                <w:szCs w:val="24"/>
                <w:vertAlign w:val="superscript"/>
              </w:rPr>
              <w:footnoteReference w:id="11"/>
            </w:r>
            <w:bookmarkEnd w:id="1"/>
          </w:p>
        </w:tc>
        <w:tc>
          <w:tcPr>
            <w:tcW w:w="3201" w:type="dxa"/>
            <w:shd w:val="clear" w:color="auto" w:fill="D9D9D9" w:themeFill="background1" w:themeFillShade="D9"/>
            <w:vAlign w:val="center"/>
          </w:tcPr>
          <w:p w14:paraId="357CEF6B" w14:textId="77777777" w:rsidR="006039B3" w:rsidRPr="00A276F5" w:rsidRDefault="006039B3" w:rsidP="007C150D">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14F9B3C4" w14:textId="6A877837" w:rsidR="006039B3" w:rsidRPr="00A276F5" w:rsidRDefault="006039B3"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6C5490">
              <w:rPr>
                <w:rFonts w:ascii="Times New Roman" w:hAnsi="Times New Roman" w:cs="Times New Roman"/>
                <w:sz w:val="24"/>
                <w:szCs w:val="24"/>
              </w:rPr>
              <w:t>5,092</w:t>
            </w:r>
          </w:p>
        </w:tc>
      </w:tr>
      <w:tr w:rsidR="00F03087" w:rsidRPr="00A276F5" w14:paraId="17758E6D" w14:textId="77777777" w:rsidTr="007C150D">
        <w:tc>
          <w:tcPr>
            <w:tcW w:w="3182" w:type="dxa"/>
            <w:shd w:val="clear" w:color="auto" w:fill="auto"/>
          </w:tcPr>
          <w:p w14:paraId="55ADD718" w14:textId="13E5A66B" w:rsidR="00F03087" w:rsidRDefault="00F03087" w:rsidP="007C150D">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3201" w:type="dxa"/>
            <w:shd w:val="clear" w:color="auto" w:fill="D9D9D9" w:themeFill="background1" w:themeFillShade="D9"/>
            <w:vAlign w:val="center"/>
          </w:tcPr>
          <w:p w14:paraId="09219907" w14:textId="77777777" w:rsidR="00F03087" w:rsidRPr="00A276F5" w:rsidRDefault="00F03087" w:rsidP="007C150D">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68F844D5" w14:textId="6A1BCE2A" w:rsidR="00F03087" w:rsidRDefault="00F03087" w:rsidP="006C54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6C5490">
              <w:rPr>
                <w:rFonts w:ascii="Times New Roman" w:hAnsi="Times New Roman" w:cs="Times New Roman"/>
                <w:sz w:val="24"/>
                <w:szCs w:val="24"/>
              </w:rPr>
              <w:t>23,659</w:t>
            </w:r>
          </w:p>
        </w:tc>
      </w:tr>
    </w:tbl>
    <w:p w14:paraId="0B4C2302" w14:textId="77777777" w:rsidR="00A276F5" w:rsidRDefault="00A276F5" w:rsidP="00A276F5">
      <w:pPr>
        <w:spacing w:after="0"/>
        <w:rPr>
          <w:rFonts w:ascii="Times New Roman" w:hAnsi="Times New Roman" w:cs="Times New Roman"/>
          <w:sz w:val="24"/>
          <w:szCs w:val="24"/>
        </w:rPr>
      </w:pPr>
    </w:p>
    <w:p w14:paraId="2DBBC8B5" w14:textId="77777777" w:rsidR="00F03087" w:rsidRDefault="00F03087"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F03087" w:rsidRPr="00A276F5" w14:paraId="189BE085" w14:textId="77777777" w:rsidTr="00F03087">
        <w:tc>
          <w:tcPr>
            <w:tcW w:w="3182" w:type="dxa"/>
            <w:shd w:val="clear" w:color="auto" w:fill="CCCCCC"/>
          </w:tcPr>
          <w:p w14:paraId="61CFE2EA" w14:textId="47C10895" w:rsidR="00F03087" w:rsidRPr="00355D34" w:rsidRDefault="00F03087" w:rsidP="00F0308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FERC-917 </w:t>
            </w:r>
          </w:p>
        </w:tc>
        <w:tc>
          <w:tcPr>
            <w:tcW w:w="3201" w:type="dxa"/>
            <w:shd w:val="clear" w:color="auto" w:fill="CCCCCC"/>
          </w:tcPr>
          <w:p w14:paraId="7F41243D" w14:textId="77777777" w:rsidR="00F03087" w:rsidRPr="00A276F5" w:rsidRDefault="00F03087" w:rsidP="00F03087">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Number of Employees (FTEs)</w:t>
            </w:r>
          </w:p>
        </w:tc>
        <w:tc>
          <w:tcPr>
            <w:tcW w:w="2995" w:type="dxa"/>
            <w:shd w:val="clear" w:color="auto" w:fill="CCCCCC"/>
          </w:tcPr>
          <w:p w14:paraId="01183452" w14:textId="77777777" w:rsidR="00F03087" w:rsidRPr="00A276F5" w:rsidRDefault="00F03087" w:rsidP="00F03087">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F03087" w:rsidRPr="00A276F5" w14:paraId="76A9A7B3" w14:textId="77777777" w:rsidTr="00F03087">
        <w:tc>
          <w:tcPr>
            <w:tcW w:w="3182" w:type="dxa"/>
            <w:shd w:val="clear" w:color="auto" w:fill="auto"/>
          </w:tcPr>
          <w:p w14:paraId="2F0100AC" w14:textId="1DDAEB73" w:rsidR="00F03087" w:rsidRPr="00A276F5" w:rsidRDefault="00F03087" w:rsidP="00F03087">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t>Analysis and Processing of filings</w:t>
            </w:r>
            <w:r w:rsidR="006C5490">
              <w:rPr>
                <w:rFonts w:ascii="Times New Roman" w:hAnsi="Times New Roman" w:cs="Times New Roman"/>
                <w:sz w:val="24"/>
                <w:szCs w:val="24"/>
              </w:rPr>
              <w:t xml:space="preserve"> – Existing Cost</w:t>
            </w:r>
          </w:p>
        </w:tc>
        <w:tc>
          <w:tcPr>
            <w:tcW w:w="3201" w:type="dxa"/>
            <w:tcBorders>
              <w:bottom w:val="single" w:sz="4" w:space="0" w:color="auto"/>
            </w:tcBorders>
            <w:shd w:val="clear" w:color="auto" w:fill="auto"/>
            <w:vAlign w:val="center"/>
          </w:tcPr>
          <w:p w14:paraId="548387DC" w14:textId="31125F60" w:rsidR="00F03087" w:rsidRPr="00A276F5" w:rsidRDefault="00F03087" w:rsidP="00F0308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2995" w:type="dxa"/>
            <w:shd w:val="clear" w:color="auto" w:fill="auto"/>
            <w:vAlign w:val="center"/>
          </w:tcPr>
          <w:p w14:paraId="54FFDC0C" w14:textId="10A33CD8" w:rsidR="00F03087" w:rsidRPr="00A276F5" w:rsidRDefault="00F03087" w:rsidP="00F0308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r w:rsidR="00426496">
              <w:rPr>
                <w:rFonts w:ascii="Times New Roman" w:hAnsi="Times New Roman" w:cs="Times New Roman"/>
                <w:sz w:val="24"/>
                <w:szCs w:val="24"/>
              </w:rPr>
              <w:t>9</w:t>
            </w:r>
            <w:r>
              <w:rPr>
                <w:rFonts w:ascii="Times New Roman" w:hAnsi="Times New Roman" w:cs="Times New Roman"/>
                <w:sz w:val="24"/>
                <w:szCs w:val="24"/>
              </w:rPr>
              <w:t>,</w:t>
            </w:r>
            <w:r w:rsidR="00426496">
              <w:rPr>
                <w:rFonts w:ascii="Times New Roman" w:hAnsi="Times New Roman" w:cs="Times New Roman"/>
                <w:sz w:val="24"/>
                <w:szCs w:val="24"/>
              </w:rPr>
              <w:t>489</w:t>
            </w:r>
          </w:p>
        </w:tc>
      </w:tr>
      <w:tr w:rsidR="006C5490" w:rsidRPr="00A276F5" w14:paraId="79923393" w14:textId="77777777" w:rsidTr="00484838">
        <w:tc>
          <w:tcPr>
            <w:tcW w:w="3182" w:type="dxa"/>
            <w:shd w:val="clear" w:color="auto" w:fill="auto"/>
          </w:tcPr>
          <w:p w14:paraId="4071314E" w14:textId="657DF259" w:rsidR="006C5490" w:rsidRDefault="006C5490" w:rsidP="007F1D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Analysis and Processing of filings </w:t>
            </w:r>
            <w:r w:rsidR="00A72FBE">
              <w:rPr>
                <w:rFonts w:ascii="Times New Roman" w:hAnsi="Times New Roman" w:cs="Times New Roman"/>
                <w:sz w:val="24"/>
                <w:szCs w:val="24"/>
              </w:rPr>
              <w:t>–</w:t>
            </w:r>
            <w:r>
              <w:rPr>
                <w:rFonts w:ascii="Times New Roman" w:hAnsi="Times New Roman" w:cs="Times New Roman"/>
                <w:sz w:val="24"/>
                <w:szCs w:val="24"/>
              </w:rPr>
              <w:t xml:space="preserve"> </w:t>
            </w:r>
            <w:r w:rsidR="003573A1">
              <w:rPr>
                <w:rFonts w:ascii="Times New Roman" w:hAnsi="Times New Roman" w:cs="Times New Roman"/>
                <w:sz w:val="24"/>
                <w:szCs w:val="24"/>
              </w:rPr>
              <w:t>Added by the Final Rule</w:t>
            </w:r>
          </w:p>
        </w:tc>
        <w:tc>
          <w:tcPr>
            <w:tcW w:w="3201" w:type="dxa"/>
            <w:shd w:val="clear" w:color="auto" w:fill="auto"/>
            <w:vAlign w:val="center"/>
          </w:tcPr>
          <w:p w14:paraId="517D4F62" w14:textId="60719C55" w:rsidR="006C5490" w:rsidRPr="00484838" w:rsidRDefault="00A72FBE" w:rsidP="00F03087">
            <w:pPr>
              <w:spacing w:after="0" w:line="240" w:lineRule="auto"/>
              <w:jc w:val="right"/>
              <w:rPr>
                <w:rFonts w:ascii="Times New Roman" w:hAnsi="Times New Roman" w:cs="Times New Roman"/>
                <w:sz w:val="24"/>
                <w:szCs w:val="24"/>
              </w:rPr>
            </w:pPr>
            <w:r w:rsidRPr="00484838">
              <w:rPr>
                <w:rFonts w:ascii="Times New Roman" w:hAnsi="Times New Roman" w:cs="Times New Roman"/>
                <w:sz w:val="24"/>
                <w:szCs w:val="24"/>
              </w:rPr>
              <w:t>0.39</w:t>
            </w:r>
          </w:p>
        </w:tc>
        <w:tc>
          <w:tcPr>
            <w:tcW w:w="2995" w:type="dxa"/>
            <w:shd w:val="clear" w:color="auto" w:fill="auto"/>
            <w:vAlign w:val="center"/>
          </w:tcPr>
          <w:p w14:paraId="4F5B3878" w14:textId="04106D22" w:rsidR="006C5490" w:rsidRDefault="00426496" w:rsidP="00F0308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$58,301</w:t>
            </w:r>
          </w:p>
        </w:tc>
      </w:tr>
      <w:tr w:rsidR="00F03087" w:rsidRPr="00A276F5" w14:paraId="3F0F0C21" w14:textId="77777777" w:rsidTr="00F03087">
        <w:tc>
          <w:tcPr>
            <w:tcW w:w="3182" w:type="dxa"/>
            <w:shd w:val="clear" w:color="auto" w:fill="auto"/>
          </w:tcPr>
          <w:p w14:paraId="65937B15" w14:textId="459B1446" w:rsidR="00F03087" w:rsidRPr="00A276F5" w:rsidRDefault="00F03087" w:rsidP="007F1DE4">
            <w:pPr>
              <w:spacing w:after="0" w:line="240" w:lineRule="auto"/>
              <w:rPr>
                <w:rFonts w:ascii="Times New Roman" w:hAnsi="Times New Roman" w:cs="Times New Roman"/>
                <w:sz w:val="24"/>
                <w:szCs w:val="24"/>
              </w:rPr>
            </w:pPr>
            <w:r>
              <w:rPr>
                <w:rFonts w:ascii="Times New Roman" w:hAnsi="Times New Roman" w:cs="Times New Roman"/>
                <w:sz w:val="24"/>
                <w:szCs w:val="24"/>
              </w:rPr>
              <w:t>Paperwork Reduction Act Administrative Cost</w:t>
            </w:r>
            <w:r w:rsidR="007F1DE4" w:rsidRPr="003A0FC2">
              <w:rPr>
                <w:rFonts w:ascii="Times New Roman" w:hAnsi="Times New Roman" w:cs="Times New Roman"/>
                <w:sz w:val="24"/>
                <w:szCs w:val="24"/>
                <w:vertAlign w:val="superscript"/>
              </w:rPr>
              <w:fldChar w:fldCharType="begin"/>
            </w:r>
            <w:r w:rsidR="007F1DE4" w:rsidRPr="003A0FC2">
              <w:rPr>
                <w:rFonts w:ascii="Times New Roman" w:hAnsi="Times New Roman" w:cs="Times New Roman"/>
                <w:sz w:val="24"/>
                <w:szCs w:val="24"/>
                <w:vertAlign w:val="superscript"/>
              </w:rPr>
              <w:instrText xml:space="preserve"> NOTEREF _Ref389748397 \h </w:instrText>
            </w:r>
            <w:r w:rsidR="007F1DE4">
              <w:rPr>
                <w:rFonts w:ascii="Times New Roman" w:hAnsi="Times New Roman" w:cs="Times New Roman"/>
                <w:sz w:val="24"/>
                <w:szCs w:val="24"/>
                <w:vertAlign w:val="superscript"/>
              </w:rPr>
              <w:instrText xml:space="preserve"> \* MERGEFORMAT </w:instrText>
            </w:r>
            <w:r w:rsidR="007F1DE4" w:rsidRPr="003A0FC2">
              <w:rPr>
                <w:rFonts w:ascii="Times New Roman" w:hAnsi="Times New Roman" w:cs="Times New Roman"/>
                <w:sz w:val="24"/>
                <w:szCs w:val="24"/>
                <w:vertAlign w:val="superscript"/>
              </w:rPr>
            </w:r>
            <w:r w:rsidR="007F1DE4" w:rsidRPr="003A0FC2">
              <w:rPr>
                <w:rFonts w:ascii="Times New Roman" w:hAnsi="Times New Roman" w:cs="Times New Roman"/>
                <w:sz w:val="24"/>
                <w:szCs w:val="24"/>
                <w:vertAlign w:val="superscript"/>
              </w:rPr>
              <w:fldChar w:fldCharType="separate"/>
            </w:r>
            <w:r w:rsidR="00242333">
              <w:rPr>
                <w:rFonts w:ascii="Times New Roman" w:hAnsi="Times New Roman" w:cs="Times New Roman"/>
                <w:sz w:val="24"/>
                <w:szCs w:val="24"/>
                <w:vertAlign w:val="superscript"/>
              </w:rPr>
              <w:t>6</w:t>
            </w:r>
            <w:r w:rsidR="007F1DE4" w:rsidRPr="003A0FC2">
              <w:rPr>
                <w:rFonts w:ascii="Times New Roman" w:hAnsi="Times New Roman" w:cs="Times New Roman"/>
                <w:sz w:val="24"/>
                <w:szCs w:val="24"/>
                <w:vertAlign w:val="superscript"/>
              </w:rPr>
              <w:fldChar w:fldCharType="end"/>
            </w:r>
          </w:p>
        </w:tc>
        <w:tc>
          <w:tcPr>
            <w:tcW w:w="3201" w:type="dxa"/>
            <w:shd w:val="clear" w:color="auto" w:fill="D9D9D9" w:themeFill="background1" w:themeFillShade="D9"/>
            <w:vAlign w:val="center"/>
          </w:tcPr>
          <w:p w14:paraId="65E5B49C" w14:textId="77777777" w:rsidR="00F03087" w:rsidRPr="00A276F5" w:rsidRDefault="00F03087" w:rsidP="00F03087">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384EB8A9" w14:textId="362FECB3" w:rsidR="00F03087" w:rsidRPr="00A276F5" w:rsidRDefault="00F03087" w:rsidP="006C54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426496">
              <w:rPr>
                <w:rFonts w:ascii="Times New Roman" w:hAnsi="Times New Roman" w:cs="Times New Roman"/>
                <w:sz w:val="24"/>
                <w:szCs w:val="24"/>
              </w:rPr>
              <w:t>5,193</w:t>
            </w:r>
          </w:p>
        </w:tc>
      </w:tr>
      <w:tr w:rsidR="00F03087" w:rsidRPr="00A276F5" w14:paraId="57BD6A0C" w14:textId="77777777" w:rsidTr="00F03087">
        <w:tc>
          <w:tcPr>
            <w:tcW w:w="3182" w:type="dxa"/>
            <w:shd w:val="clear" w:color="auto" w:fill="auto"/>
          </w:tcPr>
          <w:p w14:paraId="01C3BA30" w14:textId="189A408E" w:rsidR="00F03087" w:rsidRDefault="00F03087" w:rsidP="00F03087">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3201" w:type="dxa"/>
            <w:shd w:val="clear" w:color="auto" w:fill="D9D9D9" w:themeFill="background1" w:themeFillShade="D9"/>
            <w:vAlign w:val="center"/>
          </w:tcPr>
          <w:p w14:paraId="4CCA68E7" w14:textId="77777777" w:rsidR="00F03087" w:rsidRPr="00A276F5" w:rsidRDefault="00F03087" w:rsidP="00F03087">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0C2738DF" w14:textId="5E5D6E69" w:rsidR="00F03087" w:rsidRDefault="00F03087" w:rsidP="00A72F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426496">
              <w:rPr>
                <w:rFonts w:ascii="Times New Roman" w:hAnsi="Times New Roman" w:cs="Times New Roman"/>
                <w:sz w:val="24"/>
                <w:szCs w:val="24"/>
              </w:rPr>
              <w:t>212,983</w:t>
            </w:r>
          </w:p>
        </w:tc>
      </w:tr>
    </w:tbl>
    <w:p w14:paraId="585F910A" w14:textId="77777777" w:rsidR="00426496" w:rsidRDefault="00426496" w:rsidP="00A276F5">
      <w:pPr>
        <w:spacing w:after="0"/>
        <w:rPr>
          <w:rFonts w:ascii="Times New Roman" w:hAnsi="Times New Roman" w:cs="Times New Roman"/>
          <w:sz w:val="24"/>
          <w:szCs w:val="24"/>
        </w:rPr>
      </w:pPr>
    </w:p>
    <w:p w14:paraId="02E7AF57" w14:textId="77777777" w:rsidR="00A276F5" w:rsidRPr="00A276F5" w:rsidRDefault="00A276F5" w:rsidP="00A276F5">
      <w:pPr>
        <w:spacing w:after="0"/>
        <w:rPr>
          <w:rFonts w:ascii="Times New Roman" w:hAnsi="Times New Roman" w:cs="Times New Roman"/>
          <w:sz w:val="24"/>
          <w:szCs w:val="24"/>
        </w:rPr>
      </w:pPr>
    </w:p>
    <w:p w14:paraId="0D3E4525"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28EF5A30" w14:textId="77777777" w:rsidR="00A276F5" w:rsidRDefault="00A276F5" w:rsidP="00A276F5">
      <w:pPr>
        <w:spacing w:after="0"/>
        <w:rPr>
          <w:rFonts w:ascii="Times New Roman" w:hAnsi="Times New Roman" w:cs="Times New Roman"/>
          <w:sz w:val="24"/>
          <w:szCs w:val="24"/>
        </w:rPr>
      </w:pPr>
    </w:p>
    <w:p w14:paraId="6B7EDAB6" w14:textId="5FE39400" w:rsidR="00DF5061" w:rsidRDefault="00426496" w:rsidP="00DF5061">
      <w:pPr>
        <w:spacing w:after="0"/>
        <w:rPr>
          <w:rFonts w:ascii="Times New Roman" w:hAnsi="Times New Roman" w:cs="Times New Roman"/>
          <w:sz w:val="24"/>
          <w:szCs w:val="24"/>
        </w:rPr>
      </w:pPr>
      <w:r>
        <w:rPr>
          <w:rFonts w:ascii="Times New Roman" w:hAnsi="Times New Roman" w:cs="Times New Roman"/>
          <w:sz w:val="24"/>
          <w:szCs w:val="24"/>
        </w:rPr>
        <w:t>The</w:t>
      </w:r>
      <w:r w:rsidR="00DF5061" w:rsidRPr="00E86C7F">
        <w:rPr>
          <w:rFonts w:ascii="Times New Roman" w:hAnsi="Times New Roman" w:cs="Times New Roman"/>
          <w:sz w:val="24"/>
          <w:szCs w:val="24"/>
        </w:rPr>
        <w:t xml:space="preserve"> regulations</w:t>
      </w:r>
      <w:r>
        <w:rPr>
          <w:rFonts w:ascii="Times New Roman" w:hAnsi="Times New Roman" w:cs="Times New Roman"/>
          <w:sz w:val="24"/>
          <w:szCs w:val="24"/>
        </w:rPr>
        <w:t xml:space="preserve"> approved by this Final Rule</w:t>
      </w:r>
      <w:r w:rsidR="00DF5061" w:rsidRPr="00E86C7F">
        <w:rPr>
          <w:rFonts w:ascii="Times New Roman" w:hAnsi="Times New Roman" w:cs="Times New Roman"/>
          <w:sz w:val="24"/>
          <w:szCs w:val="24"/>
        </w:rPr>
        <w:t xml:space="preserve"> give a blanket waiver of OATT, OASIS, and Standards of Conduct filing requirements, and thus avoid both individual filings to request waiver as well as OATT filings.  The Commission</w:t>
      </w:r>
      <w:r>
        <w:rPr>
          <w:rFonts w:ascii="Times New Roman" w:hAnsi="Times New Roman" w:cs="Times New Roman"/>
          <w:sz w:val="24"/>
          <w:szCs w:val="24"/>
        </w:rPr>
        <w:t xml:space="preserve"> also believes that the approved</w:t>
      </w:r>
      <w:r w:rsidR="00DF5061" w:rsidRPr="00E86C7F">
        <w:rPr>
          <w:rFonts w:ascii="Times New Roman" w:hAnsi="Times New Roman" w:cs="Times New Roman"/>
          <w:sz w:val="24"/>
          <w:szCs w:val="24"/>
        </w:rPr>
        <w:t xml:space="preserve"> regulations will reduce the need for eligible ICIF owners to file petitions for declaratory order to pre-emptively seek priority rights.  </w:t>
      </w:r>
    </w:p>
    <w:p w14:paraId="7C996B34" w14:textId="77777777" w:rsidR="00DF5061" w:rsidRDefault="00DF5061" w:rsidP="00DF5061">
      <w:pPr>
        <w:spacing w:after="0"/>
        <w:rPr>
          <w:rFonts w:ascii="Times New Roman" w:hAnsi="Times New Roman" w:cs="Times New Roman"/>
          <w:sz w:val="24"/>
          <w:szCs w:val="24"/>
        </w:rPr>
      </w:pPr>
    </w:p>
    <w:p w14:paraId="75342C76" w14:textId="77777777" w:rsidR="00DF5061" w:rsidRDefault="00DF5061" w:rsidP="00DF5061">
      <w:pPr>
        <w:spacing w:after="0"/>
        <w:rPr>
          <w:rFonts w:ascii="Times New Roman" w:hAnsi="Times New Roman" w:cs="Times New Roman"/>
          <w:sz w:val="24"/>
          <w:szCs w:val="24"/>
        </w:rPr>
      </w:pPr>
    </w:p>
    <w:p w14:paraId="5E4FF162" w14:textId="77777777" w:rsidR="00DF5061" w:rsidRDefault="00DF5061" w:rsidP="00183F28">
      <w:pPr>
        <w:spacing w:after="0"/>
        <w:rPr>
          <w:rFonts w:ascii="Times New Roman" w:hAnsi="Times New Roman" w:cs="Times New Roman"/>
          <w:sz w:val="24"/>
          <w:szCs w:val="24"/>
        </w:rPr>
      </w:pPr>
    </w:p>
    <w:p w14:paraId="3BEC18C4" w14:textId="77777777" w:rsidR="00DF5061" w:rsidRDefault="00DF5061" w:rsidP="00183F28">
      <w:pPr>
        <w:spacing w:after="0"/>
        <w:rPr>
          <w:rFonts w:ascii="Times New Roman" w:hAnsi="Times New Roman" w:cs="Times New Roman"/>
          <w:sz w:val="24"/>
          <w:szCs w:val="24"/>
        </w:rPr>
      </w:pPr>
    </w:p>
    <w:p w14:paraId="0163A153" w14:textId="50FEE88D" w:rsidR="00183F28" w:rsidRDefault="00A628FB" w:rsidP="00183F28">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B4148B">
        <w:rPr>
          <w:rFonts w:ascii="Times New Roman" w:hAnsi="Times New Roman" w:cs="Times New Roman"/>
          <w:sz w:val="24"/>
          <w:szCs w:val="24"/>
        </w:rPr>
        <w:t>change in burden due to the Final Rule</w:t>
      </w:r>
      <w:r>
        <w:rPr>
          <w:rFonts w:ascii="Times New Roman" w:hAnsi="Times New Roman" w:cs="Times New Roman"/>
          <w:sz w:val="24"/>
          <w:szCs w:val="24"/>
        </w:rPr>
        <w:t xml:space="preserve"> in docket RM14-11-000 results from</w:t>
      </w:r>
      <w:r w:rsidR="008B59AF">
        <w:rPr>
          <w:rFonts w:ascii="Times New Roman" w:hAnsi="Times New Roman" w:cs="Times New Roman"/>
          <w:sz w:val="24"/>
          <w:szCs w:val="24"/>
        </w:rPr>
        <w:t>:</w:t>
      </w:r>
    </w:p>
    <w:p w14:paraId="663092BA" w14:textId="07FA29FB" w:rsidR="00183F28" w:rsidRDefault="00487D59" w:rsidP="00183F28">
      <w:pPr>
        <w:pStyle w:val="ListParagraph"/>
        <w:numPr>
          <w:ilvl w:val="0"/>
          <w:numId w:val="8"/>
        </w:numPr>
        <w:spacing w:after="0"/>
        <w:rPr>
          <w:rFonts w:ascii="Times New Roman" w:hAnsi="Times New Roman" w:cs="Times New Roman"/>
          <w:sz w:val="24"/>
          <w:szCs w:val="24"/>
        </w:rPr>
      </w:pPr>
      <w:r w:rsidRPr="00702D51">
        <w:rPr>
          <w:rFonts w:ascii="Times New Roman" w:hAnsi="Times New Roman" w:cs="Times New Roman"/>
          <w:b/>
          <w:sz w:val="24"/>
          <w:szCs w:val="24"/>
        </w:rPr>
        <w:t>FERC-917</w:t>
      </w:r>
      <w:r>
        <w:rPr>
          <w:rFonts w:ascii="Times New Roman" w:hAnsi="Times New Roman" w:cs="Times New Roman"/>
          <w:sz w:val="24"/>
          <w:szCs w:val="24"/>
        </w:rPr>
        <w:t>-</w:t>
      </w:r>
      <w:r w:rsidR="0053150C" w:rsidRPr="00124318">
        <w:rPr>
          <w:rFonts w:ascii="Times New Roman" w:hAnsi="Times New Roman" w:cs="Times New Roman"/>
          <w:sz w:val="24"/>
          <w:szCs w:val="24"/>
        </w:rPr>
        <w:t xml:space="preserve">Granting Blanket Waivers to Eligible ICIF Owners. </w:t>
      </w:r>
      <w:r w:rsidR="0053150C" w:rsidRPr="00124318" w:rsidDel="00366CB8">
        <w:rPr>
          <w:rFonts w:ascii="Times New Roman" w:hAnsi="Times New Roman" w:cs="Times New Roman"/>
          <w:sz w:val="24"/>
          <w:szCs w:val="24"/>
        </w:rPr>
        <w:t xml:space="preserve"> </w:t>
      </w:r>
      <w:r w:rsidR="0053150C" w:rsidRPr="00124318">
        <w:rPr>
          <w:rFonts w:ascii="Times New Roman" w:hAnsi="Times New Roman" w:cs="Times New Roman"/>
          <w:sz w:val="24"/>
          <w:szCs w:val="24"/>
        </w:rPr>
        <w:t xml:space="preserve">These blanket waivers result in the reduction in burden associated with avoided OATT filings and OATT waiver filings.  These filings have been used to clarify the rights and obligations of owners of transmission facilities. </w:t>
      </w:r>
      <w:r w:rsidR="00652B0E">
        <w:rPr>
          <w:rFonts w:ascii="Times New Roman" w:hAnsi="Times New Roman" w:cs="Times New Roman"/>
          <w:sz w:val="24"/>
          <w:szCs w:val="24"/>
        </w:rPr>
        <w:t xml:space="preserve"> </w:t>
      </w:r>
      <w:r w:rsidR="0053150C" w:rsidRPr="00124318">
        <w:rPr>
          <w:rFonts w:ascii="Times New Roman" w:hAnsi="Times New Roman" w:cs="Times New Roman"/>
          <w:sz w:val="24"/>
          <w:szCs w:val="24"/>
        </w:rPr>
        <w:t xml:space="preserve">The Commission preliminarily finds that the blanket waiver is </w:t>
      </w:r>
      <w:r w:rsidR="0053150C" w:rsidRPr="00124318">
        <w:rPr>
          <w:rFonts w:ascii="Times New Roman" w:hAnsi="Times New Roman" w:cs="Times New Roman"/>
          <w:sz w:val="24"/>
          <w:szCs w:val="24"/>
        </w:rPr>
        <w:lastRenderedPageBreak/>
        <w:t>justified because the usually limited and discrete nature of ICIF and ICIF’s dedicated interconnection purpose mean that such facilities do not typically present all of the concerns about discriminatory conduct that the Commission’s OATT, OASIS and Standards of Conduct requirements were intended to address.  Because third-party requests to use ICIF have been relatively rare, it is more efficient to address such situations as they arise on an individual basis.</w:t>
      </w:r>
    </w:p>
    <w:p w14:paraId="7079DA26" w14:textId="0EB0B684" w:rsidR="00183F28" w:rsidRDefault="00487D59" w:rsidP="00183F28">
      <w:pPr>
        <w:pStyle w:val="ListParagraph"/>
        <w:numPr>
          <w:ilvl w:val="0"/>
          <w:numId w:val="8"/>
        </w:numPr>
        <w:spacing w:after="0"/>
        <w:rPr>
          <w:rFonts w:ascii="Times New Roman" w:hAnsi="Times New Roman" w:cs="Times New Roman"/>
          <w:sz w:val="24"/>
          <w:szCs w:val="24"/>
        </w:rPr>
      </w:pPr>
      <w:r w:rsidRPr="00702D51">
        <w:rPr>
          <w:rFonts w:ascii="Times New Roman" w:hAnsi="Times New Roman" w:cs="Times New Roman"/>
          <w:b/>
          <w:sz w:val="24"/>
          <w:szCs w:val="24"/>
        </w:rPr>
        <w:t>FERC-582</w:t>
      </w:r>
      <w:r>
        <w:rPr>
          <w:rFonts w:ascii="Times New Roman" w:hAnsi="Times New Roman" w:cs="Times New Roman"/>
          <w:sz w:val="24"/>
          <w:szCs w:val="24"/>
        </w:rPr>
        <w:t>-</w:t>
      </w:r>
      <w:r w:rsidR="00183F28">
        <w:rPr>
          <w:rFonts w:ascii="Times New Roman" w:hAnsi="Times New Roman" w:cs="Times New Roman"/>
          <w:sz w:val="24"/>
          <w:szCs w:val="24"/>
        </w:rPr>
        <w:t xml:space="preserve">Providing Open Access and Establishing Priority Rights to ICIF through FPA Sections 210 and 211. </w:t>
      </w:r>
      <w:r w:rsidR="0053150C">
        <w:rPr>
          <w:rFonts w:ascii="Times New Roman" w:hAnsi="Times New Roman" w:cs="Times New Roman"/>
          <w:sz w:val="24"/>
          <w:szCs w:val="24"/>
        </w:rPr>
        <w:t xml:space="preserve"> </w:t>
      </w:r>
      <w:r w:rsidR="00183F28">
        <w:rPr>
          <w:rFonts w:ascii="Times New Roman" w:hAnsi="Times New Roman" w:cs="Times New Roman"/>
          <w:sz w:val="24"/>
          <w:szCs w:val="24"/>
        </w:rPr>
        <w:t>This process</w:t>
      </w:r>
      <w:r w:rsidR="008B59AF">
        <w:rPr>
          <w:rFonts w:ascii="Times New Roman" w:hAnsi="Times New Roman" w:cs="Times New Roman"/>
          <w:sz w:val="24"/>
          <w:szCs w:val="24"/>
        </w:rPr>
        <w:t xml:space="preserve"> and the safe harbor proposal mentioned below result</w:t>
      </w:r>
      <w:r w:rsidR="00183F28">
        <w:rPr>
          <w:rFonts w:ascii="Times New Roman" w:hAnsi="Times New Roman" w:cs="Times New Roman"/>
          <w:sz w:val="24"/>
          <w:szCs w:val="24"/>
        </w:rPr>
        <w:t xml:space="preserve"> in the reduction in burden associated with avoided petitions for declaratory order, which have been used by ICIF owners to secure priority rights to ICIF capacity for future phased generation develop</w:t>
      </w:r>
      <w:r w:rsidR="00183F28" w:rsidRPr="008B59AF">
        <w:rPr>
          <w:rFonts w:ascii="Times New Roman" w:hAnsi="Times New Roman" w:cs="Times New Roman"/>
          <w:sz w:val="24"/>
          <w:szCs w:val="24"/>
        </w:rPr>
        <w:t xml:space="preserve">ment.  </w:t>
      </w:r>
      <w:r w:rsidR="008B59AF" w:rsidRPr="008B59AF">
        <w:rPr>
          <w:rFonts w:ascii="Times New Roman" w:hAnsi="Times New Roman" w:cs="Times New Roman"/>
          <w:sz w:val="24"/>
          <w:szCs w:val="24"/>
        </w:rPr>
        <w:t>The Commi</w:t>
      </w:r>
      <w:r w:rsidR="00484838">
        <w:rPr>
          <w:rFonts w:ascii="Times New Roman" w:hAnsi="Times New Roman" w:cs="Times New Roman"/>
          <w:sz w:val="24"/>
          <w:szCs w:val="24"/>
        </w:rPr>
        <w:t>ssion believes that the approved</w:t>
      </w:r>
      <w:r w:rsidR="008B59AF" w:rsidRPr="008B59AF">
        <w:rPr>
          <w:rFonts w:ascii="Times New Roman" w:hAnsi="Times New Roman" w:cs="Times New Roman"/>
          <w:sz w:val="24"/>
          <w:szCs w:val="24"/>
        </w:rPr>
        <w:t xml:space="preserve"> regulations will reduce the need for eligible ICIF owners to file petitions for declaratory order to pre-emptively seek priority rights.  </w:t>
      </w:r>
    </w:p>
    <w:p w14:paraId="0DB2D912" w14:textId="70FF68E6" w:rsidR="00183F28" w:rsidRPr="008C5283" w:rsidRDefault="00487D59" w:rsidP="00183F28">
      <w:pPr>
        <w:pStyle w:val="ListParagraph"/>
        <w:numPr>
          <w:ilvl w:val="0"/>
          <w:numId w:val="8"/>
        </w:numPr>
        <w:spacing w:after="0"/>
        <w:rPr>
          <w:rFonts w:ascii="Times New Roman" w:hAnsi="Times New Roman" w:cs="Times New Roman"/>
          <w:sz w:val="24"/>
          <w:szCs w:val="24"/>
        </w:rPr>
      </w:pPr>
      <w:r w:rsidRPr="00702D51">
        <w:rPr>
          <w:rFonts w:ascii="Times New Roman" w:hAnsi="Times New Roman" w:cs="Times New Roman"/>
          <w:b/>
          <w:sz w:val="24"/>
          <w:szCs w:val="24"/>
        </w:rPr>
        <w:t>FERC-917</w:t>
      </w:r>
      <w:r>
        <w:rPr>
          <w:rFonts w:ascii="Times New Roman" w:hAnsi="Times New Roman" w:cs="Times New Roman"/>
          <w:sz w:val="24"/>
          <w:szCs w:val="24"/>
        </w:rPr>
        <w:t>-</w:t>
      </w:r>
      <w:r w:rsidR="00183F28">
        <w:rPr>
          <w:rFonts w:ascii="Times New Roman" w:hAnsi="Times New Roman" w:cs="Times New Roman"/>
          <w:sz w:val="24"/>
          <w:szCs w:val="24"/>
        </w:rPr>
        <w:t xml:space="preserve">Safe Harbor for Early Years </w:t>
      </w:r>
      <w:r w:rsidR="00F438A9">
        <w:rPr>
          <w:rFonts w:ascii="Times New Roman" w:hAnsi="Times New Roman" w:cs="Times New Roman"/>
          <w:sz w:val="24"/>
          <w:szCs w:val="24"/>
        </w:rPr>
        <w:t>of Project</w:t>
      </w:r>
      <w:r w:rsidR="00183F28">
        <w:rPr>
          <w:rFonts w:ascii="Times New Roman" w:hAnsi="Times New Roman" w:cs="Times New Roman"/>
          <w:sz w:val="24"/>
          <w:szCs w:val="24"/>
        </w:rPr>
        <w:t>.</w:t>
      </w:r>
      <w:r w:rsidR="00183F28" w:rsidRPr="008B59AF" w:rsidDel="00366CB8">
        <w:rPr>
          <w:rFonts w:ascii="Times New Roman" w:hAnsi="Times New Roman" w:cs="Times New Roman"/>
          <w:sz w:val="24"/>
          <w:szCs w:val="24"/>
        </w:rPr>
        <w:t xml:space="preserve"> </w:t>
      </w:r>
      <w:r w:rsidR="00183F28" w:rsidRPr="008B59AF">
        <w:rPr>
          <w:rFonts w:ascii="Times New Roman" w:hAnsi="Times New Roman" w:cs="Times New Roman"/>
          <w:i/>
          <w:sz w:val="24"/>
          <w:szCs w:val="24"/>
        </w:rPr>
        <w:t xml:space="preserve"> </w:t>
      </w:r>
      <w:r w:rsidR="00183F28">
        <w:rPr>
          <w:rFonts w:ascii="Times New Roman" w:hAnsi="Times New Roman" w:cs="Times New Roman"/>
          <w:sz w:val="24"/>
          <w:szCs w:val="24"/>
        </w:rPr>
        <w:t xml:space="preserve">Creating this safe harbor necessitates the safe harbor </w:t>
      </w:r>
      <w:r w:rsidR="00F438A9">
        <w:rPr>
          <w:rFonts w:ascii="Times New Roman" w:hAnsi="Times New Roman" w:cs="Times New Roman"/>
          <w:sz w:val="24"/>
          <w:szCs w:val="24"/>
        </w:rPr>
        <w:t xml:space="preserve">commercial operation </w:t>
      </w:r>
      <w:r w:rsidR="00183F28">
        <w:rPr>
          <w:rFonts w:ascii="Times New Roman" w:hAnsi="Times New Roman" w:cs="Times New Roman"/>
          <w:sz w:val="24"/>
          <w:szCs w:val="24"/>
        </w:rPr>
        <w:t>date filing</w:t>
      </w:r>
      <w:r w:rsidR="004817EC">
        <w:rPr>
          <w:rFonts w:ascii="Times New Roman" w:hAnsi="Times New Roman" w:cs="Times New Roman"/>
          <w:sz w:val="24"/>
          <w:szCs w:val="24"/>
        </w:rPr>
        <w:t xml:space="preserve"> resulting in the slight additional burden</w:t>
      </w:r>
      <w:r w:rsidR="003C0C1E">
        <w:rPr>
          <w:rFonts w:ascii="Times New Roman" w:hAnsi="Times New Roman" w:cs="Times New Roman"/>
          <w:sz w:val="24"/>
          <w:szCs w:val="24"/>
        </w:rPr>
        <w:t xml:space="preserve">. </w:t>
      </w:r>
      <w:r w:rsidR="00183F28">
        <w:rPr>
          <w:rFonts w:ascii="Times New Roman" w:hAnsi="Times New Roman" w:cs="Times New Roman"/>
          <w:sz w:val="24"/>
          <w:szCs w:val="24"/>
        </w:rPr>
        <w:t xml:space="preserve">This information may be used by both the Commission and the public to ascertain when a safe harbor period will be in effect, which would have implications on the standard a third party would have to meet in an FPA section 210 and 211 application.  Without the safe harbor </w:t>
      </w:r>
      <w:r w:rsidR="00F438A9">
        <w:rPr>
          <w:rFonts w:ascii="Times New Roman" w:hAnsi="Times New Roman" w:cs="Times New Roman"/>
          <w:sz w:val="24"/>
          <w:szCs w:val="24"/>
        </w:rPr>
        <w:t xml:space="preserve">commercial operation </w:t>
      </w:r>
      <w:r w:rsidR="00183F28">
        <w:rPr>
          <w:rFonts w:ascii="Times New Roman" w:hAnsi="Times New Roman" w:cs="Times New Roman"/>
          <w:sz w:val="24"/>
          <w:szCs w:val="24"/>
        </w:rPr>
        <w:t xml:space="preserve">date filing, it would be more difficult for the Commission and any potentially interested third party to verify when the safe harbor period would expire, which could cause confusion as to the standard a third party would need to meet in an FPA section 210 and 211 application. </w:t>
      </w:r>
    </w:p>
    <w:p w14:paraId="7EDE3D71" w14:textId="77777777" w:rsidR="00291382" w:rsidRPr="00F571E6" w:rsidRDefault="00291382" w:rsidP="00291382">
      <w:pPr>
        <w:pStyle w:val="ListParagraph"/>
        <w:numPr>
          <w:ilvl w:val="0"/>
          <w:numId w:val="8"/>
        </w:numPr>
        <w:spacing w:after="0"/>
        <w:rPr>
          <w:rFonts w:ascii="Times New Roman" w:hAnsi="Times New Roman" w:cs="Times New Roman"/>
          <w:sz w:val="24"/>
          <w:szCs w:val="24"/>
        </w:rPr>
      </w:pPr>
      <w:r w:rsidRPr="000B6F92">
        <w:rPr>
          <w:rFonts w:ascii="Times New Roman" w:hAnsi="Times New Roman" w:cs="Times New Roman"/>
          <w:b/>
          <w:sz w:val="24"/>
          <w:szCs w:val="24"/>
        </w:rPr>
        <w:t>FERC-917</w:t>
      </w:r>
      <w:r w:rsidRPr="00166C01">
        <w:rPr>
          <w:rFonts w:ascii="Times New Roman" w:hAnsi="Times New Roman" w:cs="Times New Roman"/>
          <w:sz w:val="24"/>
          <w:szCs w:val="24"/>
        </w:rPr>
        <w:t>: Extend blanket waiver to ICIF own</w:t>
      </w:r>
      <w:r w:rsidRPr="00F571E6">
        <w:rPr>
          <w:rFonts w:ascii="Times New Roman" w:hAnsi="Times New Roman" w:cs="Times New Roman"/>
          <w:sz w:val="24"/>
          <w:szCs w:val="24"/>
        </w:rPr>
        <w:t>ers that do not sell electricity.  The Commission intends section</w:t>
      </w:r>
      <w:r w:rsidRPr="00291382">
        <w:rPr>
          <w:rFonts w:ascii="Times New Roman" w:hAnsi="Times New Roman" w:cs="Times New Roman"/>
          <w:sz w:val="24"/>
          <w:szCs w:val="24"/>
        </w:rPr>
        <w:t xml:space="preserve">s 210 and 211 of the FPA to provide </w:t>
      </w:r>
      <w:r w:rsidRPr="00A22DF4">
        <w:rPr>
          <w:rFonts w:ascii="Times New Roman" w:hAnsi="Times New Roman" w:cs="Times New Roman"/>
          <w:sz w:val="24"/>
          <w:szCs w:val="24"/>
        </w:rPr>
        <w:t>a backstop means for third party access to ICIF in the wake of the blanket OATT waiver.  Section 210 is only applicable to electric utilities, i.e., entities that sell electricity, and not all ICIF owners sell electricity, due to varying project ownership structures.  Thus, the Commission chose to extend the blanket waiver to ICIF owners that do not sell electricity, provided that such entities file an informational statement committing to comply and be bound by the obligations and procedures applicable to electric utilities under</w:t>
      </w:r>
      <w:r>
        <w:rPr>
          <w:rFonts w:ascii="Times New Roman" w:hAnsi="Times New Roman" w:cs="Times New Roman"/>
          <w:sz w:val="24"/>
          <w:szCs w:val="24"/>
        </w:rPr>
        <w:t xml:space="preserve"> </w:t>
      </w:r>
      <w:r w:rsidRPr="00166C01">
        <w:rPr>
          <w:rFonts w:ascii="Times New Roman" w:hAnsi="Times New Roman" w:cs="Times New Roman"/>
          <w:sz w:val="24"/>
          <w:szCs w:val="24"/>
        </w:rPr>
        <w:t>section 210 of the FPA</w:t>
      </w:r>
      <w:r>
        <w:rPr>
          <w:rFonts w:ascii="Times New Roman" w:hAnsi="Times New Roman" w:cs="Times New Roman"/>
          <w:sz w:val="24"/>
          <w:szCs w:val="24"/>
        </w:rPr>
        <w:t>.</w:t>
      </w:r>
    </w:p>
    <w:p w14:paraId="213E455B" w14:textId="77777777" w:rsidR="00A628FB" w:rsidRDefault="00A628FB" w:rsidP="00A276F5">
      <w:pPr>
        <w:spacing w:after="0"/>
        <w:rPr>
          <w:rFonts w:ascii="Times New Roman" w:hAnsi="Times New Roman" w:cs="Times New Roman"/>
          <w:sz w:val="24"/>
          <w:szCs w:val="24"/>
        </w:rPr>
      </w:pPr>
    </w:p>
    <w:p w14:paraId="51F4DF15" w14:textId="5CB2A7A2" w:rsidR="00E854DC" w:rsidRPr="009B4D01" w:rsidRDefault="00E854DC" w:rsidP="00A276F5">
      <w:pPr>
        <w:spacing w:after="0"/>
        <w:rPr>
          <w:rFonts w:ascii="Times New Roman" w:hAnsi="Times New Roman" w:cs="Times New Roman"/>
          <w:sz w:val="24"/>
          <w:szCs w:val="24"/>
        </w:rPr>
      </w:pPr>
      <w:r>
        <w:rPr>
          <w:rFonts w:ascii="Times New Roman" w:hAnsi="Times New Roman" w:cs="Times New Roman"/>
          <w:sz w:val="24"/>
          <w:szCs w:val="24"/>
        </w:rPr>
        <w:t>The following tables reflect the changes in burden for both collections as they appear in the ROCIS metadata:</w:t>
      </w:r>
    </w:p>
    <w:p w14:paraId="6CF78847" w14:textId="77777777" w:rsidR="009B4D01" w:rsidRDefault="009B4D01"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6039B3" w:rsidRPr="00D80FBD" w14:paraId="6EA19FC4" w14:textId="77777777" w:rsidTr="007C150D">
        <w:trPr>
          <w:trHeight w:val="870"/>
        </w:trPr>
        <w:tc>
          <w:tcPr>
            <w:tcW w:w="2679" w:type="dxa"/>
            <w:shd w:val="clear" w:color="auto" w:fill="D9D9D9"/>
            <w:vAlign w:val="bottom"/>
          </w:tcPr>
          <w:p w14:paraId="6F33EBEC" w14:textId="77777777" w:rsidR="006039B3" w:rsidRPr="00D80FBD" w:rsidRDefault="006039B3" w:rsidP="007C150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sidR="00A628FB">
              <w:rPr>
                <w:rFonts w:ascii="Times New Roman" w:hAnsi="Times New Roman" w:cs="Times New Roman"/>
                <w:b/>
                <w:sz w:val="24"/>
                <w:szCs w:val="24"/>
              </w:rPr>
              <w:t>917</w:t>
            </w:r>
          </w:p>
        </w:tc>
        <w:tc>
          <w:tcPr>
            <w:tcW w:w="1461" w:type="dxa"/>
            <w:shd w:val="clear" w:color="auto" w:fill="D9D9D9"/>
            <w:vAlign w:val="bottom"/>
          </w:tcPr>
          <w:p w14:paraId="35EEBEBC" w14:textId="77777777" w:rsidR="006039B3" w:rsidRPr="00D80FBD" w:rsidRDefault="006039B3" w:rsidP="007C150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14:paraId="231811D5" w14:textId="77777777" w:rsidR="006039B3" w:rsidRPr="00D80FBD" w:rsidRDefault="006039B3" w:rsidP="007C150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14:paraId="6D70E28E" w14:textId="77777777" w:rsidR="006039B3" w:rsidRPr="00D80FBD" w:rsidRDefault="006039B3" w:rsidP="007C150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14:paraId="1EB05B0C" w14:textId="77777777" w:rsidR="006039B3" w:rsidRPr="00D80FBD" w:rsidRDefault="006039B3" w:rsidP="007C150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6039B3" w:rsidRPr="00D80FBD" w14:paraId="23277E0E" w14:textId="77777777" w:rsidTr="007C150D">
        <w:trPr>
          <w:trHeight w:val="591"/>
        </w:trPr>
        <w:tc>
          <w:tcPr>
            <w:tcW w:w="2679" w:type="dxa"/>
            <w:shd w:val="clear" w:color="auto" w:fill="auto"/>
          </w:tcPr>
          <w:p w14:paraId="497B1C30" w14:textId="77777777" w:rsidR="006039B3" w:rsidRPr="00D80FBD" w:rsidRDefault="006039B3" w:rsidP="007C150D">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14:paraId="12F52C31" w14:textId="2ED4DDC4" w:rsidR="006039B3" w:rsidRPr="00FC440E" w:rsidRDefault="00284FF9"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845</w:t>
            </w:r>
          </w:p>
        </w:tc>
        <w:tc>
          <w:tcPr>
            <w:tcW w:w="1620" w:type="dxa"/>
            <w:shd w:val="clear" w:color="auto" w:fill="auto"/>
            <w:vAlign w:val="center"/>
          </w:tcPr>
          <w:p w14:paraId="62AD039A" w14:textId="356C9469" w:rsidR="006039B3" w:rsidRPr="00D80FBD" w:rsidRDefault="00427D79"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804</w:t>
            </w:r>
          </w:p>
        </w:tc>
        <w:tc>
          <w:tcPr>
            <w:tcW w:w="1800" w:type="dxa"/>
            <w:shd w:val="clear" w:color="auto" w:fill="auto"/>
            <w:vAlign w:val="center"/>
          </w:tcPr>
          <w:p w14:paraId="227026CE" w14:textId="77777777" w:rsidR="006039B3" w:rsidRPr="00D80FBD" w:rsidRDefault="00466BC1"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438D69FA" w14:textId="26EBD1AA" w:rsidR="006039B3" w:rsidRPr="00D80FBD" w:rsidRDefault="00284FF9"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w:t>
            </w:r>
          </w:p>
        </w:tc>
      </w:tr>
      <w:tr w:rsidR="006039B3" w:rsidRPr="00D80FBD" w14:paraId="5027E733" w14:textId="77777777" w:rsidTr="007C150D">
        <w:trPr>
          <w:trHeight w:val="575"/>
        </w:trPr>
        <w:tc>
          <w:tcPr>
            <w:tcW w:w="2679" w:type="dxa"/>
            <w:shd w:val="clear" w:color="auto" w:fill="auto"/>
          </w:tcPr>
          <w:p w14:paraId="3D1B9795" w14:textId="77777777" w:rsidR="006039B3" w:rsidRPr="00D80FBD" w:rsidRDefault="006039B3" w:rsidP="007C150D">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lastRenderedPageBreak/>
              <w:t>Annual Time Burden (</w:t>
            </w:r>
            <w:proofErr w:type="spellStart"/>
            <w:r w:rsidRPr="00D80FBD">
              <w:rPr>
                <w:rFonts w:ascii="Times New Roman" w:hAnsi="Times New Roman" w:cs="Times New Roman"/>
                <w:sz w:val="24"/>
                <w:szCs w:val="24"/>
              </w:rPr>
              <w:t>Hr</w:t>
            </w:r>
            <w:proofErr w:type="spellEnd"/>
            <w:r w:rsidRPr="00D80FBD">
              <w:rPr>
                <w:rFonts w:ascii="Times New Roman" w:hAnsi="Times New Roman" w:cs="Times New Roman"/>
                <w:sz w:val="24"/>
                <w:szCs w:val="24"/>
              </w:rPr>
              <w:t>)</w:t>
            </w:r>
          </w:p>
        </w:tc>
        <w:tc>
          <w:tcPr>
            <w:tcW w:w="1461" w:type="dxa"/>
            <w:shd w:val="clear" w:color="auto" w:fill="auto"/>
            <w:vAlign w:val="center"/>
          </w:tcPr>
          <w:p w14:paraId="66930751" w14:textId="257237C1" w:rsidR="006039B3" w:rsidRPr="00FC440E" w:rsidRDefault="00427D79"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159,</w:t>
            </w:r>
            <w:r w:rsidR="00284FF9">
              <w:rPr>
                <w:rFonts w:ascii="Times New Roman" w:hAnsi="Times New Roman" w:cs="Times New Roman"/>
                <w:sz w:val="24"/>
                <w:szCs w:val="24"/>
              </w:rPr>
              <w:t>8</w:t>
            </w:r>
            <w:r w:rsidR="00270AEB">
              <w:rPr>
                <w:rFonts w:ascii="Times New Roman" w:hAnsi="Times New Roman" w:cs="Times New Roman"/>
                <w:sz w:val="24"/>
                <w:szCs w:val="24"/>
              </w:rPr>
              <w:t>40</w:t>
            </w:r>
          </w:p>
        </w:tc>
        <w:tc>
          <w:tcPr>
            <w:tcW w:w="1620" w:type="dxa"/>
            <w:shd w:val="clear" w:color="auto" w:fill="auto"/>
            <w:vAlign w:val="center"/>
          </w:tcPr>
          <w:p w14:paraId="318CA69D" w14:textId="3809434F" w:rsidR="006039B3" w:rsidRPr="00D80FBD" w:rsidRDefault="00427D79"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160,042</w:t>
            </w:r>
          </w:p>
        </w:tc>
        <w:tc>
          <w:tcPr>
            <w:tcW w:w="1800" w:type="dxa"/>
            <w:shd w:val="clear" w:color="auto" w:fill="auto"/>
            <w:vAlign w:val="center"/>
          </w:tcPr>
          <w:p w14:paraId="7BE095FF" w14:textId="44797D56" w:rsidR="006039B3" w:rsidRPr="00D80FBD" w:rsidRDefault="00E531F6"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71E743FB" w14:textId="29D1B33E" w:rsidR="006039B3" w:rsidRPr="00D80FBD" w:rsidRDefault="00284FF9"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270AEB">
              <w:rPr>
                <w:rFonts w:ascii="Times New Roman" w:hAnsi="Times New Roman" w:cs="Times New Roman"/>
                <w:sz w:val="24"/>
                <w:szCs w:val="24"/>
              </w:rPr>
              <w:t>0</w:t>
            </w:r>
            <w:r>
              <w:rPr>
                <w:rFonts w:ascii="Times New Roman" w:hAnsi="Times New Roman" w:cs="Times New Roman"/>
                <w:sz w:val="24"/>
                <w:szCs w:val="24"/>
              </w:rPr>
              <w:t>2</w:t>
            </w:r>
          </w:p>
        </w:tc>
      </w:tr>
      <w:tr w:rsidR="006039B3" w:rsidRPr="00D80FBD" w14:paraId="7BDB7DA2" w14:textId="77777777" w:rsidTr="007C150D">
        <w:trPr>
          <w:trHeight w:val="295"/>
        </w:trPr>
        <w:tc>
          <w:tcPr>
            <w:tcW w:w="2679" w:type="dxa"/>
            <w:tcBorders>
              <w:bottom w:val="single" w:sz="4" w:space="0" w:color="auto"/>
            </w:tcBorders>
            <w:shd w:val="clear" w:color="auto" w:fill="auto"/>
          </w:tcPr>
          <w:p w14:paraId="25DD627A" w14:textId="77777777" w:rsidR="006039B3" w:rsidRPr="00D80FBD" w:rsidRDefault="006039B3" w:rsidP="007C150D">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391798B8" w14:textId="55A250D4" w:rsidR="006039B3" w:rsidRPr="00427D79" w:rsidRDefault="004237AB"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$7,400,000</w:t>
            </w:r>
          </w:p>
        </w:tc>
        <w:tc>
          <w:tcPr>
            <w:tcW w:w="1620" w:type="dxa"/>
            <w:tcBorders>
              <w:bottom w:val="single" w:sz="4" w:space="0" w:color="auto"/>
            </w:tcBorders>
            <w:shd w:val="clear" w:color="auto" w:fill="auto"/>
            <w:vAlign w:val="center"/>
          </w:tcPr>
          <w:p w14:paraId="594A9FBC" w14:textId="63FD2395" w:rsidR="006039B3" w:rsidRPr="00427D79" w:rsidRDefault="004237AB"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$7,400,000</w:t>
            </w:r>
          </w:p>
        </w:tc>
        <w:tc>
          <w:tcPr>
            <w:tcW w:w="1800" w:type="dxa"/>
            <w:tcBorders>
              <w:bottom w:val="single" w:sz="4" w:space="0" w:color="auto"/>
            </w:tcBorders>
            <w:shd w:val="clear" w:color="auto" w:fill="auto"/>
            <w:vAlign w:val="center"/>
          </w:tcPr>
          <w:p w14:paraId="1EDEE7C9" w14:textId="77777777" w:rsidR="006039B3" w:rsidRPr="00427D79" w:rsidRDefault="00466BC1" w:rsidP="007C150D">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686EC07E" w14:textId="77777777" w:rsidR="006039B3" w:rsidRPr="00D80FBD" w:rsidRDefault="00466BC1"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bl>
    <w:p w14:paraId="2E6FA437" w14:textId="77777777" w:rsidR="00C01698" w:rsidRDefault="00C01698" w:rsidP="00A276F5">
      <w:pPr>
        <w:spacing w:after="0"/>
        <w:rPr>
          <w:rFonts w:ascii="Times New Roman" w:hAnsi="Times New Roman" w:cs="Times New Roman"/>
          <w:sz w:val="24"/>
          <w:szCs w:val="24"/>
        </w:rPr>
      </w:pPr>
    </w:p>
    <w:p w14:paraId="0BFBAF45" w14:textId="77777777" w:rsidR="00970FE4" w:rsidRDefault="00970FE4"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A628FB" w:rsidRPr="00D80FBD" w14:paraId="0CD5F6DD" w14:textId="77777777" w:rsidTr="00A628FB">
        <w:trPr>
          <w:trHeight w:val="870"/>
        </w:trPr>
        <w:tc>
          <w:tcPr>
            <w:tcW w:w="2679" w:type="dxa"/>
            <w:shd w:val="clear" w:color="auto" w:fill="D9D9D9"/>
            <w:vAlign w:val="bottom"/>
          </w:tcPr>
          <w:p w14:paraId="517FA303" w14:textId="77777777" w:rsidR="00A628FB" w:rsidRPr="00D80FBD" w:rsidRDefault="00A628FB" w:rsidP="00A628F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Pr>
                <w:rFonts w:ascii="Times New Roman" w:hAnsi="Times New Roman" w:cs="Times New Roman"/>
                <w:b/>
                <w:sz w:val="24"/>
                <w:szCs w:val="24"/>
              </w:rPr>
              <w:t>582</w:t>
            </w:r>
          </w:p>
        </w:tc>
        <w:tc>
          <w:tcPr>
            <w:tcW w:w="1461" w:type="dxa"/>
            <w:shd w:val="clear" w:color="auto" w:fill="D9D9D9"/>
            <w:vAlign w:val="bottom"/>
          </w:tcPr>
          <w:p w14:paraId="289D85BB" w14:textId="77777777" w:rsidR="00A628FB" w:rsidRPr="00D80FBD" w:rsidRDefault="00A628FB" w:rsidP="00A628F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14:paraId="3E201008" w14:textId="77777777" w:rsidR="00A628FB" w:rsidRPr="00D80FBD" w:rsidRDefault="00A628FB" w:rsidP="00A628F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14:paraId="6F13C61D" w14:textId="77777777" w:rsidR="00A628FB" w:rsidRPr="00D80FBD" w:rsidRDefault="00A628FB" w:rsidP="00A628F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14:paraId="64A4441D" w14:textId="77777777" w:rsidR="00A628FB" w:rsidRPr="00D80FBD" w:rsidRDefault="00A628FB" w:rsidP="00A628F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A628FB" w:rsidRPr="00D80FBD" w14:paraId="2D99A99A" w14:textId="77777777" w:rsidTr="00A628FB">
        <w:trPr>
          <w:trHeight w:val="591"/>
        </w:trPr>
        <w:tc>
          <w:tcPr>
            <w:tcW w:w="2679" w:type="dxa"/>
            <w:shd w:val="clear" w:color="auto" w:fill="auto"/>
          </w:tcPr>
          <w:p w14:paraId="076C2619" w14:textId="77777777" w:rsidR="00A628FB" w:rsidRPr="00D80FBD" w:rsidRDefault="00A628FB" w:rsidP="00A628FB">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14:paraId="5AFE4E32" w14:textId="29C89BE4" w:rsidR="00A628FB" w:rsidRPr="00FC440E" w:rsidRDefault="004237AB"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113</w:t>
            </w:r>
          </w:p>
        </w:tc>
        <w:tc>
          <w:tcPr>
            <w:tcW w:w="1620" w:type="dxa"/>
            <w:shd w:val="clear" w:color="auto" w:fill="auto"/>
            <w:vAlign w:val="center"/>
          </w:tcPr>
          <w:p w14:paraId="690AA815" w14:textId="34D2719A" w:rsidR="00A628FB" w:rsidRPr="00D80FBD" w:rsidRDefault="00427D79"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114</w:t>
            </w:r>
          </w:p>
        </w:tc>
        <w:tc>
          <w:tcPr>
            <w:tcW w:w="1800" w:type="dxa"/>
            <w:shd w:val="clear" w:color="auto" w:fill="auto"/>
            <w:vAlign w:val="center"/>
          </w:tcPr>
          <w:p w14:paraId="58DF1840" w14:textId="77777777" w:rsidR="00A628FB" w:rsidRPr="00D80FBD" w:rsidRDefault="00A628FB"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01B23B4D" w14:textId="28DE1035" w:rsidR="00A628FB" w:rsidRPr="00D80FBD" w:rsidRDefault="00DB596C"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r>
      <w:tr w:rsidR="00A628FB" w:rsidRPr="00D80FBD" w14:paraId="6C17B04B" w14:textId="77777777" w:rsidTr="00A628FB">
        <w:trPr>
          <w:trHeight w:val="575"/>
        </w:trPr>
        <w:tc>
          <w:tcPr>
            <w:tcW w:w="2679" w:type="dxa"/>
            <w:shd w:val="clear" w:color="auto" w:fill="auto"/>
          </w:tcPr>
          <w:p w14:paraId="7B0C4E5D" w14:textId="77777777" w:rsidR="00A628FB" w:rsidRPr="00D80FBD" w:rsidRDefault="00A628FB" w:rsidP="00A628FB">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w:t>
            </w:r>
            <w:proofErr w:type="spellStart"/>
            <w:r w:rsidRPr="00D80FBD">
              <w:rPr>
                <w:rFonts w:ascii="Times New Roman" w:hAnsi="Times New Roman" w:cs="Times New Roman"/>
                <w:sz w:val="24"/>
                <w:szCs w:val="24"/>
              </w:rPr>
              <w:t>Hr</w:t>
            </w:r>
            <w:proofErr w:type="spellEnd"/>
            <w:r w:rsidRPr="00D80FBD">
              <w:rPr>
                <w:rFonts w:ascii="Times New Roman" w:hAnsi="Times New Roman" w:cs="Times New Roman"/>
                <w:sz w:val="24"/>
                <w:szCs w:val="24"/>
              </w:rPr>
              <w:t>)</w:t>
            </w:r>
          </w:p>
        </w:tc>
        <w:tc>
          <w:tcPr>
            <w:tcW w:w="1461" w:type="dxa"/>
            <w:shd w:val="clear" w:color="auto" w:fill="auto"/>
            <w:vAlign w:val="center"/>
          </w:tcPr>
          <w:p w14:paraId="22273954" w14:textId="085CEDFA" w:rsidR="00A628FB" w:rsidRPr="00427D79" w:rsidRDefault="00427D79" w:rsidP="00A628FB">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270</w:t>
            </w:r>
          </w:p>
        </w:tc>
        <w:tc>
          <w:tcPr>
            <w:tcW w:w="1620" w:type="dxa"/>
            <w:shd w:val="clear" w:color="auto" w:fill="auto"/>
            <w:vAlign w:val="center"/>
          </w:tcPr>
          <w:p w14:paraId="55CF0296" w14:textId="702238CE" w:rsidR="00A628FB" w:rsidRPr="00427D79" w:rsidRDefault="00427D79" w:rsidP="00A628FB">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300</w:t>
            </w:r>
          </w:p>
        </w:tc>
        <w:tc>
          <w:tcPr>
            <w:tcW w:w="1800" w:type="dxa"/>
            <w:shd w:val="clear" w:color="auto" w:fill="auto"/>
            <w:vAlign w:val="center"/>
          </w:tcPr>
          <w:p w14:paraId="01A321BE" w14:textId="58CD3145" w:rsidR="00A628FB" w:rsidRPr="00427D79" w:rsidRDefault="00E531F6"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6A52230E" w14:textId="2957DB34" w:rsidR="00A628FB" w:rsidRPr="00427D79" w:rsidRDefault="00E531F6"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A628FB" w:rsidRPr="00D80FBD" w14:paraId="3B55FA34" w14:textId="77777777" w:rsidTr="00A628FB">
        <w:trPr>
          <w:trHeight w:val="295"/>
        </w:trPr>
        <w:tc>
          <w:tcPr>
            <w:tcW w:w="2679" w:type="dxa"/>
            <w:tcBorders>
              <w:bottom w:val="single" w:sz="4" w:space="0" w:color="auto"/>
            </w:tcBorders>
            <w:shd w:val="clear" w:color="auto" w:fill="auto"/>
          </w:tcPr>
          <w:p w14:paraId="63D31B3D" w14:textId="77777777" w:rsidR="00A628FB" w:rsidRPr="00D80FBD" w:rsidRDefault="00A628FB" w:rsidP="00A628FB">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34C8E5E0" w14:textId="6BEA1E62" w:rsidR="00A628FB" w:rsidRPr="00427D79" w:rsidRDefault="00427D79" w:rsidP="00A628FB">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14:paraId="1A279FBD" w14:textId="0F9C9702" w:rsidR="00A628FB" w:rsidRPr="00427D79" w:rsidRDefault="00427D79" w:rsidP="00A628FB">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7D27D592" w14:textId="77777777" w:rsidR="00A628FB" w:rsidRPr="00427D79" w:rsidRDefault="00A628FB" w:rsidP="00A628FB">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7C393FEA" w14:textId="77777777" w:rsidR="00A628FB" w:rsidRPr="00427D79" w:rsidRDefault="00A628FB" w:rsidP="00A628FB">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r>
    </w:tbl>
    <w:p w14:paraId="6C6C8304" w14:textId="77777777" w:rsidR="00A628FB" w:rsidRDefault="00A628FB" w:rsidP="00A276F5">
      <w:pPr>
        <w:spacing w:after="0"/>
        <w:rPr>
          <w:rFonts w:ascii="Times New Roman" w:hAnsi="Times New Roman" w:cs="Times New Roman"/>
          <w:sz w:val="24"/>
          <w:szCs w:val="24"/>
        </w:rPr>
      </w:pPr>
    </w:p>
    <w:p w14:paraId="19EB2066" w14:textId="77777777" w:rsidR="00A628FB" w:rsidRPr="00A276F5" w:rsidRDefault="00A628FB" w:rsidP="00A276F5">
      <w:pPr>
        <w:spacing w:after="0"/>
        <w:rPr>
          <w:rFonts w:ascii="Times New Roman" w:hAnsi="Times New Roman" w:cs="Times New Roman"/>
          <w:sz w:val="24"/>
          <w:szCs w:val="24"/>
        </w:rPr>
      </w:pPr>
    </w:p>
    <w:p w14:paraId="6C46AAEA"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6E17C63F" w14:textId="77777777" w:rsidR="00414F32" w:rsidRDefault="00414F32" w:rsidP="00414F32">
      <w:pPr>
        <w:spacing w:after="0"/>
        <w:rPr>
          <w:rFonts w:ascii="Times New Roman" w:hAnsi="Times New Roman" w:cs="Times New Roman"/>
          <w:sz w:val="24"/>
          <w:szCs w:val="24"/>
        </w:rPr>
      </w:pPr>
    </w:p>
    <w:p w14:paraId="211D46D1" w14:textId="77777777" w:rsidR="006039B3" w:rsidRPr="005F6467" w:rsidRDefault="006039B3" w:rsidP="006039B3">
      <w:pPr>
        <w:spacing w:after="0"/>
        <w:rPr>
          <w:rFonts w:ascii="Times New Roman" w:hAnsi="Times New Roman" w:cs="Times New Roman"/>
          <w:sz w:val="24"/>
          <w:szCs w:val="24"/>
        </w:rPr>
      </w:pPr>
      <w:r w:rsidRPr="005F6467">
        <w:rPr>
          <w:rFonts w:ascii="Times New Roman" w:hAnsi="Times New Roman" w:cs="Times New Roman"/>
          <w:sz w:val="24"/>
          <w:szCs w:val="24"/>
        </w:rPr>
        <w:t xml:space="preserve">There are no tabulating, statistical or tabulating analysis or publication plans for the collection of information.  </w:t>
      </w:r>
    </w:p>
    <w:p w14:paraId="7B327100" w14:textId="77777777" w:rsidR="00414F32" w:rsidRPr="00414F32" w:rsidRDefault="00414F32" w:rsidP="00414F32">
      <w:pPr>
        <w:spacing w:after="0"/>
        <w:rPr>
          <w:rFonts w:ascii="Times New Roman" w:hAnsi="Times New Roman" w:cs="Times New Roman"/>
          <w:sz w:val="24"/>
          <w:szCs w:val="24"/>
        </w:rPr>
      </w:pPr>
    </w:p>
    <w:p w14:paraId="59260C3A"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23AFF765" w14:textId="7D0CEC57" w:rsidR="009C0BA0" w:rsidRDefault="009C0BA0" w:rsidP="009C0BA0">
      <w:pPr>
        <w:spacing w:after="0"/>
        <w:rPr>
          <w:rFonts w:ascii="Times New Roman" w:hAnsi="Times New Roman" w:cs="Times New Roman"/>
          <w:sz w:val="24"/>
          <w:szCs w:val="24"/>
        </w:rPr>
      </w:pPr>
      <w:r>
        <w:rPr>
          <w:rFonts w:ascii="Times New Roman" w:hAnsi="Times New Roman" w:cs="Times New Roman"/>
          <w:sz w:val="24"/>
          <w:szCs w:val="24"/>
        </w:rPr>
        <w:br/>
        <w:t>The expiration date</w:t>
      </w:r>
      <w:r w:rsidR="00A57031">
        <w:rPr>
          <w:rFonts w:ascii="Times New Roman" w:hAnsi="Times New Roman" w:cs="Times New Roman"/>
          <w:sz w:val="24"/>
          <w:szCs w:val="24"/>
        </w:rPr>
        <w:t>s</w:t>
      </w:r>
      <w:r w:rsidRPr="00E84A39">
        <w:rPr>
          <w:rFonts w:ascii="Times New Roman" w:hAnsi="Times New Roman" w:cs="Times New Roman"/>
          <w:sz w:val="24"/>
          <w:szCs w:val="24"/>
        </w:rPr>
        <w:t xml:space="preserve"> </w:t>
      </w:r>
      <w:r w:rsidR="00A57031">
        <w:rPr>
          <w:rFonts w:ascii="Times New Roman" w:hAnsi="Times New Roman" w:cs="Times New Roman"/>
          <w:sz w:val="24"/>
          <w:szCs w:val="24"/>
        </w:rPr>
        <w:t>are</w:t>
      </w:r>
      <w:r w:rsidRPr="00E84A39">
        <w:rPr>
          <w:rFonts w:ascii="Times New Roman" w:hAnsi="Times New Roman" w:cs="Times New Roman"/>
          <w:sz w:val="24"/>
          <w:szCs w:val="24"/>
        </w:rPr>
        <w:t xml:space="preserve"> displayed </w:t>
      </w:r>
      <w:r>
        <w:rPr>
          <w:rFonts w:ascii="Times New Roman" w:hAnsi="Times New Roman" w:cs="Times New Roman"/>
          <w:sz w:val="24"/>
          <w:szCs w:val="24"/>
        </w:rPr>
        <w:t xml:space="preserve">in a table posted </w:t>
      </w:r>
      <w:r w:rsidRPr="00E84A39">
        <w:rPr>
          <w:rFonts w:ascii="Times New Roman" w:hAnsi="Times New Roman" w:cs="Times New Roman"/>
          <w:sz w:val="24"/>
          <w:szCs w:val="24"/>
        </w:rPr>
        <w:t xml:space="preserve">on ferc.gov </w:t>
      </w:r>
      <w:r>
        <w:rPr>
          <w:rFonts w:ascii="Times New Roman" w:hAnsi="Times New Roman" w:cs="Times New Roman"/>
          <w:sz w:val="24"/>
          <w:szCs w:val="24"/>
        </w:rPr>
        <w:t>at</w:t>
      </w:r>
      <w:r w:rsidRPr="00E84A39">
        <w:rPr>
          <w:rFonts w:ascii="Times New Roman" w:hAnsi="Times New Roman" w:cs="Times New Roman"/>
          <w:sz w:val="24"/>
          <w:szCs w:val="24"/>
        </w:rPr>
        <w:t xml:space="preserve"> </w:t>
      </w:r>
      <w:hyperlink r:id="rId13" w:history="1">
        <w:r w:rsidRPr="00E84A39">
          <w:rPr>
            <w:rStyle w:val="Hyperlink"/>
            <w:rFonts w:ascii="Times New Roman" w:hAnsi="Times New Roman" w:cs="Times New Roman"/>
            <w:sz w:val="24"/>
            <w:szCs w:val="24"/>
          </w:rPr>
          <w:t>http://www.ferc.gov/docs-filing/info-collections.asp</w:t>
        </w:r>
      </w:hyperlink>
      <w:r w:rsidRPr="00E84A39">
        <w:rPr>
          <w:rFonts w:ascii="Times New Roman" w:hAnsi="Times New Roman" w:cs="Times New Roman"/>
          <w:sz w:val="24"/>
          <w:szCs w:val="24"/>
        </w:rPr>
        <w:t>.</w:t>
      </w:r>
    </w:p>
    <w:p w14:paraId="30B2ADDE" w14:textId="77777777" w:rsidR="009C0BA0" w:rsidRPr="00414F32" w:rsidRDefault="009C0BA0" w:rsidP="00414F32">
      <w:pPr>
        <w:spacing w:after="0"/>
        <w:rPr>
          <w:rFonts w:ascii="Times New Roman" w:hAnsi="Times New Roman" w:cs="Times New Roman"/>
          <w:sz w:val="24"/>
          <w:szCs w:val="24"/>
        </w:rPr>
      </w:pPr>
    </w:p>
    <w:p w14:paraId="51C4DEC3"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08A2B2C3" w14:textId="77777777" w:rsidR="0057700F" w:rsidRDefault="0057700F" w:rsidP="0057700F">
      <w:pPr>
        <w:spacing w:after="0"/>
        <w:rPr>
          <w:rFonts w:ascii="Times New Roman" w:hAnsi="Times New Roman" w:cs="Times New Roman"/>
          <w:b/>
          <w:sz w:val="24"/>
          <w:szCs w:val="24"/>
        </w:rPr>
      </w:pPr>
    </w:p>
    <w:p w14:paraId="64B0A719" w14:textId="77777777" w:rsidR="006039B3" w:rsidRPr="005F6467" w:rsidRDefault="006039B3" w:rsidP="006039B3">
      <w:pPr>
        <w:spacing w:after="0"/>
        <w:rPr>
          <w:rFonts w:ascii="Times New Roman" w:hAnsi="Times New Roman" w:cs="Times New Roman"/>
          <w:sz w:val="24"/>
          <w:szCs w:val="24"/>
        </w:rPr>
      </w:pPr>
      <w:r w:rsidRPr="005F6467">
        <w:rPr>
          <w:rFonts w:ascii="Times New Roman" w:hAnsi="Times New Roman" w:cs="Times New Roman"/>
          <w:sz w:val="24"/>
          <w:szCs w:val="24"/>
        </w:rPr>
        <w:t>The Commission does not use the data collected for this reporting requirement for statistical purposes.  Therefore, the Commission does not use as stated in item (i) of the certification to OMB "effective and efficient statistical survey methodology."  The information collected is case specific to each information collection.</w:t>
      </w:r>
    </w:p>
    <w:p w14:paraId="68075620" w14:textId="77777777" w:rsidR="00970FE4" w:rsidRDefault="00970FE4" w:rsidP="0057700F">
      <w:pPr>
        <w:spacing w:after="0"/>
        <w:rPr>
          <w:rFonts w:ascii="Times New Roman" w:hAnsi="Times New Roman" w:cs="Times New Roman"/>
          <w:sz w:val="24"/>
          <w:szCs w:val="24"/>
        </w:rPr>
      </w:pPr>
    </w:p>
    <w:p w14:paraId="7C8006FA" w14:textId="77777777" w:rsidR="00414F32" w:rsidRPr="007A2F92" w:rsidRDefault="006039B3" w:rsidP="006039B3">
      <w:pPr>
        <w:tabs>
          <w:tab w:val="left" w:pos="915"/>
        </w:tabs>
        <w:spacing w:after="0"/>
        <w:rPr>
          <w:rFonts w:ascii="Times New Roman" w:hAnsi="Times New Roman" w:cs="Times New Roman"/>
          <w:sz w:val="24"/>
          <w:szCs w:val="24"/>
        </w:rPr>
      </w:pPr>
      <w:r>
        <w:rPr>
          <w:rFonts w:ascii="Times New Roman" w:hAnsi="Times New Roman" w:cs="Times New Roman"/>
          <w:sz w:val="24"/>
          <w:szCs w:val="24"/>
        </w:rPr>
        <w:tab/>
      </w:r>
    </w:p>
    <w:sectPr w:rsidR="00414F32" w:rsidRPr="007A2F92" w:rsidSect="0078771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365D2" w14:textId="77777777" w:rsidR="00D4172C" w:rsidRDefault="00D4172C" w:rsidP="00FD66F1">
      <w:pPr>
        <w:spacing w:after="0" w:line="240" w:lineRule="auto"/>
      </w:pPr>
      <w:r>
        <w:separator/>
      </w:r>
    </w:p>
  </w:endnote>
  <w:endnote w:type="continuationSeparator" w:id="0">
    <w:p w14:paraId="54A10E81" w14:textId="77777777" w:rsidR="00D4172C" w:rsidRDefault="00D4172C"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14:paraId="08954181" w14:textId="77777777" w:rsidR="007F1DE4" w:rsidRPr="001C6553" w:rsidRDefault="007F1DE4">
        <w:pPr>
          <w:pStyle w:val="Footer"/>
          <w:jc w:val="right"/>
          <w:rPr>
            <w:rFonts w:ascii="Times New Roman" w:hAnsi="Times New Roman" w:cs="Times New Roman"/>
          </w:rPr>
        </w:pPr>
        <w:r w:rsidRPr="001C6553">
          <w:rPr>
            <w:rFonts w:ascii="Times New Roman" w:hAnsi="Times New Roman" w:cs="Times New Roman"/>
          </w:rPr>
          <w:fldChar w:fldCharType="begin"/>
        </w:r>
        <w:r w:rsidRPr="001C6553">
          <w:rPr>
            <w:rFonts w:ascii="Times New Roman" w:hAnsi="Times New Roman" w:cs="Times New Roman"/>
          </w:rPr>
          <w:instrText xml:space="preserve"> PAGE   \* MERGEFORMAT </w:instrText>
        </w:r>
        <w:r w:rsidRPr="001C6553">
          <w:rPr>
            <w:rFonts w:ascii="Times New Roman" w:hAnsi="Times New Roman" w:cs="Times New Roman"/>
          </w:rPr>
          <w:fldChar w:fldCharType="separate"/>
        </w:r>
        <w:r w:rsidR="0099692C">
          <w:rPr>
            <w:rFonts w:ascii="Times New Roman" w:hAnsi="Times New Roman" w:cs="Times New Roman"/>
            <w:noProof/>
          </w:rPr>
          <w:t>10</w:t>
        </w:r>
        <w:r w:rsidRPr="001C6553">
          <w:rPr>
            <w:rFonts w:ascii="Times New Roman" w:hAnsi="Times New Roman" w:cs="Times New Roman"/>
            <w:noProof/>
          </w:rPr>
          <w:fldChar w:fldCharType="end"/>
        </w:r>
      </w:p>
    </w:sdtContent>
  </w:sdt>
  <w:p w14:paraId="60FE9BD3" w14:textId="77777777" w:rsidR="007F1DE4" w:rsidRDefault="007F1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E8AAD" w14:textId="77777777" w:rsidR="00D4172C" w:rsidRDefault="00D4172C" w:rsidP="00FD66F1">
      <w:pPr>
        <w:spacing w:after="0" w:line="240" w:lineRule="auto"/>
      </w:pPr>
      <w:r>
        <w:separator/>
      </w:r>
    </w:p>
  </w:footnote>
  <w:footnote w:type="continuationSeparator" w:id="0">
    <w:p w14:paraId="058C3A64" w14:textId="77777777" w:rsidR="00D4172C" w:rsidRDefault="00D4172C" w:rsidP="00FD66F1">
      <w:pPr>
        <w:spacing w:after="0" w:line="240" w:lineRule="auto"/>
      </w:pPr>
      <w:r>
        <w:continuationSeparator/>
      </w:r>
    </w:p>
  </w:footnote>
  <w:footnote w:id="1">
    <w:p w14:paraId="2569DF20" w14:textId="7F76C5C3" w:rsidR="007F1DE4" w:rsidRDefault="007F1DE4">
      <w:pPr>
        <w:pStyle w:val="FootnoteText"/>
      </w:pPr>
      <w:r>
        <w:rPr>
          <w:rStyle w:val="FootnoteReference"/>
        </w:rPr>
        <w:footnoteRef/>
      </w:r>
      <w:r w:rsidR="008B1F00">
        <w:t xml:space="preserve"> The “safe harbor” is a</w:t>
      </w:r>
      <w:r>
        <w:t xml:space="preserve"> five-year period during which an ICIF owner (and associated affiliates) may establish rebuttable presumption for priority right over third parties to use excess capacity on the energy grid.</w:t>
      </w:r>
    </w:p>
  </w:footnote>
  <w:footnote w:id="2">
    <w:p w14:paraId="22A23A29" w14:textId="1168465B" w:rsidR="007F1DE4" w:rsidRDefault="007F1DE4">
      <w:pPr>
        <w:pStyle w:val="FootnoteText"/>
      </w:pPr>
      <w:r>
        <w:rPr>
          <w:rStyle w:val="FootnoteReference"/>
        </w:rPr>
        <w:footnoteRef/>
      </w:r>
      <w:r>
        <w:t xml:space="preserve"> The “safe harbor </w:t>
      </w:r>
      <w:r w:rsidR="00F438A9">
        <w:t xml:space="preserve">commercial operation </w:t>
      </w:r>
      <w:r>
        <w:t>date” filing is necessary to ensure transparency regarding the applicability of the safe harbor period and to which owner the period will apply.</w:t>
      </w:r>
    </w:p>
  </w:footnote>
  <w:footnote w:id="3">
    <w:p w14:paraId="14566484" w14:textId="56EFD019" w:rsidR="007F1DE4" w:rsidRDefault="007F1DE4">
      <w:pPr>
        <w:pStyle w:val="FootnoteText"/>
      </w:pPr>
      <w:r>
        <w:rPr>
          <w:rStyle w:val="FootnoteReference"/>
        </w:rPr>
        <w:footnoteRef/>
      </w:r>
      <w:r w:rsidR="00484838">
        <w:t xml:space="preserve"> 80 FR 17654</w:t>
      </w:r>
    </w:p>
  </w:footnote>
  <w:footnote w:id="4">
    <w:p w14:paraId="199F876D" w14:textId="7A32B87C" w:rsidR="007F1DE4" w:rsidRDefault="007F1DE4">
      <w:pPr>
        <w:pStyle w:val="FootnoteText"/>
      </w:pPr>
      <w:r>
        <w:rPr>
          <w:rStyle w:val="FootnoteReference"/>
        </w:rPr>
        <w:footnoteRef/>
      </w:r>
      <w:r>
        <w:t xml:space="preserve"> FERC-917 and FERC-918 are included under the same OMB Control Number (1902-0233)</w:t>
      </w:r>
    </w:p>
  </w:footnote>
  <w:footnote w:id="5">
    <w:p w14:paraId="105D75AA" w14:textId="77777777" w:rsidR="00E854DC" w:rsidRPr="00923152" w:rsidRDefault="00E854DC" w:rsidP="00E854DC">
      <w:pPr>
        <w:pStyle w:val="FootnoteText"/>
        <w:spacing w:after="240"/>
        <w:rPr>
          <w:szCs w:val="26"/>
        </w:rPr>
      </w:pPr>
      <w:r w:rsidRPr="00746CCD">
        <w:rPr>
          <w:rStyle w:val="FootnoteReference"/>
        </w:rPr>
        <w:footnoteRef/>
      </w:r>
      <w:r w:rsidRPr="00923152">
        <w:rPr>
          <w:szCs w:val="26"/>
        </w:rPr>
        <w:t xml:space="preserve"> The estimates for cost per response are derived using the following formula: Average Burden Hours per Response * </w:t>
      </w:r>
      <w:r>
        <w:rPr>
          <w:szCs w:val="26"/>
        </w:rPr>
        <w:t>$94.66</w:t>
      </w:r>
      <w:r w:rsidRPr="00923152">
        <w:rPr>
          <w:szCs w:val="26"/>
        </w:rPr>
        <w:t xml:space="preserve"> per Hour = Average Cost per Response.  The hourly cost figure </w:t>
      </w:r>
      <w:r>
        <w:rPr>
          <w:szCs w:val="26"/>
        </w:rPr>
        <w:t xml:space="preserve">represents a combined hourly rate of an attorney ($131.00), economist ($71.00), engineer ($65.34), and administrative staff ($38.63), with a 50 percent weighting on the attorney’s rate (i.e. [$131(1/2) + $71.00(1/6) + $65.34(1/6) + $38.63(1/6)]/4 = $94.66.  </w:t>
      </w:r>
      <w:r w:rsidRPr="00D44CE6">
        <w:t>The estimated hourly costs (salary) are based on Bureau of Labor and Statistics information (</w:t>
      </w:r>
      <w:r>
        <w:rPr>
          <w:i/>
        </w:rPr>
        <w:t xml:space="preserve">available </w:t>
      </w:r>
      <w:r w:rsidRPr="000F40C0">
        <w:rPr>
          <w:i/>
        </w:rPr>
        <w:t>at</w:t>
      </w:r>
      <w:r w:rsidRPr="00D44CE6">
        <w:t xml:space="preserve"> </w:t>
      </w:r>
      <w:hyperlink r:id="rId1" w:history="1">
        <w:r w:rsidRPr="007F1F5D">
          <w:rPr>
            <w:rStyle w:val="Hyperlink"/>
          </w:rPr>
          <w:t>http://www.bls.gov/oes/current/naics2_22.htm</w:t>
        </w:r>
      </w:hyperlink>
      <w:r w:rsidRPr="00720709">
        <w:t>,</w:t>
      </w:r>
      <w:r>
        <w:t xml:space="preserve"> and are adjusted to include benefits by assuming that salary accounts for 68.7 percent of total compensation)</w:t>
      </w:r>
      <w:r>
        <w:rPr>
          <w:szCs w:val="26"/>
        </w:rPr>
        <w:t xml:space="preserve">.  </w:t>
      </w:r>
      <w:r>
        <w:rPr>
          <w:i/>
          <w:szCs w:val="26"/>
        </w:rPr>
        <w:t>See</w:t>
      </w:r>
      <w:r>
        <w:rPr>
          <w:szCs w:val="26"/>
        </w:rPr>
        <w:t xml:space="preserve"> </w:t>
      </w:r>
      <w:hyperlink r:id="rId2" w:history="1">
        <w:r w:rsidRPr="00BA1FF9">
          <w:rPr>
            <w:rStyle w:val="Hyperlink"/>
            <w:szCs w:val="26"/>
          </w:rPr>
          <w:t>http://www.bls.gov/news.release/ecec.nr0.htm</w:t>
        </w:r>
      </w:hyperlink>
      <w:r>
        <w:rPr>
          <w:szCs w:val="26"/>
        </w:rPr>
        <w:t>.</w:t>
      </w:r>
    </w:p>
  </w:footnote>
  <w:footnote w:id="6">
    <w:p w14:paraId="6C77B0C7" w14:textId="77777777" w:rsidR="00E854DC" w:rsidRDefault="00E854DC" w:rsidP="00E854DC">
      <w:pPr>
        <w:pStyle w:val="FootnoteText"/>
      </w:pPr>
      <w:r>
        <w:rPr>
          <w:rStyle w:val="FootnoteReference"/>
        </w:rPr>
        <w:footnoteRef/>
      </w:r>
      <w:r>
        <w:t xml:space="preserve"> This figures is rounded from $946.63</w:t>
      </w:r>
    </w:p>
  </w:footnote>
  <w:footnote w:id="7">
    <w:p w14:paraId="46C5C112" w14:textId="77777777" w:rsidR="00E854DC" w:rsidRDefault="00E854DC" w:rsidP="00E854DC">
      <w:pPr>
        <w:pStyle w:val="FootnoteText"/>
      </w:pPr>
      <w:r w:rsidRPr="00746CCD">
        <w:rPr>
          <w:rStyle w:val="FootnoteReference"/>
        </w:rPr>
        <w:footnoteRef/>
      </w:r>
      <w:r>
        <w:t xml:space="preserve"> The average number of filings for the first three years is computed as follows.  The Commission expects approximately 80 safe harbor filings in the first year, which represents the number of waiver filings over a historical five-year period and thus the approximate number of existing entities which will be able to take advantage of the </w:t>
      </w:r>
      <w:r>
        <w:br/>
        <w:t xml:space="preserve">five- year safe harbor period as of the effective date of the Final Rule in this proceeding.  In the subsequent two years, the Commission expects approximately </w:t>
      </w:r>
      <w:r w:rsidRPr="001175C6">
        <w:t>18</w:t>
      </w:r>
      <w:r>
        <w:t xml:space="preserve"> safe harbor filings per year, which represents the historical number of OATT waiver filings (16), OATT filings (1), and petitions for declaratory order (1) per year.  Going forward, we would expect the entities complying with the Final Rule would avoid these filings and that the relevant entities would instead avail themselves of the safe harbor period.  The average of the three-year period then is (80 + 18 + 18) / 3 = 39.</w:t>
      </w:r>
    </w:p>
  </w:footnote>
  <w:footnote w:id="8">
    <w:p w14:paraId="2B8CB644" w14:textId="77777777" w:rsidR="00E854DC" w:rsidRDefault="00E854DC" w:rsidP="00E854DC">
      <w:pPr>
        <w:pStyle w:val="FootnoteText"/>
      </w:pPr>
      <w:r>
        <w:rPr>
          <w:rStyle w:val="FootnoteReference"/>
        </w:rPr>
        <w:footnoteRef/>
      </w:r>
      <w:r>
        <w:t xml:space="preserve"> This figure is rounded from $94.66</w:t>
      </w:r>
    </w:p>
  </w:footnote>
  <w:footnote w:id="9">
    <w:p w14:paraId="503929AA" w14:textId="77777777" w:rsidR="00E854DC" w:rsidRDefault="00E854DC" w:rsidP="00E854DC">
      <w:pPr>
        <w:pStyle w:val="FootnoteText"/>
      </w:pPr>
      <w:r>
        <w:rPr>
          <w:rStyle w:val="FootnoteReference"/>
        </w:rPr>
        <w:footnoteRef/>
      </w:r>
      <w:r>
        <w:t xml:space="preserve"> The average number of filings for the first three years is computed as follows.  The Commission expects approximately 40 section 210 applicability filings in the first year, which represents half the number of waiver filings over a historical five-year period.  The Commission does not know the precise number of existing ICIF owners that do not sell electric energy.  Of the 80 ICIF owner that have requested waiver in the past five years, the Commission reasons that some share of them do not sell electric energy, and we use 50 percent as an estimate.  While there is no five year limitation that applies to entities that may make this filing, we reason that this issue, while not new, has become more relevant in recent years because of an increase in generation owners retaining control of their ICIF; hence, we are not including in our estimate any estimate of the number of ICIF owners that do not sell electric energy that would have requested waiver prior to 2010.  In the subsequent two years, the Commission expects approximately nine section 210 applicability filings per year, which represents half the historical number of OATT waiver filings (16), OATT filings (1), and petitions for declaratory order (1) per year.  Going forward, we would expect the entities complying with the Final Rule would avoid these filings and that the relevant entities would instead avail themselves of the blanket ICIF waiver.  The average of the three-year period then is (40 + 9 + 9) / 3 = 19.</w:t>
      </w:r>
    </w:p>
  </w:footnote>
  <w:footnote w:id="10">
    <w:p w14:paraId="30F8DAE4" w14:textId="6CD619FA" w:rsidR="007F1DE4" w:rsidRPr="00D45637" w:rsidRDefault="007F1DE4" w:rsidP="00AC3997">
      <w:pPr>
        <w:pStyle w:val="FootnoteText"/>
      </w:pPr>
      <w:r>
        <w:rPr>
          <w:rStyle w:val="FootnoteReference"/>
        </w:rPr>
        <w:footnoteRef/>
      </w:r>
      <w:r>
        <w:t xml:space="preserve"> The cost calculation was based on square footage for recordkeeping requirements: 8,000 ft</w:t>
      </w:r>
      <w:r>
        <w:rPr>
          <w:vertAlign w:val="superscript"/>
        </w:rPr>
        <w:t>2</w:t>
      </w:r>
      <w:r>
        <w:t xml:space="preserve"> x $925/ft</w:t>
      </w:r>
      <w:r>
        <w:rPr>
          <w:vertAlign w:val="superscript"/>
        </w:rPr>
        <w:t>2</w:t>
      </w:r>
      <w:r>
        <w:t xml:space="preserve"> = $7,400,000.</w:t>
      </w:r>
      <w:r w:rsidR="007B701A">
        <w:t xml:space="preserve">  This cost is not asso</w:t>
      </w:r>
      <w:r w:rsidR="00484838">
        <w:t>ciated with the current final</w:t>
      </w:r>
      <w:r w:rsidR="007B701A">
        <w:t xml:space="preserve"> rule in RM14-11.</w:t>
      </w:r>
      <w:r w:rsidR="004C3D96">
        <w:t xml:space="preserve"> </w:t>
      </w:r>
      <w:r w:rsidR="00E871A7">
        <w:t>The estimate is the result of RM10-23-001</w:t>
      </w:r>
      <w:r w:rsidR="004C3D96">
        <w:t xml:space="preserve"> (ICR No. </w:t>
      </w:r>
      <w:r w:rsidR="004C3D96" w:rsidRPr="004C3D96">
        <w:t>201205-1902-005</w:t>
      </w:r>
      <w:r w:rsidR="004C3D96">
        <w:t>)</w:t>
      </w:r>
      <w:r w:rsidR="00E871A7">
        <w:t xml:space="preserve"> and it</w:t>
      </w:r>
      <w:r w:rsidR="00713AAC">
        <w:t xml:space="preserve"> is</w:t>
      </w:r>
      <w:r w:rsidR="00E871A7">
        <w:t xml:space="preserve"> not related </w:t>
      </w:r>
      <w:r w:rsidR="00C8192F">
        <w:t xml:space="preserve">to </w:t>
      </w:r>
      <w:r w:rsidR="00E871A7">
        <w:t>burden hours.</w:t>
      </w:r>
      <w:r w:rsidR="004C3D96">
        <w:t xml:space="preserve">  It is related to offsite storage of record-keeping requirements.</w:t>
      </w:r>
      <w:r w:rsidR="000066CE">
        <w:t xml:space="preserve">  This is an annual estimate of the fees related to offsite storage.</w:t>
      </w:r>
    </w:p>
  </w:footnote>
  <w:footnote w:id="11">
    <w:p w14:paraId="10F20B5D" w14:textId="42C1100D" w:rsidR="007F1DE4" w:rsidRPr="00BD4A05" w:rsidRDefault="007F1DE4" w:rsidP="00CE0ACF">
      <w:pPr>
        <w:pStyle w:val="FootnoteText"/>
      </w:pPr>
      <w:r w:rsidRPr="00BD4A05">
        <w:rPr>
          <w:rStyle w:val="FootnoteReference"/>
        </w:rPr>
        <w:footnoteRef/>
      </w:r>
      <w:r>
        <w:t xml:space="preserve"> </w:t>
      </w:r>
      <w:r w:rsidR="00A72FBE" w:rsidRPr="00A72FBE">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w:t>
      </w:r>
      <w:r w:rsidR="00426496">
        <w:t>iated rulemakings (not just Final Rule</w:t>
      </w:r>
      <w:r w:rsidR="00A72FBE" w:rsidRPr="00A72FBE">
        <w:t xml:space="preserve"> in Docket No. </w:t>
      </w:r>
      <w:proofErr w:type="gramStart"/>
      <w:r w:rsidR="00A72FBE" w:rsidRPr="00A72FBE">
        <w:t>RM14-1</w:t>
      </w:r>
      <w:r w:rsidR="007B701A">
        <w:t>1</w:t>
      </w:r>
      <w:r w:rsidR="00A72FBE" w:rsidRPr="00A72FBE">
        <w:t>), and other changes to the collection.</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49843" w14:textId="77777777" w:rsidR="007F1DE4" w:rsidRDefault="007F1DE4" w:rsidP="00DB596C">
    <w:pPr>
      <w:pStyle w:val="Header"/>
      <w:rPr>
        <w:rFonts w:ascii="Times New Roman" w:hAnsi="Times New Roman" w:cs="Times New Roman"/>
        <w:sz w:val="24"/>
        <w:szCs w:val="24"/>
      </w:rPr>
    </w:pPr>
    <w:r>
      <w:rPr>
        <w:rFonts w:ascii="Times New Roman" w:hAnsi="Times New Roman" w:cs="Times New Roman"/>
        <w:sz w:val="24"/>
        <w:szCs w:val="24"/>
      </w:rPr>
      <w:t xml:space="preserve">FERC-582 (OMB Control No.: 1902-0132) </w:t>
    </w:r>
  </w:p>
  <w:p w14:paraId="6A4FC1A2" w14:textId="77777777" w:rsidR="007F1DE4" w:rsidRDefault="007F1DE4">
    <w:pPr>
      <w:pStyle w:val="Header"/>
      <w:rPr>
        <w:rFonts w:ascii="Times New Roman" w:hAnsi="Times New Roman" w:cs="Times New Roman"/>
        <w:sz w:val="24"/>
        <w:szCs w:val="24"/>
      </w:rPr>
    </w:pPr>
    <w:r>
      <w:rPr>
        <w:rFonts w:ascii="Times New Roman" w:hAnsi="Times New Roman" w:cs="Times New Roman"/>
        <w:sz w:val="24"/>
        <w:szCs w:val="24"/>
      </w:rPr>
      <w:t xml:space="preserve">FERC-917 (OMB Control No.: 1902-0233) </w:t>
    </w:r>
  </w:p>
  <w:p w14:paraId="3E2E6DBC" w14:textId="7C2F01DD" w:rsidR="007B701A" w:rsidRDefault="00CB1A09">
    <w:pPr>
      <w:pStyle w:val="Header"/>
      <w:rPr>
        <w:rFonts w:ascii="Times New Roman" w:hAnsi="Times New Roman" w:cs="Times New Roman"/>
        <w:sz w:val="24"/>
        <w:szCs w:val="24"/>
      </w:rPr>
    </w:pP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modified by the Final Rule</w:t>
    </w:r>
    <w:r w:rsidR="007F1DE4">
      <w:rPr>
        <w:rFonts w:ascii="Times New Roman" w:hAnsi="Times New Roman" w:cs="Times New Roman"/>
        <w:sz w:val="24"/>
        <w:szCs w:val="24"/>
      </w:rPr>
      <w:t xml:space="preserve"> in Doc</w:t>
    </w:r>
    <w:r>
      <w:rPr>
        <w:rFonts w:ascii="Times New Roman" w:hAnsi="Times New Roman" w:cs="Times New Roman"/>
        <w:sz w:val="24"/>
        <w:szCs w:val="24"/>
      </w:rPr>
      <w:t>ket No. RM14-11-000 (issued 3/19/2015</w:t>
    </w:r>
    <w:r w:rsidR="007F1DE4">
      <w:rPr>
        <w:rFonts w:ascii="Times New Roman" w:hAnsi="Times New Roman" w:cs="Times New Roman"/>
        <w:sz w:val="24"/>
        <w:szCs w:val="24"/>
      </w:rPr>
      <w:t>)</w:t>
    </w:r>
  </w:p>
  <w:p w14:paraId="2329DC57" w14:textId="17F6A8C9" w:rsidR="0099692C" w:rsidRPr="00CB1A09" w:rsidRDefault="0099692C">
    <w:pPr>
      <w:pStyle w:val="Head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updated</w:t>
    </w:r>
    <w:proofErr w:type="gramEnd"/>
    <w:r>
      <w:rPr>
        <w:rFonts w:ascii="Times New Roman" w:hAnsi="Times New Roman" w:cs="Times New Roman"/>
        <w:sz w:val="24"/>
        <w:szCs w:val="24"/>
      </w:rPr>
      <w:t xml:space="preserve"> 6/30/2015]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025E"/>
    <w:multiLevelType w:val="hybridMultilevel"/>
    <w:tmpl w:val="FFF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41410E28"/>
    <w:multiLevelType w:val="hybridMultilevel"/>
    <w:tmpl w:val="9692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C6417"/>
    <w:multiLevelType w:val="hybridMultilevel"/>
    <w:tmpl w:val="B8B21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E04CE2"/>
    <w:multiLevelType w:val="hybridMultilevel"/>
    <w:tmpl w:val="375C2302"/>
    <w:lvl w:ilvl="0" w:tplc="845424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4E4DD3"/>
    <w:multiLevelType w:val="hybridMultilevel"/>
    <w:tmpl w:val="7A5A3B30"/>
    <w:lvl w:ilvl="0" w:tplc="FFFFFFFF">
      <w:start w:val="1"/>
      <w:numFmt w:val="decimal"/>
      <w:pStyle w:val="FERCparanumber"/>
      <w:lvlText w:val="%1."/>
      <w:lvlJc w:val="left"/>
      <w:pPr>
        <w:tabs>
          <w:tab w:val="num" w:pos="1440"/>
        </w:tabs>
        <w:ind w:left="720" w:firstLine="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7"/>
  </w:num>
  <w:num w:numId="5">
    <w:abstractNumId w:val="0"/>
  </w:num>
  <w:num w:numId="6">
    <w:abstractNumId w:val="6"/>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66CE"/>
    <w:rsid w:val="00011B32"/>
    <w:rsid w:val="00021DFC"/>
    <w:rsid w:val="0002242D"/>
    <w:rsid w:val="00035845"/>
    <w:rsid w:val="00074DC8"/>
    <w:rsid w:val="00083529"/>
    <w:rsid w:val="00085FB6"/>
    <w:rsid w:val="000B0C37"/>
    <w:rsid w:val="000B6F92"/>
    <w:rsid w:val="000C3658"/>
    <w:rsid w:val="000F2C1E"/>
    <w:rsid w:val="001007B0"/>
    <w:rsid w:val="00106E70"/>
    <w:rsid w:val="00111FB8"/>
    <w:rsid w:val="00120AA4"/>
    <w:rsid w:val="00143103"/>
    <w:rsid w:val="00166C01"/>
    <w:rsid w:val="00174598"/>
    <w:rsid w:val="00181727"/>
    <w:rsid w:val="00183F28"/>
    <w:rsid w:val="00185730"/>
    <w:rsid w:val="001A2BDD"/>
    <w:rsid w:val="001C6553"/>
    <w:rsid w:val="001C7724"/>
    <w:rsid w:val="001E3D20"/>
    <w:rsid w:val="00242333"/>
    <w:rsid w:val="00244406"/>
    <w:rsid w:val="00247D5A"/>
    <w:rsid w:val="0026674D"/>
    <w:rsid w:val="00270AEB"/>
    <w:rsid w:val="00284FF9"/>
    <w:rsid w:val="00291382"/>
    <w:rsid w:val="00294751"/>
    <w:rsid w:val="002B13E2"/>
    <w:rsid w:val="002D47D9"/>
    <w:rsid w:val="00306A6F"/>
    <w:rsid w:val="00327DFF"/>
    <w:rsid w:val="003374C1"/>
    <w:rsid w:val="003559FE"/>
    <w:rsid w:val="003573A1"/>
    <w:rsid w:val="00363551"/>
    <w:rsid w:val="00366CB8"/>
    <w:rsid w:val="00393D67"/>
    <w:rsid w:val="003A0FC2"/>
    <w:rsid w:val="003B5D69"/>
    <w:rsid w:val="003C0C1E"/>
    <w:rsid w:val="0041251C"/>
    <w:rsid w:val="00414F32"/>
    <w:rsid w:val="004237AB"/>
    <w:rsid w:val="00426496"/>
    <w:rsid w:val="00427D79"/>
    <w:rsid w:val="00437F37"/>
    <w:rsid w:val="00442B47"/>
    <w:rsid w:val="004611BD"/>
    <w:rsid w:val="00466BC1"/>
    <w:rsid w:val="0047331E"/>
    <w:rsid w:val="00475B1A"/>
    <w:rsid w:val="00476526"/>
    <w:rsid w:val="004817EC"/>
    <w:rsid w:val="00484838"/>
    <w:rsid w:val="004866C0"/>
    <w:rsid w:val="00487D59"/>
    <w:rsid w:val="00491966"/>
    <w:rsid w:val="004A7DE8"/>
    <w:rsid w:val="004C3D96"/>
    <w:rsid w:val="004C4C89"/>
    <w:rsid w:val="004C7EEA"/>
    <w:rsid w:val="004E3B1B"/>
    <w:rsid w:val="004F2F9A"/>
    <w:rsid w:val="004F6977"/>
    <w:rsid w:val="00522F69"/>
    <w:rsid w:val="00524FE0"/>
    <w:rsid w:val="0053150C"/>
    <w:rsid w:val="0053287C"/>
    <w:rsid w:val="00557B7A"/>
    <w:rsid w:val="00571C5E"/>
    <w:rsid w:val="00576390"/>
    <w:rsid w:val="00576C6E"/>
    <w:rsid w:val="0057700F"/>
    <w:rsid w:val="00584DD5"/>
    <w:rsid w:val="00590498"/>
    <w:rsid w:val="005A2792"/>
    <w:rsid w:val="005A2C6F"/>
    <w:rsid w:val="005B6C12"/>
    <w:rsid w:val="005B77CE"/>
    <w:rsid w:val="005F1C3C"/>
    <w:rsid w:val="00602AD1"/>
    <w:rsid w:val="006039B3"/>
    <w:rsid w:val="00615BC7"/>
    <w:rsid w:val="006166FA"/>
    <w:rsid w:val="0063302E"/>
    <w:rsid w:val="00652B0E"/>
    <w:rsid w:val="00664BC0"/>
    <w:rsid w:val="00685D44"/>
    <w:rsid w:val="00690136"/>
    <w:rsid w:val="006A0DFC"/>
    <w:rsid w:val="006C5490"/>
    <w:rsid w:val="00702D51"/>
    <w:rsid w:val="00713351"/>
    <w:rsid w:val="00713AAC"/>
    <w:rsid w:val="00724F61"/>
    <w:rsid w:val="00730B7F"/>
    <w:rsid w:val="0075784D"/>
    <w:rsid w:val="0076593E"/>
    <w:rsid w:val="00773AEB"/>
    <w:rsid w:val="007801DB"/>
    <w:rsid w:val="00785CD2"/>
    <w:rsid w:val="00787670"/>
    <w:rsid w:val="00787716"/>
    <w:rsid w:val="007929E3"/>
    <w:rsid w:val="007A2F92"/>
    <w:rsid w:val="007B701A"/>
    <w:rsid w:val="007C150D"/>
    <w:rsid w:val="007C73AA"/>
    <w:rsid w:val="007E1621"/>
    <w:rsid w:val="007E7C0F"/>
    <w:rsid w:val="007F1015"/>
    <w:rsid w:val="007F1DE4"/>
    <w:rsid w:val="007F1F0F"/>
    <w:rsid w:val="007F261A"/>
    <w:rsid w:val="007F57C9"/>
    <w:rsid w:val="008038EF"/>
    <w:rsid w:val="00816F15"/>
    <w:rsid w:val="0082369C"/>
    <w:rsid w:val="008443F3"/>
    <w:rsid w:val="0085568F"/>
    <w:rsid w:val="008619E1"/>
    <w:rsid w:val="00867AF1"/>
    <w:rsid w:val="00876F75"/>
    <w:rsid w:val="008A21A4"/>
    <w:rsid w:val="008B1F00"/>
    <w:rsid w:val="008B59AF"/>
    <w:rsid w:val="008B703B"/>
    <w:rsid w:val="008C0B89"/>
    <w:rsid w:val="008C17EA"/>
    <w:rsid w:val="008C288D"/>
    <w:rsid w:val="008C2D58"/>
    <w:rsid w:val="008C5283"/>
    <w:rsid w:val="008E70CD"/>
    <w:rsid w:val="008F4A0D"/>
    <w:rsid w:val="0090438A"/>
    <w:rsid w:val="00905C9A"/>
    <w:rsid w:val="00913A8B"/>
    <w:rsid w:val="0093427F"/>
    <w:rsid w:val="00934B37"/>
    <w:rsid w:val="009513E9"/>
    <w:rsid w:val="00955E4E"/>
    <w:rsid w:val="00970FE4"/>
    <w:rsid w:val="00996108"/>
    <w:rsid w:val="0099692C"/>
    <w:rsid w:val="009B4D01"/>
    <w:rsid w:val="009C0BA0"/>
    <w:rsid w:val="009E1190"/>
    <w:rsid w:val="009F2946"/>
    <w:rsid w:val="00A0495C"/>
    <w:rsid w:val="00A26F9A"/>
    <w:rsid w:val="00A276F5"/>
    <w:rsid w:val="00A47294"/>
    <w:rsid w:val="00A52089"/>
    <w:rsid w:val="00A57031"/>
    <w:rsid w:val="00A628FB"/>
    <w:rsid w:val="00A65F32"/>
    <w:rsid w:val="00A72E7B"/>
    <w:rsid w:val="00A72FBE"/>
    <w:rsid w:val="00A73E17"/>
    <w:rsid w:val="00A9211F"/>
    <w:rsid w:val="00A96B65"/>
    <w:rsid w:val="00A9704D"/>
    <w:rsid w:val="00AA6BC1"/>
    <w:rsid w:val="00AC17C5"/>
    <w:rsid w:val="00AC3997"/>
    <w:rsid w:val="00AD3DE5"/>
    <w:rsid w:val="00AF496D"/>
    <w:rsid w:val="00B03585"/>
    <w:rsid w:val="00B0473A"/>
    <w:rsid w:val="00B13770"/>
    <w:rsid w:val="00B4148B"/>
    <w:rsid w:val="00B50450"/>
    <w:rsid w:val="00B81C6C"/>
    <w:rsid w:val="00BA1C7D"/>
    <w:rsid w:val="00BA7C56"/>
    <w:rsid w:val="00BB1466"/>
    <w:rsid w:val="00BC2D53"/>
    <w:rsid w:val="00BD3FCB"/>
    <w:rsid w:val="00BD4A05"/>
    <w:rsid w:val="00BE5048"/>
    <w:rsid w:val="00C01698"/>
    <w:rsid w:val="00C20553"/>
    <w:rsid w:val="00C303E3"/>
    <w:rsid w:val="00C32B18"/>
    <w:rsid w:val="00C3607B"/>
    <w:rsid w:val="00C42080"/>
    <w:rsid w:val="00C510DD"/>
    <w:rsid w:val="00C62B86"/>
    <w:rsid w:val="00C70921"/>
    <w:rsid w:val="00C8192F"/>
    <w:rsid w:val="00C8575E"/>
    <w:rsid w:val="00C85AF9"/>
    <w:rsid w:val="00CA1F17"/>
    <w:rsid w:val="00CA495F"/>
    <w:rsid w:val="00CA59C3"/>
    <w:rsid w:val="00CB1A09"/>
    <w:rsid w:val="00CB4194"/>
    <w:rsid w:val="00CB7F1C"/>
    <w:rsid w:val="00CD3816"/>
    <w:rsid w:val="00CD7608"/>
    <w:rsid w:val="00CE0ACF"/>
    <w:rsid w:val="00CF1EFD"/>
    <w:rsid w:val="00CF7005"/>
    <w:rsid w:val="00D04F85"/>
    <w:rsid w:val="00D200A9"/>
    <w:rsid w:val="00D4172C"/>
    <w:rsid w:val="00D45637"/>
    <w:rsid w:val="00D567C1"/>
    <w:rsid w:val="00D80FBD"/>
    <w:rsid w:val="00DA14A7"/>
    <w:rsid w:val="00DB596C"/>
    <w:rsid w:val="00DC4E36"/>
    <w:rsid w:val="00DD0231"/>
    <w:rsid w:val="00DF5061"/>
    <w:rsid w:val="00E11CA6"/>
    <w:rsid w:val="00E14565"/>
    <w:rsid w:val="00E14C03"/>
    <w:rsid w:val="00E15721"/>
    <w:rsid w:val="00E20612"/>
    <w:rsid w:val="00E35735"/>
    <w:rsid w:val="00E441A0"/>
    <w:rsid w:val="00E531F6"/>
    <w:rsid w:val="00E636D7"/>
    <w:rsid w:val="00E67AF0"/>
    <w:rsid w:val="00E854DC"/>
    <w:rsid w:val="00E86C7F"/>
    <w:rsid w:val="00E871A7"/>
    <w:rsid w:val="00E87A4F"/>
    <w:rsid w:val="00E97EA9"/>
    <w:rsid w:val="00EA53E8"/>
    <w:rsid w:val="00EB3E6F"/>
    <w:rsid w:val="00EB55CF"/>
    <w:rsid w:val="00EC19DF"/>
    <w:rsid w:val="00ED5560"/>
    <w:rsid w:val="00ED6E78"/>
    <w:rsid w:val="00EF4108"/>
    <w:rsid w:val="00F03087"/>
    <w:rsid w:val="00F12DC2"/>
    <w:rsid w:val="00F152DF"/>
    <w:rsid w:val="00F438A9"/>
    <w:rsid w:val="00F571E6"/>
    <w:rsid w:val="00F60281"/>
    <w:rsid w:val="00F63DF4"/>
    <w:rsid w:val="00FD66F1"/>
    <w:rsid w:val="00FE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F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uiPriority w:val="99"/>
    <w:rsid w:val="00C62B86"/>
    <w:rPr>
      <w:color w:val="0000FF"/>
      <w:u w:val="single"/>
    </w:rPr>
  </w:style>
  <w:style w:type="character" w:styleId="FollowedHyperlink">
    <w:name w:val="FollowedHyperlink"/>
    <w:basedOn w:val="DefaultParagraphFont"/>
    <w:uiPriority w:val="99"/>
    <w:semiHidden/>
    <w:unhideWhenUsed/>
    <w:rsid w:val="00BE5048"/>
    <w:rPr>
      <w:color w:val="800080" w:themeColor="followedHyperlink"/>
      <w:u w:val="single"/>
    </w:rPr>
  </w:style>
  <w:style w:type="paragraph" w:customStyle="1" w:styleId="FERCparanumber">
    <w:name w:val="FERC paranumber"/>
    <w:basedOn w:val="Normal"/>
    <w:link w:val="FERCparanumberChar"/>
    <w:rsid w:val="0053150C"/>
    <w:pPr>
      <w:numPr>
        <w:numId w:val="9"/>
      </w:numPr>
      <w:autoSpaceDE w:val="0"/>
      <w:autoSpaceDN w:val="0"/>
      <w:adjustRightInd w:val="0"/>
      <w:spacing w:after="0" w:line="480" w:lineRule="auto"/>
    </w:pPr>
    <w:rPr>
      <w:rFonts w:ascii="Times New Roman" w:eastAsia="Times New Roman" w:hAnsi="Times New Roman" w:cs="Times New Roman"/>
      <w:sz w:val="26"/>
      <w:szCs w:val="24"/>
      <w:lang w:val="x-none" w:eastAsia="x-none"/>
    </w:rPr>
  </w:style>
  <w:style w:type="character" w:customStyle="1" w:styleId="FERCparanumberChar">
    <w:name w:val="FERC paranumber Char"/>
    <w:link w:val="FERCparanumber"/>
    <w:rsid w:val="0053150C"/>
    <w:rPr>
      <w:rFonts w:ascii="Times New Roman" w:eastAsia="Times New Roman" w:hAnsi="Times New Roman" w:cs="Times New Roman"/>
      <w:sz w:val="26"/>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uiPriority w:val="99"/>
    <w:rsid w:val="00C62B86"/>
    <w:rPr>
      <w:color w:val="0000FF"/>
      <w:u w:val="single"/>
    </w:rPr>
  </w:style>
  <w:style w:type="character" w:styleId="FollowedHyperlink">
    <w:name w:val="FollowedHyperlink"/>
    <w:basedOn w:val="DefaultParagraphFont"/>
    <w:uiPriority w:val="99"/>
    <w:semiHidden/>
    <w:unhideWhenUsed/>
    <w:rsid w:val="00BE5048"/>
    <w:rPr>
      <w:color w:val="800080" w:themeColor="followedHyperlink"/>
      <w:u w:val="single"/>
    </w:rPr>
  </w:style>
  <w:style w:type="paragraph" w:customStyle="1" w:styleId="FERCparanumber">
    <w:name w:val="FERC paranumber"/>
    <w:basedOn w:val="Normal"/>
    <w:link w:val="FERCparanumberChar"/>
    <w:rsid w:val="0053150C"/>
    <w:pPr>
      <w:numPr>
        <w:numId w:val="9"/>
      </w:numPr>
      <w:autoSpaceDE w:val="0"/>
      <w:autoSpaceDN w:val="0"/>
      <w:adjustRightInd w:val="0"/>
      <w:spacing w:after="0" w:line="480" w:lineRule="auto"/>
    </w:pPr>
    <w:rPr>
      <w:rFonts w:ascii="Times New Roman" w:eastAsia="Times New Roman" w:hAnsi="Times New Roman" w:cs="Times New Roman"/>
      <w:sz w:val="26"/>
      <w:szCs w:val="24"/>
      <w:lang w:val="x-none" w:eastAsia="x-none"/>
    </w:rPr>
  </w:style>
  <w:style w:type="character" w:customStyle="1" w:styleId="FERCparanumberChar">
    <w:name w:val="FERC paranumber Char"/>
    <w:link w:val="FERCparanumber"/>
    <w:rsid w:val="0053150C"/>
    <w:rPr>
      <w:rFonts w:ascii="Times New Roman" w:eastAsia="Times New Roman"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e xmlns="d6eefc7d-9817-4fa6-84d5-3bc009be21b8">2015-06-30T00:00:00-04:00</Date>
    <Renewal_x0020_Document_x0020_Type xmlns="d6eefc7d-9817-4fa6-84d5-3bc009be21b8">None</Renewal_x0020_Document_x0020_Type>
    <Rulemaking_x0020_Document_x0020_Type xmlns="d6eefc7d-9817-4fa6-84d5-3bc009be21b8">Supporting Information</Rulemaking_x0020_Document_x0020_Type>
    <_x0033__x002e__x0020_Docket_x0020_Number xmlns="d6eefc7d-9817-4fa6-84d5-3bc009be21b8" xsi:nil="true"/>
    <_x0031__x002e__x0020_Collection_x0020_Number xmlns="d6eefc7d-9817-4fa6-84d5-3bc009be21b8">917</_x0031__x002e__x0020_Collection_x0020_Number>
    <Status xmlns="d6eefc7d-9817-4fa6-84d5-3bc009be21b8">Final</Status>
    <_x0032__x002e__x0020_Docket_x0020_Number xmlns="d6eefc7d-9817-4fa6-84d5-3bc009be21b8" xsi:nil="true"/>
    <_x0032__x002e__x0020_Collection_x0020_Number xmlns="d6eefc7d-9817-4fa6-84d5-3bc009be21b8">582</_x0032__x002e__x0020_Collection_x0020_Number>
    <_x0031__x002e__x0020_Docket_x0020_Number xmlns="d6eefc7d-9817-4fa6-84d5-3bc009be21b8">RM14-11</_x0031__x002e__x0020_Docket_x0020_Number>
    <_x0033__x002e__x0020_Collection_x0020_Number xmlns="d6eefc7d-9817-4fa6-84d5-3bc009be2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FC9EB-0948-4996-9581-F0C2FEEC995B}">
  <ds:schemaRefs>
    <ds:schemaRef ds:uri="http://schemas.microsoft.com/office/2006/metadata/customXsn"/>
  </ds:schemaRefs>
</ds:datastoreItem>
</file>

<file path=customXml/itemProps2.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3.xml><?xml version="1.0" encoding="utf-8"?>
<ds:datastoreItem xmlns:ds="http://schemas.openxmlformats.org/officeDocument/2006/customXml" ds:itemID="{DC3A4479-0543-455B-A152-110FB41B2830}">
  <ds:schemaRefs>
    <ds:schemaRef ds:uri="http://schemas.microsoft.com/office/2006/metadata/properties"/>
    <ds:schemaRef ds:uri="d6eefc7d-9817-4fa6-84d5-3bc009be21b8"/>
  </ds:schemaRefs>
</ds:datastoreItem>
</file>

<file path=customXml/itemProps4.xml><?xml version="1.0" encoding="utf-8"?>
<ds:datastoreItem xmlns:ds="http://schemas.openxmlformats.org/officeDocument/2006/customXml" ds:itemID="{1C192E5D-732F-4995-8EE0-A42A3DDFF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EC9E20-893D-49C8-BF8F-7F51F7D3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RM14-11 supporting statement</vt:lpstr>
    </vt:vector>
  </TitlesOfParts>
  <Company>FERC</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RM14-11 supporting statement</dc:title>
  <dc:creator>ferc</dc:creator>
  <cp:lastModifiedBy>Ellen Brown</cp:lastModifiedBy>
  <cp:revision>2</cp:revision>
  <cp:lastPrinted>2015-06-23T18:41:00Z</cp:lastPrinted>
  <dcterms:created xsi:type="dcterms:W3CDTF">2015-06-30T20:18:00Z</dcterms:created>
  <dcterms:modified xsi:type="dcterms:W3CDTF">2015-06-30T20:18:00Z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