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40" w:rsidRPr="003B3A17" w:rsidRDefault="00CC3940" w:rsidP="003B3A17">
      <w:pPr>
        <w:spacing w:after="0" w:line="240" w:lineRule="auto"/>
        <w:jc w:val="center"/>
        <w:rPr>
          <w:b/>
          <w:sz w:val="28"/>
          <w:szCs w:val="28"/>
        </w:rPr>
      </w:pPr>
      <w:bookmarkStart w:id="0" w:name="_GoBack"/>
      <w:bookmarkEnd w:id="0"/>
      <w:r w:rsidRPr="003B3A17">
        <w:rPr>
          <w:b/>
          <w:sz w:val="28"/>
          <w:szCs w:val="28"/>
        </w:rPr>
        <w:t>Business Knowledge/Perceptions of EIA Efforts to Protect Confidentiality</w:t>
      </w:r>
    </w:p>
    <w:p w:rsidR="00012F7A" w:rsidRDefault="00012F7A" w:rsidP="00012F7A">
      <w:pPr>
        <w:pStyle w:val="Level1"/>
        <w:tabs>
          <w:tab w:val="left" w:pos="360"/>
        </w:tabs>
        <w:ind w:left="0"/>
        <w:rPr>
          <w:b/>
          <w:bCs/>
        </w:rPr>
      </w:pPr>
    </w:p>
    <w:p w:rsidR="00C551B6" w:rsidRPr="00012F7A" w:rsidRDefault="00C551B6" w:rsidP="00C551B6">
      <w:pPr>
        <w:pStyle w:val="Level1"/>
        <w:tabs>
          <w:tab w:val="left" w:pos="360"/>
        </w:tabs>
        <w:ind w:left="0"/>
        <w:rPr>
          <w:rFonts w:asciiTheme="minorHAnsi" w:hAnsiTheme="minorHAnsi"/>
          <w:b/>
          <w:bCs/>
          <w:sz w:val="22"/>
          <w:szCs w:val="22"/>
        </w:rPr>
      </w:pPr>
      <w:r w:rsidRPr="00012F7A">
        <w:rPr>
          <w:rFonts w:asciiTheme="minorHAnsi" w:hAnsiTheme="minorHAnsi"/>
          <w:b/>
          <w:bCs/>
          <w:sz w:val="22"/>
          <w:szCs w:val="22"/>
        </w:rPr>
        <w:t>Purpose of the Interview</w:t>
      </w:r>
    </w:p>
    <w:p w:rsidR="00C551B6" w:rsidRPr="00012F7A" w:rsidRDefault="00C551B6" w:rsidP="00C551B6">
      <w:pPr>
        <w:pStyle w:val="Level1"/>
        <w:tabs>
          <w:tab w:val="left" w:pos="360"/>
        </w:tabs>
        <w:ind w:left="0"/>
        <w:rPr>
          <w:rFonts w:asciiTheme="minorHAnsi" w:hAnsiTheme="minorHAnsi"/>
          <w:b/>
          <w:bCs/>
          <w:sz w:val="22"/>
          <w:szCs w:val="22"/>
        </w:rPr>
      </w:pPr>
    </w:p>
    <w:p w:rsidR="00C551B6" w:rsidRPr="00012F7A" w:rsidRDefault="00C551B6" w:rsidP="00C551B6">
      <w:pPr>
        <w:spacing w:after="0" w:line="240" w:lineRule="auto"/>
        <w:rPr>
          <w:rFonts w:cs="Times New Roman"/>
        </w:rPr>
      </w:pPr>
      <w:r w:rsidRPr="00012F7A">
        <w:rPr>
          <w:rFonts w:cs="Times New Roman"/>
        </w:rPr>
        <w:t>Let me start by explaining what we will be doing today.</w:t>
      </w:r>
    </w:p>
    <w:p w:rsidR="00C551B6" w:rsidRPr="00012F7A" w:rsidRDefault="00C551B6" w:rsidP="00C551B6">
      <w:pPr>
        <w:spacing w:after="0" w:line="240" w:lineRule="auto"/>
        <w:rPr>
          <w:rFonts w:cs="Times New Roman"/>
          <w:b/>
        </w:rPr>
      </w:pPr>
    </w:p>
    <w:p w:rsidR="00C551B6" w:rsidRPr="00012F7A" w:rsidRDefault="00C551B6" w:rsidP="00C551B6">
      <w:pPr>
        <w:pStyle w:val="ListParagraph"/>
        <w:numPr>
          <w:ilvl w:val="0"/>
          <w:numId w:val="31"/>
        </w:numPr>
        <w:spacing w:after="0" w:line="240" w:lineRule="auto"/>
        <w:rPr>
          <w:rFonts w:cs="Times New Roman"/>
        </w:rPr>
      </w:pPr>
      <w:r w:rsidRPr="00012F7A">
        <w:rPr>
          <w:rFonts w:cs="Times New Roman"/>
        </w:rPr>
        <w:t>The U.S. Energy Information Administration (EIA) is part of the U.S. Department of Energy. It is responsible for collecting, analyzing and disseminating energy information to the public, policy makers, and markets to better understand the interaction of energy with the economy and the environment.</w:t>
      </w:r>
    </w:p>
    <w:p w:rsidR="00C551B6" w:rsidRPr="00012F7A" w:rsidRDefault="00C551B6" w:rsidP="00C551B6">
      <w:pPr>
        <w:pStyle w:val="ListParagraph"/>
        <w:spacing w:after="0" w:line="240" w:lineRule="auto"/>
        <w:rPr>
          <w:rFonts w:cs="Times New Roman"/>
        </w:rPr>
      </w:pPr>
    </w:p>
    <w:p w:rsidR="00C551B6" w:rsidRPr="00012F7A" w:rsidRDefault="00C551B6" w:rsidP="00C551B6">
      <w:pPr>
        <w:pStyle w:val="ListParagraph"/>
        <w:numPr>
          <w:ilvl w:val="0"/>
          <w:numId w:val="31"/>
        </w:numPr>
        <w:spacing w:after="0" w:line="240" w:lineRule="auto"/>
        <w:rPr>
          <w:rFonts w:cs="Times New Roman"/>
        </w:rPr>
      </w:pPr>
      <w:r w:rsidRPr="00012F7A">
        <w:rPr>
          <w:rFonts w:cs="Times New Roman"/>
        </w:rPr>
        <w:t>Today, we are researching the perceptions that energy companies’ have regarding the effectiveness of EIA’s data confidentiality policies.</w:t>
      </w:r>
    </w:p>
    <w:p w:rsidR="00C551B6" w:rsidRPr="00012F7A" w:rsidRDefault="00C551B6" w:rsidP="00C551B6">
      <w:pPr>
        <w:spacing w:after="0" w:line="240" w:lineRule="auto"/>
        <w:rPr>
          <w:rFonts w:cs="Times New Roman"/>
        </w:rPr>
      </w:pPr>
    </w:p>
    <w:p w:rsidR="00C551B6" w:rsidRPr="00012F7A" w:rsidRDefault="00C551B6" w:rsidP="00C551B6">
      <w:pPr>
        <w:pStyle w:val="ListParagraph"/>
        <w:numPr>
          <w:ilvl w:val="0"/>
          <w:numId w:val="31"/>
        </w:numPr>
        <w:spacing w:after="0" w:line="240" w:lineRule="auto"/>
        <w:rPr>
          <w:rFonts w:cs="Times New Roman"/>
        </w:rPr>
      </w:pPr>
      <w:r w:rsidRPr="00012F7A">
        <w:rPr>
          <w:rFonts w:cs="Times New Roman"/>
        </w:rPr>
        <w:t>We are speaking to you because, as a survey respondent, you have insight into how responding companies perceive EIA’s data confidentiality policies.</w:t>
      </w:r>
      <w:r w:rsidR="00F66BC3">
        <w:rPr>
          <w:rFonts w:cs="Times New Roman"/>
        </w:rPr>
        <w:t xml:space="preserve">  Your responses will help EIA develop new or modify existing confidentiality policies that support our statistical data collections and build and maintain a strong trust relationship with our data suppliers. </w:t>
      </w:r>
    </w:p>
    <w:p w:rsidR="00C551B6" w:rsidRPr="00012F7A" w:rsidRDefault="00C551B6" w:rsidP="00C551B6">
      <w:pPr>
        <w:spacing w:after="0" w:line="240" w:lineRule="auto"/>
        <w:rPr>
          <w:rFonts w:cs="Times New Roman"/>
        </w:rPr>
      </w:pPr>
    </w:p>
    <w:p w:rsidR="00C551B6" w:rsidRPr="00012F7A" w:rsidRDefault="00C551B6" w:rsidP="00C551B6">
      <w:pPr>
        <w:pStyle w:val="ListParagraph"/>
        <w:numPr>
          <w:ilvl w:val="0"/>
          <w:numId w:val="31"/>
        </w:numPr>
        <w:spacing w:after="0" w:line="240" w:lineRule="auto"/>
        <w:rPr>
          <w:rFonts w:cs="Times New Roman"/>
        </w:rPr>
      </w:pPr>
      <w:r w:rsidRPr="00012F7A">
        <w:rPr>
          <w:rFonts w:cs="Times New Roman"/>
        </w:rPr>
        <w:t xml:space="preserve">There are no right or wrong answers to the questions I will be asking. I’d just like to hear what you think. Also, if something doesn’t make sense to you, or you have any questions, please ask. </w:t>
      </w:r>
    </w:p>
    <w:p w:rsidR="00C551B6" w:rsidRPr="00012F7A" w:rsidRDefault="00C551B6" w:rsidP="00C551B6">
      <w:pPr>
        <w:spacing w:after="0" w:line="240" w:lineRule="auto"/>
        <w:rPr>
          <w:rFonts w:cs="Times New Roman"/>
        </w:rPr>
      </w:pPr>
    </w:p>
    <w:p w:rsidR="00C551B6" w:rsidRPr="00012F7A" w:rsidRDefault="00C551B6" w:rsidP="00C551B6">
      <w:pPr>
        <w:pStyle w:val="ListParagraph"/>
        <w:numPr>
          <w:ilvl w:val="0"/>
          <w:numId w:val="31"/>
        </w:numPr>
        <w:spacing w:after="0" w:line="240" w:lineRule="auto"/>
        <w:rPr>
          <w:rFonts w:cs="Times New Roman"/>
        </w:rPr>
      </w:pPr>
      <w:r w:rsidRPr="00012F7A">
        <w:rPr>
          <w:rFonts w:cs="Times New Roman"/>
        </w:rPr>
        <w:t>Before we get started, I'd like to audio record this session so I don't have to later rely on my memory? This session is confidential, which means only persons directly related to this project can listen to the audio files, and the recordings are erased once our report is written. The report will combine information from multiple interviews and sessions and will not contain information that personally identifies you or the facility</w:t>
      </w:r>
      <w:r w:rsidR="003C7C39">
        <w:rPr>
          <w:rFonts w:cs="Times New Roman"/>
        </w:rPr>
        <w:t xml:space="preserve"> where</w:t>
      </w:r>
      <w:r w:rsidRPr="00012F7A">
        <w:rPr>
          <w:rFonts w:cs="Times New Roman"/>
        </w:rPr>
        <w:t xml:space="preserve"> you work. </w:t>
      </w:r>
    </w:p>
    <w:p w:rsidR="00C551B6" w:rsidRPr="00012F7A" w:rsidRDefault="00C551B6" w:rsidP="00C551B6">
      <w:pPr>
        <w:spacing w:after="0" w:line="240" w:lineRule="auto"/>
        <w:rPr>
          <w:rFonts w:cs="Times New Roman"/>
        </w:rPr>
      </w:pPr>
    </w:p>
    <w:p w:rsidR="00C551B6" w:rsidRPr="00012F7A" w:rsidRDefault="00C551B6" w:rsidP="00C551B6">
      <w:pPr>
        <w:pStyle w:val="ListParagraph"/>
        <w:numPr>
          <w:ilvl w:val="0"/>
          <w:numId w:val="31"/>
        </w:numPr>
        <w:spacing w:after="0" w:line="240" w:lineRule="auto"/>
        <w:rPr>
          <w:rFonts w:cs="Times New Roman"/>
        </w:rPr>
      </w:pPr>
      <w:r w:rsidRPr="00012F7A">
        <w:rPr>
          <w:rFonts w:cs="Times New Roman"/>
        </w:rPr>
        <w:t>Our discussion will last less than an hour. To ensure that I cover all the questions I have in this guide, I may have to interrupt our discussion from time to time and move us along.</w:t>
      </w:r>
    </w:p>
    <w:p w:rsidR="00C551B6" w:rsidRPr="00012F7A" w:rsidRDefault="00C551B6" w:rsidP="00C551B6">
      <w:pPr>
        <w:spacing w:after="0" w:line="240" w:lineRule="auto"/>
        <w:rPr>
          <w:rFonts w:cs="Times New Roman"/>
        </w:rPr>
      </w:pPr>
    </w:p>
    <w:p w:rsidR="00C551B6" w:rsidRPr="00012F7A" w:rsidRDefault="00C551B6" w:rsidP="00C551B6">
      <w:pPr>
        <w:pStyle w:val="ListParagraph"/>
        <w:numPr>
          <w:ilvl w:val="0"/>
          <w:numId w:val="31"/>
        </w:numPr>
        <w:spacing w:after="0" w:line="240" w:lineRule="auto"/>
        <w:rPr>
          <w:rFonts w:cs="Times New Roman"/>
        </w:rPr>
      </w:pPr>
      <w:r w:rsidRPr="00012F7A">
        <w:rPr>
          <w:rFonts w:cs="Times New Roman"/>
        </w:rPr>
        <w:t>Do you have any questions before we get started?</w:t>
      </w:r>
    </w:p>
    <w:p w:rsidR="00C551B6" w:rsidRDefault="00C551B6" w:rsidP="00C551B6">
      <w:pPr>
        <w:spacing w:after="0" w:line="240" w:lineRule="auto"/>
      </w:pPr>
    </w:p>
    <w:p w:rsidR="00C551B6" w:rsidRDefault="00C551B6" w:rsidP="00CC3940">
      <w:pPr>
        <w:spacing w:after="0" w:line="240" w:lineRule="auto"/>
        <w:rPr>
          <w:b/>
        </w:rPr>
      </w:pPr>
    </w:p>
    <w:p w:rsidR="00CC3940" w:rsidRPr="00CC3940" w:rsidRDefault="00CC3940" w:rsidP="00CC3940">
      <w:pPr>
        <w:spacing w:after="0" w:line="240" w:lineRule="auto"/>
        <w:rPr>
          <w:b/>
        </w:rPr>
      </w:pPr>
      <w:r w:rsidRPr="00CC3940">
        <w:rPr>
          <w:b/>
        </w:rPr>
        <w:t>Potential Protocol Questions</w:t>
      </w:r>
    </w:p>
    <w:p w:rsidR="00CC3940" w:rsidRDefault="00CC3940" w:rsidP="00CC3940">
      <w:pPr>
        <w:spacing w:after="0" w:line="240" w:lineRule="auto"/>
      </w:pPr>
    </w:p>
    <w:p w:rsidR="00CC3940" w:rsidRDefault="004E7F23" w:rsidP="00CC3940">
      <w:pPr>
        <w:pStyle w:val="ListParagraph"/>
        <w:numPr>
          <w:ilvl w:val="0"/>
          <w:numId w:val="1"/>
        </w:numPr>
      </w:pPr>
      <w:r>
        <w:t>In general, how much</w:t>
      </w:r>
      <w:r w:rsidR="00CC3940">
        <w:t xml:space="preserve"> do you trust the Federal Government when it comes to the privacy and confidentiality of your information?</w:t>
      </w:r>
    </w:p>
    <w:p w:rsidR="00CC3940" w:rsidRDefault="00CC3940" w:rsidP="00CC3940">
      <w:pPr>
        <w:pStyle w:val="ListParagraph"/>
        <w:numPr>
          <w:ilvl w:val="1"/>
          <w:numId w:val="1"/>
        </w:numPr>
      </w:pPr>
      <w:r>
        <w:t xml:space="preserve">What, if any, </w:t>
      </w:r>
      <w:r w:rsidR="002E07D3">
        <w:t>d</w:t>
      </w:r>
      <w:r>
        <w:t>epartments or agencies in particular, other than EIA,</w:t>
      </w:r>
      <w:r w:rsidR="004E7F23">
        <w:t xml:space="preserve"> do you trust?</w:t>
      </w:r>
    </w:p>
    <w:p w:rsidR="004E7F23" w:rsidRDefault="004E7F23" w:rsidP="004E7F23">
      <w:pPr>
        <w:pStyle w:val="ListParagraph"/>
        <w:numPr>
          <w:ilvl w:val="1"/>
          <w:numId w:val="1"/>
        </w:numPr>
      </w:pPr>
      <w:r>
        <w:t>Are there any that you distrust?</w:t>
      </w:r>
    </w:p>
    <w:p w:rsidR="00CC3940" w:rsidRDefault="00CC3940" w:rsidP="00CC3940">
      <w:pPr>
        <w:pStyle w:val="ListParagraph"/>
        <w:numPr>
          <w:ilvl w:val="0"/>
          <w:numId w:val="1"/>
        </w:numPr>
      </w:pPr>
      <w:r>
        <w:t xml:space="preserve">The term “confidentiality” means different things in different contexts. </w:t>
      </w:r>
    </w:p>
    <w:p w:rsidR="004E7F23" w:rsidRDefault="004E7F23" w:rsidP="004E7F23">
      <w:pPr>
        <w:pStyle w:val="ListParagraph"/>
        <w:numPr>
          <w:ilvl w:val="1"/>
          <w:numId w:val="1"/>
        </w:numPr>
      </w:pPr>
      <w:r>
        <w:t xml:space="preserve">Can you tell me in your own words what “confidentiality” means to you? </w:t>
      </w:r>
    </w:p>
    <w:p w:rsidR="004E7F23" w:rsidRDefault="004E7F23" w:rsidP="004E7F23">
      <w:pPr>
        <w:pStyle w:val="ListParagraph"/>
        <w:numPr>
          <w:ilvl w:val="1"/>
          <w:numId w:val="1"/>
        </w:numPr>
      </w:pPr>
      <w:r>
        <w:t xml:space="preserve">What kinds of information about your business would you like to be kept “confidential”? </w:t>
      </w:r>
    </w:p>
    <w:p w:rsidR="005268F5" w:rsidRDefault="005268F5" w:rsidP="005268F5">
      <w:pPr>
        <w:pStyle w:val="ListParagraph"/>
        <w:numPr>
          <w:ilvl w:val="0"/>
          <w:numId w:val="1"/>
        </w:numPr>
      </w:pPr>
      <w:r>
        <w:t>How well do you believe EIA protects the confidentiality</w:t>
      </w:r>
      <w:r w:rsidRPr="008455E2">
        <w:t xml:space="preserve"> </w:t>
      </w:r>
      <w:r>
        <w:t>of the information you report, including:</w:t>
      </w:r>
    </w:p>
    <w:p w:rsidR="005268F5" w:rsidRDefault="005268F5" w:rsidP="005268F5">
      <w:pPr>
        <w:pStyle w:val="ListParagraph"/>
        <w:numPr>
          <w:ilvl w:val="1"/>
          <w:numId w:val="1"/>
        </w:numPr>
      </w:pPr>
      <w:r>
        <w:t>Hard files submitted by mail or fax and stored in offices?</w:t>
      </w:r>
    </w:p>
    <w:p w:rsidR="00944CF3" w:rsidRDefault="005268F5" w:rsidP="00811EA1">
      <w:pPr>
        <w:pStyle w:val="ListParagraph"/>
        <w:numPr>
          <w:ilvl w:val="1"/>
          <w:numId w:val="1"/>
        </w:numPr>
      </w:pPr>
      <w:r>
        <w:lastRenderedPageBreak/>
        <w:t>Digital files submitted by email or online portal and stored on servers?</w:t>
      </w:r>
      <w:r w:rsidR="00944CF3">
        <w:t xml:space="preserve"> </w:t>
      </w:r>
    </w:p>
    <w:p w:rsidR="005268F5" w:rsidRDefault="00944CF3" w:rsidP="00811EA1">
      <w:pPr>
        <w:pStyle w:val="ListParagraph"/>
        <w:numPr>
          <w:ilvl w:val="2"/>
          <w:numId w:val="1"/>
        </w:numPr>
      </w:pPr>
      <w:r w:rsidRPr="00944CF3">
        <w:t xml:space="preserve">Are you satisfied with the data security that EIA applies to protect your data from unauthorized access by data intruders and hackers?  </w:t>
      </w:r>
    </w:p>
    <w:p w:rsidR="00944CF3" w:rsidRDefault="00944CF3" w:rsidP="00944CF3">
      <w:pPr>
        <w:pStyle w:val="ListParagraph"/>
        <w:numPr>
          <w:ilvl w:val="0"/>
          <w:numId w:val="1"/>
        </w:numPr>
      </w:pPr>
      <w:r>
        <w:t>How satisfied are you with EIA’s efforts to protect your data from</w:t>
      </w:r>
      <w:r w:rsidR="00811EA1">
        <w:t xml:space="preserve"> being</w:t>
      </w:r>
      <w:r>
        <w:t xml:space="preserve"> publicly </w:t>
      </w:r>
      <w:r w:rsidR="00811EA1">
        <w:t>d</w:t>
      </w:r>
      <w:r>
        <w:t>isclosed?</w:t>
      </w:r>
    </w:p>
    <w:p w:rsidR="004E7F23" w:rsidRDefault="00CC3940" w:rsidP="00CC3940">
      <w:pPr>
        <w:pStyle w:val="ListParagraph"/>
        <w:numPr>
          <w:ilvl w:val="0"/>
          <w:numId w:val="1"/>
        </w:numPr>
      </w:pPr>
      <w:r>
        <w:t xml:space="preserve">What do you know about what EIA does to protect the confidentiality of the information you report? </w:t>
      </w:r>
    </w:p>
    <w:p w:rsidR="00CC3940" w:rsidRDefault="00CC3940" w:rsidP="004E7F23">
      <w:pPr>
        <w:pStyle w:val="ListParagraph"/>
        <w:numPr>
          <w:ilvl w:val="1"/>
          <w:numId w:val="1"/>
        </w:numPr>
      </w:pPr>
      <w:r>
        <w:t>To what extent has this been explained to you</w:t>
      </w:r>
      <w:r w:rsidR="00B71695">
        <w:t xml:space="preserve"> by EIA</w:t>
      </w:r>
      <w:r>
        <w:t>?</w:t>
      </w:r>
    </w:p>
    <w:p w:rsidR="00FE751D" w:rsidRDefault="00D433C4" w:rsidP="00156388">
      <w:pPr>
        <w:pStyle w:val="ListParagraph"/>
        <w:numPr>
          <w:ilvl w:val="0"/>
          <w:numId w:val="1"/>
        </w:numPr>
      </w:pPr>
      <w:r>
        <w:t>The data collected on most EIA surveys is protected and not disclosed to the public to the extent that it satisfies the criteria for exemption under the Freedom of Information Act (FOIA).</w:t>
      </w:r>
    </w:p>
    <w:p w:rsidR="00B71695" w:rsidRDefault="00B71695" w:rsidP="00B71695">
      <w:pPr>
        <w:pStyle w:val="ListParagraph"/>
        <w:numPr>
          <w:ilvl w:val="1"/>
          <w:numId w:val="1"/>
        </w:numPr>
      </w:pPr>
      <w:r>
        <w:t>Are you familiar with FOIA?</w:t>
      </w:r>
    </w:p>
    <w:p w:rsidR="00D433C4" w:rsidRDefault="00D433C4" w:rsidP="00D433C4">
      <w:pPr>
        <w:pStyle w:val="ListParagraph"/>
        <w:numPr>
          <w:ilvl w:val="1"/>
          <w:numId w:val="1"/>
        </w:numPr>
      </w:pPr>
      <w:r>
        <w:t>Are you familiar with this EIA pledge?</w:t>
      </w:r>
    </w:p>
    <w:p w:rsidR="00D433C4" w:rsidRDefault="00D433C4" w:rsidP="00D433C4">
      <w:pPr>
        <w:pStyle w:val="ListParagraph"/>
        <w:numPr>
          <w:ilvl w:val="1"/>
          <w:numId w:val="1"/>
        </w:numPr>
      </w:pPr>
      <w:r>
        <w:t xml:space="preserve">Can you tell me in your own words what this statement means to you? </w:t>
      </w:r>
    </w:p>
    <w:p w:rsidR="00D433C4" w:rsidRDefault="00D433C4" w:rsidP="00811EA1">
      <w:pPr>
        <w:pStyle w:val="ListParagraph"/>
        <w:numPr>
          <w:ilvl w:val="1"/>
          <w:numId w:val="1"/>
        </w:numPr>
      </w:pPr>
      <w:r>
        <w:t>How confident are you that your data will be protected under this pledge?</w:t>
      </w:r>
    </w:p>
    <w:p w:rsidR="00D433C4" w:rsidRDefault="00D433C4" w:rsidP="00D433C4">
      <w:pPr>
        <w:pStyle w:val="ListParagraph"/>
        <w:numPr>
          <w:ilvl w:val="0"/>
          <w:numId w:val="1"/>
        </w:numPr>
      </w:pPr>
      <w:r>
        <w:t xml:space="preserve">The data collected on many EIA surveys </w:t>
      </w:r>
      <w:r w:rsidR="000E280D">
        <w:t>are</w:t>
      </w:r>
      <w:r>
        <w:t xml:space="preserve"> protected by</w:t>
      </w:r>
      <w:r w:rsidR="00FE751D">
        <w:t xml:space="preserve"> “disclosure limitation methodolog</w:t>
      </w:r>
      <w:r w:rsidR="000E280D">
        <w:t>ies</w:t>
      </w:r>
      <w:r w:rsidR="00FE751D">
        <w:t>”</w:t>
      </w:r>
      <w:r w:rsidR="0075653B">
        <w:t>.</w:t>
      </w:r>
      <w:r>
        <w:t xml:space="preserve"> </w:t>
      </w:r>
      <w:r w:rsidR="00FE751D">
        <w:t xml:space="preserve"> </w:t>
      </w:r>
    </w:p>
    <w:p w:rsidR="00D433C4" w:rsidRDefault="00D433C4" w:rsidP="00811EA1">
      <w:pPr>
        <w:pStyle w:val="ListParagraph"/>
        <w:numPr>
          <w:ilvl w:val="1"/>
          <w:numId w:val="1"/>
        </w:numPr>
      </w:pPr>
      <w:r>
        <w:t>Are you familiar with th</w:t>
      </w:r>
      <w:r w:rsidR="000E280D">
        <w:t>is</w:t>
      </w:r>
      <w:r>
        <w:t xml:space="preserve"> term?</w:t>
      </w:r>
    </w:p>
    <w:p w:rsidR="00FE751D" w:rsidRDefault="00D433C4" w:rsidP="00811EA1">
      <w:pPr>
        <w:pStyle w:val="ListParagraph"/>
        <w:numPr>
          <w:ilvl w:val="1"/>
          <w:numId w:val="1"/>
        </w:numPr>
      </w:pPr>
      <w:r>
        <w:t xml:space="preserve">Can you tell me in your own words what </w:t>
      </w:r>
      <w:r w:rsidR="00FE751D">
        <w:t>th</w:t>
      </w:r>
      <w:r w:rsidR="000E280D">
        <w:t>is</w:t>
      </w:r>
      <w:r w:rsidR="00FE751D">
        <w:t xml:space="preserve"> te</w:t>
      </w:r>
      <w:r>
        <w:t>rm mean</w:t>
      </w:r>
      <w:r w:rsidR="000E280D">
        <w:t>s</w:t>
      </w:r>
      <w:r>
        <w:t xml:space="preserve"> to you</w:t>
      </w:r>
      <w:r w:rsidR="00FE751D">
        <w:t>?</w:t>
      </w:r>
    </w:p>
    <w:p w:rsidR="00D433C4" w:rsidRDefault="00D433C4" w:rsidP="00811EA1">
      <w:pPr>
        <w:pStyle w:val="ListParagraph"/>
        <w:numPr>
          <w:ilvl w:val="1"/>
          <w:numId w:val="1"/>
        </w:numPr>
      </w:pPr>
      <w:r>
        <w:t>How</w:t>
      </w:r>
      <w:r w:rsidRPr="00D433C4">
        <w:t xml:space="preserve"> </w:t>
      </w:r>
      <w:r>
        <w:t>confident are you that your data will be protected by</w:t>
      </w:r>
      <w:r w:rsidR="000E280D">
        <w:t xml:space="preserve"> EIA applying a</w:t>
      </w:r>
      <w:r>
        <w:t xml:space="preserve"> “disclosure limitation methodology”</w:t>
      </w:r>
      <w:r w:rsidR="0075653B">
        <w:t>?</w:t>
      </w:r>
      <w:r>
        <w:t xml:space="preserve">  </w:t>
      </w:r>
    </w:p>
    <w:p w:rsidR="005268F5" w:rsidRDefault="00D433C4" w:rsidP="00156388">
      <w:pPr>
        <w:pStyle w:val="ListParagraph"/>
        <w:numPr>
          <w:ilvl w:val="0"/>
          <w:numId w:val="1"/>
        </w:numPr>
      </w:pPr>
      <w:r>
        <w:t>The data collected on some EIA surveys is protected by t</w:t>
      </w:r>
      <w:r w:rsidR="005268F5">
        <w:t xml:space="preserve">he Confidential Information Protection and Statistical Efficiency Act, commonly referred to as CIPSEA, </w:t>
      </w:r>
      <w:r>
        <w:t xml:space="preserve">which </w:t>
      </w:r>
      <w:r w:rsidR="005268F5">
        <w:t>restricts the government’s use of your reported information to statistical uses only and imposes strict penalties, fines, and prison sentences for government employees who intentionally make unauthorized disclosures of company level data without your permission.</w:t>
      </w:r>
    </w:p>
    <w:p w:rsidR="005268F5" w:rsidRDefault="005268F5" w:rsidP="00811EA1">
      <w:pPr>
        <w:pStyle w:val="ListParagraph"/>
        <w:numPr>
          <w:ilvl w:val="1"/>
          <w:numId w:val="1"/>
        </w:numPr>
      </w:pPr>
      <w:r>
        <w:t>Have you ever heard of CIPSEA?</w:t>
      </w:r>
    </w:p>
    <w:p w:rsidR="00B71695" w:rsidRDefault="00B71695" w:rsidP="00811EA1">
      <w:pPr>
        <w:pStyle w:val="ListParagraph"/>
        <w:numPr>
          <w:ilvl w:val="1"/>
          <w:numId w:val="1"/>
        </w:numPr>
      </w:pPr>
      <w:r>
        <w:t>In your own words, what does CIPSEA mean?</w:t>
      </w:r>
    </w:p>
    <w:p w:rsidR="005268F5" w:rsidRDefault="005268F5" w:rsidP="00811EA1">
      <w:pPr>
        <w:pStyle w:val="ListParagraph"/>
        <w:numPr>
          <w:ilvl w:val="1"/>
          <w:numId w:val="1"/>
        </w:numPr>
      </w:pPr>
      <w:r>
        <w:t>Do you know if the data you submitted to EIA is protected by CIPSEA?</w:t>
      </w:r>
    </w:p>
    <w:p w:rsidR="00156388" w:rsidRDefault="005268F5" w:rsidP="00811EA1">
      <w:pPr>
        <w:pStyle w:val="ListParagraph"/>
        <w:numPr>
          <w:ilvl w:val="1"/>
          <w:numId w:val="1"/>
        </w:numPr>
      </w:pPr>
      <w:r>
        <w:t>Would you prefer if the data you submitted to EIA was protected by CIPSEA?</w:t>
      </w:r>
    </w:p>
    <w:p w:rsidR="00CC3940" w:rsidRDefault="0086264E" w:rsidP="00CC3940">
      <w:pPr>
        <w:pStyle w:val="ListParagraph"/>
        <w:numPr>
          <w:ilvl w:val="0"/>
          <w:numId w:val="1"/>
        </w:numPr>
      </w:pPr>
      <w:r>
        <w:t>As mentioned, under</w:t>
      </w:r>
      <w:r w:rsidR="005268F5">
        <w:t xml:space="preserve"> CIPSEA</w:t>
      </w:r>
      <w:r w:rsidR="000E280D">
        <w:t>,</w:t>
      </w:r>
      <w:r w:rsidR="005268F5">
        <w:t xml:space="preserve"> </w:t>
      </w:r>
      <w:r w:rsidR="00811EA1">
        <w:t xml:space="preserve">data </w:t>
      </w:r>
      <w:r w:rsidR="005268F5">
        <w:t>can</w:t>
      </w:r>
      <w:r w:rsidR="00CC3940">
        <w:t xml:space="preserve"> only</w:t>
      </w:r>
      <w:r w:rsidR="005268F5">
        <w:t xml:space="preserve"> be used</w:t>
      </w:r>
      <w:r w:rsidR="00CC3940">
        <w:t xml:space="preserve"> for statistical purposes. </w:t>
      </w:r>
    </w:p>
    <w:p w:rsidR="004E7F23" w:rsidRDefault="004E7F23" w:rsidP="004E7F23">
      <w:pPr>
        <w:pStyle w:val="ListParagraph"/>
        <w:numPr>
          <w:ilvl w:val="1"/>
          <w:numId w:val="1"/>
        </w:numPr>
      </w:pPr>
      <w:r>
        <w:t xml:space="preserve">What does this mean to you? </w:t>
      </w:r>
    </w:p>
    <w:p w:rsidR="004E7F23" w:rsidRDefault="004E7F23" w:rsidP="00CC3940">
      <w:pPr>
        <w:pStyle w:val="ListParagraph"/>
        <w:numPr>
          <w:ilvl w:val="1"/>
          <w:numId w:val="1"/>
        </w:numPr>
      </w:pPr>
      <w:r>
        <w:t>What do you think</w:t>
      </w:r>
      <w:r w:rsidR="00CC3940">
        <w:t xml:space="preserve"> EIA</w:t>
      </w:r>
      <w:r>
        <w:t xml:space="preserve"> does with</w:t>
      </w:r>
      <w:r w:rsidR="00CC3940">
        <w:t xml:space="preserve"> data when using it only for statistical purposes? </w:t>
      </w:r>
    </w:p>
    <w:p w:rsidR="00CC3940" w:rsidRDefault="00CC3940" w:rsidP="004E7F23">
      <w:pPr>
        <w:pStyle w:val="ListParagraph"/>
        <w:numPr>
          <w:ilvl w:val="2"/>
          <w:numId w:val="1"/>
        </w:numPr>
      </w:pPr>
      <w:r>
        <w:t>To what extent has this been explained to you?</w:t>
      </w:r>
    </w:p>
    <w:p w:rsidR="00944CF3" w:rsidRDefault="00B71695" w:rsidP="00811EA1">
      <w:pPr>
        <w:pStyle w:val="ListParagraph"/>
        <w:numPr>
          <w:ilvl w:val="1"/>
          <w:numId w:val="1"/>
        </w:numPr>
      </w:pPr>
      <w:r>
        <w:t>Do you believe</w:t>
      </w:r>
      <w:r w:rsidR="0086264E">
        <w:t xml:space="preserve"> that</w:t>
      </w:r>
      <w:r w:rsidR="004E7F23">
        <w:t xml:space="preserve"> your data remains protected when EIA uses it for statistical purposes?</w:t>
      </w:r>
    </w:p>
    <w:p w:rsidR="00B71695" w:rsidRDefault="00FE751D" w:rsidP="00FE751D">
      <w:pPr>
        <w:pStyle w:val="ListParagraph"/>
        <w:numPr>
          <w:ilvl w:val="1"/>
          <w:numId w:val="1"/>
        </w:numPr>
      </w:pPr>
      <w:r>
        <w:t>How concerned are you that</w:t>
      </w:r>
      <w:r w:rsidRPr="00FE751D">
        <w:t xml:space="preserve"> </w:t>
      </w:r>
      <w:r w:rsidR="00B71695">
        <w:t>EIA data tables</w:t>
      </w:r>
      <w:r>
        <w:t xml:space="preserve"> could be used to identify an individual company? </w:t>
      </w:r>
    </w:p>
    <w:p w:rsidR="004E7F23" w:rsidRDefault="00FE751D" w:rsidP="00287BE3">
      <w:pPr>
        <w:pStyle w:val="ListParagraph"/>
        <w:numPr>
          <w:ilvl w:val="2"/>
          <w:numId w:val="1"/>
        </w:numPr>
      </w:pPr>
      <w:r>
        <w:t xml:space="preserve">Should EIA </w:t>
      </w:r>
      <w:r w:rsidR="00B71695">
        <w:t>make sure the data in the tables can’t be used</w:t>
      </w:r>
      <w:r>
        <w:t xml:space="preserve"> to identify a company?</w:t>
      </w:r>
    </w:p>
    <w:p w:rsidR="004E7F23" w:rsidRDefault="004E7F23" w:rsidP="004E7F23">
      <w:pPr>
        <w:pStyle w:val="ListParagraph"/>
        <w:numPr>
          <w:ilvl w:val="0"/>
          <w:numId w:val="1"/>
        </w:numPr>
      </w:pPr>
      <w:r>
        <w:t xml:space="preserve">EIA </w:t>
      </w:r>
      <w:r w:rsidR="0098002A">
        <w:t>has a legal obligation to share energy data</w:t>
      </w:r>
      <w:r w:rsidR="00585DF7">
        <w:t xml:space="preserve">, not protected under CIPSEA, </w:t>
      </w:r>
      <w:r>
        <w:t>with other depart</w:t>
      </w:r>
      <w:r w:rsidR="00811EA1">
        <w:t xml:space="preserve">ments in the Federal </w:t>
      </w:r>
      <w:r w:rsidR="002E07D3">
        <w:t>G</w:t>
      </w:r>
      <w:r w:rsidR="00811EA1">
        <w:t>overnment.</w:t>
      </w:r>
    </w:p>
    <w:p w:rsidR="00FE4E9C" w:rsidRDefault="00FE4E9C" w:rsidP="00811EA1">
      <w:pPr>
        <w:pStyle w:val="ListParagraph"/>
        <w:numPr>
          <w:ilvl w:val="1"/>
          <w:numId w:val="1"/>
        </w:numPr>
      </w:pPr>
      <w:r>
        <w:t>Were you aware of this legal obligation?</w:t>
      </w:r>
    </w:p>
    <w:p w:rsidR="00FE4E9C" w:rsidRDefault="00FE4E9C" w:rsidP="00811EA1">
      <w:pPr>
        <w:pStyle w:val="ListParagraph"/>
        <w:numPr>
          <w:ilvl w:val="1"/>
          <w:numId w:val="1"/>
        </w:numPr>
      </w:pPr>
      <w:r>
        <w:t>Do you have any concerns with sharing your confidential data with other departments in the Federal Government?</w:t>
      </w:r>
    </w:p>
    <w:p w:rsidR="00811EA1" w:rsidRDefault="00B71695" w:rsidP="00811EA1">
      <w:pPr>
        <w:pStyle w:val="ListParagraph"/>
        <w:numPr>
          <w:ilvl w:val="1"/>
          <w:numId w:val="1"/>
        </w:numPr>
      </w:pPr>
      <w:r>
        <w:lastRenderedPageBreak/>
        <w:t>C</w:t>
      </w:r>
      <w:r w:rsidR="00811EA1">
        <w:t xml:space="preserve">ompared to EIA, how </w:t>
      </w:r>
      <w:r>
        <w:t xml:space="preserve">confident are you that other </w:t>
      </w:r>
      <w:r w:rsidR="00A86E9C">
        <w:t>F</w:t>
      </w:r>
      <w:r>
        <w:t>ederal agencies can protect your energy data</w:t>
      </w:r>
      <w:r w:rsidR="00811EA1">
        <w:t>?</w:t>
      </w:r>
    </w:p>
    <w:p w:rsidR="00811EA1" w:rsidRDefault="00FE4E9C" w:rsidP="00811EA1">
      <w:pPr>
        <w:pStyle w:val="ListParagraph"/>
        <w:numPr>
          <w:ilvl w:val="0"/>
          <w:numId w:val="1"/>
        </w:numPr>
      </w:pPr>
      <w:r>
        <w:t xml:space="preserve">Some of the other </w:t>
      </w:r>
      <w:r w:rsidR="002E07D3">
        <w:t xml:space="preserve">Federal </w:t>
      </w:r>
      <w:r>
        <w:t xml:space="preserve">agencies </w:t>
      </w:r>
      <w:r w:rsidR="003D7484">
        <w:t xml:space="preserve">use EIA data for regulatory or administrative purposes. </w:t>
      </w:r>
    </w:p>
    <w:p w:rsidR="00811EA1" w:rsidRDefault="0098002A" w:rsidP="00811EA1">
      <w:pPr>
        <w:pStyle w:val="ListParagraph"/>
        <w:numPr>
          <w:ilvl w:val="1"/>
          <w:numId w:val="1"/>
        </w:numPr>
      </w:pPr>
      <w:r>
        <w:t>Do you have any</w:t>
      </w:r>
      <w:r w:rsidR="004E7F23">
        <w:t xml:space="preserve"> concerns with your confidential data</w:t>
      </w:r>
      <w:r w:rsidR="003D7484">
        <w:t xml:space="preserve"> being used for regulatory or administrative purposes by</w:t>
      </w:r>
      <w:r w:rsidR="004E7F23">
        <w:t xml:space="preserve"> other departments in the Federal Government?</w:t>
      </w:r>
    </w:p>
    <w:p w:rsidR="00BC2919" w:rsidRDefault="003D7484" w:rsidP="00811EA1">
      <w:pPr>
        <w:pStyle w:val="ListParagraph"/>
        <w:numPr>
          <w:ilvl w:val="0"/>
          <w:numId w:val="1"/>
        </w:numPr>
      </w:pPr>
      <w:r>
        <w:t xml:space="preserve">EIA allows researchers at universities working on approved EIA projects </w:t>
      </w:r>
      <w:r w:rsidR="00287BE3">
        <w:t xml:space="preserve">that advance economic and social science research </w:t>
      </w:r>
      <w:r w:rsidR="00811EA1">
        <w:t xml:space="preserve">to have </w:t>
      </w:r>
      <w:r>
        <w:t>access to company level data</w:t>
      </w:r>
      <w:r w:rsidR="00811EA1">
        <w:t>. This data is used</w:t>
      </w:r>
      <w:r>
        <w:t xml:space="preserve"> </w:t>
      </w:r>
      <w:r w:rsidR="009601C8">
        <w:t xml:space="preserve">only </w:t>
      </w:r>
      <w:r w:rsidR="00287BE3">
        <w:t xml:space="preserve">for </w:t>
      </w:r>
      <w:r>
        <w:t>st</w:t>
      </w:r>
      <w:r w:rsidR="009601C8">
        <w:t>atistical research purposes.</w:t>
      </w:r>
    </w:p>
    <w:p w:rsidR="00E40532" w:rsidRDefault="00BC2919" w:rsidP="00BC2919">
      <w:pPr>
        <w:pStyle w:val="ListParagraph"/>
        <w:numPr>
          <w:ilvl w:val="1"/>
          <w:numId w:val="1"/>
        </w:numPr>
      </w:pPr>
      <w:r>
        <w:t>What concerns, if any, d</w:t>
      </w:r>
      <w:r w:rsidR="003D7484">
        <w:t>o you have with EIA sharing</w:t>
      </w:r>
      <w:r w:rsidR="00156388">
        <w:t xml:space="preserve"> your data with researchers at universities</w:t>
      </w:r>
      <w:r w:rsidR="00287BE3">
        <w:t>?</w:t>
      </w:r>
    </w:p>
    <w:p w:rsidR="00287BE3" w:rsidRDefault="004E7F23" w:rsidP="00287BE3">
      <w:pPr>
        <w:pStyle w:val="ListParagraph"/>
        <w:numPr>
          <w:ilvl w:val="0"/>
          <w:numId w:val="1"/>
        </w:numPr>
      </w:pPr>
      <w:r>
        <w:t xml:space="preserve">For a number of reasons, the trend within departments in the Federal Government is toward keeping less data confidential. </w:t>
      </w:r>
    </w:p>
    <w:p w:rsidR="00287BE3" w:rsidRDefault="00287BE3" w:rsidP="00287BE3">
      <w:pPr>
        <w:pStyle w:val="ListParagraph"/>
        <w:numPr>
          <w:ilvl w:val="1"/>
          <w:numId w:val="1"/>
        </w:numPr>
      </w:pPr>
      <w:r w:rsidRPr="00287BE3">
        <w:t>How comfortable would you be with EIA making more company level data publicly available on its website?</w:t>
      </w:r>
    </w:p>
    <w:p w:rsidR="00287BE3" w:rsidRDefault="00287BE3" w:rsidP="00287BE3">
      <w:pPr>
        <w:pStyle w:val="ListParagraph"/>
        <w:numPr>
          <w:ilvl w:val="0"/>
          <w:numId w:val="1"/>
        </w:numPr>
      </w:pPr>
      <w:r>
        <w:t>Do you have other concerns on confidentiality you would like to tell EIA about?</w:t>
      </w:r>
    </w:p>
    <w:p w:rsidR="00CC3940" w:rsidRDefault="00CC3940" w:rsidP="00287BE3">
      <w:pPr>
        <w:pStyle w:val="ListParagraph"/>
        <w:numPr>
          <w:ilvl w:val="1"/>
          <w:numId w:val="1"/>
        </w:numPr>
      </w:pPr>
      <w:r>
        <w:br w:type="page"/>
      </w:r>
    </w:p>
    <w:p w:rsidR="00B10BA2" w:rsidRDefault="00B10BA2" w:rsidP="004B5CE4">
      <w:pPr>
        <w:spacing w:after="0" w:line="240" w:lineRule="auto"/>
        <w:jc w:val="center"/>
        <w:rPr>
          <w:b/>
        </w:rPr>
      </w:pPr>
      <w:r>
        <w:rPr>
          <w:b/>
        </w:rPr>
        <w:lastRenderedPageBreak/>
        <w:t>SUMMARYOF FINDINGS FROM LITERATURE RESEARCH</w:t>
      </w:r>
    </w:p>
    <w:p w:rsidR="00CC3940" w:rsidRPr="00CC3940" w:rsidRDefault="00CC3940" w:rsidP="004B5CE4">
      <w:pPr>
        <w:spacing w:after="0" w:line="240" w:lineRule="auto"/>
        <w:jc w:val="center"/>
        <w:rPr>
          <w:b/>
        </w:rPr>
      </w:pPr>
      <w:r w:rsidRPr="00CC3940">
        <w:rPr>
          <w:b/>
        </w:rPr>
        <w:t>Outline of Supporting Literature on Public Perception of the Ability of Federal Statistical Agencies to Keep Information Confidential</w:t>
      </w:r>
    </w:p>
    <w:p w:rsidR="00CC3940" w:rsidRDefault="00CC3940" w:rsidP="00CC3940">
      <w:pPr>
        <w:spacing w:after="0" w:line="240" w:lineRule="auto"/>
      </w:pPr>
    </w:p>
    <w:p w:rsidR="00CC3940" w:rsidRDefault="00CC3940" w:rsidP="00CC3940">
      <w:pPr>
        <w:spacing w:after="0" w:line="240" w:lineRule="auto"/>
      </w:pPr>
    </w:p>
    <w:p w:rsidR="00CC3940" w:rsidRPr="00E5145C" w:rsidRDefault="00CC3940" w:rsidP="00CC3940">
      <w:pPr>
        <w:spacing w:after="0" w:line="240" w:lineRule="auto"/>
        <w:rPr>
          <w:b/>
        </w:rPr>
      </w:pPr>
      <w:r>
        <w:rPr>
          <w:b/>
        </w:rPr>
        <w:t>Public Trust and Confidence in Government and Federal Statistical Agencies</w:t>
      </w:r>
    </w:p>
    <w:p w:rsidR="00CC3940" w:rsidRDefault="00CC3940" w:rsidP="00CC3940">
      <w:pPr>
        <w:pStyle w:val="ListParagraph"/>
        <w:numPr>
          <w:ilvl w:val="0"/>
          <w:numId w:val="2"/>
        </w:numPr>
        <w:tabs>
          <w:tab w:val="left" w:pos="0"/>
        </w:tabs>
        <w:spacing w:after="0" w:line="240" w:lineRule="auto"/>
        <w:ind w:left="360"/>
      </w:pPr>
      <w:r w:rsidRPr="00CC3940">
        <w:rPr>
          <w:u w:val="single"/>
        </w:rPr>
        <w:t>Respondents have become more concerned about privacy and confidentiality</w:t>
      </w:r>
      <w:r>
        <w:rPr>
          <w:u w:val="single"/>
        </w:rPr>
        <w:t>.</w:t>
      </w:r>
      <w:r>
        <w:rPr>
          <w:rStyle w:val="EndnoteReference"/>
        </w:rPr>
        <w:endnoteReference w:id="1"/>
      </w:r>
      <w:r w:rsidRPr="00CC3940">
        <w:rPr>
          <w:vertAlign w:val="superscript"/>
        </w:rPr>
        <w:t xml:space="preserve">, </w:t>
      </w:r>
      <w:r>
        <w:rPr>
          <w:rStyle w:val="EndnoteReference"/>
        </w:rPr>
        <w:endnoteReference w:id="2"/>
      </w:r>
      <w:r w:rsidRPr="00CC3940">
        <w:rPr>
          <w:vertAlign w:val="superscript"/>
        </w:rPr>
        <w:t xml:space="preserve">. </w:t>
      </w:r>
      <w:r>
        <w:rPr>
          <w:rStyle w:val="EndnoteReference"/>
        </w:rPr>
        <w:endnoteReference w:id="3"/>
      </w:r>
      <w:r w:rsidRPr="00CC3940">
        <w:rPr>
          <w:vertAlign w:val="superscript"/>
        </w:rPr>
        <w:t xml:space="preserve">, </w:t>
      </w:r>
      <w:r>
        <w:rPr>
          <w:rStyle w:val="EndnoteReference"/>
        </w:rPr>
        <w:endnoteReference w:id="4"/>
      </w:r>
    </w:p>
    <w:p w:rsidR="00CC3940" w:rsidRDefault="00CC3940" w:rsidP="00CC3940">
      <w:pPr>
        <w:tabs>
          <w:tab w:val="left" w:pos="0"/>
        </w:tabs>
        <w:spacing w:after="0" w:line="240" w:lineRule="auto"/>
      </w:pPr>
    </w:p>
    <w:p w:rsidR="00CC3940" w:rsidRDefault="00CC3940" w:rsidP="00CC3940">
      <w:pPr>
        <w:pStyle w:val="ListParagraph"/>
        <w:numPr>
          <w:ilvl w:val="0"/>
          <w:numId w:val="2"/>
        </w:numPr>
        <w:tabs>
          <w:tab w:val="left" w:pos="0"/>
        </w:tabs>
        <w:spacing w:after="0" w:line="240" w:lineRule="auto"/>
        <w:ind w:left="360"/>
      </w:pPr>
      <w:r>
        <w:rPr>
          <w:u w:val="single"/>
        </w:rPr>
        <w:t>T</w:t>
      </w:r>
      <w:r w:rsidRPr="00321D7E">
        <w:rPr>
          <w:u w:val="single"/>
        </w:rPr>
        <w:t xml:space="preserve">rust in government </w:t>
      </w:r>
      <w:r>
        <w:rPr>
          <w:u w:val="single"/>
        </w:rPr>
        <w:t>has dropped.</w:t>
      </w:r>
      <w:r>
        <w:rPr>
          <w:rStyle w:val="EndnoteReference"/>
        </w:rPr>
        <w:endnoteReference w:id="5"/>
      </w:r>
      <w:r>
        <w:rPr>
          <w:vertAlign w:val="superscript"/>
        </w:rPr>
        <w:t xml:space="preserve">, </w:t>
      </w:r>
      <w:r>
        <w:rPr>
          <w:rStyle w:val="EndnoteReference"/>
        </w:rPr>
        <w:endnoteReference w:id="6"/>
      </w:r>
    </w:p>
    <w:p w:rsidR="00CC3940" w:rsidRPr="00837AB6" w:rsidRDefault="00CC3940" w:rsidP="00CC3940">
      <w:pPr>
        <w:pStyle w:val="ListParagraph"/>
        <w:numPr>
          <w:ilvl w:val="1"/>
          <w:numId w:val="3"/>
        </w:numPr>
        <w:tabs>
          <w:tab w:val="left" w:pos="0"/>
        </w:tabs>
        <w:spacing w:after="0" w:line="240" w:lineRule="auto"/>
        <w:ind w:left="720"/>
      </w:pPr>
      <w:r w:rsidRPr="00837AB6">
        <w:t>Public trust in the government remains near historic lows, just 24% say they can trust the government in Washington to do what is right just about always or most of the time; far more (75%) say they trust government only some of the time or never.</w:t>
      </w:r>
      <w:r w:rsidRPr="00837AB6">
        <w:rPr>
          <w:rStyle w:val="EndnoteReference"/>
        </w:rPr>
        <w:endnoteReference w:id="7"/>
      </w:r>
    </w:p>
    <w:p w:rsidR="00CC3940" w:rsidRPr="00837AB6" w:rsidRDefault="00CC3940" w:rsidP="00CC3940">
      <w:pPr>
        <w:pStyle w:val="ListParagraph"/>
        <w:numPr>
          <w:ilvl w:val="1"/>
          <w:numId w:val="3"/>
        </w:numPr>
        <w:tabs>
          <w:tab w:val="left" w:pos="0"/>
        </w:tabs>
        <w:spacing w:after="0" w:line="240" w:lineRule="auto"/>
        <w:ind w:left="720"/>
      </w:pPr>
      <w:r w:rsidRPr="00837AB6">
        <w:t>How concerned are you that some of the info you share on social networking sites might be accessed by the government without your knowledge? Very/somewhat concerned: 71%</w:t>
      </w:r>
      <w:r w:rsidRPr="00837AB6">
        <w:rPr>
          <w:rStyle w:val="EndnoteReference"/>
        </w:rPr>
        <w:endnoteReference w:id="8"/>
      </w:r>
    </w:p>
    <w:p w:rsidR="00CC3940" w:rsidRPr="00837AB6" w:rsidRDefault="00CC3940" w:rsidP="00CC3940">
      <w:pPr>
        <w:pStyle w:val="ListParagraph"/>
        <w:numPr>
          <w:ilvl w:val="1"/>
          <w:numId w:val="3"/>
        </w:numPr>
        <w:tabs>
          <w:tab w:val="left" w:pos="0"/>
        </w:tabs>
        <w:spacing w:after="0" w:line="240" w:lineRule="auto"/>
        <w:ind w:left="720"/>
      </w:pPr>
      <w:r w:rsidRPr="00837AB6">
        <w:t>80% of adults “agree” or “strongly agree” that Americans should be concerned about the government’s monitoring of phone calls and internet communications.</w:t>
      </w:r>
      <w:r w:rsidRPr="00837AB6">
        <w:rPr>
          <w:rStyle w:val="EndnoteReference"/>
        </w:rPr>
        <w:endnoteReference w:id="9"/>
      </w:r>
    </w:p>
    <w:p w:rsidR="00CC3940" w:rsidRPr="00837AB6" w:rsidRDefault="00CC3940" w:rsidP="00CC3940">
      <w:pPr>
        <w:pStyle w:val="ListParagraph"/>
        <w:numPr>
          <w:ilvl w:val="1"/>
          <w:numId w:val="3"/>
        </w:numPr>
        <w:tabs>
          <w:tab w:val="left" w:pos="0"/>
        </w:tabs>
        <w:spacing w:after="0" w:line="240" w:lineRule="auto"/>
        <w:ind w:left="720"/>
      </w:pPr>
      <w:r w:rsidRPr="00837AB6">
        <w:t>Americans lack confidence that they have control over their personal information. This pervasive concern applies to everyday communications channels and to the collectors of their information—both in the government and in corporations</w:t>
      </w:r>
      <w:r w:rsidRPr="00837AB6">
        <w:rPr>
          <w:rStyle w:val="EndnoteReference"/>
        </w:rPr>
        <w:endnoteReference w:id="10"/>
      </w:r>
    </w:p>
    <w:p w:rsidR="00CC3940" w:rsidRPr="00837AB6" w:rsidRDefault="00CC3940" w:rsidP="00CC3940">
      <w:pPr>
        <w:pStyle w:val="ListParagraph"/>
        <w:numPr>
          <w:ilvl w:val="1"/>
          <w:numId w:val="3"/>
        </w:numPr>
        <w:tabs>
          <w:tab w:val="left" w:pos="0"/>
        </w:tabs>
        <w:spacing w:after="0" w:line="240" w:lineRule="auto"/>
        <w:ind w:left="720"/>
      </w:pPr>
      <w:r w:rsidRPr="00837AB6">
        <w:t>How confident are you that your records at these companies will remain safe and private?</w:t>
      </w:r>
    </w:p>
    <w:p w:rsidR="00CC3940" w:rsidRPr="00837AB6" w:rsidRDefault="00CC3940" w:rsidP="00CC3940">
      <w:pPr>
        <w:pStyle w:val="ListParagraph"/>
        <w:numPr>
          <w:ilvl w:val="2"/>
          <w:numId w:val="2"/>
        </w:numPr>
        <w:tabs>
          <w:tab w:val="left" w:pos="0"/>
        </w:tabs>
        <w:spacing w:after="0" w:line="240" w:lineRule="auto"/>
        <w:ind w:left="1080"/>
      </w:pPr>
      <w:r w:rsidRPr="00837AB6">
        <w:t>Government agencies: 55% Not too confident/not at all confident</w:t>
      </w:r>
      <w:r w:rsidRPr="00837AB6">
        <w:rPr>
          <w:rStyle w:val="EndnoteReference"/>
        </w:rPr>
        <w:endnoteReference w:id="11"/>
      </w:r>
    </w:p>
    <w:p w:rsidR="00CC3940" w:rsidRPr="00837AB6" w:rsidRDefault="00CC3940" w:rsidP="00CC3940">
      <w:pPr>
        <w:pStyle w:val="ListParagraph"/>
        <w:numPr>
          <w:ilvl w:val="1"/>
          <w:numId w:val="4"/>
        </w:numPr>
        <w:tabs>
          <w:tab w:val="left" w:pos="0"/>
        </w:tabs>
        <w:spacing w:after="0" w:line="240" w:lineRule="auto"/>
        <w:ind w:left="720"/>
      </w:pPr>
      <w:r w:rsidRPr="00837AB6">
        <w:t>Over the past few years, BLS field economists and economic assistants have reported an increase in anti-government sentiment.</w:t>
      </w:r>
      <w:r w:rsidRPr="00837AB6">
        <w:rPr>
          <w:rStyle w:val="EndnoteReference"/>
        </w:rPr>
        <w:endnoteReference w:id="12"/>
      </w:r>
    </w:p>
    <w:p w:rsidR="00CC3940" w:rsidRPr="00837AB6" w:rsidRDefault="00CC3940" w:rsidP="00CC3940">
      <w:pPr>
        <w:pStyle w:val="ListParagraph"/>
        <w:numPr>
          <w:ilvl w:val="1"/>
          <w:numId w:val="4"/>
        </w:numPr>
        <w:tabs>
          <w:tab w:val="left" w:pos="0"/>
        </w:tabs>
        <w:spacing w:after="0" w:line="240" w:lineRule="auto"/>
        <w:ind w:left="720"/>
      </w:pPr>
      <w:r w:rsidRPr="00837AB6">
        <w:t xml:space="preserve">How much do you trust the government in Washington to do what is right? </w:t>
      </w:r>
    </w:p>
    <w:p w:rsidR="00CC3940" w:rsidRPr="00837AB6" w:rsidRDefault="00CC3940" w:rsidP="00CC3940">
      <w:pPr>
        <w:pStyle w:val="ListParagraph"/>
        <w:numPr>
          <w:ilvl w:val="2"/>
          <w:numId w:val="2"/>
        </w:numPr>
        <w:tabs>
          <w:tab w:val="left" w:pos="0"/>
        </w:tabs>
        <w:spacing w:after="0" w:line="240" w:lineRule="auto"/>
        <w:ind w:left="1080"/>
      </w:pPr>
      <w:r w:rsidRPr="00837AB6">
        <w:t>2010: 34%, Almost Never</w:t>
      </w:r>
      <w:r w:rsidRPr="00837AB6">
        <w:rPr>
          <w:rStyle w:val="EndnoteReference"/>
        </w:rPr>
        <w:endnoteReference w:id="13"/>
      </w:r>
    </w:p>
    <w:p w:rsidR="00CC3940" w:rsidRPr="00837AB6" w:rsidRDefault="00CC3940" w:rsidP="00CC3940">
      <w:pPr>
        <w:pStyle w:val="ListParagraph"/>
        <w:numPr>
          <w:ilvl w:val="2"/>
          <w:numId w:val="2"/>
        </w:numPr>
        <w:tabs>
          <w:tab w:val="left" w:pos="0"/>
        </w:tabs>
        <w:spacing w:after="0" w:line="240" w:lineRule="auto"/>
        <w:ind w:left="1080"/>
      </w:pPr>
      <w:r w:rsidRPr="00837AB6">
        <w:t>2000: 21%, Almost Never</w:t>
      </w:r>
      <w:r w:rsidRPr="00837AB6">
        <w:rPr>
          <w:rStyle w:val="EndnoteReference"/>
        </w:rPr>
        <w:endnoteReference w:id="14"/>
      </w:r>
    </w:p>
    <w:p w:rsidR="00CC3940" w:rsidRDefault="00CC3940" w:rsidP="00CC3940">
      <w:pPr>
        <w:pStyle w:val="ListParagraph"/>
        <w:numPr>
          <w:ilvl w:val="2"/>
          <w:numId w:val="2"/>
        </w:numPr>
        <w:tabs>
          <w:tab w:val="left" w:pos="0"/>
        </w:tabs>
        <w:spacing w:after="0" w:line="240" w:lineRule="auto"/>
        <w:ind w:left="1080"/>
      </w:pPr>
      <w:r w:rsidRPr="00837AB6">
        <w:t>1995: 19%, Almost Never</w:t>
      </w:r>
      <w:r>
        <w:rPr>
          <w:rStyle w:val="EndnoteReference"/>
        </w:rPr>
        <w:endnoteReference w:id="15"/>
      </w:r>
    </w:p>
    <w:p w:rsidR="00CC3940" w:rsidRDefault="00CC3940" w:rsidP="00CC3940">
      <w:pPr>
        <w:spacing w:after="0" w:line="240" w:lineRule="auto"/>
      </w:pPr>
    </w:p>
    <w:p w:rsidR="00CC3940" w:rsidRDefault="00CC3940" w:rsidP="00CC3940">
      <w:pPr>
        <w:pStyle w:val="ListParagraph"/>
        <w:numPr>
          <w:ilvl w:val="0"/>
          <w:numId w:val="2"/>
        </w:numPr>
        <w:spacing w:after="0" w:line="240" w:lineRule="auto"/>
        <w:ind w:left="360"/>
      </w:pPr>
      <w:r>
        <w:rPr>
          <w:u w:val="single"/>
        </w:rPr>
        <w:t>T</w:t>
      </w:r>
      <w:r w:rsidRPr="00D2644F">
        <w:rPr>
          <w:u w:val="single"/>
        </w:rPr>
        <w:t xml:space="preserve">rust in and regard for the work of federal statistical agencies </w:t>
      </w:r>
      <w:r>
        <w:rPr>
          <w:u w:val="single"/>
        </w:rPr>
        <w:t>has</w:t>
      </w:r>
      <w:r w:rsidRPr="00D2644F">
        <w:rPr>
          <w:u w:val="single"/>
        </w:rPr>
        <w:t xml:space="preserve"> dropped</w:t>
      </w:r>
      <w:r>
        <w:rPr>
          <w:u w:val="single"/>
        </w:rPr>
        <w:t>.</w:t>
      </w:r>
      <w:r w:rsidRPr="00C72F9C">
        <w:rPr>
          <w:rStyle w:val="EndnoteReference"/>
        </w:rPr>
        <w:t xml:space="preserve"> </w:t>
      </w:r>
      <w:r>
        <w:rPr>
          <w:rStyle w:val="EndnoteReference"/>
        </w:rPr>
        <w:endnoteReference w:id="16"/>
      </w:r>
    </w:p>
    <w:p w:rsidR="00CC3940" w:rsidRDefault="00CC3940" w:rsidP="00CC3940">
      <w:pPr>
        <w:pStyle w:val="ListParagraph"/>
        <w:numPr>
          <w:ilvl w:val="1"/>
          <w:numId w:val="5"/>
        </w:numPr>
        <w:spacing w:after="0" w:line="240" w:lineRule="auto"/>
        <w:ind w:left="720"/>
      </w:pPr>
      <w:r w:rsidRPr="00F507AD">
        <w:t xml:space="preserve">However, it’s scary to think that about </w:t>
      </w:r>
      <w:r w:rsidRPr="00F507AD">
        <w:rPr>
          <w:b/>
        </w:rPr>
        <w:t>a third</w:t>
      </w:r>
      <w:r w:rsidRPr="00F507AD">
        <w:t xml:space="preserve"> of the</w:t>
      </w:r>
      <w:r>
        <w:t xml:space="preserve"> </w:t>
      </w:r>
      <w:r w:rsidRPr="00F507AD">
        <w:t>public generally think we are not competent, not honest, and won’t keep their</w:t>
      </w:r>
      <w:r>
        <w:t xml:space="preserve"> </w:t>
      </w:r>
      <w:r w:rsidRPr="00F507AD">
        <w:t>information confidential.</w:t>
      </w:r>
      <w:r>
        <w:rPr>
          <w:rStyle w:val="EndnoteReference"/>
        </w:rPr>
        <w:endnoteReference w:id="17"/>
      </w:r>
    </w:p>
    <w:p w:rsidR="00CC3940" w:rsidRPr="00837AB6" w:rsidRDefault="00CC3940" w:rsidP="00CC3940">
      <w:pPr>
        <w:pStyle w:val="ListParagraph"/>
        <w:numPr>
          <w:ilvl w:val="1"/>
          <w:numId w:val="5"/>
        </w:numPr>
        <w:tabs>
          <w:tab w:val="left" w:pos="0"/>
        </w:tabs>
        <w:spacing w:after="0" w:line="240" w:lineRule="auto"/>
        <w:ind w:left="720"/>
      </w:pPr>
      <w:r w:rsidRPr="00837AB6">
        <w:t>Reported Belief in Honesty of Federal Statistical Agencies</w:t>
      </w:r>
      <w:r w:rsidRPr="00837AB6">
        <w:rPr>
          <w:rStyle w:val="EndnoteReference"/>
        </w:rPr>
        <w:endnoteReference w:id="18"/>
      </w:r>
    </w:p>
    <w:p w:rsidR="00CC3940" w:rsidRPr="00837AB6" w:rsidRDefault="00CC3940" w:rsidP="00CC3940">
      <w:pPr>
        <w:pStyle w:val="ListParagraph"/>
        <w:numPr>
          <w:ilvl w:val="2"/>
          <w:numId w:val="6"/>
        </w:numPr>
        <w:tabs>
          <w:tab w:val="left" w:pos="0"/>
        </w:tabs>
        <w:spacing w:after="0" w:line="240" w:lineRule="auto"/>
        <w:ind w:left="1080"/>
      </w:pPr>
      <w:r w:rsidRPr="00837AB6">
        <w:t>50% agree</w:t>
      </w:r>
    </w:p>
    <w:p w:rsidR="00CC3940" w:rsidRPr="00837AB6" w:rsidRDefault="00CC3940" w:rsidP="00CC3940">
      <w:pPr>
        <w:pStyle w:val="ListParagraph"/>
        <w:numPr>
          <w:ilvl w:val="2"/>
          <w:numId w:val="6"/>
        </w:numPr>
        <w:tabs>
          <w:tab w:val="left" w:pos="0"/>
        </w:tabs>
        <w:spacing w:after="0" w:line="240" w:lineRule="auto"/>
        <w:ind w:left="1080"/>
      </w:pPr>
      <w:r w:rsidRPr="00837AB6">
        <w:t>40% disagree</w:t>
      </w:r>
    </w:p>
    <w:p w:rsidR="00CC3940" w:rsidRPr="00837AB6" w:rsidRDefault="00CC3940" w:rsidP="00CC3940">
      <w:pPr>
        <w:pStyle w:val="ListParagraph"/>
        <w:numPr>
          <w:ilvl w:val="2"/>
          <w:numId w:val="6"/>
        </w:numPr>
        <w:tabs>
          <w:tab w:val="left" w:pos="0"/>
        </w:tabs>
        <w:spacing w:after="0" w:line="240" w:lineRule="auto"/>
        <w:ind w:left="1080"/>
      </w:pPr>
      <w:r w:rsidRPr="00837AB6">
        <w:t>10% neither</w:t>
      </w:r>
    </w:p>
    <w:p w:rsidR="00CC3940" w:rsidRPr="00837AB6" w:rsidRDefault="00CC3940" w:rsidP="00CC3940">
      <w:pPr>
        <w:pStyle w:val="ListParagraph"/>
        <w:numPr>
          <w:ilvl w:val="1"/>
          <w:numId w:val="7"/>
        </w:numPr>
        <w:tabs>
          <w:tab w:val="left" w:pos="0"/>
        </w:tabs>
        <w:spacing w:after="0" w:line="240" w:lineRule="auto"/>
        <w:ind w:left="720"/>
      </w:pPr>
      <w:r w:rsidRPr="00837AB6">
        <w:t>Respondent trust of the Census from CBAMS II</w:t>
      </w:r>
      <w:r w:rsidRPr="00837AB6">
        <w:rPr>
          <w:rStyle w:val="EndnoteReference"/>
        </w:rPr>
        <w:endnoteReference w:id="19"/>
      </w:r>
    </w:p>
    <w:p w:rsidR="00CC3940" w:rsidRPr="00837AB6" w:rsidRDefault="00CC3940" w:rsidP="00CC3940">
      <w:pPr>
        <w:pStyle w:val="ListParagraph"/>
        <w:numPr>
          <w:ilvl w:val="2"/>
          <w:numId w:val="8"/>
        </w:numPr>
        <w:tabs>
          <w:tab w:val="left" w:pos="0"/>
        </w:tabs>
        <w:spacing w:after="0" w:line="240" w:lineRule="auto"/>
        <w:ind w:left="1080"/>
      </w:pPr>
      <w:r w:rsidRPr="00837AB6">
        <w:t>60% trust Census</w:t>
      </w:r>
    </w:p>
    <w:p w:rsidR="00CC3940" w:rsidRPr="00837AB6" w:rsidRDefault="00CC3940" w:rsidP="00CC3940">
      <w:pPr>
        <w:pStyle w:val="ListParagraph"/>
        <w:numPr>
          <w:ilvl w:val="2"/>
          <w:numId w:val="8"/>
        </w:numPr>
        <w:tabs>
          <w:tab w:val="left" w:pos="0"/>
        </w:tabs>
        <w:spacing w:after="0" w:line="240" w:lineRule="auto"/>
        <w:ind w:left="1080"/>
      </w:pPr>
      <w:r w:rsidRPr="00837AB6">
        <w:t>24% don’t trust</w:t>
      </w:r>
    </w:p>
    <w:p w:rsidR="00CC3940" w:rsidRPr="00837AB6" w:rsidRDefault="00CC3940" w:rsidP="00CC3940">
      <w:pPr>
        <w:pStyle w:val="ListParagraph"/>
        <w:numPr>
          <w:ilvl w:val="2"/>
          <w:numId w:val="8"/>
        </w:numPr>
        <w:tabs>
          <w:tab w:val="left" w:pos="0"/>
        </w:tabs>
        <w:spacing w:after="0" w:line="240" w:lineRule="auto"/>
        <w:ind w:left="1080"/>
      </w:pPr>
      <w:r w:rsidRPr="00837AB6">
        <w:t>16% neither</w:t>
      </w:r>
    </w:p>
    <w:p w:rsidR="00CC3940" w:rsidRPr="00837AB6" w:rsidRDefault="00CC3940" w:rsidP="00CC3940">
      <w:pPr>
        <w:pStyle w:val="ListParagraph"/>
        <w:numPr>
          <w:ilvl w:val="1"/>
          <w:numId w:val="9"/>
        </w:numPr>
        <w:tabs>
          <w:tab w:val="left" w:pos="0"/>
        </w:tabs>
        <w:spacing w:after="0" w:line="240" w:lineRule="auto"/>
        <w:ind w:left="720"/>
      </w:pPr>
      <w:r w:rsidRPr="00837AB6">
        <w:t>Respondent trust of the Census from CBAMS</w:t>
      </w:r>
      <w:r w:rsidRPr="00837AB6">
        <w:rPr>
          <w:rStyle w:val="EndnoteReference"/>
        </w:rPr>
        <w:endnoteReference w:id="20"/>
      </w:r>
    </w:p>
    <w:p w:rsidR="00CC3940" w:rsidRPr="00837AB6" w:rsidRDefault="00CC3940" w:rsidP="00CC3940">
      <w:pPr>
        <w:pStyle w:val="ListParagraph"/>
        <w:numPr>
          <w:ilvl w:val="2"/>
          <w:numId w:val="10"/>
        </w:numPr>
        <w:tabs>
          <w:tab w:val="left" w:pos="0"/>
        </w:tabs>
        <w:spacing w:after="0" w:line="240" w:lineRule="auto"/>
        <w:ind w:left="1080"/>
      </w:pPr>
      <w:r w:rsidRPr="00837AB6">
        <w:t>67% trust Census</w:t>
      </w:r>
    </w:p>
    <w:p w:rsidR="00CC3940" w:rsidRPr="00837AB6" w:rsidRDefault="00CC3940" w:rsidP="00CC3940">
      <w:pPr>
        <w:pStyle w:val="ListParagraph"/>
        <w:numPr>
          <w:ilvl w:val="2"/>
          <w:numId w:val="10"/>
        </w:numPr>
        <w:tabs>
          <w:tab w:val="left" w:pos="0"/>
        </w:tabs>
        <w:spacing w:after="0" w:line="240" w:lineRule="auto"/>
        <w:ind w:left="1080"/>
      </w:pPr>
      <w:r w:rsidRPr="00837AB6">
        <w:t>25% don’t trust</w:t>
      </w:r>
    </w:p>
    <w:p w:rsidR="00CC3940" w:rsidRPr="00837AB6" w:rsidRDefault="00CC3940" w:rsidP="00CC3940">
      <w:pPr>
        <w:pStyle w:val="ListParagraph"/>
        <w:numPr>
          <w:ilvl w:val="2"/>
          <w:numId w:val="10"/>
        </w:numPr>
        <w:tabs>
          <w:tab w:val="left" w:pos="0"/>
        </w:tabs>
        <w:spacing w:after="0" w:line="240" w:lineRule="auto"/>
        <w:ind w:left="1080"/>
      </w:pPr>
      <w:r w:rsidRPr="00837AB6">
        <w:t>7% neither</w:t>
      </w:r>
    </w:p>
    <w:p w:rsidR="00CC3940" w:rsidRPr="006B1E76" w:rsidRDefault="00CC3940" w:rsidP="00CC3940">
      <w:pPr>
        <w:pStyle w:val="ListParagraph"/>
        <w:numPr>
          <w:ilvl w:val="1"/>
          <w:numId w:val="11"/>
        </w:numPr>
        <w:tabs>
          <w:tab w:val="left" w:pos="0"/>
        </w:tabs>
        <w:spacing w:after="0" w:line="240" w:lineRule="auto"/>
        <w:ind w:left="720"/>
        <w:rPr>
          <w:i/>
        </w:rPr>
      </w:pPr>
      <w:r w:rsidRPr="00837AB6">
        <w:t>In your opinion, how concerned is your company about providing business data to each of the following (Not at all Concerned, Somewhat Concerned, Very Concerned, Extremely Concerned</w:t>
      </w:r>
      <w:r w:rsidRPr="006B1E76">
        <w:rPr>
          <w:i/>
        </w:rPr>
        <w:t>)</w:t>
      </w:r>
      <w:r w:rsidRPr="006B1E76">
        <w:rPr>
          <w:rStyle w:val="EndnoteReference"/>
        </w:rPr>
        <w:endnoteReference w:id="21"/>
      </w:r>
    </w:p>
    <w:p w:rsidR="00CC3940" w:rsidRDefault="00CC3940" w:rsidP="00CC3940">
      <w:pPr>
        <w:pStyle w:val="ListParagraph"/>
        <w:numPr>
          <w:ilvl w:val="2"/>
          <w:numId w:val="12"/>
        </w:numPr>
        <w:tabs>
          <w:tab w:val="left" w:pos="0"/>
        </w:tabs>
        <w:spacing w:after="0" w:line="240" w:lineRule="auto"/>
        <w:ind w:left="1080"/>
      </w:pPr>
      <w:r>
        <w:t xml:space="preserve">Federal statistical agencies: </w:t>
      </w:r>
      <w:r w:rsidRPr="006B1E76">
        <w:t>29</w:t>
      </w:r>
      <w:r>
        <w:t>.3% very or extremely concerned.</w:t>
      </w:r>
    </w:p>
    <w:p w:rsidR="00CC3940" w:rsidRDefault="00CC3940" w:rsidP="00CC3940">
      <w:pPr>
        <w:tabs>
          <w:tab w:val="left" w:pos="0"/>
        </w:tabs>
        <w:spacing w:after="0" w:line="240" w:lineRule="auto"/>
        <w:ind w:left="360"/>
      </w:pPr>
    </w:p>
    <w:p w:rsidR="00CC3940" w:rsidRPr="00F507AD" w:rsidRDefault="00CC3940" w:rsidP="00CC3940">
      <w:pPr>
        <w:pStyle w:val="ListParagraph"/>
        <w:numPr>
          <w:ilvl w:val="0"/>
          <w:numId w:val="2"/>
        </w:numPr>
        <w:spacing w:after="0" w:line="240" w:lineRule="auto"/>
        <w:ind w:left="360"/>
      </w:pPr>
      <w:r w:rsidRPr="00F507AD">
        <w:rPr>
          <w:u w:val="single"/>
        </w:rPr>
        <w:lastRenderedPageBreak/>
        <w:t>Respondents don’t think federal</w:t>
      </w:r>
      <w:r w:rsidRPr="00D2644F">
        <w:rPr>
          <w:u w:val="single"/>
        </w:rPr>
        <w:t xml:space="preserve"> statistical agencies</w:t>
      </w:r>
      <w:r>
        <w:rPr>
          <w:u w:val="single"/>
        </w:rPr>
        <w:t xml:space="preserve"> will keep their information confidential.</w:t>
      </w:r>
      <w:r w:rsidRPr="00155EDB">
        <w:rPr>
          <w:rStyle w:val="EndnoteReference"/>
        </w:rPr>
        <w:endnoteReference w:id="22"/>
      </w:r>
    </w:p>
    <w:p w:rsidR="00CC3940" w:rsidRDefault="00CC3940" w:rsidP="00CC3940">
      <w:pPr>
        <w:pStyle w:val="ListParagraph"/>
        <w:numPr>
          <w:ilvl w:val="1"/>
          <w:numId w:val="13"/>
        </w:numPr>
        <w:spacing w:after="0" w:line="240" w:lineRule="auto"/>
        <w:ind w:left="720"/>
      </w:pPr>
      <w:r w:rsidRPr="00F507AD">
        <w:t xml:space="preserve">However, it’s scary to think that about </w:t>
      </w:r>
      <w:r w:rsidRPr="00F507AD">
        <w:rPr>
          <w:b/>
        </w:rPr>
        <w:t>a third</w:t>
      </w:r>
      <w:r w:rsidRPr="00F507AD">
        <w:t xml:space="preserve"> of the</w:t>
      </w:r>
      <w:r>
        <w:t xml:space="preserve"> </w:t>
      </w:r>
      <w:r w:rsidRPr="00F507AD">
        <w:t>public generally think we are not competent, not honest, and won’t keep their</w:t>
      </w:r>
      <w:r>
        <w:t xml:space="preserve"> </w:t>
      </w:r>
      <w:r w:rsidRPr="00F507AD">
        <w:t>information confidential.</w:t>
      </w:r>
      <w:r>
        <w:rPr>
          <w:rStyle w:val="EndnoteReference"/>
        </w:rPr>
        <w:endnoteReference w:id="23"/>
      </w:r>
    </w:p>
    <w:p w:rsidR="00CC3940" w:rsidRDefault="00CC3940" w:rsidP="00CC3940">
      <w:pPr>
        <w:pStyle w:val="ListParagraph"/>
        <w:numPr>
          <w:ilvl w:val="1"/>
          <w:numId w:val="13"/>
        </w:numPr>
        <w:tabs>
          <w:tab w:val="left" w:pos="0"/>
        </w:tabs>
        <w:spacing w:after="0" w:line="240" w:lineRule="auto"/>
        <w:ind w:left="720"/>
      </w:pPr>
      <w:r>
        <w:t>Reported Belief in that Federal Statistical Agencies Keep Data confidential</w:t>
      </w:r>
      <w:r>
        <w:rPr>
          <w:rStyle w:val="EndnoteReference"/>
        </w:rPr>
        <w:endnoteReference w:id="24"/>
      </w:r>
    </w:p>
    <w:p w:rsidR="00CC3940" w:rsidRDefault="00CC3940" w:rsidP="00CC3940">
      <w:pPr>
        <w:pStyle w:val="ListParagraph"/>
        <w:numPr>
          <w:ilvl w:val="2"/>
          <w:numId w:val="14"/>
        </w:numPr>
        <w:tabs>
          <w:tab w:val="left" w:pos="0"/>
        </w:tabs>
        <w:spacing w:after="0" w:line="240" w:lineRule="auto"/>
        <w:ind w:left="1080"/>
      </w:pPr>
      <w:r>
        <w:t>45% trust</w:t>
      </w:r>
    </w:p>
    <w:p w:rsidR="00CC3940" w:rsidRDefault="00CC3940" w:rsidP="00CC3940">
      <w:pPr>
        <w:pStyle w:val="ListParagraph"/>
        <w:numPr>
          <w:ilvl w:val="2"/>
          <w:numId w:val="14"/>
        </w:numPr>
        <w:tabs>
          <w:tab w:val="left" w:pos="0"/>
        </w:tabs>
        <w:spacing w:after="0" w:line="240" w:lineRule="auto"/>
        <w:ind w:left="1080"/>
      </w:pPr>
      <w:r>
        <w:t>45% don’t trust</w:t>
      </w:r>
    </w:p>
    <w:p w:rsidR="00CC3940" w:rsidRDefault="00CC3940" w:rsidP="00CC3940">
      <w:pPr>
        <w:pStyle w:val="ListParagraph"/>
        <w:numPr>
          <w:ilvl w:val="2"/>
          <w:numId w:val="14"/>
        </w:numPr>
        <w:tabs>
          <w:tab w:val="left" w:pos="0"/>
        </w:tabs>
        <w:spacing w:after="0" w:line="240" w:lineRule="auto"/>
        <w:ind w:left="1080"/>
      </w:pPr>
      <w:r>
        <w:t>10% neither.</w:t>
      </w:r>
    </w:p>
    <w:p w:rsidR="00CC3940" w:rsidRDefault="00CC3940" w:rsidP="00CC3940">
      <w:pPr>
        <w:pStyle w:val="ListParagraph"/>
        <w:numPr>
          <w:ilvl w:val="1"/>
          <w:numId w:val="15"/>
        </w:numPr>
        <w:tabs>
          <w:tab w:val="left" w:pos="0"/>
        </w:tabs>
        <w:spacing w:after="0" w:line="240" w:lineRule="auto"/>
        <w:ind w:left="720"/>
      </w:pPr>
      <w:r>
        <w:t>The Census Bureau's promise of confidentiality can be trusted, from CBAMS II</w:t>
      </w:r>
      <w:r>
        <w:rPr>
          <w:rStyle w:val="EndnoteReference"/>
        </w:rPr>
        <w:endnoteReference w:id="25"/>
      </w:r>
    </w:p>
    <w:p w:rsidR="00CC3940" w:rsidRDefault="00CC3940" w:rsidP="00CC3940">
      <w:pPr>
        <w:pStyle w:val="ListParagraph"/>
        <w:numPr>
          <w:ilvl w:val="2"/>
          <w:numId w:val="16"/>
        </w:numPr>
        <w:tabs>
          <w:tab w:val="left" w:pos="0"/>
        </w:tabs>
        <w:spacing w:after="0" w:line="240" w:lineRule="auto"/>
        <w:ind w:left="1080"/>
      </w:pPr>
      <w:r>
        <w:t>79% strongly agree/agree</w:t>
      </w:r>
    </w:p>
    <w:p w:rsidR="00CC3940" w:rsidRDefault="00CC3940" w:rsidP="00CC3940">
      <w:pPr>
        <w:pStyle w:val="ListParagraph"/>
        <w:numPr>
          <w:ilvl w:val="2"/>
          <w:numId w:val="16"/>
        </w:numPr>
        <w:tabs>
          <w:tab w:val="left" w:pos="0"/>
        </w:tabs>
        <w:spacing w:after="0" w:line="240" w:lineRule="auto"/>
        <w:ind w:left="1080"/>
      </w:pPr>
      <w:r>
        <w:t>Cynical, 50% strongly agree/agree</w:t>
      </w:r>
    </w:p>
    <w:p w:rsidR="00CC3940" w:rsidRDefault="00CC3940" w:rsidP="00CC3940">
      <w:pPr>
        <w:pStyle w:val="ListParagraph"/>
        <w:numPr>
          <w:ilvl w:val="2"/>
          <w:numId w:val="16"/>
        </w:numPr>
        <w:tabs>
          <w:tab w:val="left" w:pos="0"/>
        </w:tabs>
        <w:spacing w:after="0" w:line="240" w:lineRule="auto"/>
        <w:ind w:left="1080"/>
      </w:pPr>
      <w:r>
        <w:t>Suspicious, 64% strongly agree/agree</w:t>
      </w:r>
    </w:p>
    <w:p w:rsidR="00CC3940" w:rsidRDefault="00CC3940" w:rsidP="00CC3940">
      <w:pPr>
        <w:pStyle w:val="ListParagraph"/>
        <w:numPr>
          <w:ilvl w:val="1"/>
          <w:numId w:val="17"/>
        </w:numPr>
        <w:tabs>
          <w:tab w:val="left" w:pos="0"/>
        </w:tabs>
        <w:spacing w:after="0" w:line="240" w:lineRule="auto"/>
        <w:ind w:left="720"/>
      </w:pPr>
      <w:r>
        <w:t>The Census Bureau's promise of confidentiality can be trusted, from CBAMS</w:t>
      </w:r>
      <w:r>
        <w:rPr>
          <w:rStyle w:val="EndnoteReference"/>
        </w:rPr>
        <w:endnoteReference w:id="26"/>
      </w:r>
    </w:p>
    <w:p w:rsidR="00CC3940" w:rsidRDefault="00CC3940" w:rsidP="00CC3940">
      <w:pPr>
        <w:pStyle w:val="ListParagraph"/>
        <w:numPr>
          <w:ilvl w:val="2"/>
          <w:numId w:val="18"/>
        </w:numPr>
        <w:tabs>
          <w:tab w:val="left" w:pos="0"/>
        </w:tabs>
        <w:spacing w:after="0" w:line="240" w:lineRule="auto"/>
        <w:ind w:left="1080"/>
      </w:pPr>
      <w:r>
        <w:t>76% strongly agree/agree</w:t>
      </w:r>
    </w:p>
    <w:p w:rsidR="00CC3940" w:rsidRDefault="00CC3940" w:rsidP="00CC3940">
      <w:pPr>
        <w:pStyle w:val="ListParagraph"/>
        <w:numPr>
          <w:ilvl w:val="2"/>
          <w:numId w:val="18"/>
        </w:numPr>
        <w:tabs>
          <w:tab w:val="left" w:pos="0"/>
        </w:tabs>
        <w:spacing w:after="0" w:line="240" w:lineRule="auto"/>
        <w:ind w:left="1080"/>
      </w:pPr>
      <w:r>
        <w:t>Cynical fifth, 50% strongly agree/agree</w:t>
      </w:r>
    </w:p>
    <w:p w:rsidR="00CC3940" w:rsidRPr="00837AB6" w:rsidRDefault="00CC3940" w:rsidP="00CC3940">
      <w:pPr>
        <w:pStyle w:val="ListParagraph"/>
        <w:numPr>
          <w:ilvl w:val="1"/>
          <w:numId w:val="19"/>
        </w:numPr>
        <w:tabs>
          <w:tab w:val="left" w:pos="0"/>
        </w:tabs>
        <w:spacing w:after="0" w:line="240" w:lineRule="auto"/>
        <w:ind w:left="720"/>
      </w:pPr>
      <w:r w:rsidRPr="00837AB6">
        <w:t>How much would it bother you if your answers to the census were not kept confidential?</w:t>
      </w:r>
    </w:p>
    <w:p w:rsidR="00CC3940" w:rsidRDefault="00CC3940" w:rsidP="00CC3940">
      <w:pPr>
        <w:pStyle w:val="ListParagraph"/>
        <w:numPr>
          <w:ilvl w:val="2"/>
          <w:numId w:val="20"/>
        </w:numPr>
        <w:tabs>
          <w:tab w:val="left" w:pos="0"/>
        </w:tabs>
        <w:spacing w:after="0" w:line="240" w:lineRule="auto"/>
        <w:ind w:left="1080"/>
      </w:pPr>
      <w:r>
        <w:t>2010: 49%, A lot</w:t>
      </w:r>
      <w:r>
        <w:rPr>
          <w:rStyle w:val="EndnoteReference"/>
        </w:rPr>
        <w:endnoteReference w:id="27"/>
      </w:r>
    </w:p>
    <w:p w:rsidR="00CC3940" w:rsidRDefault="00CC3940" w:rsidP="00CC3940">
      <w:pPr>
        <w:pStyle w:val="ListParagraph"/>
        <w:numPr>
          <w:ilvl w:val="2"/>
          <w:numId w:val="20"/>
        </w:numPr>
        <w:tabs>
          <w:tab w:val="left" w:pos="0"/>
        </w:tabs>
        <w:spacing w:after="0" w:line="240" w:lineRule="auto"/>
        <w:ind w:left="1080"/>
      </w:pPr>
      <w:r>
        <w:t>2000: 47%, A lot</w:t>
      </w:r>
      <w:r>
        <w:rPr>
          <w:rStyle w:val="EndnoteReference"/>
        </w:rPr>
        <w:t xml:space="preserve"> </w:t>
      </w:r>
      <w:r>
        <w:rPr>
          <w:rStyle w:val="EndnoteReference"/>
        </w:rPr>
        <w:endnoteReference w:id="28"/>
      </w:r>
      <w:r>
        <w:t xml:space="preserve"> </w:t>
      </w:r>
    </w:p>
    <w:p w:rsidR="00CC3940" w:rsidRDefault="00CC3940" w:rsidP="00CC3940">
      <w:pPr>
        <w:pStyle w:val="ListParagraph"/>
        <w:numPr>
          <w:ilvl w:val="2"/>
          <w:numId w:val="20"/>
        </w:numPr>
        <w:tabs>
          <w:tab w:val="left" w:pos="0"/>
        </w:tabs>
        <w:spacing w:after="0" w:line="240" w:lineRule="auto"/>
        <w:ind w:left="1080"/>
      </w:pPr>
      <w:r>
        <w:t>1995: 37%, A lot</w:t>
      </w:r>
      <w:r>
        <w:rPr>
          <w:rStyle w:val="EndnoteReference"/>
        </w:rPr>
        <w:t xml:space="preserve"> </w:t>
      </w:r>
      <w:r>
        <w:rPr>
          <w:rStyle w:val="EndnoteReference"/>
        </w:rPr>
        <w:endnoteReference w:id="29"/>
      </w:r>
    </w:p>
    <w:p w:rsidR="00CC3940" w:rsidRPr="00837AB6" w:rsidRDefault="00CC3940" w:rsidP="00CC3940">
      <w:pPr>
        <w:pStyle w:val="ListParagraph"/>
        <w:numPr>
          <w:ilvl w:val="1"/>
          <w:numId w:val="21"/>
        </w:numPr>
        <w:tabs>
          <w:tab w:val="left" w:pos="0"/>
        </w:tabs>
        <w:spacing w:after="0" w:line="240" w:lineRule="auto"/>
        <w:ind w:left="720"/>
      </w:pPr>
      <w:r w:rsidRPr="00837AB6">
        <w:t xml:space="preserve">The 2000 census had a more negative short-term effect on trust in confidentiality than the 1990 census. </w:t>
      </w:r>
      <w:r w:rsidRPr="00837AB6">
        <w:rPr>
          <w:rStyle w:val="EndnoteReference"/>
        </w:rPr>
        <w:endnoteReference w:id="30"/>
      </w:r>
    </w:p>
    <w:p w:rsidR="00CC3940" w:rsidRPr="00837AB6" w:rsidRDefault="00CC3940" w:rsidP="00CC3940">
      <w:pPr>
        <w:pStyle w:val="ListParagraph"/>
        <w:numPr>
          <w:ilvl w:val="1"/>
          <w:numId w:val="21"/>
        </w:numPr>
        <w:tabs>
          <w:tab w:val="left" w:pos="0"/>
        </w:tabs>
        <w:spacing w:after="0" w:line="240" w:lineRule="auto"/>
        <w:ind w:left="720"/>
      </w:pPr>
      <w:r w:rsidRPr="00837AB6">
        <w:t>“The Census Bureau promise of confidentiality cannot be trusted”- increased 3.6% over data collection period.</w:t>
      </w:r>
      <w:r w:rsidRPr="00837AB6">
        <w:rPr>
          <w:rStyle w:val="EndnoteReference"/>
        </w:rPr>
        <w:endnoteReference w:id="31"/>
      </w:r>
    </w:p>
    <w:p w:rsidR="00CC3940" w:rsidRPr="00837AB6" w:rsidRDefault="00CC3940" w:rsidP="00CC3940">
      <w:pPr>
        <w:pStyle w:val="ListParagraph"/>
        <w:numPr>
          <w:ilvl w:val="1"/>
          <w:numId w:val="21"/>
        </w:numPr>
        <w:tabs>
          <w:tab w:val="left" w:pos="0"/>
        </w:tabs>
        <w:spacing w:after="0" w:line="240" w:lineRule="auto"/>
        <w:ind w:left="720"/>
      </w:pPr>
      <w:r w:rsidRPr="00837AB6">
        <w:t>Do you think the Census Bureau does or does not protect the confidentiality of this information, or are you not sure?</w:t>
      </w:r>
      <w:r w:rsidRPr="00837AB6">
        <w:rPr>
          <w:rStyle w:val="EndnoteReference"/>
        </w:rPr>
        <w:endnoteReference w:id="32"/>
      </w:r>
    </w:p>
    <w:p w:rsidR="00CC3940" w:rsidRPr="006B1E76" w:rsidRDefault="00CC3940" w:rsidP="00CC3940">
      <w:pPr>
        <w:pStyle w:val="ListParagraph"/>
        <w:numPr>
          <w:ilvl w:val="2"/>
          <w:numId w:val="22"/>
        </w:numPr>
        <w:tabs>
          <w:tab w:val="left" w:pos="0"/>
        </w:tabs>
        <w:spacing w:after="0" w:line="240" w:lineRule="auto"/>
        <w:ind w:left="1080"/>
        <w:rPr>
          <w:i/>
        </w:rPr>
      </w:pPr>
      <w:r>
        <w:t>25% believe protects confidentiality</w:t>
      </w:r>
    </w:p>
    <w:p w:rsidR="00CC3940" w:rsidRPr="006B1E76" w:rsidRDefault="00CC3940" w:rsidP="00CC3940">
      <w:pPr>
        <w:pStyle w:val="ListParagraph"/>
        <w:numPr>
          <w:ilvl w:val="2"/>
          <w:numId w:val="22"/>
        </w:numPr>
        <w:tabs>
          <w:tab w:val="left" w:pos="0"/>
        </w:tabs>
        <w:spacing w:after="0" w:line="240" w:lineRule="auto"/>
        <w:ind w:left="1080"/>
        <w:rPr>
          <w:i/>
        </w:rPr>
      </w:pPr>
      <w:r>
        <w:t>9% does not protect</w:t>
      </w:r>
    </w:p>
    <w:p w:rsidR="00CC3940" w:rsidRPr="006B1E76" w:rsidRDefault="00CC3940" w:rsidP="00CC3940">
      <w:pPr>
        <w:pStyle w:val="ListParagraph"/>
        <w:numPr>
          <w:ilvl w:val="2"/>
          <w:numId w:val="22"/>
        </w:numPr>
        <w:tabs>
          <w:tab w:val="left" w:pos="0"/>
        </w:tabs>
        <w:spacing w:after="0" w:line="240" w:lineRule="auto"/>
        <w:ind w:left="1080"/>
        <w:rPr>
          <w:i/>
        </w:rPr>
      </w:pPr>
      <w:r>
        <w:t>66% not sure.</w:t>
      </w:r>
    </w:p>
    <w:p w:rsidR="00CC3940" w:rsidRPr="00837AB6" w:rsidRDefault="00CC3940" w:rsidP="00CC3940">
      <w:pPr>
        <w:pStyle w:val="ListParagraph"/>
        <w:numPr>
          <w:ilvl w:val="1"/>
          <w:numId w:val="23"/>
        </w:numPr>
        <w:tabs>
          <w:tab w:val="left" w:pos="0"/>
        </w:tabs>
        <w:spacing w:after="0" w:line="240" w:lineRule="auto"/>
        <w:ind w:left="720"/>
      </w:pPr>
      <w:r w:rsidRPr="00837AB6">
        <w:t>I believe federal statistical agencies keep data provided by businesses confidential.</w:t>
      </w:r>
      <w:r w:rsidRPr="00837AB6">
        <w:rPr>
          <w:rStyle w:val="EndnoteReference"/>
        </w:rPr>
        <w:t xml:space="preserve"> </w:t>
      </w:r>
      <w:r w:rsidRPr="00837AB6">
        <w:rPr>
          <w:rStyle w:val="EndnoteReference"/>
        </w:rPr>
        <w:endnoteReference w:id="33"/>
      </w:r>
    </w:p>
    <w:p w:rsidR="00CC3940" w:rsidRPr="006B1E76" w:rsidRDefault="00CC3940" w:rsidP="00CC3940">
      <w:pPr>
        <w:pStyle w:val="ListParagraph"/>
        <w:numPr>
          <w:ilvl w:val="2"/>
          <w:numId w:val="24"/>
        </w:numPr>
        <w:spacing w:after="0" w:line="240" w:lineRule="auto"/>
        <w:ind w:left="1080"/>
      </w:pPr>
      <w:r>
        <w:t>61.6%</w:t>
      </w:r>
    </w:p>
    <w:p w:rsidR="00CC3940" w:rsidRPr="00F507AD" w:rsidRDefault="00CC3940" w:rsidP="00CC3940">
      <w:pPr>
        <w:spacing w:after="0" w:line="240" w:lineRule="auto"/>
      </w:pPr>
    </w:p>
    <w:p w:rsidR="00CC3940" w:rsidRPr="00E5145C" w:rsidRDefault="00CC3940" w:rsidP="00CC3940">
      <w:pPr>
        <w:spacing w:after="0" w:line="240" w:lineRule="auto"/>
        <w:rPr>
          <w:b/>
        </w:rPr>
      </w:pPr>
      <w:r>
        <w:rPr>
          <w:b/>
        </w:rPr>
        <w:t>Motivating Factors</w:t>
      </w:r>
    </w:p>
    <w:p w:rsidR="00CC3940" w:rsidRPr="00637E65" w:rsidRDefault="00CC3940" w:rsidP="00CC3940">
      <w:pPr>
        <w:pStyle w:val="ListParagraph"/>
        <w:numPr>
          <w:ilvl w:val="0"/>
          <w:numId w:val="25"/>
        </w:numPr>
        <w:spacing w:after="0" w:line="240" w:lineRule="auto"/>
        <w:ind w:left="360"/>
        <w:rPr>
          <w:u w:val="single"/>
        </w:rPr>
      </w:pPr>
      <w:r>
        <w:rPr>
          <w:u w:val="single"/>
        </w:rPr>
        <w:t>Generally r</w:t>
      </w:r>
      <w:r w:rsidRPr="00845D0D">
        <w:rPr>
          <w:u w:val="single"/>
        </w:rPr>
        <w:t xml:space="preserve">espondents </w:t>
      </w:r>
      <w:r>
        <w:rPr>
          <w:u w:val="single"/>
        </w:rPr>
        <w:t>don’t have a clear understanding of the term</w:t>
      </w:r>
      <w:r w:rsidRPr="00845D0D">
        <w:rPr>
          <w:u w:val="single"/>
        </w:rPr>
        <w:t xml:space="preserve"> “confidentiality”</w:t>
      </w:r>
      <w:r>
        <w:rPr>
          <w:u w:val="single"/>
        </w:rPr>
        <w:t>, though knowledge level has increased over time</w:t>
      </w:r>
      <w:r w:rsidRPr="00845D0D">
        <w:rPr>
          <w:u w:val="single"/>
        </w:rPr>
        <w:t>.</w:t>
      </w:r>
      <w:r w:rsidRPr="006039CE">
        <w:rPr>
          <w:rStyle w:val="EndnoteReference"/>
        </w:rPr>
        <w:endnoteReference w:id="34"/>
      </w:r>
      <w:r>
        <w:rPr>
          <w:vertAlign w:val="superscript"/>
        </w:rPr>
        <w:t xml:space="preserve">, </w:t>
      </w:r>
      <w:r>
        <w:rPr>
          <w:rStyle w:val="EndnoteReference"/>
        </w:rPr>
        <w:endnoteReference w:id="35"/>
      </w:r>
      <w:r>
        <w:rPr>
          <w:vertAlign w:val="superscript"/>
        </w:rPr>
        <w:t xml:space="preserve">, </w:t>
      </w:r>
      <w:r>
        <w:rPr>
          <w:rStyle w:val="EndnoteReference"/>
        </w:rPr>
        <w:endnoteReference w:id="36"/>
      </w:r>
    </w:p>
    <w:p w:rsidR="00CC3940" w:rsidRPr="00845D0D" w:rsidRDefault="00CC3940" w:rsidP="00CC3940">
      <w:pPr>
        <w:pStyle w:val="ListParagraph"/>
        <w:spacing w:after="0" w:line="240" w:lineRule="auto"/>
        <w:ind w:left="360"/>
        <w:rPr>
          <w:u w:val="single"/>
        </w:rPr>
      </w:pPr>
    </w:p>
    <w:p w:rsidR="00CC3940" w:rsidRPr="00302CE2" w:rsidRDefault="00CC3940" w:rsidP="00CC3940">
      <w:pPr>
        <w:pStyle w:val="ListParagraph"/>
        <w:numPr>
          <w:ilvl w:val="0"/>
          <w:numId w:val="25"/>
        </w:numPr>
        <w:spacing w:after="0" w:line="240" w:lineRule="auto"/>
        <w:ind w:left="360"/>
        <w:rPr>
          <w:u w:val="single"/>
        </w:rPr>
      </w:pPr>
      <w:r w:rsidRPr="00845D0D">
        <w:rPr>
          <w:u w:val="single"/>
        </w:rPr>
        <w:t>Respondents in a number of studies believed that information is freely shared between agencies, despite any assurances of confidentiality.</w:t>
      </w:r>
      <w:r w:rsidRPr="004B1D40">
        <w:rPr>
          <w:rStyle w:val="EndnoteReference"/>
        </w:rPr>
        <w:t xml:space="preserve"> </w:t>
      </w:r>
      <w:r w:rsidRPr="004B1D40">
        <w:rPr>
          <w:rStyle w:val="EndnoteReference"/>
        </w:rPr>
        <w:endnoteReference w:id="37"/>
      </w:r>
      <w:r>
        <w:rPr>
          <w:vertAlign w:val="superscript"/>
        </w:rPr>
        <w:t xml:space="preserve">, </w:t>
      </w:r>
      <w:r>
        <w:rPr>
          <w:rStyle w:val="EndnoteReference"/>
        </w:rPr>
        <w:endnoteReference w:id="38"/>
      </w:r>
      <w:r>
        <w:rPr>
          <w:vertAlign w:val="superscript"/>
        </w:rPr>
        <w:t xml:space="preserve">, </w:t>
      </w:r>
      <w:r>
        <w:rPr>
          <w:rStyle w:val="EndnoteReference"/>
        </w:rPr>
        <w:endnoteReference w:id="39"/>
      </w:r>
    </w:p>
    <w:p w:rsidR="00CC3940" w:rsidRPr="00837AB6" w:rsidRDefault="00CC3940" w:rsidP="00CC3940">
      <w:pPr>
        <w:pStyle w:val="ListParagraph"/>
        <w:numPr>
          <w:ilvl w:val="1"/>
          <w:numId w:val="26"/>
        </w:numPr>
        <w:spacing w:after="0" w:line="240" w:lineRule="auto"/>
        <w:ind w:left="720"/>
        <w:rPr>
          <w:u w:val="single"/>
        </w:rPr>
      </w:pPr>
      <w:r w:rsidRPr="00837AB6">
        <w:t>Do you trust the Census Bureau not to give other government agencies information identified by name and address?</w:t>
      </w:r>
    </w:p>
    <w:p w:rsidR="00CC3940" w:rsidRDefault="00CC3940" w:rsidP="00CC3940">
      <w:pPr>
        <w:pStyle w:val="ListParagraph"/>
        <w:numPr>
          <w:ilvl w:val="2"/>
          <w:numId w:val="27"/>
        </w:numPr>
        <w:tabs>
          <w:tab w:val="left" w:pos="0"/>
        </w:tabs>
        <w:spacing w:after="0" w:line="240" w:lineRule="auto"/>
        <w:ind w:left="1080"/>
      </w:pPr>
      <w:r>
        <w:t>2010: 43%, No</w:t>
      </w:r>
      <w:r>
        <w:rPr>
          <w:rStyle w:val="EndnoteReference"/>
        </w:rPr>
        <w:endnoteReference w:id="40"/>
      </w:r>
    </w:p>
    <w:p w:rsidR="00CC3940" w:rsidRDefault="00CC3940" w:rsidP="00CC3940">
      <w:pPr>
        <w:pStyle w:val="ListParagraph"/>
        <w:numPr>
          <w:ilvl w:val="2"/>
          <w:numId w:val="27"/>
        </w:numPr>
        <w:tabs>
          <w:tab w:val="left" w:pos="0"/>
        </w:tabs>
        <w:spacing w:after="0" w:line="240" w:lineRule="auto"/>
        <w:ind w:left="1080"/>
      </w:pPr>
      <w:r>
        <w:t>2000: 32%, No</w:t>
      </w:r>
      <w:r>
        <w:rPr>
          <w:rStyle w:val="EndnoteReference"/>
        </w:rPr>
        <w:t xml:space="preserve"> </w:t>
      </w:r>
      <w:r>
        <w:rPr>
          <w:rStyle w:val="EndnoteReference"/>
        </w:rPr>
        <w:endnoteReference w:id="41"/>
      </w:r>
      <w:r>
        <w:t xml:space="preserve"> </w:t>
      </w:r>
    </w:p>
    <w:p w:rsidR="00CC3940" w:rsidRPr="00302CE2" w:rsidRDefault="00CC3940" w:rsidP="00CC3940">
      <w:pPr>
        <w:pStyle w:val="ListParagraph"/>
        <w:numPr>
          <w:ilvl w:val="2"/>
          <w:numId w:val="27"/>
        </w:numPr>
        <w:tabs>
          <w:tab w:val="left" w:pos="0"/>
        </w:tabs>
        <w:spacing w:after="0" w:line="240" w:lineRule="auto"/>
        <w:ind w:left="1080"/>
      </w:pPr>
      <w:r>
        <w:t>1995: 35%, No</w:t>
      </w:r>
      <w:r>
        <w:rPr>
          <w:rStyle w:val="EndnoteReference"/>
        </w:rPr>
        <w:t xml:space="preserve"> </w:t>
      </w:r>
      <w:r>
        <w:rPr>
          <w:rStyle w:val="EndnoteReference"/>
        </w:rPr>
        <w:endnoteReference w:id="42"/>
      </w:r>
    </w:p>
    <w:p w:rsidR="00CC3940" w:rsidRDefault="00CC3940" w:rsidP="00CC3940">
      <w:pPr>
        <w:pStyle w:val="ListParagraph"/>
        <w:numPr>
          <w:ilvl w:val="1"/>
          <w:numId w:val="28"/>
        </w:numPr>
        <w:spacing w:after="0" w:line="240" w:lineRule="auto"/>
        <w:ind w:left="720"/>
      </w:pPr>
      <w:r w:rsidRPr="00837AB6">
        <w:t>Concern over information sharing between agencies has increased over time.</w:t>
      </w:r>
      <w:r w:rsidRPr="00837AB6">
        <w:rPr>
          <w:rStyle w:val="EndnoteReference"/>
        </w:rPr>
        <w:endnoteReference w:id="43"/>
      </w:r>
    </w:p>
    <w:p w:rsidR="00CC3940" w:rsidRPr="00837AB6" w:rsidRDefault="00CC3940" w:rsidP="00CC3940">
      <w:pPr>
        <w:pStyle w:val="ListParagraph"/>
        <w:spacing w:after="0" w:line="240" w:lineRule="auto"/>
      </w:pPr>
    </w:p>
    <w:p w:rsidR="00CC3940" w:rsidRPr="00845D0D" w:rsidRDefault="00CC3940" w:rsidP="00CC3940">
      <w:pPr>
        <w:pStyle w:val="ListParagraph"/>
        <w:numPr>
          <w:ilvl w:val="0"/>
          <w:numId w:val="25"/>
        </w:numPr>
        <w:spacing w:after="0" w:line="240" w:lineRule="auto"/>
        <w:ind w:left="360"/>
        <w:rPr>
          <w:u w:val="single"/>
        </w:rPr>
      </w:pPr>
      <w:r w:rsidRPr="00845D0D">
        <w:rPr>
          <w:u w:val="single"/>
        </w:rPr>
        <w:t>Government can’t keep it’s word on confidentiality</w:t>
      </w:r>
    </w:p>
    <w:p w:rsidR="00CC3940" w:rsidRPr="00837AB6" w:rsidRDefault="00CC3940" w:rsidP="00CC3940">
      <w:pPr>
        <w:pStyle w:val="ListParagraph"/>
        <w:numPr>
          <w:ilvl w:val="1"/>
          <w:numId w:val="29"/>
        </w:numPr>
        <w:spacing w:after="0" w:line="240" w:lineRule="auto"/>
        <w:ind w:left="720"/>
      </w:pPr>
      <w:r w:rsidRPr="00837AB6">
        <w:t>Respondents believed that even if an agency has an official policy of confidentiality, hackers can access these computers from outside and steal data that everyone thinks are protected.</w:t>
      </w:r>
      <w:r w:rsidRPr="00837AB6">
        <w:rPr>
          <w:rStyle w:val="EndnoteReference"/>
        </w:rPr>
        <w:t xml:space="preserve"> </w:t>
      </w:r>
      <w:r w:rsidRPr="00837AB6">
        <w:rPr>
          <w:rStyle w:val="EndnoteReference"/>
        </w:rPr>
        <w:endnoteReference w:id="44"/>
      </w:r>
      <w:r w:rsidRPr="00837AB6">
        <w:rPr>
          <w:vertAlign w:val="superscript"/>
        </w:rPr>
        <w:t xml:space="preserve">, </w:t>
      </w:r>
      <w:r w:rsidRPr="00837AB6">
        <w:rPr>
          <w:rStyle w:val="EndnoteReference"/>
        </w:rPr>
        <w:endnoteReference w:id="45"/>
      </w:r>
      <w:r w:rsidRPr="00837AB6">
        <w:rPr>
          <w:vertAlign w:val="superscript"/>
        </w:rPr>
        <w:t xml:space="preserve">, </w:t>
      </w:r>
      <w:r w:rsidRPr="00837AB6">
        <w:rPr>
          <w:rStyle w:val="EndnoteReference"/>
        </w:rPr>
        <w:endnoteReference w:id="46"/>
      </w:r>
    </w:p>
    <w:p w:rsidR="00CC3940" w:rsidRPr="00637E65" w:rsidRDefault="00CC3940" w:rsidP="00CC3940">
      <w:pPr>
        <w:pStyle w:val="ListParagraph"/>
        <w:numPr>
          <w:ilvl w:val="1"/>
          <w:numId w:val="29"/>
        </w:numPr>
        <w:spacing w:after="0" w:line="240" w:lineRule="auto"/>
        <w:ind w:left="720"/>
      </w:pPr>
      <w:r w:rsidRPr="00837AB6">
        <w:lastRenderedPageBreak/>
        <w:t>Bureaucratic incompetence and the perceived tendency of large organizations to cover up lapses in protection.</w:t>
      </w:r>
      <w:r w:rsidRPr="00837AB6">
        <w:rPr>
          <w:rStyle w:val="EndnoteReference"/>
        </w:rPr>
        <w:t xml:space="preserve"> </w:t>
      </w:r>
      <w:r w:rsidRPr="00837AB6">
        <w:rPr>
          <w:rStyle w:val="EndnoteReference"/>
        </w:rPr>
        <w:endnoteReference w:id="47"/>
      </w:r>
      <w:r w:rsidRPr="00837AB6">
        <w:rPr>
          <w:vertAlign w:val="superscript"/>
        </w:rPr>
        <w:t xml:space="preserve">, </w:t>
      </w:r>
      <w:r w:rsidRPr="00837AB6">
        <w:rPr>
          <w:rStyle w:val="EndnoteReference"/>
        </w:rPr>
        <w:endnoteReference w:id="48"/>
      </w:r>
    </w:p>
    <w:p w:rsidR="00CC3940" w:rsidRPr="00837AB6" w:rsidRDefault="00CC3940" w:rsidP="00CC3940">
      <w:pPr>
        <w:pStyle w:val="ListParagraph"/>
        <w:spacing w:after="0" w:line="240" w:lineRule="auto"/>
      </w:pPr>
    </w:p>
    <w:p w:rsidR="00CC3940" w:rsidRPr="00637E65" w:rsidRDefault="00CC3940" w:rsidP="00CC3940">
      <w:pPr>
        <w:pStyle w:val="ListParagraph"/>
        <w:numPr>
          <w:ilvl w:val="0"/>
          <w:numId w:val="25"/>
        </w:numPr>
        <w:spacing w:after="0" w:line="240" w:lineRule="auto"/>
        <w:ind w:left="360"/>
        <w:rPr>
          <w:u w:val="single"/>
        </w:rPr>
      </w:pPr>
      <w:r w:rsidRPr="00845D0D">
        <w:rPr>
          <w:u w:val="single"/>
        </w:rPr>
        <w:t xml:space="preserve">Respondents expressed fear that information they give government could ultimately be used against them. </w:t>
      </w:r>
      <w:r w:rsidRPr="004B1D40">
        <w:rPr>
          <w:rStyle w:val="EndnoteReference"/>
        </w:rPr>
        <w:endnoteReference w:id="49"/>
      </w:r>
      <w:r>
        <w:rPr>
          <w:vertAlign w:val="superscript"/>
        </w:rPr>
        <w:t xml:space="preserve">, </w:t>
      </w:r>
      <w:r>
        <w:rPr>
          <w:rStyle w:val="EndnoteReference"/>
        </w:rPr>
        <w:endnoteReference w:id="50"/>
      </w:r>
      <w:r>
        <w:rPr>
          <w:vertAlign w:val="superscript"/>
        </w:rPr>
        <w:t xml:space="preserve">, </w:t>
      </w:r>
      <w:r>
        <w:rPr>
          <w:rStyle w:val="EndnoteReference"/>
        </w:rPr>
        <w:endnoteReference w:id="51"/>
      </w:r>
    </w:p>
    <w:p w:rsidR="00CC3940" w:rsidRPr="004B1D40" w:rsidRDefault="00CC3940" w:rsidP="00CC3940">
      <w:pPr>
        <w:pStyle w:val="ListParagraph"/>
        <w:spacing w:after="0" w:line="240" w:lineRule="auto"/>
        <w:ind w:left="360"/>
        <w:rPr>
          <w:u w:val="single"/>
        </w:rPr>
      </w:pPr>
    </w:p>
    <w:p w:rsidR="00CC3940" w:rsidRPr="00AA0D5C" w:rsidRDefault="00CC3940" w:rsidP="00CC3940">
      <w:pPr>
        <w:pStyle w:val="ListParagraph"/>
        <w:numPr>
          <w:ilvl w:val="0"/>
          <w:numId w:val="25"/>
        </w:numPr>
        <w:spacing w:after="0" w:line="240" w:lineRule="auto"/>
        <w:ind w:left="360"/>
        <w:rPr>
          <w:u w:val="single"/>
        </w:rPr>
      </w:pPr>
      <w:r>
        <w:rPr>
          <w:u w:val="single"/>
        </w:rPr>
        <w:t xml:space="preserve">The public is most likely to respond </w:t>
      </w:r>
      <w:r w:rsidRPr="0011083F">
        <w:rPr>
          <w:u w:val="single"/>
        </w:rPr>
        <w:t>favorably to statistical studies involving their personal information</w:t>
      </w:r>
      <w:r>
        <w:rPr>
          <w:u w:val="single"/>
        </w:rPr>
        <w:t xml:space="preserve"> when they understand the uses and potential benefits of the studies.</w:t>
      </w:r>
      <w:r w:rsidRPr="0011083F">
        <w:rPr>
          <w:rStyle w:val="EndnoteReference"/>
        </w:rPr>
        <w:endnoteReference w:id="52"/>
      </w:r>
      <w:r>
        <w:rPr>
          <w:vertAlign w:val="superscript"/>
        </w:rPr>
        <w:t xml:space="preserve">, </w:t>
      </w:r>
      <w:r>
        <w:rPr>
          <w:rStyle w:val="EndnoteReference"/>
        </w:rPr>
        <w:endnoteReference w:id="53"/>
      </w:r>
      <w:r w:rsidRPr="0011083F">
        <w:t xml:space="preserve"> </w:t>
      </w:r>
    </w:p>
    <w:p w:rsidR="00CC3940" w:rsidRPr="00AA0D5C" w:rsidRDefault="00CC3940" w:rsidP="00CC3940">
      <w:pPr>
        <w:pStyle w:val="ListParagraph"/>
        <w:rPr>
          <w:u w:val="single"/>
        </w:rPr>
      </w:pPr>
    </w:p>
    <w:p w:rsidR="00CC3940" w:rsidRPr="00AA0D5C" w:rsidRDefault="00CC3940" w:rsidP="00CC3940">
      <w:pPr>
        <w:pStyle w:val="ListParagraph"/>
        <w:numPr>
          <w:ilvl w:val="0"/>
          <w:numId w:val="25"/>
        </w:numPr>
        <w:spacing w:after="0" w:line="240" w:lineRule="auto"/>
        <w:ind w:left="360"/>
        <w:rPr>
          <w:u w:val="single"/>
        </w:rPr>
      </w:pPr>
      <w:r w:rsidRPr="00AA0D5C">
        <w:rPr>
          <w:u w:val="single"/>
        </w:rPr>
        <w:t>Business respondents tend to place more importance on reporting burden than on concerns for the confidentiality of the information they report, as much of the data they report tends to be publicly available anyway.</w:t>
      </w:r>
      <w:r w:rsidRPr="00AA0D5C">
        <w:rPr>
          <w:rStyle w:val="EndnoteReference"/>
        </w:rPr>
        <w:endnoteReference w:id="54"/>
      </w:r>
      <w:r>
        <w:rPr>
          <w:vertAlign w:val="superscript"/>
        </w:rPr>
        <w:t xml:space="preserve">, </w:t>
      </w:r>
      <w:r w:rsidRPr="00AA0D5C">
        <w:rPr>
          <w:rStyle w:val="EndnoteReference"/>
        </w:rPr>
        <w:endnoteReference w:id="55"/>
      </w:r>
    </w:p>
    <w:p w:rsidR="00CC3940" w:rsidRDefault="00CC3940" w:rsidP="00CC3940">
      <w:pPr>
        <w:spacing w:after="0" w:line="240" w:lineRule="auto"/>
      </w:pPr>
    </w:p>
    <w:p w:rsidR="00CC3940" w:rsidRPr="00E5145C" w:rsidRDefault="00CC3940" w:rsidP="00CC3940">
      <w:pPr>
        <w:spacing w:after="0" w:line="240" w:lineRule="auto"/>
        <w:rPr>
          <w:b/>
        </w:rPr>
      </w:pPr>
      <w:r w:rsidRPr="00E5145C">
        <w:rPr>
          <w:b/>
        </w:rPr>
        <w:t>Impacts</w:t>
      </w:r>
    </w:p>
    <w:p w:rsidR="00CC3940" w:rsidRPr="00637E65" w:rsidRDefault="00CC3940" w:rsidP="00CC3940">
      <w:pPr>
        <w:pStyle w:val="ListParagraph"/>
        <w:numPr>
          <w:ilvl w:val="0"/>
          <w:numId w:val="30"/>
        </w:numPr>
        <w:tabs>
          <w:tab w:val="left" w:pos="0"/>
        </w:tabs>
        <w:spacing w:after="0" w:line="240" w:lineRule="auto"/>
        <w:ind w:left="360"/>
        <w:rPr>
          <w:u w:val="single"/>
        </w:rPr>
      </w:pPr>
      <w:r w:rsidRPr="00845D0D">
        <w:rPr>
          <w:u w:val="single"/>
        </w:rPr>
        <w:t>Concerns about privacy and confidentiality have a small but statistically significant effect in survey response rates.</w:t>
      </w:r>
      <w:r w:rsidRPr="007829D9">
        <w:rPr>
          <w:rStyle w:val="EndnoteReference"/>
        </w:rPr>
        <w:endnoteReference w:id="56"/>
      </w:r>
      <w:r>
        <w:rPr>
          <w:vertAlign w:val="superscript"/>
        </w:rPr>
        <w:t xml:space="preserve">, </w:t>
      </w:r>
      <w:r>
        <w:rPr>
          <w:rStyle w:val="EndnoteReference"/>
        </w:rPr>
        <w:endnoteReference w:id="57"/>
      </w:r>
      <w:r>
        <w:rPr>
          <w:vertAlign w:val="superscript"/>
        </w:rPr>
        <w:t xml:space="preserve">, </w:t>
      </w:r>
      <w:r w:rsidRPr="006B1E76">
        <w:rPr>
          <w:rStyle w:val="EndnoteReference"/>
        </w:rPr>
        <w:endnoteReference w:id="58"/>
      </w:r>
      <w:r>
        <w:rPr>
          <w:vertAlign w:val="superscript"/>
        </w:rPr>
        <w:t xml:space="preserve">, </w:t>
      </w:r>
      <w:r>
        <w:rPr>
          <w:rStyle w:val="EndnoteReference"/>
        </w:rPr>
        <w:endnoteReference w:id="59"/>
      </w:r>
    </w:p>
    <w:p w:rsidR="00CC3940" w:rsidRPr="00845D0D" w:rsidRDefault="00CC3940" w:rsidP="00CC3940">
      <w:pPr>
        <w:pStyle w:val="ListParagraph"/>
        <w:tabs>
          <w:tab w:val="left" w:pos="0"/>
        </w:tabs>
        <w:spacing w:after="0" w:line="240" w:lineRule="auto"/>
        <w:ind w:left="360"/>
        <w:rPr>
          <w:u w:val="single"/>
        </w:rPr>
      </w:pPr>
    </w:p>
    <w:p w:rsidR="00CC3940" w:rsidRPr="00637E65" w:rsidRDefault="00CC3940" w:rsidP="00CC3940">
      <w:pPr>
        <w:pStyle w:val="ListParagraph"/>
        <w:numPr>
          <w:ilvl w:val="0"/>
          <w:numId w:val="30"/>
        </w:numPr>
        <w:tabs>
          <w:tab w:val="left" w:pos="0"/>
        </w:tabs>
        <w:spacing w:after="0" w:line="240" w:lineRule="auto"/>
        <w:ind w:left="360"/>
        <w:rPr>
          <w:sz w:val="23"/>
          <w:szCs w:val="23"/>
          <w:u w:val="single"/>
        </w:rPr>
      </w:pPr>
      <w:r w:rsidRPr="00071306">
        <w:rPr>
          <w:sz w:val="23"/>
          <w:szCs w:val="23"/>
          <w:u w:val="single"/>
        </w:rPr>
        <w:t>If a respondent doubts that the government will keep their data confidential, they may simply not provide this information.</w:t>
      </w:r>
      <w:r w:rsidRPr="007829D9">
        <w:rPr>
          <w:rStyle w:val="EndnoteReference"/>
        </w:rPr>
        <w:endnoteReference w:id="60"/>
      </w:r>
      <w:r>
        <w:rPr>
          <w:sz w:val="23"/>
          <w:szCs w:val="23"/>
          <w:vertAlign w:val="superscript"/>
        </w:rPr>
        <w:t xml:space="preserve">, </w:t>
      </w:r>
      <w:r>
        <w:rPr>
          <w:rStyle w:val="EndnoteReference"/>
          <w:sz w:val="23"/>
          <w:szCs w:val="23"/>
        </w:rPr>
        <w:endnoteReference w:id="61"/>
      </w:r>
    </w:p>
    <w:p w:rsidR="00CC3940" w:rsidRPr="00637E65" w:rsidRDefault="00CC3940" w:rsidP="00CC3940">
      <w:pPr>
        <w:tabs>
          <w:tab w:val="left" w:pos="0"/>
        </w:tabs>
        <w:spacing w:after="0" w:line="240" w:lineRule="auto"/>
        <w:rPr>
          <w:sz w:val="23"/>
          <w:szCs w:val="23"/>
          <w:u w:val="single"/>
        </w:rPr>
      </w:pPr>
    </w:p>
    <w:p w:rsidR="00CC3940" w:rsidRPr="00845D0D" w:rsidRDefault="00CC3940" w:rsidP="00CC3940">
      <w:pPr>
        <w:pStyle w:val="ListParagraph"/>
        <w:numPr>
          <w:ilvl w:val="0"/>
          <w:numId w:val="30"/>
        </w:numPr>
        <w:tabs>
          <w:tab w:val="left" w:pos="0"/>
        </w:tabs>
        <w:spacing w:after="0" w:line="240" w:lineRule="auto"/>
        <w:ind w:left="360"/>
        <w:rPr>
          <w:u w:val="single"/>
        </w:rPr>
      </w:pPr>
      <w:r>
        <w:rPr>
          <w:u w:val="single"/>
        </w:rPr>
        <w:t xml:space="preserve">As trust falls the </w:t>
      </w:r>
      <w:r w:rsidRPr="00845D0D">
        <w:rPr>
          <w:u w:val="single"/>
        </w:rPr>
        <w:t>public</w:t>
      </w:r>
      <w:r>
        <w:rPr>
          <w:u w:val="single"/>
        </w:rPr>
        <w:t xml:space="preserve"> starts to</w:t>
      </w:r>
      <w:r w:rsidRPr="00845D0D">
        <w:rPr>
          <w:u w:val="single"/>
        </w:rPr>
        <w:t xml:space="preserve"> believe the government shouldn’t have the data</w:t>
      </w:r>
      <w:r>
        <w:rPr>
          <w:u w:val="single"/>
        </w:rPr>
        <w:t xml:space="preserve"> at all</w:t>
      </w:r>
      <w:r w:rsidRPr="00845D0D">
        <w:rPr>
          <w:u w:val="single"/>
        </w:rPr>
        <w:t xml:space="preserve">, promise of confidentiality doesn’t matter. </w:t>
      </w:r>
      <w:r w:rsidRPr="007829D9">
        <w:rPr>
          <w:rStyle w:val="EndnoteReference"/>
        </w:rPr>
        <w:endnoteReference w:id="62"/>
      </w:r>
      <w:r>
        <w:rPr>
          <w:vertAlign w:val="superscript"/>
        </w:rPr>
        <w:t xml:space="preserve">, </w:t>
      </w:r>
      <w:r>
        <w:rPr>
          <w:rStyle w:val="EndnoteReference"/>
        </w:rPr>
        <w:endnoteReference w:id="63"/>
      </w:r>
    </w:p>
    <w:p w:rsidR="00CC058A" w:rsidRDefault="00585E64"/>
    <w:sectPr w:rsidR="00CC058A" w:rsidSect="00CC3940">
      <w:footerReference w:type="default" r:id="rId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6C0" w:rsidRDefault="00A676C0" w:rsidP="00CC3940">
      <w:pPr>
        <w:spacing w:after="0" w:line="240" w:lineRule="auto"/>
      </w:pPr>
      <w:r>
        <w:separator/>
      </w:r>
    </w:p>
  </w:endnote>
  <w:endnote w:type="continuationSeparator" w:id="0">
    <w:p w:rsidR="00A676C0" w:rsidRDefault="00A676C0" w:rsidP="00CC3940">
      <w:pPr>
        <w:spacing w:after="0" w:line="240" w:lineRule="auto"/>
      </w:pPr>
      <w:r>
        <w:continuationSeparator/>
      </w:r>
    </w:p>
  </w:endnote>
  <w:endnote w:id="1">
    <w:p w:rsidR="00CC3940" w:rsidRPr="00845D0D" w:rsidRDefault="00CC3940" w:rsidP="00CC3940">
      <w:pPr>
        <w:spacing w:after="0" w:line="240" w:lineRule="auto"/>
        <w:rPr>
          <w:sz w:val="20"/>
          <w:szCs w:val="20"/>
        </w:rPr>
      </w:pPr>
      <w:r>
        <w:rPr>
          <w:rStyle w:val="EndnoteReference"/>
        </w:rPr>
        <w:endnoteRef/>
      </w:r>
      <w:r>
        <w:t xml:space="preserve"> </w:t>
      </w:r>
      <w:r w:rsidRPr="00845D0D">
        <w:rPr>
          <w:sz w:val="20"/>
          <w:szCs w:val="20"/>
        </w:rPr>
        <w:t xml:space="preserve">House, C. (2014). More Transparency? It’s Not Clear! Presentation at the Federal Committee on Statistical Methodology’s December Policy Conference. Washington, DC. </w:t>
      </w:r>
    </w:p>
  </w:endnote>
  <w:endnote w:id="2">
    <w:p w:rsidR="00CC3940" w:rsidRPr="00845D0D" w:rsidRDefault="00CC3940" w:rsidP="00CC3940">
      <w:pPr>
        <w:pStyle w:val="EndnoteText"/>
      </w:pPr>
      <w:r w:rsidRPr="00845D0D">
        <w:rPr>
          <w:rStyle w:val="EndnoteReference"/>
        </w:rPr>
        <w:endnoteRef/>
      </w:r>
      <w:r w:rsidRPr="00845D0D">
        <w:t xml:space="preserve"> Westin, A. (2003). Social and Political Dimensions of Privacy. Journal of Social Issues, 59(2): 431-453.</w:t>
      </w:r>
    </w:p>
  </w:endnote>
  <w:endnote w:id="3">
    <w:p w:rsidR="00CC3940" w:rsidRPr="00845D0D" w:rsidRDefault="00CC3940" w:rsidP="00CC3940">
      <w:pPr>
        <w:pStyle w:val="EndnoteText"/>
      </w:pPr>
      <w:r w:rsidRPr="00845D0D">
        <w:rPr>
          <w:rStyle w:val="EndnoteReference"/>
        </w:rPr>
        <w:endnoteRef/>
      </w:r>
      <w:r w:rsidRPr="00845D0D">
        <w:t xml:space="preserve"> Madden, M. (2014). Public Perceptions of Privacy and Security in the Post-Snowden Era. Pew Research Center: Washington, DC.  </w:t>
      </w:r>
    </w:p>
  </w:endnote>
  <w:endnote w:id="4">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5">
    <w:p w:rsidR="00CC3940" w:rsidRPr="00845D0D" w:rsidRDefault="00CC3940" w:rsidP="00CC3940">
      <w:pPr>
        <w:spacing w:after="0" w:line="240" w:lineRule="auto"/>
        <w:rPr>
          <w:sz w:val="20"/>
          <w:szCs w:val="20"/>
        </w:rPr>
      </w:pPr>
      <w:r w:rsidRPr="00845D0D">
        <w:rPr>
          <w:rStyle w:val="EndnoteReference"/>
          <w:sz w:val="20"/>
          <w:szCs w:val="20"/>
        </w:rPr>
        <w:endnoteRef/>
      </w:r>
      <w:r w:rsidRPr="00845D0D">
        <w:rPr>
          <w:sz w:val="20"/>
          <w:szCs w:val="20"/>
        </w:rPr>
        <w:t xml:space="preserve"> House, C. (2014). More Transparency? It’s Not Clear! Presentation at the Federal Committee on Statistical Methodology’s December Policy Conference. Washington, DC. </w:t>
      </w:r>
    </w:p>
  </w:endnote>
  <w:endnote w:id="6">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7">
    <w:p w:rsidR="00CC3940" w:rsidRPr="00845D0D" w:rsidRDefault="00CC3940" w:rsidP="00CC3940">
      <w:pPr>
        <w:pStyle w:val="EndnoteText"/>
      </w:pPr>
      <w:r w:rsidRPr="00845D0D">
        <w:rPr>
          <w:rStyle w:val="EndnoteReference"/>
        </w:rPr>
        <w:endnoteRef/>
      </w:r>
      <w:r w:rsidRPr="00845D0D">
        <w:t xml:space="preserve"> Pew Research Center. (2014). Public Trust in Government: 1958-2014. Washington, DC. Available: http://www.people-press.org/2014/11/13/public-trust-in-government/ </w:t>
      </w:r>
    </w:p>
  </w:endnote>
  <w:endnote w:id="8">
    <w:p w:rsidR="00CC3940" w:rsidRPr="00845D0D" w:rsidRDefault="00CC3940" w:rsidP="00CC3940">
      <w:pPr>
        <w:pStyle w:val="EndnoteText"/>
      </w:pPr>
      <w:r w:rsidRPr="00845D0D">
        <w:rPr>
          <w:rStyle w:val="EndnoteReference"/>
        </w:rPr>
        <w:endnoteRef/>
      </w:r>
      <w:r w:rsidRPr="00845D0D">
        <w:t xml:space="preserve"> Madden, M. (2014). Public Perceptions of Privacy and Security in the Post-Snowden Era. Pew Research Center: Washington, DC.  </w:t>
      </w:r>
    </w:p>
  </w:endnote>
  <w:endnote w:id="9">
    <w:p w:rsidR="00CC3940" w:rsidRPr="00845D0D" w:rsidRDefault="00CC3940" w:rsidP="00CC3940">
      <w:pPr>
        <w:pStyle w:val="EndnoteText"/>
      </w:pPr>
      <w:r w:rsidRPr="00845D0D">
        <w:rPr>
          <w:rStyle w:val="EndnoteReference"/>
        </w:rPr>
        <w:endnoteRef/>
      </w:r>
      <w:r w:rsidRPr="00845D0D">
        <w:t xml:space="preserve"> Rainie, L. (2015). Networked Privacy in the Age of Surveillance, Sousveillance, Coveillance. Harvard University - “Privacy in a Networked World” Workshop. Cambridge, MA.</w:t>
      </w:r>
    </w:p>
  </w:endnote>
  <w:endnote w:id="10">
    <w:p w:rsidR="00CC3940" w:rsidRPr="00845D0D" w:rsidRDefault="00CC3940" w:rsidP="00CC3940">
      <w:pPr>
        <w:pStyle w:val="EndnoteText"/>
      </w:pPr>
      <w:r w:rsidRPr="00845D0D">
        <w:rPr>
          <w:rStyle w:val="EndnoteReference"/>
        </w:rPr>
        <w:endnoteRef/>
      </w:r>
      <w:r w:rsidRPr="00845D0D">
        <w:t xml:space="preserve"> Madden, M. (2014). Public Perceptions of Privacy and Security in the Post-Snowden Era. Pew Research Center: Washington, DC.  </w:t>
      </w:r>
    </w:p>
  </w:endnote>
  <w:endnote w:id="11">
    <w:p w:rsidR="00CC3940" w:rsidRPr="00845D0D" w:rsidRDefault="00CC3940" w:rsidP="00CC3940">
      <w:pPr>
        <w:pStyle w:val="EndnoteText"/>
      </w:pPr>
      <w:r w:rsidRPr="00845D0D">
        <w:rPr>
          <w:rStyle w:val="EndnoteReference"/>
        </w:rPr>
        <w:endnoteRef/>
      </w:r>
      <w:r w:rsidRPr="00845D0D">
        <w:t xml:space="preserve"> Rainie, L. (2015). Networked Privacy in the Age of Surveillance, Sousveillance, Coveillance. Harvard University - “Privacy in a Networked World” Workshop. Cambridge, MA.</w:t>
      </w:r>
    </w:p>
  </w:endnote>
  <w:endnote w:id="12">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13">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4">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5">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6">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7">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18">
    <w:p w:rsidR="00CC3940" w:rsidRPr="00845D0D" w:rsidRDefault="00CC3940" w:rsidP="00CC3940">
      <w:pPr>
        <w:pStyle w:val="EndnoteText"/>
      </w:pPr>
      <w:r w:rsidRPr="00845D0D">
        <w:rPr>
          <w:rStyle w:val="EndnoteReference"/>
        </w:rPr>
        <w:endnoteRef/>
      </w:r>
      <w:r w:rsidRPr="00845D0D">
        <w:t xml:space="preserve"> Childs, J.H. (2013). Trust in Federal Statistics and the Statistical Use of Administrative Records. Council of Professional Associations on Federal Statistics Quarterly meeting, December 2013. Washington, DC.</w:t>
      </w:r>
    </w:p>
  </w:endnote>
  <w:endnote w:id="19">
    <w:p w:rsidR="00CC3940" w:rsidRDefault="00CC3940" w:rsidP="00CC3940">
      <w:pPr>
        <w:pStyle w:val="EndnoteText"/>
      </w:pPr>
      <w:r>
        <w:rPr>
          <w:rStyle w:val="EndnoteReference"/>
        </w:rPr>
        <w:endnoteRef/>
      </w:r>
      <w:r>
        <w:t xml:space="preserve"> </w:t>
      </w:r>
      <w:r w:rsidRPr="004B1D40">
        <w:t>ICF Macro. (2012). Census Barriers, Attitudes, and Motivators Survey II (CBAMS II) Final Report. 2010 Census Planning Memoranda Series: No. 205. U.S. Census Bureau. June 26, 2012.</w:t>
      </w:r>
    </w:p>
  </w:endnote>
  <w:endnote w:id="20">
    <w:p w:rsidR="00CC3940" w:rsidRDefault="00CC3940" w:rsidP="00CC3940">
      <w:pPr>
        <w:pStyle w:val="EndnoteText"/>
      </w:pPr>
      <w:r>
        <w:rPr>
          <w:rStyle w:val="EndnoteReference"/>
        </w:rPr>
        <w:endnoteRef/>
      </w:r>
      <w:r>
        <w:t xml:space="preserve"> </w:t>
      </w:r>
      <w:r w:rsidRPr="004B1D40">
        <w:t>Macro International, Inc. (2009). Census Barriers, Attitudes and Motivators Survey: Analytical Report. 2010 Census Integrated Communication Research Memorandum Series: No.11. U.S. Census Bureau. May 9, 2009.</w:t>
      </w:r>
    </w:p>
  </w:endnote>
  <w:endnote w:id="21">
    <w:p w:rsidR="00CC3940" w:rsidRDefault="00CC3940" w:rsidP="00CC3940">
      <w:pPr>
        <w:pStyle w:val="EndnoteText"/>
      </w:pPr>
      <w:r>
        <w:rPr>
          <w:rStyle w:val="EndnoteReference"/>
        </w:rPr>
        <w:endnoteRef/>
      </w:r>
      <w:r>
        <w:t xml:space="preserve"> Greenia, N., Jensen, J.B. &amp; Lane, J. (2001a). Business Perceptions of Confidentiality. In Doyle, P., Lane, J, Zayatz, L. &amp; Theeuwes, J. (eds.) Confidentiality, Disclosure and Data Access: Theory and Practical Applications for Statistical Agencies, North Holland.</w:t>
      </w:r>
    </w:p>
  </w:endnote>
  <w:endnote w:id="22">
    <w:p w:rsidR="00CC3940" w:rsidRDefault="00CC3940" w:rsidP="00CC3940">
      <w:pPr>
        <w:pStyle w:val="EndnoteText"/>
      </w:pPr>
      <w:r>
        <w:rPr>
          <w:rStyle w:val="EndnoteReference"/>
        </w:rPr>
        <w:endnoteRef/>
      </w:r>
      <w:r>
        <w:t xml:space="preserve"> Singer, E. (2003). Census 2000 Testing, Experimentation, and Evaluation Program Topic Report No.1, TR-1, Privacy Research in Census 2000, U. S. Census Bureau, Washington, DC, 20233.</w:t>
      </w:r>
    </w:p>
  </w:endnote>
  <w:endnote w:id="23">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24">
    <w:p w:rsidR="00CC3940" w:rsidRPr="00845D0D" w:rsidRDefault="00CC3940" w:rsidP="00CC3940">
      <w:pPr>
        <w:pStyle w:val="EndnoteText"/>
      </w:pPr>
      <w:r w:rsidRPr="00845D0D">
        <w:rPr>
          <w:rStyle w:val="EndnoteReference"/>
        </w:rPr>
        <w:endnoteRef/>
      </w:r>
      <w:r w:rsidRPr="00845D0D">
        <w:t xml:space="preserve"> Childs, J.H. (2013). Trust in Federal Statistics and the Statistical Use of Administrative Records. Council of Professional Associations on Federal Statistics Quarterly meeting, December 2013. Washington, DC.</w:t>
      </w:r>
    </w:p>
  </w:endnote>
  <w:endnote w:id="25">
    <w:p w:rsidR="00CC3940" w:rsidRDefault="00CC3940" w:rsidP="00CC3940">
      <w:pPr>
        <w:pStyle w:val="EndnoteText"/>
      </w:pPr>
      <w:r>
        <w:rPr>
          <w:rStyle w:val="EndnoteReference"/>
        </w:rPr>
        <w:endnoteRef/>
      </w:r>
      <w:r>
        <w:t xml:space="preserve"> </w:t>
      </w:r>
      <w:r w:rsidRPr="004B1D40">
        <w:t>ICF Macro. (2012). Census Barriers, Attitudes, and Motivators Survey II (CBAMS II) Final Report. 2010 Census Planning Memoranda Series: No. 205. U.S. Census Bureau. June 26, 2012.</w:t>
      </w:r>
    </w:p>
  </w:endnote>
  <w:endnote w:id="26">
    <w:p w:rsidR="00CC3940" w:rsidRDefault="00CC3940" w:rsidP="00CC3940">
      <w:pPr>
        <w:pStyle w:val="EndnoteText"/>
      </w:pPr>
      <w:r>
        <w:rPr>
          <w:rStyle w:val="EndnoteReference"/>
        </w:rPr>
        <w:endnoteRef/>
      </w:r>
      <w:r>
        <w:t xml:space="preserve"> </w:t>
      </w:r>
      <w:r w:rsidRPr="004B1D40">
        <w:t>Macro International, Inc. (2009). Census Barriers, Attitudes and Motivators Survey: Analytical Report. 2010 Census Integrated Communication Research Memorandum Series: No.11. U.S. Census Bureau. May 9, 2009.</w:t>
      </w:r>
    </w:p>
  </w:endnote>
  <w:endnote w:id="27">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28">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29">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30">
    <w:p w:rsidR="00CC3940" w:rsidRDefault="00CC3940" w:rsidP="00CC3940">
      <w:pPr>
        <w:pStyle w:val="EndnoteText"/>
      </w:pPr>
      <w:r>
        <w:rPr>
          <w:rStyle w:val="EndnoteReference"/>
        </w:rPr>
        <w:endnoteRef/>
      </w:r>
      <w:r>
        <w:t xml:space="preserve"> Martin, E. (2006). </w:t>
      </w:r>
      <w:r w:rsidRPr="0057760A">
        <w:t>Privacy Concerns and the Census Long Form: Some Evidence from Census 2000</w:t>
      </w:r>
      <w:r>
        <w:t>. Research Report Series (Survey Methodology #2006-10). U.S. Census Bureau: Washington, DC.</w:t>
      </w:r>
    </w:p>
  </w:endnote>
  <w:endnote w:id="31">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32">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33">
    <w:p w:rsidR="00CC3940" w:rsidRDefault="00CC3940" w:rsidP="00CC3940">
      <w:pPr>
        <w:pStyle w:val="EndnoteText"/>
      </w:pPr>
      <w:r>
        <w:rPr>
          <w:rStyle w:val="EndnoteReference"/>
        </w:rPr>
        <w:endnoteRef/>
      </w:r>
      <w:r>
        <w:t xml:space="preserve"> Greenia, N., Jensen, J.B. &amp; Lane, J. (2001a). Business Perceptions of Confidentiality. In Doyle, P., Lane, J, Zayatz, L. &amp; Theeuwes, J. (eds.) Confidentiality, Disclosure and Data Access: Theory and Practical Applications for Statistical Agencies, North Holland.</w:t>
      </w:r>
    </w:p>
  </w:endnote>
  <w:endnote w:id="34">
    <w:p w:rsidR="00CC3940" w:rsidRDefault="00CC3940" w:rsidP="00CC3940">
      <w:pPr>
        <w:pStyle w:val="EndnoteText"/>
      </w:pPr>
      <w:r>
        <w:rPr>
          <w:rStyle w:val="EndnoteReference"/>
        </w:rPr>
        <w:endnoteRef/>
      </w:r>
      <w:r>
        <w:t xml:space="preserve"> Gerber, E. and Landreth, A. (2007). Respondents’ Understandings of Confidentiality in a Changing Privacy Environment. Survey Methodology #2007-37, Statistical Research Division, U.S. Census Bureau: Washington, D.C</w:t>
      </w:r>
    </w:p>
  </w:endnote>
  <w:endnote w:id="35">
    <w:p w:rsidR="00CC3940" w:rsidRDefault="00CC3940" w:rsidP="00CC3940">
      <w:pPr>
        <w:pStyle w:val="EndnoteText"/>
      </w:pPr>
      <w:r>
        <w:rPr>
          <w:rStyle w:val="EndnoteReference"/>
        </w:rPr>
        <w:endnoteRef/>
      </w:r>
      <w:r>
        <w:t xml:space="preserve"> Singer, E. (2003). Census 2000 Testing, Experimentation, and Evaluation Program Topic Report No.1, TR-1, Privacy Research in Census 2000, U. S. Census Bureau, Washington, DC, 20233.</w:t>
      </w:r>
    </w:p>
  </w:endnote>
  <w:endnote w:id="36">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37">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38">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39">
    <w:p w:rsidR="00CC3940" w:rsidRDefault="00CC3940" w:rsidP="00CC3940">
      <w:pPr>
        <w:pStyle w:val="EndnoteText"/>
      </w:pPr>
      <w:r>
        <w:rPr>
          <w:rStyle w:val="EndnoteReference"/>
        </w:rPr>
        <w:endnoteRef/>
      </w:r>
      <w:r>
        <w:t xml:space="preserve"> </w:t>
      </w:r>
      <w:r w:rsidRPr="00CE5473">
        <w:t>Willimack, D.K. (2001). Business Perceptions of Confidentiality and Their Attitudes toward data Sharing among Federal Statistical Agencies. U.S. Census Bureau, Washington, D.C.</w:t>
      </w:r>
    </w:p>
  </w:endnote>
  <w:endnote w:id="40">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41">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42">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43">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44">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45">
    <w:p w:rsidR="00CC3940" w:rsidRDefault="00CC3940" w:rsidP="00CC3940">
      <w:pPr>
        <w:pStyle w:val="EndnoteText"/>
      </w:pPr>
      <w:r>
        <w:rPr>
          <w:rStyle w:val="EndnoteReference"/>
        </w:rPr>
        <w:endnoteRef/>
      </w:r>
      <w:r>
        <w:t xml:space="preserve"> Gerber, E. and Landreth, A. (2007). Respondents’ Understandings of Confidentiality in a Changing Privacy Environment. Survey Methodology #2007-37, Statistical Research Division, U.S. Census Bureau: Washington, D.C</w:t>
      </w:r>
    </w:p>
  </w:endnote>
  <w:endnote w:id="46">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47">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48">
    <w:p w:rsidR="00CC3940" w:rsidRDefault="00CC3940" w:rsidP="00CC3940">
      <w:pPr>
        <w:pStyle w:val="EndnoteText"/>
      </w:pPr>
      <w:r>
        <w:rPr>
          <w:rStyle w:val="EndnoteReference"/>
        </w:rPr>
        <w:endnoteRef/>
      </w:r>
      <w:r>
        <w:t xml:space="preserve"> Gerber, E. and Landreth, A. (2007). Respondents’ Understandings of Confidentiality in a Changing Privacy Environment. Survey Methodology #2007-37, Statistical Research Division, U.S. Census Bureau: Washington, D.C</w:t>
      </w:r>
    </w:p>
  </w:endnote>
  <w:endnote w:id="49">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50">
    <w:p w:rsidR="00CC3940" w:rsidRDefault="00CC3940" w:rsidP="00CC3940">
      <w:pPr>
        <w:pStyle w:val="EndnoteText"/>
      </w:pPr>
      <w:r>
        <w:rPr>
          <w:rStyle w:val="EndnoteReference"/>
        </w:rPr>
        <w:endnoteRef/>
      </w:r>
      <w:r>
        <w:t xml:space="preserve"> Martin, E. (2006). </w:t>
      </w:r>
      <w:r w:rsidRPr="0057760A">
        <w:t>Privacy Concerns and the Census Long Form: Some Evidence from Census 2000</w:t>
      </w:r>
      <w:r>
        <w:t>. Research Report Series (Survey Methodology #2006-10). U.S. Census Bureau: Washington, DC.</w:t>
      </w:r>
    </w:p>
  </w:endnote>
  <w:endnote w:id="51">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52">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53">
    <w:p w:rsidR="00CC3940" w:rsidRDefault="00CC3940" w:rsidP="00CC3940">
      <w:pPr>
        <w:pStyle w:val="EndnoteText"/>
      </w:pPr>
      <w:r>
        <w:rPr>
          <w:rStyle w:val="EndnoteReference"/>
        </w:rPr>
        <w:endnoteRef/>
      </w:r>
      <w:r>
        <w:t xml:space="preserve"> Guarino, J. A., Hill, J. M., and Woltman, H. F. (2001). Analysis of the social security number notification component of the social security number, privacy attitudes, and notification experiment. U.S. Census Bureau, Washington, D.C. http://www.census.gov/pred/www/rpts/SPAN_Notification.pdf.</w:t>
      </w:r>
    </w:p>
  </w:endnote>
  <w:endnote w:id="54">
    <w:p w:rsidR="00CC3940" w:rsidRDefault="00CC3940" w:rsidP="00CC3940">
      <w:pPr>
        <w:pStyle w:val="EndnoteText"/>
      </w:pPr>
      <w:r>
        <w:rPr>
          <w:rStyle w:val="EndnoteReference"/>
        </w:rPr>
        <w:endnoteRef/>
      </w:r>
      <w:r>
        <w:t xml:space="preserve"> Willimack, Diane K. (2001) “Businesses’ perceptions of confidentiality and their attitudes towards data sharing among federal statistical agencies.” Paper presented at the meeting of the Federal Committee on Statistical Methodology.</w:t>
      </w:r>
    </w:p>
  </w:endnote>
  <w:endnote w:id="55">
    <w:p w:rsidR="00CC3940" w:rsidRDefault="00CC3940" w:rsidP="00CC3940">
      <w:pPr>
        <w:pStyle w:val="EndnoteText"/>
      </w:pPr>
      <w:r>
        <w:rPr>
          <w:rStyle w:val="EndnoteReference"/>
        </w:rPr>
        <w:endnoteRef/>
      </w:r>
      <w:r>
        <w:t xml:space="preserve"> Nichols, Elizabeth and Diane K. Willimack (2001) “Balancing confidentiality and burden concerns in censuses and surveys of large businesses.” Paper presented at the meeting of the Federal Committee on Statistical Methodology.</w:t>
      </w:r>
    </w:p>
  </w:endnote>
  <w:endnote w:id="56">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57">
    <w:p w:rsidR="00CC3940" w:rsidRDefault="00CC3940" w:rsidP="00CC3940">
      <w:pPr>
        <w:pStyle w:val="EndnoteText"/>
      </w:pPr>
      <w:r>
        <w:rPr>
          <w:rStyle w:val="EndnoteReference"/>
        </w:rPr>
        <w:endnoteRef/>
      </w:r>
      <w:r>
        <w:t xml:space="preserve"> E. Singer, J. Van Hoewyk, R. J. Neugebauer. Attitudes and Behavior: The Impact of Privacy and Confidentiality on Participation in the 2000 Census. (2003). Public Opinion Quarterly 67(368): 368-384.</w:t>
      </w:r>
    </w:p>
  </w:endnote>
  <w:endnote w:id="58">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59">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60">
    <w:p w:rsidR="00CC3940" w:rsidRDefault="00CC3940" w:rsidP="00CC3940">
      <w:pPr>
        <w:pStyle w:val="EndnoteText"/>
      </w:pPr>
      <w:r>
        <w:rPr>
          <w:rStyle w:val="EndnoteReference"/>
        </w:rPr>
        <w:endnoteRef/>
      </w:r>
      <w:r>
        <w:t xml:space="preserve"> </w:t>
      </w:r>
      <w:r w:rsidRPr="00302CE2">
        <w:t>Childs, J.H. and Smirnova, M. (2012). Using Cognitive Interviewing to Detect Privacy and Confidentiality Concerns.  Proceedings of the Survey Research Methods Section, ASA.</w:t>
      </w:r>
    </w:p>
  </w:endnote>
  <w:endnote w:id="61">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62">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63">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332453"/>
      <w:docPartObj>
        <w:docPartGallery w:val="Page Numbers (Bottom of Page)"/>
        <w:docPartUnique/>
      </w:docPartObj>
    </w:sdtPr>
    <w:sdtEndPr>
      <w:rPr>
        <w:noProof/>
      </w:rPr>
    </w:sdtEndPr>
    <w:sdtContent>
      <w:p w:rsidR="00CC3940" w:rsidRDefault="00CC3940">
        <w:pPr>
          <w:pStyle w:val="Footer"/>
          <w:jc w:val="center"/>
        </w:pPr>
        <w:r>
          <w:fldChar w:fldCharType="begin"/>
        </w:r>
        <w:r>
          <w:instrText xml:space="preserve"> PAGE   \* MERGEFORMAT </w:instrText>
        </w:r>
        <w:r>
          <w:fldChar w:fldCharType="separate"/>
        </w:r>
        <w:r w:rsidR="00585E64">
          <w:rPr>
            <w:noProof/>
          </w:rPr>
          <w:t>1</w:t>
        </w:r>
        <w:r>
          <w:rPr>
            <w:noProof/>
          </w:rPr>
          <w:fldChar w:fldCharType="end"/>
        </w:r>
      </w:p>
    </w:sdtContent>
  </w:sdt>
  <w:p w:rsidR="00CC3940" w:rsidRDefault="00CC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6C0" w:rsidRDefault="00A676C0" w:rsidP="00CC3940">
      <w:pPr>
        <w:spacing w:after="0" w:line="240" w:lineRule="auto"/>
      </w:pPr>
      <w:r>
        <w:separator/>
      </w:r>
    </w:p>
  </w:footnote>
  <w:footnote w:type="continuationSeparator" w:id="0">
    <w:p w:rsidR="00A676C0" w:rsidRDefault="00A676C0" w:rsidP="00CC3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F7C61"/>
    <w:multiLevelType w:val="hybridMultilevel"/>
    <w:tmpl w:val="BAF255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04E12"/>
    <w:multiLevelType w:val="hybridMultilevel"/>
    <w:tmpl w:val="8B78F7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93A48"/>
    <w:multiLevelType w:val="hybridMultilevel"/>
    <w:tmpl w:val="11961B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24D2D"/>
    <w:multiLevelType w:val="hybridMultilevel"/>
    <w:tmpl w:val="EE18A2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3474F"/>
    <w:multiLevelType w:val="hybridMultilevel"/>
    <w:tmpl w:val="AA888E3A"/>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5">
    <w:nsid w:val="21EB6DA3"/>
    <w:multiLevelType w:val="hybridMultilevel"/>
    <w:tmpl w:val="C4DCD3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34414"/>
    <w:multiLevelType w:val="hybridMultilevel"/>
    <w:tmpl w:val="EC1A4A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C2A94"/>
    <w:multiLevelType w:val="hybridMultilevel"/>
    <w:tmpl w:val="391E9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54BFD"/>
    <w:multiLevelType w:val="hybridMultilevel"/>
    <w:tmpl w:val="C54C7A98"/>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9">
    <w:nsid w:val="35A4038F"/>
    <w:multiLevelType w:val="hybridMultilevel"/>
    <w:tmpl w:val="A46AEF50"/>
    <w:lvl w:ilvl="0" w:tplc="0409000F">
      <w:start w:val="1"/>
      <w:numFmt w:val="decimal"/>
      <w:lvlText w:val="%1."/>
      <w:lvlJc w:val="left"/>
      <w:pPr>
        <w:ind w:left="1458" w:hanging="360"/>
      </w:pPr>
      <w:rPr>
        <w:rFonts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nsid w:val="35B87F67"/>
    <w:multiLevelType w:val="hybridMultilevel"/>
    <w:tmpl w:val="C374E8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A1F2A"/>
    <w:multiLevelType w:val="hybridMultilevel"/>
    <w:tmpl w:val="72744A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A47C3"/>
    <w:multiLevelType w:val="hybridMultilevel"/>
    <w:tmpl w:val="AD52B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167E46"/>
    <w:multiLevelType w:val="hybridMultilevel"/>
    <w:tmpl w:val="0930BE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9042FB"/>
    <w:multiLevelType w:val="hybridMultilevel"/>
    <w:tmpl w:val="B5E6AD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B35EF"/>
    <w:multiLevelType w:val="hybridMultilevel"/>
    <w:tmpl w:val="8BDA97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942A1D"/>
    <w:multiLevelType w:val="hybridMultilevel"/>
    <w:tmpl w:val="8E2497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4092A"/>
    <w:multiLevelType w:val="hybridMultilevel"/>
    <w:tmpl w:val="01D498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A6EBF"/>
    <w:multiLevelType w:val="hybridMultilevel"/>
    <w:tmpl w:val="D1DED16C"/>
    <w:lvl w:ilvl="0" w:tplc="04090001">
      <w:start w:val="1"/>
      <w:numFmt w:val="bullet"/>
      <w:lvlText w:val=""/>
      <w:lvlJc w:val="left"/>
      <w:pPr>
        <w:ind w:left="1458" w:hanging="360"/>
      </w:pPr>
      <w:rPr>
        <w:rFonts w:ascii="Symbol" w:hAnsi="Symbol" w:hint="default"/>
      </w:rPr>
    </w:lvl>
    <w:lvl w:ilvl="1" w:tplc="04090003">
      <w:start w:val="1"/>
      <w:numFmt w:val="bullet"/>
      <w:lvlText w:val="o"/>
      <w:lvlJc w:val="left"/>
      <w:pPr>
        <w:ind w:left="2178" w:hanging="360"/>
      </w:pPr>
      <w:rPr>
        <w:rFonts w:ascii="Courier New" w:hAnsi="Courier New" w:cs="Courier New" w:hint="default"/>
      </w:rPr>
    </w:lvl>
    <w:lvl w:ilvl="2" w:tplc="04090003">
      <w:start w:val="1"/>
      <w:numFmt w:val="bullet"/>
      <w:lvlText w:val="o"/>
      <w:lvlJc w:val="left"/>
      <w:pPr>
        <w:ind w:left="2898" w:hanging="360"/>
      </w:pPr>
      <w:rPr>
        <w:rFonts w:ascii="Courier New" w:hAnsi="Courier New" w:cs="Courier New"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9">
    <w:nsid w:val="5BCE38F6"/>
    <w:multiLevelType w:val="hybridMultilevel"/>
    <w:tmpl w:val="CE985A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FA029E"/>
    <w:multiLevelType w:val="hybridMultilevel"/>
    <w:tmpl w:val="1F94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B0404E"/>
    <w:multiLevelType w:val="hybridMultilevel"/>
    <w:tmpl w:val="6F48A1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3E6C71"/>
    <w:multiLevelType w:val="hybridMultilevel"/>
    <w:tmpl w:val="DAC44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565A6E"/>
    <w:multiLevelType w:val="hybridMultilevel"/>
    <w:tmpl w:val="E7AAEA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644B4"/>
    <w:multiLevelType w:val="hybridMultilevel"/>
    <w:tmpl w:val="F65A96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4C6F42"/>
    <w:multiLevelType w:val="hybridMultilevel"/>
    <w:tmpl w:val="E924C8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853BB"/>
    <w:multiLevelType w:val="hybridMultilevel"/>
    <w:tmpl w:val="DB8E9522"/>
    <w:lvl w:ilvl="0" w:tplc="0409000F">
      <w:start w:val="1"/>
      <w:numFmt w:val="decimal"/>
      <w:lvlText w:val="%1."/>
      <w:lvlJc w:val="left"/>
      <w:pPr>
        <w:ind w:left="1458" w:hanging="360"/>
      </w:pPr>
      <w:rPr>
        <w:rFonts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7">
    <w:nsid w:val="73363E3E"/>
    <w:multiLevelType w:val="hybridMultilevel"/>
    <w:tmpl w:val="88221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B29E1"/>
    <w:multiLevelType w:val="hybridMultilevel"/>
    <w:tmpl w:val="A0C63B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0C60C3"/>
    <w:multiLevelType w:val="hybridMultilevel"/>
    <w:tmpl w:val="AE3822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96628"/>
    <w:multiLevelType w:val="hybridMultilevel"/>
    <w:tmpl w:val="C8C249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24"/>
  </w:num>
  <w:num w:numId="4">
    <w:abstractNumId w:val="2"/>
  </w:num>
  <w:num w:numId="5">
    <w:abstractNumId w:val="7"/>
  </w:num>
  <w:num w:numId="6">
    <w:abstractNumId w:val="16"/>
  </w:num>
  <w:num w:numId="7">
    <w:abstractNumId w:val="30"/>
  </w:num>
  <w:num w:numId="8">
    <w:abstractNumId w:val="19"/>
  </w:num>
  <w:num w:numId="9">
    <w:abstractNumId w:val="15"/>
  </w:num>
  <w:num w:numId="10">
    <w:abstractNumId w:val="21"/>
  </w:num>
  <w:num w:numId="11">
    <w:abstractNumId w:val="29"/>
  </w:num>
  <w:num w:numId="12">
    <w:abstractNumId w:val="11"/>
  </w:num>
  <w:num w:numId="13">
    <w:abstractNumId w:val="5"/>
  </w:num>
  <w:num w:numId="14">
    <w:abstractNumId w:val="23"/>
  </w:num>
  <w:num w:numId="15">
    <w:abstractNumId w:val="1"/>
  </w:num>
  <w:num w:numId="16">
    <w:abstractNumId w:val="14"/>
  </w:num>
  <w:num w:numId="17">
    <w:abstractNumId w:val="13"/>
  </w:num>
  <w:num w:numId="18">
    <w:abstractNumId w:val="0"/>
  </w:num>
  <w:num w:numId="19">
    <w:abstractNumId w:val="10"/>
  </w:num>
  <w:num w:numId="20">
    <w:abstractNumId w:val="28"/>
  </w:num>
  <w:num w:numId="21">
    <w:abstractNumId w:val="3"/>
  </w:num>
  <w:num w:numId="22">
    <w:abstractNumId w:val="12"/>
  </w:num>
  <w:num w:numId="23">
    <w:abstractNumId w:val="6"/>
  </w:num>
  <w:num w:numId="24">
    <w:abstractNumId w:val="22"/>
  </w:num>
  <w:num w:numId="25">
    <w:abstractNumId w:val="9"/>
  </w:num>
  <w:num w:numId="26">
    <w:abstractNumId w:val="8"/>
  </w:num>
  <w:num w:numId="27">
    <w:abstractNumId w:val="18"/>
  </w:num>
  <w:num w:numId="28">
    <w:abstractNumId w:val="4"/>
  </w:num>
  <w:num w:numId="29">
    <w:abstractNumId w:val="26"/>
  </w:num>
  <w:num w:numId="30">
    <w:abstractNumId w:val="2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40"/>
    <w:rsid w:val="00012F7A"/>
    <w:rsid w:val="00090512"/>
    <w:rsid w:val="00092E87"/>
    <w:rsid w:val="000C61E3"/>
    <w:rsid w:val="000E280D"/>
    <w:rsid w:val="000F50BF"/>
    <w:rsid w:val="00156388"/>
    <w:rsid w:val="00287BE3"/>
    <w:rsid w:val="002E07D3"/>
    <w:rsid w:val="003B3A17"/>
    <w:rsid w:val="003C7C39"/>
    <w:rsid w:val="003D7484"/>
    <w:rsid w:val="003F54FE"/>
    <w:rsid w:val="004B5CE4"/>
    <w:rsid w:val="004E29E7"/>
    <w:rsid w:val="004E7F23"/>
    <w:rsid w:val="005268F5"/>
    <w:rsid w:val="00585DF7"/>
    <w:rsid w:val="00585E64"/>
    <w:rsid w:val="006D4ADC"/>
    <w:rsid w:val="006D5FBD"/>
    <w:rsid w:val="0075653B"/>
    <w:rsid w:val="007B26A6"/>
    <w:rsid w:val="007D4D8D"/>
    <w:rsid w:val="00811EA1"/>
    <w:rsid w:val="00823976"/>
    <w:rsid w:val="0086264E"/>
    <w:rsid w:val="00944CF3"/>
    <w:rsid w:val="009601C8"/>
    <w:rsid w:val="009676CD"/>
    <w:rsid w:val="009678A7"/>
    <w:rsid w:val="0098002A"/>
    <w:rsid w:val="009B738E"/>
    <w:rsid w:val="009D4947"/>
    <w:rsid w:val="00A676C0"/>
    <w:rsid w:val="00A86E9C"/>
    <w:rsid w:val="00B10BA2"/>
    <w:rsid w:val="00B550C4"/>
    <w:rsid w:val="00B71695"/>
    <w:rsid w:val="00BC2919"/>
    <w:rsid w:val="00C33C2C"/>
    <w:rsid w:val="00C551B6"/>
    <w:rsid w:val="00CC3940"/>
    <w:rsid w:val="00D433C4"/>
    <w:rsid w:val="00E32915"/>
    <w:rsid w:val="00E40532"/>
    <w:rsid w:val="00EE5F12"/>
    <w:rsid w:val="00F6494B"/>
    <w:rsid w:val="00F66BC3"/>
    <w:rsid w:val="00F97D22"/>
    <w:rsid w:val="00FE4E9C"/>
    <w:rsid w:val="00FE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A3C7B-4059-408C-B67B-47615FCE9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40"/>
  </w:style>
  <w:style w:type="paragraph" w:styleId="Footer">
    <w:name w:val="footer"/>
    <w:basedOn w:val="Normal"/>
    <w:link w:val="FooterChar"/>
    <w:uiPriority w:val="99"/>
    <w:unhideWhenUsed/>
    <w:rsid w:val="00CC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40"/>
  </w:style>
  <w:style w:type="paragraph" w:styleId="ListParagraph">
    <w:name w:val="List Paragraph"/>
    <w:basedOn w:val="Normal"/>
    <w:uiPriority w:val="34"/>
    <w:qFormat/>
    <w:rsid w:val="00CC3940"/>
    <w:pPr>
      <w:ind w:left="720"/>
      <w:contextualSpacing/>
    </w:pPr>
  </w:style>
  <w:style w:type="paragraph" w:styleId="EndnoteText">
    <w:name w:val="endnote text"/>
    <w:basedOn w:val="Normal"/>
    <w:link w:val="EndnoteTextChar"/>
    <w:uiPriority w:val="99"/>
    <w:semiHidden/>
    <w:unhideWhenUsed/>
    <w:rsid w:val="00CC3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3940"/>
    <w:rPr>
      <w:sz w:val="20"/>
      <w:szCs w:val="20"/>
    </w:rPr>
  </w:style>
  <w:style w:type="character" w:styleId="EndnoteReference">
    <w:name w:val="endnote reference"/>
    <w:basedOn w:val="DefaultParagraphFont"/>
    <w:uiPriority w:val="99"/>
    <w:semiHidden/>
    <w:unhideWhenUsed/>
    <w:rsid w:val="00CC3940"/>
    <w:rPr>
      <w:vertAlign w:val="superscript"/>
    </w:rPr>
  </w:style>
  <w:style w:type="paragraph" w:styleId="BalloonText">
    <w:name w:val="Balloon Text"/>
    <w:basedOn w:val="Normal"/>
    <w:link w:val="BalloonTextChar"/>
    <w:uiPriority w:val="99"/>
    <w:semiHidden/>
    <w:unhideWhenUsed/>
    <w:rsid w:val="0098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2A"/>
    <w:rPr>
      <w:rFonts w:ascii="Tahoma" w:hAnsi="Tahoma" w:cs="Tahoma"/>
      <w:sz w:val="16"/>
      <w:szCs w:val="16"/>
    </w:rPr>
  </w:style>
  <w:style w:type="character" w:styleId="CommentReference">
    <w:name w:val="annotation reference"/>
    <w:basedOn w:val="DefaultParagraphFont"/>
    <w:uiPriority w:val="99"/>
    <w:semiHidden/>
    <w:unhideWhenUsed/>
    <w:rsid w:val="00E40532"/>
    <w:rPr>
      <w:sz w:val="16"/>
      <w:szCs w:val="16"/>
    </w:rPr>
  </w:style>
  <w:style w:type="paragraph" w:styleId="CommentText">
    <w:name w:val="annotation text"/>
    <w:basedOn w:val="Normal"/>
    <w:link w:val="CommentTextChar"/>
    <w:uiPriority w:val="99"/>
    <w:semiHidden/>
    <w:unhideWhenUsed/>
    <w:rsid w:val="00E40532"/>
    <w:pPr>
      <w:spacing w:line="240" w:lineRule="auto"/>
    </w:pPr>
    <w:rPr>
      <w:sz w:val="20"/>
      <w:szCs w:val="20"/>
    </w:rPr>
  </w:style>
  <w:style w:type="character" w:customStyle="1" w:styleId="CommentTextChar">
    <w:name w:val="Comment Text Char"/>
    <w:basedOn w:val="DefaultParagraphFont"/>
    <w:link w:val="CommentText"/>
    <w:uiPriority w:val="99"/>
    <w:semiHidden/>
    <w:rsid w:val="00E40532"/>
    <w:rPr>
      <w:sz w:val="20"/>
      <w:szCs w:val="20"/>
    </w:rPr>
  </w:style>
  <w:style w:type="paragraph" w:styleId="CommentSubject">
    <w:name w:val="annotation subject"/>
    <w:basedOn w:val="CommentText"/>
    <w:next w:val="CommentText"/>
    <w:link w:val="CommentSubjectChar"/>
    <w:uiPriority w:val="99"/>
    <w:semiHidden/>
    <w:unhideWhenUsed/>
    <w:rsid w:val="00E40532"/>
    <w:rPr>
      <w:b/>
      <w:bCs/>
    </w:rPr>
  </w:style>
  <w:style w:type="character" w:customStyle="1" w:styleId="CommentSubjectChar">
    <w:name w:val="Comment Subject Char"/>
    <w:basedOn w:val="CommentTextChar"/>
    <w:link w:val="CommentSubject"/>
    <w:uiPriority w:val="99"/>
    <w:semiHidden/>
    <w:rsid w:val="00E40532"/>
    <w:rPr>
      <w:b/>
      <w:bCs/>
      <w:sz w:val="20"/>
      <w:szCs w:val="20"/>
    </w:rPr>
  </w:style>
  <w:style w:type="paragraph" w:customStyle="1" w:styleId="Level1">
    <w:name w:val="Level 1"/>
    <w:rsid w:val="00012F7A"/>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21C0-A870-4840-90E3-6456715D2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1731</Words>
  <Characters>9869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McDonough, Matthew D. (CONTR)</dc:creator>
  <cp:lastModifiedBy>A1</cp:lastModifiedBy>
  <cp:revision>2</cp:revision>
  <cp:lastPrinted>2015-02-12T21:17:00Z</cp:lastPrinted>
  <dcterms:created xsi:type="dcterms:W3CDTF">2015-05-22T17:59:00Z</dcterms:created>
  <dcterms:modified xsi:type="dcterms:W3CDTF">2015-05-22T17:59:00Z</dcterms:modified>
</cp:coreProperties>
</file>