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Look w:val="0000" w:firstRow="0" w:lastRow="0" w:firstColumn="0" w:lastColumn="0" w:noHBand="0" w:noVBand="0"/>
      </w:tblPr>
      <w:tblGrid>
        <w:gridCol w:w="2364"/>
        <w:gridCol w:w="7266"/>
      </w:tblGrid>
      <w:tr w:rsidR="00F86771">
        <w:trPr>
          <w:trHeight w:val="1400"/>
        </w:trPr>
        <w:tc>
          <w:tcPr>
            <w:tcW w:w="2364" w:type="dxa"/>
          </w:tcPr>
          <w:p w:rsidR="00F86771" w:rsidRDefault="00E34E9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rPr>
                <w:szCs w:val="20"/>
              </w:rPr>
            </w:pPr>
            <w:r>
              <w:rPr>
                <w:rFonts w:ascii="Univers" w:hAnsi="Univers"/>
                <w:b/>
                <w:bCs/>
                <w:noProof/>
                <w:sz w:val="29"/>
                <w:szCs w:val="29"/>
              </w:rPr>
              <w:drawing>
                <wp:inline distT="0" distB="0" distL="0" distR="0" wp14:anchorId="2BC4A822" wp14:editId="3272EA62">
                  <wp:extent cx="857250" cy="847725"/>
                  <wp:effectExtent l="19050" t="0" r="0" b="0"/>
                  <wp:docPr id="1" name="Picture 1" descr="Do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bw"/>
                          <pic:cNvPicPr>
                            <a:picLocks noChangeAspect="1" noChangeArrowheads="1"/>
                          </pic:cNvPicPr>
                        </pic:nvPicPr>
                        <pic:blipFill>
                          <a:blip r:embed="rId9" cstate="print"/>
                          <a:srcRect/>
                          <a:stretch>
                            <a:fillRect/>
                          </a:stretch>
                        </pic:blipFill>
                        <pic:spPr bwMode="auto">
                          <a:xfrm>
                            <a:off x="0" y="0"/>
                            <a:ext cx="857250" cy="847725"/>
                          </a:xfrm>
                          <a:prstGeom prst="rect">
                            <a:avLst/>
                          </a:prstGeom>
                          <a:noFill/>
                          <a:ln w="9525">
                            <a:noFill/>
                            <a:miter lim="800000"/>
                            <a:headEnd/>
                            <a:tailEnd/>
                          </a:ln>
                        </pic:spPr>
                      </pic:pic>
                    </a:graphicData>
                  </a:graphic>
                </wp:inline>
              </w:drawing>
            </w:r>
          </w:p>
        </w:tc>
        <w:tc>
          <w:tcPr>
            <w:tcW w:w="7266" w:type="dxa"/>
          </w:tcPr>
          <w:p w:rsidR="00F86771" w:rsidRDefault="00F86771">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rPr>
                <w:szCs w:val="20"/>
              </w:rPr>
            </w:pPr>
            <w:r>
              <w:rPr>
                <w:szCs w:val="20"/>
              </w:rPr>
              <w:t xml:space="preserve"> </w:t>
            </w:r>
          </w:p>
          <w:p w:rsidR="00F86771" w:rsidRDefault="00F86771">
            <w:pPr>
              <w:tabs>
                <w:tab w:val="center" w:pos="5616"/>
                <w:tab w:val="left" w:pos="5976"/>
                <w:tab w:val="left" w:pos="6696"/>
                <w:tab w:val="left" w:pos="7416"/>
                <w:tab w:val="left" w:pos="8136"/>
                <w:tab w:val="left" w:pos="8856"/>
                <w:tab w:val="left" w:pos="9576"/>
                <w:tab w:val="left" w:pos="10296"/>
              </w:tabs>
              <w:spacing w:line="191" w:lineRule="auto"/>
              <w:ind w:left="936" w:right="936"/>
              <w:jc w:val="center"/>
              <w:rPr>
                <w:rFonts w:ascii="Univers" w:hAnsi="Univers"/>
                <w:sz w:val="29"/>
                <w:szCs w:val="29"/>
              </w:rPr>
            </w:pPr>
            <w:r>
              <w:rPr>
                <w:rFonts w:ascii="Univers" w:hAnsi="Univers"/>
                <w:b/>
                <w:bCs/>
                <w:sz w:val="29"/>
                <w:szCs w:val="29"/>
              </w:rPr>
              <w:t>Department of Energy</w:t>
            </w:r>
          </w:p>
          <w:p w:rsidR="00F86771" w:rsidRDefault="00F86771">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Cs w:val="20"/>
              </w:rPr>
            </w:pPr>
            <w:smartTag w:uri="urn:schemas-microsoft-com:office:smarttags" w:element="place">
              <w:smartTag w:uri="urn:schemas-microsoft-com:office:smarttags" w:element="City">
                <w:r>
                  <w:rPr>
                    <w:rFonts w:ascii="Univers" w:hAnsi="Univers"/>
                    <w:sz w:val="19"/>
                    <w:szCs w:val="19"/>
                  </w:rPr>
                  <w:t>Washington</w:t>
                </w:r>
              </w:smartTag>
              <w:r>
                <w:rPr>
                  <w:rFonts w:ascii="Univers" w:hAnsi="Univers"/>
                  <w:sz w:val="19"/>
                  <w:szCs w:val="19"/>
                </w:rPr>
                <w:t xml:space="preserve">, </w:t>
              </w:r>
              <w:smartTag w:uri="urn:schemas-microsoft-com:office:smarttags" w:element="State">
                <w:r>
                  <w:rPr>
                    <w:rFonts w:ascii="Univers" w:hAnsi="Univers"/>
                    <w:sz w:val="19"/>
                    <w:szCs w:val="19"/>
                  </w:rPr>
                  <w:t>DC</w:t>
                </w:r>
              </w:smartTag>
              <w:r>
                <w:rPr>
                  <w:rFonts w:ascii="Univers" w:hAnsi="Univers"/>
                  <w:sz w:val="19"/>
                  <w:szCs w:val="19"/>
                </w:rPr>
                <w:t xml:space="preserve"> </w:t>
              </w:r>
              <w:smartTag w:uri="urn:schemas-microsoft-com:office:smarttags" w:element="PostalCode">
                <w:r>
                  <w:rPr>
                    <w:rFonts w:ascii="Univers" w:hAnsi="Univers"/>
                    <w:sz w:val="19"/>
                    <w:szCs w:val="19"/>
                  </w:rPr>
                  <w:t>20585</w:t>
                </w:r>
              </w:smartTag>
            </w:smartTag>
          </w:p>
          <w:p w:rsidR="00F86771" w:rsidRDefault="00F86771">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rPr>
                <w:szCs w:val="20"/>
              </w:rPr>
            </w:pPr>
          </w:p>
          <w:p w:rsidR="00F86771" w:rsidRDefault="00E663A1" w:rsidP="0016215A">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Cs w:val="20"/>
              </w:rPr>
            </w:pPr>
            <w:r>
              <w:rPr>
                <w:szCs w:val="20"/>
              </w:rPr>
              <w:t>August 26, 2015</w:t>
            </w:r>
          </w:p>
        </w:tc>
      </w:tr>
    </w:tbl>
    <w:p w:rsidR="00F86771" w:rsidRDefault="00F86771"/>
    <w:p w:rsidR="00D072DD" w:rsidRDefault="00D072DD" w:rsidP="00D072DD">
      <w:r>
        <w:t>Department of Energy Desk Officer</w:t>
      </w:r>
    </w:p>
    <w:p w:rsidR="00D072DD" w:rsidRDefault="00D072DD" w:rsidP="00D072DD">
      <w:r>
        <w:t>Office of Information and Regulatory Affairs</w:t>
      </w:r>
    </w:p>
    <w:p w:rsidR="00D072DD" w:rsidRDefault="00D072DD" w:rsidP="00D072DD">
      <w:r>
        <w:t>Office of Management and Budget</w:t>
      </w:r>
    </w:p>
    <w:p w:rsidR="00D072DD" w:rsidRDefault="00D072DD" w:rsidP="00D072DD">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20503</w:t>
          </w:r>
        </w:smartTag>
      </w:smartTag>
    </w:p>
    <w:p w:rsidR="00F86771" w:rsidRDefault="00F86771">
      <w:pPr>
        <w:pStyle w:val="Default"/>
        <w:rPr>
          <w:sz w:val="22"/>
          <w:szCs w:val="22"/>
        </w:rPr>
      </w:pPr>
      <w:r>
        <w:rPr>
          <w:sz w:val="22"/>
          <w:szCs w:val="22"/>
        </w:rPr>
        <w:t xml:space="preserve"> </w:t>
      </w:r>
    </w:p>
    <w:p w:rsidR="00F86771" w:rsidRDefault="00F86771"/>
    <w:p w:rsidR="00561FEB" w:rsidRPr="007E30AE" w:rsidRDefault="00F86771" w:rsidP="007E30AE">
      <w:r w:rsidRPr="007E30AE">
        <w:t xml:space="preserve">SUBJECT: Use of Generic Clearance for </w:t>
      </w:r>
      <w:r w:rsidR="000E5DD2" w:rsidRPr="007E30AE">
        <w:t xml:space="preserve">U.S. </w:t>
      </w:r>
      <w:r w:rsidRPr="007E30AE">
        <w:t>Energy Information Administration (EIA-</w:t>
      </w:r>
      <w:proofErr w:type="gramStart"/>
      <w:r w:rsidRPr="007E30AE">
        <w:t>882T(</w:t>
      </w:r>
      <w:proofErr w:type="gramEnd"/>
      <w:r w:rsidR="00084F14">
        <w:t>61</w:t>
      </w:r>
      <w:r w:rsidRPr="007E30AE">
        <w:t xml:space="preserve">), </w:t>
      </w:r>
      <w:r w:rsidR="00A423F6" w:rsidRPr="007E30AE">
        <w:t xml:space="preserve">approved under OMB number </w:t>
      </w:r>
      <w:r w:rsidRPr="007E30AE">
        <w:t>1905-0186)</w:t>
      </w:r>
      <w:r w:rsidR="003E23C2" w:rsidRPr="007E30AE">
        <w:t>,</w:t>
      </w:r>
      <w:r w:rsidRPr="007E30AE">
        <w:t xml:space="preserve"> </w:t>
      </w:r>
      <w:r w:rsidR="000E5DD2" w:rsidRPr="007E30AE">
        <w:t>to conduct</w:t>
      </w:r>
      <w:r w:rsidR="002E6721">
        <w:t xml:space="preserve"> second</w:t>
      </w:r>
      <w:r w:rsidR="00561FEB" w:rsidRPr="007E30AE">
        <w:t xml:space="preserve"> </w:t>
      </w:r>
      <w:r w:rsidR="002E6721">
        <w:t>pilot test</w:t>
      </w:r>
      <w:r w:rsidR="00747AAD">
        <w:t xml:space="preserve"> of </w:t>
      </w:r>
      <w:r w:rsidR="002130B8">
        <w:t>Web and mail</w:t>
      </w:r>
      <w:r w:rsidR="00747AAD">
        <w:t xml:space="preserve"> modes of collection for form EIA-457A</w:t>
      </w:r>
      <w:r w:rsidR="00E34E9D" w:rsidRPr="007E30AE">
        <w:t>, “</w:t>
      </w:r>
      <w:r w:rsidR="009062DB">
        <w:t>Residential Energy Consumption Survey</w:t>
      </w:r>
      <w:r w:rsidR="00762589">
        <w:t>.</w:t>
      </w:r>
      <w:r w:rsidR="00E34E9D" w:rsidRPr="007E30AE">
        <w:t>”</w:t>
      </w:r>
    </w:p>
    <w:p w:rsidR="00F86771" w:rsidRPr="007E30AE" w:rsidRDefault="00F86771" w:rsidP="007E30AE">
      <w:pPr>
        <w:autoSpaceDE w:val="0"/>
        <w:autoSpaceDN w:val="0"/>
        <w:adjustRightInd w:val="0"/>
      </w:pPr>
    </w:p>
    <w:p w:rsidR="00F86771" w:rsidRPr="007E30AE" w:rsidRDefault="00F86771" w:rsidP="007E30AE">
      <w:pPr>
        <w:autoSpaceDE w:val="0"/>
        <w:autoSpaceDN w:val="0"/>
        <w:adjustRightInd w:val="0"/>
      </w:pPr>
      <w:r w:rsidRPr="007E30AE">
        <w:t xml:space="preserve">Dear </w:t>
      </w:r>
      <w:r w:rsidR="00F0356D">
        <w:t>Desk Officer</w:t>
      </w:r>
      <w:r w:rsidRPr="007E30AE">
        <w:t>:</w:t>
      </w:r>
    </w:p>
    <w:p w:rsidR="00F86771" w:rsidRPr="007E30AE" w:rsidRDefault="00F86771" w:rsidP="007E30AE">
      <w:pPr>
        <w:autoSpaceDE w:val="0"/>
        <w:autoSpaceDN w:val="0"/>
        <w:adjustRightInd w:val="0"/>
      </w:pPr>
    </w:p>
    <w:p w:rsidR="00753699" w:rsidRDefault="00762589" w:rsidP="007E30AE">
      <w:pPr>
        <w:autoSpaceDE w:val="0"/>
        <w:autoSpaceDN w:val="0"/>
        <w:adjustRightInd w:val="0"/>
      </w:pPr>
      <w:r w:rsidRPr="00177C08">
        <w:t>The Residential Energy Consumption Survey (RECS) is a periodic series of surveys of households and their energy suppliers with the purpose of collecting and reporting energy characteristics, consumption, and expenditures data of homes in the United States. The data are widely used throughout the government</w:t>
      </w:r>
      <w:r w:rsidR="001C633B">
        <w:t>, academia</w:t>
      </w:r>
      <w:r w:rsidRPr="00177C08">
        <w:t xml:space="preserve"> and the private sector </w:t>
      </w:r>
      <w:r w:rsidR="001C633B">
        <w:t xml:space="preserve">to understand current and future energy demand.  Results </w:t>
      </w:r>
      <w:r w:rsidRPr="00177C08">
        <w:t xml:space="preserve">are </w:t>
      </w:r>
      <w:r w:rsidR="001C633B">
        <w:t xml:space="preserve">released </w:t>
      </w:r>
      <w:r w:rsidRPr="00177C08">
        <w:t>via data tables, public-use data files, and analysis articles.</w:t>
      </w:r>
    </w:p>
    <w:p w:rsidR="00762589" w:rsidRPr="007E30AE" w:rsidRDefault="00762589" w:rsidP="007E30AE">
      <w:pPr>
        <w:autoSpaceDE w:val="0"/>
        <w:autoSpaceDN w:val="0"/>
        <w:adjustRightInd w:val="0"/>
        <w:rPr>
          <w:iCs/>
        </w:rPr>
      </w:pPr>
    </w:p>
    <w:p w:rsidR="003D707B" w:rsidRDefault="006A0A5C" w:rsidP="003D707B">
      <w:r w:rsidRPr="007E30AE">
        <w:rPr>
          <w:b/>
        </w:rPr>
        <w:t>Background</w:t>
      </w:r>
      <w:r w:rsidR="00AA7069" w:rsidRPr="007E30AE">
        <w:rPr>
          <w:b/>
        </w:rPr>
        <w:t>:</w:t>
      </w:r>
      <w:r w:rsidR="00000DE6" w:rsidRPr="007E30AE">
        <w:t xml:space="preserve"> </w:t>
      </w:r>
      <w:r w:rsidR="003D707B" w:rsidRPr="000E6F5B">
        <w:t xml:space="preserve">The Household Survey phase of EIA’s RECS program </w:t>
      </w:r>
      <w:r w:rsidR="003D707B">
        <w:t xml:space="preserve">(Form 457A) </w:t>
      </w:r>
      <w:r w:rsidR="003D707B" w:rsidRPr="000E6F5B">
        <w:t xml:space="preserve">has been conducted primarily using in-person interviews since its inception in the late 1970s. Since 1997, EIA and its contractors have used computer-assisted personal interviewing (CAPI) as the means to collect household and structural characteristics </w:t>
      </w:r>
      <w:r w:rsidR="001C633B">
        <w:t xml:space="preserve">data </w:t>
      </w:r>
      <w:r w:rsidR="003D707B" w:rsidRPr="000E6F5B">
        <w:t xml:space="preserve">related to energy use in the residential sector. With the rising cost of in-person interviews and the time lapse between each RECS cycle, EIA seeks to test the feasibility, cost effectiveness, time efficiency, and response validity of conducting the RECS Household Survey in </w:t>
      </w:r>
      <w:r w:rsidR="003D707B">
        <w:t xml:space="preserve">self-administered (Web and mail) </w:t>
      </w:r>
      <w:r w:rsidR="003D707B" w:rsidRPr="000E6F5B">
        <w:t>modes</w:t>
      </w:r>
      <w:r w:rsidR="003D707B">
        <w:t xml:space="preserve">. </w:t>
      </w:r>
      <w:r w:rsidR="003D707B" w:rsidRPr="000E6F5B">
        <w:t xml:space="preserve"> </w:t>
      </w:r>
      <w:r w:rsidR="003D707B">
        <w:t xml:space="preserve">If proven successful, these new modes of collection will make data collection more sustainable, flexible, and cost effective for </w:t>
      </w:r>
      <w:r w:rsidR="001C633B">
        <w:t>residential demand analyses</w:t>
      </w:r>
      <w:r w:rsidR="003D707B" w:rsidRPr="000E6F5B">
        <w:t>.</w:t>
      </w:r>
      <w:r w:rsidR="003D707B">
        <w:t xml:space="preserve"> Using Web and mail modes of data collection </w:t>
      </w:r>
      <w:r w:rsidR="003D707B" w:rsidRPr="000E6F5B">
        <w:t xml:space="preserve">may </w:t>
      </w:r>
      <w:r w:rsidR="003D707B">
        <w:t xml:space="preserve">also </w:t>
      </w:r>
      <w:r w:rsidR="003D707B" w:rsidRPr="000E6F5B">
        <w:t xml:space="preserve">allow EIA to extend program capacities to cover </w:t>
      </w:r>
      <w:r w:rsidR="001C633B">
        <w:t xml:space="preserve">new </w:t>
      </w:r>
      <w:r w:rsidR="003D707B" w:rsidRPr="000E6F5B">
        <w:t>topics</w:t>
      </w:r>
      <w:r w:rsidR="001C633B">
        <w:t>, close</w:t>
      </w:r>
      <w:r w:rsidR="003D707B" w:rsidRPr="000E6F5B">
        <w:t xml:space="preserve"> data gaps, </w:t>
      </w:r>
      <w:r w:rsidR="001C633B">
        <w:t>and</w:t>
      </w:r>
      <w:r w:rsidR="001C633B" w:rsidRPr="000E6F5B">
        <w:t xml:space="preserve"> </w:t>
      </w:r>
      <w:r w:rsidR="003D707B" w:rsidRPr="000E6F5B">
        <w:t>develop estimates for small</w:t>
      </w:r>
      <w:r w:rsidR="001C633B">
        <w:t xml:space="preserve">er geographic </w:t>
      </w:r>
      <w:r w:rsidR="003D707B" w:rsidRPr="000E6F5B">
        <w:t xml:space="preserve">areas. </w:t>
      </w:r>
    </w:p>
    <w:p w:rsidR="002E6721" w:rsidRDefault="002E6721" w:rsidP="003D707B"/>
    <w:p w:rsidR="002E6721" w:rsidRPr="000E6F5B" w:rsidRDefault="001C633B" w:rsidP="003D707B">
      <w:r>
        <w:t>In spring</w:t>
      </w:r>
      <w:r w:rsidR="002E6721">
        <w:t xml:space="preserve"> 2015, EIA conducted </w:t>
      </w:r>
      <w:r>
        <w:t>a small</w:t>
      </w:r>
      <w:r w:rsidR="002E6721">
        <w:t xml:space="preserve"> pilot test of </w:t>
      </w:r>
      <w:r w:rsidR="00973763">
        <w:t xml:space="preserve">Web and mail </w:t>
      </w:r>
      <w:r w:rsidR="002E6721">
        <w:t>modes of collection in five U.S. cities (the “Cities Pilot”)</w:t>
      </w:r>
      <w:r>
        <w:t>.</w:t>
      </w:r>
      <w:r w:rsidR="002E6721">
        <w:t xml:space="preserve"> EIA now proposes a nationwide test of these new modes</w:t>
      </w:r>
      <w:r>
        <w:t xml:space="preserve">. This pilot </w:t>
      </w:r>
      <w:r w:rsidR="002E6721">
        <w:t xml:space="preserve">will allow for </w:t>
      </w:r>
      <w:r>
        <w:t xml:space="preserve">a </w:t>
      </w:r>
      <w:r w:rsidR="002E6721">
        <w:t>direct comparison</w:t>
      </w:r>
      <w:r>
        <w:t xml:space="preserve"> of results using the new methods against </w:t>
      </w:r>
      <w:r w:rsidR="002E6721">
        <w:t xml:space="preserve">the official </w:t>
      </w:r>
      <w:r w:rsidR="00973763">
        <w:t xml:space="preserve">in-person interviews from the </w:t>
      </w:r>
      <w:r w:rsidR="002E6721">
        <w:t>2015 RECS benchmark</w:t>
      </w:r>
      <w:r w:rsidR="00973763">
        <w:t>. The 2015 RECS will be</w:t>
      </w:r>
      <w:r>
        <w:t xml:space="preserve"> </w:t>
      </w:r>
      <w:r w:rsidR="002E6721">
        <w:t xml:space="preserve">conducted </w:t>
      </w:r>
      <w:r>
        <w:t xml:space="preserve">concurrently with the proposed </w:t>
      </w:r>
      <w:r w:rsidR="004330E6">
        <w:t>National P</w:t>
      </w:r>
      <w:r>
        <w:t xml:space="preserve">ilot </w:t>
      </w:r>
      <w:r w:rsidR="002E6721">
        <w:t xml:space="preserve">test.  </w:t>
      </w:r>
    </w:p>
    <w:p w:rsidR="008C4A77" w:rsidRPr="00063F71" w:rsidRDefault="008C4A77" w:rsidP="00747AAD">
      <w:pPr>
        <w:rPr>
          <w:bCs/>
        </w:rPr>
      </w:pPr>
    </w:p>
    <w:p w:rsidR="004330E6" w:rsidRDefault="00B50AF7" w:rsidP="002032A8">
      <w:r w:rsidRPr="00747AAD">
        <w:rPr>
          <w:b/>
        </w:rPr>
        <w:lastRenderedPageBreak/>
        <w:t>Proposed Methods</w:t>
      </w:r>
      <w:r w:rsidR="00D4728C" w:rsidRPr="00747AAD">
        <w:t>:</w:t>
      </w:r>
      <w:r w:rsidR="00D4728C" w:rsidRPr="00063F71">
        <w:t xml:space="preserve"> </w:t>
      </w:r>
      <w:r w:rsidR="003D707B" w:rsidRPr="000E6F5B">
        <w:t>EIA will conduct</w:t>
      </w:r>
      <w:r w:rsidR="003D707B">
        <w:t xml:space="preserve"> a </w:t>
      </w:r>
      <w:r w:rsidR="002E6721">
        <w:t>National</w:t>
      </w:r>
      <w:r w:rsidR="003D707B">
        <w:t xml:space="preserve"> Pilot test of the Household Survey</w:t>
      </w:r>
      <w:r w:rsidR="003D707B" w:rsidRPr="000E6F5B">
        <w:t xml:space="preserve"> </w:t>
      </w:r>
      <w:r w:rsidR="003D707B">
        <w:t>using</w:t>
      </w:r>
      <w:r w:rsidR="00327543">
        <w:t xml:space="preserve"> Web and mail</w:t>
      </w:r>
      <w:r w:rsidR="003D707B">
        <w:t xml:space="preserve"> data collection</w:t>
      </w:r>
      <w:r w:rsidR="003D707B" w:rsidRPr="000E6F5B">
        <w:t xml:space="preserve"> modes</w:t>
      </w:r>
      <w:r w:rsidR="000839F3">
        <w:t>.</w:t>
      </w:r>
      <w:r w:rsidR="00E602B5">
        <w:t xml:space="preserve"> </w:t>
      </w:r>
      <w:r w:rsidR="000839F3">
        <w:t xml:space="preserve">This pilot test will </w:t>
      </w:r>
      <w:r w:rsidR="00E602B5">
        <w:t>incorpor</w:t>
      </w:r>
      <w:r w:rsidR="000839F3">
        <w:t>ate</w:t>
      </w:r>
      <w:r w:rsidR="00E602B5">
        <w:t xml:space="preserve"> key </w:t>
      </w:r>
      <w:r w:rsidR="002032A8">
        <w:t xml:space="preserve">design elements and lessons learned from the </w:t>
      </w:r>
      <w:r w:rsidR="000839F3">
        <w:t>Cities Pilot</w:t>
      </w:r>
      <w:r w:rsidR="00DD122B">
        <w:t xml:space="preserve"> in order to compare these results against our benchmark RECS CAPI collection</w:t>
      </w:r>
      <w:r w:rsidR="000839F3">
        <w:t>.</w:t>
      </w:r>
      <w:r w:rsidR="003D707B">
        <w:t> </w:t>
      </w:r>
    </w:p>
    <w:p w:rsidR="002032A8" w:rsidRDefault="002032A8" w:rsidP="002032A8"/>
    <w:p w:rsidR="00E602B5" w:rsidRDefault="00E602B5" w:rsidP="00DD122B">
      <w:pPr>
        <w:pStyle w:val="ListParagraph"/>
        <w:numPr>
          <w:ilvl w:val="0"/>
          <w:numId w:val="17"/>
        </w:numPr>
      </w:pPr>
      <w:r>
        <w:t>The Cities Pilot test</w:t>
      </w:r>
      <w:r w:rsidR="007625BA">
        <w:t>ed</w:t>
      </w:r>
      <w:r>
        <w:t xml:space="preserve"> open-ended response options for appliance usage questions. Results showed that </w:t>
      </w:r>
      <w:r w:rsidR="007625BA">
        <w:t xml:space="preserve">response </w:t>
      </w:r>
      <w:r>
        <w:t xml:space="preserve">quality was sufficient to </w:t>
      </w:r>
      <w:r w:rsidR="007625BA">
        <w:t xml:space="preserve">support their </w:t>
      </w:r>
      <w:r>
        <w:t>use in the National Pilot</w:t>
      </w:r>
      <w:r w:rsidR="007625BA">
        <w:t xml:space="preserve">. Response options for these items were also updated in the </w:t>
      </w:r>
      <w:r>
        <w:t>official 2015 RECS survey collected via CAPI.</w:t>
      </w:r>
    </w:p>
    <w:p w:rsidR="00E602B5" w:rsidRDefault="007625BA" w:rsidP="00DD122B">
      <w:pPr>
        <w:pStyle w:val="ListParagraph"/>
        <w:numPr>
          <w:ilvl w:val="0"/>
          <w:numId w:val="17"/>
        </w:numPr>
      </w:pPr>
      <w:r>
        <w:t>In one experiment embedded in t</w:t>
      </w:r>
      <w:r w:rsidR="00E602B5">
        <w:t>he Cities Pilot</w:t>
      </w:r>
      <w:r>
        <w:t>, we studied the impact of survey length on response rates and bias.</w:t>
      </w:r>
      <w:r w:rsidR="00E602B5">
        <w:t xml:space="preserve"> </w:t>
      </w:r>
      <w:r>
        <w:t xml:space="preserve">We </w:t>
      </w:r>
      <w:r w:rsidR="00DD122B">
        <w:t xml:space="preserve">randomized respondents to </w:t>
      </w:r>
      <w:r>
        <w:t xml:space="preserve">receive either a long or short </w:t>
      </w:r>
      <w:r w:rsidR="00E602B5">
        <w:t>self-administered questionnaire</w:t>
      </w:r>
      <w:r>
        <w:t xml:space="preserve">. The long form, at 30 minutes, included </w:t>
      </w:r>
      <w:r w:rsidR="00DD122B">
        <w:t>the full battery of RECS questions</w:t>
      </w:r>
      <w:r>
        <w:t xml:space="preserve">; </w:t>
      </w:r>
      <w:r w:rsidR="00DD122B">
        <w:t xml:space="preserve">the </w:t>
      </w:r>
      <w:r>
        <w:t xml:space="preserve">short form, at 20 minutes, was a reduced set of </w:t>
      </w:r>
      <w:r w:rsidR="00DD122B">
        <w:t>questions</w:t>
      </w:r>
      <w:r w:rsidR="00E602B5">
        <w:t xml:space="preserve">. </w:t>
      </w:r>
      <w:r>
        <w:t>The impact on response rates was negligible (</w:t>
      </w:r>
      <w:r w:rsidR="00E602B5">
        <w:t>a 2% difference</w:t>
      </w:r>
      <w:r>
        <w:t>)</w:t>
      </w:r>
      <w:r w:rsidR="00DD122B">
        <w:t xml:space="preserve">, so we will field the </w:t>
      </w:r>
      <w:r>
        <w:t xml:space="preserve">full, </w:t>
      </w:r>
      <w:r w:rsidR="00DD122B">
        <w:t xml:space="preserve">long form only in the National Pilot </w:t>
      </w:r>
      <w:r>
        <w:t>te</w:t>
      </w:r>
      <w:r w:rsidR="004330E6">
        <w:t>s</w:t>
      </w:r>
      <w:r>
        <w:t xml:space="preserve">t </w:t>
      </w:r>
      <w:r w:rsidR="00DD122B">
        <w:t>against the RECS CAPI</w:t>
      </w:r>
      <w:r w:rsidR="00104A07">
        <w:t>.</w:t>
      </w:r>
      <w:r w:rsidR="00DD122B">
        <w:t xml:space="preserve"> This permits the fullest evaluation between the </w:t>
      </w:r>
      <w:r w:rsidR="004330E6">
        <w:t>in-person</w:t>
      </w:r>
      <w:r w:rsidR="00DD122B">
        <w:t xml:space="preserve"> and web/mail approaches.</w:t>
      </w:r>
    </w:p>
    <w:p w:rsidR="003D1C2A" w:rsidRDefault="00170A4A" w:rsidP="00DD122B">
      <w:pPr>
        <w:pStyle w:val="ListParagraph"/>
        <w:numPr>
          <w:ilvl w:val="0"/>
          <w:numId w:val="17"/>
        </w:numPr>
      </w:pPr>
      <w:r>
        <w:t>To optimize web response, t</w:t>
      </w:r>
      <w:r w:rsidR="00E602B5">
        <w:t xml:space="preserve">he </w:t>
      </w:r>
      <w:r w:rsidR="00DD122B">
        <w:t xml:space="preserve">Cities Pilot also tested </w:t>
      </w:r>
      <w:r w:rsidR="006D14D7">
        <w:t xml:space="preserve">an </w:t>
      </w:r>
      <w:r w:rsidR="00104A07">
        <w:t>Internet propensity model</w:t>
      </w:r>
      <w:r w:rsidR="00DD122B">
        <w:t xml:space="preserve"> </w:t>
      </w:r>
      <w:r w:rsidR="006D14D7">
        <w:t xml:space="preserve">that </w:t>
      </w:r>
      <w:r w:rsidR="00DD122B">
        <w:t>assign</w:t>
      </w:r>
      <w:r w:rsidR="006D14D7">
        <w:t>ed</w:t>
      </w:r>
      <w:r w:rsidR="00DD122B">
        <w:t xml:space="preserve"> </w:t>
      </w:r>
      <w:r w:rsidR="007625BA">
        <w:t xml:space="preserve">the </w:t>
      </w:r>
      <w:r w:rsidR="00DD122B">
        <w:t xml:space="preserve">initial </w:t>
      </w:r>
      <w:r w:rsidR="006D14D7">
        <w:t>data collection mode to households based on the</w:t>
      </w:r>
      <w:r w:rsidR="007625BA">
        <w:t>ir</w:t>
      </w:r>
      <w:r w:rsidR="006D14D7">
        <w:t xml:space="preserve"> likelihood of having internet access</w:t>
      </w:r>
      <w:r w:rsidR="00104A07">
        <w:t xml:space="preserve">. </w:t>
      </w:r>
      <w:r>
        <w:t xml:space="preserve">Although the propensity </w:t>
      </w:r>
      <w:r w:rsidR="00104A07">
        <w:t xml:space="preserve">model </w:t>
      </w:r>
      <w:r>
        <w:t xml:space="preserve">was not sufficient in predicting mode choice, we will run </w:t>
      </w:r>
      <w:r w:rsidR="00104A07">
        <w:t xml:space="preserve">additional </w:t>
      </w:r>
      <w:r>
        <w:t xml:space="preserve">mode-related </w:t>
      </w:r>
      <w:r w:rsidR="00104A07">
        <w:t xml:space="preserve">experiments </w:t>
      </w:r>
      <w:r>
        <w:t xml:space="preserve">in the National Pilot </w:t>
      </w:r>
      <w:r w:rsidR="00104A07">
        <w:t xml:space="preserve">to </w:t>
      </w:r>
      <w:r>
        <w:t xml:space="preserve">identify </w:t>
      </w:r>
      <w:r w:rsidR="00104A07">
        <w:t xml:space="preserve">the best contact </w:t>
      </w:r>
      <w:r>
        <w:t xml:space="preserve">protocol </w:t>
      </w:r>
      <w:proofErr w:type="gramStart"/>
      <w:r w:rsidR="00104A07">
        <w:t>for a</w:t>
      </w:r>
      <w:proofErr w:type="gramEnd"/>
      <w:r w:rsidR="00104A07">
        <w:t xml:space="preserve"> self-administered RECS.</w:t>
      </w:r>
    </w:p>
    <w:p w:rsidR="00364397" w:rsidRDefault="00364397" w:rsidP="003D707B"/>
    <w:p w:rsidR="003D1C2A" w:rsidRDefault="00170A4A" w:rsidP="003D707B">
      <w:r>
        <w:t>Thus, t</w:t>
      </w:r>
      <w:r w:rsidR="002032A8">
        <w:t>he</w:t>
      </w:r>
      <w:r w:rsidR="00364397">
        <w:t xml:space="preserve"> </w:t>
      </w:r>
      <w:r w:rsidR="003D1C2A">
        <w:t>National Pilot</w:t>
      </w:r>
      <w:r w:rsidR="00104A07">
        <w:t xml:space="preserve"> </w:t>
      </w:r>
      <w:r w:rsidR="002032A8">
        <w:t xml:space="preserve">will include </w:t>
      </w:r>
      <w:r w:rsidR="00E21C11">
        <w:t xml:space="preserve">experiments that vary two </w:t>
      </w:r>
      <w:r w:rsidR="003D1C2A">
        <w:t>design component</w:t>
      </w:r>
      <w:r w:rsidR="009310CC">
        <w:t>s</w:t>
      </w:r>
      <w:r w:rsidR="00E21C11">
        <w:t xml:space="preserve">:  response </w:t>
      </w:r>
      <w:r w:rsidR="003D1C2A">
        <w:t>incentive</w:t>
      </w:r>
      <w:r w:rsidR="00E21C11">
        <w:t>s</w:t>
      </w:r>
      <w:r w:rsidR="003D1C2A">
        <w:t xml:space="preserve"> and </w:t>
      </w:r>
      <w:r w:rsidR="00E21C11">
        <w:t xml:space="preserve">contact </w:t>
      </w:r>
      <w:r w:rsidR="003D1C2A">
        <w:t>protocol</w:t>
      </w:r>
      <w:r w:rsidR="00E21C11">
        <w:t>s.</w:t>
      </w:r>
      <w:r w:rsidR="009310CC">
        <w:t xml:space="preserve"> </w:t>
      </w:r>
      <w:r w:rsidR="002032A8">
        <w:t xml:space="preserve">Sampled housing units will be distributed equally across the treatment groups. </w:t>
      </w:r>
      <w:r w:rsidR="00E21C11">
        <w:t xml:space="preserve">Results from </w:t>
      </w:r>
      <w:r w:rsidR="009310CC" w:rsidRPr="008C7BF7">
        <w:t>the</w:t>
      </w:r>
      <w:r w:rsidR="009310CC">
        <w:t>se experiments</w:t>
      </w:r>
      <w:r w:rsidR="009310CC" w:rsidRPr="008C7BF7">
        <w:t xml:space="preserve"> </w:t>
      </w:r>
      <w:r w:rsidR="00E21C11">
        <w:t xml:space="preserve">will inform future applications of </w:t>
      </w:r>
      <w:r w:rsidR="009310CC">
        <w:t xml:space="preserve">a self-administered </w:t>
      </w:r>
      <w:r w:rsidR="00E21C11">
        <w:t>survey approach within a benchmark residential survey data program to achieve optimal validity, precision and accuracy of estimates of U.S. home energy use within occupied housing units.</w:t>
      </w:r>
    </w:p>
    <w:p w:rsidR="003D1C2A" w:rsidRDefault="003D1C2A" w:rsidP="003D707B"/>
    <w:p w:rsidR="003D1C2A" w:rsidRDefault="003D1C2A" w:rsidP="003D707B">
      <w:r>
        <w:t>Incentive treatments</w:t>
      </w:r>
      <w:r w:rsidR="009310CC">
        <w:t xml:space="preserve"> (Factor A):</w:t>
      </w:r>
    </w:p>
    <w:p w:rsidR="009310CC" w:rsidRDefault="009310CC" w:rsidP="009310CC">
      <w:pPr>
        <w:pStyle w:val="Bullet-blank"/>
      </w:pPr>
      <w:r w:rsidRPr="00464E49">
        <w:t>A1.</w:t>
      </w:r>
      <w:r>
        <w:tab/>
        <w:t>A</w:t>
      </w:r>
      <w:r w:rsidRPr="00464E49">
        <w:t xml:space="preserve"> $5 prepaid incentive will be included in the first questionnaire mailing. $10 will be promised for response</w:t>
      </w:r>
      <w:r>
        <w:t xml:space="preserve"> under the response protocol specified by Factor B</w:t>
      </w:r>
      <w:r w:rsidRPr="00464E49">
        <w:t>.</w:t>
      </w:r>
    </w:p>
    <w:p w:rsidR="009310CC" w:rsidRDefault="009310CC" w:rsidP="009310CC">
      <w:pPr>
        <w:pStyle w:val="Bullet-blank"/>
      </w:pPr>
      <w:r w:rsidRPr="00464E49">
        <w:t>A2.</w:t>
      </w:r>
      <w:r>
        <w:tab/>
        <w:t xml:space="preserve">A </w:t>
      </w:r>
      <w:r w:rsidRPr="00464E49">
        <w:t>$5 prepaid incentive will be included in the first questionnaire mailing. $20 will be promised for response</w:t>
      </w:r>
      <w:r w:rsidRPr="00995CC9">
        <w:t xml:space="preserve"> </w:t>
      </w:r>
      <w:r>
        <w:t>under the response protocol specified by Factor B</w:t>
      </w:r>
      <w:r w:rsidRPr="00464E49">
        <w:t>.</w:t>
      </w:r>
    </w:p>
    <w:p w:rsidR="003D1C2A" w:rsidRDefault="00E21C11" w:rsidP="003D707B">
      <w:r>
        <w:t>Contact p</w:t>
      </w:r>
      <w:r w:rsidR="009310CC">
        <w:t>rotocol treatments (Factor B):</w:t>
      </w:r>
    </w:p>
    <w:p w:rsidR="009310CC" w:rsidRDefault="009310CC" w:rsidP="009310CC">
      <w:pPr>
        <w:pStyle w:val="Bullet-blank"/>
      </w:pPr>
      <w:r>
        <w:t xml:space="preserve">B1. </w:t>
      </w:r>
      <w:r w:rsidR="00EC28AE">
        <w:tab/>
      </w:r>
      <w:r>
        <w:t>W</w:t>
      </w:r>
      <w:r w:rsidR="00EC28AE">
        <w:t>eb O</w:t>
      </w:r>
      <w:r>
        <w:t>nly protocol - only the web response option is offered for all survey response invitations.</w:t>
      </w:r>
    </w:p>
    <w:p w:rsidR="009310CC" w:rsidRDefault="009310CC" w:rsidP="009310CC">
      <w:pPr>
        <w:pStyle w:val="Bullet-blank"/>
      </w:pPr>
      <w:r>
        <w:t>B2.</w:t>
      </w:r>
      <w:r>
        <w:tab/>
        <w:t>Choice protocol – b</w:t>
      </w:r>
      <w:r w:rsidRPr="00464E49">
        <w:t xml:space="preserve">oth paper and web questionnaires </w:t>
      </w:r>
      <w:r>
        <w:t>are offered for</w:t>
      </w:r>
      <w:r w:rsidRPr="00464E49">
        <w:t xml:space="preserve"> </w:t>
      </w:r>
      <w:r>
        <w:t>all survey response</w:t>
      </w:r>
      <w:r w:rsidRPr="00464E49">
        <w:t xml:space="preserve"> </w:t>
      </w:r>
      <w:r>
        <w:t>invitations</w:t>
      </w:r>
      <w:r w:rsidR="00EC28AE">
        <w:t xml:space="preserve"> and reminders</w:t>
      </w:r>
    </w:p>
    <w:p w:rsidR="009310CC" w:rsidRDefault="009310CC" w:rsidP="009310CC">
      <w:pPr>
        <w:pStyle w:val="Bullet-blank"/>
      </w:pPr>
      <w:r>
        <w:lastRenderedPageBreak/>
        <w:t>B3.</w:t>
      </w:r>
      <w:r>
        <w:tab/>
      </w:r>
      <w:r w:rsidR="00EC28AE">
        <w:t>Choice-Plus</w:t>
      </w:r>
      <w:r w:rsidRPr="00464E49">
        <w:t xml:space="preserve"> </w:t>
      </w:r>
      <w:r w:rsidR="00EC28AE">
        <w:t>p</w:t>
      </w:r>
      <w:r w:rsidRPr="00464E49">
        <w:t>rotocol</w:t>
      </w:r>
      <w:r>
        <w:t xml:space="preserve"> –</w:t>
      </w:r>
      <w:r w:rsidR="00EC28AE">
        <w:t xml:space="preserve"> </w:t>
      </w:r>
      <w:r w:rsidRPr="00464E49">
        <w:t xml:space="preserve">both paper and web questionnaires </w:t>
      </w:r>
      <w:r>
        <w:t xml:space="preserve">are </w:t>
      </w:r>
      <w:r w:rsidRPr="00464E49">
        <w:t>offered</w:t>
      </w:r>
      <w:r>
        <w:t xml:space="preserve"> for</w:t>
      </w:r>
      <w:r w:rsidRPr="00464E49">
        <w:t xml:space="preserve"> </w:t>
      </w:r>
      <w:r>
        <w:t>all survey response invitations</w:t>
      </w:r>
      <w:r w:rsidR="00EC28AE">
        <w:t xml:space="preserve"> and reminders</w:t>
      </w:r>
      <w:r w:rsidRPr="00464E49">
        <w:t>.</w:t>
      </w:r>
      <w:r>
        <w:t xml:space="preserve"> However, a</w:t>
      </w:r>
      <w:r w:rsidRPr="00464E49">
        <w:t xml:space="preserve"> $</w:t>
      </w:r>
      <w:r>
        <w:t>10</w:t>
      </w:r>
      <w:r w:rsidRPr="00464E49">
        <w:t xml:space="preserve"> </w:t>
      </w:r>
      <w:r>
        <w:t xml:space="preserve">promised </w:t>
      </w:r>
      <w:r w:rsidRPr="00464E49">
        <w:t>bonus incentive</w:t>
      </w:r>
      <w:r>
        <w:t xml:space="preserve"> is offered in addition to the incentives specified by Factor A if the respondent chooses to respond by the </w:t>
      </w:r>
      <w:r w:rsidRPr="00464E49">
        <w:t>web</w:t>
      </w:r>
      <w:r>
        <w:t xml:space="preserve"> option</w:t>
      </w:r>
      <w:r w:rsidRPr="00464E49">
        <w:t xml:space="preserve"> rather than </w:t>
      </w:r>
      <w:r>
        <w:t xml:space="preserve">by </w:t>
      </w:r>
      <w:r w:rsidRPr="00464E49">
        <w:t xml:space="preserve">paper. </w:t>
      </w:r>
    </w:p>
    <w:p w:rsidR="009310CC" w:rsidRDefault="009310CC" w:rsidP="009310CC">
      <w:pPr>
        <w:pStyle w:val="Bullet-blank"/>
      </w:pPr>
      <w:r>
        <w:t>B4.</w:t>
      </w:r>
      <w:r>
        <w:tab/>
      </w:r>
      <w:r w:rsidR="00EC28AE">
        <w:t>Web then Paper</w:t>
      </w:r>
      <w:r>
        <w:t xml:space="preserve"> </w:t>
      </w:r>
      <w:r w:rsidR="00EC28AE">
        <w:t>p</w:t>
      </w:r>
      <w:r>
        <w:t>rotocol</w:t>
      </w:r>
      <w:r w:rsidR="00EC28AE">
        <w:t xml:space="preserve"> (control)</w:t>
      </w:r>
      <w:r>
        <w:t xml:space="preserve"> – the w</w:t>
      </w:r>
      <w:r w:rsidRPr="00464E49">
        <w:t>eb</w:t>
      </w:r>
      <w:r>
        <w:t xml:space="preserve"> response option is offered in the </w:t>
      </w:r>
      <w:r w:rsidRPr="00464E49">
        <w:t>first</w:t>
      </w:r>
      <w:r>
        <w:t xml:space="preserve"> invitation and first nonresponse invitation; both web and paper are offer</w:t>
      </w:r>
      <w:r w:rsidR="00EC28AE">
        <w:t>ed in all subsequent reminders</w:t>
      </w:r>
      <w:r w:rsidRPr="00464E49">
        <w:t>.</w:t>
      </w:r>
    </w:p>
    <w:p w:rsidR="00186F81" w:rsidRDefault="00186F81" w:rsidP="00EC28AE">
      <w:r>
        <w:t xml:space="preserve">A sub-sample of </w:t>
      </w:r>
      <w:proofErr w:type="spellStart"/>
      <w:r>
        <w:t>nonrespondents</w:t>
      </w:r>
      <w:proofErr w:type="spellEnd"/>
      <w:r>
        <w:t xml:space="preserve"> will be drawn and selected households will be mailed a short </w:t>
      </w:r>
      <w:r w:rsidR="004330E6">
        <w:t>p</w:t>
      </w:r>
      <w:r>
        <w:t xml:space="preserve">aper questionnaire consisting of </w:t>
      </w:r>
      <w:r w:rsidR="004330E6">
        <w:t>22</w:t>
      </w:r>
      <w:r w:rsidR="00E7077A">
        <w:t xml:space="preserve"> </w:t>
      </w:r>
      <w:r>
        <w:t>items that can be used to evaluate response bias.</w:t>
      </w:r>
    </w:p>
    <w:p w:rsidR="00186F81" w:rsidRDefault="00186F81" w:rsidP="00EC28AE"/>
    <w:p w:rsidR="003D707B" w:rsidRDefault="003D707B" w:rsidP="00EC28AE">
      <w:pPr>
        <w:rPr>
          <w:rFonts w:asciiTheme="minorHAnsi" w:hAnsiTheme="minorHAnsi" w:cstheme="minorBidi"/>
          <w:color w:val="1F497D" w:themeColor="dark2"/>
        </w:rPr>
      </w:pPr>
      <w:r>
        <w:t xml:space="preserve">Results of the </w:t>
      </w:r>
      <w:r w:rsidR="00EC28AE">
        <w:t>National</w:t>
      </w:r>
      <w:r>
        <w:t xml:space="preserve"> Pilot</w:t>
      </w:r>
      <w:r w:rsidRPr="000E6F5B">
        <w:t xml:space="preserve"> should inform EIA</w:t>
      </w:r>
      <w:r>
        <w:t xml:space="preserve"> on the feasibility and cost </w:t>
      </w:r>
      <w:r w:rsidRPr="000E6F5B">
        <w:t>to produce key statistical measures</w:t>
      </w:r>
      <w:r>
        <w:t xml:space="preserve"> </w:t>
      </w:r>
      <w:r w:rsidR="00186F81">
        <w:t xml:space="preserve">of </w:t>
      </w:r>
      <w:r w:rsidR="00CB3CC3">
        <w:t xml:space="preserve">household energy use of </w:t>
      </w:r>
      <w:r>
        <w:t xml:space="preserve">quality </w:t>
      </w:r>
      <w:r w:rsidR="00CB3CC3">
        <w:t xml:space="preserve">that is comparable to the </w:t>
      </w:r>
      <w:r w:rsidR="00EC28AE">
        <w:t>2015 RECS benchmark collected via C</w:t>
      </w:r>
      <w:r>
        <w:t xml:space="preserve">API.  EIA will evaluate response propensity and data quality by Web and mail respondents to determine optimal mode mix, contact strategies, and statistical methodologies for future RECS studies.  </w:t>
      </w:r>
    </w:p>
    <w:p w:rsidR="003D707B" w:rsidRPr="007D6923" w:rsidRDefault="003D707B" w:rsidP="003D707B">
      <w:pPr>
        <w:pStyle w:val="CommentText"/>
        <w:rPr>
          <w:i/>
          <w:sz w:val="24"/>
          <w:szCs w:val="24"/>
        </w:rPr>
      </w:pPr>
    </w:p>
    <w:p w:rsidR="003D707B" w:rsidRDefault="002A7604" w:rsidP="003D707B">
      <w:pPr>
        <w:pStyle w:val="CommentText"/>
        <w:rPr>
          <w:sz w:val="24"/>
          <w:szCs w:val="24"/>
        </w:rPr>
      </w:pPr>
      <w:r w:rsidRPr="002A7604">
        <w:rPr>
          <w:sz w:val="24"/>
          <w:szCs w:val="24"/>
        </w:rPr>
        <w:t>The National Pilot sample wil</w:t>
      </w:r>
      <w:r>
        <w:rPr>
          <w:sz w:val="24"/>
          <w:szCs w:val="24"/>
        </w:rPr>
        <w:t xml:space="preserve">l be drawn from a housing unit </w:t>
      </w:r>
      <w:r w:rsidRPr="002A7604">
        <w:rPr>
          <w:sz w:val="24"/>
          <w:szCs w:val="24"/>
        </w:rPr>
        <w:t xml:space="preserve">frame constructed using the U.S. Postal Services’ Computerized Delivery Sequence (CDS) file. </w:t>
      </w:r>
      <w:r w:rsidR="003D707B" w:rsidRPr="002A7604">
        <w:rPr>
          <w:sz w:val="24"/>
          <w:szCs w:val="24"/>
        </w:rPr>
        <w:t xml:space="preserve">EIA estimates a total </w:t>
      </w:r>
      <w:r>
        <w:rPr>
          <w:sz w:val="24"/>
          <w:szCs w:val="24"/>
        </w:rPr>
        <w:t>sample size of 9,650 housing units</w:t>
      </w:r>
      <w:r w:rsidR="00CB3CC3">
        <w:rPr>
          <w:sz w:val="24"/>
          <w:szCs w:val="24"/>
        </w:rPr>
        <w:t xml:space="preserve"> will yield </w:t>
      </w:r>
      <w:r>
        <w:rPr>
          <w:sz w:val="24"/>
          <w:szCs w:val="24"/>
        </w:rPr>
        <w:t>4,</w:t>
      </w:r>
      <w:r w:rsidR="00CC0D40">
        <w:rPr>
          <w:sz w:val="24"/>
          <w:szCs w:val="24"/>
        </w:rPr>
        <w:t>000</w:t>
      </w:r>
      <w:r>
        <w:rPr>
          <w:sz w:val="24"/>
          <w:szCs w:val="24"/>
        </w:rPr>
        <w:t xml:space="preserve"> completed questionnaires.</w:t>
      </w:r>
      <w:r w:rsidR="003D707B" w:rsidRPr="002A7604">
        <w:rPr>
          <w:sz w:val="24"/>
          <w:szCs w:val="24"/>
        </w:rPr>
        <w:t xml:space="preserve"> </w:t>
      </w:r>
      <w:r>
        <w:rPr>
          <w:sz w:val="24"/>
          <w:szCs w:val="24"/>
        </w:rPr>
        <w:t>A</w:t>
      </w:r>
      <w:r w:rsidR="003D707B" w:rsidRPr="002A7604">
        <w:rPr>
          <w:sz w:val="24"/>
          <w:szCs w:val="24"/>
        </w:rPr>
        <w:t xml:space="preserve">verage </w:t>
      </w:r>
      <w:r>
        <w:rPr>
          <w:sz w:val="24"/>
          <w:szCs w:val="24"/>
        </w:rPr>
        <w:t>response time is expected to be</w:t>
      </w:r>
      <w:r w:rsidR="003D707B" w:rsidRPr="002A7604">
        <w:rPr>
          <w:sz w:val="24"/>
          <w:szCs w:val="24"/>
        </w:rPr>
        <w:t xml:space="preserve"> </w:t>
      </w:r>
      <w:r>
        <w:rPr>
          <w:sz w:val="24"/>
          <w:szCs w:val="24"/>
        </w:rPr>
        <w:t>30</w:t>
      </w:r>
      <w:r w:rsidR="003D707B" w:rsidRPr="002A7604">
        <w:rPr>
          <w:sz w:val="24"/>
          <w:szCs w:val="24"/>
        </w:rPr>
        <w:t xml:space="preserve"> minutes per complete. </w:t>
      </w:r>
      <w:r w:rsidR="00BF4527">
        <w:rPr>
          <w:sz w:val="24"/>
          <w:szCs w:val="24"/>
        </w:rPr>
        <w:t xml:space="preserve">EIA estimates 200 completes for the short, nonresponse follow-up </w:t>
      </w:r>
      <w:r w:rsidR="00E663A1">
        <w:rPr>
          <w:sz w:val="24"/>
          <w:szCs w:val="24"/>
        </w:rPr>
        <w:t xml:space="preserve">paper </w:t>
      </w:r>
      <w:r w:rsidR="00BF4527">
        <w:rPr>
          <w:sz w:val="24"/>
          <w:szCs w:val="24"/>
        </w:rPr>
        <w:t xml:space="preserve">questionnaire. Average response time for </w:t>
      </w:r>
      <w:r w:rsidR="004330E6">
        <w:rPr>
          <w:sz w:val="24"/>
          <w:szCs w:val="24"/>
        </w:rPr>
        <w:t xml:space="preserve">the short questionnaire </w:t>
      </w:r>
      <w:r w:rsidR="00BF4527">
        <w:rPr>
          <w:sz w:val="24"/>
          <w:szCs w:val="24"/>
        </w:rPr>
        <w:t xml:space="preserve">is expected to be </w:t>
      </w:r>
      <w:r w:rsidR="00E663A1">
        <w:rPr>
          <w:sz w:val="24"/>
          <w:szCs w:val="24"/>
        </w:rPr>
        <w:t>5</w:t>
      </w:r>
      <w:r w:rsidR="00BF4527">
        <w:rPr>
          <w:sz w:val="24"/>
          <w:szCs w:val="24"/>
        </w:rPr>
        <w:t xml:space="preserve"> minutes per c</w:t>
      </w:r>
      <w:r w:rsidR="00E663A1">
        <w:rPr>
          <w:sz w:val="24"/>
          <w:szCs w:val="24"/>
        </w:rPr>
        <w:t xml:space="preserve">omplete. </w:t>
      </w:r>
      <w:r w:rsidR="003D707B" w:rsidRPr="000E6F5B">
        <w:rPr>
          <w:sz w:val="24"/>
          <w:szCs w:val="24"/>
        </w:rPr>
        <w:t xml:space="preserve">The total respondent burden to conduct </w:t>
      </w:r>
      <w:r w:rsidR="003D707B">
        <w:rPr>
          <w:sz w:val="24"/>
          <w:szCs w:val="24"/>
        </w:rPr>
        <w:t xml:space="preserve">the </w:t>
      </w:r>
      <w:r w:rsidR="00CC0D40">
        <w:rPr>
          <w:sz w:val="24"/>
          <w:szCs w:val="24"/>
        </w:rPr>
        <w:t>National</w:t>
      </w:r>
      <w:r w:rsidR="003D707B">
        <w:rPr>
          <w:sz w:val="24"/>
          <w:szCs w:val="24"/>
        </w:rPr>
        <w:t xml:space="preserve"> Pilot </w:t>
      </w:r>
      <w:r w:rsidR="003D707B" w:rsidRPr="000E6F5B">
        <w:rPr>
          <w:sz w:val="24"/>
          <w:szCs w:val="24"/>
        </w:rPr>
        <w:t xml:space="preserve">is estimated to be </w:t>
      </w:r>
      <w:r>
        <w:rPr>
          <w:sz w:val="24"/>
          <w:szCs w:val="24"/>
        </w:rPr>
        <w:t>2,</w:t>
      </w:r>
      <w:r w:rsidR="00CC0D40">
        <w:rPr>
          <w:sz w:val="24"/>
          <w:szCs w:val="24"/>
        </w:rPr>
        <w:t>0</w:t>
      </w:r>
      <w:r w:rsidR="004330E6">
        <w:rPr>
          <w:sz w:val="24"/>
          <w:szCs w:val="24"/>
        </w:rPr>
        <w:t>1</w:t>
      </w:r>
      <w:r w:rsidR="00E663A1">
        <w:rPr>
          <w:sz w:val="24"/>
          <w:szCs w:val="24"/>
        </w:rPr>
        <w:t>7</w:t>
      </w:r>
      <w:r w:rsidR="003D707B">
        <w:rPr>
          <w:sz w:val="24"/>
          <w:szCs w:val="24"/>
        </w:rPr>
        <w:t xml:space="preserve"> </w:t>
      </w:r>
      <w:r w:rsidR="003D707B" w:rsidRPr="000E6F5B">
        <w:rPr>
          <w:sz w:val="24"/>
          <w:szCs w:val="24"/>
        </w:rPr>
        <w:t>hours</w:t>
      </w:r>
      <w:r w:rsidR="003D707B">
        <w:rPr>
          <w:sz w:val="24"/>
          <w:szCs w:val="24"/>
        </w:rPr>
        <w:t>.</w:t>
      </w:r>
    </w:p>
    <w:p w:rsidR="003D707B" w:rsidRDefault="003D707B" w:rsidP="003D707B">
      <w:pPr>
        <w:pStyle w:val="CommentText"/>
        <w:ind w:left="720"/>
        <w:rPr>
          <w:sz w:val="24"/>
          <w:szCs w:val="24"/>
        </w:rPr>
      </w:pPr>
    </w:p>
    <w:p w:rsidR="00D43DBD" w:rsidRDefault="00D43DBD" w:rsidP="003D707B">
      <w:pPr>
        <w:pStyle w:val="CommentText"/>
        <w:rPr>
          <w:sz w:val="24"/>
          <w:szCs w:val="24"/>
        </w:rPr>
      </w:pPr>
      <w:r>
        <w:rPr>
          <w:sz w:val="24"/>
          <w:szCs w:val="24"/>
        </w:rPr>
        <w:t xml:space="preserve">The questionnaire used for the National Pilot </w:t>
      </w:r>
      <w:r w:rsidR="00CB3CC3">
        <w:rPr>
          <w:sz w:val="24"/>
          <w:szCs w:val="24"/>
        </w:rPr>
        <w:t xml:space="preserve">is based </w:t>
      </w:r>
      <w:r>
        <w:rPr>
          <w:sz w:val="24"/>
          <w:szCs w:val="24"/>
        </w:rPr>
        <w:t>on the Cities Pilot long form</w:t>
      </w:r>
      <w:r w:rsidR="00CB3CC3">
        <w:rPr>
          <w:sz w:val="24"/>
          <w:szCs w:val="24"/>
        </w:rPr>
        <w:t>, which includes both mi</w:t>
      </w:r>
      <w:r w:rsidR="00CC0D40">
        <w:rPr>
          <w:sz w:val="24"/>
          <w:szCs w:val="24"/>
        </w:rPr>
        <w:t xml:space="preserve">nor </w:t>
      </w:r>
      <w:r w:rsidR="00CB3CC3">
        <w:rPr>
          <w:sz w:val="24"/>
          <w:szCs w:val="24"/>
        </w:rPr>
        <w:t xml:space="preserve">updates and </w:t>
      </w:r>
      <w:r>
        <w:rPr>
          <w:sz w:val="24"/>
          <w:szCs w:val="24"/>
        </w:rPr>
        <w:t>some</w:t>
      </w:r>
      <w:r w:rsidR="00CC0D40">
        <w:rPr>
          <w:sz w:val="24"/>
          <w:szCs w:val="24"/>
        </w:rPr>
        <w:t xml:space="preserve"> additional items </w:t>
      </w:r>
      <w:r w:rsidR="00CB3CC3">
        <w:rPr>
          <w:sz w:val="24"/>
          <w:szCs w:val="24"/>
        </w:rPr>
        <w:t xml:space="preserve">to ensure </w:t>
      </w:r>
      <w:r w:rsidR="00D02117">
        <w:rPr>
          <w:sz w:val="24"/>
          <w:szCs w:val="24"/>
        </w:rPr>
        <w:t xml:space="preserve">the questionnaire </w:t>
      </w:r>
      <w:r w:rsidR="00CB3CC3">
        <w:rPr>
          <w:sz w:val="24"/>
          <w:szCs w:val="24"/>
        </w:rPr>
        <w:t>is comparable to the RECS CAPI instrument</w:t>
      </w:r>
      <w:r w:rsidR="00D02117">
        <w:rPr>
          <w:sz w:val="24"/>
          <w:szCs w:val="24"/>
        </w:rPr>
        <w:t>. This</w:t>
      </w:r>
      <w:r w:rsidR="00CB3CC3">
        <w:rPr>
          <w:sz w:val="24"/>
          <w:szCs w:val="24"/>
        </w:rPr>
        <w:t xml:space="preserve"> includ</w:t>
      </w:r>
      <w:r w:rsidR="00D02117">
        <w:rPr>
          <w:sz w:val="24"/>
          <w:szCs w:val="24"/>
        </w:rPr>
        <w:t>es</w:t>
      </w:r>
      <w:r w:rsidR="00CB3CC3">
        <w:rPr>
          <w:sz w:val="24"/>
          <w:szCs w:val="24"/>
        </w:rPr>
        <w:t xml:space="preserve"> the addition of energy </w:t>
      </w:r>
      <w:r w:rsidR="004330E6">
        <w:rPr>
          <w:sz w:val="24"/>
          <w:szCs w:val="24"/>
        </w:rPr>
        <w:t xml:space="preserve">assistance </w:t>
      </w:r>
      <w:r w:rsidR="00CB3CC3">
        <w:rPr>
          <w:sz w:val="24"/>
          <w:szCs w:val="24"/>
        </w:rPr>
        <w:t>questions used in past rounds</w:t>
      </w:r>
      <w:r w:rsidR="00CC0D40">
        <w:rPr>
          <w:sz w:val="24"/>
          <w:szCs w:val="24"/>
        </w:rPr>
        <w:t xml:space="preserve">. </w:t>
      </w:r>
      <w:r w:rsidR="00CB3CC3">
        <w:rPr>
          <w:sz w:val="24"/>
          <w:szCs w:val="24"/>
        </w:rPr>
        <w:t xml:space="preserve">Updates were </w:t>
      </w:r>
      <w:r w:rsidR="004330E6">
        <w:rPr>
          <w:sz w:val="24"/>
          <w:szCs w:val="24"/>
        </w:rPr>
        <w:t xml:space="preserve">also </w:t>
      </w:r>
      <w:r w:rsidR="00CC0D40">
        <w:rPr>
          <w:sz w:val="24"/>
          <w:szCs w:val="24"/>
        </w:rPr>
        <w:t xml:space="preserve">based </w:t>
      </w:r>
      <w:r w:rsidR="00027EE8">
        <w:rPr>
          <w:sz w:val="24"/>
          <w:szCs w:val="24"/>
        </w:rPr>
        <w:t xml:space="preserve">on </w:t>
      </w:r>
      <w:r w:rsidR="00CB3CC3">
        <w:rPr>
          <w:sz w:val="24"/>
          <w:szCs w:val="24"/>
        </w:rPr>
        <w:t xml:space="preserve">results from </w:t>
      </w:r>
      <w:r w:rsidR="00CC0D40">
        <w:rPr>
          <w:sz w:val="24"/>
          <w:szCs w:val="24"/>
        </w:rPr>
        <w:t>cognitive tes</w:t>
      </w:r>
      <w:r w:rsidR="0024719B">
        <w:rPr>
          <w:sz w:val="24"/>
          <w:szCs w:val="24"/>
        </w:rPr>
        <w:t xml:space="preserve">ting conducted in June 2015 and </w:t>
      </w:r>
      <w:r w:rsidR="00CB3CC3">
        <w:rPr>
          <w:sz w:val="24"/>
          <w:szCs w:val="24"/>
        </w:rPr>
        <w:t xml:space="preserve">informed by </w:t>
      </w:r>
      <w:r w:rsidR="00CC0D40">
        <w:rPr>
          <w:sz w:val="24"/>
          <w:szCs w:val="24"/>
        </w:rPr>
        <w:t xml:space="preserve">lessons </w:t>
      </w:r>
      <w:r w:rsidR="00CB3CC3">
        <w:rPr>
          <w:sz w:val="24"/>
          <w:szCs w:val="24"/>
        </w:rPr>
        <w:t xml:space="preserve">learned </w:t>
      </w:r>
      <w:r w:rsidR="00CC0D40">
        <w:rPr>
          <w:sz w:val="24"/>
          <w:szCs w:val="24"/>
        </w:rPr>
        <w:t>from the Cities Pilot</w:t>
      </w:r>
      <w:r w:rsidR="00CB3CC3">
        <w:rPr>
          <w:sz w:val="24"/>
          <w:szCs w:val="24"/>
        </w:rPr>
        <w:t xml:space="preserve"> collection</w:t>
      </w:r>
      <w:r w:rsidR="0024719B">
        <w:rPr>
          <w:sz w:val="24"/>
          <w:szCs w:val="24"/>
        </w:rPr>
        <w:t xml:space="preserve">. </w:t>
      </w:r>
    </w:p>
    <w:p w:rsidR="00D43DBD" w:rsidRDefault="00D43DBD" w:rsidP="003D707B">
      <w:pPr>
        <w:pStyle w:val="CommentText"/>
        <w:rPr>
          <w:sz w:val="24"/>
          <w:szCs w:val="24"/>
        </w:rPr>
      </w:pPr>
    </w:p>
    <w:p w:rsidR="00CC0D40" w:rsidRDefault="003D707B" w:rsidP="003D707B">
      <w:pPr>
        <w:pStyle w:val="CommentText"/>
        <w:rPr>
          <w:sz w:val="24"/>
          <w:szCs w:val="24"/>
        </w:rPr>
      </w:pPr>
      <w:r>
        <w:rPr>
          <w:sz w:val="24"/>
          <w:szCs w:val="24"/>
        </w:rPr>
        <w:t xml:space="preserve">The questionnaire burden estimate per response </w:t>
      </w:r>
      <w:r w:rsidR="00D43DBD">
        <w:rPr>
          <w:sz w:val="24"/>
          <w:szCs w:val="24"/>
        </w:rPr>
        <w:t>is</w:t>
      </w:r>
      <w:r>
        <w:rPr>
          <w:sz w:val="24"/>
          <w:szCs w:val="24"/>
        </w:rPr>
        <w:t xml:space="preserve"> based </w:t>
      </w:r>
      <w:r w:rsidR="00CC0D40">
        <w:rPr>
          <w:sz w:val="24"/>
          <w:szCs w:val="24"/>
        </w:rPr>
        <w:t>on the recorded Web response times for the Cities Pilot “long form” questionnaire</w:t>
      </w:r>
      <w:r w:rsidR="00D43DBD">
        <w:rPr>
          <w:sz w:val="24"/>
          <w:szCs w:val="24"/>
        </w:rPr>
        <w:t xml:space="preserve"> and accounts for burden of the additional questions</w:t>
      </w:r>
      <w:r w:rsidR="00CC0D40">
        <w:rPr>
          <w:sz w:val="24"/>
          <w:szCs w:val="24"/>
        </w:rPr>
        <w:t>.</w:t>
      </w:r>
      <w:r w:rsidR="00D43DBD">
        <w:rPr>
          <w:sz w:val="24"/>
          <w:szCs w:val="24"/>
        </w:rPr>
        <w:t xml:space="preserve"> </w:t>
      </w:r>
    </w:p>
    <w:p w:rsidR="003D707B" w:rsidRPr="00682DD9" w:rsidRDefault="003D707B" w:rsidP="003D707B">
      <w:pPr>
        <w:pStyle w:val="CommentText"/>
      </w:pPr>
      <w:r w:rsidRPr="000E6F5B">
        <w:rPr>
          <w:sz w:val="24"/>
          <w:szCs w:val="24"/>
        </w:rPr>
        <w:t xml:space="preserve">  </w:t>
      </w:r>
      <w:r w:rsidRPr="000E6F5B">
        <w:rPr>
          <w:sz w:val="24"/>
          <w:szCs w:val="24"/>
        </w:rPr>
        <w:tab/>
      </w:r>
    </w:p>
    <w:p w:rsidR="00747AAD" w:rsidRDefault="00747AAD" w:rsidP="00747AAD">
      <w:r w:rsidRPr="007E6415">
        <w:t>The estimated cost to the Federal government is</w:t>
      </w:r>
      <w:r w:rsidR="003D707B">
        <w:t xml:space="preserve"> </w:t>
      </w:r>
      <w:r w:rsidR="003D707B" w:rsidRPr="007D3E7E">
        <w:t>$1,5</w:t>
      </w:r>
      <w:r w:rsidRPr="007D3E7E">
        <w:t>00,000</w:t>
      </w:r>
      <w:r>
        <w:t xml:space="preserve">. This includes the entire cost of </w:t>
      </w:r>
      <w:r w:rsidR="00D43DBD">
        <w:t>modifying the Web and Paper instruments</w:t>
      </w:r>
      <w:r>
        <w:t xml:space="preserve">, </w:t>
      </w:r>
      <w:r w:rsidR="00D43DBD">
        <w:t xml:space="preserve">sample design, </w:t>
      </w:r>
      <w:r>
        <w:t>data collection, respondent incentives, post collection statistical activities, analysis, documentation, and reporting.</w:t>
      </w:r>
    </w:p>
    <w:p w:rsidR="00747AAD" w:rsidRDefault="00747AAD" w:rsidP="00747AAD"/>
    <w:p w:rsidR="00801E15" w:rsidRDefault="00747AAD" w:rsidP="00EC5FF9">
      <w:pPr>
        <w:autoSpaceDE w:val="0"/>
        <w:autoSpaceDN w:val="0"/>
        <w:adjustRightInd w:val="0"/>
        <w:rPr>
          <w:bCs/>
        </w:rPr>
      </w:pPr>
      <w:r w:rsidRPr="00535186">
        <w:rPr>
          <w:bCs/>
        </w:rPr>
        <w:t xml:space="preserve">The cost of burden hours to </w:t>
      </w:r>
      <w:r>
        <w:rPr>
          <w:bCs/>
        </w:rPr>
        <w:t xml:space="preserve">household </w:t>
      </w:r>
      <w:r w:rsidRPr="00535186">
        <w:rPr>
          <w:bCs/>
        </w:rPr>
        <w:t>respondents is estimated to be $</w:t>
      </w:r>
      <w:r w:rsidR="00D43DBD">
        <w:rPr>
          <w:bCs/>
        </w:rPr>
        <w:t>14</w:t>
      </w:r>
      <w:r w:rsidR="00E663A1">
        <w:rPr>
          <w:bCs/>
        </w:rPr>
        <w:t>5</w:t>
      </w:r>
      <w:r w:rsidR="00D43DBD">
        <w:rPr>
          <w:bCs/>
        </w:rPr>
        <w:t>,</w:t>
      </w:r>
      <w:r w:rsidR="00E663A1">
        <w:rPr>
          <w:bCs/>
        </w:rPr>
        <w:t>163</w:t>
      </w:r>
      <w:r w:rsidRPr="00535186">
        <w:rPr>
          <w:bCs/>
        </w:rPr>
        <w:t xml:space="preserve"> (</w:t>
      </w:r>
      <w:r w:rsidR="00D43DBD">
        <w:rPr>
          <w:bCs/>
        </w:rPr>
        <w:t>20</w:t>
      </w:r>
      <w:r w:rsidR="00E663A1">
        <w:rPr>
          <w:bCs/>
        </w:rPr>
        <w:t>17</w:t>
      </w:r>
      <w:r w:rsidRPr="00535186">
        <w:rPr>
          <w:bCs/>
        </w:rPr>
        <w:t xml:space="preserve"> burden hours </w:t>
      </w:r>
      <w:r>
        <w:rPr>
          <w:bCs/>
        </w:rPr>
        <w:t>times $</w:t>
      </w:r>
      <w:r w:rsidR="00CB6673">
        <w:rPr>
          <w:bCs/>
        </w:rPr>
        <w:t>71.97</w:t>
      </w:r>
      <w:r>
        <w:rPr>
          <w:bCs/>
        </w:rPr>
        <w:t xml:space="preserve"> per hour.) O</w:t>
      </w:r>
      <w:r w:rsidRPr="00535186">
        <w:rPr>
          <w:bCs/>
        </w:rPr>
        <w:t xml:space="preserve">ther than the cost of burden hours, EIA estimates that there are no additional costs </w:t>
      </w:r>
      <w:r>
        <w:rPr>
          <w:bCs/>
        </w:rPr>
        <w:t xml:space="preserve">to respondents </w:t>
      </w:r>
      <w:r w:rsidRPr="00535186">
        <w:rPr>
          <w:bCs/>
        </w:rPr>
        <w:t>for generating, maintaining and providing the information.</w:t>
      </w:r>
    </w:p>
    <w:p w:rsidR="00747AAD" w:rsidRDefault="00747AAD" w:rsidP="00EC5FF9">
      <w:pPr>
        <w:autoSpaceDE w:val="0"/>
        <w:autoSpaceDN w:val="0"/>
        <w:adjustRightInd w:val="0"/>
      </w:pPr>
    </w:p>
    <w:p w:rsidR="00F86771" w:rsidRDefault="004F7387" w:rsidP="00EC5FF9">
      <w:pPr>
        <w:autoSpaceDE w:val="0"/>
        <w:autoSpaceDN w:val="0"/>
        <w:adjustRightInd w:val="0"/>
      </w:pPr>
      <w:r>
        <w:t xml:space="preserve">EIA </w:t>
      </w:r>
      <w:r w:rsidR="00F86771">
        <w:t xml:space="preserve">will provide OMB with the results of these tests </w:t>
      </w:r>
      <w:r w:rsidR="00BB4A7C">
        <w:t>in the annual summary of generic clearances.</w:t>
      </w:r>
      <w:r w:rsidR="00BB4A7C">
        <w:rPr>
          <w:sz w:val="20"/>
          <w:szCs w:val="20"/>
        </w:rPr>
        <w:t xml:space="preserve"> </w:t>
      </w:r>
      <w:r w:rsidR="004E1E18">
        <w:rPr>
          <w:sz w:val="20"/>
          <w:szCs w:val="20"/>
        </w:rPr>
        <w:t xml:space="preserve"> </w:t>
      </w:r>
      <w:r w:rsidR="00071D7A">
        <w:t xml:space="preserve">Attached are the draft survey questions to be </w:t>
      </w:r>
      <w:r w:rsidR="004A6CC7">
        <w:t xml:space="preserve">used </w:t>
      </w:r>
      <w:r w:rsidR="00071D7A">
        <w:t xml:space="preserve">for the </w:t>
      </w:r>
      <w:r w:rsidR="00CB3CC3">
        <w:t xml:space="preserve">National Pilot </w:t>
      </w:r>
      <w:r w:rsidR="00071D7A">
        <w:t>test.</w:t>
      </w:r>
    </w:p>
    <w:p w:rsidR="00F86771" w:rsidRDefault="00F86771">
      <w:pPr>
        <w:autoSpaceDE w:val="0"/>
        <w:autoSpaceDN w:val="0"/>
        <w:adjustRightInd w:val="0"/>
        <w:rPr>
          <w:sz w:val="20"/>
          <w:szCs w:val="20"/>
        </w:rPr>
      </w:pPr>
    </w:p>
    <w:p w:rsidR="00F86771" w:rsidRDefault="0075681D">
      <w:pPr>
        <w:tabs>
          <w:tab w:val="left" w:pos="6852"/>
        </w:tabs>
      </w:pPr>
      <w:r>
        <w:t>F</w:t>
      </w:r>
      <w:r w:rsidR="00FE0482">
        <w:t>or questions on these methods</w:t>
      </w:r>
      <w:r w:rsidR="00F86771">
        <w:t xml:space="preserve">, </w:t>
      </w:r>
      <w:r w:rsidR="004E1E18">
        <w:t xml:space="preserve">please </w:t>
      </w:r>
      <w:r w:rsidR="00F86771">
        <w:t xml:space="preserve">contact </w:t>
      </w:r>
      <w:r w:rsidR="00640DA8">
        <w:t>Jacob Bournazian (202</w:t>
      </w:r>
      <w:r w:rsidR="00CB3CC3">
        <w:t xml:space="preserve">) </w:t>
      </w:r>
      <w:r w:rsidR="00640DA8">
        <w:t>586-5562</w:t>
      </w:r>
      <w:r w:rsidR="00F86771">
        <w:t>.</w:t>
      </w:r>
    </w:p>
    <w:p w:rsidR="00F86771" w:rsidRDefault="00F86771">
      <w:pPr>
        <w:tabs>
          <w:tab w:val="left" w:pos="6852"/>
        </w:tabs>
      </w:pPr>
    </w:p>
    <w:p w:rsidR="00F86771" w:rsidRDefault="00F86771">
      <w:pPr>
        <w:ind w:left="3600" w:firstLine="720"/>
      </w:pPr>
      <w:r>
        <w:t>Sincerely,</w:t>
      </w:r>
    </w:p>
    <w:p w:rsidR="00F86771" w:rsidRDefault="00F86771"/>
    <w:p w:rsidR="00F86771" w:rsidRDefault="00F86771"/>
    <w:p w:rsidR="00F86771" w:rsidRDefault="00F86771"/>
    <w:p w:rsidR="00F86771" w:rsidRDefault="00FE0482" w:rsidP="00FE0482">
      <w:pPr>
        <w:ind w:left="3600" w:firstLine="720"/>
      </w:pPr>
      <w:r>
        <w:t>Nanda Srinivasan, Director</w:t>
      </w:r>
    </w:p>
    <w:p w:rsidR="00F86771" w:rsidRDefault="00DA5AC4" w:rsidP="00DA5AC4">
      <w:pPr>
        <w:ind w:left="4320"/>
      </w:pPr>
      <w:r>
        <w:t>Office of Survey Development an</w:t>
      </w:r>
      <w:bookmarkStart w:id="0" w:name="_GoBack"/>
      <w:bookmarkEnd w:id="0"/>
      <w:r>
        <w:t>d Statistical Integration</w:t>
      </w:r>
    </w:p>
    <w:p w:rsidR="00F86771" w:rsidRDefault="005961DE">
      <w:pPr>
        <w:ind w:left="3600" w:firstLine="720"/>
        <w:rPr>
          <w:lang w:val="fr-FR"/>
        </w:rPr>
      </w:pPr>
      <w:r>
        <w:t xml:space="preserve">U.S. </w:t>
      </w:r>
      <w:r w:rsidR="00F86771">
        <w:t>Energy</w:t>
      </w:r>
      <w:r w:rsidR="00F86771">
        <w:rPr>
          <w:lang w:val="fr-FR"/>
        </w:rPr>
        <w:t xml:space="preserve"> Information Administration</w:t>
      </w:r>
    </w:p>
    <w:sectPr w:rsidR="00F86771" w:rsidSect="00BB4A7C">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15F" w:rsidRDefault="006D315F">
      <w:r>
        <w:separator/>
      </w:r>
    </w:p>
  </w:endnote>
  <w:endnote w:type="continuationSeparator" w:id="0">
    <w:p w:rsidR="006D315F" w:rsidRDefault="006D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A8" w:rsidRDefault="00A168A8" w:rsidP="00B77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68A8" w:rsidRDefault="00A16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A8" w:rsidRDefault="00A168A8" w:rsidP="00B77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4F14">
      <w:rPr>
        <w:rStyle w:val="PageNumber"/>
        <w:noProof/>
      </w:rPr>
      <w:t>1</w:t>
    </w:r>
    <w:r>
      <w:rPr>
        <w:rStyle w:val="PageNumber"/>
      </w:rPr>
      <w:fldChar w:fldCharType="end"/>
    </w:r>
  </w:p>
  <w:p w:rsidR="00A168A8" w:rsidRDefault="00A168A8">
    <w:pPr>
      <w:pStyle w:val="Footer"/>
      <w:tabs>
        <w:tab w:val="clear" w:pos="8640"/>
        <w:tab w:val="right" w:pos="9360"/>
      </w:tabs>
      <w:jc w:val="right"/>
      <w:rPr>
        <w:rStyle w:val="PageNumbe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15F" w:rsidRDefault="006D315F">
      <w:r>
        <w:separator/>
      </w:r>
    </w:p>
  </w:footnote>
  <w:footnote w:type="continuationSeparator" w:id="0">
    <w:p w:rsidR="006D315F" w:rsidRDefault="006D3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288A"/>
    <w:multiLevelType w:val="multilevel"/>
    <w:tmpl w:val="87D4569A"/>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
    <w:nsid w:val="19B27AFA"/>
    <w:multiLevelType w:val="hybridMultilevel"/>
    <w:tmpl w:val="18E45296"/>
    <w:lvl w:ilvl="0" w:tplc="DC961480">
      <w:start w:val="1"/>
      <w:numFmt w:val="bullet"/>
      <w:lvlText w:val=""/>
      <w:lvlJc w:val="left"/>
      <w:pPr>
        <w:tabs>
          <w:tab w:val="num" w:pos="720"/>
        </w:tabs>
        <w:ind w:left="720" w:hanging="360"/>
      </w:pPr>
      <w:rPr>
        <w:rFonts w:ascii="Wingdings" w:hAnsi="Wingdings" w:hint="default"/>
      </w:rPr>
    </w:lvl>
    <w:lvl w:ilvl="1" w:tplc="C5D87C32">
      <w:start w:val="160"/>
      <w:numFmt w:val="bullet"/>
      <w:lvlText w:val=""/>
      <w:lvlJc w:val="left"/>
      <w:pPr>
        <w:tabs>
          <w:tab w:val="num" w:pos="1440"/>
        </w:tabs>
        <w:ind w:left="1440" w:hanging="360"/>
      </w:pPr>
      <w:rPr>
        <w:rFonts w:ascii="Wingdings" w:hAnsi="Wingdings" w:hint="default"/>
      </w:rPr>
    </w:lvl>
    <w:lvl w:ilvl="2" w:tplc="E7AA224C" w:tentative="1">
      <w:start w:val="1"/>
      <w:numFmt w:val="bullet"/>
      <w:lvlText w:val=""/>
      <w:lvlJc w:val="left"/>
      <w:pPr>
        <w:tabs>
          <w:tab w:val="num" w:pos="2160"/>
        </w:tabs>
        <w:ind w:left="2160" w:hanging="360"/>
      </w:pPr>
      <w:rPr>
        <w:rFonts w:ascii="Wingdings" w:hAnsi="Wingdings" w:hint="default"/>
      </w:rPr>
    </w:lvl>
    <w:lvl w:ilvl="3" w:tplc="103AF01A" w:tentative="1">
      <w:start w:val="1"/>
      <w:numFmt w:val="bullet"/>
      <w:lvlText w:val=""/>
      <w:lvlJc w:val="left"/>
      <w:pPr>
        <w:tabs>
          <w:tab w:val="num" w:pos="2880"/>
        </w:tabs>
        <w:ind w:left="2880" w:hanging="360"/>
      </w:pPr>
      <w:rPr>
        <w:rFonts w:ascii="Wingdings" w:hAnsi="Wingdings" w:hint="default"/>
      </w:rPr>
    </w:lvl>
    <w:lvl w:ilvl="4" w:tplc="945E4B76" w:tentative="1">
      <w:start w:val="1"/>
      <w:numFmt w:val="bullet"/>
      <w:lvlText w:val=""/>
      <w:lvlJc w:val="left"/>
      <w:pPr>
        <w:tabs>
          <w:tab w:val="num" w:pos="3600"/>
        </w:tabs>
        <w:ind w:left="3600" w:hanging="360"/>
      </w:pPr>
      <w:rPr>
        <w:rFonts w:ascii="Wingdings" w:hAnsi="Wingdings" w:hint="default"/>
      </w:rPr>
    </w:lvl>
    <w:lvl w:ilvl="5" w:tplc="4C888A56" w:tentative="1">
      <w:start w:val="1"/>
      <w:numFmt w:val="bullet"/>
      <w:lvlText w:val=""/>
      <w:lvlJc w:val="left"/>
      <w:pPr>
        <w:tabs>
          <w:tab w:val="num" w:pos="4320"/>
        </w:tabs>
        <w:ind w:left="4320" w:hanging="360"/>
      </w:pPr>
      <w:rPr>
        <w:rFonts w:ascii="Wingdings" w:hAnsi="Wingdings" w:hint="default"/>
      </w:rPr>
    </w:lvl>
    <w:lvl w:ilvl="6" w:tplc="6E80BA80" w:tentative="1">
      <w:start w:val="1"/>
      <w:numFmt w:val="bullet"/>
      <w:lvlText w:val=""/>
      <w:lvlJc w:val="left"/>
      <w:pPr>
        <w:tabs>
          <w:tab w:val="num" w:pos="5040"/>
        </w:tabs>
        <w:ind w:left="5040" w:hanging="360"/>
      </w:pPr>
      <w:rPr>
        <w:rFonts w:ascii="Wingdings" w:hAnsi="Wingdings" w:hint="default"/>
      </w:rPr>
    </w:lvl>
    <w:lvl w:ilvl="7" w:tplc="3126FE08" w:tentative="1">
      <w:start w:val="1"/>
      <w:numFmt w:val="bullet"/>
      <w:lvlText w:val=""/>
      <w:lvlJc w:val="left"/>
      <w:pPr>
        <w:tabs>
          <w:tab w:val="num" w:pos="5760"/>
        </w:tabs>
        <w:ind w:left="5760" w:hanging="360"/>
      </w:pPr>
      <w:rPr>
        <w:rFonts w:ascii="Wingdings" w:hAnsi="Wingdings" w:hint="default"/>
      </w:rPr>
    </w:lvl>
    <w:lvl w:ilvl="8" w:tplc="0DACC268" w:tentative="1">
      <w:start w:val="1"/>
      <w:numFmt w:val="bullet"/>
      <w:lvlText w:val=""/>
      <w:lvlJc w:val="left"/>
      <w:pPr>
        <w:tabs>
          <w:tab w:val="num" w:pos="6480"/>
        </w:tabs>
        <w:ind w:left="6480" w:hanging="360"/>
      </w:pPr>
      <w:rPr>
        <w:rFonts w:ascii="Wingdings" w:hAnsi="Wingdings" w:hint="default"/>
      </w:rPr>
    </w:lvl>
  </w:abstractNum>
  <w:abstractNum w:abstractNumId="2">
    <w:nsid w:val="1E876702"/>
    <w:multiLevelType w:val="hybridMultilevel"/>
    <w:tmpl w:val="26086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9C4CC2"/>
    <w:multiLevelType w:val="hybridMultilevel"/>
    <w:tmpl w:val="E9EA611A"/>
    <w:lvl w:ilvl="0" w:tplc="18DCFAE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325507"/>
    <w:multiLevelType w:val="hybridMultilevel"/>
    <w:tmpl w:val="93A4904C"/>
    <w:lvl w:ilvl="0" w:tplc="18DCFAE8">
      <w:start w:val="1"/>
      <w:numFmt w:val="bullet"/>
      <w:lvlText w:val=""/>
      <w:lvlJc w:val="left"/>
      <w:pPr>
        <w:tabs>
          <w:tab w:val="num" w:pos="1572"/>
        </w:tabs>
        <w:ind w:left="1572" w:hanging="360"/>
      </w:pPr>
      <w:rPr>
        <w:rFonts w:ascii="Symbol" w:hAnsi="Symbol" w:hint="default"/>
      </w:rPr>
    </w:lvl>
    <w:lvl w:ilvl="1" w:tplc="04090005">
      <w:start w:val="1"/>
      <w:numFmt w:val="bullet"/>
      <w:lvlText w:val=""/>
      <w:lvlJc w:val="left"/>
      <w:pPr>
        <w:tabs>
          <w:tab w:val="num" w:pos="1572"/>
        </w:tabs>
        <w:ind w:left="1572" w:hanging="360"/>
      </w:pPr>
      <w:rPr>
        <w:rFonts w:ascii="Wingdings" w:hAnsi="Wingdings"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cs="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cs="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5">
    <w:nsid w:val="35C7614F"/>
    <w:multiLevelType w:val="hybridMultilevel"/>
    <w:tmpl w:val="EB68A908"/>
    <w:lvl w:ilvl="0" w:tplc="07AA61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6165B6"/>
    <w:multiLevelType w:val="hybridMultilevel"/>
    <w:tmpl w:val="87D4569A"/>
    <w:lvl w:ilvl="0" w:tplc="18DCFAE8">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370D261E"/>
    <w:multiLevelType w:val="hybridMultilevel"/>
    <w:tmpl w:val="09BE08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66F47F6"/>
    <w:multiLevelType w:val="hybridMultilevel"/>
    <w:tmpl w:val="CF2079FE"/>
    <w:lvl w:ilvl="0" w:tplc="785CE954">
      <w:start w:val="1"/>
      <w:numFmt w:val="bullet"/>
      <w:lvlText w:val=""/>
      <w:lvlJc w:val="left"/>
      <w:pPr>
        <w:tabs>
          <w:tab w:val="num" w:pos="720"/>
        </w:tabs>
        <w:ind w:left="720" w:hanging="360"/>
      </w:pPr>
      <w:rPr>
        <w:rFonts w:ascii="Wingdings" w:hAnsi="Wingdings" w:hint="default"/>
      </w:rPr>
    </w:lvl>
    <w:lvl w:ilvl="1" w:tplc="FA04331E" w:tentative="1">
      <w:start w:val="1"/>
      <w:numFmt w:val="bullet"/>
      <w:lvlText w:val=""/>
      <w:lvlJc w:val="left"/>
      <w:pPr>
        <w:tabs>
          <w:tab w:val="num" w:pos="1440"/>
        </w:tabs>
        <w:ind w:left="1440" w:hanging="360"/>
      </w:pPr>
      <w:rPr>
        <w:rFonts w:ascii="Wingdings" w:hAnsi="Wingdings" w:hint="default"/>
      </w:rPr>
    </w:lvl>
    <w:lvl w:ilvl="2" w:tplc="8D6607BC" w:tentative="1">
      <w:start w:val="1"/>
      <w:numFmt w:val="bullet"/>
      <w:lvlText w:val=""/>
      <w:lvlJc w:val="left"/>
      <w:pPr>
        <w:tabs>
          <w:tab w:val="num" w:pos="2160"/>
        </w:tabs>
        <w:ind w:left="2160" w:hanging="360"/>
      </w:pPr>
      <w:rPr>
        <w:rFonts w:ascii="Wingdings" w:hAnsi="Wingdings" w:hint="default"/>
      </w:rPr>
    </w:lvl>
    <w:lvl w:ilvl="3" w:tplc="FB02208E" w:tentative="1">
      <w:start w:val="1"/>
      <w:numFmt w:val="bullet"/>
      <w:lvlText w:val=""/>
      <w:lvlJc w:val="left"/>
      <w:pPr>
        <w:tabs>
          <w:tab w:val="num" w:pos="2880"/>
        </w:tabs>
        <w:ind w:left="2880" w:hanging="360"/>
      </w:pPr>
      <w:rPr>
        <w:rFonts w:ascii="Wingdings" w:hAnsi="Wingdings" w:hint="default"/>
      </w:rPr>
    </w:lvl>
    <w:lvl w:ilvl="4" w:tplc="527A8364" w:tentative="1">
      <w:start w:val="1"/>
      <w:numFmt w:val="bullet"/>
      <w:lvlText w:val=""/>
      <w:lvlJc w:val="left"/>
      <w:pPr>
        <w:tabs>
          <w:tab w:val="num" w:pos="3600"/>
        </w:tabs>
        <w:ind w:left="3600" w:hanging="360"/>
      </w:pPr>
      <w:rPr>
        <w:rFonts w:ascii="Wingdings" w:hAnsi="Wingdings" w:hint="default"/>
      </w:rPr>
    </w:lvl>
    <w:lvl w:ilvl="5" w:tplc="01E4C9D2" w:tentative="1">
      <w:start w:val="1"/>
      <w:numFmt w:val="bullet"/>
      <w:lvlText w:val=""/>
      <w:lvlJc w:val="left"/>
      <w:pPr>
        <w:tabs>
          <w:tab w:val="num" w:pos="4320"/>
        </w:tabs>
        <w:ind w:left="4320" w:hanging="360"/>
      </w:pPr>
      <w:rPr>
        <w:rFonts w:ascii="Wingdings" w:hAnsi="Wingdings" w:hint="default"/>
      </w:rPr>
    </w:lvl>
    <w:lvl w:ilvl="6" w:tplc="19344E32" w:tentative="1">
      <w:start w:val="1"/>
      <w:numFmt w:val="bullet"/>
      <w:lvlText w:val=""/>
      <w:lvlJc w:val="left"/>
      <w:pPr>
        <w:tabs>
          <w:tab w:val="num" w:pos="5040"/>
        </w:tabs>
        <w:ind w:left="5040" w:hanging="360"/>
      </w:pPr>
      <w:rPr>
        <w:rFonts w:ascii="Wingdings" w:hAnsi="Wingdings" w:hint="default"/>
      </w:rPr>
    </w:lvl>
    <w:lvl w:ilvl="7" w:tplc="41AE10F6" w:tentative="1">
      <w:start w:val="1"/>
      <w:numFmt w:val="bullet"/>
      <w:lvlText w:val=""/>
      <w:lvlJc w:val="left"/>
      <w:pPr>
        <w:tabs>
          <w:tab w:val="num" w:pos="5760"/>
        </w:tabs>
        <w:ind w:left="5760" w:hanging="360"/>
      </w:pPr>
      <w:rPr>
        <w:rFonts w:ascii="Wingdings" w:hAnsi="Wingdings" w:hint="default"/>
      </w:rPr>
    </w:lvl>
    <w:lvl w:ilvl="8" w:tplc="205A8F00" w:tentative="1">
      <w:start w:val="1"/>
      <w:numFmt w:val="bullet"/>
      <w:lvlText w:val=""/>
      <w:lvlJc w:val="left"/>
      <w:pPr>
        <w:tabs>
          <w:tab w:val="num" w:pos="6480"/>
        </w:tabs>
        <w:ind w:left="6480" w:hanging="360"/>
      </w:pPr>
      <w:rPr>
        <w:rFonts w:ascii="Wingdings" w:hAnsi="Wingdings" w:hint="default"/>
      </w:rPr>
    </w:lvl>
  </w:abstractNum>
  <w:abstractNum w:abstractNumId="9">
    <w:nsid w:val="4DF86000"/>
    <w:multiLevelType w:val="hybridMultilevel"/>
    <w:tmpl w:val="3946AD98"/>
    <w:lvl w:ilvl="0" w:tplc="18DCFAE8">
      <w:start w:val="1"/>
      <w:numFmt w:val="bullet"/>
      <w:lvlText w:val=""/>
      <w:lvlJc w:val="left"/>
      <w:pPr>
        <w:tabs>
          <w:tab w:val="num" w:pos="1572"/>
        </w:tabs>
        <w:ind w:left="15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1257FC"/>
    <w:multiLevelType w:val="hybridMultilevel"/>
    <w:tmpl w:val="F7449BC8"/>
    <w:lvl w:ilvl="0" w:tplc="8DD474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EF81260"/>
    <w:multiLevelType w:val="hybridMultilevel"/>
    <w:tmpl w:val="29EEE0CE"/>
    <w:lvl w:ilvl="0" w:tplc="18DCFAE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88473D"/>
    <w:multiLevelType w:val="hybridMultilevel"/>
    <w:tmpl w:val="6F84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7A1DDB"/>
    <w:multiLevelType w:val="hybridMultilevel"/>
    <w:tmpl w:val="02F0EE32"/>
    <w:lvl w:ilvl="0" w:tplc="18DCFAE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BE21D5"/>
    <w:multiLevelType w:val="hybridMultilevel"/>
    <w:tmpl w:val="3580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441DBC"/>
    <w:multiLevelType w:val="hybridMultilevel"/>
    <w:tmpl w:val="E93AFA50"/>
    <w:lvl w:ilvl="0" w:tplc="77D23C06">
      <w:start w:val="1"/>
      <w:numFmt w:val="bullet"/>
      <w:lvlText w:val=""/>
      <w:lvlJc w:val="left"/>
      <w:pPr>
        <w:tabs>
          <w:tab w:val="num" w:pos="720"/>
        </w:tabs>
        <w:ind w:left="720" w:hanging="360"/>
      </w:pPr>
      <w:rPr>
        <w:rFonts w:ascii="Wingdings" w:hAnsi="Wingdings" w:hint="default"/>
      </w:rPr>
    </w:lvl>
    <w:lvl w:ilvl="1" w:tplc="389AC4D6">
      <w:start w:val="160"/>
      <w:numFmt w:val="bullet"/>
      <w:lvlText w:val=""/>
      <w:lvlJc w:val="left"/>
      <w:pPr>
        <w:tabs>
          <w:tab w:val="num" w:pos="1440"/>
        </w:tabs>
        <w:ind w:left="1440" w:hanging="360"/>
      </w:pPr>
      <w:rPr>
        <w:rFonts w:ascii="Wingdings" w:hAnsi="Wingdings" w:hint="default"/>
      </w:rPr>
    </w:lvl>
    <w:lvl w:ilvl="2" w:tplc="C85ABD56" w:tentative="1">
      <w:start w:val="1"/>
      <w:numFmt w:val="bullet"/>
      <w:lvlText w:val=""/>
      <w:lvlJc w:val="left"/>
      <w:pPr>
        <w:tabs>
          <w:tab w:val="num" w:pos="2160"/>
        </w:tabs>
        <w:ind w:left="2160" w:hanging="360"/>
      </w:pPr>
      <w:rPr>
        <w:rFonts w:ascii="Wingdings" w:hAnsi="Wingdings" w:hint="default"/>
      </w:rPr>
    </w:lvl>
    <w:lvl w:ilvl="3" w:tplc="3D02EEE8" w:tentative="1">
      <w:start w:val="1"/>
      <w:numFmt w:val="bullet"/>
      <w:lvlText w:val=""/>
      <w:lvlJc w:val="left"/>
      <w:pPr>
        <w:tabs>
          <w:tab w:val="num" w:pos="2880"/>
        </w:tabs>
        <w:ind w:left="2880" w:hanging="360"/>
      </w:pPr>
      <w:rPr>
        <w:rFonts w:ascii="Wingdings" w:hAnsi="Wingdings" w:hint="default"/>
      </w:rPr>
    </w:lvl>
    <w:lvl w:ilvl="4" w:tplc="0054048A" w:tentative="1">
      <w:start w:val="1"/>
      <w:numFmt w:val="bullet"/>
      <w:lvlText w:val=""/>
      <w:lvlJc w:val="left"/>
      <w:pPr>
        <w:tabs>
          <w:tab w:val="num" w:pos="3600"/>
        </w:tabs>
        <w:ind w:left="3600" w:hanging="360"/>
      </w:pPr>
      <w:rPr>
        <w:rFonts w:ascii="Wingdings" w:hAnsi="Wingdings" w:hint="default"/>
      </w:rPr>
    </w:lvl>
    <w:lvl w:ilvl="5" w:tplc="6CA69D84" w:tentative="1">
      <w:start w:val="1"/>
      <w:numFmt w:val="bullet"/>
      <w:lvlText w:val=""/>
      <w:lvlJc w:val="left"/>
      <w:pPr>
        <w:tabs>
          <w:tab w:val="num" w:pos="4320"/>
        </w:tabs>
        <w:ind w:left="4320" w:hanging="360"/>
      </w:pPr>
      <w:rPr>
        <w:rFonts w:ascii="Wingdings" w:hAnsi="Wingdings" w:hint="default"/>
      </w:rPr>
    </w:lvl>
    <w:lvl w:ilvl="6" w:tplc="59CC5D20" w:tentative="1">
      <w:start w:val="1"/>
      <w:numFmt w:val="bullet"/>
      <w:lvlText w:val=""/>
      <w:lvlJc w:val="left"/>
      <w:pPr>
        <w:tabs>
          <w:tab w:val="num" w:pos="5040"/>
        </w:tabs>
        <w:ind w:left="5040" w:hanging="360"/>
      </w:pPr>
      <w:rPr>
        <w:rFonts w:ascii="Wingdings" w:hAnsi="Wingdings" w:hint="default"/>
      </w:rPr>
    </w:lvl>
    <w:lvl w:ilvl="7" w:tplc="106ED2C6" w:tentative="1">
      <w:start w:val="1"/>
      <w:numFmt w:val="bullet"/>
      <w:lvlText w:val=""/>
      <w:lvlJc w:val="left"/>
      <w:pPr>
        <w:tabs>
          <w:tab w:val="num" w:pos="5760"/>
        </w:tabs>
        <w:ind w:left="5760" w:hanging="360"/>
      </w:pPr>
      <w:rPr>
        <w:rFonts w:ascii="Wingdings" w:hAnsi="Wingdings" w:hint="default"/>
      </w:rPr>
    </w:lvl>
    <w:lvl w:ilvl="8" w:tplc="763669F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1"/>
  </w:num>
  <w:num w:numId="4">
    <w:abstractNumId w:val="8"/>
  </w:num>
  <w:num w:numId="5">
    <w:abstractNumId w:val="1"/>
  </w:num>
  <w:num w:numId="6">
    <w:abstractNumId w:val="16"/>
  </w:num>
  <w:num w:numId="7">
    <w:abstractNumId w:val="3"/>
  </w:num>
  <w:num w:numId="8">
    <w:abstractNumId w:val="14"/>
  </w:num>
  <w:num w:numId="9">
    <w:abstractNumId w:val="6"/>
  </w:num>
  <w:num w:numId="10">
    <w:abstractNumId w:val="0"/>
  </w:num>
  <w:num w:numId="11">
    <w:abstractNumId w:val="4"/>
  </w:num>
  <w:num w:numId="12">
    <w:abstractNumId w:val="9"/>
  </w:num>
  <w:num w:numId="13">
    <w:abstractNumId w:val="13"/>
  </w:num>
  <w:num w:numId="14">
    <w:abstractNumId w:val="15"/>
  </w:num>
  <w:num w:numId="15">
    <w:abstractNumId w:val="1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E5"/>
    <w:rsid w:val="000008FD"/>
    <w:rsid w:val="00000DE6"/>
    <w:rsid w:val="00013681"/>
    <w:rsid w:val="00027EE8"/>
    <w:rsid w:val="00036FA4"/>
    <w:rsid w:val="00063F71"/>
    <w:rsid w:val="000644EA"/>
    <w:rsid w:val="00065E81"/>
    <w:rsid w:val="00071D7A"/>
    <w:rsid w:val="00082919"/>
    <w:rsid w:val="000839F3"/>
    <w:rsid w:val="00084F14"/>
    <w:rsid w:val="00091619"/>
    <w:rsid w:val="000A632E"/>
    <w:rsid w:val="000A665D"/>
    <w:rsid w:val="000B6BC1"/>
    <w:rsid w:val="000C441A"/>
    <w:rsid w:val="000C5304"/>
    <w:rsid w:val="000E5DD2"/>
    <w:rsid w:val="000F6326"/>
    <w:rsid w:val="00104A07"/>
    <w:rsid w:val="00107982"/>
    <w:rsid w:val="00107F2B"/>
    <w:rsid w:val="001154EC"/>
    <w:rsid w:val="001325FC"/>
    <w:rsid w:val="001333A3"/>
    <w:rsid w:val="00133BC3"/>
    <w:rsid w:val="00146313"/>
    <w:rsid w:val="0016215A"/>
    <w:rsid w:val="00162DC0"/>
    <w:rsid w:val="001664BA"/>
    <w:rsid w:val="00170A4A"/>
    <w:rsid w:val="001776F3"/>
    <w:rsid w:val="00186F81"/>
    <w:rsid w:val="001936B8"/>
    <w:rsid w:val="00195284"/>
    <w:rsid w:val="001B52E5"/>
    <w:rsid w:val="001C14E9"/>
    <w:rsid w:val="001C633B"/>
    <w:rsid w:val="001C7C99"/>
    <w:rsid w:val="001E2F4D"/>
    <w:rsid w:val="001F666E"/>
    <w:rsid w:val="001F678E"/>
    <w:rsid w:val="00203131"/>
    <w:rsid w:val="002032A8"/>
    <w:rsid w:val="00204CDD"/>
    <w:rsid w:val="0020630A"/>
    <w:rsid w:val="002069B0"/>
    <w:rsid w:val="002130B8"/>
    <w:rsid w:val="00237B91"/>
    <w:rsid w:val="0024719B"/>
    <w:rsid w:val="0025075A"/>
    <w:rsid w:val="002546ED"/>
    <w:rsid w:val="00285CF5"/>
    <w:rsid w:val="00286215"/>
    <w:rsid w:val="002871D2"/>
    <w:rsid w:val="00292A51"/>
    <w:rsid w:val="002A1519"/>
    <w:rsid w:val="002A7604"/>
    <w:rsid w:val="002E6721"/>
    <w:rsid w:val="002E77AA"/>
    <w:rsid w:val="002F31FB"/>
    <w:rsid w:val="00327543"/>
    <w:rsid w:val="00334C9D"/>
    <w:rsid w:val="0034114D"/>
    <w:rsid w:val="00355D3C"/>
    <w:rsid w:val="00356890"/>
    <w:rsid w:val="00364397"/>
    <w:rsid w:val="00377856"/>
    <w:rsid w:val="003830D1"/>
    <w:rsid w:val="003A5905"/>
    <w:rsid w:val="003C1E55"/>
    <w:rsid w:val="003D1C2A"/>
    <w:rsid w:val="003D707B"/>
    <w:rsid w:val="003E03ED"/>
    <w:rsid w:val="003E23C2"/>
    <w:rsid w:val="003E5904"/>
    <w:rsid w:val="004147AC"/>
    <w:rsid w:val="00431CF7"/>
    <w:rsid w:val="004330E6"/>
    <w:rsid w:val="00444FD1"/>
    <w:rsid w:val="00463EAE"/>
    <w:rsid w:val="00467246"/>
    <w:rsid w:val="0047788A"/>
    <w:rsid w:val="004975B4"/>
    <w:rsid w:val="004A0151"/>
    <w:rsid w:val="004A44DE"/>
    <w:rsid w:val="004A6CC7"/>
    <w:rsid w:val="004B5141"/>
    <w:rsid w:val="004B7FEB"/>
    <w:rsid w:val="004D2683"/>
    <w:rsid w:val="004E1E18"/>
    <w:rsid w:val="004F7387"/>
    <w:rsid w:val="00507CC1"/>
    <w:rsid w:val="005511DC"/>
    <w:rsid w:val="00561FEB"/>
    <w:rsid w:val="00562841"/>
    <w:rsid w:val="00575F5F"/>
    <w:rsid w:val="00584A0A"/>
    <w:rsid w:val="00585C8B"/>
    <w:rsid w:val="005961DE"/>
    <w:rsid w:val="005A5BDA"/>
    <w:rsid w:val="005B5A2B"/>
    <w:rsid w:val="005C101E"/>
    <w:rsid w:val="005C71F7"/>
    <w:rsid w:val="005E137F"/>
    <w:rsid w:val="005E1773"/>
    <w:rsid w:val="005F2B34"/>
    <w:rsid w:val="005F2D79"/>
    <w:rsid w:val="005F3984"/>
    <w:rsid w:val="006072B0"/>
    <w:rsid w:val="006101C0"/>
    <w:rsid w:val="00614F5C"/>
    <w:rsid w:val="00615DB4"/>
    <w:rsid w:val="0062773C"/>
    <w:rsid w:val="00640DA8"/>
    <w:rsid w:val="0066090B"/>
    <w:rsid w:val="00664625"/>
    <w:rsid w:val="0067013F"/>
    <w:rsid w:val="006717A8"/>
    <w:rsid w:val="00692E54"/>
    <w:rsid w:val="0069489C"/>
    <w:rsid w:val="00696D08"/>
    <w:rsid w:val="006A0A5C"/>
    <w:rsid w:val="006A0D08"/>
    <w:rsid w:val="006A1FA5"/>
    <w:rsid w:val="006B0B0C"/>
    <w:rsid w:val="006B217D"/>
    <w:rsid w:val="006B4D63"/>
    <w:rsid w:val="006C37C7"/>
    <w:rsid w:val="006C5984"/>
    <w:rsid w:val="006D14D7"/>
    <w:rsid w:val="006D286A"/>
    <w:rsid w:val="006D315F"/>
    <w:rsid w:val="006D51B8"/>
    <w:rsid w:val="006D6425"/>
    <w:rsid w:val="006D77B9"/>
    <w:rsid w:val="007046AB"/>
    <w:rsid w:val="00711C73"/>
    <w:rsid w:val="00714EBD"/>
    <w:rsid w:val="007155FF"/>
    <w:rsid w:val="00716CD4"/>
    <w:rsid w:val="007240BA"/>
    <w:rsid w:val="0073729E"/>
    <w:rsid w:val="00741102"/>
    <w:rsid w:val="00747AAD"/>
    <w:rsid w:val="00753699"/>
    <w:rsid w:val="0075681D"/>
    <w:rsid w:val="007620C6"/>
    <w:rsid w:val="007622EE"/>
    <w:rsid w:val="00762589"/>
    <w:rsid w:val="007625BA"/>
    <w:rsid w:val="00765DC1"/>
    <w:rsid w:val="00767062"/>
    <w:rsid w:val="00781493"/>
    <w:rsid w:val="00783126"/>
    <w:rsid w:val="007A1707"/>
    <w:rsid w:val="007A6656"/>
    <w:rsid w:val="007A7835"/>
    <w:rsid w:val="007B4FC4"/>
    <w:rsid w:val="007B7B34"/>
    <w:rsid w:val="007C60A6"/>
    <w:rsid w:val="007D3E7E"/>
    <w:rsid w:val="007E10F0"/>
    <w:rsid w:val="007E30AE"/>
    <w:rsid w:val="007E675E"/>
    <w:rsid w:val="007F6DE7"/>
    <w:rsid w:val="008003AB"/>
    <w:rsid w:val="00801E15"/>
    <w:rsid w:val="00823704"/>
    <w:rsid w:val="00853A3E"/>
    <w:rsid w:val="00855EB5"/>
    <w:rsid w:val="008602E9"/>
    <w:rsid w:val="00864E15"/>
    <w:rsid w:val="00870795"/>
    <w:rsid w:val="00886ABD"/>
    <w:rsid w:val="008A5C36"/>
    <w:rsid w:val="008B74A3"/>
    <w:rsid w:val="008C313C"/>
    <w:rsid w:val="008C4A77"/>
    <w:rsid w:val="008C67D3"/>
    <w:rsid w:val="008D3811"/>
    <w:rsid w:val="008D61E5"/>
    <w:rsid w:val="008E3ED5"/>
    <w:rsid w:val="009062DB"/>
    <w:rsid w:val="00916BBE"/>
    <w:rsid w:val="009245B9"/>
    <w:rsid w:val="00930DFC"/>
    <w:rsid w:val="009310CC"/>
    <w:rsid w:val="0095503E"/>
    <w:rsid w:val="00957DCB"/>
    <w:rsid w:val="00965333"/>
    <w:rsid w:val="0097077F"/>
    <w:rsid w:val="00973763"/>
    <w:rsid w:val="00981393"/>
    <w:rsid w:val="009832D4"/>
    <w:rsid w:val="00984536"/>
    <w:rsid w:val="009A4290"/>
    <w:rsid w:val="009C0300"/>
    <w:rsid w:val="009C175E"/>
    <w:rsid w:val="009C729D"/>
    <w:rsid w:val="009E5BFB"/>
    <w:rsid w:val="009E720F"/>
    <w:rsid w:val="009F6CBC"/>
    <w:rsid w:val="00A168A8"/>
    <w:rsid w:val="00A1748F"/>
    <w:rsid w:val="00A23F11"/>
    <w:rsid w:val="00A2616A"/>
    <w:rsid w:val="00A27A4E"/>
    <w:rsid w:val="00A423F6"/>
    <w:rsid w:val="00A61632"/>
    <w:rsid w:val="00A8010C"/>
    <w:rsid w:val="00A83836"/>
    <w:rsid w:val="00AA2097"/>
    <w:rsid w:val="00AA47A0"/>
    <w:rsid w:val="00AA7069"/>
    <w:rsid w:val="00AD2A43"/>
    <w:rsid w:val="00AE56AF"/>
    <w:rsid w:val="00AF0668"/>
    <w:rsid w:val="00AF3942"/>
    <w:rsid w:val="00B00B02"/>
    <w:rsid w:val="00B01A1A"/>
    <w:rsid w:val="00B058EC"/>
    <w:rsid w:val="00B13BF0"/>
    <w:rsid w:val="00B403F9"/>
    <w:rsid w:val="00B45CDD"/>
    <w:rsid w:val="00B50AF7"/>
    <w:rsid w:val="00B51621"/>
    <w:rsid w:val="00B51FBE"/>
    <w:rsid w:val="00B65126"/>
    <w:rsid w:val="00B776B4"/>
    <w:rsid w:val="00BA2028"/>
    <w:rsid w:val="00BB4A7C"/>
    <w:rsid w:val="00BC222D"/>
    <w:rsid w:val="00BC4782"/>
    <w:rsid w:val="00BC4DBF"/>
    <w:rsid w:val="00BD4D82"/>
    <w:rsid w:val="00BF4527"/>
    <w:rsid w:val="00BF5CF5"/>
    <w:rsid w:val="00C1228B"/>
    <w:rsid w:val="00C127CA"/>
    <w:rsid w:val="00C1713C"/>
    <w:rsid w:val="00C21D24"/>
    <w:rsid w:val="00C24BF2"/>
    <w:rsid w:val="00C477E6"/>
    <w:rsid w:val="00C5574E"/>
    <w:rsid w:val="00C75C20"/>
    <w:rsid w:val="00C94D02"/>
    <w:rsid w:val="00CA3359"/>
    <w:rsid w:val="00CA3714"/>
    <w:rsid w:val="00CB3CC3"/>
    <w:rsid w:val="00CB6673"/>
    <w:rsid w:val="00CC0D40"/>
    <w:rsid w:val="00CC297A"/>
    <w:rsid w:val="00CD119C"/>
    <w:rsid w:val="00CD7919"/>
    <w:rsid w:val="00CF484F"/>
    <w:rsid w:val="00D02117"/>
    <w:rsid w:val="00D072DD"/>
    <w:rsid w:val="00D306C6"/>
    <w:rsid w:val="00D32C26"/>
    <w:rsid w:val="00D339E8"/>
    <w:rsid w:val="00D43DBD"/>
    <w:rsid w:val="00D470E9"/>
    <w:rsid w:val="00D4728C"/>
    <w:rsid w:val="00D5496B"/>
    <w:rsid w:val="00D56381"/>
    <w:rsid w:val="00D61357"/>
    <w:rsid w:val="00D638FA"/>
    <w:rsid w:val="00D65EAF"/>
    <w:rsid w:val="00D678A0"/>
    <w:rsid w:val="00D755A0"/>
    <w:rsid w:val="00D8089E"/>
    <w:rsid w:val="00D82B19"/>
    <w:rsid w:val="00D8396E"/>
    <w:rsid w:val="00D862C5"/>
    <w:rsid w:val="00D917ED"/>
    <w:rsid w:val="00DA5AC4"/>
    <w:rsid w:val="00DA5FA3"/>
    <w:rsid w:val="00DA6DF2"/>
    <w:rsid w:val="00DB2B5B"/>
    <w:rsid w:val="00DB64C2"/>
    <w:rsid w:val="00DB6FF7"/>
    <w:rsid w:val="00DC0FBC"/>
    <w:rsid w:val="00DD122B"/>
    <w:rsid w:val="00DD3CA0"/>
    <w:rsid w:val="00DE2680"/>
    <w:rsid w:val="00DE3E06"/>
    <w:rsid w:val="00DE569E"/>
    <w:rsid w:val="00DF0771"/>
    <w:rsid w:val="00DF1F38"/>
    <w:rsid w:val="00DF5AD2"/>
    <w:rsid w:val="00E009F7"/>
    <w:rsid w:val="00E01736"/>
    <w:rsid w:val="00E04CFB"/>
    <w:rsid w:val="00E079EF"/>
    <w:rsid w:val="00E2092B"/>
    <w:rsid w:val="00E21C11"/>
    <w:rsid w:val="00E31FD1"/>
    <w:rsid w:val="00E3312E"/>
    <w:rsid w:val="00E34E9D"/>
    <w:rsid w:val="00E36EFB"/>
    <w:rsid w:val="00E602B5"/>
    <w:rsid w:val="00E64DBC"/>
    <w:rsid w:val="00E663A1"/>
    <w:rsid w:val="00E7077A"/>
    <w:rsid w:val="00E7377B"/>
    <w:rsid w:val="00E80059"/>
    <w:rsid w:val="00EC214C"/>
    <w:rsid w:val="00EC28AE"/>
    <w:rsid w:val="00EC5FF9"/>
    <w:rsid w:val="00ED4E40"/>
    <w:rsid w:val="00EE0C1E"/>
    <w:rsid w:val="00EE7CC0"/>
    <w:rsid w:val="00EF4E52"/>
    <w:rsid w:val="00EF63E0"/>
    <w:rsid w:val="00F00049"/>
    <w:rsid w:val="00F0356D"/>
    <w:rsid w:val="00F33CB3"/>
    <w:rsid w:val="00F3657D"/>
    <w:rsid w:val="00F405AE"/>
    <w:rsid w:val="00F412E7"/>
    <w:rsid w:val="00F52562"/>
    <w:rsid w:val="00F56140"/>
    <w:rsid w:val="00F626B3"/>
    <w:rsid w:val="00F634AD"/>
    <w:rsid w:val="00F734E7"/>
    <w:rsid w:val="00F81B19"/>
    <w:rsid w:val="00F8360E"/>
    <w:rsid w:val="00F86771"/>
    <w:rsid w:val="00F9345B"/>
    <w:rsid w:val="00FA22FA"/>
    <w:rsid w:val="00FA51F2"/>
    <w:rsid w:val="00FA61F9"/>
    <w:rsid w:val="00FC0523"/>
    <w:rsid w:val="00FC2101"/>
    <w:rsid w:val="00FE0482"/>
    <w:rsid w:val="00FE76E6"/>
    <w:rsid w:val="00FF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4BA"/>
    <w:rPr>
      <w:sz w:val="24"/>
      <w:szCs w:val="24"/>
    </w:rPr>
  </w:style>
  <w:style w:type="paragraph" w:styleId="Heading1">
    <w:name w:val="heading 1"/>
    <w:basedOn w:val="Normal"/>
    <w:next w:val="Normal"/>
    <w:qFormat/>
    <w:rsid w:val="001664B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664B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664BA"/>
    <w:pPr>
      <w:keepNext/>
      <w:spacing w:before="240" w:after="60"/>
      <w:outlineLvl w:val="2"/>
    </w:pPr>
    <w:rPr>
      <w:rFonts w:ascii="Arial" w:hAnsi="Arial" w:cs="Arial"/>
      <w:b/>
      <w:bCs/>
      <w:sz w:val="26"/>
      <w:szCs w:val="26"/>
    </w:rPr>
  </w:style>
  <w:style w:type="paragraph" w:styleId="Heading4">
    <w:name w:val="heading 4"/>
    <w:basedOn w:val="Normal"/>
    <w:next w:val="Normal"/>
    <w:qFormat/>
    <w:rsid w:val="001664B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64BA"/>
    <w:pPr>
      <w:tabs>
        <w:tab w:val="center" w:pos="4320"/>
        <w:tab w:val="right" w:pos="8640"/>
      </w:tabs>
    </w:pPr>
    <w:rPr>
      <w:rFonts w:ascii="Times" w:eastAsia="Times" w:hAnsi="Times"/>
      <w:szCs w:val="20"/>
    </w:rPr>
  </w:style>
  <w:style w:type="paragraph" w:styleId="Footer">
    <w:name w:val="footer"/>
    <w:basedOn w:val="Normal"/>
    <w:rsid w:val="001664BA"/>
    <w:pPr>
      <w:tabs>
        <w:tab w:val="center" w:pos="4320"/>
        <w:tab w:val="right" w:pos="8640"/>
      </w:tabs>
    </w:pPr>
    <w:rPr>
      <w:rFonts w:ascii="Times" w:eastAsia="Times" w:hAnsi="Times"/>
      <w:szCs w:val="20"/>
    </w:rPr>
  </w:style>
  <w:style w:type="paragraph" w:customStyle="1" w:styleId="APAHeading1">
    <w:name w:val="APA Heading 1"/>
    <w:basedOn w:val="Heading1"/>
    <w:next w:val="Normal"/>
    <w:rsid w:val="001664BA"/>
    <w:pPr>
      <w:spacing w:before="0" w:after="0" w:line="480" w:lineRule="auto"/>
      <w:jc w:val="center"/>
    </w:pPr>
    <w:rPr>
      <w:rFonts w:ascii="Times New Roman" w:hAnsi="Times New Roman" w:cs="Times New Roman"/>
      <w:bCs w:val="0"/>
      <w:kern w:val="0"/>
      <w:sz w:val="24"/>
      <w:szCs w:val="24"/>
    </w:rPr>
  </w:style>
  <w:style w:type="paragraph" w:customStyle="1" w:styleId="APAHeading2">
    <w:name w:val="APA Heading 2"/>
    <w:basedOn w:val="Heading2"/>
    <w:next w:val="Normal"/>
    <w:rsid w:val="001664BA"/>
    <w:pPr>
      <w:spacing w:before="0" w:after="0" w:line="480" w:lineRule="auto"/>
      <w:ind w:left="720"/>
      <w:jc w:val="center"/>
    </w:pPr>
    <w:rPr>
      <w:rFonts w:ascii="Times New Roman" w:eastAsia="Times" w:hAnsi="Times New Roman" w:cs="Times New Roman"/>
      <w:bCs w:val="0"/>
      <w:i w:val="0"/>
      <w:iCs w:val="0"/>
      <w:sz w:val="24"/>
      <w:szCs w:val="20"/>
      <w:u w:val="single"/>
    </w:rPr>
  </w:style>
  <w:style w:type="paragraph" w:customStyle="1" w:styleId="APAHeading3">
    <w:name w:val="APA Heading 3"/>
    <w:basedOn w:val="Heading3"/>
    <w:next w:val="Normal"/>
    <w:rsid w:val="001664BA"/>
    <w:pPr>
      <w:spacing w:before="0" w:after="0" w:line="480" w:lineRule="auto"/>
    </w:pPr>
    <w:rPr>
      <w:rFonts w:ascii="Times New Roman" w:eastAsia="Times" w:hAnsi="Times New Roman" w:cs="Times New Roman"/>
      <w:sz w:val="24"/>
      <w:szCs w:val="20"/>
      <w:u w:val="single"/>
    </w:rPr>
  </w:style>
  <w:style w:type="paragraph" w:customStyle="1" w:styleId="APAHeading4">
    <w:name w:val="APA Heading 4"/>
    <w:basedOn w:val="Heading4"/>
    <w:next w:val="Normal"/>
    <w:rsid w:val="001664BA"/>
    <w:pPr>
      <w:spacing w:before="0" w:after="0" w:line="480" w:lineRule="auto"/>
      <w:ind w:left="720"/>
    </w:pPr>
    <w:rPr>
      <w:rFonts w:eastAsia="Times"/>
      <w:sz w:val="24"/>
      <w:u w:val="single"/>
    </w:rPr>
  </w:style>
  <w:style w:type="character" w:styleId="PageNumber">
    <w:name w:val="page number"/>
    <w:basedOn w:val="DefaultParagraphFont"/>
    <w:rsid w:val="001664BA"/>
  </w:style>
  <w:style w:type="paragraph" w:styleId="BalloonText">
    <w:name w:val="Balloon Text"/>
    <w:basedOn w:val="Normal"/>
    <w:semiHidden/>
    <w:rsid w:val="001664BA"/>
    <w:rPr>
      <w:rFonts w:ascii="Tahoma" w:hAnsi="Tahoma" w:cs="Tahoma"/>
      <w:sz w:val="16"/>
      <w:szCs w:val="16"/>
    </w:rPr>
  </w:style>
  <w:style w:type="paragraph" w:customStyle="1" w:styleId="Default">
    <w:name w:val="Default"/>
    <w:rsid w:val="001664BA"/>
    <w:pPr>
      <w:autoSpaceDE w:val="0"/>
      <w:autoSpaceDN w:val="0"/>
      <w:adjustRightInd w:val="0"/>
    </w:pPr>
    <w:rPr>
      <w:color w:val="000000"/>
      <w:sz w:val="24"/>
      <w:szCs w:val="24"/>
    </w:rPr>
  </w:style>
  <w:style w:type="character" w:styleId="Hyperlink">
    <w:name w:val="Hyperlink"/>
    <w:basedOn w:val="DefaultParagraphFont"/>
    <w:rsid w:val="001664BA"/>
    <w:rPr>
      <w:color w:val="0000FF"/>
      <w:u w:val="single"/>
    </w:rPr>
  </w:style>
  <w:style w:type="character" w:styleId="Strong">
    <w:name w:val="Strong"/>
    <w:basedOn w:val="DefaultParagraphFont"/>
    <w:qFormat/>
    <w:rsid w:val="00BD4D82"/>
    <w:rPr>
      <w:b/>
      <w:bCs/>
    </w:rPr>
  </w:style>
  <w:style w:type="character" w:styleId="CommentReference">
    <w:name w:val="annotation reference"/>
    <w:basedOn w:val="DefaultParagraphFont"/>
    <w:uiPriority w:val="99"/>
    <w:semiHidden/>
    <w:rsid w:val="005F3984"/>
    <w:rPr>
      <w:sz w:val="16"/>
      <w:szCs w:val="16"/>
    </w:rPr>
  </w:style>
  <w:style w:type="paragraph" w:styleId="CommentText">
    <w:name w:val="annotation text"/>
    <w:basedOn w:val="Normal"/>
    <w:link w:val="CommentTextChar"/>
    <w:uiPriority w:val="99"/>
    <w:rsid w:val="005F3984"/>
    <w:rPr>
      <w:sz w:val="20"/>
      <w:szCs w:val="20"/>
    </w:rPr>
  </w:style>
  <w:style w:type="paragraph" w:styleId="CommentSubject">
    <w:name w:val="annotation subject"/>
    <w:basedOn w:val="CommentText"/>
    <w:next w:val="CommentText"/>
    <w:semiHidden/>
    <w:rsid w:val="005F3984"/>
    <w:rPr>
      <w:b/>
      <w:bCs/>
    </w:rPr>
  </w:style>
  <w:style w:type="paragraph" w:styleId="FootnoteText">
    <w:name w:val="footnote text"/>
    <w:basedOn w:val="Normal"/>
    <w:semiHidden/>
    <w:rsid w:val="003E03ED"/>
    <w:rPr>
      <w:sz w:val="20"/>
      <w:szCs w:val="20"/>
    </w:rPr>
  </w:style>
  <w:style w:type="character" w:styleId="FootnoteReference">
    <w:name w:val="footnote reference"/>
    <w:basedOn w:val="DefaultParagraphFont"/>
    <w:semiHidden/>
    <w:rsid w:val="003E03ED"/>
    <w:rPr>
      <w:vertAlign w:val="superscript"/>
    </w:rPr>
  </w:style>
  <w:style w:type="character" w:customStyle="1" w:styleId="CommentTextChar">
    <w:name w:val="Comment Text Char"/>
    <w:basedOn w:val="DefaultParagraphFont"/>
    <w:link w:val="CommentText"/>
    <w:uiPriority w:val="99"/>
    <w:locked/>
    <w:rsid w:val="006717A8"/>
    <w:rPr>
      <w:lang w:val="en-US" w:eastAsia="en-US" w:bidi="ar-SA"/>
    </w:rPr>
  </w:style>
  <w:style w:type="paragraph" w:styleId="ListParagraph">
    <w:name w:val="List Paragraph"/>
    <w:basedOn w:val="Normal"/>
    <w:uiPriority w:val="34"/>
    <w:qFormat/>
    <w:rsid w:val="007B7B34"/>
    <w:pPr>
      <w:ind w:left="720"/>
      <w:contextualSpacing/>
    </w:pPr>
  </w:style>
  <w:style w:type="paragraph" w:styleId="BodyText">
    <w:name w:val="Body Text"/>
    <w:basedOn w:val="Normal"/>
    <w:link w:val="BodyTextChar"/>
    <w:rsid w:val="003D1C2A"/>
    <w:pPr>
      <w:spacing w:after="200" w:line="276" w:lineRule="auto"/>
      <w:ind w:firstLine="720"/>
    </w:pPr>
    <w:rPr>
      <w:rFonts w:asciiTheme="majorBidi" w:eastAsiaTheme="minorHAnsi" w:hAnsiTheme="majorBidi" w:cstheme="majorBidi"/>
    </w:rPr>
  </w:style>
  <w:style w:type="character" w:customStyle="1" w:styleId="BodyTextChar">
    <w:name w:val="Body Text Char"/>
    <w:basedOn w:val="DefaultParagraphFont"/>
    <w:link w:val="BodyText"/>
    <w:rsid w:val="003D1C2A"/>
    <w:rPr>
      <w:rFonts w:asciiTheme="majorBidi" w:eastAsiaTheme="minorHAnsi" w:hAnsiTheme="majorBidi" w:cstheme="majorBidi"/>
      <w:sz w:val="24"/>
      <w:szCs w:val="24"/>
    </w:rPr>
  </w:style>
  <w:style w:type="paragraph" w:customStyle="1" w:styleId="Bullet-blank">
    <w:name w:val="Bullet-blank"/>
    <w:basedOn w:val="BodyText"/>
    <w:qFormat/>
    <w:rsid w:val="009310CC"/>
    <w:pPr>
      <w:ind w:left="1260" w:hanging="5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4BA"/>
    <w:rPr>
      <w:sz w:val="24"/>
      <w:szCs w:val="24"/>
    </w:rPr>
  </w:style>
  <w:style w:type="paragraph" w:styleId="Heading1">
    <w:name w:val="heading 1"/>
    <w:basedOn w:val="Normal"/>
    <w:next w:val="Normal"/>
    <w:qFormat/>
    <w:rsid w:val="001664B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664B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664BA"/>
    <w:pPr>
      <w:keepNext/>
      <w:spacing w:before="240" w:after="60"/>
      <w:outlineLvl w:val="2"/>
    </w:pPr>
    <w:rPr>
      <w:rFonts w:ascii="Arial" w:hAnsi="Arial" w:cs="Arial"/>
      <w:b/>
      <w:bCs/>
      <w:sz w:val="26"/>
      <w:szCs w:val="26"/>
    </w:rPr>
  </w:style>
  <w:style w:type="paragraph" w:styleId="Heading4">
    <w:name w:val="heading 4"/>
    <w:basedOn w:val="Normal"/>
    <w:next w:val="Normal"/>
    <w:qFormat/>
    <w:rsid w:val="001664B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64BA"/>
    <w:pPr>
      <w:tabs>
        <w:tab w:val="center" w:pos="4320"/>
        <w:tab w:val="right" w:pos="8640"/>
      </w:tabs>
    </w:pPr>
    <w:rPr>
      <w:rFonts w:ascii="Times" w:eastAsia="Times" w:hAnsi="Times"/>
      <w:szCs w:val="20"/>
    </w:rPr>
  </w:style>
  <w:style w:type="paragraph" w:styleId="Footer">
    <w:name w:val="footer"/>
    <w:basedOn w:val="Normal"/>
    <w:rsid w:val="001664BA"/>
    <w:pPr>
      <w:tabs>
        <w:tab w:val="center" w:pos="4320"/>
        <w:tab w:val="right" w:pos="8640"/>
      </w:tabs>
    </w:pPr>
    <w:rPr>
      <w:rFonts w:ascii="Times" w:eastAsia="Times" w:hAnsi="Times"/>
      <w:szCs w:val="20"/>
    </w:rPr>
  </w:style>
  <w:style w:type="paragraph" w:customStyle="1" w:styleId="APAHeading1">
    <w:name w:val="APA Heading 1"/>
    <w:basedOn w:val="Heading1"/>
    <w:next w:val="Normal"/>
    <w:rsid w:val="001664BA"/>
    <w:pPr>
      <w:spacing w:before="0" w:after="0" w:line="480" w:lineRule="auto"/>
      <w:jc w:val="center"/>
    </w:pPr>
    <w:rPr>
      <w:rFonts w:ascii="Times New Roman" w:hAnsi="Times New Roman" w:cs="Times New Roman"/>
      <w:bCs w:val="0"/>
      <w:kern w:val="0"/>
      <w:sz w:val="24"/>
      <w:szCs w:val="24"/>
    </w:rPr>
  </w:style>
  <w:style w:type="paragraph" w:customStyle="1" w:styleId="APAHeading2">
    <w:name w:val="APA Heading 2"/>
    <w:basedOn w:val="Heading2"/>
    <w:next w:val="Normal"/>
    <w:rsid w:val="001664BA"/>
    <w:pPr>
      <w:spacing w:before="0" w:after="0" w:line="480" w:lineRule="auto"/>
      <w:ind w:left="720"/>
      <w:jc w:val="center"/>
    </w:pPr>
    <w:rPr>
      <w:rFonts w:ascii="Times New Roman" w:eastAsia="Times" w:hAnsi="Times New Roman" w:cs="Times New Roman"/>
      <w:bCs w:val="0"/>
      <w:i w:val="0"/>
      <w:iCs w:val="0"/>
      <w:sz w:val="24"/>
      <w:szCs w:val="20"/>
      <w:u w:val="single"/>
    </w:rPr>
  </w:style>
  <w:style w:type="paragraph" w:customStyle="1" w:styleId="APAHeading3">
    <w:name w:val="APA Heading 3"/>
    <w:basedOn w:val="Heading3"/>
    <w:next w:val="Normal"/>
    <w:rsid w:val="001664BA"/>
    <w:pPr>
      <w:spacing w:before="0" w:after="0" w:line="480" w:lineRule="auto"/>
    </w:pPr>
    <w:rPr>
      <w:rFonts w:ascii="Times New Roman" w:eastAsia="Times" w:hAnsi="Times New Roman" w:cs="Times New Roman"/>
      <w:sz w:val="24"/>
      <w:szCs w:val="20"/>
      <w:u w:val="single"/>
    </w:rPr>
  </w:style>
  <w:style w:type="paragraph" w:customStyle="1" w:styleId="APAHeading4">
    <w:name w:val="APA Heading 4"/>
    <w:basedOn w:val="Heading4"/>
    <w:next w:val="Normal"/>
    <w:rsid w:val="001664BA"/>
    <w:pPr>
      <w:spacing w:before="0" w:after="0" w:line="480" w:lineRule="auto"/>
      <w:ind w:left="720"/>
    </w:pPr>
    <w:rPr>
      <w:rFonts w:eastAsia="Times"/>
      <w:sz w:val="24"/>
      <w:u w:val="single"/>
    </w:rPr>
  </w:style>
  <w:style w:type="character" w:styleId="PageNumber">
    <w:name w:val="page number"/>
    <w:basedOn w:val="DefaultParagraphFont"/>
    <w:rsid w:val="001664BA"/>
  </w:style>
  <w:style w:type="paragraph" w:styleId="BalloonText">
    <w:name w:val="Balloon Text"/>
    <w:basedOn w:val="Normal"/>
    <w:semiHidden/>
    <w:rsid w:val="001664BA"/>
    <w:rPr>
      <w:rFonts w:ascii="Tahoma" w:hAnsi="Tahoma" w:cs="Tahoma"/>
      <w:sz w:val="16"/>
      <w:szCs w:val="16"/>
    </w:rPr>
  </w:style>
  <w:style w:type="paragraph" w:customStyle="1" w:styleId="Default">
    <w:name w:val="Default"/>
    <w:rsid w:val="001664BA"/>
    <w:pPr>
      <w:autoSpaceDE w:val="0"/>
      <w:autoSpaceDN w:val="0"/>
      <w:adjustRightInd w:val="0"/>
    </w:pPr>
    <w:rPr>
      <w:color w:val="000000"/>
      <w:sz w:val="24"/>
      <w:szCs w:val="24"/>
    </w:rPr>
  </w:style>
  <w:style w:type="character" w:styleId="Hyperlink">
    <w:name w:val="Hyperlink"/>
    <w:basedOn w:val="DefaultParagraphFont"/>
    <w:rsid w:val="001664BA"/>
    <w:rPr>
      <w:color w:val="0000FF"/>
      <w:u w:val="single"/>
    </w:rPr>
  </w:style>
  <w:style w:type="character" w:styleId="Strong">
    <w:name w:val="Strong"/>
    <w:basedOn w:val="DefaultParagraphFont"/>
    <w:qFormat/>
    <w:rsid w:val="00BD4D82"/>
    <w:rPr>
      <w:b/>
      <w:bCs/>
    </w:rPr>
  </w:style>
  <w:style w:type="character" w:styleId="CommentReference">
    <w:name w:val="annotation reference"/>
    <w:basedOn w:val="DefaultParagraphFont"/>
    <w:uiPriority w:val="99"/>
    <w:semiHidden/>
    <w:rsid w:val="005F3984"/>
    <w:rPr>
      <w:sz w:val="16"/>
      <w:szCs w:val="16"/>
    </w:rPr>
  </w:style>
  <w:style w:type="paragraph" w:styleId="CommentText">
    <w:name w:val="annotation text"/>
    <w:basedOn w:val="Normal"/>
    <w:link w:val="CommentTextChar"/>
    <w:uiPriority w:val="99"/>
    <w:rsid w:val="005F3984"/>
    <w:rPr>
      <w:sz w:val="20"/>
      <w:szCs w:val="20"/>
    </w:rPr>
  </w:style>
  <w:style w:type="paragraph" w:styleId="CommentSubject">
    <w:name w:val="annotation subject"/>
    <w:basedOn w:val="CommentText"/>
    <w:next w:val="CommentText"/>
    <w:semiHidden/>
    <w:rsid w:val="005F3984"/>
    <w:rPr>
      <w:b/>
      <w:bCs/>
    </w:rPr>
  </w:style>
  <w:style w:type="paragraph" w:styleId="FootnoteText">
    <w:name w:val="footnote text"/>
    <w:basedOn w:val="Normal"/>
    <w:semiHidden/>
    <w:rsid w:val="003E03ED"/>
    <w:rPr>
      <w:sz w:val="20"/>
      <w:szCs w:val="20"/>
    </w:rPr>
  </w:style>
  <w:style w:type="character" w:styleId="FootnoteReference">
    <w:name w:val="footnote reference"/>
    <w:basedOn w:val="DefaultParagraphFont"/>
    <w:semiHidden/>
    <w:rsid w:val="003E03ED"/>
    <w:rPr>
      <w:vertAlign w:val="superscript"/>
    </w:rPr>
  </w:style>
  <w:style w:type="character" w:customStyle="1" w:styleId="CommentTextChar">
    <w:name w:val="Comment Text Char"/>
    <w:basedOn w:val="DefaultParagraphFont"/>
    <w:link w:val="CommentText"/>
    <w:uiPriority w:val="99"/>
    <w:locked/>
    <w:rsid w:val="006717A8"/>
    <w:rPr>
      <w:lang w:val="en-US" w:eastAsia="en-US" w:bidi="ar-SA"/>
    </w:rPr>
  </w:style>
  <w:style w:type="paragraph" w:styleId="ListParagraph">
    <w:name w:val="List Paragraph"/>
    <w:basedOn w:val="Normal"/>
    <w:uiPriority w:val="34"/>
    <w:qFormat/>
    <w:rsid w:val="007B7B34"/>
    <w:pPr>
      <w:ind w:left="720"/>
      <w:contextualSpacing/>
    </w:pPr>
  </w:style>
  <w:style w:type="paragraph" w:styleId="BodyText">
    <w:name w:val="Body Text"/>
    <w:basedOn w:val="Normal"/>
    <w:link w:val="BodyTextChar"/>
    <w:rsid w:val="003D1C2A"/>
    <w:pPr>
      <w:spacing w:after="200" w:line="276" w:lineRule="auto"/>
      <w:ind w:firstLine="720"/>
    </w:pPr>
    <w:rPr>
      <w:rFonts w:asciiTheme="majorBidi" w:eastAsiaTheme="minorHAnsi" w:hAnsiTheme="majorBidi" w:cstheme="majorBidi"/>
    </w:rPr>
  </w:style>
  <w:style w:type="character" w:customStyle="1" w:styleId="BodyTextChar">
    <w:name w:val="Body Text Char"/>
    <w:basedOn w:val="DefaultParagraphFont"/>
    <w:link w:val="BodyText"/>
    <w:rsid w:val="003D1C2A"/>
    <w:rPr>
      <w:rFonts w:asciiTheme="majorBidi" w:eastAsiaTheme="minorHAnsi" w:hAnsiTheme="majorBidi" w:cstheme="majorBidi"/>
      <w:sz w:val="24"/>
      <w:szCs w:val="24"/>
    </w:rPr>
  </w:style>
  <w:style w:type="paragraph" w:customStyle="1" w:styleId="Bullet-blank">
    <w:name w:val="Bullet-blank"/>
    <w:basedOn w:val="BodyText"/>
    <w:qFormat/>
    <w:rsid w:val="009310CC"/>
    <w:pPr>
      <w:ind w:left="1260" w:hanging="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7206">
      <w:bodyDiv w:val="1"/>
      <w:marLeft w:val="0"/>
      <w:marRight w:val="0"/>
      <w:marTop w:val="0"/>
      <w:marBottom w:val="0"/>
      <w:divBdr>
        <w:top w:val="none" w:sz="0" w:space="0" w:color="auto"/>
        <w:left w:val="none" w:sz="0" w:space="0" w:color="auto"/>
        <w:bottom w:val="none" w:sz="0" w:space="0" w:color="auto"/>
        <w:right w:val="none" w:sz="0" w:space="0" w:color="auto"/>
      </w:divBdr>
      <w:divsChild>
        <w:div w:id="1954096074">
          <w:marLeft w:val="0"/>
          <w:marRight w:val="0"/>
          <w:marTop w:val="0"/>
          <w:marBottom w:val="0"/>
          <w:divBdr>
            <w:top w:val="none" w:sz="0" w:space="0" w:color="auto"/>
            <w:left w:val="none" w:sz="0" w:space="0" w:color="auto"/>
            <w:bottom w:val="none" w:sz="0" w:space="0" w:color="auto"/>
            <w:right w:val="none" w:sz="0" w:space="0" w:color="auto"/>
          </w:divBdr>
          <w:divsChild>
            <w:div w:id="13326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5781">
      <w:bodyDiv w:val="1"/>
      <w:marLeft w:val="0"/>
      <w:marRight w:val="0"/>
      <w:marTop w:val="0"/>
      <w:marBottom w:val="0"/>
      <w:divBdr>
        <w:top w:val="none" w:sz="0" w:space="0" w:color="auto"/>
        <w:left w:val="none" w:sz="0" w:space="0" w:color="auto"/>
        <w:bottom w:val="none" w:sz="0" w:space="0" w:color="auto"/>
        <w:right w:val="none" w:sz="0" w:space="0" w:color="auto"/>
      </w:divBdr>
      <w:divsChild>
        <w:div w:id="260601071">
          <w:marLeft w:val="0"/>
          <w:marRight w:val="0"/>
          <w:marTop w:val="0"/>
          <w:marBottom w:val="0"/>
          <w:divBdr>
            <w:top w:val="none" w:sz="0" w:space="0" w:color="auto"/>
            <w:left w:val="none" w:sz="0" w:space="0" w:color="auto"/>
            <w:bottom w:val="none" w:sz="0" w:space="0" w:color="auto"/>
            <w:right w:val="none" w:sz="0" w:space="0" w:color="auto"/>
          </w:divBdr>
          <w:divsChild>
            <w:div w:id="1721317230">
              <w:marLeft w:val="0"/>
              <w:marRight w:val="0"/>
              <w:marTop w:val="0"/>
              <w:marBottom w:val="0"/>
              <w:divBdr>
                <w:top w:val="none" w:sz="0" w:space="0" w:color="auto"/>
                <w:left w:val="none" w:sz="0" w:space="0" w:color="auto"/>
                <w:bottom w:val="none" w:sz="0" w:space="0" w:color="auto"/>
                <w:right w:val="none" w:sz="0" w:space="0" w:color="auto"/>
              </w:divBdr>
              <w:divsChild>
                <w:div w:id="1886866350">
                  <w:marLeft w:val="0"/>
                  <w:marRight w:val="0"/>
                  <w:marTop w:val="0"/>
                  <w:marBottom w:val="0"/>
                  <w:divBdr>
                    <w:top w:val="none" w:sz="0" w:space="0" w:color="auto"/>
                    <w:left w:val="none" w:sz="0" w:space="0" w:color="auto"/>
                    <w:bottom w:val="none" w:sz="0" w:space="0" w:color="auto"/>
                    <w:right w:val="none" w:sz="0" w:space="0" w:color="auto"/>
                  </w:divBdr>
                  <w:divsChild>
                    <w:div w:id="1359547412">
                      <w:marLeft w:val="0"/>
                      <w:marRight w:val="0"/>
                      <w:marTop w:val="0"/>
                      <w:marBottom w:val="0"/>
                      <w:divBdr>
                        <w:top w:val="none" w:sz="0" w:space="0" w:color="auto"/>
                        <w:left w:val="none" w:sz="0" w:space="0" w:color="auto"/>
                        <w:bottom w:val="none" w:sz="0" w:space="0" w:color="auto"/>
                        <w:right w:val="none" w:sz="0" w:space="0" w:color="auto"/>
                      </w:divBdr>
                      <w:divsChild>
                        <w:div w:id="294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52011">
      <w:bodyDiv w:val="1"/>
      <w:marLeft w:val="0"/>
      <w:marRight w:val="0"/>
      <w:marTop w:val="0"/>
      <w:marBottom w:val="0"/>
      <w:divBdr>
        <w:top w:val="none" w:sz="0" w:space="0" w:color="auto"/>
        <w:left w:val="none" w:sz="0" w:space="0" w:color="auto"/>
        <w:bottom w:val="none" w:sz="0" w:space="0" w:color="auto"/>
        <w:right w:val="none" w:sz="0" w:space="0" w:color="auto"/>
      </w:divBdr>
      <w:divsChild>
        <w:div w:id="850946273">
          <w:marLeft w:val="0"/>
          <w:marRight w:val="0"/>
          <w:marTop w:val="0"/>
          <w:marBottom w:val="0"/>
          <w:divBdr>
            <w:top w:val="none" w:sz="0" w:space="0" w:color="auto"/>
            <w:left w:val="none" w:sz="0" w:space="0" w:color="auto"/>
            <w:bottom w:val="none" w:sz="0" w:space="0" w:color="auto"/>
            <w:right w:val="none" w:sz="0" w:space="0" w:color="auto"/>
          </w:divBdr>
          <w:divsChild>
            <w:div w:id="184484982">
              <w:marLeft w:val="0"/>
              <w:marRight w:val="0"/>
              <w:marTop w:val="0"/>
              <w:marBottom w:val="0"/>
              <w:divBdr>
                <w:top w:val="none" w:sz="0" w:space="0" w:color="auto"/>
                <w:left w:val="none" w:sz="0" w:space="0" w:color="auto"/>
                <w:bottom w:val="none" w:sz="0" w:space="0" w:color="auto"/>
                <w:right w:val="none" w:sz="0" w:space="0" w:color="auto"/>
              </w:divBdr>
              <w:divsChild>
                <w:div w:id="532351597">
                  <w:marLeft w:val="0"/>
                  <w:marRight w:val="0"/>
                  <w:marTop w:val="0"/>
                  <w:marBottom w:val="0"/>
                  <w:divBdr>
                    <w:top w:val="none" w:sz="0" w:space="0" w:color="auto"/>
                    <w:left w:val="none" w:sz="0" w:space="0" w:color="auto"/>
                    <w:bottom w:val="none" w:sz="0" w:space="0" w:color="auto"/>
                    <w:right w:val="none" w:sz="0" w:space="0" w:color="auto"/>
                  </w:divBdr>
                  <w:divsChild>
                    <w:div w:id="736975946">
                      <w:marLeft w:val="0"/>
                      <w:marRight w:val="0"/>
                      <w:marTop w:val="0"/>
                      <w:marBottom w:val="0"/>
                      <w:divBdr>
                        <w:top w:val="none" w:sz="0" w:space="0" w:color="auto"/>
                        <w:left w:val="none" w:sz="0" w:space="0" w:color="auto"/>
                        <w:bottom w:val="none" w:sz="0" w:space="0" w:color="auto"/>
                        <w:right w:val="none" w:sz="0" w:space="0" w:color="auto"/>
                      </w:divBdr>
                      <w:divsChild>
                        <w:div w:id="5798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077274">
      <w:bodyDiv w:val="1"/>
      <w:marLeft w:val="0"/>
      <w:marRight w:val="0"/>
      <w:marTop w:val="0"/>
      <w:marBottom w:val="0"/>
      <w:divBdr>
        <w:top w:val="none" w:sz="0" w:space="0" w:color="auto"/>
        <w:left w:val="none" w:sz="0" w:space="0" w:color="auto"/>
        <w:bottom w:val="none" w:sz="0" w:space="0" w:color="auto"/>
        <w:right w:val="none" w:sz="0" w:space="0" w:color="auto"/>
      </w:divBdr>
      <w:divsChild>
        <w:div w:id="1443112698">
          <w:marLeft w:val="0"/>
          <w:marRight w:val="0"/>
          <w:marTop w:val="0"/>
          <w:marBottom w:val="0"/>
          <w:divBdr>
            <w:top w:val="none" w:sz="0" w:space="0" w:color="auto"/>
            <w:left w:val="none" w:sz="0" w:space="0" w:color="auto"/>
            <w:bottom w:val="none" w:sz="0" w:space="0" w:color="auto"/>
            <w:right w:val="none" w:sz="0" w:space="0" w:color="auto"/>
          </w:divBdr>
          <w:divsChild>
            <w:div w:id="464470278">
              <w:marLeft w:val="0"/>
              <w:marRight w:val="0"/>
              <w:marTop w:val="0"/>
              <w:marBottom w:val="0"/>
              <w:divBdr>
                <w:top w:val="none" w:sz="0" w:space="0" w:color="auto"/>
                <w:left w:val="none" w:sz="0" w:space="0" w:color="auto"/>
                <w:bottom w:val="none" w:sz="0" w:space="0" w:color="auto"/>
                <w:right w:val="none" w:sz="0" w:space="0" w:color="auto"/>
              </w:divBdr>
            </w:div>
            <w:div w:id="649670968">
              <w:marLeft w:val="0"/>
              <w:marRight w:val="0"/>
              <w:marTop w:val="0"/>
              <w:marBottom w:val="0"/>
              <w:divBdr>
                <w:top w:val="none" w:sz="0" w:space="0" w:color="auto"/>
                <w:left w:val="none" w:sz="0" w:space="0" w:color="auto"/>
                <w:bottom w:val="none" w:sz="0" w:space="0" w:color="auto"/>
                <w:right w:val="none" w:sz="0" w:space="0" w:color="auto"/>
              </w:divBdr>
            </w:div>
            <w:div w:id="12714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5477">
      <w:bodyDiv w:val="1"/>
      <w:marLeft w:val="0"/>
      <w:marRight w:val="0"/>
      <w:marTop w:val="0"/>
      <w:marBottom w:val="0"/>
      <w:divBdr>
        <w:top w:val="none" w:sz="0" w:space="0" w:color="auto"/>
        <w:left w:val="none" w:sz="0" w:space="0" w:color="auto"/>
        <w:bottom w:val="none" w:sz="0" w:space="0" w:color="auto"/>
        <w:right w:val="none" w:sz="0" w:space="0" w:color="auto"/>
      </w:divBdr>
      <w:divsChild>
        <w:div w:id="1310671960">
          <w:marLeft w:val="0"/>
          <w:marRight w:val="0"/>
          <w:marTop w:val="0"/>
          <w:marBottom w:val="0"/>
          <w:divBdr>
            <w:top w:val="none" w:sz="0" w:space="0" w:color="auto"/>
            <w:left w:val="none" w:sz="0" w:space="0" w:color="auto"/>
            <w:bottom w:val="none" w:sz="0" w:space="0" w:color="auto"/>
            <w:right w:val="none" w:sz="0" w:space="0" w:color="auto"/>
          </w:divBdr>
          <w:divsChild>
            <w:div w:id="9574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22189">
      <w:bodyDiv w:val="1"/>
      <w:marLeft w:val="0"/>
      <w:marRight w:val="0"/>
      <w:marTop w:val="0"/>
      <w:marBottom w:val="0"/>
      <w:divBdr>
        <w:top w:val="none" w:sz="0" w:space="0" w:color="auto"/>
        <w:left w:val="none" w:sz="0" w:space="0" w:color="auto"/>
        <w:bottom w:val="none" w:sz="0" w:space="0" w:color="auto"/>
        <w:right w:val="none" w:sz="0" w:space="0" w:color="auto"/>
      </w:divBdr>
      <w:divsChild>
        <w:div w:id="626086264">
          <w:marLeft w:val="0"/>
          <w:marRight w:val="0"/>
          <w:marTop w:val="0"/>
          <w:marBottom w:val="0"/>
          <w:divBdr>
            <w:top w:val="none" w:sz="0" w:space="0" w:color="auto"/>
            <w:left w:val="none" w:sz="0" w:space="0" w:color="auto"/>
            <w:bottom w:val="none" w:sz="0" w:space="0" w:color="auto"/>
            <w:right w:val="none" w:sz="0" w:space="0" w:color="auto"/>
          </w:divBdr>
          <w:divsChild>
            <w:div w:id="155147224">
              <w:marLeft w:val="0"/>
              <w:marRight w:val="0"/>
              <w:marTop w:val="0"/>
              <w:marBottom w:val="0"/>
              <w:divBdr>
                <w:top w:val="none" w:sz="0" w:space="0" w:color="auto"/>
                <w:left w:val="none" w:sz="0" w:space="0" w:color="auto"/>
                <w:bottom w:val="none" w:sz="0" w:space="0" w:color="auto"/>
                <w:right w:val="none" w:sz="0" w:space="0" w:color="auto"/>
              </w:divBdr>
            </w:div>
            <w:div w:id="302514540">
              <w:marLeft w:val="0"/>
              <w:marRight w:val="0"/>
              <w:marTop w:val="0"/>
              <w:marBottom w:val="0"/>
              <w:divBdr>
                <w:top w:val="none" w:sz="0" w:space="0" w:color="auto"/>
                <w:left w:val="none" w:sz="0" w:space="0" w:color="auto"/>
                <w:bottom w:val="none" w:sz="0" w:space="0" w:color="auto"/>
                <w:right w:val="none" w:sz="0" w:space="0" w:color="auto"/>
              </w:divBdr>
            </w:div>
            <w:div w:id="581640091">
              <w:marLeft w:val="0"/>
              <w:marRight w:val="0"/>
              <w:marTop w:val="0"/>
              <w:marBottom w:val="0"/>
              <w:divBdr>
                <w:top w:val="none" w:sz="0" w:space="0" w:color="auto"/>
                <w:left w:val="none" w:sz="0" w:space="0" w:color="auto"/>
                <w:bottom w:val="none" w:sz="0" w:space="0" w:color="auto"/>
                <w:right w:val="none" w:sz="0" w:space="0" w:color="auto"/>
              </w:divBdr>
            </w:div>
            <w:div w:id="18489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34A0A-2203-41F7-A9D1-7D565038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7044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Media Network, Inc.</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Pick</dc:creator>
  <cp:lastModifiedBy>Jennings, Alethea</cp:lastModifiedBy>
  <cp:revision>2</cp:revision>
  <cp:lastPrinted>2015-08-13T18:05:00Z</cp:lastPrinted>
  <dcterms:created xsi:type="dcterms:W3CDTF">2015-08-25T21:44:00Z</dcterms:created>
  <dcterms:modified xsi:type="dcterms:W3CDTF">2015-08-25T21:44:00Z</dcterms:modified>
</cp:coreProperties>
</file>