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689" w:rsidRPr="000773A9" w:rsidRDefault="00537689" w:rsidP="00537689">
      <w:pPr>
        <w:jc w:val="center"/>
        <w:rPr>
          <w:b/>
          <w:bCs/>
          <w:sz w:val="24"/>
          <w:szCs w:val="24"/>
        </w:rPr>
      </w:pPr>
      <w:r w:rsidRPr="000773A9">
        <w:rPr>
          <w:sz w:val="24"/>
          <w:szCs w:val="24"/>
          <w:lang w:val="en-CA"/>
        </w:rPr>
        <w:fldChar w:fldCharType="begin"/>
      </w:r>
      <w:r w:rsidRPr="000773A9">
        <w:rPr>
          <w:sz w:val="24"/>
          <w:szCs w:val="24"/>
          <w:lang w:val="en-CA"/>
        </w:rPr>
        <w:instrText xml:space="preserve"> SEQ CHAPTER \h \r 1</w:instrText>
      </w:r>
      <w:r w:rsidRPr="000773A9">
        <w:rPr>
          <w:sz w:val="24"/>
          <w:szCs w:val="24"/>
          <w:lang w:val="en-CA"/>
        </w:rPr>
        <w:fldChar w:fldCharType="end"/>
      </w:r>
      <w:r w:rsidRPr="000773A9">
        <w:rPr>
          <w:b/>
          <w:bCs/>
          <w:sz w:val="24"/>
          <w:szCs w:val="24"/>
        </w:rPr>
        <w:t>Supporting Statement for a Request for OMB Review under</w:t>
      </w:r>
    </w:p>
    <w:p w:rsidR="00537689" w:rsidRPr="000773A9" w:rsidRDefault="00537689" w:rsidP="00537689">
      <w:pPr>
        <w:jc w:val="center"/>
        <w:rPr>
          <w:b/>
          <w:bCs/>
          <w:sz w:val="24"/>
          <w:szCs w:val="24"/>
        </w:rPr>
      </w:pPr>
      <w:r w:rsidRPr="000773A9">
        <w:rPr>
          <w:b/>
          <w:bCs/>
          <w:sz w:val="24"/>
          <w:szCs w:val="24"/>
        </w:rPr>
        <w:t>The Paperwork Reduction Act</w:t>
      </w:r>
    </w:p>
    <w:p w:rsidR="00537689" w:rsidRPr="000773A9" w:rsidRDefault="00537689" w:rsidP="00537689">
      <w:pPr>
        <w:jc w:val="center"/>
        <w:rPr>
          <w:b/>
          <w:bCs/>
          <w:sz w:val="24"/>
          <w:szCs w:val="24"/>
        </w:rPr>
      </w:pPr>
    </w:p>
    <w:p w:rsidR="00537689" w:rsidRPr="000773A9" w:rsidRDefault="00537689" w:rsidP="00537689">
      <w:pPr>
        <w:pStyle w:val="Level1"/>
        <w:numPr>
          <w:ilvl w:val="0"/>
          <w:numId w:val="1"/>
        </w:numPr>
        <w:tabs>
          <w:tab w:val="left" w:pos="720"/>
        </w:tabs>
        <w:ind w:left="720" w:hanging="720"/>
        <w:rPr>
          <w:b/>
          <w:bCs/>
        </w:rPr>
      </w:pPr>
      <w:r w:rsidRPr="000773A9">
        <w:rPr>
          <w:b/>
          <w:bCs/>
        </w:rPr>
        <w:t>IDENTIFICATION OF THE INFORMATION COLLECTION</w:t>
      </w:r>
    </w:p>
    <w:p w:rsidR="00537689" w:rsidRPr="000773A9" w:rsidRDefault="00537689" w:rsidP="00537689">
      <w:pPr>
        <w:numPr>
          <w:ilvl w:val="12"/>
          <w:numId w:val="0"/>
        </w:numPr>
        <w:rPr>
          <w:b/>
          <w:bCs/>
          <w:sz w:val="24"/>
          <w:szCs w:val="24"/>
        </w:rPr>
      </w:pPr>
    </w:p>
    <w:p w:rsidR="00537689" w:rsidRPr="000773A9" w:rsidRDefault="00537689" w:rsidP="00537689">
      <w:pPr>
        <w:numPr>
          <w:ilvl w:val="12"/>
          <w:numId w:val="0"/>
        </w:numPr>
        <w:tabs>
          <w:tab w:val="left" w:pos="720"/>
          <w:tab w:val="left" w:pos="1440"/>
          <w:tab w:val="left" w:pos="2160"/>
        </w:tabs>
        <w:ind w:left="2160" w:hanging="2160"/>
        <w:rPr>
          <w:b/>
          <w:bCs/>
          <w:sz w:val="24"/>
          <w:szCs w:val="24"/>
        </w:rPr>
      </w:pPr>
      <w:r w:rsidRPr="000773A9">
        <w:rPr>
          <w:b/>
          <w:bCs/>
          <w:sz w:val="24"/>
          <w:szCs w:val="24"/>
        </w:rPr>
        <w:tab/>
        <w:t>1(a)</w:t>
      </w:r>
      <w:r w:rsidRPr="000773A9">
        <w:rPr>
          <w:b/>
          <w:bCs/>
          <w:sz w:val="24"/>
          <w:szCs w:val="24"/>
        </w:rPr>
        <w:tab/>
        <w:t>Title and Number of the Information Collection</w:t>
      </w:r>
    </w:p>
    <w:p w:rsidR="00537689" w:rsidRPr="000773A9" w:rsidRDefault="00537689" w:rsidP="00537689">
      <w:pPr>
        <w:numPr>
          <w:ilvl w:val="12"/>
          <w:numId w:val="0"/>
        </w:numPr>
        <w:tabs>
          <w:tab w:val="left" w:pos="720"/>
          <w:tab w:val="left" w:pos="1440"/>
          <w:tab w:val="left" w:pos="2160"/>
        </w:tabs>
        <w:ind w:left="2160" w:hanging="2160"/>
        <w:rPr>
          <w:b/>
          <w:bCs/>
          <w:sz w:val="24"/>
          <w:szCs w:val="24"/>
        </w:rPr>
      </w:pPr>
    </w:p>
    <w:p w:rsidR="00537689" w:rsidRPr="000773A9" w:rsidRDefault="00537689" w:rsidP="00537689">
      <w:pPr>
        <w:numPr>
          <w:ilvl w:val="12"/>
          <w:numId w:val="0"/>
        </w:numPr>
        <w:tabs>
          <w:tab w:val="left" w:pos="720"/>
          <w:tab w:val="left" w:pos="1440"/>
          <w:tab w:val="left" w:pos="2160"/>
        </w:tabs>
        <w:ind w:left="2160" w:hanging="2160"/>
        <w:rPr>
          <w:b/>
          <w:bCs/>
          <w:sz w:val="24"/>
          <w:szCs w:val="24"/>
        </w:rPr>
      </w:pPr>
      <w:r w:rsidRPr="000773A9">
        <w:rPr>
          <w:b/>
          <w:bCs/>
          <w:sz w:val="24"/>
          <w:szCs w:val="24"/>
        </w:rPr>
        <w:tab/>
      </w:r>
      <w:r w:rsidRPr="000773A9">
        <w:rPr>
          <w:b/>
          <w:bCs/>
          <w:sz w:val="24"/>
          <w:szCs w:val="24"/>
        </w:rPr>
        <w:tab/>
        <w:t>Title:</w:t>
      </w:r>
      <w:r w:rsidRPr="000773A9">
        <w:rPr>
          <w:b/>
          <w:bCs/>
          <w:sz w:val="24"/>
          <w:szCs w:val="24"/>
        </w:rPr>
        <w:tab/>
        <w:t xml:space="preserve">Lead-Based Paint Pre-Renovation Information Dissemination – </w:t>
      </w:r>
    </w:p>
    <w:p w:rsidR="00537689" w:rsidRPr="000773A9" w:rsidRDefault="00537689" w:rsidP="00537689">
      <w:pPr>
        <w:numPr>
          <w:ilvl w:val="12"/>
          <w:numId w:val="0"/>
        </w:numPr>
        <w:tabs>
          <w:tab w:val="left" w:pos="720"/>
          <w:tab w:val="left" w:pos="1440"/>
          <w:tab w:val="left" w:pos="2160"/>
        </w:tabs>
        <w:ind w:left="2160" w:hanging="2160"/>
        <w:rPr>
          <w:b/>
          <w:bCs/>
          <w:sz w:val="24"/>
          <w:szCs w:val="24"/>
        </w:rPr>
      </w:pPr>
      <w:r w:rsidRPr="000773A9">
        <w:rPr>
          <w:b/>
          <w:bCs/>
          <w:sz w:val="24"/>
          <w:szCs w:val="24"/>
        </w:rPr>
        <w:tab/>
      </w:r>
      <w:r w:rsidRPr="000773A9">
        <w:rPr>
          <w:b/>
          <w:bCs/>
          <w:sz w:val="24"/>
          <w:szCs w:val="24"/>
        </w:rPr>
        <w:tab/>
      </w:r>
      <w:r w:rsidRPr="000773A9">
        <w:rPr>
          <w:b/>
          <w:bCs/>
          <w:sz w:val="24"/>
          <w:szCs w:val="24"/>
        </w:rPr>
        <w:tab/>
        <w:t xml:space="preserve">TSCA Sec. </w:t>
      </w:r>
      <w:proofErr w:type="gramStart"/>
      <w:r w:rsidRPr="000773A9">
        <w:rPr>
          <w:b/>
          <w:bCs/>
          <w:sz w:val="24"/>
          <w:szCs w:val="24"/>
        </w:rPr>
        <w:t>406(b</w:t>
      </w:r>
      <w:proofErr w:type="gramEnd"/>
      <w:r w:rsidRPr="000773A9">
        <w:rPr>
          <w:b/>
          <w:bCs/>
          <w:sz w:val="24"/>
          <w:szCs w:val="24"/>
        </w:rPr>
        <w:t>)</w:t>
      </w:r>
    </w:p>
    <w:p w:rsidR="00537689" w:rsidRPr="000773A9" w:rsidRDefault="00537689" w:rsidP="00537689">
      <w:pPr>
        <w:numPr>
          <w:ilvl w:val="12"/>
          <w:numId w:val="0"/>
        </w:numPr>
        <w:ind w:left="1440"/>
        <w:rPr>
          <w:b/>
          <w:bCs/>
          <w:sz w:val="24"/>
          <w:szCs w:val="24"/>
        </w:rPr>
      </w:pPr>
    </w:p>
    <w:p w:rsidR="00537689" w:rsidRPr="000773A9" w:rsidRDefault="00D13DBA" w:rsidP="00537689">
      <w:pPr>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6480"/>
        <w:rPr>
          <w:b/>
          <w:bCs/>
          <w:sz w:val="24"/>
          <w:szCs w:val="24"/>
        </w:rPr>
      </w:pPr>
      <w:r>
        <w:rPr>
          <w:b/>
          <w:bCs/>
          <w:sz w:val="24"/>
          <w:szCs w:val="24"/>
        </w:rPr>
        <w:tab/>
      </w:r>
      <w:r>
        <w:rPr>
          <w:b/>
          <w:bCs/>
          <w:sz w:val="24"/>
          <w:szCs w:val="24"/>
        </w:rPr>
        <w:tab/>
        <w:t>EPA ICR No.:   1669.07</w:t>
      </w:r>
      <w:r w:rsidR="00537689" w:rsidRPr="000773A9">
        <w:rPr>
          <w:b/>
          <w:bCs/>
          <w:sz w:val="24"/>
          <w:szCs w:val="24"/>
        </w:rPr>
        <w:tab/>
        <w:t>OMB Control No.:</w:t>
      </w:r>
      <w:r w:rsidR="00537689" w:rsidRPr="000773A9">
        <w:rPr>
          <w:b/>
          <w:bCs/>
          <w:sz w:val="24"/>
          <w:szCs w:val="24"/>
        </w:rPr>
        <w:tab/>
        <w:t>2070-0158</w:t>
      </w:r>
    </w:p>
    <w:p w:rsidR="00537689" w:rsidRPr="000773A9" w:rsidRDefault="00537689" w:rsidP="00537689">
      <w:pPr>
        <w:numPr>
          <w:ilvl w:val="12"/>
          <w:numId w:val="0"/>
        </w:numPr>
        <w:rPr>
          <w:b/>
          <w:bCs/>
          <w:sz w:val="24"/>
          <w:szCs w:val="24"/>
        </w:rPr>
      </w:pPr>
    </w:p>
    <w:p w:rsidR="00537689" w:rsidRPr="000773A9" w:rsidRDefault="00537689" w:rsidP="00537689">
      <w:pPr>
        <w:numPr>
          <w:ilvl w:val="12"/>
          <w:numId w:val="0"/>
        </w:numPr>
        <w:tabs>
          <w:tab w:val="left" w:pos="720"/>
          <w:tab w:val="left" w:pos="1440"/>
        </w:tabs>
        <w:ind w:left="1440" w:hanging="720"/>
        <w:rPr>
          <w:sz w:val="24"/>
          <w:szCs w:val="24"/>
        </w:rPr>
      </w:pPr>
      <w:r w:rsidRPr="000773A9">
        <w:rPr>
          <w:b/>
          <w:bCs/>
          <w:sz w:val="24"/>
          <w:szCs w:val="24"/>
        </w:rPr>
        <w:t>1(b)</w:t>
      </w:r>
      <w:r w:rsidRPr="000773A9">
        <w:rPr>
          <w:b/>
          <w:bCs/>
          <w:sz w:val="24"/>
          <w:szCs w:val="24"/>
        </w:rPr>
        <w:tab/>
        <w:t>Short Characterization</w:t>
      </w:r>
    </w:p>
    <w:p w:rsidR="00537689" w:rsidRPr="000773A9" w:rsidRDefault="00537689" w:rsidP="00537689">
      <w:pPr>
        <w:numPr>
          <w:ilvl w:val="12"/>
          <w:numId w:val="0"/>
        </w:numPr>
        <w:rPr>
          <w:sz w:val="24"/>
          <w:szCs w:val="24"/>
        </w:rPr>
      </w:pPr>
    </w:p>
    <w:p w:rsidR="00672263" w:rsidRDefault="00D13DBA" w:rsidP="00D13DBA">
      <w:pPr>
        <w:ind w:firstLine="720"/>
        <w:rPr>
          <w:sz w:val="24"/>
          <w:szCs w:val="24"/>
        </w:rPr>
      </w:pPr>
      <w:r w:rsidRPr="00D13DBA">
        <w:rPr>
          <w:sz w:val="24"/>
          <w:szCs w:val="24"/>
          <w:lang w:bidi="en-US"/>
        </w:rPr>
        <w:t xml:space="preserve">This information collection request (ICR) is a renewal of a currently approved ICR </w:t>
      </w:r>
      <w:r w:rsidRPr="00D13DBA">
        <w:rPr>
          <w:rFonts w:cs="Arial"/>
          <w:sz w:val="24"/>
          <w:szCs w:val="24"/>
        </w:rPr>
        <w:t>under the Paperwork Reduction Act (PRA)</w:t>
      </w:r>
      <w:r w:rsidRPr="00D13DBA">
        <w:rPr>
          <w:rStyle w:val="FootnoteReference"/>
          <w:rFonts w:cs="Arial"/>
          <w:sz w:val="24"/>
          <w:szCs w:val="24"/>
        </w:rPr>
        <w:footnoteReference w:id="1"/>
      </w:r>
      <w:r w:rsidRPr="00D13DBA">
        <w:rPr>
          <w:rFonts w:cs="Arial"/>
          <w:sz w:val="24"/>
          <w:szCs w:val="24"/>
        </w:rPr>
        <w:t xml:space="preserve"> that </w:t>
      </w:r>
      <w:r w:rsidRPr="00D13DBA">
        <w:rPr>
          <w:sz w:val="24"/>
          <w:szCs w:val="24"/>
          <w:lang w:bidi="en-US"/>
        </w:rPr>
        <w:t xml:space="preserve">is scheduled to expire on </w:t>
      </w:r>
      <w:r w:rsidR="00D067A1">
        <w:rPr>
          <w:sz w:val="24"/>
          <w:szCs w:val="24"/>
          <w:lang w:bidi="en-US"/>
        </w:rPr>
        <w:t>April 30, 2015</w:t>
      </w:r>
      <w:r w:rsidRPr="00D13DBA">
        <w:rPr>
          <w:sz w:val="24"/>
          <w:szCs w:val="24"/>
          <w:lang w:bidi="en-US"/>
        </w:rPr>
        <w:t xml:space="preserve">. </w:t>
      </w:r>
      <w:r w:rsidRPr="00D13DBA">
        <w:rPr>
          <w:sz w:val="24"/>
          <w:szCs w:val="24"/>
        </w:rPr>
        <w:t xml:space="preserve">Before submitting the ICR to </w:t>
      </w:r>
      <w:r w:rsidRPr="00D13DBA">
        <w:rPr>
          <w:sz w:val="24"/>
          <w:szCs w:val="24"/>
          <w:lang w:bidi="en-US"/>
        </w:rPr>
        <w:t xml:space="preserve">the Office of Management Budget (OMB) </w:t>
      </w:r>
      <w:r w:rsidRPr="00D13DBA">
        <w:rPr>
          <w:sz w:val="24"/>
          <w:szCs w:val="24"/>
        </w:rPr>
        <w:t>for review and approval under the PRA, EPA must solicit public comments on the ICR and estimated burden pursuant to PRA section 3506(c)(2)(A) and 5 C</w:t>
      </w:r>
      <w:r w:rsidR="00672263">
        <w:rPr>
          <w:sz w:val="24"/>
          <w:szCs w:val="24"/>
        </w:rPr>
        <w:t>FR 1320.8(d)(1).</w:t>
      </w:r>
    </w:p>
    <w:p w:rsidR="00672263" w:rsidRDefault="00672263" w:rsidP="00D13DBA">
      <w:pPr>
        <w:ind w:firstLine="720"/>
        <w:rPr>
          <w:sz w:val="24"/>
          <w:szCs w:val="24"/>
        </w:rPr>
      </w:pPr>
    </w:p>
    <w:p w:rsidR="00D13DBA" w:rsidRPr="00D13DBA" w:rsidRDefault="00D13DBA" w:rsidP="00D13DBA">
      <w:pPr>
        <w:ind w:firstLine="720"/>
        <w:rPr>
          <w:sz w:val="24"/>
          <w:szCs w:val="24"/>
          <w:lang w:bidi="en-US"/>
        </w:rPr>
      </w:pPr>
      <w:r w:rsidRPr="00D13DBA">
        <w:rPr>
          <w:sz w:val="24"/>
          <w:szCs w:val="24"/>
          <w:lang w:bidi="en-US"/>
        </w:rPr>
        <w:t>Please note that this ICR is EXACTLY the same as the ICR that is currently approved</w:t>
      </w:r>
      <w:r w:rsidR="00B8277A">
        <w:rPr>
          <w:sz w:val="24"/>
          <w:szCs w:val="24"/>
          <w:lang w:bidi="en-US"/>
        </w:rPr>
        <w:t>, except for information at 3(b) and 3(c) below</w:t>
      </w:r>
      <w:r w:rsidRPr="00D13DBA">
        <w:rPr>
          <w:sz w:val="24"/>
          <w:szCs w:val="24"/>
          <w:lang w:bidi="en-US"/>
        </w:rPr>
        <w:t xml:space="preserve">. The Agency has not made any changes to the ICR because there </w:t>
      </w:r>
      <w:r w:rsidR="00607696">
        <w:rPr>
          <w:sz w:val="24"/>
          <w:szCs w:val="24"/>
          <w:lang w:bidi="en-US"/>
        </w:rPr>
        <w:t>will be</w:t>
      </w:r>
      <w:r w:rsidRPr="00D13DBA">
        <w:rPr>
          <w:sz w:val="24"/>
          <w:szCs w:val="24"/>
          <w:lang w:bidi="en-US"/>
        </w:rPr>
        <w:t xml:space="preserve"> a separate parallel effort to consolidate the information collection activities and burden covered by this ICR with other related information collection activities and burden</w:t>
      </w:r>
      <w:bookmarkStart w:id="0" w:name="_GoBack"/>
      <w:bookmarkEnd w:id="0"/>
      <w:r w:rsidRPr="00D13DBA">
        <w:rPr>
          <w:sz w:val="24"/>
          <w:szCs w:val="24"/>
          <w:lang w:bidi="en-US"/>
        </w:rPr>
        <w:t xml:space="preserve"> covered by two other ICRs. EPA is also working with OMB to review the format and presentations in the ICR. Given those efforts, this ICR renewal document will only be used to extend the existing approval to allow for the consolidated ICR to complete the PRA public review process prior to submission to OMB for rev</w:t>
      </w:r>
      <w:r w:rsidR="00607696">
        <w:rPr>
          <w:sz w:val="24"/>
          <w:szCs w:val="24"/>
          <w:lang w:bidi="en-US"/>
        </w:rPr>
        <w:t>iew and approval under the PRA.</w:t>
      </w:r>
    </w:p>
    <w:p w:rsidR="00D13DBA" w:rsidRDefault="00D13DBA" w:rsidP="00D13DBA">
      <w:pPr>
        <w:ind w:firstLine="720"/>
        <w:rPr>
          <w:lang w:bidi="en-US"/>
        </w:rPr>
      </w:pPr>
    </w:p>
    <w:p w:rsidR="00537689" w:rsidRPr="00B62438" w:rsidRDefault="00537689" w:rsidP="00D13DBA">
      <w:pPr>
        <w:ind w:firstLine="720"/>
      </w:pPr>
      <w:r w:rsidRPr="000773A9">
        <w:rPr>
          <w:sz w:val="24"/>
          <w:szCs w:val="24"/>
        </w:rPr>
        <w:t>Section 406(b) of Title IV of the Toxic Substances Control Act (TSCA)</w:t>
      </w:r>
      <w:r w:rsidR="00D31215">
        <w:rPr>
          <w:sz w:val="24"/>
          <w:szCs w:val="24"/>
        </w:rPr>
        <w:t xml:space="preserve"> </w:t>
      </w:r>
      <w:r w:rsidRPr="000773A9">
        <w:rPr>
          <w:sz w:val="24"/>
          <w:szCs w:val="24"/>
        </w:rPr>
        <w:t xml:space="preserve">(15 U.S.C. 2686) requires the U.S. Environmental Protection Agency (EPA) to promulgate regulations requiring certain persons who perform renovations of target housing for compensation to provide a lead hazard information pamphlet (developed under section 406(a) of TSCA) to the owner and occupant of such housing no more than 60-days prior to commencing the renovation.  </w:t>
      </w:r>
      <w:r w:rsidR="00B62438" w:rsidRPr="00B62438">
        <w:rPr>
          <w:sz w:val="24"/>
          <w:szCs w:val="24"/>
        </w:rPr>
        <w:t>Section 401 of TSCA defines target housing as any housing constructed before 1978 except housing for the elderly or disabled or 0-bedroom dwellings.</w:t>
      </w:r>
      <w:r w:rsidR="00B62438">
        <w:rPr>
          <w:color w:val="FF0000"/>
        </w:rPr>
        <w:t xml:space="preserve">  </w:t>
      </w:r>
      <w:r w:rsidRPr="000773A9">
        <w:rPr>
          <w:sz w:val="24"/>
          <w:szCs w:val="24"/>
        </w:rPr>
        <w:t>Those who fail to provide the pamphlet, as required, may be subject to both civil and criminal sanctions under section 16 of TSCA.</w:t>
      </w:r>
    </w:p>
    <w:p w:rsidR="00537689" w:rsidRPr="000773A9" w:rsidRDefault="00537689" w:rsidP="00537689">
      <w:pPr>
        <w:numPr>
          <w:ilvl w:val="12"/>
          <w:numId w:val="0"/>
        </w:numPr>
        <w:rPr>
          <w:sz w:val="24"/>
          <w:szCs w:val="24"/>
        </w:rPr>
      </w:pPr>
    </w:p>
    <w:p w:rsidR="00537689" w:rsidRPr="000773A9" w:rsidRDefault="00537689" w:rsidP="002D70A0">
      <w:pPr>
        <w:rPr>
          <w:sz w:val="24"/>
          <w:szCs w:val="24"/>
        </w:rPr>
      </w:pPr>
      <w:r w:rsidRPr="000773A9">
        <w:rPr>
          <w:sz w:val="24"/>
          <w:szCs w:val="24"/>
        </w:rPr>
        <w:tab/>
        <w:t xml:space="preserve">Pursuant to Title IV of TSCA, EPA promulgated regulations applicable to all renovations of target housing </w:t>
      </w:r>
      <w:r w:rsidR="0002293E">
        <w:rPr>
          <w:sz w:val="24"/>
          <w:szCs w:val="24"/>
        </w:rPr>
        <w:t>or child-occupied facilities</w:t>
      </w:r>
      <w:r w:rsidR="002D3B1A">
        <w:rPr>
          <w:sz w:val="24"/>
          <w:szCs w:val="24"/>
        </w:rPr>
        <w:t xml:space="preserve"> (COFs)</w:t>
      </w:r>
      <w:r w:rsidR="0002293E">
        <w:rPr>
          <w:sz w:val="24"/>
          <w:szCs w:val="24"/>
        </w:rPr>
        <w:t xml:space="preserve"> </w:t>
      </w:r>
      <w:r w:rsidRPr="000773A9">
        <w:rPr>
          <w:sz w:val="24"/>
          <w:szCs w:val="24"/>
        </w:rPr>
        <w:t>performed for compensation, except as otherwise specified, at 40 CFR part 7</w:t>
      </w:r>
      <w:r w:rsidR="00846045">
        <w:rPr>
          <w:sz w:val="24"/>
          <w:szCs w:val="24"/>
        </w:rPr>
        <w:t>45, subpart E</w:t>
      </w:r>
      <w:r w:rsidRPr="000773A9">
        <w:rPr>
          <w:sz w:val="24"/>
          <w:szCs w:val="24"/>
        </w:rPr>
        <w:t xml:space="preserve">.  </w:t>
      </w:r>
      <w:r w:rsidR="002D70A0" w:rsidRPr="002D70A0">
        <w:rPr>
          <w:sz w:val="24"/>
          <w:szCs w:val="24"/>
        </w:rPr>
        <w:t xml:space="preserve">The regulations in 40 CFR part 745, subpart E, cover information distribution requirements, work practice standards, reporting requirements, and individual and firm certifications, among other things.  </w:t>
      </w:r>
      <w:r w:rsidR="002D70A0">
        <w:rPr>
          <w:sz w:val="24"/>
          <w:szCs w:val="24"/>
        </w:rPr>
        <w:t xml:space="preserve">This ICR amendment only addresses the information distribution requirements which require firms performing renovations to </w:t>
      </w:r>
      <w:r w:rsidRPr="000773A9">
        <w:rPr>
          <w:sz w:val="24"/>
          <w:szCs w:val="24"/>
        </w:rPr>
        <w:t>provide the owner and occupant of any residential dwelling unit or multi-</w:t>
      </w:r>
      <w:r w:rsidR="002D70A0">
        <w:rPr>
          <w:sz w:val="24"/>
          <w:szCs w:val="24"/>
        </w:rPr>
        <w:t>unit</w:t>
      </w:r>
      <w:r w:rsidR="002D70A0" w:rsidRPr="000773A9">
        <w:rPr>
          <w:sz w:val="24"/>
          <w:szCs w:val="24"/>
        </w:rPr>
        <w:t xml:space="preserve"> </w:t>
      </w:r>
      <w:r w:rsidRPr="000773A9">
        <w:rPr>
          <w:sz w:val="24"/>
          <w:szCs w:val="24"/>
        </w:rPr>
        <w:t>housing with a lead hazard informa</w:t>
      </w:r>
      <w:r w:rsidR="00846045">
        <w:rPr>
          <w:sz w:val="24"/>
          <w:szCs w:val="24"/>
        </w:rPr>
        <w:t>tion pamphlet</w:t>
      </w:r>
      <w:r w:rsidRPr="000773A9">
        <w:rPr>
          <w:sz w:val="24"/>
          <w:szCs w:val="24"/>
        </w:rPr>
        <w:t xml:space="preserve">.  After providing the pamphlet to the owner and occupant and obtaining </w:t>
      </w:r>
      <w:r w:rsidRPr="000773A9">
        <w:rPr>
          <w:sz w:val="24"/>
          <w:szCs w:val="24"/>
        </w:rPr>
        <w:lastRenderedPageBreak/>
        <w:t xml:space="preserve">written acknowledgment, the </w:t>
      </w:r>
      <w:r w:rsidR="002D70A0">
        <w:rPr>
          <w:sz w:val="24"/>
          <w:szCs w:val="24"/>
        </w:rPr>
        <w:t>firm performing the renovation</w:t>
      </w:r>
      <w:r w:rsidR="002D70A0" w:rsidRPr="000773A9">
        <w:rPr>
          <w:sz w:val="24"/>
          <w:szCs w:val="24"/>
        </w:rPr>
        <w:t xml:space="preserve"> </w:t>
      </w:r>
      <w:r w:rsidRPr="000773A9">
        <w:rPr>
          <w:sz w:val="24"/>
          <w:szCs w:val="24"/>
        </w:rPr>
        <w:t>must keep acknowledgment records on file for three years after completion of work.</w:t>
      </w:r>
    </w:p>
    <w:p w:rsidR="00537689" w:rsidRPr="000773A9" w:rsidRDefault="00537689" w:rsidP="00537689">
      <w:pPr>
        <w:numPr>
          <w:ilvl w:val="12"/>
          <w:numId w:val="0"/>
        </w:numPr>
        <w:rPr>
          <w:sz w:val="24"/>
          <w:szCs w:val="24"/>
        </w:rPr>
      </w:pPr>
    </w:p>
    <w:p w:rsidR="00537689" w:rsidRPr="000773A9" w:rsidRDefault="00537689" w:rsidP="00094E1C">
      <w:pPr>
        <w:rPr>
          <w:sz w:val="24"/>
          <w:szCs w:val="24"/>
        </w:rPr>
      </w:pPr>
      <w:r w:rsidRPr="000773A9">
        <w:rPr>
          <w:sz w:val="24"/>
          <w:szCs w:val="24"/>
        </w:rPr>
        <w:tab/>
        <w:t xml:space="preserve">The </w:t>
      </w:r>
      <w:r w:rsidR="00094E1C">
        <w:rPr>
          <w:bCs/>
          <w:sz w:val="24"/>
          <w:szCs w:val="24"/>
        </w:rPr>
        <w:t>i</w:t>
      </w:r>
      <w:r w:rsidR="00094E1C" w:rsidRPr="00BA5122">
        <w:rPr>
          <w:bCs/>
          <w:sz w:val="24"/>
          <w:szCs w:val="24"/>
        </w:rPr>
        <w:t xml:space="preserve">nformation </w:t>
      </w:r>
      <w:r w:rsidR="00094E1C">
        <w:rPr>
          <w:bCs/>
          <w:sz w:val="24"/>
          <w:szCs w:val="24"/>
        </w:rPr>
        <w:t>d</w:t>
      </w:r>
      <w:r w:rsidR="00094E1C" w:rsidRPr="00BA5122">
        <w:rPr>
          <w:bCs/>
          <w:sz w:val="24"/>
          <w:szCs w:val="24"/>
        </w:rPr>
        <w:t xml:space="preserve">istribution </w:t>
      </w:r>
      <w:r w:rsidR="00094E1C">
        <w:rPr>
          <w:bCs/>
          <w:sz w:val="24"/>
          <w:szCs w:val="24"/>
        </w:rPr>
        <w:t>r</w:t>
      </w:r>
      <w:r w:rsidR="00094E1C" w:rsidRPr="00BA5122">
        <w:rPr>
          <w:bCs/>
          <w:sz w:val="24"/>
          <w:szCs w:val="24"/>
        </w:rPr>
        <w:t>equirements</w:t>
      </w:r>
      <w:r w:rsidR="00094E1C">
        <w:rPr>
          <w:bCs/>
          <w:sz w:val="24"/>
          <w:szCs w:val="24"/>
        </w:rPr>
        <w:t xml:space="preserve"> </w:t>
      </w:r>
      <w:r w:rsidR="00094E1C">
        <w:rPr>
          <w:sz w:val="24"/>
          <w:szCs w:val="24"/>
        </w:rPr>
        <w:t>found in</w:t>
      </w:r>
      <w:r w:rsidRPr="000773A9">
        <w:rPr>
          <w:sz w:val="24"/>
          <w:szCs w:val="24"/>
        </w:rPr>
        <w:t xml:space="preserve"> 40 CFR part 745, subpart E, apply to any person who performs renovations </w:t>
      </w:r>
      <w:r w:rsidR="00B804EC">
        <w:rPr>
          <w:sz w:val="24"/>
          <w:szCs w:val="24"/>
        </w:rPr>
        <w:t>in</w:t>
      </w:r>
      <w:r w:rsidR="00B804EC" w:rsidRPr="000773A9">
        <w:rPr>
          <w:sz w:val="24"/>
          <w:szCs w:val="24"/>
        </w:rPr>
        <w:t xml:space="preserve"> </w:t>
      </w:r>
      <w:r w:rsidRPr="000773A9">
        <w:rPr>
          <w:sz w:val="24"/>
          <w:szCs w:val="24"/>
        </w:rPr>
        <w:t xml:space="preserve">target housing </w:t>
      </w:r>
      <w:r w:rsidR="00C36F8C">
        <w:rPr>
          <w:sz w:val="24"/>
          <w:szCs w:val="24"/>
        </w:rPr>
        <w:t xml:space="preserve">or </w:t>
      </w:r>
      <w:r w:rsidR="002D3B1A">
        <w:rPr>
          <w:sz w:val="24"/>
          <w:szCs w:val="24"/>
        </w:rPr>
        <w:t>COFs</w:t>
      </w:r>
      <w:r w:rsidR="00C36F8C">
        <w:rPr>
          <w:sz w:val="24"/>
          <w:szCs w:val="24"/>
        </w:rPr>
        <w:t xml:space="preserve"> </w:t>
      </w:r>
      <w:r w:rsidRPr="000773A9">
        <w:rPr>
          <w:sz w:val="24"/>
          <w:szCs w:val="24"/>
        </w:rPr>
        <w:t xml:space="preserve">for compensation.  However, a designated representative (e.g., a landlord, rental property manager) may deliver the pamphlet and obtain the acknowledgment.  When using a designated representative, the </w:t>
      </w:r>
      <w:r w:rsidR="002164A8">
        <w:rPr>
          <w:sz w:val="24"/>
          <w:szCs w:val="24"/>
        </w:rPr>
        <w:t>firm performing renovations</w:t>
      </w:r>
      <w:r w:rsidRPr="000773A9">
        <w:rPr>
          <w:sz w:val="24"/>
          <w:szCs w:val="24"/>
        </w:rPr>
        <w:t xml:space="preserve"> remains responsible for compliance with the regulations (63 FR 29914; June 1, 1998).  For purposes of this ICR, EPA assumes that all activities associated with distribution of the lead hazard information pamphlet are undertaken by </w:t>
      </w:r>
      <w:r w:rsidR="00B804EC">
        <w:rPr>
          <w:sz w:val="24"/>
          <w:szCs w:val="24"/>
        </w:rPr>
        <w:t>renovation firms</w:t>
      </w:r>
      <w:r w:rsidRPr="000773A9">
        <w:rPr>
          <w:sz w:val="24"/>
          <w:szCs w:val="24"/>
        </w:rPr>
        <w:t>.</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This ICR examines the respondent paperwork requirements and associated time and cost burden of the </w:t>
      </w:r>
      <w:r w:rsidR="00EF0DAA">
        <w:rPr>
          <w:bCs/>
          <w:sz w:val="24"/>
          <w:szCs w:val="24"/>
        </w:rPr>
        <w:t>i</w:t>
      </w:r>
      <w:r w:rsidR="00EF0DAA" w:rsidRPr="00BA5122">
        <w:rPr>
          <w:bCs/>
          <w:sz w:val="24"/>
          <w:szCs w:val="24"/>
        </w:rPr>
        <w:t xml:space="preserve">nformation </w:t>
      </w:r>
      <w:r w:rsidR="00EF0DAA">
        <w:rPr>
          <w:bCs/>
          <w:sz w:val="24"/>
          <w:szCs w:val="24"/>
        </w:rPr>
        <w:t>d</w:t>
      </w:r>
      <w:r w:rsidR="00EF0DAA" w:rsidRPr="00BA5122">
        <w:rPr>
          <w:bCs/>
          <w:sz w:val="24"/>
          <w:szCs w:val="24"/>
        </w:rPr>
        <w:t xml:space="preserve">istribution </w:t>
      </w:r>
      <w:r w:rsidR="00EF0DAA">
        <w:rPr>
          <w:bCs/>
          <w:sz w:val="24"/>
          <w:szCs w:val="24"/>
        </w:rPr>
        <w:t>r</w:t>
      </w:r>
      <w:r w:rsidR="00EF0DAA" w:rsidRPr="00BA5122">
        <w:rPr>
          <w:bCs/>
          <w:sz w:val="24"/>
          <w:szCs w:val="24"/>
        </w:rPr>
        <w:t>equirements</w:t>
      </w:r>
      <w:r w:rsidRPr="000773A9">
        <w:rPr>
          <w:sz w:val="24"/>
          <w:szCs w:val="24"/>
        </w:rPr>
        <w:t xml:space="preserve"> at 40 CFR part 745, subpart E.  Sections 1 through 5 of the ICR describe the paperwork requirements associated with the distribution of the lead hazard information pamphlet prior to commencing renovations of target housing</w:t>
      </w:r>
      <w:r w:rsidR="0002293E" w:rsidRPr="0002293E">
        <w:rPr>
          <w:sz w:val="24"/>
          <w:szCs w:val="24"/>
        </w:rPr>
        <w:t xml:space="preserve"> </w:t>
      </w:r>
      <w:r w:rsidR="0002293E">
        <w:rPr>
          <w:sz w:val="24"/>
          <w:szCs w:val="24"/>
        </w:rPr>
        <w:t xml:space="preserve">or </w:t>
      </w:r>
      <w:r w:rsidR="002D3B1A">
        <w:rPr>
          <w:sz w:val="24"/>
          <w:szCs w:val="24"/>
        </w:rPr>
        <w:t>COFs</w:t>
      </w:r>
      <w:r w:rsidRPr="000773A9">
        <w:rPr>
          <w:sz w:val="24"/>
          <w:szCs w:val="24"/>
        </w:rPr>
        <w:t xml:space="preserve"> for compensation.</w:t>
      </w:r>
      <w:r w:rsidR="009D429B">
        <w:rPr>
          <w:sz w:val="24"/>
          <w:szCs w:val="24"/>
        </w:rPr>
        <w:t xml:space="preserve">  </w:t>
      </w:r>
      <w:r w:rsidRPr="000773A9">
        <w:rPr>
          <w:sz w:val="24"/>
          <w:szCs w:val="24"/>
        </w:rPr>
        <w:t>Section 6 estimates the annual time and cost burden to respondents in complying with these paperwork requirements.</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Note that this ICR </w:t>
      </w:r>
      <w:r w:rsidRPr="000773A9">
        <w:rPr>
          <w:i/>
          <w:iCs/>
          <w:sz w:val="24"/>
          <w:szCs w:val="24"/>
        </w:rPr>
        <w:t>does not</w:t>
      </w:r>
      <w:r w:rsidRPr="000773A9">
        <w:rPr>
          <w:sz w:val="24"/>
          <w:szCs w:val="24"/>
        </w:rPr>
        <w:t xml:space="preserve"> address time and cost burden to recipients of the lead hazard information pamphlet (i.e., owners and occupants of target housing</w:t>
      </w:r>
      <w:r w:rsidR="0002293E" w:rsidRPr="0002293E">
        <w:rPr>
          <w:sz w:val="24"/>
          <w:szCs w:val="24"/>
        </w:rPr>
        <w:t xml:space="preserve"> </w:t>
      </w:r>
      <w:r w:rsidR="0002293E">
        <w:rPr>
          <w:sz w:val="24"/>
          <w:szCs w:val="24"/>
        </w:rPr>
        <w:t xml:space="preserve">or </w:t>
      </w:r>
      <w:r w:rsidR="002D3B1A">
        <w:rPr>
          <w:sz w:val="24"/>
          <w:szCs w:val="24"/>
        </w:rPr>
        <w:t>COFs</w:t>
      </w:r>
      <w:r w:rsidRPr="000773A9">
        <w:rPr>
          <w:sz w:val="24"/>
          <w:szCs w:val="24"/>
        </w:rPr>
        <w:t xml:space="preserve">) because the pamphlet is originally supplied by the </w:t>
      </w:r>
      <w:r w:rsidR="00D26E9D">
        <w:rPr>
          <w:sz w:val="24"/>
          <w:szCs w:val="24"/>
        </w:rPr>
        <w:t>f</w:t>
      </w:r>
      <w:r w:rsidRPr="000773A9">
        <w:rPr>
          <w:sz w:val="24"/>
          <w:szCs w:val="24"/>
        </w:rPr>
        <w:t>ederal government.  Under 5 CFR 1320.3(c</w:t>
      </w:r>
      <w:proofErr w:type="gramStart"/>
      <w:r w:rsidRPr="000773A9">
        <w:rPr>
          <w:sz w:val="24"/>
          <w:szCs w:val="24"/>
        </w:rPr>
        <w:t>)(</w:t>
      </w:r>
      <w:proofErr w:type="gramEnd"/>
      <w:r w:rsidRPr="000773A9">
        <w:rPr>
          <w:sz w:val="24"/>
          <w:szCs w:val="24"/>
        </w:rPr>
        <w:t xml:space="preserve">2), “the public disclosure of information originally supplied by the Federal government to the [respondent] for the purpose of disclosure to the public is not included” as a “collection of information.”  In addition, because the acknowledgment of receipt obtained by the </w:t>
      </w:r>
      <w:r w:rsidR="002164A8">
        <w:rPr>
          <w:sz w:val="24"/>
          <w:szCs w:val="24"/>
        </w:rPr>
        <w:t>firm performing the renovation</w:t>
      </w:r>
      <w:r w:rsidRPr="000773A9">
        <w:rPr>
          <w:sz w:val="24"/>
          <w:szCs w:val="24"/>
        </w:rPr>
        <w:t xml:space="preserve"> only involves “that burden necessary to identify the respondent, the date, the respondent’s address, and the nature of the instrument,” completion of the acknowledgment form by the owner and occupant of the target housing </w:t>
      </w:r>
      <w:r w:rsidR="0002293E">
        <w:rPr>
          <w:sz w:val="24"/>
          <w:szCs w:val="24"/>
        </w:rPr>
        <w:t xml:space="preserve">or </w:t>
      </w:r>
      <w:r w:rsidR="002D3B1A">
        <w:rPr>
          <w:sz w:val="24"/>
          <w:szCs w:val="24"/>
        </w:rPr>
        <w:t>COFs</w:t>
      </w:r>
      <w:r w:rsidR="0002293E">
        <w:rPr>
          <w:sz w:val="24"/>
          <w:szCs w:val="24"/>
        </w:rPr>
        <w:t xml:space="preserve"> </w:t>
      </w:r>
      <w:r w:rsidRPr="000773A9">
        <w:rPr>
          <w:sz w:val="24"/>
          <w:szCs w:val="24"/>
        </w:rPr>
        <w:t>is not considered to be “information” under 5 CFR 1320.3(h</w:t>
      </w:r>
      <w:proofErr w:type="gramStart"/>
      <w:r w:rsidRPr="000773A9">
        <w:rPr>
          <w:sz w:val="24"/>
          <w:szCs w:val="24"/>
        </w:rPr>
        <w:t>)(</w:t>
      </w:r>
      <w:proofErr w:type="gramEnd"/>
      <w:r w:rsidRPr="000773A9">
        <w:rPr>
          <w:sz w:val="24"/>
          <w:szCs w:val="24"/>
        </w:rPr>
        <w:t>1).</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The following paragraphs describe the activities that </w:t>
      </w:r>
      <w:r w:rsidR="00125987">
        <w:rPr>
          <w:sz w:val="24"/>
          <w:szCs w:val="24"/>
        </w:rPr>
        <w:t>firms performing renovations</w:t>
      </w:r>
      <w:r w:rsidR="00125987" w:rsidRPr="000773A9">
        <w:rPr>
          <w:sz w:val="24"/>
          <w:szCs w:val="24"/>
        </w:rPr>
        <w:t xml:space="preserve"> </w:t>
      </w:r>
      <w:r w:rsidRPr="000773A9">
        <w:rPr>
          <w:sz w:val="24"/>
          <w:szCs w:val="24"/>
        </w:rPr>
        <w:t>would take under</w:t>
      </w:r>
      <w:r w:rsidR="00502AEE">
        <w:rPr>
          <w:sz w:val="24"/>
          <w:szCs w:val="24"/>
        </w:rPr>
        <w:t xml:space="preserve"> </w:t>
      </w:r>
      <w:r w:rsidR="00502AEE" w:rsidRPr="000773A9">
        <w:rPr>
          <w:sz w:val="24"/>
          <w:szCs w:val="24"/>
        </w:rPr>
        <w:t xml:space="preserve">the </w:t>
      </w:r>
      <w:r w:rsidR="00502AEE">
        <w:rPr>
          <w:bCs/>
          <w:sz w:val="24"/>
          <w:szCs w:val="24"/>
        </w:rPr>
        <w:t>i</w:t>
      </w:r>
      <w:r w:rsidR="00502AEE" w:rsidRPr="00BA5122">
        <w:rPr>
          <w:bCs/>
          <w:sz w:val="24"/>
          <w:szCs w:val="24"/>
        </w:rPr>
        <w:t xml:space="preserve">nformation </w:t>
      </w:r>
      <w:r w:rsidR="00502AEE">
        <w:rPr>
          <w:bCs/>
          <w:sz w:val="24"/>
          <w:szCs w:val="24"/>
        </w:rPr>
        <w:t>d</w:t>
      </w:r>
      <w:r w:rsidR="00502AEE" w:rsidRPr="00BA5122">
        <w:rPr>
          <w:bCs/>
          <w:sz w:val="24"/>
          <w:szCs w:val="24"/>
        </w:rPr>
        <w:t xml:space="preserve">istribution </w:t>
      </w:r>
      <w:r w:rsidR="00502AEE">
        <w:rPr>
          <w:bCs/>
          <w:sz w:val="24"/>
          <w:szCs w:val="24"/>
        </w:rPr>
        <w:t>r</w:t>
      </w:r>
      <w:r w:rsidR="00502AEE" w:rsidRPr="00BA5122">
        <w:rPr>
          <w:bCs/>
          <w:sz w:val="24"/>
          <w:szCs w:val="24"/>
        </w:rPr>
        <w:t>equirements</w:t>
      </w:r>
      <w:r w:rsidR="00502AEE">
        <w:rPr>
          <w:sz w:val="24"/>
          <w:szCs w:val="24"/>
        </w:rPr>
        <w:t xml:space="preserve"> at </w:t>
      </w:r>
      <w:r w:rsidRPr="000773A9">
        <w:rPr>
          <w:sz w:val="24"/>
          <w:szCs w:val="24"/>
        </w:rPr>
        <w:t>40 CFR part 745, subpart E.</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left="720"/>
        <w:rPr>
          <w:sz w:val="24"/>
          <w:szCs w:val="24"/>
        </w:rPr>
      </w:pPr>
      <w:r w:rsidRPr="000773A9">
        <w:rPr>
          <w:b/>
          <w:bCs/>
          <w:sz w:val="24"/>
          <w:szCs w:val="24"/>
        </w:rPr>
        <w:t>Exemption from Information Distribution Requirements</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Under 40 CFR 745.82, </w:t>
      </w:r>
      <w:r w:rsidR="002164A8">
        <w:rPr>
          <w:sz w:val="24"/>
          <w:szCs w:val="24"/>
        </w:rPr>
        <w:t xml:space="preserve">firms </w:t>
      </w:r>
      <w:r w:rsidRPr="000773A9">
        <w:rPr>
          <w:sz w:val="24"/>
          <w:szCs w:val="24"/>
        </w:rPr>
        <w:t xml:space="preserve">performing renovations of target housing </w:t>
      </w:r>
      <w:r w:rsidR="00DD5AAC">
        <w:rPr>
          <w:sz w:val="24"/>
          <w:szCs w:val="24"/>
        </w:rPr>
        <w:t xml:space="preserve">or </w:t>
      </w:r>
      <w:r w:rsidR="002D3B1A">
        <w:rPr>
          <w:sz w:val="24"/>
          <w:szCs w:val="24"/>
        </w:rPr>
        <w:t>COFs</w:t>
      </w:r>
      <w:r w:rsidR="00DD5AAC">
        <w:rPr>
          <w:sz w:val="24"/>
          <w:szCs w:val="24"/>
        </w:rPr>
        <w:t xml:space="preserve"> </w:t>
      </w:r>
      <w:r w:rsidRPr="000773A9">
        <w:rPr>
          <w:sz w:val="24"/>
          <w:szCs w:val="24"/>
        </w:rPr>
        <w:t>for compensation are not subject to the regulations in 40 CFR 745</w:t>
      </w:r>
      <w:r w:rsidR="002C159F">
        <w:rPr>
          <w:sz w:val="24"/>
          <w:szCs w:val="24"/>
        </w:rPr>
        <w:t>.84</w:t>
      </w:r>
      <w:r w:rsidRPr="000773A9">
        <w:rPr>
          <w:sz w:val="24"/>
          <w:szCs w:val="24"/>
        </w:rPr>
        <w:t xml:space="preserve"> if the renovation activities are limited to: (</w:t>
      </w:r>
      <w:proofErr w:type="spellStart"/>
      <w:r w:rsidRPr="000773A9">
        <w:rPr>
          <w:sz w:val="24"/>
          <w:szCs w:val="24"/>
        </w:rPr>
        <w:t>i</w:t>
      </w:r>
      <w:proofErr w:type="spellEnd"/>
      <w:r w:rsidRPr="000773A9">
        <w:rPr>
          <w:sz w:val="24"/>
          <w:szCs w:val="24"/>
        </w:rPr>
        <w:t xml:space="preserve">) minor repair and maintenance activities (including minor electrical work and plumbing) that disrupt </w:t>
      </w:r>
      <w:r w:rsidR="009562D1">
        <w:rPr>
          <w:sz w:val="24"/>
          <w:szCs w:val="24"/>
        </w:rPr>
        <w:t>six</w:t>
      </w:r>
      <w:r w:rsidR="009562D1" w:rsidRPr="000773A9">
        <w:rPr>
          <w:sz w:val="24"/>
          <w:szCs w:val="24"/>
        </w:rPr>
        <w:t xml:space="preserve"> </w:t>
      </w:r>
      <w:r w:rsidRPr="000773A9">
        <w:rPr>
          <w:sz w:val="24"/>
          <w:szCs w:val="24"/>
        </w:rPr>
        <w:t xml:space="preserve">square feet or less of painted surface per </w:t>
      </w:r>
      <w:r w:rsidR="009562D1">
        <w:rPr>
          <w:sz w:val="24"/>
          <w:szCs w:val="24"/>
        </w:rPr>
        <w:t>room for interior activities</w:t>
      </w:r>
      <w:r w:rsidR="00A709A3">
        <w:rPr>
          <w:sz w:val="24"/>
          <w:szCs w:val="24"/>
        </w:rPr>
        <w:t xml:space="preserve"> or twenty square feet or less of painted surface for exterior activities where no prohibited or restricted practices are used and where the work does not involve window replacement or demolition of painted surfaces</w:t>
      </w:r>
      <w:r w:rsidRPr="000773A9">
        <w:rPr>
          <w:sz w:val="24"/>
          <w:szCs w:val="24"/>
        </w:rPr>
        <w:t xml:space="preserve">; (ii) emergency renovation operations; (iii) renovations in target housing </w:t>
      </w:r>
      <w:r w:rsidR="00DD5AAC">
        <w:rPr>
          <w:sz w:val="24"/>
          <w:szCs w:val="24"/>
        </w:rPr>
        <w:t xml:space="preserve">or </w:t>
      </w:r>
      <w:r w:rsidR="002D3B1A">
        <w:rPr>
          <w:sz w:val="24"/>
          <w:szCs w:val="24"/>
        </w:rPr>
        <w:t>COFs</w:t>
      </w:r>
      <w:r w:rsidR="00DD5AAC" w:rsidRPr="000773A9">
        <w:rPr>
          <w:sz w:val="24"/>
          <w:szCs w:val="24"/>
        </w:rPr>
        <w:t xml:space="preserve"> </w:t>
      </w:r>
      <w:r w:rsidRPr="000773A9">
        <w:rPr>
          <w:sz w:val="24"/>
          <w:szCs w:val="24"/>
        </w:rPr>
        <w:t xml:space="preserve">in which a written determination has been made by an inspector (certified pursuant to either </w:t>
      </w:r>
      <w:r w:rsidR="00D26E9D">
        <w:rPr>
          <w:sz w:val="24"/>
          <w:szCs w:val="24"/>
        </w:rPr>
        <w:t>f</w:t>
      </w:r>
      <w:r w:rsidRPr="000773A9">
        <w:rPr>
          <w:sz w:val="24"/>
          <w:szCs w:val="24"/>
        </w:rPr>
        <w:t xml:space="preserve">ederal regulations at 40 CFR 745.226 or a </w:t>
      </w:r>
      <w:r w:rsidR="00D26E9D">
        <w:rPr>
          <w:sz w:val="24"/>
          <w:szCs w:val="24"/>
        </w:rPr>
        <w:t>s</w:t>
      </w:r>
      <w:r w:rsidRPr="000773A9">
        <w:rPr>
          <w:sz w:val="24"/>
          <w:szCs w:val="24"/>
        </w:rPr>
        <w:t xml:space="preserve">tate or </w:t>
      </w:r>
      <w:r w:rsidR="00D26E9D">
        <w:rPr>
          <w:sz w:val="24"/>
          <w:szCs w:val="24"/>
        </w:rPr>
        <w:t>t</w:t>
      </w:r>
      <w:r w:rsidRPr="000773A9">
        <w:rPr>
          <w:sz w:val="24"/>
          <w:szCs w:val="24"/>
        </w:rPr>
        <w:t xml:space="preserve">ribal certification program authorized pursuant to 40 CFR 745.324) that the components affected by the renovation are free of paint or other surface coatings that contain lead equal to or in excess of 1.0 milligram per square centimeter or 0.5 percent by weight, where the </w:t>
      </w:r>
      <w:r w:rsidR="002164A8">
        <w:rPr>
          <w:sz w:val="24"/>
          <w:szCs w:val="24"/>
        </w:rPr>
        <w:t xml:space="preserve">firm </w:t>
      </w:r>
      <w:r w:rsidRPr="000773A9">
        <w:rPr>
          <w:sz w:val="24"/>
          <w:szCs w:val="24"/>
        </w:rPr>
        <w:t>has obtained a copy of the determination</w:t>
      </w:r>
      <w:r w:rsidR="00DD5AAC">
        <w:rPr>
          <w:sz w:val="24"/>
          <w:szCs w:val="24"/>
        </w:rPr>
        <w:t xml:space="preserve">; </w:t>
      </w:r>
      <w:r w:rsidR="009562D1">
        <w:rPr>
          <w:sz w:val="24"/>
          <w:szCs w:val="24"/>
        </w:rPr>
        <w:t xml:space="preserve">or </w:t>
      </w:r>
      <w:r w:rsidR="00DD5AAC">
        <w:rPr>
          <w:sz w:val="24"/>
          <w:szCs w:val="24"/>
        </w:rPr>
        <w:t>(iv) renovations in target housing</w:t>
      </w:r>
      <w:r w:rsidR="00DD5AAC" w:rsidRPr="00DD5AAC">
        <w:rPr>
          <w:sz w:val="24"/>
          <w:szCs w:val="24"/>
        </w:rPr>
        <w:t xml:space="preserve"> </w:t>
      </w:r>
      <w:r w:rsidR="00DD5AAC">
        <w:rPr>
          <w:sz w:val="24"/>
          <w:szCs w:val="24"/>
        </w:rPr>
        <w:t xml:space="preserve">or </w:t>
      </w:r>
      <w:r w:rsidR="002D3B1A">
        <w:rPr>
          <w:sz w:val="24"/>
          <w:szCs w:val="24"/>
        </w:rPr>
        <w:t>COFs</w:t>
      </w:r>
      <w:r w:rsidR="00DD5AAC">
        <w:rPr>
          <w:sz w:val="24"/>
          <w:szCs w:val="24"/>
        </w:rPr>
        <w:t xml:space="preserve"> in which a certified renovator, using </w:t>
      </w:r>
      <w:r w:rsidR="00DD5AAC">
        <w:rPr>
          <w:sz w:val="24"/>
          <w:szCs w:val="24"/>
        </w:rPr>
        <w:lastRenderedPageBreak/>
        <w:t>an EPA recognized test kit has tested each component affected by the renovation and determined that  the components are free of paint or other surface coating containing lead equal to</w:t>
      </w:r>
      <w:r w:rsidR="009562D1">
        <w:rPr>
          <w:sz w:val="24"/>
          <w:szCs w:val="24"/>
        </w:rPr>
        <w:t xml:space="preserve"> </w:t>
      </w:r>
      <w:r w:rsidR="00DD5AAC">
        <w:rPr>
          <w:sz w:val="24"/>
          <w:szCs w:val="24"/>
        </w:rPr>
        <w:t>or in excess of 1.0 mg/cm</w:t>
      </w:r>
      <w:r w:rsidR="00DD5AAC" w:rsidRPr="00DD5AAC">
        <w:rPr>
          <w:sz w:val="24"/>
          <w:szCs w:val="24"/>
          <w:vertAlign w:val="superscript"/>
        </w:rPr>
        <w:t>2</w:t>
      </w:r>
      <w:r w:rsidR="00DD5AAC">
        <w:rPr>
          <w:sz w:val="24"/>
          <w:szCs w:val="24"/>
        </w:rPr>
        <w:t xml:space="preserve"> or 0.5% by weight</w:t>
      </w:r>
      <w:r w:rsidRPr="000773A9">
        <w:rPr>
          <w:sz w:val="24"/>
          <w:szCs w:val="24"/>
        </w:rPr>
        <w:t>.</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left="720"/>
        <w:rPr>
          <w:sz w:val="24"/>
          <w:szCs w:val="24"/>
        </w:rPr>
      </w:pPr>
      <w:r w:rsidRPr="000773A9">
        <w:rPr>
          <w:b/>
          <w:bCs/>
          <w:sz w:val="24"/>
          <w:szCs w:val="24"/>
        </w:rPr>
        <w:t>Information Distribution Requirements for Renovations in Dwelling Units</w:t>
      </w:r>
    </w:p>
    <w:p w:rsidR="00537689" w:rsidRPr="000773A9" w:rsidRDefault="00537689" w:rsidP="00537689">
      <w:pPr>
        <w:numPr>
          <w:ilvl w:val="12"/>
          <w:numId w:val="0"/>
        </w:numPr>
        <w:rPr>
          <w:sz w:val="24"/>
          <w:szCs w:val="24"/>
        </w:rPr>
      </w:pPr>
    </w:p>
    <w:p w:rsidR="00537689" w:rsidRDefault="00537689" w:rsidP="00537689">
      <w:pPr>
        <w:numPr>
          <w:ilvl w:val="12"/>
          <w:numId w:val="0"/>
        </w:numPr>
        <w:rPr>
          <w:sz w:val="24"/>
          <w:szCs w:val="24"/>
        </w:rPr>
      </w:pPr>
      <w:r w:rsidRPr="000773A9">
        <w:rPr>
          <w:sz w:val="24"/>
          <w:szCs w:val="24"/>
        </w:rPr>
        <w:tab/>
        <w:t>Under 40 CFR 745.</w:t>
      </w:r>
      <w:r w:rsidR="00510510" w:rsidRPr="000773A9">
        <w:rPr>
          <w:sz w:val="24"/>
          <w:szCs w:val="24"/>
        </w:rPr>
        <w:t>8</w:t>
      </w:r>
      <w:r w:rsidR="00510510">
        <w:rPr>
          <w:sz w:val="24"/>
          <w:szCs w:val="24"/>
        </w:rPr>
        <w:t>4</w:t>
      </w:r>
      <w:r w:rsidRPr="000773A9">
        <w:rPr>
          <w:sz w:val="24"/>
          <w:szCs w:val="24"/>
        </w:rPr>
        <w:t xml:space="preserve">(a), no more than 60 days before beginning renovation activities in any residential dwelling unit of target housing, </w:t>
      </w:r>
      <w:r w:rsidR="00510510">
        <w:rPr>
          <w:sz w:val="24"/>
          <w:szCs w:val="24"/>
        </w:rPr>
        <w:t>firms performing renovations</w:t>
      </w:r>
      <w:r w:rsidRPr="000773A9">
        <w:rPr>
          <w:sz w:val="24"/>
          <w:szCs w:val="24"/>
        </w:rPr>
        <w:t xml:space="preserve"> must provide the owner of the dwelling unit with </w:t>
      </w:r>
      <w:r w:rsidR="00510510">
        <w:rPr>
          <w:sz w:val="24"/>
          <w:szCs w:val="24"/>
        </w:rPr>
        <w:t>the</w:t>
      </w:r>
      <w:r w:rsidRPr="000773A9">
        <w:rPr>
          <w:sz w:val="24"/>
          <w:szCs w:val="24"/>
        </w:rPr>
        <w:t xml:space="preserve"> pamphlet, and must comply with the procedures specified at section 745.8</w:t>
      </w:r>
      <w:r w:rsidR="00510510">
        <w:rPr>
          <w:sz w:val="24"/>
          <w:szCs w:val="24"/>
        </w:rPr>
        <w:t>4</w:t>
      </w:r>
      <w:r w:rsidRPr="000773A9">
        <w:rPr>
          <w:sz w:val="24"/>
          <w:szCs w:val="24"/>
        </w:rPr>
        <w:t>(a)(1)(</w:t>
      </w:r>
      <w:proofErr w:type="spellStart"/>
      <w:r w:rsidRPr="000773A9">
        <w:rPr>
          <w:sz w:val="24"/>
          <w:szCs w:val="24"/>
        </w:rPr>
        <w:t>i</w:t>
      </w:r>
      <w:proofErr w:type="spellEnd"/>
      <w:r w:rsidRPr="000773A9">
        <w:rPr>
          <w:sz w:val="24"/>
          <w:szCs w:val="24"/>
        </w:rPr>
        <w:t xml:space="preserve">) or (ii).  In addition, if the owner does not occupy the dwelling unit, the </w:t>
      </w:r>
      <w:r w:rsidR="002E0461">
        <w:rPr>
          <w:sz w:val="24"/>
          <w:szCs w:val="24"/>
        </w:rPr>
        <w:t>renovation firm</w:t>
      </w:r>
      <w:r w:rsidR="002E0461" w:rsidRPr="000773A9">
        <w:rPr>
          <w:sz w:val="24"/>
          <w:szCs w:val="24"/>
        </w:rPr>
        <w:t xml:space="preserve"> </w:t>
      </w:r>
      <w:r w:rsidRPr="000773A9">
        <w:rPr>
          <w:sz w:val="24"/>
          <w:szCs w:val="24"/>
        </w:rPr>
        <w:t>must provide an adult occupant of the unit with the pamphlet, and comply with the procedures specified at section 745.8</w:t>
      </w:r>
      <w:r w:rsidR="002E0461">
        <w:rPr>
          <w:sz w:val="24"/>
          <w:szCs w:val="24"/>
        </w:rPr>
        <w:t>4</w:t>
      </w:r>
      <w:r w:rsidRPr="000773A9">
        <w:rPr>
          <w:sz w:val="24"/>
          <w:szCs w:val="24"/>
        </w:rPr>
        <w:t>(a</w:t>
      </w:r>
      <w:proofErr w:type="gramStart"/>
      <w:r w:rsidRPr="000773A9">
        <w:rPr>
          <w:sz w:val="24"/>
          <w:szCs w:val="24"/>
        </w:rPr>
        <w:t>)(</w:t>
      </w:r>
      <w:proofErr w:type="gramEnd"/>
      <w:r w:rsidRPr="000773A9">
        <w:rPr>
          <w:sz w:val="24"/>
          <w:szCs w:val="24"/>
        </w:rPr>
        <w:t>2)(</w:t>
      </w:r>
      <w:proofErr w:type="spellStart"/>
      <w:r w:rsidRPr="000773A9">
        <w:rPr>
          <w:sz w:val="24"/>
          <w:szCs w:val="24"/>
        </w:rPr>
        <w:t>i</w:t>
      </w:r>
      <w:proofErr w:type="spellEnd"/>
      <w:r w:rsidRPr="000773A9">
        <w:rPr>
          <w:sz w:val="24"/>
          <w:szCs w:val="24"/>
        </w:rPr>
        <w:t>) or (ii).</w:t>
      </w:r>
    </w:p>
    <w:p w:rsidR="002D781F" w:rsidRPr="000773A9" w:rsidRDefault="002D781F"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r>
      <w:r w:rsidRPr="000773A9">
        <w:rPr>
          <w:b/>
          <w:bCs/>
          <w:sz w:val="24"/>
          <w:szCs w:val="24"/>
        </w:rPr>
        <w:t>Information Distribution Requirements for Renovations in Common Areas</w:t>
      </w:r>
    </w:p>
    <w:p w:rsidR="00CD069D" w:rsidRPr="000773A9" w:rsidRDefault="00CD069D"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Under 40 CFR 745.</w:t>
      </w:r>
      <w:r w:rsidR="002E0461" w:rsidRPr="000773A9">
        <w:rPr>
          <w:sz w:val="24"/>
          <w:szCs w:val="24"/>
        </w:rPr>
        <w:t>8</w:t>
      </w:r>
      <w:r w:rsidR="002E0461">
        <w:rPr>
          <w:sz w:val="24"/>
          <w:szCs w:val="24"/>
        </w:rPr>
        <w:t>4</w:t>
      </w:r>
      <w:r w:rsidRPr="000773A9">
        <w:rPr>
          <w:sz w:val="24"/>
          <w:szCs w:val="24"/>
        </w:rPr>
        <w:t>(b), no more than 60 days before beginning renovation activities in common areas of multi-</w:t>
      </w:r>
      <w:r w:rsidR="002E0461">
        <w:rPr>
          <w:sz w:val="24"/>
          <w:szCs w:val="24"/>
        </w:rPr>
        <w:t>unit target</w:t>
      </w:r>
      <w:r w:rsidR="002E0461" w:rsidRPr="000773A9">
        <w:rPr>
          <w:sz w:val="24"/>
          <w:szCs w:val="24"/>
        </w:rPr>
        <w:t xml:space="preserve"> </w:t>
      </w:r>
      <w:r w:rsidRPr="000773A9">
        <w:rPr>
          <w:sz w:val="24"/>
          <w:szCs w:val="24"/>
        </w:rPr>
        <w:t xml:space="preserve">housing, </w:t>
      </w:r>
      <w:r w:rsidR="00E744ED">
        <w:rPr>
          <w:sz w:val="24"/>
          <w:szCs w:val="24"/>
        </w:rPr>
        <w:t>the</w:t>
      </w:r>
      <w:r w:rsidR="00E744ED" w:rsidRPr="000773A9">
        <w:rPr>
          <w:sz w:val="24"/>
          <w:szCs w:val="24"/>
        </w:rPr>
        <w:t xml:space="preserve"> </w:t>
      </w:r>
      <w:r w:rsidR="00D42A2C">
        <w:rPr>
          <w:sz w:val="24"/>
          <w:szCs w:val="24"/>
        </w:rPr>
        <w:t>firm performing renovations</w:t>
      </w:r>
      <w:r w:rsidR="00D42A2C" w:rsidRPr="000773A9">
        <w:rPr>
          <w:sz w:val="24"/>
          <w:szCs w:val="24"/>
        </w:rPr>
        <w:t xml:space="preserve"> </w:t>
      </w:r>
      <w:r w:rsidRPr="000773A9">
        <w:rPr>
          <w:sz w:val="24"/>
          <w:szCs w:val="24"/>
        </w:rPr>
        <w:t>must provide the owner of the multi-</w:t>
      </w:r>
      <w:r w:rsidR="002E0461">
        <w:rPr>
          <w:sz w:val="24"/>
          <w:szCs w:val="24"/>
        </w:rPr>
        <w:t>unit</w:t>
      </w:r>
      <w:r w:rsidR="002E0461" w:rsidRPr="000773A9">
        <w:rPr>
          <w:sz w:val="24"/>
          <w:szCs w:val="24"/>
        </w:rPr>
        <w:t xml:space="preserve"> </w:t>
      </w:r>
      <w:r w:rsidRPr="000773A9">
        <w:rPr>
          <w:sz w:val="24"/>
          <w:szCs w:val="24"/>
        </w:rPr>
        <w:t xml:space="preserve">housing with </w:t>
      </w:r>
      <w:r w:rsidR="002E0461">
        <w:rPr>
          <w:sz w:val="24"/>
          <w:szCs w:val="24"/>
        </w:rPr>
        <w:t>the</w:t>
      </w:r>
      <w:r w:rsidRPr="000773A9">
        <w:rPr>
          <w:sz w:val="24"/>
          <w:szCs w:val="24"/>
        </w:rPr>
        <w:t xml:space="preserve"> pamphlet, and comply with the procedures specified at section 745.</w:t>
      </w:r>
      <w:r w:rsidR="002E0461" w:rsidRPr="000773A9">
        <w:rPr>
          <w:sz w:val="24"/>
          <w:szCs w:val="24"/>
        </w:rPr>
        <w:t>8</w:t>
      </w:r>
      <w:r w:rsidR="002E0461">
        <w:rPr>
          <w:sz w:val="24"/>
          <w:szCs w:val="24"/>
        </w:rPr>
        <w:t>4</w:t>
      </w:r>
      <w:r w:rsidRPr="000773A9">
        <w:rPr>
          <w:sz w:val="24"/>
          <w:szCs w:val="24"/>
        </w:rPr>
        <w:t>(b)(1)(</w:t>
      </w:r>
      <w:proofErr w:type="spellStart"/>
      <w:r w:rsidRPr="000773A9">
        <w:rPr>
          <w:sz w:val="24"/>
          <w:szCs w:val="24"/>
        </w:rPr>
        <w:t>i</w:t>
      </w:r>
      <w:proofErr w:type="spellEnd"/>
      <w:r w:rsidRPr="000773A9">
        <w:rPr>
          <w:sz w:val="24"/>
          <w:szCs w:val="24"/>
        </w:rPr>
        <w:t>) or (ii</w:t>
      </w:r>
      <w:r w:rsidR="002E0461">
        <w:rPr>
          <w:sz w:val="24"/>
          <w:szCs w:val="24"/>
        </w:rPr>
        <w:t>)</w:t>
      </w:r>
    </w:p>
    <w:p w:rsidR="00537689" w:rsidRPr="000773A9" w:rsidRDefault="00537689" w:rsidP="00D42A2C">
      <w:pPr>
        <w:pStyle w:val="NormalWeb"/>
      </w:pPr>
      <w:r w:rsidRPr="000773A9">
        <w:tab/>
        <w:t xml:space="preserve">In addition, the </w:t>
      </w:r>
      <w:r w:rsidR="003C2D2C">
        <w:t>firm performing renovations</w:t>
      </w:r>
      <w:r w:rsidR="003C2D2C" w:rsidRPr="000773A9">
        <w:t xml:space="preserve"> </w:t>
      </w:r>
      <w:r w:rsidRPr="000773A9">
        <w:t xml:space="preserve">must </w:t>
      </w:r>
      <w:r w:rsidR="00D42A2C">
        <w:t>(</w:t>
      </w:r>
      <w:proofErr w:type="spellStart"/>
      <w:r w:rsidR="00D42A2C">
        <w:t>i</w:t>
      </w:r>
      <w:proofErr w:type="spellEnd"/>
      <w:r w:rsidR="00D42A2C">
        <w:t xml:space="preserve">) notify in writing, or ensure written notification of, each affected unit and make the pamphlet available upon request prior to the start of renovation. Such notification shall be accomplished by distributing written notice to each affected unit. The notice shall describe the general nature and locations of the planned renovation activities; the expected starting and ending dates; and a statement of how the occupant can obtain the pamphlet and a copy of the records required by § 745.86(c) and (d), at no cost to the occupants, or (ii) While the renovation is ongoing, post informational signs describing the general nature and locations of the renovation and the anticipated completion date. These signs must be posted in areas where they are likely to be seen by the occupants of all of the affected units. The signs must be accompanied by a posted copy of the pamphlet or information on how interested occupants can review a copy of the pamphlet or obtain a copy from the renovation firm at no cost to occupants. The signs must also include information on how interested occupants can review a copy of the records required by § 745.86(c) and (d) or obtain a copy from the renovation firm at no cost to the occupants. </w:t>
      </w:r>
      <w:r w:rsidRPr="000773A9">
        <w:t xml:space="preserve"> (</w:t>
      </w:r>
      <w:r w:rsidR="008D7FAC">
        <w:t>S</w:t>
      </w:r>
      <w:r w:rsidRPr="000773A9">
        <w:t>ection 745.</w:t>
      </w:r>
      <w:r w:rsidR="003C2D2C" w:rsidRPr="000773A9">
        <w:t>8</w:t>
      </w:r>
      <w:r w:rsidR="003C2D2C">
        <w:t>4</w:t>
      </w:r>
      <w:r w:rsidRPr="000773A9">
        <w:t>(b</w:t>
      </w:r>
      <w:proofErr w:type="gramStart"/>
      <w:r w:rsidRPr="000773A9">
        <w:t>)(</w:t>
      </w:r>
      <w:proofErr w:type="gramEnd"/>
      <w:r w:rsidRPr="000773A9">
        <w:t>2)).</w:t>
      </w:r>
    </w:p>
    <w:p w:rsidR="00537689" w:rsidRPr="000773A9" w:rsidRDefault="00537689" w:rsidP="00537689">
      <w:pPr>
        <w:numPr>
          <w:ilvl w:val="12"/>
          <w:numId w:val="0"/>
        </w:numPr>
        <w:rPr>
          <w:sz w:val="24"/>
          <w:szCs w:val="24"/>
        </w:rPr>
      </w:pPr>
      <w:r w:rsidRPr="000773A9">
        <w:rPr>
          <w:sz w:val="24"/>
          <w:szCs w:val="24"/>
        </w:rPr>
        <w:tab/>
        <w:t xml:space="preserve">The </w:t>
      </w:r>
      <w:r w:rsidR="003C2D2C">
        <w:rPr>
          <w:sz w:val="24"/>
          <w:szCs w:val="24"/>
        </w:rPr>
        <w:t>firm performing renovations</w:t>
      </w:r>
      <w:r w:rsidR="003C2D2C" w:rsidRPr="000773A9">
        <w:rPr>
          <w:sz w:val="24"/>
          <w:szCs w:val="24"/>
        </w:rPr>
        <w:t xml:space="preserve"> </w:t>
      </w:r>
      <w:r w:rsidRPr="000773A9">
        <w:rPr>
          <w:sz w:val="24"/>
          <w:szCs w:val="24"/>
        </w:rPr>
        <w:t>also must prepare, sign, and date a statement describing the steps performed to notify all occupants of the intended renovation activities and to provide the pamphlet (section 745.</w:t>
      </w:r>
      <w:r w:rsidR="003C2D2C" w:rsidRPr="000773A9">
        <w:rPr>
          <w:sz w:val="24"/>
          <w:szCs w:val="24"/>
        </w:rPr>
        <w:t>8</w:t>
      </w:r>
      <w:r w:rsidR="003C2D2C">
        <w:rPr>
          <w:sz w:val="24"/>
          <w:szCs w:val="24"/>
        </w:rPr>
        <w:t>4</w:t>
      </w:r>
      <w:r w:rsidRPr="000773A9">
        <w:rPr>
          <w:sz w:val="24"/>
          <w:szCs w:val="24"/>
        </w:rPr>
        <w:t xml:space="preserve">(b)(3)).  If the scope, locations, or expected starting and ending dates of the planned renovation activities change after the initial notification, the </w:t>
      </w:r>
      <w:r w:rsidR="003D23F7">
        <w:rPr>
          <w:sz w:val="24"/>
          <w:szCs w:val="24"/>
        </w:rPr>
        <w:t>firm performing the renovation</w:t>
      </w:r>
      <w:r w:rsidR="003D23F7" w:rsidRPr="000773A9">
        <w:rPr>
          <w:sz w:val="24"/>
          <w:szCs w:val="24"/>
        </w:rPr>
        <w:t xml:space="preserve"> </w:t>
      </w:r>
      <w:r w:rsidRPr="000773A9">
        <w:rPr>
          <w:sz w:val="24"/>
          <w:szCs w:val="24"/>
        </w:rPr>
        <w:t xml:space="preserve">must provide further written notification to the owners and occupants providing revised information on the ongoing or planned activities.  This subsequent notification must be provided before the </w:t>
      </w:r>
      <w:r w:rsidR="0018260C">
        <w:rPr>
          <w:sz w:val="24"/>
          <w:szCs w:val="24"/>
        </w:rPr>
        <w:t>firm performing the renovation</w:t>
      </w:r>
      <w:r w:rsidR="0018260C" w:rsidRPr="000773A9">
        <w:rPr>
          <w:sz w:val="24"/>
          <w:szCs w:val="24"/>
        </w:rPr>
        <w:t xml:space="preserve"> </w:t>
      </w:r>
      <w:r w:rsidRPr="000773A9">
        <w:rPr>
          <w:sz w:val="24"/>
          <w:szCs w:val="24"/>
        </w:rPr>
        <w:t>initiates work beyond that which was described in the original notice (section 745.</w:t>
      </w:r>
      <w:r w:rsidR="0018260C" w:rsidRPr="000773A9">
        <w:rPr>
          <w:sz w:val="24"/>
          <w:szCs w:val="24"/>
        </w:rPr>
        <w:t>8</w:t>
      </w:r>
      <w:r w:rsidR="0018260C">
        <w:rPr>
          <w:sz w:val="24"/>
          <w:szCs w:val="24"/>
        </w:rPr>
        <w:t>4</w:t>
      </w:r>
      <w:r w:rsidRPr="000773A9">
        <w:rPr>
          <w:sz w:val="24"/>
          <w:szCs w:val="24"/>
        </w:rPr>
        <w:t>(b)(4)).</w:t>
      </w:r>
    </w:p>
    <w:p w:rsidR="00537689" w:rsidRPr="000773A9" w:rsidRDefault="00537689" w:rsidP="00537689">
      <w:pPr>
        <w:numPr>
          <w:ilvl w:val="12"/>
          <w:numId w:val="0"/>
        </w:numPr>
        <w:rPr>
          <w:sz w:val="24"/>
          <w:szCs w:val="24"/>
        </w:rPr>
      </w:pPr>
    </w:p>
    <w:p w:rsidR="00537689" w:rsidRPr="000773A9" w:rsidRDefault="00607696" w:rsidP="00537689">
      <w:pPr>
        <w:numPr>
          <w:ilvl w:val="12"/>
          <w:numId w:val="0"/>
        </w:numPr>
        <w:ind w:left="720"/>
        <w:rPr>
          <w:sz w:val="24"/>
          <w:szCs w:val="24"/>
        </w:rPr>
      </w:pPr>
      <w:r>
        <w:rPr>
          <w:b/>
          <w:bCs/>
          <w:sz w:val="24"/>
          <w:szCs w:val="24"/>
        </w:rPr>
        <w:br w:type="page"/>
      </w:r>
      <w:r w:rsidR="00537689" w:rsidRPr="000773A9">
        <w:rPr>
          <w:b/>
          <w:bCs/>
          <w:sz w:val="24"/>
          <w:szCs w:val="24"/>
        </w:rPr>
        <w:lastRenderedPageBreak/>
        <w:t>Recordkeeping Requirements</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Under 40 CFR 745.86(a), </w:t>
      </w:r>
      <w:r w:rsidR="00037E33">
        <w:rPr>
          <w:sz w:val="24"/>
          <w:szCs w:val="24"/>
        </w:rPr>
        <w:t>fi</w:t>
      </w:r>
      <w:r w:rsidR="00D42A2C">
        <w:rPr>
          <w:sz w:val="24"/>
          <w:szCs w:val="24"/>
        </w:rPr>
        <w:t>rm</w:t>
      </w:r>
      <w:r w:rsidR="00037E33">
        <w:rPr>
          <w:sz w:val="24"/>
          <w:szCs w:val="24"/>
        </w:rPr>
        <w:t>s</w:t>
      </w:r>
      <w:r w:rsidR="00D42A2C">
        <w:rPr>
          <w:sz w:val="24"/>
          <w:szCs w:val="24"/>
        </w:rPr>
        <w:t xml:space="preserve"> performing renovations</w:t>
      </w:r>
      <w:r w:rsidR="00D42A2C" w:rsidRPr="000773A9">
        <w:rPr>
          <w:sz w:val="24"/>
          <w:szCs w:val="24"/>
        </w:rPr>
        <w:t xml:space="preserve"> </w:t>
      </w:r>
      <w:r w:rsidRPr="000773A9">
        <w:rPr>
          <w:sz w:val="24"/>
          <w:szCs w:val="24"/>
        </w:rPr>
        <w:t>must retain and, if requested, make available to EPA all records necessary to demonstrate compliance with the requirements of 40 CFR part 745, subpart E, for a period of three years following completion of the renovation activities in target housing</w:t>
      </w:r>
      <w:r w:rsidR="003F0545" w:rsidRPr="003F0545">
        <w:rPr>
          <w:sz w:val="24"/>
          <w:szCs w:val="24"/>
        </w:rPr>
        <w:t xml:space="preserve"> </w:t>
      </w:r>
      <w:r w:rsidR="003F0545">
        <w:rPr>
          <w:sz w:val="24"/>
          <w:szCs w:val="24"/>
        </w:rPr>
        <w:t xml:space="preserve">or </w:t>
      </w:r>
      <w:r w:rsidR="002D3B1A">
        <w:rPr>
          <w:sz w:val="24"/>
          <w:szCs w:val="24"/>
        </w:rPr>
        <w:t>COFs</w:t>
      </w:r>
      <w:r w:rsidRPr="000773A9">
        <w:rPr>
          <w:sz w:val="24"/>
          <w:szCs w:val="24"/>
        </w:rPr>
        <w:t>.</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tabs>
          <w:tab w:val="left" w:pos="720"/>
        </w:tabs>
        <w:ind w:left="720" w:hanging="720"/>
        <w:rPr>
          <w:sz w:val="24"/>
          <w:szCs w:val="24"/>
        </w:rPr>
      </w:pPr>
      <w:r w:rsidRPr="000773A9">
        <w:rPr>
          <w:b/>
          <w:bCs/>
          <w:sz w:val="24"/>
          <w:szCs w:val="24"/>
        </w:rPr>
        <w:t>2.</w:t>
      </w:r>
      <w:r w:rsidRPr="000773A9">
        <w:rPr>
          <w:b/>
          <w:bCs/>
          <w:sz w:val="24"/>
          <w:szCs w:val="24"/>
        </w:rPr>
        <w:tab/>
        <w:t>NEED FOR AND USE OF THE COLLECTION</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left="720"/>
        <w:rPr>
          <w:sz w:val="24"/>
          <w:szCs w:val="24"/>
        </w:rPr>
      </w:pPr>
      <w:r w:rsidRPr="000773A9">
        <w:rPr>
          <w:b/>
          <w:bCs/>
          <w:sz w:val="24"/>
          <w:szCs w:val="24"/>
        </w:rPr>
        <w:t>2(a)</w:t>
      </w:r>
      <w:r w:rsidRPr="000773A9">
        <w:rPr>
          <w:b/>
          <w:bCs/>
          <w:sz w:val="24"/>
          <w:szCs w:val="24"/>
        </w:rPr>
        <w:tab/>
        <w:t>Need and Authority for the Collection</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Section 406(b) of TSCA requires EPA to promulgate regulations requiring certain persons who perform renovations of target housing for compensation to provide a lead hazard information pamphlet to the owner and occupant of such housing prior to commencing the renovation.  Regulations promulgated under the authority of section 406(b) </w:t>
      </w:r>
      <w:r w:rsidR="002B4D77">
        <w:rPr>
          <w:sz w:val="24"/>
          <w:szCs w:val="24"/>
        </w:rPr>
        <w:t xml:space="preserve">of TSCA </w:t>
      </w:r>
      <w:r w:rsidRPr="000773A9">
        <w:rPr>
          <w:sz w:val="24"/>
          <w:szCs w:val="24"/>
        </w:rPr>
        <w:t>ensure that owners and occupants of target housing are provided information concerning potential hazards of lead-based paint exposure before certain renovations are begun on that housing.  The Agency believes that the distribution of the pamphlet will help to reduce the exposures that cause serious lead poisonings, especially in children under age six, who are particularly susceptible to the hazards of lead.</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left="720"/>
        <w:rPr>
          <w:sz w:val="24"/>
          <w:szCs w:val="24"/>
        </w:rPr>
      </w:pPr>
      <w:r w:rsidRPr="000773A9">
        <w:rPr>
          <w:b/>
          <w:bCs/>
          <w:sz w:val="24"/>
          <w:szCs w:val="24"/>
        </w:rPr>
        <w:t>2(b)</w:t>
      </w:r>
      <w:r w:rsidRPr="000773A9">
        <w:rPr>
          <w:b/>
          <w:bCs/>
          <w:sz w:val="24"/>
          <w:szCs w:val="24"/>
        </w:rPr>
        <w:tab/>
        <w:t>Practical Utility and Users of the Data</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Owners and occupants of target housing </w:t>
      </w:r>
      <w:r w:rsidR="00D42A2C">
        <w:rPr>
          <w:sz w:val="24"/>
          <w:szCs w:val="24"/>
        </w:rPr>
        <w:t xml:space="preserve">and </w:t>
      </w:r>
      <w:r w:rsidR="002D3B1A">
        <w:rPr>
          <w:sz w:val="24"/>
          <w:szCs w:val="24"/>
        </w:rPr>
        <w:t>COFs</w:t>
      </w:r>
      <w:r w:rsidR="00D42A2C">
        <w:rPr>
          <w:sz w:val="24"/>
          <w:szCs w:val="24"/>
        </w:rPr>
        <w:t xml:space="preserve"> </w:t>
      </w:r>
      <w:r w:rsidRPr="000773A9">
        <w:rPr>
          <w:sz w:val="24"/>
          <w:szCs w:val="24"/>
        </w:rPr>
        <w:t xml:space="preserve">must be provided with a lead hazard information pamphlet before any renovation commences.  Information contained in the lead hazard information pamphlet may be used by owners and occupants of target housing </w:t>
      </w:r>
      <w:r w:rsidR="00D42A2C">
        <w:rPr>
          <w:sz w:val="24"/>
          <w:szCs w:val="24"/>
        </w:rPr>
        <w:t xml:space="preserve">and </w:t>
      </w:r>
      <w:r w:rsidR="002D3B1A">
        <w:rPr>
          <w:sz w:val="24"/>
          <w:szCs w:val="24"/>
        </w:rPr>
        <w:t>COFs</w:t>
      </w:r>
      <w:r w:rsidR="00D42A2C">
        <w:rPr>
          <w:sz w:val="24"/>
          <w:szCs w:val="24"/>
        </w:rPr>
        <w:t xml:space="preserve"> </w:t>
      </w:r>
      <w:r w:rsidRPr="000773A9">
        <w:rPr>
          <w:sz w:val="24"/>
          <w:szCs w:val="24"/>
        </w:rPr>
        <w:t>to take appropriate precautions to avoid exposure to lead-contaminated dust and lead-based paint debris that are sometimes generated during renovations.</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In addition, the recordkeeping requirements under 40 CFR pa</w:t>
      </w:r>
      <w:r w:rsidR="00D26E9D">
        <w:rPr>
          <w:sz w:val="24"/>
          <w:szCs w:val="24"/>
        </w:rPr>
        <w:t>rt 745, subpart E, enable EPA, s</w:t>
      </w:r>
      <w:r w:rsidRPr="000773A9">
        <w:rPr>
          <w:sz w:val="24"/>
          <w:szCs w:val="24"/>
        </w:rPr>
        <w:t>tate and local regulators and the courts to determine initial compliance and monitor continued compliance with the provisions of section 406(b) of TSCA.  The record of compliance could also serve as a crucial piece of information in civil actions to establish liability.</w:t>
      </w:r>
    </w:p>
    <w:p w:rsidR="00537689" w:rsidRDefault="00537689" w:rsidP="00537689">
      <w:pPr>
        <w:numPr>
          <w:ilvl w:val="12"/>
          <w:numId w:val="0"/>
        </w:numPr>
        <w:rPr>
          <w:sz w:val="24"/>
          <w:szCs w:val="24"/>
        </w:rPr>
      </w:pPr>
    </w:p>
    <w:p w:rsidR="00BD0F7B" w:rsidRDefault="00BD0F7B" w:rsidP="00537689">
      <w:pPr>
        <w:numPr>
          <w:ilvl w:val="12"/>
          <w:numId w:val="0"/>
        </w:numPr>
        <w:rPr>
          <w:sz w:val="24"/>
          <w:szCs w:val="24"/>
        </w:rPr>
      </w:pPr>
    </w:p>
    <w:p w:rsidR="00537689" w:rsidRPr="000773A9" w:rsidRDefault="00537689" w:rsidP="00537689">
      <w:pPr>
        <w:numPr>
          <w:ilvl w:val="12"/>
          <w:numId w:val="0"/>
        </w:numPr>
        <w:tabs>
          <w:tab w:val="left" w:pos="720"/>
        </w:tabs>
        <w:ind w:left="720" w:hanging="720"/>
        <w:rPr>
          <w:sz w:val="24"/>
          <w:szCs w:val="24"/>
        </w:rPr>
      </w:pPr>
      <w:r w:rsidRPr="000773A9">
        <w:rPr>
          <w:b/>
          <w:bCs/>
          <w:sz w:val="24"/>
          <w:szCs w:val="24"/>
        </w:rPr>
        <w:t>3.</w:t>
      </w:r>
      <w:r w:rsidRPr="000773A9">
        <w:rPr>
          <w:b/>
          <w:bCs/>
          <w:sz w:val="24"/>
          <w:szCs w:val="24"/>
        </w:rPr>
        <w:tab/>
        <w:t>NON-DUPLICATION, CONSULTATIONS, AND OTHER COLLECTION CRITERIA</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left="720"/>
        <w:rPr>
          <w:sz w:val="24"/>
          <w:szCs w:val="24"/>
        </w:rPr>
      </w:pPr>
      <w:r w:rsidRPr="000773A9">
        <w:rPr>
          <w:b/>
          <w:bCs/>
          <w:sz w:val="24"/>
          <w:szCs w:val="24"/>
        </w:rPr>
        <w:t>3(a)</w:t>
      </w:r>
      <w:r w:rsidRPr="000773A9">
        <w:rPr>
          <w:b/>
          <w:bCs/>
          <w:sz w:val="24"/>
          <w:szCs w:val="24"/>
        </w:rPr>
        <w:tab/>
        <w:t>Non-Duplication</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EPA has determined that no oth</w:t>
      </w:r>
      <w:r w:rsidR="00D26E9D">
        <w:rPr>
          <w:sz w:val="24"/>
          <w:szCs w:val="24"/>
        </w:rPr>
        <w:t>er f</w:t>
      </w:r>
      <w:r w:rsidRPr="000773A9">
        <w:rPr>
          <w:sz w:val="24"/>
          <w:szCs w:val="24"/>
        </w:rPr>
        <w:t>ederal agency collection satisfies the statutory requirements of section 406(b) of TSCA.</w:t>
      </w:r>
    </w:p>
    <w:p w:rsidR="00537689" w:rsidRPr="000773A9" w:rsidRDefault="00537689" w:rsidP="00537689">
      <w:pPr>
        <w:numPr>
          <w:ilvl w:val="12"/>
          <w:numId w:val="0"/>
        </w:numPr>
        <w:rPr>
          <w:sz w:val="24"/>
          <w:szCs w:val="24"/>
        </w:rPr>
      </w:pPr>
    </w:p>
    <w:p w:rsidR="00537689" w:rsidRPr="000773A9" w:rsidRDefault="00607696" w:rsidP="00537689">
      <w:pPr>
        <w:numPr>
          <w:ilvl w:val="12"/>
          <w:numId w:val="0"/>
        </w:numPr>
        <w:rPr>
          <w:b/>
          <w:bCs/>
          <w:sz w:val="24"/>
          <w:szCs w:val="24"/>
        </w:rPr>
      </w:pPr>
      <w:r>
        <w:rPr>
          <w:sz w:val="24"/>
          <w:szCs w:val="24"/>
        </w:rPr>
        <w:br w:type="page"/>
      </w:r>
      <w:r w:rsidR="00537689" w:rsidRPr="000773A9">
        <w:rPr>
          <w:sz w:val="24"/>
          <w:szCs w:val="24"/>
        </w:rPr>
        <w:lastRenderedPageBreak/>
        <w:tab/>
      </w:r>
      <w:r w:rsidR="00537689" w:rsidRPr="000773A9">
        <w:rPr>
          <w:b/>
          <w:bCs/>
          <w:sz w:val="24"/>
          <w:szCs w:val="24"/>
        </w:rPr>
        <w:t>3(b)</w:t>
      </w:r>
      <w:r w:rsidR="00537689" w:rsidRPr="000773A9">
        <w:rPr>
          <w:b/>
          <w:bCs/>
          <w:sz w:val="24"/>
          <w:szCs w:val="24"/>
        </w:rPr>
        <w:tab/>
        <w:t>Public Notice</w:t>
      </w:r>
      <w:r w:rsidR="00537689" w:rsidRPr="000773A9">
        <w:rPr>
          <w:sz w:val="24"/>
          <w:szCs w:val="24"/>
        </w:rPr>
        <w:t xml:space="preserve"> </w:t>
      </w:r>
      <w:r w:rsidR="00537689" w:rsidRPr="000773A9">
        <w:rPr>
          <w:b/>
          <w:bCs/>
          <w:sz w:val="24"/>
          <w:szCs w:val="24"/>
        </w:rPr>
        <w:t>Required Prior to ICR Submission to OMB</w:t>
      </w:r>
    </w:p>
    <w:p w:rsidR="00537689" w:rsidRPr="00332F18" w:rsidRDefault="00537689" w:rsidP="00537689">
      <w:pPr>
        <w:numPr>
          <w:ilvl w:val="12"/>
          <w:numId w:val="0"/>
        </w:numPr>
        <w:rPr>
          <w:sz w:val="24"/>
          <w:szCs w:val="24"/>
        </w:rPr>
      </w:pPr>
    </w:p>
    <w:p w:rsidR="00537689" w:rsidRPr="002829D1" w:rsidRDefault="00537689" w:rsidP="00537689">
      <w:pPr>
        <w:rPr>
          <w:sz w:val="24"/>
          <w:szCs w:val="24"/>
        </w:rPr>
      </w:pPr>
      <w:r w:rsidRPr="00332F18">
        <w:rPr>
          <w:sz w:val="24"/>
          <w:szCs w:val="24"/>
        </w:rPr>
        <w:fldChar w:fldCharType="begin"/>
      </w:r>
      <w:r w:rsidRPr="00332F18">
        <w:rPr>
          <w:sz w:val="24"/>
          <w:szCs w:val="24"/>
        </w:rPr>
        <w:instrText xml:space="preserve"> SEQ CHAPTER \h \r 1</w:instrText>
      </w:r>
      <w:r w:rsidRPr="00332F18">
        <w:rPr>
          <w:sz w:val="24"/>
          <w:szCs w:val="24"/>
        </w:rPr>
        <w:fldChar w:fldCharType="end"/>
      </w:r>
      <w:r w:rsidRPr="000773A9">
        <w:rPr>
          <w:sz w:val="24"/>
          <w:szCs w:val="24"/>
        </w:rPr>
        <w:tab/>
      </w:r>
      <w:r w:rsidR="00D16EBB" w:rsidRPr="00D16EBB">
        <w:rPr>
          <w:sz w:val="24"/>
          <w:szCs w:val="24"/>
        </w:rPr>
        <w:t xml:space="preserve">In proposing to renew this ICR, EPA provided a 60-day public notice and comment period that ended on </w:t>
      </w:r>
      <w:r w:rsidR="00D16EBB">
        <w:rPr>
          <w:sz w:val="24"/>
          <w:szCs w:val="24"/>
        </w:rPr>
        <w:t>Febr</w:t>
      </w:r>
      <w:r w:rsidR="00D16EBB" w:rsidRPr="00D16EBB">
        <w:rPr>
          <w:sz w:val="24"/>
          <w:szCs w:val="24"/>
        </w:rPr>
        <w:t>uary 2</w:t>
      </w:r>
      <w:r w:rsidR="00D16EBB">
        <w:rPr>
          <w:sz w:val="24"/>
          <w:szCs w:val="24"/>
        </w:rPr>
        <w:t>7</w:t>
      </w:r>
      <w:r w:rsidR="00D16EBB" w:rsidRPr="00D16EBB">
        <w:rPr>
          <w:sz w:val="24"/>
          <w:szCs w:val="24"/>
        </w:rPr>
        <w:t>, 201</w:t>
      </w:r>
      <w:r w:rsidR="00D16EBB">
        <w:rPr>
          <w:sz w:val="24"/>
          <w:szCs w:val="24"/>
        </w:rPr>
        <w:t>5</w:t>
      </w:r>
      <w:r w:rsidR="00D16EBB" w:rsidRPr="00D16EBB">
        <w:rPr>
          <w:sz w:val="24"/>
          <w:szCs w:val="24"/>
        </w:rPr>
        <w:t xml:space="preserve"> (79 FR </w:t>
      </w:r>
      <w:r w:rsidR="00D16EBB">
        <w:rPr>
          <w:sz w:val="24"/>
          <w:szCs w:val="24"/>
        </w:rPr>
        <w:t>78084</w:t>
      </w:r>
      <w:r w:rsidR="00D16EBB" w:rsidRPr="00D16EBB">
        <w:rPr>
          <w:sz w:val="24"/>
          <w:szCs w:val="24"/>
        </w:rPr>
        <w:t xml:space="preserve">, </w:t>
      </w:r>
      <w:r w:rsidR="00D16EBB">
        <w:rPr>
          <w:sz w:val="24"/>
          <w:szCs w:val="24"/>
        </w:rPr>
        <w:t>December</w:t>
      </w:r>
      <w:r w:rsidR="00D16EBB" w:rsidRPr="00D16EBB">
        <w:rPr>
          <w:sz w:val="24"/>
          <w:szCs w:val="24"/>
        </w:rPr>
        <w:t xml:space="preserve"> </w:t>
      </w:r>
      <w:r w:rsidR="00D16EBB">
        <w:rPr>
          <w:sz w:val="24"/>
          <w:szCs w:val="24"/>
        </w:rPr>
        <w:t>2</w:t>
      </w:r>
      <w:r w:rsidR="00D16EBB" w:rsidRPr="00D16EBB">
        <w:rPr>
          <w:sz w:val="24"/>
          <w:szCs w:val="24"/>
        </w:rPr>
        <w:t>9, 201</w:t>
      </w:r>
      <w:r w:rsidR="00CE2052">
        <w:rPr>
          <w:sz w:val="24"/>
          <w:szCs w:val="24"/>
        </w:rPr>
        <w:t>4</w:t>
      </w:r>
      <w:r w:rsidR="00D16EBB" w:rsidRPr="00D16EBB">
        <w:rPr>
          <w:sz w:val="24"/>
          <w:szCs w:val="24"/>
        </w:rPr>
        <w:t>). EPA received no comments during the comment period.</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left="720"/>
        <w:rPr>
          <w:b/>
          <w:bCs/>
          <w:sz w:val="24"/>
          <w:szCs w:val="24"/>
        </w:rPr>
      </w:pPr>
      <w:r w:rsidRPr="000773A9">
        <w:rPr>
          <w:b/>
          <w:bCs/>
          <w:sz w:val="24"/>
          <w:szCs w:val="24"/>
        </w:rPr>
        <w:t>3(c)</w:t>
      </w:r>
      <w:r w:rsidRPr="000773A9">
        <w:rPr>
          <w:b/>
          <w:bCs/>
          <w:sz w:val="24"/>
          <w:szCs w:val="24"/>
        </w:rPr>
        <w:tab/>
      </w:r>
      <w:r w:rsidRPr="0027431C">
        <w:rPr>
          <w:b/>
          <w:bCs/>
          <w:sz w:val="24"/>
          <w:szCs w:val="24"/>
        </w:rPr>
        <w:t>Consultations</w:t>
      </w:r>
    </w:p>
    <w:p w:rsidR="00537689" w:rsidRPr="000773A9" w:rsidRDefault="00537689" w:rsidP="00537689">
      <w:pPr>
        <w:numPr>
          <w:ilvl w:val="12"/>
          <w:numId w:val="0"/>
        </w:numPr>
        <w:ind w:left="720"/>
        <w:rPr>
          <w:b/>
          <w:bCs/>
          <w:sz w:val="24"/>
          <w:szCs w:val="24"/>
        </w:rPr>
      </w:pPr>
    </w:p>
    <w:p w:rsidR="000C44B0" w:rsidRDefault="00F720B4" w:rsidP="00332F18">
      <w:pPr>
        <w:ind w:firstLine="720"/>
        <w:rPr>
          <w:sz w:val="24"/>
          <w:szCs w:val="24"/>
          <w:lang w:val="en-CA"/>
        </w:rPr>
      </w:pPr>
      <w:r w:rsidRPr="00014448">
        <w:rPr>
          <w:sz w:val="24"/>
          <w:szCs w:val="24"/>
          <w:lang w:val="en-CA"/>
        </w:rPr>
        <w:t xml:space="preserve">Under 5 CFR 1320.8(d)(1) OMB requires agencies to consult with potential ICR respondents and data users about specific aspects of ICRs before submitting an original or renewal ICR to OMB for review and approval.  </w:t>
      </w:r>
      <w:r w:rsidR="00332F18" w:rsidRPr="00332F18">
        <w:rPr>
          <w:sz w:val="24"/>
          <w:szCs w:val="24"/>
          <w:lang w:val="en-CA"/>
        </w:rPr>
        <w:t xml:space="preserve">In accordance with this regulation, EPA pursued additional consultations with interested parties during the development of the renewal of this collection.  Specifically, EPA contacted the following </w:t>
      </w:r>
      <w:r w:rsidR="00BD0F7B">
        <w:rPr>
          <w:sz w:val="24"/>
          <w:szCs w:val="24"/>
          <w:lang w:val="en-CA"/>
        </w:rPr>
        <w:t>nine</w:t>
      </w:r>
      <w:r w:rsidR="00332F18" w:rsidRPr="00332F18">
        <w:rPr>
          <w:sz w:val="24"/>
          <w:szCs w:val="24"/>
          <w:lang w:val="en-CA"/>
        </w:rPr>
        <w:t xml:space="preserve"> individuals:</w:t>
      </w:r>
    </w:p>
    <w:p w:rsidR="008576A6" w:rsidRDefault="008576A6">
      <w:pPr>
        <w:autoSpaceDE/>
        <w:autoSpaceDN/>
        <w:adjustRightInd/>
        <w:rPr>
          <w:sz w:val="24"/>
          <w:szCs w:val="24"/>
          <w:lang w:val="en-CA"/>
        </w:rPr>
      </w:pPr>
    </w:p>
    <w:p w:rsidR="008853AF" w:rsidRDefault="008853AF" w:rsidP="00B06931">
      <w:pPr>
        <w:autoSpaceDE/>
        <w:autoSpaceDN/>
        <w:adjustRightInd/>
        <w:ind w:firstLine="720"/>
        <w:rPr>
          <w:sz w:val="24"/>
          <w:szCs w:val="24"/>
          <w:lang w:val="en-CA"/>
        </w:rPr>
        <w:sectPr w:rsidR="008853AF" w:rsidSect="00537689">
          <w:footerReference w:type="default" r:id="rId8"/>
          <w:pgSz w:w="12240" w:h="15840"/>
          <w:pgMar w:top="1440" w:right="1440" w:bottom="1260" w:left="1440" w:header="900" w:footer="855" w:gutter="0"/>
          <w:cols w:space="720"/>
          <w:noEndnote/>
        </w:sectPr>
      </w:pPr>
    </w:p>
    <w:p w:rsidR="008853AF" w:rsidRDefault="00920E74" w:rsidP="0080426E">
      <w:pPr>
        <w:autoSpaceDE/>
        <w:autoSpaceDN/>
        <w:adjustRightInd/>
        <w:ind w:firstLine="720"/>
        <w:rPr>
          <w:sz w:val="24"/>
          <w:szCs w:val="24"/>
          <w:lang w:val="en-CA"/>
        </w:rPr>
      </w:pPr>
      <w:r w:rsidRPr="00920E74">
        <w:rPr>
          <w:sz w:val="24"/>
          <w:szCs w:val="24"/>
          <w:lang w:val="en-CA"/>
        </w:rPr>
        <w:lastRenderedPageBreak/>
        <w:t>Andrew J. McLellan</w:t>
      </w:r>
      <w:r w:rsidR="00BD0F7B">
        <w:rPr>
          <w:sz w:val="24"/>
          <w:szCs w:val="24"/>
          <w:lang w:val="en-CA"/>
        </w:rPr>
        <w:t xml:space="preserve"> </w:t>
      </w:r>
    </w:p>
    <w:p w:rsidR="00CF21E2" w:rsidRDefault="00920E74" w:rsidP="0080426E">
      <w:pPr>
        <w:autoSpaceDE/>
        <w:autoSpaceDN/>
        <w:adjustRightInd/>
        <w:ind w:firstLine="720"/>
        <w:rPr>
          <w:sz w:val="24"/>
          <w:szCs w:val="24"/>
          <w:lang w:val="en-CA"/>
        </w:rPr>
      </w:pPr>
      <w:r w:rsidRPr="00920E74">
        <w:rPr>
          <w:sz w:val="24"/>
          <w:szCs w:val="24"/>
          <w:lang w:val="en-CA"/>
        </w:rPr>
        <w:t xml:space="preserve">Environmental Education Associated </w:t>
      </w:r>
    </w:p>
    <w:p w:rsidR="00F63407" w:rsidRPr="00F052B6" w:rsidRDefault="00920E74" w:rsidP="0080426E">
      <w:pPr>
        <w:autoSpaceDE/>
        <w:autoSpaceDN/>
        <w:adjustRightInd/>
        <w:ind w:firstLine="720"/>
        <w:rPr>
          <w:sz w:val="24"/>
          <w:szCs w:val="24"/>
          <w:lang w:val="en-CA"/>
        </w:rPr>
      </w:pPr>
      <w:r w:rsidRPr="00920E74">
        <w:rPr>
          <w:sz w:val="24"/>
          <w:szCs w:val="24"/>
          <w:lang w:val="en-CA"/>
        </w:rPr>
        <w:t>ajm@environmentaleducation.com</w:t>
      </w:r>
    </w:p>
    <w:p w:rsidR="00D66D44" w:rsidRDefault="00D66D44" w:rsidP="000203B0">
      <w:pPr>
        <w:autoSpaceDE/>
        <w:autoSpaceDN/>
        <w:adjustRightInd/>
        <w:rPr>
          <w:sz w:val="24"/>
          <w:szCs w:val="24"/>
          <w:lang w:val="en-CA"/>
        </w:rPr>
      </w:pPr>
      <w:r w:rsidRPr="00D66D44">
        <w:rPr>
          <w:sz w:val="24"/>
          <w:szCs w:val="24"/>
          <w:lang w:val="en-CA"/>
        </w:rPr>
        <w:lastRenderedPageBreak/>
        <w:t>Kevin Gaul</w:t>
      </w:r>
    </w:p>
    <w:p w:rsidR="00F63407" w:rsidRPr="00F052B6" w:rsidRDefault="00920E74" w:rsidP="000203B0">
      <w:pPr>
        <w:autoSpaceDE/>
        <w:autoSpaceDN/>
        <w:adjustRightInd/>
        <w:rPr>
          <w:sz w:val="24"/>
          <w:szCs w:val="24"/>
          <w:lang w:val="en-CA"/>
        </w:rPr>
      </w:pPr>
      <w:r w:rsidRPr="00920E74">
        <w:rPr>
          <w:sz w:val="24"/>
          <w:szCs w:val="24"/>
          <w:lang w:val="en-CA"/>
        </w:rPr>
        <w:t>Pella Windows</w:t>
      </w:r>
    </w:p>
    <w:p w:rsidR="008853AF" w:rsidRDefault="00920E74" w:rsidP="000203B0">
      <w:pPr>
        <w:autoSpaceDE/>
        <w:autoSpaceDN/>
        <w:adjustRightInd/>
        <w:rPr>
          <w:sz w:val="24"/>
          <w:szCs w:val="24"/>
          <w:lang w:val="en-CA"/>
        </w:rPr>
        <w:sectPr w:rsidR="008853AF" w:rsidSect="002D781F">
          <w:type w:val="continuous"/>
          <w:pgSz w:w="12240" w:h="15840"/>
          <w:pgMar w:top="1440" w:right="1440" w:bottom="1260" w:left="1440" w:header="900" w:footer="855" w:gutter="0"/>
          <w:cols w:num="2" w:space="720"/>
          <w:noEndnote/>
        </w:sectPr>
      </w:pPr>
      <w:r>
        <w:rPr>
          <w:sz w:val="24"/>
          <w:szCs w:val="24"/>
          <w:lang w:val="en-CA"/>
        </w:rPr>
        <w:t>gaulkj@pella.com</w:t>
      </w:r>
    </w:p>
    <w:p w:rsidR="00920E74" w:rsidRDefault="00920E74" w:rsidP="00B06931">
      <w:pPr>
        <w:autoSpaceDE/>
        <w:autoSpaceDN/>
        <w:adjustRightInd/>
        <w:ind w:firstLine="720"/>
        <w:rPr>
          <w:sz w:val="24"/>
          <w:szCs w:val="24"/>
          <w:lang w:val="en-CA"/>
        </w:rPr>
      </w:pPr>
    </w:p>
    <w:p w:rsidR="008853AF" w:rsidRDefault="00F63407" w:rsidP="0080426E">
      <w:pPr>
        <w:autoSpaceDE/>
        <w:autoSpaceDN/>
        <w:adjustRightInd/>
        <w:ind w:firstLine="720"/>
        <w:rPr>
          <w:sz w:val="24"/>
          <w:szCs w:val="24"/>
          <w:lang w:val="en-CA"/>
        </w:rPr>
      </w:pPr>
      <w:r w:rsidRPr="00F63407">
        <w:rPr>
          <w:sz w:val="24"/>
          <w:szCs w:val="24"/>
          <w:lang w:val="en-CA"/>
        </w:rPr>
        <w:t xml:space="preserve">Steve </w:t>
      </w:r>
      <w:proofErr w:type="spellStart"/>
      <w:r w:rsidRPr="00F63407">
        <w:rPr>
          <w:sz w:val="24"/>
          <w:szCs w:val="24"/>
          <w:lang w:val="en-CA"/>
        </w:rPr>
        <w:t>Heiteen</w:t>
      </w:r>
      <w:proofErr w:type="spellEnd"/>
      <w:r w:rsidR="00BD0F7B">
        <w:rPr>
          <w:sz w:val="24"/>
          <w:szCs w:val="24"/>
          <w:lang w:val="en-CA"/>
        </w:rPr>
        <w:t xml:space="preserve"> </w:t>
      </w:r>
    </w:p>
    <w:p w:rsidR="004C0EBE" w:rsidRPr="00F052B6" w:rsidRDefault="00F052B6" w:rsidP="0080426E">
      <w:pPr>
        <w:autoSpaceDE/>
        <w:autoSpaceDN/>
        <w:adjustRightInd/>
        <w:ind w:firstLine="720"/>
        <w:rPr>
          <w:sz w:val="24"/>
          <w:szCs w:val="24"/>
          <w:lang w:val="en-CA"/>
        </w:rPr>
      </w:pPr>
      <w:r w:rsidRPr="00F052B6">
        <w:rPr>
          <w:sz w:val="24"/>
          <w:szCs w:val="24"/>
          <w:lang w:val="en-CA"/>
        </w:rPr>
        <w:t>Portland Remodel</w:t>
      </w:r>
    </w:p>
    <w:p w:rsidR="00F052B6" w:rsidRPr="00F052B6" w:rsidRDefault="00C048D2" w:rsidP="0080426E">
      <w:pPr>
        <w:ind w:firstLine="720"/>
        <w:rPr>
          <w:sz w:val="24"/>
          <w:szCs w:val="24"/>
          <w:lang w:val="en-CA"/>
        </w:rPr>
      </w:pPr>
      <w:hyperlink r:id="rId9" w:tgtFrame="_blank" w:history="1">
        <w:r w:rsidR="00F052B6" w:rsidRPr="00F052B6">
          <w:rPr>
            <w:sz w:val="24"/>
            <w:szCs w:val="24"/>
            <w:lang w:val="en-CA"/>
          </w:rPr>
          <w:t>steve@portlandremodel.com</w:t>
        </w:r>
      </w:hyperlink>
    </w:p>
    <w:p w:rsidR="00D66D44" w:rsidRDefault="00D66D44" w:rsidP="000203B0">
      <w:pPr>
        <w:autoSpaceDE/>
        <w:autoSpaceDN/>
        <w:adjustRightInd/>
        <w:rPr>
          <w:sz w:val="24"/>
          <w:szCs w:val="24"/>
          <w:highlight w:val="yellow"/>
          <w:lang w:val="en-CA"/>
        </w:rPr>
      </w:pPr>
    </w:p>
    <w:p w:rsidR="008853AF" w:rsidRDefault="00BD0F7B" w:rsidP="000203B0">
      <w:pPr>
        <w:autoSpaceDE/>
        <w:autoSpaceDN/>
        <w:adjustRightInd/>
        <w:rPr>
          <w:sz w:val="24"/>
          <w:szCs w:val="24"/>
          <w:lang w:val="en-CA"/>
        </w:rPr>
      </w:pPr>
      <w:r>
        <w:rPr>
          <w:sz w:val="24"/>
          <w:szCs w:val="24"/>
          <w:lang w:val="en-CA"/>
        </w:rPr>
        <w:t xml:space="preserve">Mike Nagel </w:t>
      </w:r>
    </w:p>
    <w:p w:rsidR="00F63407" w:rsidRPr="00F052B6" w:rsidRDefault="00F052B6" w:rsidP="000203B0">
      <w:pPr>
        <w:autoSpaceDE/>
        <w:autoSpaceDN/>
        <w:adjustRightInd/>
        <w:rPr>
          <w:sz w:val="24"/>
          <w:szCs w:val="24"/>
          <w:lang w:val="en-CA"/>
        </w:rPr>
      </w:pPr>
      <w:r w:rsidRPr="00F052B6">
        <w:rPr>
          <w:sz w:val="24"/>
          <w:szCs w:val="24"/>
          <w:lang w:val="en-CA"/>
        </w:rPr>
        <w:t>Men at Work Chicago</w:t>
      </w:r>
    </w:p>
    <w:p w:rsidR="00F052B6" w:rsidRPr="00F052B6" w:rsidRDefault="00C048D2" w:rsidP="000203B0">
      <w:pPr>
        <w:rPr>
          <w:sz w:val="24"/>
          <w:szCs w:val="24"/>
          <w:lang w:val="en-CA"/>
        </w:rPr>
      </w:pPr>
      <w:hyperlink r:id="rId10" w:history="1">
        <w:r w:rsidR="00F052B6" w:rsidRPr="00F052B6">
          <w:rPr>
            <w:sz w:val="24"/>
            <w:szCs w:val="24"/>
            <w:lang w:val="en-CA"/>
          </w:rPr>
          <w:t>mike@MAWchicago.com</w:t>
        </w:r>
      </w:hyperlink>
    </w:p>
    <w:p w:rsidR="008853AF" w:rsidRDefault="008853AF" w:rsidP="00F63407">
      <w:pPr>
        <w:rPr>
          <w:sz w:val="24"/>
          <w:szCs w:val="24"/>
          <w:lang w:val="en-CA"/>
        </w:rPr>
        <w:sectPr w:rsidR="008853AF" w:rsidSect="002D781F">
          <w:type w:val="continuous"/>
          <w:pgSz w:w="12240" w:h="15840"/>
          <w:pgMar w:top="1440" w:right="1440" w:bottom="1260" w:left="1440" w:header="900" w:footer="855" w:gutter="0"/>
          <w:cols w:num="2" w:space="720"/>
          <w:noEndnote/>
        </w:sectPr>
      </w:pPr>
    </w:p>
    <w:p w:rsidR="00F052B6" w:rsidRPr="00F052B6" w:rsidRDefault="00F052B6" w:rsidP="00F63407">
      <w:pPr>
        <w:rPr>
          <w:sz w:val="24"/>
          <w:szCs w:val="24"/>
          <w:lang w:val="en-CA"/>
        </w:rPr>
      </w:pPr>
    </w:p>
    <w:p w:rsidR="008853AF" w:rsidRDefault="008853AF" w:rsidP="00B06931">
      <w:pPr>
        <w:autoSpaceDE/>
        <w:autoSpaceDN/>
        <w:adjustRightInd/>
        <w:ind w:firstLine="720"/>
        <w:rPr>
          <w:sz w:val="24"/>
          <w:szCs w:val="24"/>
          <w:lang w:val="en-CA"/>
        </w:rPr>
        <w:sectPr w:rsidR="008853AF" w:rsidSect="002D781F">
          <w:type w:val="continuous"/>
          <w:pgSz w:w="12240" w:h="15840"/>
          <w:pgMar w:top="1440" w:right="1440" w:bottom="1260" w:left="1440" w:header="900" w:footer="855" w:gutter="0"/>
          <w:cols w:num="2" w:space="720"/>
          <w:noEndnote/>
        </w:sectPr>
      </w:pPr>
    </w:p>
    <w:p w:rsidR="008853AF" w:rsidRDefault="00F63407" w:rsidP="0080426E">
      <w:pPr>
        <w:autoSpaceDE/>
        <w:autoSpaceDN/>
        <w:adjustRightInd/>
        <w:ind w:firstLine="720"/>
        <w:rPr>
          <w:sz w:val="24"/>
          <w:szCs w:val="24"/>
          <w:lang w:val="en-CA"/>
        </w:rPr>
      </w:pPr>
      <w:r w:rsidRPr="00F63407">
        <w:rPr>
          <w:sz w:val="24"/>
          <w:szCs w:val="24"/>
          <w:lang w:val="en-CA"/>
        </w:rPr>
        <w:lastRenderedPageBreak/>
        <w:t xml:space="preserve">Bob </w:t>
      </w:r>
      <w:proofErr w:type="spellStart"/>
      <w:r w:rsidRPr="00F63407">
        <w:rPr>
          <w:sz w:val="24"/>
          <w:szCs w:val="24"/>
          <w:lang w:val="en-CA"/>
        </w:rPr>
        <w:t>Hanbury</w:t>
      </w:r>
      <w:proofErr w:type="spellEnd"/>
      <w:r w:rsidR="00BD0F7B">
        <w:rPr>
          <w:sz w:val="24"/>
          <w:szCs w:val="24"/>
          <w:lang w:val="en-CA"/>
        </w:rPr>
        <w:t xml:space="preserve"> </w:t>
      </w:r>
    </w:p>
    <w:p w:rsidR="00F052B6" w:rsidRPr="00F052B6" w:rsidRDefault="00F052B6" w:rsidP="0080426E">
      <w:pPr>
        <w:autoSpaceDE/>
        <w:autoSpaceDN/>
        <w:adjustRightInd/>
        <w:ind w:firstLine="720"/>
        <w:rPr>
          <w:sz w:val="24"/>
          <w:szCs w:val="24"/>
          <w:lang w:val="en-CA"/>
        </w:rPr>
      </w:pPr>
      <w:r w:rsidRPr="00F052B6">
        <w:rPr>
          <w:sz w:val="24"/>
          <w:szCs w:val="24"/>
          <w:lang w:val="en-CA"/>
        </w:rPr>
        <w:t xml:space="preserve">House of </w:t>
      </w:r>
      <w:proofErr w:type="spellStart"/>
      <w:r w:rsidRPr="00F052B6">
        <w:rPr>
          <w:sz w:val="24"/>
          <w:szCs w:val="24"/>
          <w:lang w:val="en-CA"/>
        </w:rPr>
        <w:t>Hanbury</w:t>
      </w:r>
      <w:proofErr w:type="spellEnd"/>
      <w:r w:rsidRPr="00F052B6">
        <w:rPr>
          <w:sz w:val="24"/>
          <w:szCs w:val="24"/>
          <w:lang w:val="en-CA"/>
        </w:rPr>
        <w:t xml:space="preserve"> Builders</w:t>
      </w:r>
      <w:r w:rsidR="00CD0A7A">
        <w:rPr>
          <w:sz w:val="24"/>
          <w:szCs w:val="24"/>
          <w:lang w:val="en-CA"/>
        </w:rPr>
        <w:t>,</w:t>
      </w:r>
      <w:r w:rsidRPr="00F052B6">
        <w:rPr>
          <w:sz w:val="24"/>
          <w:szCs w:val="24"/>
          <w:lang w:val="en-CA"/>
        </w:rPr>
        <w:t xml:space="preserve"> Inc</w:t>
      </w:r>
    </w:p>
    <w:p w:rsidR="00F052B6" w:rsidRPr="00D66D44" w:rsidRDefault="00C048D2" w:rsidP="0080426E">
      <w:pPr>
        <w:autoSpaceDE/>
        <w:autoSpaceDN/>
        <w:adjustRightInd/>
        <w:ind w:firstLine="720"/>
        <w:rPr>
          <w:sz w:val="24"/>
          <w:szCs w:val="24"/>
          <w:lang w:val="en-CA"/>
        </w:rPr>
      </w:pPr>
      <w:hyperlink r:id="rId11" w:history="1">
        <w:r w:rsidR="00FE7CDE" w:rsidRPr="000B3DFF">
          <w:rPr>
            <w:rStyle w:val="Hyperlink"/>
            <w:sz w:val="24"/>
            <w:szCs w:val="24"/>
            <w:lang w:val="en-CA"/>
          </w:rPr>
          <w:t>bobh@houseofhanbury.com</w:t>
        </w:r>
      </w:hyperlink>
    </w:p>
    <w:p w:rsidR="009408F6" w:rsidRDefault="009408F6" w:rsidP="00B06931">
      <w:pPr>
        <w:autoSpaceDE/>
        <w:autoSpaceDN/>
        <w:adjustRightInd/>
        <w:ind w:firstLine="720"/>
        <w:rPr>
          <w:sz w:val="24"/>
          <w:szCs w:val="24"/>
          <w:highlight w:val="yellow"/>
          <w:lang w:val="en-CA"/>
        </w:rPr>
      </w:pPr>
    </w:p>
    <w:p w:rsidR="00F63407" w:rsidRPr="00F052B6" w:rsidRDefault="009408F6" w:rsidP="000203B0">
      <w:pPr>
        <w:autoSpaceDE/>
        <w:autoSpaceDN/>
        <w:adjustRightInd/>
        <w:rPr>
          <w:sz w:val="24"/>
          <w:szCs w:val="24"/>
          <w:lang w:val="en-CA"/>
        </w:rPr>
      </w:pPr>
      <w:r>
        <w:rPr>
          <w:sz w:val="24"/>
          <w:szCs w:val="24"/>
          <w:lang w:val="en-CA"/>
        </w:rPr>
        <w:lastRenderedPageBreak/>
        <w:t xml:space="preserve">Mark </w:t>
      </w:r>
      <w:r w:rsidRPr="009408F6">
        <w:rPr>
          <w:sz w:val="24"/>
          <w:szCs w:val="24"/>
          <w:lang w:val="en-CA"/>
        </w:rPr>
        <w:t>Mikkelson</w:t>
      </w:r>
    </w:p>
    <w:p w:rsidR="009408F6" w:rsidRPr="009408F6" w:rsidRDefault="009408F6" w:rsidP="000203B0">
      <w:pPr>
        <w:rPr>
          <w:sz w:val="24"/>
          <w:szCs w:val="24"/>
          <w:lang w:val="en-CA"/>
        </w:rPr>
      </w:pPr>
      <w:r w:rsidRPr="009408F6">
        <w:rPr>
          <w:sz w:val="24"/>
          <w:szCs w:val="24"/>
          <w:lang w:val="en-CA"/>
        </w:rPr>
        <w:t>Anderson Corp.</w:t>
      </w:r>
    </w:p>
    <w:p w:rsidR="00F052B6" w:rsidRPr="009408F6" w:rsidRDefault="009408F6" w:rsidP="000203B0">
      <w:pPr>
        <w:rPr>
          <w:sz w:val="24"/>
          <w:szCs w:val="24"/>
          <w:lang w:val="en-CA"/>
        </w:rPr>
      </w:pPr>
      <w:r w:rsidRPr="009408F6">
        <w:rPr>
          <w:sz w:val="24"/>
          <w:szCs w:val="24"/>
        </w:rPr>
        <w:t>Mark.Mikkelson@AndersenCorp.com</w:t>
      </w:r>
    </w:p>
    <w:p w:rsidR="008853AF" w:rsidRDefault="008853AF" w:rsidP="00F63407">
      <w:pPr>
        <w:rPr>
          <w:sz w:val="24"/>
          <w:szCs w:val="24"/>
          <w:lang w:val="en-CA"/>
        </w:rPr>
        <w:sectPr w:rsidR="008853AF" w:rsidSect="008853AF">
          <w:type w:val="continuous"/>
          <w:pgSz w:w="12240" w:h="15840"/>
          <w:pgMar w:top="1440" w:right="1440" w:bottom="1260" w:left="1440" w:header="900" w:footer="855" w:gutter="0"/>
          <w:cols w:num="2" w:space="720"/>
          <w:noEndnote/>
        </w:sectPr>
      </w:pPr>
    </w:p>
    <w:p w:rsidR="008853AF" w:rsidRDefault="009408F6" w:rsidP="0080426E">
      <w:pPr>
        <w:autoSpaceDE/>
        <w:autoSpaceDN/>
        <w:adjustRightInd/>
        <w:ind w:firstLine="720"/>
        <w:rPr>
          <w:sz w:val="24"/>
          <w:szCs w:val="24"/>
          <w:lang w:val="en-CA"/>
        </w:rPr>
      </w:pPr>
      <w:r>
        <w:rPr>
          <w:sz w:val="24"/>
          <w:szCs w:val="24"/>
          <w:lang w:val="en-CA"/>
        </w:rPr>
        <w:lastRenderedPageBreak/>
        <w:t>Vince Butler</w:t>
      </w:r>
      <w:r w:rsidR="00BD0F7B">
        <w:rPr>
          <w:sz w:val="24"/>
          <w:szCs w:val="24"/>
          <w:lang w:val="en-CA"/>
        </w:rPr>
        <w:t xml:space="preserve"> </w:t>
      </w:r>
    </w:p>
    <w:p w:rsidR="008853AF" w:rsidRDefault="009408F6" w:rsidP="0080426E">
      <w:pPr>
        <w:autoSpaceDE/>
        <w:autoSpaceDN/>
        <w:adjustRightInd/>
        <w:ind w:firstLine="720"/>
        <w:rPr>
          <w:sz w:val="24"/>
          <w:szCs w:val="24"/>
          <w:lang w:val="en-CA"/>
        </w:rPr>
      </w:pPr>
      <w:r w:rsidRPr="009408F6">
        <w:rPr>
          <w:sz w:val="24"/>
          <w:szCs w:val="24"/>
          <w:lang w:val="en-CA"/>
        </w:rPr>
        <w:t>BBC Builders</w:t>
      </w:r>
    </w:p>
    <w:p w:rsidR="008853AF" w:rsidRDefault="009408F6" w:rsidP="0080426E">
      <w:pPr>
        <w:autoSpaceDE/>
        <w:autoSpaceDN/>
        <w:adjustRightInd/>
        <w:ind w:firstLine="720"/>
        <w:rPr>
          <w:sz w:val="24"/>
          <w:szCs w:val="24"/>
          <w:lang w:val="en-CA"/>
        </w:rPr>
      </w:pPr>
      <w:r w:rsidRPr="009408F6">
        <w:rPr>
          <w:sz w:val="24"/>
          <w:szCs w:val="24"/>
          <w:lang w:val="en-CA"/>
        </w:rPr>
        <w:t>vbutler@bbcbuilders.com</w:t>
      </w:r>
      <w:r w:rsidR="00920E74">
        <w:rPr>
          <w:sz w:val="24"/>
          <w:szCs w:val="24"/>
          <w:lang w:val="en-CA"/>
        </w:rPr>
        <w:tab/>
      </w:r>
      <w:r w:rsidR="00920E74">
        <w:rPr>
          <w:sz w:val="24"/>
          <w:szCs w:val="24"/>
          <w:lang w:val="en-CA"/>
        </w:rPr>
        <w:tab/>
      </w:r>
      <w:r w:rsidR="00920E74">
        <w:rPr>
          <w:sz w:val="24"/>
          <w:szCs w:val="24"/>
          <w:lang w:val="en-CA"/>
        </w:rPr>
        <w:tab/>
      </w:r>
    </w:p>
    <w:p w:rsidR="008853AF" w:rsidRDefault="00920E74" w:rsidP="009408F6">
      <w:pPr>
        <w:autoSpaceDE/>
        <w:autoSpaceDN/>
        <w:adjustRightInd/>
        <w:rPr>
          <w:sz w:val="24"/>
          <w:szCs w:val="24"/>
          <w:lang w:val="en-CA"/>
        </w:rPr>
      </w:pPr>
      <w:proofErr w:type="spellStart"/>
      <w:r>
        <w:rPr>
          <w:sz w:val="24"/>
          <w:szCs w:val="24"/>
          <w:lang w:val="en-CA"/>
        </w:rPr>
        <w:lastRenderedPageBreak/>
        <w:t>Kary</w:t>
      </w:r>
      <w:proofErr w:type="spellEnd"/>
      <w:r>
        <w:rPr>
          <w:sz w:val="24"/>
          <w:szCs w:val="24"/>
          <w:lang w:val="en-CA"/>
        </w:rPr>
        <w:t xml:space="preserve"> S. Amin</w:t>
      </w:r>
    </w:p>
    <w:p w:rsidR="008853AF" w:rsidRDefault="00920E74" w:rsidP="008853AF">
      <w:pPr>
        <w:autoSpaceDE/>
        <w:autoSpaceDN/>
        <w:adjustRightInd/>
        <w:rPr>
          <w:sz w:val="24"/>
          <w:szCs w:val="24"/>
          <w:lang w:val="en-CA"/>
        </w:rPr>
      </w:pPr>
      <w:r w:rsidRPr="00920E74">
        <w:rPr>
          <w:sz w:val="24"/>
          <w:szCs w:val="24"/>
          <w:lang w:val="en-CA"/>
        </w:rPr>
        <w:t>NOVA Environmental, Inc.</w:t>
      </w:r>
    </w:p>
    <w:p w:rsidR="00920E74" w:rsidRDefault="00920E74" w:rsidP="008853AF">
      <w:pPr>
        <w:autoSpaceDE/>
        <w:autoSpaceDN/>
        <w:adjustRightInd/>
        <w:rPr>
          <w:sz w:val="24"/>
          <w:szCs w:val="24"/>
          <w:lang w:val="en-CA"/>
        </w:rPr>
      </w:pPr>
      <w:r w:rsidRPr="00920E74">
        <w:rPr>
          <w:sz w:val="24"/>
          <w:szCs w:val="24"/>
          <w:lang w:val="en-CA"/>
        </w:rPr>
        <w:t>kamin@nova-env.com</w:t>
      </w:r>
    </w:p>
    <w:p w:rsidR="008853AF" w:rsidRPr="00F052B6" w:rsidRDefault="008853AF" w:rsidP="008853AF">
      <w:pPr>
        <w:autoSpaceDE/>
        <w:autoSpaceDN/>
        <w:adjustRightInd/>
        <w:rPr>
          <w:sz w:val="24"/>
          <w:szCs w:val="24"/>
          <w:lang w:val="en-CA"/>
        </w:rPr>
      </w:pPr>
    </w:p>
    <w:p w:rsidR="008853AF" w:rsidRDefault="008853AF" w:rsidP="00F63407">
      <w:pPr>
        <w:rPr>
          <w:sz w:val="24"/>
          <w:szCs w:val="24"/>
          <w:lang w:val="en-CA"/>
        </w:rPr>
        <w:sectPr w:rsidR="008853AF" w:rsidSect="008853AF">
          <w:type w:val="continuous"/>
          <w:pgSz w:w="12240" w:h="15840"/>
          <w:pgMar w:top="1440" w:right="1440" w:bottom="1260" w:left="1440" w:header="900" w:footer="855" w:gutter="0"/>
          <w:cols w:num="2" w:space="720"/>
          <w:noEndnote/>
        </w:sectPr>
      </w:pPr>
    </w:p>
    <w:p w:rsidR="00920E74" w:rsidRPr="00920E74" w:rsidRDefault="00920E74" w:rsidP="0080426E">
      <w:pPr>
        <w:ind w:firstLine="720"/>
        <w:rPr>
          <w:sz w:val="24"/>
          <w:szCs w:val="24"/>
          <w:lang w:val="en-CA"/>
        </w:rPr>
      </w:pPr>
      <w:r w:rsidRPr="00920E74">
        <w:rPr>
          <w:sz w:val="24"/>
          <w:szCs w:val="24"/>
          <w:lang w:val="en-CA"/>
        </w:rPr>
        <w:lastRenderedPageBreak/>
        <w:t xml:space="preserve">Tom </w:t>
      </w:r>
      <w:proofErr w:type="spellStart"/>
      <w:r w:rsidRPr="00920E74">
        <w:rPr>
          <w:sz w:val="24"/>
          <w:szCs w:val="24"/>
          <w:lang w:val="en-CA"/>
        </w:rPr>
        <w:t>Nunziata</w:t>
      </w:r>
      <w:proofErr w:type="spellEnd"/>
    </w:p>
    <w:p w:rsidR="004D3366" w:rsidRDefault="00920E74" w:rsidP="0080426E">
      <w:pPr>
        <w:ind w:firstLine="720"/>
        <w:rPr>
          <w:sz w:val="24"/>
          <w:szCs w:val="24"/>
          <w:lang w:val="en-CA"/>
        </w:rPr>
      </w:pPr>
      <w:r w:rsidRPr="00920E74">
        <w:rPr>
          <w:sz w:val="24"/>
          <w:szCs w:val="24"/>
          <w:lang w:val="en-CA"/>
        </w:rPr>
        <w:t xml:space="preserve">Laborers’ International Union </w:t>
      </w:r>
    </w:p>
    <w:p w:rsidR="004D3366" w:rsidRDefault="00920E74" w:rsidP="0080426E">
      <w:pPr>
        <w:ind w:firstLine="720"/>
        <w:rPr>
          <w:sz w:val="24"/>
          <w:szCs w:val="24"/>
          <w:lang w:val="en-CA"/>
        </w:rPr>
      </w:pPr>
      <w:proofErr w:type="gramStart"/>
      <w:r w:rsidRPr="00920E74">
        <w:rPr>
          <w:sz w:val="24"/>
          <w:szCs w:val="24"/>
          <w:lang w:val="en-CA"/>
        </w:rPr>
        <w:t>of</w:t>
      </w:r>
      <w:proofErr w:type="gramEnd"/>
      <w:r w:rsidRPr="00920E74">
        <w:rPr>
          <w:sz w:val="24"/>
          <w:szCs w:val="24"/>
          <w:lang w:val="en-CA"/>
        </w:rPr>
        <w:t xml:space="preserve"> North America (LIUNA) </w:t>
      </w:r>
    </w:p>
    <w:p w:rsidR="00F052B6" w:rsidRDefault="00920E74" w:rsidP="0080426E">
      <w:pPr>
        <w:ind w:firstLine="720"/>
        <w:rPr>
          <w:sz w:val="24"/>
          <w:szCs w:val="24"/>
          <w:lang w:val="en-CA"/>
        </w:rPr>
      </w:pPr>
      <w:r w:rsidRPr="00920E74">
        <w:rPr>
          <w:sz w:val="24"/>
          <w:szCs w:val="24"/>
          <w:lang w:val="en-CA"/>
        </w:rPr>
        <w:t>Training &amp; Education Fund</w:t>
      </w:r>
    </w:p>
    <w:p w:rsidR="00BC5587" w:rsidRDefault="00920E74" w:rsidP="0080426E">
      <w:pPr>
        <w:ind w:firstLine="720"/>
        <w:rPr>
          <w:sz w:val="24"/>
          <w:szCs w:val="24"/>
          <w:lang w:val="en-CA"/>
        </w:rPr>
      </w:pPr>
      <w:r>
        <w:rPr>
          <w:sz w:val="24"/>
          <w:szCs w:val="24"/>
          <w:lang w:val="en-CA"/>
        </w:rPr>
        <w:t>TNunziata@laborers-AGC.org</w:t>
      </w:r>
    </w:p>
    <w:p w:rsidR="00BC5587" w:rsidRDefault="00BC5587" w:rsidP="00F63407">
      <w:pPr>
        <w:rPr>
          <w:sz w:val="24"/>
          <w:szCs w:val="24"/>
          <w:lang w:val="en-CA"/>
        </w:rPr>
      </w:pPr>
    </w:p>
    <w:p w:rsidR="00672263" w:rsidRPr="00672263" w:rsidRDefault="00672263" w:rsidP="00672263">
      <w:pPr>
        <w:widowControl w:val="0"/>
        <w:ind w:firstLine="720"/>
        <w:rPr>
          <w:sz w:val="24"/>
          <w:szCs w:val="24"/>
        </w:rPr>
      </w:pPr>
      <w:r w:rsidRPr="00672263">
        <w:rPr>
          <w:sz w:val="24"/>
          <w:szCs w:val="24"/>
        </w:rPr>
        <w:t xml:space="preserve">EPA received no responses to its solicitation for consultations. A copy of EPA’s consultation e-mail to the above nine potential respondents is included in </w:t>
      </w:r>
      <w:r w:rsidRPr="00293B34">
        <w:rPr>
          <w:sz w:val="24"/>
          <w:szCs w:val="24"/>
        </w:rPr>
        <w:t xml:space="preserve">Attachment </w:t>
      </w:r>
      <w:r w:rsidR="00293B34">
        <w:rPr>
          <w:sz w:val="24"/>
          <w:szCs w:val="24"/>
        </w:rPr>
        <w:t>4</w:t>
      </w:r>
      <w:r w:rsidRPr="00672263">
        <w:rPr>
          <w:sz w:val="24"/>
          <w:szCs w:val="24"/>
        </w:rPr>
        <w:t>.</w:t>
      </w:r>
    </w:p>
    <w:p w:rsidR="00BD0F7B" w:rsidRPr="00F052B6" w:rsidRDefault="00BD0F7B" w:rsidP="00BD0F7B">
      <w:pPr>
        <w:ind w:firstLine="720"/>
        <w:rPr>
          <w:sz w:val="24"/>
          <w:szCs w:val="24"/>
          <w:lang w:val="en-CA"/>
        </w:rPr>
      </w:pPr>
    </w:p>
    <w:p w:rsidR="00537689" w:rsidRPr="000773A9" w:rsidRDefault="00537689" w:rsidP="00537689">
      <w:pPr>
        <w:numPr>
          <w:ilvl w:val="12"/>
          <w:numId w:val="0"/>
        </w:numPr>
        <w:ind w:left="720"/>
        <w:rPr>
          <w:sz w:val="24"/>
          <w:szCs w:val="24"/>
        </w:rPr>
      </w:pPr>
      <w:r w:rsidRPr="000773A9">
        <w:rPr>
          <w:b/>
          <w:bCs/>
          <w:sz w:val="24"/>
          <w:szCs w:val="24"/>
        </w:rPr>
        <w:t>3(d)</w:t>
      </w:r>
      <w:r w:rsidRPr="000773A9">
        <w:rPr>
          <w:b/>
          <w:bCs/>
          <w:sz w:val="24"/>
          <w:szCs w:val="24"/>
        </w:rPr>
        <w:tab/>
        <w:t>Effects of Less Frequent Collection</w:t>
      </w:r>
    </w:p>
    <w:p w:rsidR="00537689" w:rsidRPr="000773A9" w:rsidRDefault="00537689" w:rsidP="00537689">
      <w:pPr>
        <w:numPr>
          <w:ilvl w:val="12"/>
          <w:numId w:val="0"/>
        </w:numPr>
        <w:rPr>
          <w:sz w:val="24"/>
          <w:szCs w:val="24"/>
        </w:rPr>
      </w:pPr>
    </w:p>
    <w:p w:rsidR="00537689" w:rsidRDefault="00537689" w:rsidP="00537689">
      <w:pPr>
        <w:numPr>
          <w:ilvl w:val="12"/>
          <w:numId w:val="0"/>
        </w:numPr>
        <w:rPr>
          <w:sz w:val="24"/>
          <w:szCs w:val="24"/>
        </w:rPr>
      </w:pPr>
      <w:r w:rsidRPr="000773A9">
        <w:rPr>
          <w:sz w:val="24"/>
          <w:szCs w:val="24"/>
        </w:rPr>
        <w:tab/>
      </w:r>
      <w:r w:rsidR="00F16194">
        <w:rPr>
          <w:sz w:val="24"/>
          <w:szCs w:val="24"/>
        </w:rPr>
        <w:t>The information distribution requirements</w:t>
      </w:r>
      <w:r w:rsidR="00F16194" w:rsidRPr="000773A9">
        <w:rPr>
          <w:sz w:val="24"/>
          <w:szCs w:val="24"/>
        </w:rPr>
        <w:t xml:space="preserve"> </w:t>
      </w:r>
      <w:r w:rsidRPr="000773A9">
        <w:rPr>
          <w:sz w:val="24"/>
          <w:szCs w:val="24"/>
        </w:rPr>
        <w:t>at 40 CFR part 745, subpart E, do not include any reporting requirements, only recordkeeping requirements.  Therefore, a collection schedule is not applicable.</w:t>
      </w:r>
    </w:p>
    <w:p w:rsidR="00335FAB" w:rsidRPr="000773A9" w:rsidRDefault="00335FAB" w:rsidP="00537689">
      <w:pPr>
        <w:numPr>
          <w:ilvl w:val="12"/>
          <w:numId w:val="0"/>
        </w:numPr>
        <w:rPr>
          <w:sz w:val="24"/>
          <w:szCs w:val="24"/>
        </w:rPr>
      </w:pPr>
    </w:p>
    <w:p w:rsidR="00335FAB" w:rsidRDefault="00335FAB">
      <w:pPr>
        <w:autoSpaceDE/>
        <w:autoSpaceDN/>
        <w:adjustRightInd/>
        <w:rPr>
          <w:b/>
          <w:bCs/>
          <w:sz w:val="24"/>
          <w:szCs w:val="24"/>
        </w:rPr>
      </w:pPr>
      <w:r>
        <w:rPr>
          <w:b/>
          <w:bCs/>
          <w:sz w:val="24"/>
          <w:szCs w:val="24"/>
        </w:rPr>
        <w:br w:type="page"/>
      </w:r>
    </w:p>
    <w:p w:rsidR="00537689" w:rsidRPr="000773A9" w:rsidRDefault="00537689" w:rsidP="00537689">
      <w:pPr>
        <w:numPr>
          <w:ilvl w:val="12"/>
          <w:numId w:val="0"/>
        </w:numPr>
        <w:tabs>
          <w:tab w:val="left" w:pos="720"/>
          <w:tab w:val="left" w:pos="1440"/>
        </w:tabs>
        <w:ind w:left="1440" w:hanging="720"/>
        <w:rPr>
          <w:sz w:val="24"/>
          <w:szCs w:val="24"/>
        </w:rPr>
      </w:pPr>
      <w:r w:rsidRPr="000773A9">
        <w:rPr>
          <w:b/>
          <w:bCs/>
          <w:sz w:val="24"/>
          <w:szCs w:val="24"/>
        </w:rPr>
        <w:lastRenderedPageBreak/>
        <w:t>3(e)</w:t>
      </w:r>
      <w:r w:rsidRPr="000773A9">
        <w:rPr>
          <w:b/>
          <w:bCs/>
          <w:sz w:val="24"/>
          <w:szCs w:val="24"/>
        </w:rPr>
        <w:tab/>
        <w:t>General Guidelines</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This collection does not exceed any of the Paperwork Reduction Act guidelines at 5 CFR 1320.5.</w:t>
      </w:r>
    </w:p>
    <w:p w:rsidR="002D781F" w:rsidRDefault="002D781F" w:rsidP="002D781F">
      <w:pPr>
        <w:numPr>
          <w:ilvl w:val="12"/>
          <w:numId w:val="0"/>
        </w:numPr>
        <w:tabs>
          <w:tab w:val="left" w:pos="720"/>
          <w:tab w:val="left" w:pos="1440"/>
        </w:tabs>
        <w:rPr>
          <w:sz w:val="24"/>
          <w:szCs w:val="24"/>
        </w:rPr>
      </w:pPr>
    </w:p>
    <w:p w:rsidR="00537689" w:rsidRPr="000773A9" w:rsidRDefault="00537689" w:rsidP="002D781F">
      <w:pPr>
        <w:numPr>
          <w:ilvl w:val="12"/>
          <w:numId w:val="0"/>
        </w:numPr>
        <w:tabs>
          <w:tab w:val="left" w:pos="720"/>
          <w:tab w:val="left" w:pos="1440"/>
        </w:tabs>
        <w:rPr>
          <w:sz w:val="24"/>
          <w:szCs w:val="24"/>
        </w:rPr>
      </w:pPr>
      <w:r w:rsidRPr="000773A9">
        <w:rPr>
          <w:sz w:val="24"/>
          <w:szCs w:val="24"/>
        </w:rPr>
        <w:tab/>
      </w:r>
      <w:r w:rsidRPr="000773A9">
        <w:rPr>
          <w:b/>
          <w:bCs/>
          <w:sz w:val="24"/>
          <w:szCs w:val="24"/>
        </w:rPr>
        <w:t>3(f)</w:t>
      </w:r>
      <w:r w:rsidRPr="000773A9">
        <w:rPr>
          <w:b/>
          <w:bCs/>
          <w:sz w:val="24"/>
          <w:szCs w:val="24"/>
        </w:rPr>
        <w:tab/>
        <w:t>Confidentiality</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Since this ICR involves only recordkeeping and 3rd-par</w:t>
      </w:r>
      <w:r w:rsidR="00DA3E12">
        <w:rPr>
          <w:sz w:val="24"/>
          <w:szCs w:val="24"/>
        </w:rPr>
        <w:t>t</w:t>
      </w:r>
      <w:r w:rsidRPr="000773A9">
        <w:rPr>
          <w:sz w:val="24"/>
          <w:szCs w:val="24"/>
        </w:rPr>
        <w:t>y notifications, EPA does not believe that respondents submit any information to the Agency or that, in doing so, would assert a confidentiality claim for information collected under this ICR.  However, to the extent information submitted by respondents is business confidential, procedures are in place to protect the information from improper disclosure consistent with section 14 of TSCA; 40 CFR part 2, subpart B; and 40 CFR 745.84.</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r>
      <w:r w:rsidRPr="000773A9">
        <w:rPr>
          <w:b/>
          <w:bCs/>
          <w:sz w:val="24"/>
          <w:szCs w:val="24"/>
        </w:rPr>
        <w:t>3(g)</w:t>
      </w:r>
      <w:r w:rsidRPr="000773A9">
        <w:rPr>
          <w:b/>
          <w:bCs/>
          <w:sz w:val="24"/>
          <w:szCs w:val="24"/>
        </w:rPr>
        <w:tab/>
        <w:t>Sensitive Questions</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No questions of a sensitive nature are included in the information collection requirements associated with the distribution of the lead hazard information pamphlet.</w:t>
      </w:r>
    </w:p>
    <w:p w:rsidR="00491921" w:rsidRDefault="00491921" w:rsidP="00537689">
      <w:pPr>
        <w:numPr>
          <w:ilvl w:val="12"/>
          <w:numId w:val="0"/>
        </w:numPr>
        <w:rPr>
          <w:sz w:val="24"/>
          <w:szCs w:val="24"/>
        </w:rPr>
      </w:pPr>
    </w:p>
    <w:p w:rsidR="009055D6" w:rsidRPr="000773A9" w:rsidRDefault="009055D6" w:rsidP="00537689">
      <w:pPr>
        <w:numPr>
          <w:ilvl w:val="12"/>
          <w:numId w:val="0"/>
        </w:numPr>
        <w:rPr>
          <w:sz w:val="24"/>
          <w:szCs w:val="24"/>
        </w:rPr>
      </w:pPr>
    </w:p>
    <w:p w:rsidR="00537689" w:rsidRPr="000773A9" w:rsidRDefault="00537689" w:rsidP="00537689">
      <w:pPr>
        <w:numPr>
          <w:ilvl w:val="12"/>
          <w:numId w:val="0"/>
        </w:numPr>
        <w:tabs>
          <w:tab w:val="left" w:pos="720"/>
        </w:tabs>
        <w:ind w:left="720" w:hanging="720"/>
        <w:rPr>
          <w:b/>
          <w:bCs/>
          <w:sz w:val="24"/>
          <w:szCs w:val="24"/>
        </w:rPr>
      </w:pPr>
      <w:r w:rsidRPr="000773A9">
        <w:rPr>
          <w:b/>
          <w:bCs/>
          <w:sz w:val="24"/>
          <w:szCs w:val="24"/>
        </w:rPr>
        <w:t>4.</w:t>
      </w:r>
      <w:r w:rsidRPr="000773A9">
        <w:rPr>
          <w:b/>
          <w:bCs/>
          <w:sz w:val="24"/>
          <w:szCs w:val="24"/>
        </w:rPr>
        <w:tab/>
        <w:t>THE RESPONDENTS AND THE INFORMATION REQUESTED</w:t>
      </w:r>
    </w:p>
    <w:p w:rsidR="00537689" w:rsidRPr="000773A9" w:rsidRDefault="00537689" w:rsidP="00537689">
      <w:pPr>
        <w:numPr>
          <w:ilvl w:val="12"/>
          <w:numId w:val="0"/>
        </w:numPr>
        <w:rPr>
          <w:b/>
          <w:bCs/>
          <w:sz w:val="24"/>
          <w:szCs w:val="24"/>
        </w:rPr>
      </w:pPr>
    </w:p>
    <w:p w:rsidR="00537689" w:rsidRPr="000773A9" w:rsidRDefault="00537689" w:rsidP="00537689">
      <w:pPr>
        <w:numPr>
          <w:ilvl w:val="12"/>
          <w:numId w:val="0"/>
        </w:numPr>
        <w:rPr>
          <w:sz w:val="24"/>
          <w:szCs w:val="24"/>
        </w:rPr>
      </w:pPr>
      <w:r w:rsidRPr="000773A9">
        <w:rPr>
          <w:b/>
          <w:bCs/>
          <w:sz w:val="24"/>
          <w:szCs w:val="24"/>
        </w:rPr>
        <w:tab/>
        <w:t>4(a)</w:t>
      </w:r>
      <w:r w:rsidRPr="000773A9">
        <w:rPr>
          <w:b/>
          <w:bCs/>
          <w:sz w:val="24"/>
          <w:szCs w:val="24"/>
        </w:rPr>
        <w:tab/>
        <w:t>Respondents and NAICS Codes</w:t>
      </w:r>
    </w:p>
    <w:p w:rsidR="00537689" w:rsidRPr="000773A9" w:rsidRDefault="00537689" w:rsidP="00537689">
      <w:pPr>
        <w:numPr>
          <w:ilvl w:val="12"/>
          <w:numId w:val="0"/>
        </w:numPr>
        <w:rPr>
          <w:sz w:val="24"/>
          <w:szCs w:val="24"/>
        </w:rPr>
      </w:pPr>
    </w:p>
    <w:p w:rsidR="00537689" w:rsidRDefault="00537689" w:rsidP="00537689">
      <w:pPr>
        <w:numPr>
          <w:ilvl w:val="12"/>
          <w:numId w:val="0"/>
        </w:numPr>
        <w:rPr>
          <w:sz w:val="24"/>
          <w:szCs w:val="24"/>
        </w:rPr>
      </w:pPr>
      <w:r w:rsidRPr="000773A9">
        <w:rPr>
          <w:sz w:val="24"/>
          <w:szCs w:val="24"/>
        </w:rPr>
        <w:tab/>
        <w:t>The North American Industrial Classification System (NAICS) codes associated with industries most likely affected by the requirements covered in this ICR are described below:</w:t>
      </w:r>
    </w:p>
    <w:p w:rsidR="00607696" w:rsidRDefault="00607696" w:rsidP="00537689">
      <w:pPr>
        <w:numPr>
          <w:ilvl w:val="12"/>
          <w:numId w:val="0"/>
        </w:numPr>
        <w:rPr>
          <w:sz w:val="24"/>
          <w:szCs w:val="24"/>
        </w:rPr>
      </w:pPr>
    </w:p>
    <w:p w:rsidR="002319F0" w:rsidRPr="000773A9" w:rsidRDefault="0085358D" w:rsidP="00537689">
      <w:pPr>
        <w:numPr>
          <w:ilvl w:val="12"/>
          <w:numId w:val="0"/>
        </w:numPr>
        <w:rPr>
          <w:sz w:val="24"/>
          <w:szCs w:val="24"/>
        </w:rPr>
      </w:pPr>
      <w:r w:rsidRPr="00607696">
        <w:rPr>
          <w:sz w:val="24"/>
          <w:szCs w:val="24"/>
        </w:rPr>
        <w:br w:type="page"/>
      </w:r>
    </w:p>
    <w:tbl>
      <w:tblPr>
        <w:tblW w:w="0" w:type="auto"/>
        <w:jc w:val="center"/>
        <w:tblLayout w:type="fixed"/>
        <w:tblCellMar>
          <w:left w:w="100" w:type="dxa"/>
          <w:right w:w="100" w:type="dxa"/>
        </w:tblCellMar>
        <w:tblLook w:val="0000" w:firstRow="0" w:lastRow="0" w:firstColumn="0" w:lastColumn="0" w:noHBand="0" w:noVBand="0"/>
      </w:tblPr>
      <w:tblGrid>
        <w:gridCol w:w="1414"/>
        <w:gridCol w:w="5734"/>
      </w:tblGrid>
      <w:tr w:rsidR="00537689" w:rsidRPr="000773A9" w:rsidTr="00537689">
        <w:trPr>
          <w:cantSplit/>
          <w:tblHeader/>
          <w:jc w:val="center"/>
        </w:trPr>
        <w:tc>
          <w:tcPr>
            <w:tcW w:w="1414" w:type="dxa"/>
            <w:tcBorders>
              <w:top w:val="single" w:sz="6" w:space="0" w:color="000000"/>
              <w:left w:val="single" w:sz="6" w:space="0" w:color="000000"/>
              <w:bottom w:val="nil"/>
              <w:right w:val="nil"/>
            </w:tcBorders>
            <w:vAlign w:val="center"/>
          </w:tcPr>
          <w:p w:rsidR="00537689" w:rsidRPr="000773A9" w:rsidRDefault="00537689" w:rsidP="00537689">
            <w:pPr>
              <w:numPr>
                <w:ilvl w:val="12"/>
                <w:numId w:val="0"/>
              </w:numPr>
              <w:spacing w:before="100" w:after="56"/>
              <w:jc w:val="center"/>
            </w:pPr>
            <w:r w:rsidRPr="000773A9">
              <w:rPr>
                <w:b/>
                <w:bCs/>
              </w:rPr>
              <w:lastRenderedPageBreak/>
              <w:t>NAICS Code</w:t>
            </w:r>
          </w:p>
        </w:tc>
        <w:tc>
          <w:tcPr>
            <w:tcW w:w="5734" w:type="dxa"/>
            <w:tcBorders>
              <w:top w:val="single" w:sz="6" w:space="0" w:color="000000"/>
              <w:left w:val="single" w:sz="6" w:space="0" w:color="000000"/>
              <w:bottom w:val="nil"/>
              <w:right w:val="single" w:sz="6" w:space="0" w:color="000000"/>
            </w:tcBorders>
            <w:vAlign w:val="center"/>
          </w:tcPr>
          <w:p w:rsidR="00537689" w:rsidRPr="000773A9" w:rsidRDefault="00537689" w:rsidP="00537689">
            <w:pPr>
              <w:numPr>
                <w:ilvl w:val="12"/>
                <w:numId w:val="0"/>
              </w:numPr>
              <w:spacing w:before="100" w:after="56"/>
              <w:jc w:val="center"/>
            </w:pPr>
            <w:r w:rsidRPr="000773A9">
              <w:rPr>
                <w:b/>
                <w:bCs/>
              </w:rPr>
              <w:t>Industrial Sector</w:t>
            </w:r>
          </w:p>
        </w:tc>
      </w:tr>
      <w:tr w:rsidR="00537689" w:rsidRPr="000773A9" w:rsidTr="002D781F">
        <w:trPr>
          <w:cantSplit/>
          <w:trHeight w:val="255"/>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23321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Single Family Housing Construction</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23322</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Multifamily Housing Construction</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23511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Plumbing, Heating, and Air-Conditioning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23521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Painting and Wall Covering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23531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Electrical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23541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Masonry and Stone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23542</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rPr>
                <w:sz w:val="24"/>
                <w:szCs w:val="24"/>
              </w:rPr>
            </w:pPr>
            <w:r w:rsidRPr="000773A9">
              <w:t>Drywall, Plastering, Acoustical, and Insulation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23543</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Tile, Marble, Terrazzo, and Mosaic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23551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Carpentry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23552</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Floor Laying and Other Floor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23561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Roofing, Siding, and Sheet Metal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23571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Concrete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23581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Water Well Drilling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23591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Structural Steel Erection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23592</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Glass and Glazing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23593</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Excavation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23594</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Wrecking and Demolition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23595</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Building Equipment and Other Machinery Installation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23599</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All Other Special Trade Contractors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53111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Lessors of Residential Buildings and Dwellings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53119</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Lessors of Other Real Estate Property</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53121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Offices of Real Estate Agents and Brokers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531311</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Residential Property Managers</w:t>
            </w:r>
          </w:p>
        </w:tc>
      </w:tr>
      <w:tr w:rsidR="00537689" w:rsidRPr="000773A9" w:rsidTr="00537689">
        <w:trPr>
          <w:cantSplit/>
          <w:jc w:val="center"/>
        </w:trPr>
        <w:tc>
          <w:tcPr>
            <w:tcW w:w="1414" w:type="dxa"/>
            <w:tcBorders>
              <w:top w:val="single" w:sz="6" w:space="0" w:color="000000"/>
              <w:left w:val="single" w:sz="6" w:space="0" w:color="000000"/>
              <w:bottom w:val="nil"/>
              <w:right w:val="nil"/>
            </w:tcBorders>
          </w:tcPr>
          <w:p w:rsidR="00537689" w:rsidRPr="000773A9" w:rsidRDefault="00537689" w:rsidP="00537689">
            <w:pPr>
              <w:numPr>
                <w:ilvl w:val="12"/>
                <w:numId w:val="0"/>
              </w:numPr>
              <w:spacing w:before="100" w:after="56"/>
              <w:jc w:val="center"/>
            </w:pPr>
            <w:r w:rsidRPr="000773A9">
              <w:t>53132</w:t>
            </w:r>
          </w:p>
        </w:tc>
        <w:tc>
          <w:tcPr>
            <w:tcW w:w="5734" w:type="dxa"/>
            <w:tcBorders>
              <w:top w:val="single" w:sz="6" w:space="0" w:color="000000"/>
              <w:left w:val="single" w:sz="6" w:space="0" w:color="000000"/>
              <w:bottom w:val="nil"/>
              <w:right w:val="single" w:sz="6" w:space="0" w:color="000000"/>
            </w:tcBorders>
          </w:tcPr>
          <w:p w:rsidR="00537689" w:rsidRPr="000773A9" w:rsidRDefault="00537689" w:rsidP="00537689">
            <w:pPr>
              <w:numPr>
                <w:ilvl w:val="12"/>
                <w:numId w:val="0"/>
              </w:numPr>
              <w:spacing w:before="100" w:after="56"/>
            </w:pPr>
            <w:r w:rsidRPr="000773A9">
              <w:t>Offices of Real Estate Appraisers</w:t>
            </w:r>
          </w:p>
        </w:tc>
      </w:tr>
      <w:tr w:rsidR="00537689" w:rsidRPr="000773A9" w:rsidTr="00537689">
        <w:trPr>
          <w:cantSplit/>
          <w:jc w:val="center"/>
        </w:trPr>
        <w:tc>
          <w:tcPr>
            <w:tcW w:w="1414" w:type="dxa"/>
            <w:tcBorders>
              <w:top w:val="single" w:sz="6" w:space="0" w:color="000000"/>
              <w:left w:val="single" w:sz="6" w:space="0" w:color="000000"/>
              <w:bottom w:val="single" w:sz="6" w:space="0" w:color="000000"/>
              <w:right w:val="nil"/>
            </w:tcBorders>
          </w:tcPr>
          <w:p w:rsidR="00537689" w:rsidRPr="000773A9" w:rsidRDefault="00537689" w:rsidP="00537689">
            <w:pPr>
              <w:numPr>
                <w:ilvl w:val="12"/>
                <w:numId w:val="0"/>
              </w:numPr>
              <w:spacing w:before="100" w:after="56"/>
              <w:jc w:val="center"/>
            </w:pPr>
            <w:r w:rsidRPr="000773A9">
              <w:t>53139</w:t>
            </w:r>
          </w:p>
        </w:tc>
        <w:tc>
          <w:tcPr>
            <w:tcW w:w="5734" w:type="dxa"/>
            <w:tcBorders>
              <w:top w:val="single" w:sz="6" w:space="0" w:color="000000"/>
              <w:left w:val="single" w:sz="6" w:space="0" w:color="000000"/>
              <w:bottom w:val="single" w:sz="6" w:space="0" w:color="000000"/>
              <w:right w:val="single" w:sz="6" w:space="0" w:color="000000"/>
            </w:tcBorders>
          </w:tcPr>
          <w:p w:rsidR="00537689" w:rsidRPr="000773A9" w:rsidRDefault="00537689" w:rsidP="00537689">
            <w:pPr>
              <w:numPr>
                <w:ilvl w:val="12"/>
                <w:numId w:val="0"/>
              </w:numPr>
              <w:spacing w:before="100" w:after="56"/>
              <w:rPr>
                <w:sz w:val="24"/>
                <w:szCs w:val="24"/>
              </w:rPr>
            </w:pPr>
            <w:r w:rsidRPr="000773A9">
              <w:t>Other Activities Related to Real Estate</w:t>
            </w:r>
          </w:p>
        </w:tc>
      </w:tr>
      <w:tr w:rsidR="00F16194" w:rsidRPr="000773A9" w:rsidTr="00537689">
        <w:trPr>
          <w:cantSplit/>
          <w:jc w:val="center"/>
        </w:trPr>
        <w:tc>
          <w:tcPr>
            <w:tcW w:w="1414" w:type="dxa"/>
            <w:tcBorders>
              <w:top w:val="single" w:sz="6" w:space="0" w:color="000000"/>
              <w:left w:val="single" w:sz="6" w:space="0" w:color="000000"/>
              <w:bottom w:val="single" w:sz="6" w:space="0" w:color="000000"/>
              <w:right w:val="nil"/>
            </w:tcBorders>
          </w:tcPr>
          <w:p w:rsidR="00F16194" w:rsidRPr="000773A9" w:rsidRDefault="00465997" w:rsidP="00537689">
            <w:pPr>
              <w:numPr>
                <w:ilvl w:val="12"/>
                <w:numId w:val="0"/>
              </w:numPr>
              <w:spacing w:before="100" w:after="56"/>
              <w:jc w:val="center"/>
            </w:pPr>
            <w:r>
              <w:t>611110</w:t>
            </w:r>
          </w:p>
        </w:tc>
        <w:tc>
          <w:tcPr>
            <w:tcW w:w="5734" w:type="dxa"/>
            <w:tcBorders>
              <w:top w:val="single" w:sz="6" w:space="0" w:color="000000"/>
              <w:left w:val="single" w:sz="6" w:space="0" w:color="000000"/>
              <w:bottom w:val="single" w:sz="6" w:space="0" w:color="000000"/>
              <w:right w:val="single" w:sz="6" w:space="0" w:color="000000"/>
            </w:tcBorders>
          </w:tcPr>
          <w:p w:rsidR="00F16194" w:rsidRPr="000773A9" w:rsidRDefault="00465997" w:rsidP="00537689">
            <w:pPr>
              <w:numPr>
                <w:ilvl w:val="12"/>
                <w:numId w:val="0"/>
              </w:numPr>
              <w:spacing w:before="100" w:after="56"/>
            </w:pPr>
            <w:r>
              <w:t>Elementary and Secondary Schools</w:t>
            </w:r>
          </w:p>
        </w:tc>
      </w:tr>
      <w:tr w:rsidR="00F16194" w:rsidRPr="000773A9" w:rsidTr="00537689">
        <w:trPr>
          <w:cantSplit/>
          <w:jc w:val="center"/>
        </w:trPr>
        <w:tc>
          <w:tcPr>
            <w:tcW w:w="1414" w:type="dxa"/>
            <w:tcBorders>
              <w:top w:val="single" w:sz="6" w:space="0" w:color="000000"/>
              <w:left w:val="single" w:sz="6" w:space="0" w:color="000000"/>
              <w:bottom w:val="single" w:sz="6" w:space="0" w:color="000000"/>
              <w:right w:val="nil"/>
            </w:tcBorders>
          </w:tcPr>
          <w:p w:rsidR="00F16194" w:rsidRPr="000773A9" w:rsidRDefault="00465997" w:rsidP="00537689">
            <w:pPr>
              <w:numPr>
                <w:ilvl w:val="12"/>
                <w:numId w:val="0"/>
              </w:numPr>
              <w:spacing w:before="100" w:after="56"/>
              <w:jc w:val="center"/>
            </w:pPr>
            <w:r>
              <w:t>624410</w:t>
            </w:r>
          </w:p>
        </w:tc>
        <w:tc>
          <w:tcPr>
            <w:tcW w:w="5734" w:type="dxa"/>
            <w:tcBorders>
              <w:top w:val="single" w:sz="6" w:space="0" w:color="000000"/>
              <w:left w:val="single" w:sz="6" w:space="0" w:color="000000"/>
              <w:bottom w:val="single" w:sz="6" w:space="0" w:color="000000"/>
              <w:right w:val="single" w:sz="6" w:space="0" w:color="000000"/>
            </w:tcBorders>
          </w:tcPr>
          <w:p w:rsidR="00F16194" w:rsidRPr="000773A9" w:rsidRDefault="00465997" w:rsidP="00537689">
            <w:pPr>
              <w:numPr>
                <w:ilvl w:val="12"/>
                <w:numId w:val="0"/>
              </w:numPr>
              <w:spacing w:before="100" w:after="56"/>
            </w:pPr>
            <w:r>
              <w:t>Child Day Care Services</w:t>
            </w:r>
          </w:p>
        </w:tc>
      </w:tr>
    </w:tbl>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left="720"/>
        <w:rPr>
          <w:sz w:val="24"/>
          <w:szCs w:val="24"/>
        </w:rPr>
      </w:pPr>
      <w:r w:rsidRPr="000773A9">
        <w:rPr>
          <w:b/>
          <w:bCs/>
          <w:sz w:val="24"/>
          <w:szCs w:val="24"/>
        </w:rPr>
        <w:t>4(b)</w:t>
      </w:r>
      <w:r w:rsidRPr="000773A9">
        <w:rPr>
          <w:b/>
          <w:bCs/>
          <w:sz w:val="24"/>
          <w:szCs w:val="24"/>
        </w:rPr>
        <w:tab/>
        <w:t>Information Requested</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In the following paragraphs, EPA describes the paperwork requirements associated with the distribution of the lead hazard information pamphlet.</w:t>
      </w:r>
    </w:p>
    <w:p w:rsidR="00537689" w:rsidRPr="000773A9" w:rsidRDefault="00537689" w:rsidP="00537689">
      <w:pPr>
        <w:numPr>
          <w:ilvl w:val="12"/>
          <w:numId w:val="0"/>
        </w:numPr>
        <w:ind w:left="720"/>
        <w:rPr>
          <w:sz w:val="24"/>
          <w:szCs w:val="24"/>
        </w:rPr>
      </w:pPr>
      <w:r w:rsidRPr="000773A9">
        <w:rPr>
          <w:b/>
          <w:bCs/>
          <w:sz w:val="24"/>
          <w:szCs w:val="24"/>
        </w:rPr>
        <w:t>Exemption from Information Distribution Requirements</w:t>
      </w:r>
    </w:p>
    <w:p w:rsidR="00537689" w:rsidRPr="000773A9" w:rsidRDefault="00537689" w:rsidP="00537689">
      <w:pPr>
        <w:numPr>
          <w:ilvl w:val="12"/>
          <w:numId w:val="0"/>
        </w:numPr>
        <w:rPr>
          <w:sz w:val="24"/>
          <w:szCs w:val="24"/>
        </w:rPr>
      </w:pPr>
    </w:p>
    <w:p w:rsidR="00466D5E" w:rsidRPr="000773A9" w:rsidRDefault="00537689" w:rsidP="00466D5E">
      <w:pPr>
        <w:numPr>
          <w:ilvl w:val="12"/>
          <w:numId w:val="0"/>
        </w:numPr>
        <w:rPr>
          <w:sz w:val="24"/>
          <w:szCs w:val="24"/>
        </w:rPr>
      </w:pPr>
      <w:r w:rsidRPr="000773A9">
        <w:rPr>
          <w:sz w:val="24"/>
          <w:szCs w:val="24"/>
        </w:rPr>
        <w:tab/>
      </w:r>
      <w:r w:rsidR="00466D5E" w:rsidRPr="000773A9">
        <w:rPr>
          <w:sz w:val="24"/>
          <w:szCs w:val="24"/>
        </w:rPr>
        <w:t xml:space="preserve">Under 40 CFR 745.82, </w:t>
      </w:r>
      <w:r w:rsidR="003D23F7">
        <w:rPr>
          <w:sz w:val="24"/>
          <w:szCs w:val="24"/>
        </w:rPr>
        <w:t>firms</w:t>
      </w:r>
      <w:r w:rsidR="00466D5E" w:rsidRPr="000773A9">
        <w:rPr>
          <w:sz w:val="24"/>
          <w:szCs w:val="24"/>
        </w:rPr>
        <w:t xml:space="preserve"> performing renovations of target housing </w:t>
      </w:r>
      <w:r w:rsidR="00466D5E">
        <w:rPr>
          <w:sz w:val="24"/>
          <w:szCs w:val="24"/>
        </w:rPr>
        <w:t xml:space="preserve">or </w:t>
      </w:r>
      <w:r w:rsidR="002D3B1A">
        <w:rPr>
          <w:sz w:val="24"/>
          <w:szCs w:val="24"/>
        </w:rPr>
        <w:t>COFs</w:t>
      </w:r>
      <w:r w:rsidR="00466D5E">
        <w:rPr>
          <w:sz w:val="24"/>
          <w:szCs w:val="24"/>
        </w:rPr>
        <w:t xml:space="preserve"> </w:t>
      </w:r>
      <w:r w:rsidR="00466D5E" w:rsidRPr="000773A9">
        <w:rPr>
          <w:sz w:val="24"/>
          <w:szCs w:val="24"/>
        </w:rPr>
        <w:t>for compensation are not subject to the regulations in 40 CFR 745</w:t>
      </w:r>
      <w:r w:rsidR="00466D5E">
        <w:rPr>
          <w:sz w:val="24"/>
          <w:szCs w:val="24"/>
        </w:rPr>
        <w:t>.84</w:t>
      </w:r>
      <w:r w:rsidR="00466D5E" w:rsidRPr="000773A9">
        <w:rPr>
          <w:sz w:val="24"/>
          <w:szCs w:val="24"/>
        </w:rPr>
        <w:t xml:space="preserve"> if the renovation activities are limited to: (</w:t>
      </w:r>
      <w:proofErr w:type="spellStart"/>
      <w:r w:rsidR="00466D5E" w:rsidRPr="000773A9">
        <w:rPr>
          <w:sz w:val="24"/>
          <w:szCs w:val="24"/>
        </w:rPr>
        <w:t>i</w:t>
      </w:r>
      <w:proofErr w:type="spellEnd"/>
      <w:r w:rsidR="00466D5E" w:rsidRPr="000773A9">
        <w:rPr>
          <w:sz w:val="24"/>
          <w:szCs w:val="24"/>
        </w:rPr>
        <w:t xml:space="preserve">) minor repair and maintenance activities (including minor electrical work and plumbing) that disrupt </w:t>
      </w:r>
      <w:r w:rsidR="00466D5E">
        <w:rPr>
          <w:sz w:val="24"/>
          <w:szCs w:val="24"/>
        </w:rPr>
        <w:t>six</w:t>
      </w:r>
      <w:r w:rsidR="00466D5E" w:rsidRPr="000773A9">
        <w:rPr>
          <w:sz w:val="24"/>
          <w:szCs w:val="24"/>
        </w:rPr>
        <w:t xml:space="preserve"> square feet or less of painted surface per </w:t>
      </w:r>
      <w:r w:rsidR="00466D5E">
        <w:rPr>
          <w:sz w:val="24"/>
          <w:szCs w:val="24"/>
        </w:rPr>
        <w:t>room for interior activities or twenty square feet or less of painted surface for exterior activities where no prohibited or restricted practices are used and where the work does not involve window replacement or demolition of painted surfaces</w:t>
      </w:r>
      <w:r w:rsidR="00466D5E" w:rsidRPr="000773A9">
        <w:rPr>
          <w:sz w:val="24"/>
          <w:szCs w:val="24"/>
        </w:rPr>
        <w:t xml:space="preserve">; (ii) emergency renovation operations; (iii) renovations in target housing </w:t>
      </w:r>
      <w:r w:rsidR="00466D5E">
        <w:rPr>
          <w:sz w:val="24"/>
          <w:szCs w:val="24"/>
        </w:rPr>
        <w:t xml:space="preserve">or </w:t>
      </w:r>
      <w:r w:rsidR="002D3B1A">
        <w:rPr>
          <w:sz w:val="24"/>
          <w:szCs w:val="24"/>
        </w:rPr>
        <w:t>COFs</w:t>
      </w:r>
      <w:r w:rsidR="00466D5E" w:rsidRPr="000773A9">
        <w:rPr>
          <w:sz w:val="24"/>
          <w:szCs w:val="24"/>
        </w:rPr>
        <w:t xml:space="preserve"> in which a written determination has been made by an inspector</w:t>
      </w:r>
      <w:r w:rsidR="00D26E9D">
        <w:rPr>
          <w:sz w:val="24"/>
          <w:szCs w:val="24"/>
        </w:rPr>
        <w:t xml:space="preserve"> (certified pursuant to either f</w:t>
      </w:r>
      <w:r w:rsidR="00466D5E" w:rsidRPr="000773A9">
        <w:rPr>
          <w:sz w:val="24"/>
          <w:szCs w:val="24"/>
        </w:rPr>
        <w:t>ederal regu</w:t>
      </w:r>
      <w:r w:rsidR="00D26E9D">
        <w:rPr>
          <w:sz w:val="24"/>
          <w:szCs w:val="24"/>
        </w:rPr>
        <w:t>lations at 40 CFR 745.226 or a s</w:t>
      </w:r>
      <w:r w:rsidR="00466D5E" w:rsidRPr="000773A9">
        <w:rPr>
          <w:sz w:val="24"/>
          <w:szCs w:val="24"/>
        </w:rPr>
        <w:t xml:space="preserve">tate or </w:t>
      </w:r>
      <w:r w:rsidR="00D26E9D">
        <w:rPr>
          <w:sz w:val="24"/>
          <w:szCs w:val="24"/>
        </w:rPr>
        <w:t>t</w:t>
      </w:r>
      <w:r w:rsidR="00466D5E" w:rsidRPr="000773A9">
        <w:rPr>
          <w:sz w:val="24"/>
          <w:szCs w:val="24"/>
        </w:rPr>
        <w:t>ribal certification program authorized pursuant to 40 CFR 745.324) that the components affected by the renovation are free of paint or other surface coatings that contain lead equal to or in excess of 1.0 milligram per square centimeter or 0.5 percent by weight, where the renovator has obtained a copy of the determination</w:t>
      </w:r>
      <w:r w:rsidR="00466D5E">
        <w:rPr>
          <w:sz w:val="24"/>
          <w:szCs w:val="24"/>
        </w:rPr>
        <w:t>; or (iv) renovations in target housing</w:t>
      </w:r>
      <w:r w:rsidR="00466D5E" w:rsidRPr="00DD5AAC">
        <w:rPr>
          <w:sz w:val="24"/>
          <w:szCs w:val="24"/>
        </w:rPr>
        <w:t xml:space="preserve"> </w:t>
      </w:r>
      <w:r w:rsidR="00466D5E">
        <w:rPr>
          <w:sz w:val="24"/>
          <w:szCs w:val="24"/>
        </w:rPr>
        <w:t xml:space="preserve">or </w:t>
      </w:r>
      <w:r w:rsidR="002D3B1A">
        <w:rPr>
          <w:sz w:val="24"/>
          <w:szCs w:val="24"/>
        </w:rPr>
        <w:t>COFs</w:t>
      </w:r>
      <w:r w:rsidR="00466D5E">
        <w:rPr>
          <w:sz w:val="24"/>
          <w:szCs w:val="24"/>
        </w:rPr>
        <w:t xml:space="preserve"> in which a certified renovator, using an EPA recognized test kit has tested each component affected by the renovation and determined that  the components are free of paint or other surface coating containing lead equal to or in excess of 1.0 mg/cm</w:t>
      </w:r>
      <w:r w:rsidR="00466D5E" w:rsidRPr="00DD5AAC">
        <w:rPr>
          <w:sz w:val="24"/>
          <w:szCs w:val="24"/>
          <w:vertAlign w:val="superscript"/>
        </w:rPr>
        <w:t>2</w:t>
      </w:r>
      <w:r w:rsidR="00466D5E">
        <w:rPr>
          <w:sz w:val="24"/>
          <w:szCs w:val="24"/>
        </w:rPr>
        <w:t xml:space="preserve"> or 0.5% by weight</w:t>
      </w:r>
      <w:r w:rsidR="00466D5E" w:rsidRPr="000773A9">
        <w:rPr>
          <w:sz w:val="24"/>
          <w:szCs w:val="24"/>
        </w:rPr>
        <w:t>.</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tabs>
          <w:tab w:val="left" w:pos="720"/>
          <w:tab w:val="left" w:pos="1440"/>
        </w:tabs>
        <w:ind w:left="1440" w:hanging="720"/>
        <w:rPr>
          <w:sz w:val="24"/>
          <w:szCs w:val="24"/>
        </w:rPr>
      </w:pPr>
      <w:r w:rsidRPr="000773A9">
        <w:rPr>
          <w:sz w:val="24"/>
          <w:szCs w:val="24"/>
        </w:rPr>
        <w:t>(</w:t>
      </w:r>
      <w:proofErr w:type="spellStart"/>
      <w:r w:rsidRPr="000773A9">
        <w:rPr>
          <w:sz w:val="24"/>
          <w:szCs w:val="24"/>
        </w:rPr>
        <w:t>i</w:t>
      </w:r>
      <w:proofErr w:type="spellEnd"/>
      <w:r w:rsidRPr="000773A9">
        <w:rPr>
          <w:sz w:val="24"/>
          <w:szCs w:val="24"/>
        </w:rPr>
        <w:t>)</w:t>
      </w:r>
      <w:r w:rsidRPr="000773A9">
        <w:rPr>
          <w:sz w:val="24"/>
          <w:szCs w:val="24"/>
        </w:rPr>
        <w:tab/>
      </w:r>
      <w:r w:rsidRPr="000773A9">
        <w:rPr>
          <w:sz w:val="24"/>
          <w:szCs w:val="24"/>
          <w:u w:val="single"/>
        </w:rPr>
        <w:t>Data Items</w:t>
      </w:r>
      <w:r w:rsidRPr="000773A9">
        <w:rPr>
          <w:sz w:val="24"/>
          <w:szCs w:val="24"/>
        </w:rPr>
        <w:t>:</w:t>
      </w:r>
    </w:p>
    <w:p w:rsidR="00537689" w:rsidRPr="000773A9" w:rsidRDefault="00537689" w:rsidP="00537689">
      <w:pPr>
        <w:numPr>
          <w:ilvl w:val="12"/>
          <w:numId w:val="0"/>
        </w:numPr>
        <w:rPr>
          <w:sz w:val="24"/>
          <w:szCs w:val="24"/>
        </w:rPr>
      </w:pPr>
    </w:p>
    <w:p w:rsidR="00537689" w:rsidRPr="000773A9" w:rsidRDefault="00537689" w:rsidP="00537689">
      <w:pPr>
        <w:numPr>
          <w:ilvl w:val="0"/>
          <w:numId w:val="30"/>
        </w:numPr>
        <w:rPr>
          <w:sz w:val="24"/>
          <w:szCs w:val="24"/>
        </w:rPr>
      </w:pPr>
      <w:r w:rsidRPr="000773A9">
        <w:rPr>
          <w:sz w:val="24"/>
          <w:szCs w:val="24"/>
        </w:rPr>
        <w:t>Written determination by an inspector</w:t>
      </w:r>
      <w:r w:rsidR="00D26E9D">
        <w:rPr>
          <w:sz w:val="24"/>
          <w:szCs w:val="24"/>
        </w:rPr>
        <w:t xml:space="preserve"> (certified pursuant to either f</w:t>
      </w:r>
      <w:r w:rsidRPr="000773A9">
        <w:rPr>
          <w:sz w:val="24"/>
          <w:szCs w:val="24"/>
        </w:rPr>
        <w:t xml:space="preserve">ederal regulations at 40 CFR 745.226 or a </w:t>
      </w:r>
      <w:r w:rsidR="00D26E9D">
        <w:rPr>
          <w:sz w:val="24"/>
          <w:szCs w:val="24"/>
        </w:rPr>
        <w:t>s</w:t>
      </w:r>
      <w:r w:rsidRPr="000773A9">
        <w:rPr>
          <w:sz w:val="24"/>
          <w:szCs w:val="24"/>
        </w:rPr>
        <w:t xml:space="preserve">tate or </w:t>
      </w:r>
      <w:r w:rsidR="00D26E9D">
        <w:rPr>
          <w:sz w:val="24"/>
          <w:szCs w:val="24"/>
        </w:rPr>
        <w:t>t</w:t>
      </w:r>
      <w:r w:rsidRPr="000773A9">
        <w:rPr>
          <w:sz w:val="24"/>
          <w:szCs w:val="24"/>
        </w:rPr>
        <w:t>ribal certification program authorized pursuant to 40 CFR 745.324) that the components affected by the renovation are free of paint or other surface coatings that contain lead equal to or in excess of 1.0 milligram per square centimeter or 0.5 percent by weight.</w:t>
      </w:r>
    </w:p>
    <w:p w:rsidR="00466D5E" w:rsidRPr="000773A9" w:rsidRDefault="00466D5E" w:rsidP="00537689">
      <w:pPr>
        <w:numPr>
          <w:ilvl w:val="12"/>
          <w:numId w:val="0"/>
        </w:numPr>
        <w:ind w:left="720"/>
        <w:rPr>
          <w:sz w:val="24"/>
          <w:szCs w:val="24"/>
        </w:rPr>
      </w:pPr>
    </w:p>
    <w:p w:rsidR="00537689" w:rsidRPr="000773A9" w:rsidRDefault="00537689" w:rsidP="00537689">
      <w:pPr>
        <w:numPr>
          <w:ilvl w:val="12"/>
          <w:numId w:val="0"/>
        </w:numPr>
        <w:tabs>
          <w:tab w:val="left" w:pos="720"/>
          <w:tab w:val="left" w:pos="1440"/>
        </w:tabs>
        <w:ind w:left="1440" w:hanging="720"/>
        <w:rPr>
          <w:sz w:val="24"/>
          <w:szCs w:val="24"/>
        </w:rPr>
      </w:pPr>
      <w:r w:rsidRPr="000773A9">
        <w:rPr>
          <w:sz w:val="24"/>
          <w:szCs w:val="24"/>
        </w:rPr>
        <w:t>(ii)</w:t>
      </w:r>
      <w:r w:rsidRPr="000773A9">
        <w:rPr>
          <w:sz w:val="24"/>
          <w:szCs w:val="24"/>
        </w:rPr>
        <w:tab/>
      </w:r>
      <w:r w:rsidRPr="000773A9">
        <w:rPr>
          <w:sz w:val="24"/>
          <w:szCs w:val="24"/>
          <w:u w:val="single"/>
        </w:rPr>
        <w:t>Respondent Activity</w:t>
      </w:r>
      <w:r w:rsidRPr="000773A9">
        <w:rPr>
          <w:sz w:val="24"/>
          <w:szCs w:val="24"/>
        </w:rPr>
        <w:t>:</w:t>
      </w:r>
    </w:p>
    <w:p w:rsidR="00537689" w:rsidRPr="000773A9" w:rsidRDefault="00537689" w:rsidP="00537689">
      <w:pPr>
        <w:numPr>
          <w:ilvl w:val="12"/>
          <w:numId w:val="0"/>
        </w:numPr>
        <w:rPr>
          <w:sz w:val="24"/>
          <w:szCs w:val="24"/>
        </w:rPr>
      </w:pPr>
    </w:p>
    <w:p w:rsidR="00537689" w:rsidRPr="000773A9" w:rsidRDefault="00E744ED" w:rsidP="00537689">
      <w:pPr>
        <w:numPr>
          <w:ilvl w:val="0"/>
          <w:numId w:val="30"/>
        </w:numPr>
        <w:rPr>
          <w:sz w:val="24"/>
          <w:szCs w:val="24"/>
        </w:rPr>
      </w:pPr>
      <w:r>
        <w:rPr>
          <w:sz w:val="24"/>
          <w:szCs w:val="24"/>
        </w:rPr>
        <w:t>The</w:t>
      </w:r>
      <w:r w:rsidRPr="000773A9">
        <w:rPr>
          <w:sz w:val="24"/>
          <w:szCs w:val="24"/>
        </w:rPr>
        <w:t xml:space="preserve"> </w:t>
      </w:r>
      <w:r w:rsidR="003D23F7">
        <w:rPr>
          <w:sz w:val="24"/>
          <w:szCs w:val="24"/>
        </w:rPr>
        <w:t>firm</w:t>
      </w:r>
      <w:r w:rsidR="003D23F7" w:rsidRPr="000773A9">
        <w:rPr>
          <w:sz w:val="24"/>
          <w:szCs w:val="24"/>
        </w:rPr>
        <w:t xml:space="preserve"> </w:t>
      </w:r>
      <w:r w:rsidR="00537689" w:rsidRPr="000773A9">
        <w:rPr>
          <w:sz w:val="24"/>
          <w:szCs w:val="24"/>
        </w:rPr>
        <w:t xml:space="preserve">performing renovations of target housing </w:t>
      </w:r>
      <w:r w:rsidR="003F0545">
        <w:rPr>
          <w:sz w:val="24"/>
          <w:szCs w:val="24"/>
        </w:rPr>
        <w:t xml:space="preserve">or </w:t>
      </w:r>
      <w:r w:rsidR="002D3B1A">
        <w:rPr>
          <w:sz w:val="24"/>
          <w:szCs w:val="24"/>
        </w:rPr>
        <w:t>COFs</w:t>
      </w:r>
      <w:r w:rsidR="003F0545">
        <w:rPr>
          <w:sz w:val="24"/>
          <w:szCs w:val="24"/>
        </w:rPr>
        <w:t xml:space="preserve"> </w:t>
      </w:r>
      <w:r w:rsidR="00537689" w:rsidRPr="000773A9">
        <w:rPr>
          <w:sz w:val="24"/>
          <w:szCs w:val="24"/>
        </w:rPr>
        <w:t>for compensation may be exempt from the regulations in 40 CFR part 745, subpart E by obtaining copy of a determination made by a certified inspector that the components affected by the renovation are free of paint or other surface coatings that contain lead equal to or in excess of 1.0 milligram per square centimeter or 0.5 percent by weight.</w:t>
      </w:r>
    </w:p>
    <w:p w:rsidR="000C44B0" w:rsidRDefault="000C44B0" w:rsidP="00537689">
      <w:pPr>
        <w:numPr>
          <w:ilvl w:val="12"/>
          <w:numId w:val="0"/>
        </w:numPr>
        <w:rPr>
          <w:b/>
          <w:bCs/>
          <w:sz w:val="24"/>
          <w:szCs w:val="24"/>
        </w:rPr>
      </w:pPr>
    </w:p>
    <w:p w:rsidR="00537689" w:rsidRPr="000773A9" w:rsidRDefault="00537689" w:rsidP="00537689">
      <w:pPr>
        <w:numPr>
          <w:ilvl w:val="12"/>
          <w:numId w:val="0"/>
        </w:numPr>
        <w:rPr>
          <w:sz w:val="24"/>
          <w:szCs w:val="24"/>
        </w:rPr>
      </w:pPr>
      <w:r w:rsidRPr="000773A9">
        <w:rPr>
          <w:b/>
          <w:bCs/>
          <w:sz w:val="24"/>
          <w:szCs w:val="24"/>
        </w:rPr>
        <w:tab/>
        <w:t>Information Distribution Requirements for Renovation in Dwelling Units</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Under 40 CFR 745.</w:t>
      </w:r>
      <w:r w:rsidR="000B312A" w:rsidRPr="000773A9">
        <w:rPr>
          <w:sz w:val="24"/>
          <w:szCs w:val="24"/>
        </w:rPr>
        <w:t>8</w:t>
      </w:r>
      <w:r w:rsidR="000B312A">
        <w:rPr>
          <w:sz w:val="24"/>
          <w:szCs w:val="24"/>
        </w:rPr>
        <w:t>4</w:t>
      </w:r>
      <w:r w:rsidRPr="000773A9">
        <w:rPr>
          <w:sz w:val="24"/>
          <w:szCs w:val="24"/>
        </w:rPr>
        <w:t xml:space="preserve">(a), no more than 60 days before beginning renovation activities in any residential dwelling unit of target housing, </w:t>
      </w:r>
      <w:r w:rsidR="00E744ED">
        <w:rPr>
          <w:sz w:val="24"/>
          <w:szCs w:val="24"/>
        </w:rPr>
        <w:t>the</w:t>
      </w:r>
      <w:r w:rsidR="00E744ED" w:rsidRPr="000773A9">
        <w:rPr>
          <w:sz w:val="24"/>
          <w:szCs w:val="24"/>
        </w:rPr>
        <w:t xml:space="preserve"> </w:t>
      </w:r>
      <w:r w:rsidR="000B312A">
        <w:rPr>
          <w:sz w:val="24"/>
          <w:szCs w:val="24"/>
        </w:rPr>
        <w:t>firm performing renovations</w:t>
      </w:r>
      <w:r w:rsidR="000B312A" w:rsidRPr="000773A9">
        <w:rPr>
          <w:sz w:val="24"/>
          <w:szCs w:val="24"/>
        </w:rPr>
        <w:t xml:space="preserve"> </w:t>
      </w:r>
      <w:r w:rsidRPr="000773A9">
        <w:rPr>
          <w:sz w:val="24"/>
          <w:szCs w:val="24"/>
        </w:rPr>
        <w:t xml:space="preserve">must provide the owner of the dwelling unit with </w:t>
      </w:r>
      <w:r w:rsidR="000B312A">
        <w:rPr>
          <w:sz w:val="24"/>
          <w:szCs w:val="24"/>
        </w:rPr>
        <w:t>the</w:t>
      </w:r>
      <w:r w:rsidRPr="000773A9">
        <w:rPr>
          <w:sz w:val="24"/>
          <w:szCs w:val="24"/>
        </w:rPr>
        <w:t xml:space="preserve"> pamphlet, and must comply with the procedures specified at section 745.</w:t>
      </w:r>
      <w:r w:rsidR="000B312A" w:rsidRPr="000773A9">
        <w:rPr>
          <w:sz w:val="24"/>
          <w:szCs w:val="24"/>
        </w:rPr>
        <w:t>8</w:t>
      </w:r>
      <w:r w:rsidR="000B312A">
        <w:rPr>
          <w:sz w:val="24"/>
          <w:szCs w:val="24"/>
        </w:rPr>
        <w:t>4</w:t>
      </w:r>
      <w:r w:rsidRPr="000773A9">
        <w:rPr>
          <w:sz w:val="24"/>
          <w:szCs w:val="24"/>
        </w:rPr>
        <w:t>(a)(1)(</w:t>
      </w:r>
      <w:proofErr w:type="spellStart"/>
      <w:r w:rsidRPr="000773A9">
        <w:rPr>
          <w:sz w:val="24"/>
          <w:szCs w:val="24"/>
        </w:rPr>
        <w:t>i</w:t>
      </w:r>
      <w:proofErr w:type="spellEnd"/>
      <w:r w:rsidRPr="000773A9">
        <w:rPr>
          <w:sz w:val="24"/>
          <w:szCs w:val="24"/>
        </w:rPr>
        <w:t xml:space="preserve">) or (ii).  In addition, if the owner does not occupy the dwelling unit, the </w:t>
      </w:r>
      <w:r w:rsidR="003D23F7">
        <w:rPr>
          <w:sz w:val="24"/>
          <w:szCs w:val="24"/>
        </w:rPr>
        <w:t>firm performing renovations</w:t>
      </w:r>
      <w:r w:rsidR="003D23F7" w:rsidRPr="000773A9">
        <w:rPr>
          <w:sz w:val="24"/>
          <w:szCs w:val="24"/>
        </w:rPr>
        <w:t xml:space="preserve"> </w:t>
      </w:r>
      <w:r w:rsidRPr="000773A9">
        <w:rPr>
          <w:sz w:val="24"/>
          <w:szCs w:val="24"/>
        </w:rPr>
        <w:t>must provide an adult occupant of the unit with the pamphlet, and comply with the procedures specified at section 745.</w:t>
      </w:r>
      <w:r w:rsidR="000B312A" w:rsidRPr="000773A9">
        <w:rPr>
          <w:sz w:val="24"/>
          <w:szCs w:val="24"/>
        </w:rPr>
        <w:t>8</w:t>
      </w:r>
      <w:r w:rsidR="000B312A">
        <w:rPr>
          <w:sz w:val="24"/>
          <w:szCs w:val="24"/>
        </w:rPr>
        <w:t>4</w:t>
      </w:r>
      <w:r w:rsidRPr="000773A9">
        <w:rPr>
          <w:sz w:val="24"/>
          <w:szCs w:val="24"/>
        </w:rPr>
        <w:t>(a)(2)(</w:t>
      </w:r>
      <w:proofErr w:type="spellStart"/>
      <w:r w:rsidRPr="000773A9">
        <w:rPr>
          <w:sz w:val="24"/>
          <w:szCs w:val="24"/>
        </w:rPr>
        <w:t>i</w:t>
      </w:r>
      <w:proofErr w:type="spellEnd"/>
      <w:r w:rsidRPr="000773A9">
        <w:rPr>
          <w:sz w:val="24"/>
          <w:szCs w:val="24"/>
        </w:rPr>
        <w:t>) or (ii).</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tabs>
          <w:tab w:val="left" w:pos="720"/>
          <w:tab w:val="left" w:pos="1440"/>
        </w:tabs>
        <w:ind w:left="1440" w:hanging="720"/>
        <w:rPr>
          <w:sz w:val="24"/>
          <w:szCs w:val="24"/>
        </w:rPr>
      </w:pPr>
      <w:r w:rsidRPr="000773A9">
        <w:rPr>
          <w:sz w:val="24"/>
          <w:szCs w:val="24"/>
        </w:rPr>
        <w:t>(</w:t>
      </w:r>
      <w:proofErr w:type="spellStart"/>
      <w:r w:rsidRPr="000773A9">
        <w:rPr>
          <w:sz w:val="24"/>
          <w:szCs w:val="24"/>
        </w:rPr>
        <w:t>i</w:t>
      </w:r>
      <w:proofErr w:type="spellEnd"/>
      <w:r w:rsidRPr="000773A9">
        <w:rPr>
          <w:sz w:val="24"/>
          <w:szCs w:val="24"/>
        </w:rPr>
        <w:t>)</w:t>
      </w:r>
      <w:r w:rsidRPr="000773A9">
        <w:rPr>
          <w:sz w:val="24"/>
          <w:szCs w:val="24"/>
        </w:rPr>
        <w:tab/>
      </w:r>
      <w:r w:rsidRPr="000773A9">
        <w:rPr>
          <w:sz w:val="24"/>
          <w:szCs w:val="24"/>
          <w:u w:val="single"/>
        </w:rPr>
        <w:t>Data Items</w:t>
      </w:r>
      <w:r w:rsidRPr="000773A9">
        <w:rPr>
          <w:sz w:val="24"/>
          <w:szCs w:val="24"/>
        </w:rPr>
        <w:t>:</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26"/>
        </w:numPr>
        <w:tabs>
          <w:tab w:val="left" w:pos="1440"/>
        </w:tabs>
      </w:pPr>
      <w:r w:rsidRPr="000773A9">
        <w:t>Lead hazard information pamphlet; and</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26"/>
        </w:numPr>
        <w:tabs>
          <w:tab w:val="left" w:pos="1440"/>
        </w:tabs>
      </w:pPr>
      <w:r w:rsidRPr="000773A9">
        <w:lastRenderedPageBreak/>
        <w:t xml:space="preserve">Documentation providing proof that the pamphlet was provided to the owner and occupant of the target housing or that an attempt was made to provide the pamphlet to the owner and occupant of the target housing (e.g., collect signed acknowledgment form, provide self-certification for failed deliveries, </w:t>
      </w:r>
      <w:r w:rsidR="00EF3753" w:rsidRPr="000773A9">
        <w:t>and document</w:t>
      </w:r>
      <w:r w:rsidRPr="000773A9">
        <w:t xml:space="preserve"> mailing the information).</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tabs>
          <w:tab w:val="left" w:pos="720"/>
          <w:tab w:val="left" w:pos="1440"/>
        </w:tabs>
        <w:ind w:left="1440" w:hanging="720"/>
        <w:rPr>
          <w:sz w:val="24"/>
          <w:szCs w:val="24"/>
        </w:rPr>
      </w:pPr>
      <w:r w:rsidRPr="000773A9">
        <w:rPr>
          <w:sz w:val="24"/>
          <w:szCs w:val="24"/>
        </w:rPr>
        <w:t>(ii)</w:t>
      </w:r>
      <w:r w:rsidRPr="000773A9">
        <w:rPr>
          <w:sz w:val="24"/>
          <w:szCs w:val="24"/>
        </w:rPr>
        <w:tab/>
      </w:r>
      <w:r w:rsidRPr="000773A9">
        <w:rPr>
          <w:sz w:val="24"/>
          <w:szCs w:val="24"/>
          <w:u w:val="single"/>
        </w:rPr>
        <w:t>Respondent Activities</w:t>
      </w:r>
      <w:r w:rsidRPr="000773A9">
        <w:rPr>
          <w:sz w:val="24"/>
          <w:szCs w:val="24"/>
        </w:rPr>
        <w:t>:</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left="720"/>
        <w:rPr>
          <w:sz w:val="24"/>
          <w:szCs w:val="24"/>
        </w:rPr>
      </w:pPr>
      <w:r w:rsidRPr="000773A9">
        <w:rPr>
          <w:sz w:val="24"/>
          <w:szCs w:val="24"/>
        </w:rPr>
        <w:t xml:space="preserve">A </w:t>
      </w:r>
      <w:r w:rsidR="000B312A">
        <w:rPr>
          <w:sz w:val="24"/>
          <w:szCs w:val="24"/>
        </w:rPr>
        <w:t>firm</w:t>
      </w:r>
      <w:r w:rsidR="000B312A" w:rsidRPr="000773A9">
        <w:rPr>
          <w:sz w:val="24"/>
          <w:szCs w:val="24"/>
        </w:rPr>
        <w:t xml:space="preserve"> </w:t>
      </w:r>
      <w:r w:rsidRPr="000773A9">
        <w:rPr>
          <w:sz w:val="24"/>
          <w:szCs w:val="24"/>
        </w:rPr>
        <w:t>planning to conduct renovations in any residential dwelling unit must:</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24"/>
        </w:numPr>
      </w:pPr>
      <w:r w:rsidRPr="000773A9">
        <w:t>Prepare acknowledgment and certification forms;</w:t>
      </w:r>
    </w:p>
    <w:p w:rsidR="00537689" w:rsidRPr="000773A9" w:rsidRDefault="00537689" w:rsidP="00537689">
      <w:pPr>
        <w:pStyle w:val="a"/>
        <w:tabs>
          <w:tab w:val="left" w:pos="720"/>
          <w:tab w:val="left" w:pos="1440"/>
        </w:tabs>
        <w:ind w:left="720"/>
      </w:pPr>
    </w:p>
    <w:p w:rsidR="00537689" w:rsidRPr="000773A9" w:rsidRDefault="00537689" w:rsidP="00537689">
      <w:pPr>
        <w:pStyle w:val="a"/>
        <w:numPr>
          <w:ilvl w:val="0"/>
          <w:numId w:val="24"/>
        </w:numPr>
        <w:tabs>
          <w:tab w:val="left" w:pos="1440"/>
        </w:tabs>
      </w:pPr>
      <w:r w:rsidRPr="000773A9">
        <w:t xml:space="preserve">Provide the owner of </w:t>
      </w:r>
      <w:r w:rsidR="00CC19AA">
        <w:t>the</w:t>
      </w:r>
      <w:r w:rsidR="00CC19AA" w:rsidRPr="000773A9">
        <w:t xml:space="preserve"> </w:t>
      </w:r>
      <w:r w:rsidRPr="000773A9">
        <w:t xml:space="preserve">unit with </w:t>
      </w:r>
      <w:r w:rsidR="00CC19AA">
        <w:t>the</w:t>
      </w:r>
      <w:r w:rsidRPr="000773A9">
        <w:t xml:space="preserve"> pamphlet and obtain proof that the pamphlet was provided to the owner of the target housing by:</w:t>
      </w:r>
    </w:p>
    <w:p w:rsidR="00537689" w:rsidRPr="000773A9" w:rsidRDefault="00537689" w:rsidP="00537689">
      <w:pPr>
        <w:numPr>
          <w:ilvl w:val="12"/>
          <w:numId w:val="0"/>
        </w:numPr>
        <w:rPr>
          <w:sz w:val="24"/>
          <w:szCs w:val="24"/>
        </w:rPr>
      </w:pPr>
    </w:p>
    <w:p w:rsidR="00537689" w:rsidRPr="000773A9" w:rsidRDefault="00537689" w:rsidP="00537689">
      <w:pPr>
        <w:numPr>
          <w:ilvl w:val="1"/>
          <w:numId w:val="24"/>
        </w:numPr>
        <w:tabs>
          <w:tab w:val="left" w:pos="720"/>
          <w:tab w:val="left" w:pos="2160"/>
        </w:tabs>
        <w:rPr>
          <w:sz w:val="24"/>
          <w:szCs w:val="24"/>
        </w:rPr>
      </w:pPr>
      <w:r w:rsidRPr="000773A9">
        <w:rPr>
          <w:sz w:val="24"/>
          <w:szCs w:val="24"/>
        </w:rPr>
        <w:t>Obtaining, from the owner, a written acknowledgment that the owner has received the pamphlet (section 745.</w:t>
      </w:r>
      <w:r w:rsidR="000B312A" w:rsidRPr="000773A9">
        <w:rPr>
          <w:sz w:val="24"/>
          <w:szCs w:val="24"/>
        </w:rPr>
        <w:t>8</w:t>
      </w:r>
      <w:r w:rsidR="000B312A">
        <w:rPr>
          <w:sz w:val="24"/>
          <w:szCs w:val="24"/>
        </w:rPr>
        <w:t>4</w:t>
      </w:r>
      <w:r w:rsidRPr="000773A9">
        <w:rPr>
          <w:sz w:val="24"/>
          <w:szCs w:val="24"/>
        </w:rPr>
        <w:t>(a)(1)(</w:t>
      </w:r>
      <w:proofErr w:type="spellStart"/>
      <w:r w:rsidRPr="000773A9">
        <w:rPr>
          <w:sz w:val="24"/>
          <w:szCs w:val="24"/>
        </w:rPr>
        <w:t>i</w:t>
      </w:r>
      <w:proofErr w:type="spellEnd"/>
      <w:r w:rsidRPr="000773A9">
        <w:rPr>
          <w:sz w:val="24"/>
          <w:szCs w:val="24"/>
        </w:rPr>
        <w:t>)); or</w:t>
      </w:r>
    </w:p>
    <w:p w:rsidR="00537689" w:rsidRPr="000773A9" w:rsidRDefault="00537689" w:rsidP="00537689">
      <w:pPr>
        <w:numPr>
          <w:ilvl w:val="12"/>
          <w:numId w:val="0"/>
        </w:numPr>
        <w:rPr>
          <w:sz w:val="24"/>
          <w:szCs w:val="24"/>
        </w:rPr>
      </w:pPr>
    </w:p>
    <w:p w:rsidR="00537689" w:rsidRPr="000773A9" w:rsidRDefault="00537689" w:rsidP="00537689">
      <w:pPr>
        <w:numPr>
          <w:ilvl w:val="1"/>
          <w:numId w:val="24"/>
        </w:numPr>
        <w:tabs>
          <w:tab w:val="left" w:pos="720"/>
          <w:tab w:val="left" w:pos="2160"/>
        </w:tabs>
        <w:rPr>
          <w:sz w:val="24"/>
          <w:szCs w:val="24"/>
        </w:rPr>
      </w:pPr>
      <w:r w:rsidRPr="000773A9">
        <w:rPr>
          <w:sz w:val="24"/>
          <w:szCs w:val="24"/>
        </w:rPr>
        <w:t>Obtaining a certificate of mailing at least seven days prior to the renovation (section 745.</w:t>
      </w:r>
      <w:r w:rsidR="00CC19AA" w:rsidRPr="000773A9">
        <w:rPr>
          <w:sz w:val="24"/>
          <w:szCs w:val="24"/>
        </w:rPr>
        <w:t>8</w:t>
      </w:r>
      <w:r w:rsidR="00CC19AA">
        <w:rPr>
          <w:sz w:val="24"/>
          <w:szCs w:val="24"/>
        </w:rPr>
        <w:t>4</w:t>
      </w:r>
      <w:r w:rsidRPr="000773A9">
        <w:rPr>
          <w:sz w:val="24"/>
          <w:szCs w:val="24"/>
        </w:rPr>
        <w:t>(a</w:t>
      </w:r>
      <w:proofErr w:type="gramStart"/>
      <w:r w:rsidRPr="000773A9">
        <w:rPr>
          <w:sz w:val="24"/>
          <w:szCs w:val="24"/>
        </w:rPr>
        <w:t>)(</w:t>
      </w:r>
      <w:proofErr w:type="gramEnd"/>
      <w:r w:rsidRPr="000773A9">
        <w:rPr>
          <w:sz w:val="24"/>
          <w:szCs w:val="24"/>
        </w:rPr>
        <w:t>1)(ii)).</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In addition, if the owner does not occupy the dwelling unit, the </w:t>
      </w:r>
      <w:r w:rsidR="003D23F7">
        <w:rPr>
          <w:sz w:val="24"/>
          <w:szCs w:val="24"/>
        </w:rPr>
        <w:t>firm performing renovations</w:t>
      </w:r>
      <w:r w:rsidR="003D23F7" w:rsidRPr="000773A9">
        <w:rPr>
          <w:sz w:val="24"/>
          <w:szCs w:val="24"/>
        </w:rPr>
        <w:t xml:space="preserve"> </w:t>
      </w:r>
      <w:r w:rsidRPr="000773A9">
        <w:rPr>
          <w:sz w:val="24"/>
          <w:szCs w:val="24"/>
        </w:rPr>
        <w:t>also must:</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23"/>
        </w:numPr>
        <w:tabs>
          <w:tab w:val="left" w:pos="1440"/>
        </w:tabs>
      </w:pPr>
      <w:r w:rsidRPr="000773A9">
        <w:t>Provide an adult occupant of the unit with the pamphlet and obtain proof that the pamphlet was provided to the occupant of the target housing by:</w:t>
      </w:r>
    </w:p>
    <w:p w:rsidR="00537689" w:rsidRPr="000773A9" w:rsidRDefault="00537689" w:rsidP="00537689">
      <w:pPr>
        <w:numPr>
          <w:ilvl w:val="12"/>
          <w:numId w:val="0"/>
        </w:numPr>
        <w:rPr>
          <w:sz w:val="24"/>
          <w:szCs w:val="24"/>
        </w:rPr>
      </w:pPr>
    </w:p>
    <w:p w:rsidR="00537689" w:rsidRPr="000773A9" w:rsidRDefault="00537689" w:rsidP="00537689">
      <w:pPr>
        <w:numPr>
          <w:ilvl w:val="1"/>
          <w:numId w:val="23"/>
        </w:numPr>
        <w:tabs>
          <w:tab w:val="left" w:pos="720"/>
          <w:tab w:val="left" w:pos="2160"/>
        </w:tabs>
        <w:rPr>
          <w:sz w:val="24"/>
          <w:szCs w:val="24"/>
        </w:rPr>
      </w:pPr>
      <w:r w:rsidRPr="000773A9">
        <w:rPr>
          <w:sz w:val="24"/>
          <w:szCs w:val="24"/>
        </w:rPr>
        <w:t>Obtaining, from the adult occupant, a written acknowledgment that the occupant has received the pamphlet (section 745.</w:t>
      </w:r>
      <w:r w:rsidR="00CC19AA" w:rsidRPr="000773A9">
        <w:rPr>
          <w:sz w:val="24"/>
          <w:szCs w:val="24"/>
        </w:rPr>
        <w:t>8</w:t>
      </w:r>
      <w:r w:rsidR="00CC19AA">
        <w:rPr>
          <w:sz w:val="24"/>
          <w:szCs w:val="24"/>
        </w:rPr>
        <w:t>4</w:t>
      </w:r>
      <w:r w:rsidRPr="000773A9">
        <w:rPr>
          <w:sz w:val="24"/>
          <w:szCs w:val="24"/>
        </w:rPr>
        <w:t>(a)(2)(</w:t>
      </w:r>
      <w:proofErr w:type="spellStart"/>
      <w:r w:rsidRPr="000773A9">
        <w:rPr>
          <w:sz w:val="24"/>
          <w:szCs w:val="24"/>
        </w:rPr>
        <w:t>i</w:t>
      </w:r>
      <w:proofErr w:type="spellEnd"/>
      <w:r w:rsidRPr="000773A9">
        <w:rPr>
          <w:sz w:val="24"/>
          <w:szCs w:val="24"/>
        </w:rPr>
        <w:t>)); or</w:t>
      </w:r>
    </w:p>
    <w:p w:rsidR="00537689" w:rsidRPr="000773A9" w:rsidRDefault="00537689" w:rsidP="00537689">
      <w:pPr>
        <w:numPr>
          <w:ilvl w:val="12"/>
          <w:numId w:val="0"/>
        </w:numPr>
        <w:rPr>
          <w:sz w:val="24"/>
          <w:szCs w:val="24"/>
        </w:rPr>
      </w:pPr>
    </w:p>
    <w:p w:rsidR="00537689" w:rsidRPr="000773A9" w:rsidRDefault="00537689" w:rsidP="00537689">
      <w:pPr>
        <w:numPr>
          <w:ilvl w:val="1"/>
          <w:numId w:val="23"/>
        </w:numPr>
        <w:tabs>
          <w:tab w:val="left" w:pos="720"/>
          <w:tab w:val="left" w:pos="2160"/>
        </w:tabs>
        <w:rPr>
          <w:sz w:val="24"/>
          <w:szCs w:val="24"/>
        </w:rPr>
      </w:pPr>
      <w:r w:rsidRPr="000773A9">
        <w:rPr>
          <w:sz w:val="24"/>
          <w:szCs w:val="24"/>
        </w:rPr>
        <w:t xml:space="preserve">Certifying in writing that a pamphlet has been delivered to the dwelling and that the </w:t>
      </w:r>
      <w:r w:rsidR="003D23F7">
        <w:rPr>
          <w:sz w:val="24"/>
          <w:szCs w:val="24"/>
        </w:rPr>
        <w:t>firm performing renovations</w:t>
      </w:r>
      <w:r w:rsidR="003D23F7" w:rsidRPr="000773A9">
        <w:rPr>
          <w:sz w:val="24"/>
          <w:szCs w:val="24"/>
        </w:rPr>
        <w:t xml:space="preserve"> </w:t>
      </w:r>
      <w:r w:rsidRPr="000773A9">
        <w:rPr>
          <w:sz w:val="24"/>
          <w:szCs w:val="24"/>
        </w:rPr>
        <w:t>has been unsuccessful in obtaining a written acknowledgment from an adult occupant (section 745.</w:t>
      </w:r>
      <w:r w:rsidR="00CC19AA" w:rsidRPr="000773A9">
        <w:rPr>
          <w:sz w:val="24"/>
          <w:szCs w:val="24"/>
        </w:rPr>
        <w:t>8</w:t>
      </w:r>
      <w:r w:rsidR="00CC19AA">
        <w:rPr>
          <w:sz w:val="24"/>
          <w:szCs w:val="24"/>
        </w:rPr>
        <w:t>4</w:t>
      </w:r>
      <w:r w:rsidRPr="000773A9">
        <w:rPr>
          <w:sz w:val="24"/>
          <w:szCs w:val="24"/>
        </w:rPr>
        <w:t>(a)(2)(</w:t>
      </w:r>
      <w:proofErr w:type="spellStart"/>
      <w:r w:rsidRPr="000773A9">
        <w:rPr>
          <w:sz w:val="24"/>
          <w:szCs w:val="24"/>
        </w:rPr>
        <w:t>i</w:t>
      </w:r>
      <w:proofErr w:type="spellEnd"/>
      <w:r w:rsidRPr="000773A9">
        <w:rPr>
          <w:sz w:val="24"/>
          <w:szCs w:val="24"/>
        </w:rPr>
        <w:t>)); or</w:t>
      </w:r>
    </w:p>
    <w:p w:rsidR="00537689" w:rsidRPr="000773A9" w:rsidRDefault="00537689" w:rsidP="00537689">
      <w:pPr>
        <w:numPr>
          <w:ilvl w:val="12"/>
          <w:numId w:val="0"/>
        </w:numPr>
        <w:rPr>
          <w:sz w:val="24"/>
          <w:szCs w:val="24"/>
        </w:rPr>
      </w:pPr>
    </w:p>
    <w:p w:rsidR="00537689" w:rsidRPr="000773A9" w:rsidRDefault="00537689" w:rsidP="00537689">
      <w:pPr>
        <w:numPr>
          <w:ilvl w:val="1"/>
          <w:numId w:val="23"/>
        </w:numPr>
        <w:tabs>
          <w:tab w:val="left" w:pos="720"/>
          <w:tab w:val="left" w:pos="2160"/>
        </w:tabs>
        <w:rPr>
          <w:sz w:val="24"/>
          <w:szCs w:val="24"/>
        </w:rPr>
      </w:pPr>
      <w:r w:rsidRPr="000773A9">
        <w:rPr>
          <w:sz w:val="24"/>
          <w:szCs w:val="24"/>
        </w:rPr>
        <w:t>Obtaining a certificate of mailing at least seven days prior to the renovation (section 745.</w:t>
      </w:r>
      <w:r w:rsidR="00CC19AA" w:rsidRPr="000773A9">
        <w:rPr>
          <w:sz w:val="24"/>
          <w:szCs w:val="24"/>
        </w:rPr>
        <w:t>8</w:t>
      </w:r>
      <w:r w:rsidR="00CC19AA">
        <w:rPr>
          <w:sz w:val="24"/>
          <w:szCs w:val="24"/>
        </w:rPr>
        <w:t>4</w:t>
      </w:r>
      <w:r w:rsidRPr="000773A9">
        <w:rPr>
          <w:sz w:val="24"/>
          <w:szCs w:val="24"/>
        </w:rPr>
        <w:t>(a</w:t>
      </w:r>
      <w:proofErr w:type="gramStart"/>
      <w:r w:rsidRPr="000773A9">
        <w:rPr>
          <w:sz w:val="24"/>
          <w:szCs w:val="24"/>
        </w:rPr>
        <w:t>)(</w:t>
      </w:r>
      <w:proofErr w:type="gramEnd"/>
      <w:r w:rsidRPr="000773A9">
        <w:rPr>
          <w:sz w:val="24"/>
          <w:szCs w:val="24"/>
        </w:rPr>
        <w:t>2)(ii)).</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r>
      <w:r w:rsidRPr="000773A9">
        <w:rPr>
          <w:b/>
          <w:bCs/>
          <w:sz w:val="24"/>
          <w:szCs w:val="24"/>
        </w:rPr>
        <w:t>Information Distribution Requirements for Renovations in Common Areas</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Under 40 CFR 745.</w:t>
      </w:r>
      <w:r w:rsidR="0023123A" w:rsidRPr="000773A9">
        <w:rPr>
          <w:sz w:val="24"/>
          <w:szCs w:val="24"/>
        </w:rPr>
        <w:t>8</w:t>
      </w:r>
      <w:r w:rsidR="0023123A">
        <w:rPr>
          <w:sz w:val="24"/>
          <w:szCs w:val="24"/>
        </w:rPr>
        <w:t>4</w:t>
      </w:r>
      <w:r w:rsidRPr="000773A9">
        <w:rPr>
          <w:sz w:val="24"/>
          <w:szCs w:val="24"/>
        </w:rPr>
        <w:t>(b), no more than 60 days before beginning renovation activities in common areas of multi-</w:t>
      </w:r>
      <w:r w:rsidR="0023123A">
        <w:rPr>
          <w:sz w:val="24"/>
          <w:szCs w:val="24"/>
        </w:rPr>
        <w:t>unit</w:t>
      </w:r>
      <w:r w:rsidR="0023123A" w:rsidRPr="000773A9">
        <w:rPr>
          <w:sz w:val="24"/>
          <w:szCs w:val="24"/>
        </w:rPr>
        <w:t xml:space="preserve"> </w:t>
      </w:r>
      <w:r w:rsidRPr="000773A9">
        <w:rPr>
          <w:sz w:val="24"/>
          <w:szCs w:val="24"/>
        </w:rPr>
        <w:t xml:space="preserve">housing, </w:t>
      </w:r>
      <w:r w:rsidR="00E744ED">
        <w:rPr>
          <w:sz w:val="24"/>
          <w:szCs w:val="24"/>
        </w:rPr>
        <w:t>the</w:t>
      </w:r>
      <w:r w:rsidR="00E744ED" w:rsidRPr="000773A9">
        <w:rPr>
          <w:sz w:val="24"/>
          <w:szCs w:val="24"/>
        </w:rPr>
        <w:t xml:space="preserve"> </w:t>
      </w:r>
      <w:r w:rsidR="003D23F7">
        <w:rPr>
          <w:sz w:val="24"/>
          <w:szCs w:val="24"/>
        </w:rPr>
        <w:t>firm performing renovations</w:t>
      </w:r>
      <w:r w:rsidR="003D23F7" w:rsidRPr="000773A9">
        <w:rPr>
          <w:sz w:val="24"/>
          <w:szCs w:val="24"/>
        </w:rPr>
        <w:t xml:space="preserve"> </w:t>
      </w:r>
      <w:r w:rsidRPr="000773A9">
        <w:rPr>
          <w:sz w:val="24"/>
          <w:szCs w:val="24"/>
        </w:rPr>
        <w:t>must provide the owner of the multi-</w:t>
      </w:r>
      <w:r w:rsidR="009E1B72">
        <w:rPr>
          <w:sz w:val="24"/>
          <w:szCs w:val="24"/>
        </w:rPr>
        <w:t>unit</w:t>
      </w:r>
      <w:r w:rsidRPr="000773A9">
        <w:rPr>
          <w:sz w:val="24"/>
          <w:szCs w:val="24"/>
        </w:rPr>
        <w:t xml:space="preserve"> housing with a lead hazard information pamphlet, and comply with the procedures specified at section 745.</w:t>
      </w:r>
      <w:r w:rsidR="0023123A" w:rsidRPr="000773A9">
        <w:rPr>
          <w:sz w:val="24"/>
          <w:szCs w:val="24"/>
        </w:rPr>
        <w:t>8</w:t>
      </w:r>
      <w:r w:rsidR="0023123A">
        <w:rPr>
          <w:sz w:val="24"/>
          <w:szCs w:val="24"/>
        </w:rPr>
        <w:t>4</w:t>
      </w:r>
      <w:r w:rsidRPr="000773A9">
        <w:rPr>
          <w:sz w:val="24"/>
          <w:szCs w:val="24"/>
        </w:rPr>
        <w:t>(b)(1)(</w:t>
      </w:r>
      <w:proofErr w:type="spellStart"/>
      <w:r w:rsidRPr="000773A9">
        <w:rPr>
          <w:sz w:val="24"/>
          <w:szCs w:val="24"/>
        </w:rPr>
        <w:t>i</w:t>
      </w:r>
      <w:proofErr w:type="spellEnd"/>
      <w:r w:rsidRPr="000773A9">
        <w:rPr>
          <w:sz w:val="24"/>
          <w:szCs w:val="24"/>
        </w:rPr>
        <w:t xml:space="preserve">) or (ii).  In addition, the </w:t>
      </w:r>
      <w:r w:rsidR="003D23F7">
        <w:rPr>
          <w:sz w:val="24"/>
          <w:szCs w:val="24"/>
        </w:rPr>
        <w:t>firm performing renovations</w:t>
      </w:r>
      <w:r w:rsidR="003D23F7" w:rsidRPr="000773A9">
        <w:rPr>
          <w:sz w:val="24"/>
          <w:szCs w:val="24"/>
        </w:rPr>
        <w:t xml:space="preserve"> </w:t>
      </w:r>
      <w:r w:rsidRPr="000773A9">
        <w:rPr>
          <w:sz w:val="24"/>
          <w:szCs w:val="24"/>
        </w:rPr>
        <w:t xml:space="preserve">must notify in writing, or ensure written notification of, each affected unit and make the pamphlet available upon request prior to </w:t>
      </w:r>
      <w:r w:rsidR="00055366">
        <w:rPr>
          <w:sz w:val="24"/>
          <w:szCs w:val="24"/>
        </w:rPr>
        <w:t xml:space="preserve">the </w:t>
      </w:r>
      <w:r w:rsidRPr="000773A9">
        <w:rPr>
          <w:sz w:val="24"/>
          <w:szCs w:val="24"/>
        </w:rPr>
        <w:t xml:space="preserve">start of the renovation.  Such notification </w:t>
      </w:r>
      <w:r w:rsidR="00055366">
        <w:rPr>
          <w:sz w:val="24"/>
          <w:szCs w:val="24"/>
        </w:rPr>
        <w:t>shall</w:t>
      </w:r>
      <w:r w:rsidR="00055366" w:rsidRPr="000773A9">
        <w:rPr>
          <w:sz w:val="24"/>
          <w:szCs w:val="24"/>
        </w:rPr>
        <w:t xml:space="preserve"> </w:t>
      </w:r>
      <w:r w:rsidRPr="000773A9">
        <w:rPr>
          <w:sz w:val="24"/>
          <w:szCs w:val="24"/>
        </w:rPr>
        <w:t>be accomplished by distributing written notice to each affected unit (section 745.</w:t>
      </w:r>
      <w:r w:rsidR="0023123A" w:rsidRPr="000773A9">
        <w:rPr>
          <w:sz w:val="24"/>
          <w:szCs w:val="24"/>
        </w:rPr>
        <w:t>8</w:t>
      </w:r>
      <w:r w:rsidR="0023123A">
        <w:rPr>
          <w:sz w:val="24"/>
          <w:szCs w:val="24"/>
        </w:rPr>
        <w:t>4</w:t>
      </w:r>
      <w:r w:rsidRPr="000773A9">
        <w:rPr>
          <w:sz w:val="24"/>
          <w:szCs w:val="24"/>
        </w:rPr>
        <w:t>(b</w:t>
      </w:r>
      <w:proofErr w:type="gramStart"/>
      <w:r w:rsidRPr="000773A9">
        <w:rPr>
          <w:sz w:val="24"/>
          <w:szCs w:val="24"/>
        </w:rPr>
        <w:t>)(</w:t>
      </w:r>
      <w:proofErr w:type="gramEnd"/>
      <w:r w:rsidRPr="000773A9">
        <w:rPr>
          <w:sz w:val="24"/>
          <w:szCs w:val="24"/>
        </w:rPr>
        <w:t>2)).  Finally,</w:t>
      </w:r>
      <w:r w:rsidR="00E744ED">
        <w:rPr>
          <w:sz w:val="24"/>
          <w:szCs w:val="24"/>
        </w:rPr>
        <w:t xml:space="preserve"> the </w:t>
      </w:r>
      <w:r w:rsidR="003D23F7">
        <w:rPr>
          <w:sz w:val="24"/>
          <w:szCs w:val="24"/>
        </w:rPr>
        <w:t>firm performing renovation</w:t>
      </w:r>
      <w:r w:rsidR="003D23F7" w:rsidRPr="000773A9">
        <w:rPr>
          <w:sz w:val="24"/>
          <w:szCs w:val="24"/>
        </w:rPr>
        <w:t xml:space="preserve">s </w:t>
      </w:r>
      <w:r w:rsidRPr="000773A9">
        <w:rPr>
          <w:sz w:val="24"/>
          <w:szCs w:val="24"/>
        </w:rPr>
        <w:t xml:space="preserve">must prepare, sign, and date a statement describing the steps </w:t>
      </w:r>
      <w:r w:rsidRPr="000773A9">
        <w:rPr>
          <w:sz w:val="24"/>
          <w:szCs w:val="24"/>
        </w:rPr>
        <w:lastRenderedPageBreak/>
        <w:t>performed to notify all occupants of the intended renovation activities and to provide the pamphlet (section 745.</w:t>
      </w:r>
      <w:r w:rsidR="00055366" w:rsidRPr="000773A9">
        <w:rPr>
          <w:sz w:val="24"/>
          <w:szCs w:val="24"/>
        </w:rPr>
        <w:t>8</w:t>
      </w:r>
      <w:r w:rsidR="00055366">
        <w:rPr>
          <w:sz w:val="24"/>
          <w:szCs w:val="24"/>
        </w:rPr>
        <w:t>4</w:t>
      </w:r>
      <w:r w:rsidRPr="000773A9">
        <w:rPr>
          <w:sz w:val="24"/>
          <w:szCs w:val="24"/>
        </w:rPr>
        <w:t>(b)(3)).</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tabs>
          <w:tab w:val="left" w:pos="720"/>
          <w:tab w:val="left" w:pos="1440"/>
        </w:tabs>
        <w:ind w:left="1440" w:hanging="720"/>
        <w:rPr>
          <w:sz w:val="24"/>
          <w:szCs w:val="24"/>
        </w:rPr>
      </w:pPr>
      <w:r w:rsidRPr="000773A9">
        <w:rPr>
          <w:sz w:val="24"/>
          <w:szCs w:val="24"/>
        </w:rPr>
        <w:t>(</w:t>
      </w:r>
      <w:proofErr w:type="spellStart"/>
      <w:r w:rsidRPr="000773A9">
        <w:rPr>
          <w:sz w:val="24"/>
          <w:szCs w:val="24"/>
        </w:rPr>
        <w:t>i</w:t>
      </w:r>
      <w:proofErr w:type="spellEnd"/>
      <w:r w:rsidRPr="000773A9">
        <w:rPr>
          <w:sz w:val="24"/>
          <w:szCs w:val="24"/>
        </w:rPr>
        <w:t>)</w:t>
      </w:r>
      <w:r w:rsidRPr="000773A9">
        <w:rPr>
          <w:sz w:val="24"/>
          <w:szCs w:val="24"/>
        </w:rPr>
        <w:tab/>
      </w:r>
      <w:r w:rsidRPr="000773A9">
        <w:rPr>
          <w:sz w:val="24"/>
          <w:szCs w:val="24"/>
          <w:u w:val="single"/>
        </w:rPr>
        <w:t>Data Items</w:t>
      </w:r>
      <w:r w:rsidRPr="000773A9">
        <w:rPr>
          <w:sz w:val="24"/>
          <w:szCs w:val="24"/>
        </w:rPr>
        <w:t>:</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22"/>
        </w:numPr>
        <w:tabs>
          <w:tab w:val="left" w:pos="1440"/>
        </w:tabs>
      </w:pPr>
      <w:r w:rsidRPr="000773A9">
        <w:t>Lead hazard information pamphlet;</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22"/>
        </w:numPr>
        <w:tabs>
          <w:tab w:val="left" w:pos="1440"/>
        </w:tabs>
      </w:pPr>
      <w:r w:rsidRPr="000773A9">
        <w:t xml:space="preserve">Notice describing the general nature and locations of the planned renovation activities; the expected starting and ending dates; and a statement of how the occupant can obtain the pamphlet, at no charge, from the </w:t>
      </w:r>
      <w:r w:rsidR="003D23F7">
        <w:t>firm</w:t>
      </w:r>
      <w:r w:rsidRPr="000773A9">
        <w:t>; and</w:t>
      </w:r>
    </w:p>
    <w:p w:rsidR="00537689" w:rsidRPr="000773A9" w:rsidRDefault="00537689" w:rsidP="00537689">
      <w:pPr>
        <w:pStyle w:val="a"/>
        <w:numPr>
          <w:ilvl w:val="0"/>
          <w:numId w:val="22"/>
        </w:numPr>
        <w:tabs>
          <w:tab w:val="left" w:pos="1440"/>
        </w:tabs>
      </w:pPr>
      <w:r w:rsidRPr="000773A9">
        <w:t>Statement describing the steps performed to notify all occupants of the intended renovation activities and to provide the pamphlet.</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tabs>
          <w:tab w:val="left" w:pos="720"/>
          <w:tab w:val="left" w:pos="1440"/>
        </w:tabs>
        <w:ind w:left="1440" w:hanging="720"/>
        <w:rPr>
          <w:sz w:val="24"/>
          <w:szCs w:val="24"/>
        </w:rPr>
      </w:pPr>
      <w:r w:rsidRPr="000773A9">
        <w:rPr>
          <w:sz w:val="24"/>
          <w:szCs w:val="24"/>
        </w:rPr>
        <w:t>(ii)</w:t>
      </w:r>
      <w:r w:rsidRPr="000773A9">
        <w:rPr>
          <w:sz w:val="24"/>
          <w:szCs w:val="24"/>
        </w:rPr>
        <w:tab/>
      </w:r>
      <w:r w:rsidRPr="000773A9">
        <w:rPr>
          <w:sz w:val="24"/>
          <w:szCs w:val="24"/>
          <w:u w:val="single"/>
        </w:rPr>
        <w:t>Respondent Activities</w:t>
      </w:r>
      <w:r w:rsidRPr="000773A9">
        <w:rPr>
          <w:sz w:val="24"/>
          <w:szCs w:val="24"/>
        </w:rPr>
        <w:t>:</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A </w:t>
      </w:r>
      <w:r w:rsidR="003D23F7">
        <w:rPr>
          <w:sz w:val="24"/>
          <w:szCs w:val="24"/>
        </w:rPr>
        <w:t>firm performing renovations</w:t>
      </w:r>
      <w:r w:rsidR="008C6D26">
        <w:rPr>
          <w:sz w:val="24"/>
          <w:szCs w:val="24"/>
        </w:rPr>
        <w:t xml:space="preserve"> </w:t>
      </w:r>
      <w:r w:rsidRPr="000773A9">
        <w:rPr>
          <w:sz w:val="24"/>
          <w:szCs w:val="24"/>
        </w:rPr>
        <w:t>planning to conduct renovations in common areas of multi-</w:t>
      </w:r>
      <w:r w:rsidR="00425131">
        <w:rPr>
          <w:sz w:val="24"/>
          <w:szCs w:val="24"/>
        </w:rPr>
        <w:t>unit</w:t>
      </w:r>
      <w:r w:rsidR="00425131" w:rsidRPr="000773A9">
        <w:rPr>
          <w:sz w:val="24"/>
          <w:szCs w:val="24"/>
        </w:rPr>
        <w:t xml:space="preserve"> </w:t>
      </w:r>
      <w:r w:rsidRPr="000773A9">
        <w:rPr>
          <w:sz w:val="24"/>
          <w:szCs w:val="24"/>
        </w:rPr>
        <w:t>housing must:</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21"/>
        </w:numPr>
      </w:pPr>
      <w:r w:rsidRPr="000773A9">
        <w:t>Prepare acknowledgment and certification forms;</w:t>
      </w:r>
    </w:p>
    <w:p w:rsidR="00537689" w:rsidRPr="000773A9" w:rsidRDefault="00537689" w:rsidP="00537689">
      <w:pPr>
        <w:pStyle w:val="a"/>
        <w:tabs>
          <w:tab w:val="left" w:pos="720"/>
          <w:tab w:val="left" w:pos="1440"/>
        </w:tabs>
        <w:ind w:left="720"/>
      </w:pPr>
    </w:p>
    <w:p w:rsidR="00537689" w:rsidRPr="000773A9" w:rsidRDefault="00537689" w:rsidP="00537689">
      <w:pPr>
        <w:pStyle w:val="a"/>
        <w:numPr>
          <w:ilvl w:val="0"/>
          <w:numId w:val="21"/>
        </w:numPr>
        <w:tabs>
          <w:tab w:val="left" w:pos="1440"/>
        </w:tabs>
      </w:pPr>
      <w:r w:rsidRPr="000773A9">
        <w:t xml:space="preserve">Provide the owner of </w:t>
      </w:r>
      <w:r w:rsidR="00424929">
        <w:t xml:space="preserve">the </w:t>
      </w:r>
      <w:r w:rsidRPr="000773A9">
        <w:t>multi-</w:t>
      </w:r>
      <w:r w:rsidR="00425131">
        <w:t>unit target</w:t>
      </w:r>
      <w:r w:rsidR="00425131" w:rsidRPr="000773A9">
        <w:t xml:space="preserve"> </w:t>
      </w:r>
      <w:r w:rsidRPr="000773A9">
        <w:t xml:space="preserve">housing with </w:t>
      </w:r>
      <w:r w:rsidR="00595434">
        <w:t>the</w:t>
      </w:r>
      <w:r w:rsidRPr="000773A9">
        <w:t xml:space="preserve"> pamphlet and obtain proof that the pamphlet was provided to the owner of the target housing by:</w:t>
      </w:r>
    </w:p>
    <w:p w:rsidR="00537689" w:rsidRPr="000773A9" w:rsidRDefault="00537689" w:rsidP="00537689">
      <w:pPr>
        <w:numPr>
          <w:ilvl w:val="12"/>
          <w:numId w:val="0"/>
        </w:numPr>
        <w:rPr>
          <w:sz w:val="24"/>
          <w:szCs w:val="24"/>
        </w:rPr>
      </w:pPr>
    </w:p>
    <w:p w:rsidR="00537689" w:rsidRPr="000773A9" w:rsidRDefault="00537689" w:rsidP="00537689">
      <w:pPr>
        <w:numPr>
          <w:ilvl w:val="1"/>
          <w:numId w:val="21"/>
        </w:numPr>
        <w:tabs>
          <w:tab w:val="left" w:pos="720"/>
          <w:tab w:val="left" w:pos="2160"/>
        </w:tabs>
        <w:rPr>
          <w:sz w:val="24"/>
          <w:szCs w:val="24"/>
        </w:rPr>
      </w:pPr>
      <w:r w:rsidRPr="000773A9">
        <w:rPr>
          <w:sz w:val="24"/>
          <w:szCs w:val="24"/>
        </w:rPr>
        <w:t>Obtaining, from the owner, a written acknowledgment that the owner has received the pamphlet (section 745.</w:t>
      </w:r>
      <w:r w:rsidR="00425131" w:rsidRPr="000773A9">
        <w:rPr>
          <w:sz w:val="24"/>
          <w:szCs w:val="24"/>
        </w:rPr>
        <w:t>8</w:t>
      </w:r>
      <w:r w:rsidR="00425131">
        <w:rPr>
          <w:sz w:val="24"/>
          <w:szCs w:val="24"/>
        </w:rPr>
        <w:t>4</w:t>
      </w:r>
      <w:r w:rsidRPr="000773A9">
        <w:rPr>
          <w:sz w:val="24"/>
          <w:szCs w:val="24"/>
        </w:rPr>
        <w:t>(b)(1)(</w:t>
      </w:r>
      <w:proofErr w:type="spellStart"/>
      <w:r w:rsidRPr="000773A9">
        <w:rPr>
          <w:sz w:val="24"/>
          <w:szCs w:val="24"/>
        </w:rPr>
        <w:t>i</w:t>
      </w:r>
      <w:proofErr w:type="spellEnd"/>
      <w:r w:rsidRPr="000773A9">
        <w:rPr>
          <w:sz w:val="24"/>
          <w:szCs w:val="24"/>
        </w:rPr>
        <w:t>)); or</w:t>
      </w:r>
    </w:p>
    <w:p w:rsidR="00537689" w:rsidRPr="000773A9" w:rsidRDefault="00537689" w:rsidP="00537689">
      <w:pPr>
        <w:numPr>
          <w:ilvl w:val="12"/>
          <w:numId w:val="0"/>
        </w:numPr>
        <w:rPr>
          <w:sz w:val="24"/>
          <w:szCs w:val="24"/>
        </w:rPr>
      </w:pPr>
    </w:p>
    <w:p w:rsidR="00537689" w:rsidRPr="000773A9" w:rsidRDefault="00537689" w:rsidP="00537689">
      <w:pPr>
        <w:numPr>
          <w:ilvl w:val="1"/>
          <w:numId w:val="21"/>
        </w:numPr>
        <w:tabs>
          <w:tab w:val="left" w:pos="720"/>
          <w:tab w:val="left" w:pos="2160"/>
        </w:tabs>
        <w:rPr>
          <w:sz w:val="24"/>
          <w:szCs w:val="24"/>
        </w:rPr>
      </w:pPr>
      <w:r w:rsidRPr="000773A9">
        <w:rPr>
          <w:sz w:val="24"/>
          <w:szCs w:val="24"/>
        </w:rPr>
        <w:t>Obtaining a certificate of mailing at least seven days prior to the renovation (section 745.</w:t>
      </w:r>
      <w:r w:rsidR="00425131" w:rsidRPr="000773A9">
        <w:rPr>
          <w:sz w:val="24"/>
          <w:szCs w:val="24"/>
        </w:rPr>
        <w:t>8</w:t>
      </w:r>
      <w:r w:rsidR="00425131">
        <w:rPr>
          <w:sz w:val="24"/>
          <w:szCs w:val="24"/>
        </w:rPr>
        <w:t>4</w:t>
      </w:r>
      <w:r w:rsidRPr="000773A9">
        <w:rPr>
          <w:sz w:val="24"/>
          <w:szCs w:val="24"/>
        </w:rPr>
        <w:t>(b)(1)(ii));</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20"/>
        </w:numPr>
        <w:tabs>
          <w:tab w:val="left" w:pos="1440"/>
        </w:tabs>
      </w:pPr>
      <w:r w:rsidRPr="000773A9">
        <w:t>Notify in writing, or ensure written notification of, each affected unit of the multi-</w:t>
      </w:r>
      <w:r w:rsidR="00425131">
        <w:t>unit</w:t>
      </w:r>
      <w:r w:rsidR="00425131" w:rsidRPr="000773A9">
        <w:t xml:space="preserve"> </w:t>
      </w:r>
      <w:r w:rsidRPr="000773A9">
        <w:t>housing and make the pamphlet available upon request no more than 60-days prior to the start of the renovation;</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20"/>
        </w:numPr>
        <w:tabs>
          <w:tab w:val="left" w:pos="1440"/>
        </w:tabs>
      </w:pPr>
      <w:r w:rsidRPr="000773A9">
        <w:t>Prepare, sign, and date a statement describing the steps performed to notify all occupants of the intended renovation activities and to provide the pamphlet (section 745.</w:t>
      </w:r>
      <w:r w:rsidR="00595434" w:rsidRPr="000773A9">
        <w:t>8</w:t>
      </w:r>
      <w:r w:rsidR="00595434">
        <w:t>4</w:t>
      </w:r>
      <w:r w:rsidRPr="000773A9">
        <w:t>(b)(3)); and</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20"/>
        </w:numPr>
        <w:tabs>
          <w:tab w:val="left" w:pos="1440"/>
        </w:tabs>
      </w:pPr>
      <w:r w:rsidRPr="000773A9">
        <w:t>If the scope, locations, or expected starting and ending dates of the planned renovation activities change after the initial notification, provide further written notification to the owners and occupants providing revised information on the ongoing or planned activities (section 745.</w:t>
      </w:r>
      <w:r w:rsidR="00595434" w:rsidRPr="000773A9">
        <w:t>8</w:t>
      </w:r>
      <w:r w:rsidR="00595434">
        <w:t>4</w:t>
      </w:r>
      <w:r w:rsidRPr="000773A9">
        <w:t>(b)(4)).</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left="720"/>
        <w:rPr>
          <w:sz w:val="24"/>
          <w:szCs w:val="24"/>
        </w:rPr>
      </w:pPr>
      <w:r w:rsidRPr="000773A9">
        <w:rPr>
          <w:b/>
          <w:bCs/>
          <w:sz w:val="24"/>
          <w:szCs w:val="24"/>
        </w:rPr>
        <w:t>Recordkeeping Requirements</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Under 40 CFR 745.86(a), </w:t>
      </w:r>
      <w:r w:rsidR="003D23F7">
        <w:rPr>
          <w:sz w:val="24"/>
          <w:szCs w:val="24"/>
        </w:rPr>
        <w:t>firms performing renovation</w:t>
      </w:r>
      <w:r w:rsidRPr="000773A9">
        <w:rPr>
          <w:sz w:val="24"/>
          <w:szCs w:val="24"/>
        </w:rPr>
        <w:t xml:space="preserve">s must retain and, if requested, make available to EPA all records necessary to demonstrate compliance with the requirements of </w:t>
      </w:r>
      <w:r w:rsidRPr="000773A9">
        <w:rPr>
          <w:sz w:val="24"/>
          <w:szCs w:val="24"/>
        </w:rPr>
        <w:lastRenderedPageBreak/>
        <w:t>40 CFR part 745, subpart E, for a period of three years following completion of the renovation activities in target housing.</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tabs>
          <w:tab w:val="left" w:pos="720"/>
          <w:tab w:val="left" w:pos="1440"/>
        </w:tabs>
        <w:ind w:left="1440" w:hanging="720"/>
        <w:rPr>
          <w:sz w:val="24"/>
          <w:szCs w:val="24"/>
        </w:rPr>
      </w:pPr>
      <w:r w:rsidRPr="000773A9">
        <w:rPr>
          <w:sz w:val="24"/>
          <w:szCs w:val="24"/>
        </w:rPr>
        <w:t>(</w:t>
      </w:r>
      <w:proofErr w:type="spellStart"/>
      <w:r w:rsidRPr="000773A9">
        <w:rPr>
          <w:sz w:val="24"/>
          <w:szCs w:val="24"/>
        </w:rPr>
        <w:t>i</w:t>
      </w:r>
      <w:proofErr w:type="spellEnd"/>
      <w:r w:rsidRPr="000773A9">
        <w:rPr>
          <w:sz w:val="24"/>
          <w:szCs w:val="24"/>
        </w:rPr>
        <w:t>)</w:t>
      </w:r>
      <w:r w:rsidRPr="000773A9">
        <w:rPr>
          <w:sz w:val="24"/>
          <w:szCs w:val="24"/>
        </w:rPr>
        <w:tab/>
      </w:r>
      <w:r w:rsidRPr="000773A9">
        <w:rPr>
          <w:sz w:val="24"/>
          <w:szCs w:val="24"/>
          <w:u w:val="single"/>
        </w:rPr>
        <w:t>Data Items</w:t>
      </w:r>
      <w:r w:rsidRPr="000773A9">
        <w:rPr>
          <w:sz w:val="24"/>
          <w:szCs w:val="24"/>
        </w:rPr>
        <w:t>:</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Records that must be retained pursuant to section 745.86 include, where applicable:</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16"/>
        </w:numPr>
        <w:tabs>
          <w:tab w:val="left" w:pos="1440"/>
        </w:tabs>
      </w:pPr>
      <w:r w:rsidRPr="000773A9">
        <w:t xml:space="preserve">Reports certifying that a determination has been made by an inspector that lead-based paint is not present </w:t>
      </w:r>
      <w:r w:rsidR="00595434">
        <w:t>on the components</w:t>
      </w:r>
      <w:r w:rsidRPr="000773A9">
        <w:t xml:space="preserve"> affected by the renovation, as described in section 745.82(</w:t>
      </w:r>
      <w:r w:rsidR="00595434">
        <w:t>a)</w:t>
      </w:r>
      <w:r w:rsidRPr="000773A9">
        <w:t>;</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16"/>
        </w:numPr>
        <w:tabs>
          <w:tab w:val="left" w:pos="1440"/>
        </w:tabs>
      </w:pPr>
      <w:r w:rsidRPr="000773A9">
        <w:t>Signed and dated acknowledgments of receipt as described in sections 745.</w:t>
      </w:r>
      <w:r w:rsidR="00ED0A40" w:rsidRPr="000773A9">
        <w:t>8</w:t>
      </w:r>
      <w:r w:rsidR="00ED0A40">
        <w:t>4</w:t>
      </w:r>
      <w:r w:rsidRPr="000773A9">
        <w:t>(a)(1)(</w:t>
      </w:r>
      <w:proofErr w:type="spellStart"/>
      <w:r w:rsidRPr="000773A9">
        <w:t>i</w:t>
      </w:r>
      <w:proofErr w:type="spellEnd"/>
      <w:r w:rsidRPr="000773A9">
        <w:t>), (a)(2)(</w:t>
      </w:r>
      <w:proofErr w:type="spellStart"/>
      <w:r w:rsidRPr="000773A9">
        <w:t>i</w:t>
      </w:r>
      <w:proofErr w:type="spellEnd"/>
      <w:r w:rsidRPr="000773A9">
        <w:t>), (b)(1)(</w:t>
      </w:r>
      <w:proofErr w:type="spellStart"/>
      <w:r w:rsidRPr="000773A9">
        <w:t>i</w:t>
      </w:r>
      <w:proofErr w:type="spellEnd"/>
      <w:r w:rsidRPr="000773A9">
        <w:t>)</w:t>
      </w:r>
      <w:r w:rsidR="00ED0A40">
        <w:t xml:space="preserve"> (c)(</w:t>
      </w:r>
      <w:proofErr w:type="spellStart"/>
      <w:r w:rsidR="00ED0A40">
        <w:t>i</w:t>
      </w:r>
      <w:proofErr w:type="spellEnd"/>
      <w:r w:rsidR="00ED0A40">
        <w:t>)(A) and (c)(1)(ii)(A).</w:t>
      </w:r>
      <w:r w:rsidRPr="000773A9">
        <w:t>;</w:t>
      </w:r>
    </w:p>
    <w:p w:rsidR="00537689" w:rsidRPr="000773A9" w:rsidRDefault="00537689" w:rsidP="00537689">
      <w:pPr>
        <w:numPr>
          <w:ilvl w:val="12"/>
          <w:numId w:val="0"/>
        </w:numPr>
        <w:rPr>
          <w:sz w:val="24"/>
          <w:szCs w:val="24"/>
        </w:rPr>
      </w:pPr>
    </w:p>
    <w:p w:rsidR="00537689" w:rsidRPr="000773A9" w:rsidRDefault="00537689" w:rsidP="00537689">
      <w:pPr>
        <w:pStyle w:val="a"/>
        <w:keepLines/>
        <w:numPr>
          <w:ilvl w:val="0"/>
          <w:numId w:val="16"/>
        </w:numPr>
        <w:tabs>
          <w:tab w:val="left" w:pos="1440"/>
        </w:tabs>
      </w:pPr>
      <w:r w:rsidRPr="000773A9">
        <w:t>Certifications of attempted delivery as described in section 745.</w:t>
      </w:r>
      <w:r w:rsidR="00A3088C" w:rsidRPr="000773A9">
        <w:t>8</w:t>
      </w:r>
      <w:r w:rsidR="00A3088C">
        <w:t>4</w:t>
      </w:r>
      <w:r w:rsidRPr="000773A9">
        <w:t>(a)(</w:t>
      </w:r>
      <w:r w:rsidR="00A3088C">
        <w:t>2</w:t>
      </w:r>
      <w:r w:rsidRPr="000773A9">
        <w:t>)(</w:t>
      </w:r>
      <w:proofErr w:type="spellStart"/>
      <w:r w:rsidRPr="000773A9">
        <w:t>i</w:t>
      </w:r>
      <w:proofErr w:type="spellEnd"/>
      <w:r w:rsidRPr="000773A9">
        <w:t xml:space="preserve">) </w:t>
      </w:r>
      <w:r w:rsidR="00A3088C">
        <w:t>and (c)(1)(ii)</w:t>
      </w:r>
      <w:r w:rsidR="00DC352A">
        <w:t>(A)</w:t>
      </w:r>
      <w:r w:rsidRPr="000773A9">
        <w:t>;</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16"/>
        </w:numPr>
        <w:tabs>
          <w:tab w:val="left" w:pos="1440"/>
        </w:tabs>
      </w:pPr>
      <w:r w:rsidRPr="000773A9">
        <w:t>Certificates of mailing as described in sections 745.</w:t>
      </w:r>
      <w:r w:rsidR="00DC352A" w:rsidRPr="000773A9">
        <w:t>8</w:t>
      </w:r>
      <w:r w:rsidR="00DC352A">
        <w:t>4</w:t>
      </w:r>
      <w:r w:rsidRPr="000773A9">
        <w:t>(a)(1)(ii), (a)(2)(ii), (b)(1)(ii)</w:t>
      </w:r>
      <w:r w:rsidR="00DC352A">
        <w:t>, (c)(1)(</w:t>
      </w:r>
      <w:proofErr w:type="spellStart"/>
      <w:r w:rsidR="00DC352A">
        <w:t>i</w:t>
      </w:r>
      <w:proofErr w:type="spellEnd"/>
      <w:r w:rsidR="00DC352A">
        <w:t>)(B, and (c)(1)(ii)(B); and</w:t>
      </w:r>
      <w:r w:rsidRPr="000773A9">
        <w:t>; and</w:t>
      </w:r>
    </w:p>
    <w:p w:rsidR="00537689" w:rsidRPr="000773A9" w:rsidRDefault="00537689" w:rsidP="00537689">
      <w:pPr>
        <w:numPr>
          <w:ilvl w:val="12"/>
          <w:numId w:val="0"/>
        </w:numPr>
        <w:rPr>
          <w:sz w:val="24"/>
          <w:szCs w:val="24"/>
        </w:rPr>
      </w:pPr>
    </w:p>
    <w:p w:rsidR="00537689" w:rsidRPr="000773A9" w:rsidRDefault="00537689" w:rsidP="00537689">
      <w:pPr>
        <w:pStyle w:val="a"/>
        <w:numPr>
          <w:ilvl w:val="0"/>
          <w:numId w:val="16"/>
        </w:numPr>
        <w:tabs>
          <w:tab w:val="left" w:pos="1440"/>
        </w:tabs>
      </w:pPr>
      <w:r w:rsidRPr="000773A9">
        <w:t>Records of notification activities performed regarding common area renovations, as described in sections 745.</w:t>
      </w:r>
      <w:r w:rsidR="00DC352A" w:rsidRPr="000773A9">
        <w:t>8</w:t>
      </w:r>
      <w:r w:rsidR="00DC352A">
        <w:t>4</w:t>
      </w:r>
      <w:r w:rsidRPr="000773A9">
        <w:t>(b</w:t>
      </w:r>
      <w:proofErr w:type="gramStart"/>
      <w:r w:rsidRPr="000773A9">
        <w:t>)(</w:t>
      </w:r>
      <w:proofErr w:type="gramEnd"/>
      <w:r w:rsidRPr="000773A9">
        <w:t xml:space="preserve">3) and </w:t>
      </w:r>
      <w:r w:rsidR="00DC352A">
        <w:t>(b)</w:t>
      </w:r>
      <w:r w:rsidRPr="000773A9">
        <w:t>(4) .</w:t>
      </w:r>
    </w:p>
    <w:p w:rsidR="00537689" w:rsidRPr="000773A9" w:rsidRDefault="00537689" w:rsidP="00537689">
      <w:pPr>
        <w:numPr>
          <w:ilvl w:val="12"/>
          <w:numId w:val="0"/>
        </w:numPr>
        <w:rPr>
          <w:sz w:val="24"/>
          <w:szCs w:val="24"/>
        </w:rPr>
      </w:pPr>
    </w:p>
    <w:p w:rsidR="00537689" w:rsidRPr="000773A9" w:rsidRDefault="00537689" w:rsidP="00537689">
      <w:pPr>
        <w:keepNext/>
        <w:keepLines/>
        <w:numPr>
          <w:ilvl w:val="12"/>
          <w:numId w:val="0"/>
        </w:numPr>
        <w:tabs>
          <w:tab w:val="left" w:pos="720"/>
          <w:tab w:val="left" w:pos="1440"/>
        </w:tabs>
        <w:ind w:left="1440" w:hanging="720"/>
        <w:rPr>
          <w:sz w:val="24"/>
          <w:szCs w:val="24"/>
        </w:rPr>
      </w:pPr>
      <w:r w:rsidRPr="000773A9">
        <w:rPr>
          <w:sz w:val="24"/>
          <w:szCs w:val="24"/>
        </w:rPr>
        <w:t>(ii)</w:t>
      </w:r>
      <w:r w:rsidRPr="000773A9">
        <w:rPr>
          <w:sz w:val="24"/>
          <w:szCs w:val="24"/>
        </w:rPr>
        <w:tab/>
      </w:r>
      <w:r w:rsidRPr="000773A9">
        <w:rPr>
          <w:sz w:val="24"/>
          <w:szCs w:val="24"/>
          <w:u w:val="single"/>
        </w:rPr>
        <w:t>Respondent Activities</w:t>
      </w:r>
      <w:r w:rsidRPr="000773A9">
        <w:rPr>
          <w:sz w:val="24"/>
          <w:szCs w:val="24"/>
        </w:rPr>
        <w:t>:</w:t>
      </w:r>
    </w:p>
    <w:p w:rsidR="00537689" w:rsidRPr="000773A9" w:rsidRDefault="00537689" w:rsidP="00537689">
      <w:pPr>
        <w:keepNext/>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r>
      <w:r w:rsidR="003D23F7">
        <w:rPr>
          <w:sz w:val="24"/>
          <w:szCs w:val="24"/>
        </w:rPr>
        <w:t>Firms performing renovation</w:t>
      </w:r>
      <w:r w:rsidRPr="000773A9">
        <w:rPr>
          <w:sz w:val="24"/>
          <w:szCs w:val="24"/>
        </w:rPr>
        <w:t>s must maintain records to demonstrate compliance with the requirements of 40 CFR part 745, subpart E, for a period of three years following completion of the renovation.</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tabs>
          <w:tab w:val="left" w:pos="720"/>
        </w:tabs>
        <w:ind w:left="720" w:hanging="720"/>
        <w:rPr>
          <w:sz w:val="24"/>
          <w:szCs w:val="24"/>
        </w:rPr>
      </w:pPr>
      <w:r w:rsidRPr="000773A9">
        <w:rPr>
          <w:b/>
          <w:bCs/>
          <w:sz w:val="24"/>
          <w:szCs w:val="24"/>
        </w:rPr>
        <w:t>5.</w:t>
      </w:r>
      <w:r w:rsidRPr="000773A9">
        <w:rPr>
          <w:b/>
          <w:bCs/>
          <w:sz w:val="24"/>
          <w:szCs w:val="24"/>
        </w:rPr>
        <w:tab/>
        <w:t>THE INFORMATION COLLECTED -- AGENCY ACTIVITIES, COLLECTION METHODOLOGY, AND INFORMATION MANAGEMENT</w:t>
      </w:r>
    </w:p>
    <w:p w:rsidR="00537689" w:rsidRPr="000773A9" w:rsidRDefault="00537689" w:rsidP="00537689">
      <w:pPr>
        <w:numPr>
          <w:ilvl w:val="12"/>
          <w:numId w:val="0"/>
        </w:numPr>
        <w:rPr>
          <w:sz w:val="24"/>
          <w:szCs w:val="24"/>
        </w:rPr>
      </w:pPr>
    </w:p>
    <w:p w:rsidR="00537689" w:rsidRDefault="00537689" w:rsidP="00537689">
      <w:pPr>
        <w:numPr>
          <w:ilvl w:val="12"/>
          <w:numId w:val="0"/>
        </w:numPr>
        <w:ind w:left="720"/>
        <w:rPr>
          <w:b/>
          <w:bCs/>
          <w:sz w:val="24"/>
          <w:szCs w:val="24"/>
        </w:rPr>
      </w:pPr>
      <w:r w:rsidRPr="000773A9">
        <w:rPr>
          <w:b/>
          <w:bCs/>
          <w:sz w:val="24"/>
          <w:szCs w:val="24"/>
        </w:rPr>
        <w:t>5(a)</w:t>
      </w:r>
      <w:r w:rsidRPr="000773A9">
        <w:rPr>
          <w:b/>
          <w:bCs/>
          <w:sz w:val="24"/>
          <w:szCs w:val="24"/>
        </w:rPr>
        <w:tab/>
        <w:t>Agency Activities</w:t>
      </w:r>
    </w:p>
    <w:p w:rsidR="00CD069D" w:rsidRPr="000773A9" w:rsidRDefault="00CD069D" w:rsidP="00537689">
      <w:pPr>
        <w:numPr>
          <w:ilvl w:val="12"/>
          <w:numId w:val="0"/>
        </w:numPr>
        <w:ind w:left="720"/>
        <w:rPr>
          <w:sz w:val="24"/>
          <w:szCs w:val="24"/>
        </w:rPr>
      </w:pPr>
    </w:p>
    <w:p w:rsidR="00537689" w:rsidRPr="000773A9" w:rsidRDefault="00537689" w:rsidP="00537689">
      <w:pPr>
        <w:numPr>
          <w:ilvl w:val="12"/>
          <w:numId w:val="0"/>
        </w:numPr>
        <w:rPr>
          <w:sz w:val="24"/>
          <w:szCs w:val="24"/>
        </w:rPr>
      </w:pPr>
      <w:r w:rsidRPr="000773A9">
        <w:rPr>
          <w:sz w:val="24"/>
          <w:szCs w:val="24"/>
        </w:rPr>
        <w:tab/>
        <w:t xml:space="preserve">There are no Agency activities associated with the distribution of lead hazard information pamphlets to owners and occupants of target housing </w:t>
      </w:r>
      <w:r w:rsidR="009A6BEC">
        <w:rPr>
          <w:sz w:val="24"/>
          <w:szCs w:val="24"/>
        </w:rPr>
        <w:t xml:space="preserve">and </w:t>
      </w:r>
      <w:r w:rsidR="002D3B1A">
        <w:rPr>
          <w:sz w:val="24"/>
          <w:szCs w:val="24"/>
        </w:rPr>
        <w:t>COFs</w:t>
      </w:r>
      <w:r w:rsidR="009A6BEC">
        <w:rPr>
          <w:sz w:val="24"/>
          <w:szCs w:val="24"/>
        </w:rPr>
        <w:t xml:space="preserve"> </w:t>
      </w:r>
      <w:r w:rsidRPr="000773A9">
        <w:rPr>
          <w:sz w:val="24"/>
          <w:szCs w:val="24"/>
        </w:rPr>
        <w:t>prior to commencing renovations for compensation.</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r>
      <w:r w:rsidRPr="000773A9">
        <w:rPr>
          <w:b/>
          <w:bCs/>
          <w:sz w:val="24"/>
          <w:szCs w:val="24"/>
        </w:rPr>
        <w:t>5(b)</w:t>
      </w:r>
      <w:r w:rsidRPr="000773A9">
        <w:rPr>
          <w:b/>
          <w:bCs/>
          <w:sz w:val="24"/>
          <w:szCs w:val="24"/>
        </w:rPr>
        <w:tab/>
        <w:t>Collection Methodology and Management</w:t>
      </w:r>
      <w:r w:rsidRPr="000773A9">
        <w:rPr>
          <w:sz w:val="24"/>
          <w:szCs w:val="24"/>
        </w:rPr>
        <w:tab/>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There are no Agency activities associated with the distribution of the lead hazard information pamphlet to owners and occupants of target housing </w:t>
      </w:r>
      <w:r w:rsidR="009A6BEC">
        <w:rPr>
          <w:sz w:val="24"/>
          <w:szCs w:val="24"/>
        </w:rPr>
        <w:t xml:space="preserve">and </w:t>
      </w:r>
      <w:r w:rsidR="002D3B1A">
        <w:rPr>
          <w:sz w:val="24"/>
          <w:szCs w:val="24"/>
        </w:rPr>
        <w:t>COFs</w:t>
      </w:r>
      <w:r w:rsidR="009A6BEC">
        <w:rPr>
          <w:sz w:val="24"/>
          <w:szCs w:val="24"/>
        </w:rPr>
        <w:t xml:space="preserve"> </w:t>
      </w:r>
      <w:r w:rsidRPr="000773A9">
        <w:rPr>
          <w:sz w:val="24"/>
          <w:szCs w:val="24"/>
        </w:rPr>
        <w:t>prior to commencing renovations for compensation.  However, under the provisions of 40 CFR 745.87, EPA may conduct inspections and issue subpoenas pursuant to the provisions of TSCA section 11 (15 U.S.C. 2610) to ensure compliance with 40 CFR part 745, subpart E.</w:t>
      </w:r>
    </w:p>
    <w:p w:rsidR="00537689" w:rsidRPr="000773A9" w:rsidRDefault="00537689" w:rsidP="00537689">
      <w:pPr>
        <w:numPr>
          <w:ilvl w:val="12"/>
          <w:numId w:val="0"/>
        </w:numPr>
        <w:rPr>
          <w:sz w:val="24"/>
          <w:szCs w:val="24"/>
        </w:rPr>
      </w:pPr>
    </w:p>
    <w:p w:rsidR="00537689" w:rsidRPr="000773A9" w:rsidRDefault="00FF5D17" w:rsidP="00537689">
      <w:pPr>
        <w:numPr>
          <w:ilvl w:val="12"/>
          <w:numId w:val="0"/>
        </w:numPr>
        <w:rPr>
          <w:sz w:val="24"/>
          <w:szCs w:val="24"/>
        </w:rPr>
      </w:pPr>
      <w:r>
        <w:rPr>
          <w:b/>
          <w:bCs/>
          <w:sz w:val="24"/>
          <w:szCs w:val="24"/>
        </w:rPr>
        <w:lastRenderedPageBreak/>
        <w:tab/>
        <w:t>5(c)</w:t>
      </w:r>
      <w:r>
        <w:rPr>
          <w:b/>
          <w:bCs/>
          <w:sz w:val="24"/>
          <w:szCs w:val="24"/>
        </w:rPr>
        <w:tab/>
      </w:r>
      <w:r w:rsidR="00537689" w:rsidRPr="000773A9">
        <w:rPr>
          <w:b/>
          <w:bCs/>
          <w:sz w:val="24"/>
          <w:szCs w:val="24"/>
        </w:rPr>
        <w:t>Small Entity Flexibility</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In promulgating the regulations at 40 CFR part 745, subpart E, EPA attempted to minimize the reporting and recordkeeping burden for both large and small regulated entities.  While small businesses constitute the majority of affected entities, hour and cost burden imposed by the regulations is not considered to be of sufficient magnitude to have significant economic impacts on such establishments.</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r>
      <w:r w:rsidRPr="000773A9">
        <w:rPr>
          <w:b/>
          <w:bCs/>
          <w:sz w:val="24"/>
          <w:szCs w:val="24"/>
        </w:rPr>
        <w:t>5(d)</w:t>
      </w:r>
      <w:r w:rsidRPr="000773A9">
        <w:rPr>
          <w:b/>
          <w:bCs/>
          <w:sz w:val="24"/>
          <w:szCs w:val="24"/>
        </w:rPr>
        <w:tab/>
        <w:t>Collection Schedule</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r>
      <w:r w:rsidR="00EF0DAA">
        <w:rPr>
          <w:sz w:val="24"/>
          <w:szCs w:val="24"/>
        </w:rPr>
        <w:t xml:space="preserve">The </w:t>
      </w:r>
      <w:r w:rsidR="00EF0DAA">
        <w:rPr>
          <w:bCs/>
          <w:sz w:val="24"/>
          <w:szCs w:val="24"/>
        </w:rPr>
        <w:t>i</w:t>
      </w:r>
      <w:r w:rsidR="00EF0DAA" w:rsidRPr="00BA5122">
        <w:rPr>
          <w:bCs/>
          <w:sz w:val="24"/>
          <w:szCs w:val="24"/>
        </w:rPr>
        <w:t xml:space="preserve">nformation </w:t>
      </w:r>
      <w:r w:rsidR="00EF0DAA">
        <w:rPr>
          <w:bCs/>
          <w:sz w:val="24"/>
          <w:szCs w:val="24"/>
        </w:rPr>
        <w:t>d</w:t>
      </w:r>
      <w:r w:rsidR="00EF0DAA" w:rsidRPr="00BA5122">
        <w:rPr>
          <w:bCs/>
          <w:sz w:val="24"/>
          <w:szCs w:val="24"/>
        </w:rPr>
        <w:t xml:space="preserve">istribution </w:t>
      </w:r>
      <w:r w:rsidR="00EF0DAA">
        <w:rPr>
          <w:bCs/>
          <w:sz w:val="24"/>
          <w:szCs w:val="24"/>
        </w:rPr>
        <w:t>r</w:t>
      </w:r>
      <w:r w:rsidR="00EF0DAA" w:rsidRPr="00BA5122">
        <w:rPr>
          <w:bCs/>
          <w:sz w:val="24"/>
          <w:szCs w:val="24"/>
        </w:rPr>
        <w:t>equirements</w:t>
      </w:r>
      <w:r w:rsidRPr="000773A9">
        <w:rPr>
          <w:sz w:val="24"/>
          <w:szCs w:val="24"/>
        </w:rPr>
        <w:t xml:space="preserve"> at 40 CFR part 745, subpart E, do not include any reporting requirements, only recordkeeping requirements.  Therefore, a collection schedule is not applicable.</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p>
    <w:p w:rsidR="00537689" w:rsidRPr="000773A9" w:rsidRDefault="00537689" w:rsidP="00537689">
      <w:pPr>
        <w:keepNext/>
        <w:numPr>
          <w:ilvl w:val="12"/>
          <w:numId w:val="0"/>
        </w:numPr>
        <w:rPr>
          <w:b/>
          <w:bCs/>
          <w:sz w:val="24"/>
          <w:szCs w:val="24"/>
        </w:rPr>
      </w:pPr>
      <w:r w:rsidRPr="000773A9">
        <w:rPr>
          <w:b/>
          <w:bCs/>
          <w:sz w:val="24"/>
          <w:szCs w:val="24"/>
        </w:rPr>
        <w:t>6.</w:t>
      </w:r>
      <w:r w:rsidRPr="000773A9">
        <w:rPr>
          <w:b/>
          <w:bCs/>
          <w:sz w:val="24"/>
          <w:szCs w:val="24"/>
        </w:rPr>
        <w:tab/>
        <w:t>ESTIMATING BURDEN AND COST OF THE COLLECTION</w:t>
      </w:r>
    </w:p>
    <w:p w:rsidR="00537689" w:rsidRPr="000773A9" w:rsidRDefault="00537689" w:rsidP="00537689">
      <w:pPr>
        <w:keepNext/>
        <w:numPr>
          <w:ilvl w:val="12"/>
          <w:numId w:val="0"/>
        </w:numPr>
        <w:rPr>
          <w:sz w:val="24"/>
          <w:szCs w:val="24"/>
        </w:rPr>
      </w:pPr>
    </w:p>
    <w:p w:rsidR="00537689" w:rsidRPr="000773A9" w:rsidRDefault="00537689" w:rsidP="00537689">
      <w:pPr>
        <w:keepNext/>
        <w:numPr>
          <w:ilvl w:val="12"/>
          <w:numId w:val="0"/>
        </w:numPr>
        <w:rPr>
          <w:sz w:val="24"/>
          <w:szCs w:val="24"/>
        </w:rPr>
      </w:pPr>
      <w:r w:rsidRPr="000773A9">
        <w:rPr>
          <w:sz w:val="24"/>
          <w:szCs w:val="24"/>
        </w:rPr>
        <w:tab/>
        <w:t xml:space="preserve">This section estimates the incremental burden of reporting and recordkeeping for the requirements under TSCA section 406(b).  </w:t>
      </w:r>
      <w:r w:rsidR="00475A81" w:rsidRPr="000773A9">
        <w:rPr>
          <w:sz w:val="24"/>
          <w:szCs w:val="24"/>
        </w:rPr>
        <w:t>Estimates for the time (i.e., burden hours) incurred by respondents in complying with the reporting and recordkeeping requirements were based on conversations with renovation contractors, building trades groups, and rental property owners and managers, as reflected in t</w:t>
      </w:r>
      <w:r w:rsidR="00475A81" w:rsidRPr="000773A9">
        <w:rPr>
          <w:iCs/>
          <w:color w:val="000000"/>
          <w:sz w:val="24"/>
          <w:szCs w:val="24"/>
        </w:rPr>
        <w:t>he supporting statement for the 2008 renewal of this ICR (EPA ICR No. 1669.05)</w:t>
      </w:r>
      <w:r w:rsidR="00475A81" w:rsidRPr="000773A9">
        <w:rPr>
          <w:sz w:val="24"/>
          <w:szCs w:val="24"/>
        </w:rPr>
        <w:t xml:space="preserve">.  </w:t>
      </w:r>
      <w:r w:rsidRPr="000773A9">
        <w:rPr>
          <w:sz w:val="24"/>
          <w:szCs w:val="24"/>
        </w:rPr>
        <w:t xml:space="preserve">The estimates of the number of entities subject to the rule’s requirements </w:t>
      </w:r>
      <w:r w:rsidR="00037815">
        <w:rPr>
          <w:sz w:val="24"/>
          <w:szCs w:val="24"/>
        </w:rPr>
        <w:t xml:space="preserve">are based on information in </w:t>
      </w:r>
      <w:r w:rsidRPr="000773A9">
        <w:rPr>
          <w:sz w:val="24"/>
          <w:szCs w:val="24"/>
        </w:rPr>
        <w:t xml:space="preserve">the ICR supporting statement </w:t>
      </w:r>
      <w:r w:rsidRPr="000773A9">
        <w:rPr>
          <w:i/>
          <w:sz w:val="24"/>
          <w:szCs w:val="24"/>
        </w:rPr>
        <w:t>Final Rule Addendum to an Existing EPA ICR Entitled: TSCA Sections 402/404 Training and Certification, Accreditation, and Standards for Lead-Based Paint Activities</w:t>
      </w:r>
      <w:r w:rsidRPr="000773A9">
        <w:rPr>
          <w:sz w:val="24"/>
          <w:szCs w:val="24"/>
        </w:rPr>
        <w:t xml:space="preserve"> (EPA ICR No. 1715.10, OMB 2070-0155), the </w:t>
      </w:r>
      <w:r w:rsidRPr="000773A9">
        <w:rPr>
          <w:i/>
          <w:iCs/>
          <w:sz w:val="24"/>
          <w:szCs w:val="24"/>
        </w:rPr>
        <w:t xml:space="preserve">Economic Analysis for the TSCA Lead Renovation, Repair and Painting </w:t>
      </w:r>
      <w:r w:rsidR="00B222F0">
        <w:rPr>
          <w:i/>
          <w:iCs/>
          <w:sz w:val="24"/>
          <w:szCs w:val="24"/>
        </w:rPr>
        <w:t xml:space="preserve">(RRP) </w:t>
      </w:r>
      <w:r w:rsidRPr="000773A9">
        <w:rPr>
          <w:i/>
          <w:iCs/>
          <w:sz w:val="24"/>
          <w:szCs w:val="24"/>
        </w:rPr>
        <w:t>Program, Final Rule for Target Housing and Child-Occupied Facilities</w:t>
      </w:r>
      <w:r w:rsidRPr="000773A9">
        <w:rPr>
          <w:sz w:val="24"/>
          <w:szCs w:val="24"/>
        </w:rPr>
        <w:t xml:space="preserve"> </w:t>
      </w:r>
      <w:r w:rsidR="00F84561" w:rsidRPr="000773A9">
        <w:rPr>
          <w:sz w:val="24"/>
          <w:szCs w:val="24"/>
        </w:rPr>
        <w:t xml:space="preserve">(EPA 2008), </w:t>
      </w:r>
      <w:r w:rsidRPr="000773A9">
        <w:rPr>
          <w:sz w:val="24"/>
          <w:szCs w:val="24"/>
        </w:rPr>
        <w:t xml:space="preserve">also referred to as the Economic Analysis for the </w:t>
      </w:r>
      <w:r w:rsidR="00F84561" w:rsidRPr="000773A9">
        <w:rPr>
          <w:sz w:val="24"/>
          <w:szCs w:val="24"/>
        </w:rPr>
        <w:t>RRP rule</w:t>
      </w:r>
      <w:r w:rsidRPr="000773A9">
        <w:rPr>
          <w:sz w:val="24"/>
          <w:szCs w:val="24"/>
        </w:rPr>
        <w:t xml:space="preserve">, and the </w:t>
      </w:r>
      <w:r w:rsidRPr="000773A9">
        <w:rPr>
          <w:i/>
          <w:iCs/>
          <w:sz w:val="24"/>
          <w:szCs w:val="24"/>
        </w:rPr>
        <w:t xml:space="preserve">Economic Analysis for the TSCA Lead Renovation, Repair and Painting Program Opt-Out and Recordkeeping </w:t>
      </w:r>
      <w:r w:rsidR="00F84561" w:rsidRPr="000773A9">
        <w:rPr>
          <w:i/>
          <w:iCs/>
          <w:sz w:val="24"/>
          <w:szCs w:val="24"/>
        </w:rPr>
        <w:t xml:space="preserve">Final </w:t>
      </w:r>
      <w:r w:rsidRPr="000773A9">
        <w:rPr>
          <w:i/>
          <w:iCs/>
          <w:sz w:val="24"/>
          <w:szCs w:val="24"/>
        </w:rPr>
        <w:t>Rule for Target Housing and Child-Occupied Facilities</w:t>
      </w:r>
      <w:r w:rsidRPr="000773A9">
        <w:rPr>
          <w:sz w:val="24"/>
          <w:szCs w:val="24"/>
        </w:rPr>
        <w:t xml:space="preserve"> </w:t>
      </w:r>
      <w:r w:rsidR="00F84561" w:rsidRPr="000773A9">
        <w:rPr>
          <w:sz w:val="24"/>
          <w:szCs w:val="24"/>
        </w:rPr>
        <w:t>(EPA 2010)</w:t>
      </w:r>
      <w:r w:rsidR="00475A81">
        <w:rPr>
          <w:sz w:val="24"/>
          <w:szCs w:val="24"/>
        </w:rPr>
        <w:t>, also referred to as the Economic Analysis for the Opt-out rule</w:t>
      </w:r>
      <w:r w:rsidR="00F84561" w:rsidRPr="000773A9">
        <w:rPr>
          <w:sz w:val="24"/>
          <w:szCs w:val="24"/>
        </w:rPr>
        <w:t xml:space="preserve">.  </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tabs>
          <w:tab w:val="left" w:pos="720"/>
          <w:tab w:val="left" w:pos="1440"/>
        </w:tabs>
        <w:ind w:left="1440" w:hanging="1440"/>
        <w:rPr>
          <w:sz w:val="24"/>
          <w:szCs w:val="24"/>
        </w:rPr>
      </w:pPr>
      <w:r w:rsidRPr="000773A9">
        <w:rPr>
          <w:b/>
          <w:bCs/>
          <w:sz w:val="24"/>
          <w:szCs w:val="24"/>
        </w:rPr>
        <w:tab/>
        <w:t>6(a)</w:t>
      </w:r>
      <w:r w:rsidRPr="000773A9">
        <w:rPr>
          <w:b/>
          <w:bCs/>
          <w:sz w:val="24"/>
          <w:szCs w:val="24"/>
        </w:rPr>
        <w:tab/>
        <w:t>Estimating Respondent Burden</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This ICR presents the estimated annual burden and associated annual costs for the following information collection components of the</w:t>
      </w:r>
      <w:r w:rsidR="0061048C" w:rsidRPr="000773A9">
        <w:rPr>
          <w:sz w:val="24"/>
          <w:szCs w:val="24"/>
        </w:rPr>
        <w:t xml:space="preserve"> pre-renovation information dissemination program</w:t>
      </w:r>
      <w:r w:rsidRPr="000773A9">
        <w:rPr>
          <w:sz w:val="24"/>
          <w:szCs w:val="24"/>
        </w:rPr>
        <w:t>:</w:t>
      </w:r>
    </w:p>
    <w:p w:rsidR="00537689" w:rsidRPr="000773A9" w:rsidRDefault="00537689" w:rsidP="00537689">
      <w:pPr>
        <w:numPr>
          <w:ilvl w:val="12"/>
          <w:numId w:val="0"/>
        </w:numPr>
        <w:rPr>
          <w:sz w:val="24"/>
          <w:szCs w:val="24"/>
        </w:rPr>
      </w:pPr>
    </w:p>
    <w:p w:rsidR="00537689" w:rsidRPr="000773A9" w:rsidRDefault="00537689" w:rsidP="00537689">
      <w:pPr>
        <w:numPr>
          <w:ilvl w:val="0"/>
          <w:numId w:val="19"/>
        </w:numPr>
        <w:rPr>
          <w:sz w:val="24"/>
          <w:szCs w:val="24"/>
        </w:rPr>
      </w:pPr>
      <w:r w:rsidRPr="000773A9">
        <w:rPr>
          <w:sz w:val="24"/>
          <w:szCs w:val="24"/>
        </w:rPr>
        <w:t>Prepar</w:t>
      </w:r>
      <w:r w:rsidR="006C338B" w:rsidRPr="000773A9">
        <w:rPr>
          <w:sz w:val="24"/>
          <w:szCs w:val="24"/>
        </w:rPr>
        <w:t xml:space="preserve">e Information </w:t>
      </w:r>
      <w:r w:rsidR="00037815">
        <w:rPr>
          <w:sz w:val="24"/>
          <w:szCs w:val="24"/>
        </w:rPr>
        <w:t>–</w:t>
      </w:r>
      <w:r w:rsidR="006C338B" w:rsidRPr="000773A9">
        <w:rPr>
          <w:sz w:val="24"/>
          <w:szCs w:val="24"/>
        </w:rPr>
        <w:t xml:space="preserve"> </w:t>
      </w:r>
      <w:r w:rsidR="003D23F7">
        <w:rPr>
          <w:sz w:val="24"/>
          <w:szCs w:val="24"/>
        </w:rPr>
        <w:t>Firms performing renovation</w:t>
      </w:r>
      <w:r w:rsidR="006C338B" w:rsidRPr="000773A9">
        <w:rPr>
          <w:sz w:val="24"/>
          <w:szCs w:val="24"/>
        </w:rPr>
        <w:t>s</w:t>
      </w:r>
      <w:r w:rsidR="00037815">
        <w:rPr>
          <w:sz w:val="24"/>
          <w:szCs w:val="24"/>
        </w:rPr>
        <w:t>, including</w:t>
      </w:r>
      <w:r w:rsidR="006C338B" w:rsidRPr="000773A9">
        <w:rPr>
          <w:sz w:val="24"/>
          <w:szCs w:val="24"/>
        </w:rPr>
        <w:t xml:space="preserve"> property m</w:t>
      </w:r>
      <w:r w:rsidRPr="000773A9">
        <w:rPr>
          <w:sz w:val="24"/>
          <w:szCs w:val="24"/>
        </w:rPr>
        <w:t xml:space="preserve">anagers of </w:t>
      </w:r>
      <w:r w:rsidR="006C338B" w:rsidRPr="000773A9">
        <w:rPr>
          <w:sz w:val="24"/>
          <w:szCs w:val="24"/>
        </w:rPr>
        <w:t>r</w:t>
      </w:r>
      <w:r w:rsidRPr="000773A9">
        <w:rPr>
          <w:sz w:val="24"/>
          <w:szCs w:val="24"/>
        </w:rPr>
        <w:t xml:space="preserve">ental </w:t>
      </w:r>
      <w:r w:rsidR="006C338B" w:rsidRPr="000773A9">
        <w:rPr>
          <w:sz w:val="24"/>
          <w:szCs w:val="24"/>
        </w:rPr>
        <w:t>h</w:t>
      </w:r>
      <w:r w:rsidRPr="000773A9">
        <w:rPr>
          <w:sz w:val="24"/>
          <w:szCs w:val="24"/>
        </w:rPr>
        <w:t xml:space="preserve">ousing </w:t>
      </w:r>
      <w:r w:rsidR="006C338B" w:rsidRPr="000773A9">
        <w:rPr>
          <w:sz w:val="24"/>
          <w:szCs w:val="24"/>
        </w:rPr>
        <w:t xml:space="preserve">or COFs </w:t>
      </w:r>
      <w:r w:rsidRPr="000773A9">
        <w:rPr>
          <w:sz w:val="24"/>
          <w:szCs w:val="24"/>
        </w:rPr>
        <w:t>doing their own renovation</w:t>
      </w:r>
      <w:r w:rsidR="00037815">
        <w:rPr>
          <w:sz w:val="24"/>
          <w:szCs w:val="24"/>
        </w:rPr>
        <w:t>s,</w:t>
      </w:r>
      <w:r w:rsidRPr="000773A9">
        <w:rPr>
          <w:sz w:val="24"/>
          <w:szCs w:val="24"/>
        </w:rPr>
        <w:t xml:space="preserve"> must obtain the required pamphlet, prepare the required acknowledgment/certification form, and prepare the required notification </w:t>
      </w:r>
      <w:r w:rsidR="006C338B" w:rsidRPr="000773A9">
        <w:rPr>
          <w:sz w:val="24"/>
          <w:szCs w:val="24"/>
        </w:rPr>
        <w:t>of renovation activities</w:t>
      </w:r>
      <w:r w:rsidRPr="000773A9">
        <w:rPr>
          <w:sz w:val="24"/>
          <w:szCs w:val="24"/>
        </w:rPr>
        <w:t xml:space="preserve"> in the common areas of multi-unit target housing</w:t>
      </w:r>
      <w:r w:rsidR="006C338B" w:rsidRPr="000773A9">
        <w:rPr>
          <w:sz w:val="24"/>
          <w:szCs w:val="24"/>
        </w:rPr>
        <w:t xml:space="preserve"> or in </w:t>
      </w:r>
      <w:r w:rsidR="00A9661B">
        <w:rPr>
          <w:sz w:val="24"/>
          <w:szCs w:val="24"/>
        </w:rPr>
        <w:t>COFs</w:t>
      </w:r>
      <w:r w:rsidRPr="000773A9">
        <w:rPr>
          <w:sz w:val="24"/>
          <w:szCs w:val="24"/>
        </w:rPr>
        <w:t xml:space="preserve">. </w:t>
      </w:r>
      <w:r w:rsidR="003D23F7">
        <w:rPr>
          <w:sz w:val="24"/>
          <w:szCs w:val="24"/>
        </w:rPr>
        <w:t>Firms performing renovation</w:t>
      </w:r>
      <w:r w:rsidR="006C338B" w:rsidRPr="000773A9">
        <w:rPr>
          <w:sz w:val="24"/>
          <w:szCs w:val="24"/>
        </w:rPr>
        <w:t>s</w:t>
      </w:r>
      <w:r w:rsidR="003D23F7">
        <w:rPr>
          <w:sz w:val="24"/>
          <w:szCs w:val="24"/>
        </w:rPr>
        <w:t>,</w:t>
      </w:r>
      <w:r w:rsidR="006C338B" w:rsidRPr="000773A9">
        <w:rPr>
          <w:sz w:val="24"/>
          <w:szCs w:val="24"/>
        </w:rPr>
        <w:t xml:space="preserve"> </w:t>
      </w:r>
      <w:r w:rsidR="003D23F7">
        <w:rPr>
          <w:sz w:val="24"/>
          <w:szCs w:val="24"/>
        </w:rPr>
        <w:t>including</w:t>
      </w:r>
      <w:r w:rsidR="003D23F7" w:rsidRPr="000773A9">
        <w:rPr>
          <w:sz w:val="24"/>
          <w:szCs w:val="24"/>
        </w:rPr>
        <w:t xml:space="preserve"> </w:t>
      </w:r>
      <w:r w:rsidR="006C338B" w:rsidRPr="000773A9">
        <w:rPr>
          <w:sz w:val="24"/>
          <w:szCs w:val="24"/>
        </w:rPr>
        <w:t>o</w:t>
      </w:r>
      <w:r w:rsidRPr="000773A9">
        <w:rPr>
          <w:sz w:val="24"/>
          <w:szCs w:val="24"/>
        </w:rPr>
        <w:t>wner/</w:t>
      </w:r>
      <w:r w:rsidR="006C338B" w:rsidRPr="000773A9">
        <w:rPr>
          <w:sz w:val="24"/>
          <w:szCs w:val="24"/>
        </w:rPr>
        <w:t>m</w:t>
      </w:r>
      <w:r w:rsidRPr="000773A9">
        <w:rPr>
          <w:sz w:val="24"/>
          <w:szCs w:val="24"/>
        </w:rPr>
        <w:t>anagers</w:t>
      </w:r>
      <w:r w:rsidR="003D23F7">
        <w:rPr>
          <w:sz w:val="24"/>
          <w:szCs w:val="24"/>
        </w:rPr>
        <w:t>,</w:t>
      </w:r>
      <w:r w:rsidRPr="000773A9">
        <w:rPr>
          <w:sz w:val="24"/>
          <w:szCs w:val="24"/>
        </w:rPr>
        <w:t xml:space="preserve"> are also required to prepare, sign, and date a statement describing the steps performed to notify occupants of the intended renovation activities.</w:t>
      </w:r>
    </w:p>
    <w:p w:rsidR="00537689" w:rsidRPr="000773A9" w:rsidRDefault="00537689" w:rsidP="00537689">
      <w:pPr>
        <w:tabs>
          <w:tab w:val="left" w:pos="720"/>
        </w:tabs>
        <w:rPr>
          <w:sz w:val="24"/>
          <w:szCs w:val="24"/>
        </w:rPr>
      </w:pPr>
    </w:p>
    <w:p w:rsidR="00537689" w:rsidRPr="000773A9" w:rsidRDefault="00537689" w:rsidP="00537689">
      <w:pPr>
        <w:numPr>
          <w:ilvl w:val="0"/>
          <w:numId w:val="19"/>
        </w:numPr>
        <w:rPr>
          <w:sz w:val="24"/>
          <w:szCs w:val="24"/>
        </w:rPr>
      </w:pPr>
      <w:r w:rsidRPr="000773A9">
        <w:rPr>
          <w:sz w:val="24"/>
          <w:szCs w:val="24"/>
        </w:rPr>
        <w:lastRenderedPageBreak/>
        <w:t>Provid</w:t>
      </w:r>
      <w:r w:rsidR="006C338B" w:rsidRPr="000773A9">
        <w:rPr>
          <w:sz w:val="24"/>
          <w:szCs w:val="24"/>
        </w:rPr>
        <w:t xml:space="preserve">e Information </w:t>
      </w:r>
      <w:r w:rsidR="00037815">
        <w:rPr>
          <w:sz w:val="24"/>
          <w:szCs w:val="24"/>
        </w:rPr>
        <w:t>–</w:t>
      </w:r>
      <w:r w:rsidR="006C338B" w:rsidRPr="000773A9">
        <w:rPr>
          <w:sz w:val="24"/>
          <w:szCs w:val="24"/>
        </w:rPr>
        <w:t xml:space="preserve"> </w:t>
      </w:r>
      <w:r w:rsidR="003D23F7">
        <w:rPr>
          <w:sz w:val="24"/>
          <w:szCs w:val="24"/>
        </w:rPr>
        <w:t>Firms performing renovation</w:t>
      </w:r>
      <w:r w:rsidR="006C338B" w:rsidRPr="000773A9">
        <w:rPr>
          <w:sz w:val="24"/>
          <w:szCs w:val="24"/>
        </w:rPr>
        <w:t>s</w:t>
      </w:r>
      <w:r w:rsidR="00037815">
        <w:rPr>
          <w:sz w:val="24"/>
          <w:szCs w:val="24"/>
        </w:rPr>
        <w:t xml:space="preserve">, including </w:t>
      </w:r>
      <w:r w:rsidR="006C338B" w:rsidRPr="000773A9">
        <w:rPr>
          <w:sz w:val="24"/>
          <w:szCs w:val="24"/>
        </w:rPr>
        <w:t>o</w:t>
      </w:r>
      <w:r w:rsidRPr="000773A9">
        <w:rPr>
          <w:sz w:val="24"/>
          <w:szCs w:val="24"/>
        </w:rPr>
        <w:t>wner/</w:t>
      </w:r>
      <w:r w:rsidR="006C338B" w:rsidRPr="000773A9">
        <w:rPr>
          <w:sz w:val="24"/>
          <w:szCs w:val="24"/>
        </w:rPr>
        <w:t>m</w:t>
      </w:r>
      <w:r w:rsidRPr="000773A9">
        <w:rPr>
          <w:sz w:val="24"/>
          <w:szCs w:val="24"/>
        </w:rPr>
        <w:t xml:space="preserve">anagers of </w:t>
      </w:r>
      <w:r w:rsidR="006C338B" w:rsidRPr="000773A9">
        <w:rPr>
          <w:sz w:val="24"/>
          <w:szCs w:val="24"/>
        </w:rPr>
        <w:t>r</w:t>
      </w:r>
      <w:r w:rsidRPr="000773A9">
        <w:rPr>
          <w:sz w:val="24"/>
          <w:szCs w:val="24"/>
        </w:rPr>
        <w:t xml:space="preserve">ental </w:t>
      </w:r>
      <w:r w:rsidR="006C338B" w:rsidRPr="000773A9">
        <w:rPr>
          <w:sz w:val="24"/>
          <w:szCs w:val="24"/>
        </w:rPr>
        <w:t>h</w:t>
      </w:r>
      <w:r w:rsidRPr="000773A9">
        <w:rPr>
          <w:sz w:val="24"/>
          <w:szCs w:val="24"/>
        </w:rPr>
        <w:t>ousing</w:t>
      </w:r>
      <w:r w:rsidR="006C338B" w:rsidRPr="000773A9">
        <w:rPr>
          <w:sz w:val="24"/>
          <w:szCs w:val="24"/>
        </w:rPr>
        <w:t xml:space="preserve"> or </w:t>
      </w:r>
      <w:r w:rsidR="00A9661B">
        <w:rPr>
          <w:sz w:val="24"/>
          <w:szCs w:val="24"/>
        </w:rPr>
        <w:t>COFs</w:t>
      </w:r>
      <w:r w:rsidRPr="000773A9">
        <w:rPr>
          <w:sz w:val="24"/>
          <w:szCs w:val="24"/>
        </w:rPr>
        <w:t xml:space="preserve"> doing their own renovation</w:t>
      </w:r>
      <w:r w:rsidR="00037815">
        <w:rPr>
          <w:sz w:val="24"/>
          <w:szCs w:val="24"/>
        </w:rPr>
        <w:t>s,</w:t>
      </w:r>
      <w:r w:rsidRPr="000773A9">
        <w:rPr>
          <w:sz w:val="24"/>
          <w:szCs w:val="24"/>
        </w:rPr>
        <w:t xml:space="preserve"> must provide the owner/occupant with a copy of the pamphlet and document receipt </w:t>
      </w:r>
      <w:r w:rsidR="00475A81">
        <w:rPr>
          <w:sz w:val="24"/>
          <w:szCs w:val="24"/>
        </w:rPr>
        <w:t xml:space="preserve">of the pamphlet </w:t>
      </w:r>
      <w:r w:rsidRPr="000773A9">
        <w:rPr>
          <w:sz w:val="24"/>
          <w:szCs w:val="24"/>
        </w:rPr>
        <w:t xml:space="preserve">by having the owner/occupant sign the acknowledgment.  In the case of the notification, </w:t>
      </w:r>
      <w:r w:rsidR="003D23F7">
        <w:rPr>
          <w:sz w:val="24"/>
          <w:szCs w:val="24"/>
        </w:rPr>
        <w:t>firms performing renovation</w:t>
      </w:r>
      <w:r w:rsidRPr="000773A9">
        <w:rPr>
          <w:sz w:val="24"/>
          <w:szCs w:val="24"/>
        </w:rPr>
        <w:t>s</w:t>
      </w:r>
      <w:r w:rsidR="003D23F7">
        <w:rPr>
          <w:sz w:val="24"/>
          <w:szCs w:val="24"/>
        </w:rPr>
        <w:t>, including</w:t>
      </w:r>
      <w:r w:rsidRPr="000773A9">
        <w:rPr>
          <w:sz w:val="24"/>
          <w:szCs w:val="24"/>
        </w:rPr>
        <w:t xml:space="preserve"> </w:t>
      </w:r>
      <w:r w:rsidR="006C338B" w:rsidRPr="000773A9">
        <w:rPr>
          <w:sz w:val="24"/>
          <w:szCs w:val="24"/>
        </w:rPr>
        <w:t>o</w:t>
      </w:r>
      <w:r w:rsidRPr="000773A9">
        <w:rPr>
          <w:sz w:val="24"/>
          <w:szCs w:val="24"/>
        </w:rPr>
        <w:t>wner/</w:t>
      </w:r>
      <w:r w:rsidR="006C338B" w:rsidRPr="000773A9">
        <w:rPr>
          <w:sz w:val="24"/>
          <w:szCs w:val="24"/>
        </w:rPr>
        <w:t>m</w:t>
      </w:r>
      <w:r w:rsidRPr="000773A9">
        <w:rPr>
          <w:sz w:val="24"/>
          <w:szCs w:val="24"/>
        </w:rPr>
        <w:t>anagers</w:t>
      </w:r>
      <w:r w:rsidR="003D23F7">
        <w:rPr>
          <w:sz w:val="24"/>
          <w:szCs w:val="24"/>
        </w:rPr>
        <w:t>,</w:t>
      </w:r>
      <w:r w:rsidRPr="000773A9">
        <w:rPr>
          <w:sz w:val="24"/>
          <w:szCs w:val="24"/>
        </w:rPr>
        <w:t xml:space="preserve"> must provide notification </w:t>
      </w:r>
      <w:r w:rsidR="00BD0253" w:rsidRPr="000773A9">
        <w:rPr>
          <w:sz w:val="24"/>
          <w:szCs w:val="24"/>
        </w:rPr>
        <w:t>for</w:t>
      </w:r>
      <w:r w:rsidRPr="000773A9">
        <w:rPr>
          <w:sz w:val="24"/>
          <w:szCs w:val="24"/>
        </w:rPr>
        <w:t xml:space="preserve"> renovation activities in common areas of multi-unit target housing</w:t>
      </w:r>
      <w:r w:rsidR="006C338B" w:rsidRPr="000773A9">
        <w:rPr>
          <w:sz w:val="24"/>
          <w:szCs w:val="24"/>
        </w:rPr>
        <w:t xml:space="preserve"> </w:t>
      </w:r>
      <w:r w:rsidR="00BD0253" w:rsidRPr="000773A9">
        <w:rPr>
          <w:sz w:val="24"/>
          <w:szCs w:val="24"/>
        </w:rPr>
        <w:t xml:space="preserve">or in </w:t>
      </w:r>
      <w:r w:rsidR="00A9661B">
        <w:rPr>
          <w:sz w:val="24"/>
          <w:szCs w:val="24"/>
        </w:rPr>
        <w:t>COFs</w:t>
      </w:r>
      <w:r w:rsidRPr="000773A9">
        <w:rPr>
          <w:sz w:val="24"/>
          <w:szCs w:val="24"/>
        </w:rPr>
        <w:t>.</w:t>
      </w:r>
    </w:p>
    <w:p w:rsidR="00537689" w:rsidRPr="000773A9" w:rsidRDefault="00537689" w:rsidP="00537689">
      <w:pPr>
        <w:tabs>
          <w:tab w:val="left" w:pos="720"/>
        </w:tabs>
        <w:rPr>
          <w:sz w:val="24"/>
          <w:szCs w:val="24"/>
        </w:rPr>
      </w:pPr>
    </w:p>
    <w:p w:rsidR="00537689" w:rsidRPr="000773A9" w:rsidRDefault="00537689" w:rsidP="00537689">
      <w:pPr>
        <w:numPr>
          <w:ilvl w:val="0"/>
          <w:numId w:val="19"/>
        </w:numPr>
        <w:rPr>
          <w:sz w:val="24"/>
          <w:szCs w:val="24"/>
        </w:rPr>
      </w:pPr>
      <w:r w:rsidRPr="000773A9">
        <w:rPr>
          <w:sz w:val="24"/>
          <w:szCs w:val="24"/>
        </w:rPr>
        <w:t>Mai</w:t>
      </w:r>
      <w:r w:rsidR="00BD0253" w:rsidRPr="000773A9">
        <w:rPr>
          <w:sz w:val="24"/>
          <w:szCs w:val="24"/>
        </w:rPr>
        <w:t xml:space="preserve">ntain Records </w:t>
      </w:r>
      <w:r w:rsidR="00037815">
        <w:rPr>
          <w:sz w:val="24"/>
          <w:szCs w:val="24"/>
        </w:rPr>
        <w:t>–</w:t>
      </w:r>
      <w:r w:rsidR="00BD0253" w:rsidRPr="000773A9">
        <w:rPr>
          <w:sz w:val="24"/>
          <w:szCs w:val="24"/>
        </w:rPr>
        <w:t xml:space="preserve"> </w:t>
      </w:r>
      <w:r w:rsidR="003D23F7">
        <w:rPr>
          <w:sz w:val="24"/>
          <w:szCs w:val="24"/>
        </w:rPr>
        <w:t>Firms performing renovation</w:t>
      </w:r>
      <w:r w:rsidR="00BD0253" w:rsidRPr="000773A9">
        <w:rPr>
          <w:sz w:val="24"/>
          <w:szCs w:val="24"/>
        </w:rPr>
        <w:t>s</w:t>
      </w:r>
      <w:r w:rsidR="00037815">
        <w:rPr>
          <w:sz w:val="24"/>
          <w:szCs w:val="24"/>
        </w:rPr>
        <w:t xml:space="preserve">, including </w:t>
      </w:r>
      <w:r w:rsidR="00BD0253" w:rsidRPr="000773A9">
        <w:rPr>
          <w:sz w:val="24"/>
          <w:szCs w:val="24"/>
        </w:rPr>
        <w:t>o</w:t>
      </w:r>
      <w:r w:rsidRPr="000773A9">
        <w:rPr>
          <w:sz w:val="24"/>
          <w:szCs w:val="24"/>
        </w:rPr>
        <w:t>wner/</w:t>
      </w:r>
      <w:r w:rsidR="00BD0253" w:rsidRPr="000773A9">
        <w:rPr>
          <w:sz w:val="24"/>
          <w:szCs w:val="24"/>
        </w:rPr>
        <w:t>m</w:t>
      </w:r>
      <w:r w:rsidRPr="000773A9">
        <w:rPr>
          <w:sz w:val="24"/>
          <w:szCs w:val="24"/>
        </w:rPr>
        <w:t xml:space="preserve">anagers of </w:t>
      </w:r>
      <w:r w:rsidR="00BD0253" w:rsidRPr="000773A9">
        <w:rPr>
          <w:sz w:val="24"/>
          <w:szCs w:val="24"/>
        </w:rPr>
        <w:t>r</w:t>
      </w:r>
      <w:r w:rsidRPr="000773A9">
        <w:rPr>
          <w:sz w:val="24"/>
          <w:szCs w:val="24"/>
        </w:rPr>
        <w:t xml:space="preserve">ental </w:t>
      </w:r>
      <w:r w:rsidR="00BD0253" w:rsidRPr="000773A9">
        <w:rPr>
          <w:sz w:val="24"/>
          <w:szCs w:val="24"/>
        </w:rPr>
        <w:t>h</w:t>
      </w:r>
      <w:r w:rsidRPr="000773A9">
        <w:rPr>
          <w:sz w:val="24"/>
          <w:szCs w:val="24"/>
        </w:rPr>
        <w:t>ousing doing their own renovation</w:t>
      </w:r>
      <w:r w:rsidR="00037815">
        <w:rPr>
          <w:sz w:val="24"/>
          <w:szCs w:val="24"/>
        </w:rPr>
        <w:t>s,</w:t>
      </w:r>
      <w:r w:rsidRPr="000773A9">
        <w:rPr>
          <w:sz w:val="24"/>
          <w:szCs w:val="24"/>
        </w:rPr>
        <w:t xml:space="preserve"> must retain the documentation of distribution, e.g., certification by owner/occupant.</w:t>
      </w:r>
    </w:p>
    <w:p w:rsidR="00537689" w:rsidRDefault="00537689" w:rsidP="00BD0253">
      <w:pPr>
        <w:numPr>
          <w:ilvl w:val="12"/>
          <w:numId w:val="0"/>
        </w:numPr>
        <w:rPr>
          <w:sz w:val="24"/>
          <w:szCs w:val="24"/>
        </w:rPr>
      </w:pPr>
    </w:p>
    <w:p w:rsidR="00475A81" w:rsidRDefault="00475A81" w:rsidP="00475A81">
      <w:pPr>
        <w:numPr>
          <w:ilvl w:val="12"/>
          <w:numId w:val="0"/>
        </w:numPr>
        <w:ind w:firstLine="720"/>
        <w:rPr>
          <w:sz w:val="24"/>
          <w:szCs w:val="24"/>
        </w:rPr>
      </w:pPr>
      <w:r w:rsidRPr="000773A9">
        <w:rPr>
          <w:sz w:val="24"/>
          <w:szCs w:val="24"/>
        </w:rPr>
        <w:t>The pre-renovation education requirements do not apply to events where a test kit indicates that lead-based paint is not present</w:t>
      </w:r>
      <w:r>
        <w:rPr>
          <w:sz w:val="24"/>
          <w:szCs w:val="24"/>
        </w:rPr>
        <w:t>.  T</w:t>
      </w:r>
      <w:r w:rsidRPr="000773A9">
        <w:rPr>
          <w:sz w:val="24"/>
          <w:szCs w:val="24"/>
        </w:rPr>
        <w:t xml:space="preserve">herefore, it is assumed </w:t>
      </w:r>
      <w:r>
        <w:rPr>
          <w:sz w:val="24"/>
          <w:szCs w:val="24"/>
        </w:rPr>
        <w:t xml:space="preserve">that </w:t>
      </w:r>
      <w:r w:rsidR="00037815">
        <w:rPr>
          <w:sz w:val="24"/>
          <w:szCs w:val="24"/>
        </w:rPr>
        <w:t xml:space="preserve">pre-renovation education </w:t>
      </w:r>
      <w:r w:rsidRPr="000773A9">
        <w:rPr>
          <w:sz w:val="24"/>
          <w:szCs w:val="24"/>
        </w:rPr>
        <w:t xml:space="preserve">costs are only incurred for events where lead-safe work practices (LSWP) are used.  The number of LSWP events performed was calculated using the approach described in detail in </w:t>
      </w:r>
      <w:r w:rsidR="00037815">
        <w:rPr>
          <w:sz w:val="24"/>
          <w:szCs w:val="24"/>
        </w:rPr>
        <w:t xml:space="preserve">the cost chapters </w:t>
      </w:r>
      <w:r>
        <w:rPr>
          <w:sz w:val="24"/>
          <w:szCs w:val="24"/>
        </w:rPr>
        <w:t xml:space="preserve">of the </w:t>
      </w:r>
      <w:r w:rsidR="00037815">
        <w:rPr>
          <w:sz w:val="24"/>
          <w:szCs w:val="24"/>
        </w:rPr>
        <w:t>e</w:t>
      </w:r>
      <w:r>
        <w:rPr>
          <w:sz w:val="24"/>
          <w:szCs w:val="24"/>
        </w:rPr>
        <w:t xml:space="preserve">conomic </w:t>
      </w:r>
      <w:r w:rsidR="00037815">
        <w:rPr>
          <w:sz w:val="24"/>
          <w:szCs w:val="24"/>
        </w:rPr>
        <w:t>a</w:t>
      </w:r>
      <w:r>
        <w:rPr>
          <w:sz w:val="24"/>
          <w:szCs w:val="24"/>
        </w:rPr>
        <w:t>nalyse</w:t>
      </w:r>
      <w:r w:rsidRPr="000773A9">
        <w:rPr>
          <w:sz w:val="24"/>
          <w:szCs w:val="24"/>
        </w:rPr>
        <w:t xml:space="preserve">s for the RRP rule </w:t>
      </w:r>
      <w:r w:rsidR="006C5D40">
        <w:rPr>
          <w:sz w:val="24"/>
          <w:szCs w:val="24"/>
        </w:rPr>
        <w:t xml:space="preserve">(EPA 2008) </w:t>
      </w:r>
      <w:r w:rsidRPr="000773A9">
        <w:rPr>
          <w:sz w:val="24"/>
          <w:szCs w:val="24"/>
        </w:rPr>
        <w:t>and the Opt-</w:t>
      </w:r>
      <w:r>
        <w:rPr>
          <w:sz w:val="24"/>
          <w:szCs w:val="24"/>
        </w:rPr>
        <w:t>o</w:t>
      </w:r>
      <w:r w:rsidRPr="000773A9">
        <w:rPr>
          <w:sz w:val="24"/>
          <w:szCs w:val="24"/>
        </w:rPr>
        <w:t xml:space="preserve">ut </w:t>
      </w:r>
      <w:r>
        <w:rPr>
          <w:sz w:val="24"/>
          <w:szCs w:val="24"/>
        </w:rPr>
        <w:t>r</w:t>
      </w:r>
      <w:r w:rsidRPr="000773A9">
        <w:rPr>
          <w:sz w:val="24"/>
          <w:szCs w:val="24"/>
        </w:rPr>
        <w:t>ule</w:t>
      </w:r>
      <w:r w:rsidR="006C5D40">
        <w:rPr>
          <w:sz w:val="24"/>
          <w:szCs w:val="24"/>
        </w:rPr>
        <w:t xml:space="preserve"> (EPA 2010)</w:t>
      </w:r>
      <w:r w:rsidRPr="000773A9">
        <w:rPr>
          <w:sz w:val="24"/>
          <w:szCs w:val="24"/>
        </w:rPr>
        <w:t xml:space="preserve">.  However, </w:t>
      </w:r>
      <w:r w:rsidR="00037815">
        <w:rPr>
          <w:sz w:val="24"/>
          <w:szCs w:val="24"/>
        </w:rPr>
        <w:t xml:space="preserve">unlike </w:t>
      </w:r>
      <w:r w:rsidR="004D46B9">
        <w:rPr>
          <w:sz w:val="24"/>
          <w:szCs w:val="24"/>
        </w:rPr>
        <w:t xml:space="preserve">in </w:t>
      </w:r>
      <w:r w:rsidR="00037815">
        <w:rPr>
          <w:sz w:val="24"/>
          <w:szCs w:val="24"/>
        </w:rPr>
        <w:t xml:space="preserve">the </w:t>
      </w:r>
      <w:r w:rsidR="006770B4">
        <w:rPr>
          <w:sz w:val="24"/>
          <w:szCs w:val="24"/>
        </w:rPr>
        <w:t xml:space="preserve">economic </w:t>
      </w:r>
      <w:r w:rsidR="004D46B9">
        <w:rPr>
          <w:sz w:val="24"/>
          <w:szCs w:val="24"/>
        </w:rPr>
        <w:t>analyses</w:t>
      </w:r>
      <w:r w:rsidR="00037815">
        <w:rPr>
          <w:sz w:val="24"/>
          <w:szCs w:val="24"/>
        </w:rPr>
        <w:t xml:space="preserve">, </w:t>
      </w:r>
      <w:r w:rsidR="0071476F">
        <w:rPr>
          <w:sz w:val="24"/>
          <w:szCs w:val="24"/>
        </w:rPr>
        <w:t xml:space="preserve">this </w:t>
      </w:r>
      <w:r w:rsidR="00037815">
        <w:rPr>
          <w:sz w:val="24"/>
          <w:szCs w:val="24"/>
        </w:rPr>
        <w:t xml:space="preserve">ICR renewal </w:t>
      </w:r>
      <w:r w:rsidR="007F6D99">
        <w:rPr>
          <w:sz w:val="24"/>
          <w:szCs w:val="24"/>
        </w:rPr>
        <w:t xml:space="preserve">analysis is calculated based on a 43 percent average false positive rate for </w:t>
      </w:r>
      <w:r w:rsidR="0071476F">
        <w:rPr>
          <w:sz w:val="24"/>
          <w:szCs w:val="24"/>
        </w:rPr>
        <w:t xml:space="preserve">EPA approved </w:t>
      </w:r>
      <w:r w:rsidRPr="000773A9">
        <w:rPr>
          <w:sz w:val="24"/>
          <w:szCs w:val="24"/>
        </w:rPr>
        <w:t xml:space="preserve">test kits </w:t>
      </w:r>
      <w:r w:rsidR="00037815">
        <w:rPr>
          <w:sz w:val="24"/>
          <w:szCs w:val="24"/>
        </w:rPr>
        <w:t>for lead-based paint</w:t>
      </w:r>
      <w:r w:rsidRPr="000773A9">
        <w:rPr>
          <w:sz w:val="24"/>
          <w:szCs w:val="24"/>
        </w:rPr>
        <w:t xml:space="preserve">.  </w:t>
      </w:r>
      <w:r w:rsidR="007F6D99">
        <w:rPr>
          <w:sz w:val="24"/>
          <w:szCs w:val="24"/>
        </w:rPr>
        <w:t>The 43 percent false positive rate assumes that the test kit market will be split evenly between currently approved kits that have a false positive rate averaging 22 percent and those that have a 63 percent average false positive rate.  I</w:t>
      </w:r>
      <w:r w:rsidR="0071476F">
        <w:rPr>
          <w:sz w:val="24"/>
          <w:szCs w:val="24"/>
        </w:rPr>
        <w:t xml:space="preserve">f </w:t>
      </w:r>
      <w:r w:rsidRPr="000773A9">
        <w:rPr>
          <w:sz w:val="24"/>
          <w:szCs w:val="24"/>
        </w:rPr>
        <w:t>EPA recognizes test kits that meet the false positive response criteria</w:t>
      </w:r>
      <w:r w:rsidR="0071476F">
        <w:rPr>
          <w:sz w:val="24"/>
          <w:szCs w:val="24"/>
        </w:rPr>
        <w:t xml:space="preserve"> a</w:t>
      </w:r>
      <w:r w:rsidR="0071476F" w:rsidRPr="000773A9">
        <w:rPr>
          <w:sz w:val="24"/>
          <w:szCs w:val="24"/>
        </w:rPr>
        <w:t>t 40 CFR 745.88</w:t>
      </w:r>
      <w:r w:rsidR="007F6D99">
        <w:rPr>
          <w:sz w:val="24"/>
          <w:szCs w:val="24"/>
        </w:rPr>
        <w:t xml:space="preserve"> </w:t>
      </w:r>
      <w:r w:rsidR="007F6D99" w:rsidRPr="000773A9">
        <w:rPr>
          <w:sz w:val="24"/>
          <w:szCs w:val="24"/>
        </w:rPr>
        <w:t xml:space="preserve">during the three </w:t>
      </w:r>
      <w:r w:rsidR="007F6D99">
        <w:rPr>
          <w:sz w:val="24"/>
          <w:szCs w:val="24"/>
        </w:rPr>
        <w:t>year period covered by this ICR</w:t>
      </w:r>
      <w:r w:rsidR="00A55451">
        <w:rPr>
          <w:sz w:val="24"/>
          <w:szCs w:val="24"/>
        </w:rPr>
        <w:t>,</w:t>
      </w:r>
      <w:r w:rsidR="0071476F">
        <w:rPr>
          <w:sz w:val="24"/>
          <w:szCs w:val="24"/>
        </w:rPr>
        <w:t xml:space="preserve"> </w:t>
      </w:r>
      <w:r w:rsidRPr="000773A9">
        <w:rPr>
          <w:sz w:val="24"/>
          <w:szCs w:val="24"/>
        </w:rPr>
        <w:t>the number of responses (and thus the total estimated respondent burden and cost) will be less than estimated in this renewal ICR.</w:t>
      </w:r>
      <w:r w:rsidR="0071476F">
        <w:rPr>
          <w:sz w:val="24"/>
          <w:szCs w:val="24"/>
        </w:rPr>
        <w:t xml:space="preserve">  Thus, </w:t>
      </w:r>
      <w:r w:rsidR="00037815">
        <w:rPr>
          <w:sz w:val="24"/>
          <w:szCs w:val="24"/>
        </w:rPr>
        <w:t xml:space="preserve">the burden and cost calculations in this </w:t>
      </w:r>
      <w:r w:rsidR="0071476F">
        <w:rPr>
          <w:sz w:val="24"/>
          <w:szCs w:val="24"/>
        </w:rPr>
        <w:t xml:space="preserve">ICR </w:t>
      </w:r>
      <w:r w:rsidR="00037815">
        <w:rPr>
          <w:sz w:val="24"/>
          <w:szCs w:val="24"/>
        </w:rPr>
        <w:t xml:space="preserve">analysis </w:t>
      </w:r>
      <w:r w:rsidR="007F6D99">
        <w:rPr>
          <w:sz w:val="24"/>
          <w:szCs w:val="24"/>
        </w:rPr>
        <w:t xml:space="preserve">may </w:t>
      </w:r>
      <w:r w:rsidR="00037815">
        <w:rPr>
          <w:sz w:val="24"/>
          <w:szCs w:val="24"/>
        </w:rPr>
        <w:t xml:space="preserve">represent </w:t>
      </w:r>
      <w:r w:rsidR="0071476F">
        <w:rPr>
          <w:sz w:val="24"/>
          <w:szCs w:val="24"/>
        </w:rPr>
        <w:t>conservative estimates</w:t>
      </w:r>
      <w:r w:rsidR="00037815">
        <w:rPr>
          <w:sz w:val="24"/>
          <w:szCs w:val="24"/>
        </w:rPr>
        <w:t>.</w:t>
      </w:r>
    </w:p>
    <w:p w:rsidR="00475A81" w:rsidRPr="000773A9" w:rsidRDefault="00475A81" w:rsidP="00BD0253">
      <w:pPr>
        <w:numPr>
          <w:ilvl w:val="12"/>
          <w:numId w:val="0"/>
        </w:numPr>
        <w:rPr>
          <w:sz w:val="24"/>
          <w:szCs w:val="24"/>
        </w:rPr>
      </w:pPr>
    </w:p>
    <w:p w:rsidR="00537689" w:rsidRPr="000773A9" w:rsidRDefault="00537689" w:rsidP="00537689">
      <w:pPr>
        <w:numPr>
          <w:ilvl w:val="12"/>
          <w:numId w:val="0"/>
        </w:numPr>
        <w:ind w:firstLine="720"/>
        <w:rPr>
          <w:sz w:val="24"/>
          <w:szCs w:val="24"/>
        </w:rPr>
      </w:pPr>
      <w:r w:rsidRPr="000773A9">
        <w:rPr>
          <w:sz w:val="24"/>
          <w:szCs w:val="24"/>
        </w:rPr>
        <w:t xml:space="preserve">For the ICR burden analysis, </w:t>
      </w:r>
      <w:r w:rsidR="00F84561" w:rsidRPr="000773A9">
        <w:rPr>
          <w:sz w:val="24"/>
          <w:szCs w:val="24"/>
        </w:rPr>
        <w:t xml:space="preserve">the </w:t>
      </w:r>
      <w:r w:rsidR="00A97ED1" w:rsidRPr="000773A9">
        <w:rPr>
          <w:sz w:val="24"/>
          <w:szCs w:val="24"/>
        </w:rPr>
        <w:t xml:space="preserve">average </w:t>
      </w:r>
      <w:r w:rsidR="00F84561" w:rsidRPr="000773A9">
        <w:rPr>
          <w:sz w:val="24"/>
          <w:szCs w:val="24"/>
        </w:rPr>
        <w:t xml:space="preserve">number of </w:t>
      </w:r>
      <w:r w:rsidR="00A97ED1" w:rsidRPr="000773A9">
        <w:rPr>
          <w:sz w:val="24"/>
          <w:szCs w:val="24"/>
        </w:rPr>
        <w:t>responses</w:t>
      </w:r>
      <w:r w:rsidRPr="000773A9">
        <w:rPr>
          <w:sz w:val="24"/>
          <w:szCs w:val="24"/>
        </w:rPr>
        <w:t xml:space="preserve"> </w:t>
      </w:r>
      <w:r w:rsidR="00F84561" w:rsidRPr="000773A9">
        <w:rPr>
          <w:sz w:val="24"/>
          <w:szCs w:val="24"/>
        </w:rPr>
        <w:t xml:space="preserve">per respondent </w:t>
      </w:r>
      <w:r w:rsidRPr="000773A9">
        <w:rPr>
          <w:sz w:val="24"/>
          <w:szCs w:val="24"/>
        </w:rPr>
        <w:t xml:space="preserve">for </w:t>
      </w:r>
      <w:r w:rsidR="00F84561" w:rsidRPr="000773A9">
        <w:rPr>
          <w:sz w:val="24"/>
          <w:szCs w:val="24"/>
        </w:rPr>
        <w:t xml:space="preserve">each category of respondents and activities was </w:t>
      </w:r>
      <w:r w:rsidRPr="000773A9">
        <w:rPr>
          <w:sz w:val="24"/>
          <w:szCs w:val="24"/>
        </w:rPr>
        <w:t xml:space="preserve">estimated </w:t>
      </w:r>
      <w:r w:rsidR="00F84561" w:rsidRPr="000773A9">
        <w:rPr>
          <w:sz w:val="24"/>
          <w:szCs w:val="24"/>
        </w:rPr>
        <w:t xml:space="preserve">by dividing </w:t>
      </w:r>
      <w:r w:rsidRPr="000773A9">
        <w:rPr>
          <w:sz w:val="24"/>
          <w:szCs w:val="24"/>
        </w:rPr>
        <w:t xml:space="preserve">the total number of annual </w:t>
      </w:r>
      <w:r w:rsidR="00A97ED1" w:rsidRPr="000773A9">
        <w:rPr>
          <w:sz w:val="24"/>
          <w:szCs w:val="24"/>
        </w:rPr>
        <w:t>responses</w:t>
      </w:r>
      <w:r w:rsidR="00037815">
        <w:rPr>
          <w:sz w:val="24"/>
          <w:szCs w:val="24"/>
        </w:rPr>
        <w:t xml:space="preserve"> in that activity (derived by adjusting the estimates in the previous economic analyses) </w:t>
      </w:r>
      <w:r w:rsidRPr="000773A9">
        <w:rPr>
          <w:sz w:val="24"/>
          <w:szCs w:val="24"/>
        </w:rPr>
        <w:t>by the total number of respondents.</w:t>
      </w:r>
    </w:p>
    <w:p w:rsidR="00F84561" w:rsidRPr="000773A9" w:rsidRDefault="00F84561" w:rsidP="00537689">
      <w:pPr>
        <w:numPr>
          <w:ilvl w:val="12"/>
          <w:numId w:val="0"/>
        </w:numPr>
        <w:ind w:firstLine="720"/>
        <w:rPr>
          <w:sz w:val="24"/>
          <w:szCs w:val="24"/>
        </w:rPr>
      </w:pPr>
    </w:p>
    <w:p w:rsidR="00783928" w:rsidRPr="000773A9" w:rsidRDefault="00A9661B" w:rsidP="009B3C93">
      <w:pPr>
        <w:numPr>
          <w:ilvl w:val="12"/>
          <w:numId w:val="0"/>
        </w:numPr>
        <w:ind w:firstLine="720"/>
        <w:rPr>
          <w:sz w:val="24"/>
          <w:szCs w:val="24"/>
        </w:rPr>
      </w:pPr>
      <w:r>
        <w:rPr>
          <w:sz w:val="24"/>
          <w:szCs w:val="24"/>
        </w:rPr>
        <w:t>S</w:t>
      </w:r>
      <w:r w:rsidR="003B2CB4" w:rsidRPr="000773A9">
        <w:rPr>
          <w:sz w:val="24"/>
          <w:szCs w:val="24"/>
        </w:rPr>
        <w:t xml:space="preserve">pecific steps </w:t>
      </w:r>
      <w:r>
        <w:rPr>
          <w:sz w:val="24"/>
          <w:szCs w:val="24"/>
        </w:rPr>
        <w:t xml:space="preserve">required </w:t>
      </w:r>
      <w:r w:rsidR="003B2CB4" w:rsidRPr="000773A9">
        <w:rPr>
          <w:sz w:val="24"/>
          <w:szCs w:val="24"/>
        </w:rPr>
        <w:t xml:space="preserve">to comply with the pre-renovation education requirements are affected by such factors as whether the renovation is performed in an owner-occupied building or a rental building, and whether the work is performed by a contractor or by in-house staff.  Therefore, the ICR burden analysis is calculated separately for each of these scenarios.   </w:t>
      </w:r>
      <w:r w:rsidR="0040404E" w:rsidRPr="000773A9">
        <w:rPr>
          <w:sz w:val="24"/>
          <w:szCs w:val="24"/>
        </w:rPr>
        <w:t>The analysis begins by discussing the number of renovation events in target housing where pre-renovation education is required, followed by a discussion of renovation events in COFs.</w:t>
      </w:r>
      <w:r w:rsidR="00783928" w:rsidRPr="000773A9">
        <w:rPr>
          <w:sz w:val="24"/>
          <w:szCs w:val="24"/>
        </w:rPr>
        <w:t xml:space="preserve">  </w:t>
      </w:r>
    </w:p>
    <w:p w:rsidR="00F84561" w:rsidRPr="000773A9" w:rsidRDefault="00F84561" w:rsidP="0040404E">
      <w:pPr>
        <w:numPr>
          <w:ilvl w:val="12"/>
          <w:numId w:val="0"/>
        </w:numPr>
        <w:rPr>
          <w:sz w:val="24"/>
          <w:szCs w:val="24"/>
        </w:rPr>
      </w:pPr>
    </w:p>
    <w:p w:rsidR="00537689" w:rsidRPr="000773A9" w:rsidRDefault="00A55451" w:rsidP="00942920">
      <w:pPr>
        <w:keepNext/>
        <w:numPr>
          <w:ilvl w:val="12"/>
          <w:numId w:val="0"/>
        </w:numPr>
        <w:ind w:firstLine="720"/>
        <w:rPr>
          <w:sz w:val="24"/>
          <w:szCs w:val="24"/>
          <w:u w:val="single"/>
        </w:rPr>
      </w:pPr>
      <w:r>
        <w:rPr>
          <w:sz w:val="24"/>
          <w:szCs w:val="24"/>
        </w:rPr>
        <w:t>(</w:t>
      </w:r>
      <w:proofErr w:type="spellStart"/>
      <w:r>
        <w:rPr>
          <w:sz w:val="24"/>
          <w:szCs w:val="24"/>
        </w:rPr>
        <w:t>i</w:t>
      </w:r>
      <w:proofErr w:type="spellEnd"/>
      <w:r>
        <w:rPr>
          <w:sz w:val="24"/>
          <w:szCs w:val="24"/>
        </w:rPr>
        <w:t>)</w:t>
      </w:r>
      <w:r w:rsidR="0016598E">
        <w:rPr>
          <w:sz w:val="24"/>
          <w:szCs w:val="24"/>
        </w:rPr>
        <w:t xml:space="preserve"> </w:t>
      </w:r>
      <w:r>
        <w:rPr>
          <w:sz w:val="24"/>
          <w:szCs w:val="24"/>
        </w:rPr>
        <w:t xml:space="preserve"> </w:t>
      </w:r>
      <w:r w:rsidR="00537689" w:rsidRPr="000773A9">
        <w:rPr>
          <w:sz w:val="24"/>
          <w:szCs w:val="24"/>
          <w:u w:val="single"/>
        </w:rPr>
        <w:t>Events Taking Place in Target Housing</w:t>
      </w:r>
    </w:p>
    <w:p w:rsidR="00537689" w:rsidRPr="000773A9" w:rsidRDefault="00537689" w:rsidP="00BD0253">
      <w:pPr>
        <w:keepNext/>
        <w:numPr>
          <w:ilvl w:val="12"/>
          <w:numId w:val="0"/>
        </w:numPr>
        <w:rPr>
          <w:sz w:val="24"/>
          <w:szCs w:val="24"/>
          <w:u w:val="single"/>
        </w:rPr>
      </w:pPr>
    </w:p>
    <w:p w:rsidR="00537689" w:rsidRPr="000773A9" w:rsidRDefault="00537689" w:rsidP="00BD0253">
      <w:pPr>
        <w:numPr>
          <w:ilvl w:val="12"/>
          <w:numId w:val="0"/>
        </w:numPr>
        <w:rPr>
          <w:sz w:val="24"/>
          <w:szCs w:val="24"/>
        </w:rPr>
      </w:pPr>
      <w:r w:rsidRPr="000773A9">
        <w:rPr>
          <w:sz w:val="24"/>
          <w:szCs w:val="24"/>
        </w:rPr>
        <w:tab/>
      </w:r>
      <w:r w:rsidR="008B5C46" w:rsidRPr="000773A9">
        <w:rPr>
          <w:sz w:val="24"/>
          <w:szCs w:val="24"/>
        </w:rPr>
        <w:t xml:space="preserve">There </w:t>
      </w:r>
      <w:r w:rsidR="00A55451">
        <w:rPr>
          <w:sz w:val="24"/>
          <w:szCs w:val="24"/>
        </w:rPr>
        <w:t xml:space="preserve">are </w:t>
      </w:r>
      <w:r w:rsidR="00675F4C" w:rsidRPr="000773A9">
        <w:rPr>
          <w:sz w:val="24"/>
          <w:szCs w:val="24"/>
        </w:rPr>
        <w:t>278</w:t>
      </w:r>
      <w:r w:rsidR="008B5C46" w:rsidRPr="000773A9">
        <w:rPr>
          <w:sz w:val="24"/>
          <w:szCs w:val="24"/>
        </w:rPr>
        <w:t>,</w:t>
      </w:r>
      <w:r w:rsidR="00D95DEF" w:rsidRPr="000773A9">
        <w:rPr>
          <w:sz w:val="24"/>
          <w:szCs w:val="24"/>
        </w:rPr>
        <w:t>18</w:t>
      </w:r>
      <w:r w:rsidR="00FE5505">
        <w:rPr>
          <w:sz w:val="24"/>
          <w:szCs w:val="24"/>
        </w:rPr>
        <w:t>3</w:t>
      </w:r>
      <w:r w:rsidR="00D95DEF" w:rsidRPr="000773A9">
        <w:rPr>
          <w:sz w:val="24"/>
          <w:szCs w:val="24"/>
        </w:rPr>
        <w:t xml:space="preserve"> </w:t>
      </w:r>
      <w:r w:rsidRPr="000773A9">
        <w:rPr>
          <w:sz w:val="24"/>
          <w:szCs w:val="24"/>
        </w:rPr>
        <w:t>respondents</w:t>
      </w:r>
      <w:r w:rsidR="008B5C46" w:rsidRPr="000773A9">
        <w:rPr>
          <w:sz w:val="24"/>
          <w:szCs w:val="24"/>
        </w:rPr>
        <w:t xml:space="preserve"> (</w:t>
      </w:r>
      <w:r w:rsidRPr="000773A9">
        <w:rPr>
          <w:sz w:val="24"/>
          <w:szCs w:val="24"/>
        </w:rPr>
        <w:t>i.e.</w:t>
      </w:r>
      <w:r w:rsidR="00256E1A">
        <w:rPr>
          <w:sz w:val="24"/>
          <w:szCs w:val="24"/>
        </w:rPr>
        <w:t>,</w:t>
      </w:r>
      <w:r w:rsidRPr="000773A9">
        <w:rPr>
          <w:sz w:val="24"/>
          <w:szCs w:val="24"/>
        </w:rPr>
        <w:t xml:space="preserve"> renovators and rental property managers</w:t>
      </w:r>
      <w:r w:rsidR="008B5C46" w:rsidRPr="000773A9">
        <w:rPr>
          <w:sz w:val="24"/>
          <w:szCs w:val="24"/>
        </w:rPr>
        <w:t xml:space="preserve">) </w:t>
      </w:r>
      <w:r w:rsidR="00A55451">
        <w:rPr>
          <w:sz w:val="24"/>
          <w:szCs w:val="24"/>
        </w:rPr>
        <w:t xml:space="preserve">estimated to </w:t>
      </w:r>
      <w:r w:rsidR="00037815">
        <w:rPr>
          <w:sz w:val="24"/>
          <w:szCs w:val="24"/>
        </w:rPr>
        <w:t xml:space="preserve">work </w:t>
      </w:r>
      <w:r w:rsidR="008B5C46" w:rsidRPr="000773A9">
        <w:rPr>
          <w:sz w:val="24"/>
          <w:szCs w:val="24"/>
        </w:rPr>
        <w:t xml:space="preserve">in target housing during the three year period covered by </w:t>
      </w:r>
      <w:r w:rsidRPr="000773A9">
        <w:rPr>
          <w:sz w:val="24"/>
          <w:szCs w:val="24"/>
        </w:rPr>
        <w:t xml:space="preserve">this ICR. </w:t>
      </w:r>
      <w:r w:rsidR="00037815">
        <w:rPr>
          <w:sz w:val="24"/>
          <w:szCs w:val="24"/>
        </w:rPr>
        <w:t xml:space="preserve"> </w:t>
      </w:r>
      <w:r w:rsidRPr="000773A9">
        <w:rPr>
          <w:sz w:val="24"/>
          <w:szCs w:val="24"/>
        </w:rPr>
        <w:t xml:space="preserve">This represents </w:t>
      </w:r>
      <w:r w:rsidR="00675F4C" w:rsidRPr="000773A9">
        <w:rPr>
          <w:sz w:val="24"/>
          <w:szCs w:val="24"/>
        </w:rPr>
        <w:t>167</w:t>
      </w:r>
      <w:r w:rsidR="008B5C46" w:rsidRPr="000773A9">
        <w:rPr>
          <w:sz w:val="24"/>
          <w:szCs w:val="24"/>
        </w:rPr>
        <w:t>,</w:t>
      </w:r>
      <w:r w:rsidR="00675F4C" w:rsidRPr="000773A9">
        <w:rPr>
          <w:sz w:val="24"/>
          <w:szCs w:val="24"/>
        </w:rPr>
        <w:t xml:space="preserve">669 </w:t>
      </w:r>
      <w:r w:rsidRPr="000773A9">
        <w:rPr>
          <w:sz w:val="24"/>
          <w:szCs w:val="24"/>
        </w:rPr>
        <w:t xml:space="preserve">renovation firms and property managers </w:t>
      </w:r>
      <w:r w:rsidR="00037815">
        <w:rPr>
          <w:sz w:val="24"/>
          <w:szCs w:val="24"/>
        </w:rPr>
        <w:t xml:space="preserve">estimated to work </w:t>
      </w:r>
      <w:r w:rsidRPr="000773A9">
        <w:rPr>
          <w:sz w:val="24"/>
          <w:szCs w:val="24"/>
        </w:rPr>
        <w:t xml:space="preserve">in target housing regulated </w:t>
      </w:r>
      <w:r w:rsidR="008B5C46" w:rsidRPr="000773A9">
        <w:rPr>
          <w:sz w:val="24"/>
          <w:szCs w:val="24"/>
        </w:rPr>
        <w:t xml:space="preserve">by the </w:t>
      </w:r>
      <w:r w:rsidRPr="000773A9">
        <w:rPr>
          <w:sz w:val="24"/>
          <w:szCs w:val="24"/>
        </w:rPr>
        <w:t xml:space="preserve">2008 </w:t>
      </w:r>
      <w:r w:rsidR="008B5C46" w:rsidRPr="000773A9">
        <w:rPr>
          <w:sz w:val="24"/>
          <w:szCs w:val="24"/>
        </w:rPr>
        <w:t xml:space="preserve">RRP rule </w:t>
      </w:r>
      <w:r w:rsidRPr="000773A9">
        <w:rPr>
          <w:sz w:val="24"/>
          <w:szCs w:val="24"/>
        </w:rPr>
        <w:t xml:space="preserve">and </w:t>
      </w:r>
      <w:r w:rsidR="008B5C46" w:rsidRPr="000773A9">
        <w:rPr>
          <w:sz w:val="24"/>
          <w:szCs w:val="24"/>
        </w:rPr>
        <w:t>an additional 110,</w:t>
      </w:r>
      <w:r w:rsidR="00675F4C" w:rsidRPr="000773A9">
        <w:rPr>
          <w:sz w:val="24"/>
          <w:szCs w:val="24"/>
        </w:rPr>
        <w:t>51</w:t>
      </w:r>
      <w:r w:rsidR="00FE5505">
        <w:rPr>
          <w:sz w:val="24"/>
          <w:szCs w:val="24"/>
        </w:rPr>
        <w:t>4</w:t>
      </w:r>
      <w:r w:rsidR="00675F4C" w:rsidRPr="000773A9">
        <w:rPr>
          <w:sz w:val="24"/>
          <w:szCs w:val="24"/>
        </w:rPr>
        <w:t xml:space="preserve"> </w:t>
      </w:r>
      <w:r w:rsidR="008B5C46" w:rsidRPr="000773A9">
        <w:rPr>
          <w:sz w:val="24"/>
          <w:szCs w:val="24"/>
        </w:rPr>
        <w:t xml:space="preserve">renovation firms </w:t>
      </w:r>
      <w:r w:rsidR="00037815">
        <w:rPr>
          <w:sz w:val="24"/>
          <w:szCs w:val="24"/>
        </w:rPr>
        <w:t xml:space="preserve">estimated to work </w:t>
      </w:r>
      <w:r w:rsidR="008B5C46" w:rsidRPr="000773A9">
        <w:rPr>
          <w:sz w:val="24"/>
          <w:szCs w:val="24"/>
        </w:rPr>
        <w:t xml:space="preserve">in target housing regulated by the 2010 </w:t>
      </w:r>
      <w:r w:rsidR="00A55451">
        <w:rPr>
          <w:sz w:val="24"/>
          <w:szCs w:val="24"/>
        </w:rPr>
        <w:t>Opt-o</w:t>
      </w:r>
      <w:r w:rsidRPr="000773A9">
        <w:rPr>
          <w:sz w:val="24"/>
          <w:szCs w:val="24"/>
        </w:rPr>
        <w:t>ut</w:t>
      </w:r>
      <w:r w:rsidR="008B5C46" w:rsidRPr="000773A9">
        <w:rPr>
          <w:sz w:val="24"/>
          <w:szCs w:val="24"/>
        </w:rPr>
        <w:t xml:space="preserve"> rule.</w:t>
      </w:r>
      <w:r w:rsidRPr="000773A9">
        <w:rPr>
          <w:sz w:val="24"/>
          <w:szCs w:val="24"/>
        </w:rPr>
        <w:t xml:space="preserve"> </w:t>
      </w:r>
    </w:p>
    <w:p w:rsidR="00537689" w:rsidRPr="000773A9" w:rsidRDefault="00537689" w:rsidP="00537689">
      <w:pPr>
        <w:numPr>
          <w:ilvl w:val="12"/>
          <w:numId w:val="0"/>
        </w:numPr>
        <w:rPr>
          <w:sz w:val="24"/>
          <w:szCs w:val="24"/>
        </w:rPr>
      </w:pPr>
    </w:p>
    <w:p w:rsidR="00537689" w:rsidRPr="000773A9" w:rsidRDefault="00691317" w:rsidP="00537689">
      <w:pPr>
        <w:numPr>
          <w:ilvl w:val="12"/>
          <w:numId w:val="0"/>
        </w:numPr>
        <w:ind w:firstLine="720"/>
        <w:rPr>
          <w:sz w:val="24"/>
          <w:szCs w:val="24"/>
        </w:rPr>
      </w:pPr>
      <w:r w:rsidRPr="000773A9">
        <w:rPr>
          <w:sz w:val="24"/>
          <w:szCs w:val="24"/>
        </w:rPr>
        <w:lastRenderedPageBreak/>
        <w:t>The pre-r</w:t>
      </w:r>
      <w:r w:rsidR="00537689" w:rsidRPr="000773A9">
        <w:rPr>
          <w:sz w:val="24"/>
          <w:szCs w:val="24"/>
        </w:rPr>
        <w:t xml:space="preserve">enovation </w:t>
      </w:r>
      <w:r w:rsidRPr="000773A9">
        <w:rPr>
          <w:sz w:val="24"/>
          <w:szCs w:val="24"/>
        </w:rPr>
        <w:t>e</w:t>
      </w:r>
      <w:r w:rsidR="00537689" w:rsidRPr="000773A9">
        <w:rPr>
          <w:sz w:val="24"/>
          <w:szCs w:val="24"/>
        </w:rPr>
        <w:t>ducation requirements do not apply to events where a test kit indicates that lead-based paint is not present</w:t>
      </w:r>
      <w:r w:rsidR="00037815">
        <w:rPr>
          <w:sz w:val="24"/>
          <w:szCs w:val="24"/>
        </w:rPr>
        <w:t>.  T</w:t>
      </w:r>
      <w:r w:rsidR="00537689" w:rsidRPr="000773A9">
        <w:rPr>
          <w:sz w:val="24"/>
          <w:szCs w:val="24"/>
        </w:rPr>
        <w:t xml:space="preserve">herefore, it is </w:t>
      </w:r>
      <w:r w:rsidR="00037815">
        <w:rPr>
          <w:sz w:val="24"/>
          <w:szCs w:val="24"/>
        </w:rPr>
        <w:t xml:space="preserve">assumed that pre-renovation education </w:t>
      </w:r>
      <w:r w:rsidR="00537689" w:rsidRPr="000773A9">
        <w:rPr>
          <w:sz w:val="24"/>
          <w:szCs w:val="24"/>
        </w:rPr>
        <w:t xml:space="preserve">costs are </w:t>
      </w:r>
      <w:r w:rsidR="00BC23CC" w:rsidRPr="000773A9">
        <w:rPr>
          <w:sz w:val="24"/>
          <w:szCs w:val="24"/>
        </w:rPr>
        <w:t xml:space="preserve">only </w:t>
      </w:r>
      <w:r w:rsidR="00537689" w:rsidRPr="000773A9">
        <w:rPr>
          <w:sz w:val="24"/>
          <w:szCs w:val="24"/>
        </w:rPr>
        <w:t xml:space="preserve">incurred for </w:t>
      </w:r>
      <w:r w:rsidR="006C5D40">
        <w:rPr>
          <w:sz w:val="24"/>
          <w:szCs w:val="24"/>
        </w:rPr>
        <w:t xml:space="preserve">renovation </w:t>
      </w:r>
      <w:r w:rsidR="00537689" w:rsidRPr="000773A9">
        <w:rPr>
          <w:sz w:val="24"/>
          <w:szCs w:val="24"/>
        </w:rPr>
        <w:t xml:space="preserve">events where LSWP are used.  The number of LSWP events performed by landlords and contractors in owner-occupied and rental target housing was calculated </w:t>
      </w:r>
      <w:r w:rsidR="006C5D40">
        <w:rPr>
          <w:sz w:val="24"/>
          <w:szCs w:val="24"/>
        </w:rPr>
        <w:t xml:space="preserve">based on </w:t>
      </w:r>
      <w:r w:rsidR="00537689" w:rsidRPr="000773A9">
        <w:rPr>
          <w:sz w:val="24"/>
          <w:szCs w:val="24"/>
        </w:rPr>
        <w:t xml:space="preserve">the approach described in detail in </w:t>
      </w:r>
      <w:r w:rsidR="006C5D40">
        <w:rPr>
          <w:sz w:val="24"/>
          <w:szCs w:val="24"/>
        </w:rPr>
        <w:t xml:space="preserve">the cost chapters </w:t>
      </w:r>
      <w:r w:rsidR="00537689" w:rsidRPr="000773A9">
        <w:rPr>
          <w:sz w:val="24"/>
          <w:szCs w:val="24"/>
        </w:rPr>
        <w:t xml:space="preserve">of the </w:t>
      </w:r>
      <w:r w:rsidR="006C5D40">
        <w:rPr>
          <w:sz w:val="24"/>
          <w:szCs w:val="24"/>
        </w:rPr>
        <w:t>e</w:t>
      </w:r>
      <w:r w:rsidR="00537689" w:rsidRPr="000773A9">
        <w:rPr>
          <w:sz w:val="24"/>
          <w:szCs w:val="24"/>
        </w:rPr>
        <w:t xml:space="preserve">conomic </w:t>
      </w:r>
      <w:r w:rsidR="006C5D40">
        <w:rPr>
          <w:sz w:val="24"/>
          <w:szCs w:val="24"/>
        </w:rPr>
        <w:t>a</w:t>
      </w:r>
      <w:r w:rsidR="00537689" w:rsidRPr="000773A9">
        <w:rPr>
          <w:sz w:val="24"/>
          <w:szCs w:val="24"/>
        </w:rPr>
        <w:t>nalys</w:t>
      </w:r>
      <w:r w:rsidR="00475A81">
        <w:rPr>
          <w:sz w:val="24"/>
          <w:szCs w:val="24"/>
        </w:rPr>
        <w:t>e</w:t>
      </w:r>
      <w:r w:rsidR="00537689" w:rsidRPr="000773A9">
        <w:rPr>
          <w:sz w:val="24"/>
          <w:szCs w:val="24"/>
        </w:rPr>
        <w:t xml:space="preserve">s for the </w:t>
      </w:r>
      <w:r w:rsidR="0061048C" w:rsidRPr="000773A9">
        <w:rPr>
          <w:sz w:val="24"/>
          <w:szCs w:val="24"/>
        </w:rPr>
        <w:t>RRP rule</w:t>
      </w:r>
      <w:r w:rsidR="00537689" w:rsidRPr="000773A9">
        <w:rPr>
          <w:sz w:val="24"/>
          <w:szCs w:val="24"/>
        </w:rPr>
        <w:t xml:space="preserve"> </w:t>
      </w:r>
      <w:r w:rsidR="006C5D40">
        <w:rPr>
          <w:sz w:val="24"/>
          <w:szCs w:val="24"/>
        </w:rPr>
        <w:t xml:space="preserve">(EPA 2008) </w:t>
      </w:r>
      <w:r w:rsidR="00537689" w:rsidRPr="000773A9">
        <w:rPr>
          <w:sz w:val="24"/>
          <w:szCs w:val="24"/>
        </w:rPr>
        <w:t>and the Opt-</w:t>
      </w:r>
      <w:r w:rsidR="00475A81">
        <w:rPr>
          <w:sz w:val="24"/>
          <w:szCs w:val="24"/>
        </w:rPr>
        <w:t>o</w:t>
      </w:r>
      <w:r w:rsidR="00537689" w:rsidRPr="000773A9">
        <w:rPr>
          <w:sz w:val="24"/>
          <w:szCs w:val="24"/>
        </w:rPr>
        <w:t xml:space="preserve">ut </w:t>
      </w:r>
      <w:r w:rsidR="00475A81">
        <w:rPr>
          <w:sz w:val="24"/>
          <w:szCs w:val="24"/>
        </w:rPr>
        <w:t>r</w:t>
      </w:r>
      <w:r w:rsidR="00537689" w:rsidRPr="000773A9">
        <w:rPr>
          <w:sz w:val="24"/>
          <w:szCs w:val="24"/>
        </w:rPr>
        <w:t>ule</w:t>
      </w:r>
      <w:r w:rsidR="006C5D40">
        <w:rPr>
          <w:sz w:val="24"/>
          <w:szCs w:val="24"/>
        </w:rPr>
        <w:t xml:space="preserve"> (EPA 2010)</w:t>
      </w:r>
      <w:r w:rsidR="00537689" w:rsidRPr="000773A9">
        <w:rPr>
          <w:sz w:val="24"/>
          <w:szCs w:val="24"/>
        </w:rPr>
        <w:t xml:space="preserve">.  </w:t>
      </w:r>
    </w:p>
    <w:p w:rsidR="00537689" w:rsidRDefault="00537689" w:rsidP="00537689">
      <w:pPr>
        <w:numPr>
          <w:ilvl w:val="12"/>
          <w:numId w:val="0"/>
        </w:numPr>
        <w:rPr>
          <w:sz w:val="24"/>
          <w:szCs w:val="24"/>
        </w:rPr>
      </w:pPr>
    </w:p>
    <w:p w:rsidR="00D840F4" w:rsidRDefault="00D840F4" w:rsidP="00537689">
      <w:pPr>
        <w:numPr>
          <w:ilvl w:val="12"/>
          <w:numId w:val="0"/>
        </w:numPr>
        <w:rPr>
          <w:sz w:val="24"/>
          <w:szCs w:val="24"/>
        </w:rPr>
      </w:pPr>
      <w:r w:rsidRPr="000773A9">
        <w:rPr>
          <w:sz w:val="24"/>
          <w:szCs w:val="24"/>
        </w:rPr>
        <w:tab/>
      </w:r>
      <w:r>
        <w:rPr>
          <w:sz w:val="24"/>
          <w:szCs w:val="24"/>
        </w:rPr>
        <w:t>This approach estimate</w:t>
      </w:r>
      <w:r w:rsidR="00A9661B">
        <w:rPr>
          <w:sz w:val="24"/>
          <w:szCs w:val="24"/>
        </w:rPr>
        <w:t>s</w:t>
      </w:r>
      <w:r>
        <w:rPr>
          <w:sz w:val="24"/>
          <w:szCs w:val="24"/>
        </w:rPr>
        <w:t xml:space="preserve"> an average of </w:t>
      </w:r>
      <w:r w:rsidR="00F95528">
        <w:rPr>
          <w:sz w:val="24"/>
          <w:szCs w:val="24"/>
        </w:rPr>
        <w:t>905,610</w:t>
      </w:r>
      <w:r>
        <w:rPr>
          <w:sz w:val="24"/>
          <w:szCs w:val="24"/>
        </w:rPr>
        <w:t xml:space="preserve"> </w:t>
      </w:r>
      <w:r w:rsidRPr="000773A9">
        <w:rPr>
          <w:sz w:val="24"/>
          <w:szCs w:val="24"/>
        </w:rPr>
        <w:t xml:space="preserve">LSWP renovation events in owner-occupied housing </w:t>
      </w:r>
      <w:r>
        <w:rPr>
          <w:sz w:val="24"/>
          <w:szCs w:val="24"/>
        </w:rPr>
        <w:t xml:space="preserve">as a result of </w:t>
      </w:r>
      <w:r w:rsidRPr="000773A9">
        <w:rPr>
          <w:sz w:val="24"/>
          <w:szCs w:val="24"/>
        </w:rPr>
        <w:t xml:space="preserve">the 2008 RRP rule and </w:t>
      </w:r>
      <w:r w:rsidR="00F95528">
        <w:rPr>
          <w:sz w:val="24"/>
          <w:szCs w:val="24"/>
        </w:rPr>
        <w:t>4,463,986</w:t>
      </w:r>
      <w:r w:rsidRPr="000773A9">
        <w:rPr>
          <w:sz w:val="24"/>
          <w:szCs w:val="24"/>
        </w:rPr>
        <w:t xml:space="preserve"> </w:t>
      </w:r>
      <w:r>
        <w:rPr>
          <w:sz w:val="24"/>
          <w:szCs w:val="24"/>
        </w:rPr>
        <w:t>LSWP renovation events as a result of</w:t>
      </w:r>
      <w:r w:rsidRPr="000773A9">
        <w:rPr>
          <w:sz w:val="24"/>
          <w:szCs w:val="24"/>
        </w:rPr>
        <w:t xml:space="preserve"> the 2010 </w:t>
      </w:r>
      <w:r>
        <w:rPr>
          <w:sz w:val="24"/>
          <w:szCs w:val="24"/>
        </w:rPr>
        <w:t xml:space="preserve">Opt-out rule, for a total </w:t>
      </w:r>
      <w:r w:rsidRPr="000773A9">
        <w:rPr>
          <w:sz w:val="24"/>
          <w:szCs w:val="24"/>
        </w:rPr>
        <w:t xml:space="preserve">three-year average of </w:t>
      </w:r>
      <w:r w:rsidR="00F95528">
        <w:rPr>
          <w:sz w:val="24"/>
          <w:szCs w:val="24"/>
        </w:rPr>
        <w:t>5,369,596</w:t>
      </w:r>
      <w:r w:rsidR="00CD0165">
        <w:rPr>
          <w:sz w:val="24"/>
          <w:szCs w:val="24"/>
        </w:rPr>
        <w:t xml:space="preserve"> </w:t>
      </w:r>
      <w:r w:rsidRPr="000773A9">
        <w:rPr>
          <w:sz w:val="24"/>
          <w:szCs w:val="24"/>
        </w:rPr>
        <w:t>renovation</w:t>
      </w:r>
      <w:r w:rsidR="00CD0165">
        <w:rPr>
          <w:sz w:val="24"/>
          <w:szCs w:val="24"/>
        </w:rPr>
        <w:t xml:space="preserve"> event</w:t>
      </w:r>
      <w:r w:rsidRPr="000773A9">
        <w:rPr>
          <w:sz w:val="24"/>
          <w:szCs w:val="24"/>
        </w:rPr>
        <w:t xml:space="preserve">s </w:t>
      </w:r>
      <w:r w:rsidR="00CD0165">
        <w:rPr>
          <w:sz w:val="24"/>
          <w:szCs w:val="24"/>
        </w:rPr>
        <w:t xml:space="preserve">per year </w:t>
      </w:r>
      <w:r w:rsidRPr="000773A9">
        <w:rPr>
          <w:sz w:val="24"/>
          <w:szCs w:val="24"/>
        </w:rPr>
        <w:t xml:space="preserve">in owner-occupied target housing.  </w:t>
      </w:r>
    </w:p>
    <w:p w:rsidR="00D840F4" w:rsidRPr="000773A9" w:rsidRDefault="00D840F4" w:rsidP="00537689">
      <w:pPr>
        <w:numPr>
          <w:ilvl w:val="12"/>
          <w:numId w:val="0"/>
        </w:numPr>
        <w:rPr>
          <w:sz w:val="24"/>
          <w:szCs w:val="24"/>
        </w:rPr>
      </w:pPr>
    </w:p>
    <w:p w:rsidR="00537689" w:rsidRPr="000773A9" w:rsidRDefault="00BC23CC" w:rsidP="00537689">
      <w:pPr>
        <w:numPr>
          <w:ilvl w:val="12"/>
          <w:numId w:val="0"/>
        </w:numPr>
        <w:ind w:firstLine="720"/>
        <w:rPr>
          <w:sz w:val="24"/>
          <w:szCs w:val="24"/>
        </w:rPr>
      </w:pPr>
      <w:r w:rsidRPr="000773A9">
        <w:rPr>
          <w:sz w:val="24"/>
          <w:szCs w:val="24"/>
        </w:rPr>
        <w:t xml:space="preserve">The </w:t>
      </w:r>
      <w:r w:rsidR="00802843">
        <w:rPr>
          <w:sz w:val="24"/>
          <w:szCs w:val="24"/>
        </w:rPr>
        <w:t xml:space="preserve">rule’s requirements </w:t>
      </w:r>
      <w:r w:rsidR="00537689" w:rsidRPr="000773A9">
        <w:rPr>
          <w:sz w:val="24"/>
          <w:szCs w:val="24"/>
        </w:rPr>
        <w:t xml:space="preserve">in rental housing </w:t>
      </w:r>
      <w:r w:rsidR="00802843">
        <w:rPr>
          <w:sz w:val="24"/>
          <w:szCs w:val="24"/>
        </w:rPr>
        <w:t xml:space="preserve">differ depending on whether the renovation occurs in an occupied </w:t>
      </w:r>
      <w:r w:rsidR="00537689" w:rsidRPr="000773A9">
        <w:rPr>
          <w:sz w:val="24"/>
          <w:szCs w:val="24"/>
        </w:rPr>
        <w:t>unit</w:t>
      </w:r>
      <w:r w:rsidR="006C5D40">
        <w:rPr>
          <w:sz w:val="24"/>
          <w:szCs w:val="24"/>
        </w:rPr>
        <w:t xml:space="preserve">, an unoccupied unit, </w:t>
      </w:r>
      <w:r w:rsidR="00802843">
        <w:rPr>
          <w:sz w:val="24"/>
          <w:szCs w:val="24"/>
        </w:rPr>
        <w:t xml:space="preserve">or a </w:t>
      </w:r>
      <w:r w:rsidR="00537689" w:rsidRPr="000444EF">
        <w:rPr>
          <w:sz w:val="24"/>
          <w:szCs w:val="24"/>
        </w:rPr>
        <w:t>common</w:t>
      </w:r>
      <w:r w:rsidR="00537689" w:rsidRPr="000773A9">
        <w:rPr>
          <w:sz w:val="24"/>
          <w:szCs w:val="24"/>
        </w:rPr>
        <w:t xml:space="preserve"> area</w:t>
      </w:r>
      <w:r w:rsidR="00802843">
        <w:rPr>
          <w:sz w:val="24"/>
          <w:szCs w:val="24"/>
        </w:rPr>
        <w:t xml:space="preserve"> </w:t>
      </w:r>
      <w:r w:rsidR="00537689" w:rsidRPr="000773A9">
        <w:rPr>
          <w:sz w:val="24"/>
          <w:szCs w:val="24"/>
        </w:rPr>
        <w:t>s</w:t>
      </w:r>
      <w:r w:rsidR="00802843">
        <w:rPr>
          <w:sz w:val="24"/>
          <w:szCs w:val="24"/>
        </w:rPr>
        <w:t>hared by tenants</w:t>
      </w:r>
      <w:r w:rsidR="000444EF">
        <w:rPr>
          <w:sz w:val="24"/>
          <w:szCs w:val="24"/>
        </w:rPr>
        <w:t xml:space="preserve"> in multi-</w:t>
      </w:r>
      <w:r w:rsidR="009E1B72">
        <w:rPr>
          <w:sz w:val="24"/>
          <w:szCs w:val="24"/>
        </w:rPr>
        <w:t>unit</w:t>
      </w:r>
      <w:r w:rsidR="000444EF">
        <w:rPr>
          <w:sz w:val="24"/>
          <w:szCs w:val="24"/>
        </w:rPr>
        <w:t xml:space="preserve"> housing.</w:t>
      </w:r>
      <w:r w:rsidR="00A9661B">
        <w:rPr>
          <w:rStyle w:val="FootnoteReference"/>
          <w:sz w:val="24"/>
          <w:szCs w:val="24"/>
        </w:rPr>
        <w:footnoteReference w:id="2"/>
      </w:r>
      <w:r w:rsidR="000444EF">
        <w:rPr>
          <w:sz w:val="24"/>
          <w:szCs w:val="24"/>
        </w:rPr>
        <w:t xml:space="preserve"> </w:t>
      </w:r>
      <w:r w:rsidR="00802843">
        <w:rPr>
          <w:sz w:val="24"/>
          <w:szCs w:val="24"/>
        </w:rPr>
        <w:t xml:space="preserve"> </w:t>
      </w:r>
      <w:r w:rsidR="00537689" w:rsidRPr="000773A9">
        <w:rPr>
          <w:sz w:val="24"/>
          <w:szCs w:val="24"/>
        </w:rPr>
        <w:t xml:space="preserve">Renovation events occurring in </w:t>
      </w:r>
      <w:r w:rsidR="000444EF">
        <w:rPr>
          <w:sz w:val="24"/>
          <w:szCs w:val="24"/>
        </w:rPr>
        <w:t xml:space="preserve">occupied </w:t>
      </w:r>
      <w:r w:rsidR="00537689" w:rsidRPr="000773A9">
        <w:rPr>
          <w:sz w:val="24"/>
          <w:szCs w:val="24"/>
        </w:rPr>
        <w:t xml:space="preserve">rental units require </w:t>
      </w:r>
      <w:r w:rsidR="00940102">
        <w:rPr>
          <w:sz w:val="24"/>
          <w:szCs w:val="24"/>
        </w:rPr>
        <w:t>firms performing renovation</w:t>
      </w:r>
      <w:r w:rsidR="00537689" w:rsidRPr="000773A9">
        <w:rPr>
          <w:sz w:val="24"/>
          <w:szCs w:val="24"/>
        </w:rPr>
        <w:t xml:space="preserve">s to prepare acknowledgment forms for, distribute pamphlets to, and obtain acknowledgments from, both the owner and the tenant of the unit.  On the other hand, when renovation events take place in </w:t>
      </w:r>
      <w:r w:rsidR="000444EF">
        <w:rPr>
          <w:sz w:val="24"/>
          <w:szCs w:val="24"/>
        </w:rPr>
        <w:t xml:space="preserve">unoccupied units or </w:t>
      </w:r>
      <w:r w:rsidR="00537689" w:rsidRPr="000444EF">
        <w:rPr>
          <w:sz w:val="24"/>
          <w:szCs w:val="24"/>
        </w:rPr>
        <w:t>common</w:t>
      </w:r>
      <w:r w:rsidR="00537689" w:rsidRPr="000773A9">
        <w:rPr>
          <w:sz w:val="24"/>
          <w:szCs w:val="24"/>
        </w:rPr>
        <w:t xml:space="preserve"> areas</w:t>
      </w:r>
      <w:r w:rsidR="000444EF">
        <w:rPr>
          <w:sz w:val="24"/>
          <w:szCs w:val="24"/>
        </w:rPr>
        <w:t>,</w:t>
      </w:r>
      <w:r w:rsidR="00537689" w:rsidRPr="000773A9">
        <w:rPr>
          <w:sz w:val="24"/>
          <w:szCs w:val="24"/>
        </w:rPr>
        <w:t xml:space="preserve"> these activities (prepare certification form, distribute pamphlet, </w:t>
      </w:r>
      <w:r w:rsidR="000444EF">
        <w:rPr>
          <w:sz w:val="24"/>
          <w:szCs w:val="24"/>
        </w:rPr>
        <w:t xml:space="preserve">and </w:t>
      </w:r>
      <w:r w:rsidR="00537689" w:rsidRPr="000773A9">
        <w:rPr>
          <w:sz w:val="24"/>
          <w:szCs w:val="24"/>
        </w:rPr>
        <w:t xml:space="preserve">obtain acknowledgment) apply only to owners of the unit.  For occupants affected by </w:t>
      </w:r>
      <w:r w:rsidR="00537689" w:rsidRPr="000444EF">
        <w:rPr>
          <w:sz w:val="24"/>
          <w:szCs w:val="24"/>
        </w:rPr>
        <w:t>common</w:t>
      </w:r>
      <w:r w:rsidR="00537689" w:rsidRPr="000773A9">
        <w:rPr>
          <w:sz w:val="24"/>
          <w:szCs w:val="24"/>
        </w:rPr>
        <w:t xml:space="preserve"> area renovations, </w:t>
      </w:r>
      <w:r w:rsidR="00940102">
        <w:rPr>
          <w:sz w:val="24"/>
          <w:szCs w:val="24"/>
        </w:rPr>
        <w:t>firms performing renovation</w:t>
      </w:r>
      <w:r w:rsidR="00537689" w:rsidRPr="000773A9">
        <w:rPr>
          <w:sz w:val="24"/>
          <w:szCs w:val="24"/>
        </w:rPr>
        <w:t xml:space="preserve">s are required to ensure written notification of the intended renovation activity and, if requested, make the pamphlet available to any tenants making such a request.  The </w:t>
      </w:r>
      <w:r w:rsidR="00940102">
        <w:rPr>
          <w:sz w:val="24"/>
          <w:szCs w:val="24"/>
        </w:rPr>
        <w:t>firm performing renovation</w:t>
      </w:r>
      <w:r w:rsidR="00537689" w:rsidRPr="000773A9">
        <w:rPr>
          <w:sz w:val="24"/>
          <w:szCs w:val="24"/>
        </w:rPr>
        <w:t xml:space="preserve"> must also document this disclosure activity by preparing a written statement describing the steps performed to notify all occupants of the intended renovation activities.  </w:t>
      </w:r>
      <w:r w:rsidR="000444EF">
        <w:rPr>
          <w:sz w:val="24"/>
          <w:szCs w:val="24"/>
        </w:rPr>
        <w:t>T</w:t>
      </w:r>
      <w:r w:rsidR="00537689" w:rsidRPr="000773A9">
        <w:rPr>
          <w:sz w:val="24"/>
          <w:szCs w:val="24"/>
        </w:rPr>
        <w:t xml:space="preserve">his ICR </w:t>
      </w:r>
      <w:r w:rsidR="003E4841">
        <w:rPr>
          <w:sz w:val="24"/>
          <w:szCs w:val="24"/>
        </w:rPr>
        <w:t xml:space="preserve">analysis assumes </w:t>
      </w:r>
      <w:r w:rsidR="00537689" w:rsidRPr="000773A9">
        <w:rPr>
          <w:sz w:val="24"/>
          <w:szCs w:val="24"/>
        </w:rPr>
        <w:t>propert</w:t>
      </w:r>
      <w:r w:rsidR="003146CF" w:rsidRPr="000773A9">
        <w:rPr>
          <w:sz w:val="24"/>
          <w:szCs w:val="24"/>
        </w:rPr>
        <w:t>y owners will post a single copy</w:t>
      </w:r>
      <w:r w:rsidR="00537689" w:rsidRPr="000773A9">
        <w:rPr>
          <w:sz w:val="24"/>
          <w:szCs w:val="24"/>
        </w:rPr>
        <w:t xml:space="preserve"> of the pamphlet in </w:t>
      </w:r>
      <w:r w:rsidR="003146CF" w:rsidRPr="000773A9">
        <w:rPr>
          <w:sz w:val="24"/>
          <w:szCs w:val="24"/>
        </w:rPr>
        <w:t xml:space="preserve">affected </w:t>
      </w:r>
      <w:r w:rsidR="003146CF" w:rsidRPr="003E4841">
        <w:rPr>
          <w:sz w:val="24"/>
          <w:szCs w:val="24"/>
        </w:rPr>
        <w:t>common</w:t>
      </w:r>
      <w:r w:rsidR="003146CF" w:rsidRPr="000773A9">
        <w:rPr>
          <w:sz w:val="24"/>
          <w:szCs w:val="24"/>
        </w:rPr>
        <w:t xml:space="preserve"> area</w:t>
      </w:r>
      <w:r w:rsidR="003E4841">
        <w:rPr>
          <w:sz w:val="24"/>
          <w:szCs w:val="24"/>
        </w:rPr>
        <w:t>s</w:t>
      </w:r>
      <w:r w:rsidR="00537689" w:rsidRPr="000773A9">
        <w:rPr>
          <w:sz w:val="24"/>
          <w:szCs w:val="24"/>
        </w:rPr>
        <w:t>, thereby making the</w:t>
      </w:r>
      <w:r w:rsidR="003E4841">
        <w:rPr>
          <w:sz w:val="24"/>
          <w:szCs w:val="24"/>
        </w:rPr>
        <w:t xml:space="preserve"> information </w:t>
      </w:r>
      <w:r w:rsidR="00537689" w:rsidRPr="000773A9">
        <w:rPr>
          <w:sz w:val="24"/>
          <w:szCs w:val="24"/>
        </w:rPr>
        <w:t xml:space="preserve">available to any interested tenants.  </w:t>
      </w:r>
    </w:p>
    <w:p w:rsidR="00537689" w:rsidRPr="000773A9" w:rsidRDefault="00537689" w:rsidP="00537689">
      <w:pPr>
        <w:numPr>
          <w:ilvl w:val="12"/>
          <w:numId w:val="0"/>
        </w:numPr>
        <w:ind w:firstLine="720"/>
        <w:rPr>
          <w:sz w:val="24"/>
          <w:szCs w:val="24"/>
        </w:rPr>
      </w:pPr>
    </w:p>
    <w:p w:rsidR="002C4FF6" w:rsidRDefault="00537689" w:rsidP="00537689">
      <w:pPr>
        <w:numPr>
          <w:ilvl w:val="12"/>
          <w:numId w:val="0"/>
        </w:numPr>
        <w:rPr>
          <w:sz w:val="24"/>
          <w:szCs w:val="24"/>
        </w:rPr>
      </w:pPr>
      <w:r w:rsidRPr="000773A9">
        <w:rPr>
          <w:sz w:val="24"/>
          <w:szCs w:val="24"/>
        </w:rPr>
        <w:tab/>
      </w:r>
      <w:r w:rsidR="006E6EB2">
        <w:rPr>
          <w:sz w:val="24"/>
          <w:szCs w:val="24"/>
        </w:rPr>
        <w:t>T</w:t>
      </w:r>
      <w:r w:rsidRPr="000773A9">
        <w:rPr>
          <w:sz w:val="24"/>
          <w:szCs w:val="24"/>
        </w:rPr>
        <w:t>he R</w:t>
      </w:r>
      <w:r w:rsidR="003146CF" w:rsidRPr="000773A9">
        <w:rPr>
          <w:sz w:val="24"/>
          <w:szCs w:val="24"/>
        </w:rPr>
        <w:t xml:space="preserve">egulatory Impact Analysis for the </w:t>
      </w:r>
      <w:r w:rsidR="00833BC3">
        <w:rPr>
          <w:sz w:val="24"/>
          <w:szCs w:val="24"/>
        </w:rPr>
        <w:t xml:space="preserve">TSCA section </w:t>
      </w:r>
      <w:r w:rsidR="003146CF" w:rsidRPr="000773A9">
        <w:rPr>
          <w:sz w:val="24"/>
          <w:szCs w:val="24"/>
        </w:rPr>
        <w:t xml:space="preserve">406(b) </w:t>
      </w:r>
      <w:r w:rsidR="00CC1A88" w:rsidRPr="000773A9">
        <w:rPr>
          <w:sz w:val="24"/>
          <w:szCs w:val="24"/>
        </w:rPr>
        <w:t>r</w:t>
      </w:r>
      <w:r w:rsidR="003146CF" w:rsidRPr="000773A9">
        <w:rPr>
          <w:sz w:val="24"/>
          <w:szCs w:val="24"/>
        </w:rPr>
        <w:t xml:space="preserve">ule </w:t>
      </w:r>
      <w:r w:rsidR="00EF3753" w:rsidRPr="000773A9">
        <w:rPr>
          <w:sz w:val="24"/>
          <w:szCs w:val="24"/>
        </w:rPr>
        <w:t xml:space="preserve">concluded </w:t>
      </w:r>
      <w:r w:rsidRPr="000773A9">
        <w:rPr>
          <w:sz w:val="24"/>
          <w:szCs w:val="24"/>
        </w:rPr>
        <w:t xml:space="preserve">that </w:t>
      </w:r>
      <w:r w:rsidR="00580C84">
        <w:rPr>
          <w:sz w:val="24"/>
          <w:szCs w:val="24"/>
        </w:rPr>
        <w:t xml:space="preserve">most </w:t>
      </w:r>
      <w:r w:rsidR="00EF3753" w:rsidRPr="000773A9">
        <w:rPr>
          <w:sz w:val="24"/>
          <w:szCs w:val="24"/>
        </w:rPr>
        <w:t xml:space="preserve">renovation activities occur while the unit is vacant </w:t>
      </w:r>
      <w:r w:rsidR="00580C84">
        <w:rPr>
          <w:sz w:val="24"/>
          <w:szCs w:val="24"/>
        </w:rPr>
        <w:t xml:space="preserve">in </w:t>
      </w:r>
      <w:r w:rsidRPr="000773A9">
        <w:rPr>
          <w:sz w:val="24"/>
          <w:szCs w:val="24"/>
        </w:rPr>
        <w:t>between tenants</w:t>
      </w:r>
      <w:r w:rsidR="00EF3753" w:rsidRPr="000773A9">
        <w:rPr>
          <w:sz w:val="24"/>
          <w:szCs w:val="24"/>
        </w:rPr>
        <w:t>.</w:t>
      </w:r>
      <w:r w:rsidR="00CC1A88" w:rsidRPr="000773A9">
        <w:rPr>
          <w:rStyle w:val="FootnoteReference"/>
          <w:sz w:val="24"/>
          <w:szCs w:val="24"/>
        </w:rPr>
        <w:footnoteReference w:id="3"/>
      </w:r>
      <w:r w:rsidR="00580C84">
        <w:rPr>
          <w:sz w:val="24"/>
          <w:szCs w:val="24"/>
        </w:rPr>
        <w:t xml:space="preserve">  </w:t>
      </w:r>
      <w:r w:rsidRPr="000773A9">
        <w:rPr>
          <w:sz w:val="24"/>
          <w:szCs w:val="24"/>
        </w:rPr>
        <w:t xml:space="preserve">EPA </w:t>
      </w:r>
      <w:r w:rsidR="00580C84">
        <w:rPr>
          <w:sz w:val="24"/>
          <w:szCs w:val="24"/>
        </w:rPr>
        <w:t xml:space="preserve">assumes </w:t>
      </w:r>
      <w:r w:rsidR="00833BC3">
        <w:rPr>
          <w:sz w:val="24"/>
          <w:szCs w:val="24"/>
        </w:rPr>
        <w:t>that only one-</w:t>
      </w:r>
      <w:r w:rsidRPr="000773A9">
        <w:rPr>
          <w:sz w:val="24"/>
          <w:szCs w:val="24"/>
        </w:rPr>
        <w:t xml:space="preserve">fourth of the </w:t>
      </w:r>
      <w:r w:rsidR="00580C84">
        <w:rPr>
          <w:sz w:val="24"/>
          <w:szCs w:val="24"/>
        </w:rPr>
        <w:t xml:space="preserve">renovations in </w:t>
      </w:r>
      <w:r w:rsidRPr="000773A9">
        <w:rPr>
          <w:sz w:val="24"/>
          <w:szCs w:val="24"/>
        </w:rPr>
        <w:t xml:space="preserve">rental property </w:t>
      </w:r>
      <w:r w:rsidR="00580C84">
        <w:rPr>
          <w:sz w:val="24"/>
          <w:szCs w:val="24"/>
        </w:rPr>
        <w:t xml:space="preserve">will occur </w:t>
      </w:r>
      <w:r w:rsidRPr="000773A9">
        <w:rPr>
          <w:sz w:val="24"/>
          <w:szCs w:val="24"/>
        </w:rPr>
        <w:t xml:space="preserve">while </w:t>
      </w:r>
      <w:r w:rsidR="00580C84">
        <w:rPr>
          <w:sz w:val="24"/>
          <w:szCs w:val="24"/>
        </w:rPr>
        <w:t xml:space="preserve">the unit </w:t>
      </w:r>
      <w:r w:rsidRPr="000773A9">
        <w:rPr>
          <w:sz w:val="24"/>
          <w:szCs w:val="24"/>
        </w:rPr>
        <w:t xml:space="preserve">is occupied. </w:t>
      </w:r>
      <w:r w:rsidR="00B030B6">
        <w:rPr>
          <w:sz w:val="24"/>
          <w:szCs w:val="24"/>
        </w:rPr>
        <w:t xml:space="preserve"> When applied to the estimate that there are there are an average of </w:t>
      </w:r>
      <w:r w:rsidR="00F95528">
        <w:rPr>
          <w:sz w:val="24"/>
          <w:szCs w:val="24"/>
        </w:rPr>
        <w:t>5,789,495</w:t>
      </w:r>
      <w:r w:rsidR="00B030B6" w:rsidRPr="000773A9">
        <w:rPr>
          <w:sz w:val="24"/>
          <w:szCs w:val="24"/>
        </w:rPr>
        <w:t xml:space="preserve"> </w:t>
      </w:r>
      <w:r w:rsidR="00B030B6">
        <w:rPr>
          <w:sz w:val="24"/>
          <w:szCs w:val="24"/>
        </w:rPr>
        <w:t xml:space="preserve">LSWP </w:t>
      </w:r>
      <w:r w:rsidR="00B030B6" w:rsidRPr="000773A9">
        <w:rPr>
          <w:sz w:val="24"/>
          <w:szCs w:val="24"/>
        </w:rPr>
        <w:t xml:space="preserve">renovations </w:t>
      </w:r>
      <w:r w:rsidR="00B030B6">
        <w:rPr>
          <w:sz w:val="24"/>
          <w:szCs w:val="24"/>
        </w:rPr>
        <w:t xml:space="preserve">per year </w:t>
      </w:r>
      <w:r w:rsidR="00B030B6" w:rsidRPr="000773A9">
        <w:rPr>
          <w:sz w:val="24"/>
          <w:szCs w:val="24"/>
        </w:rPr>
        <w:t>in rental target housing</w:t>
      </w:r>
      <w:r w:rsidR="00B030B6">
        <w:rPr>
          <w:sz w:val="24"/>
          <w:szCs w:val="24"/>
        </w:rPr>
        <w:t xml:space="preserve">, this results in an estimate that </w:t>
      </w:r>
      <w:r w:rsidRPr="000773A9">
        <w:rPr>
          <w:sz w:val="24"/>
          <w:szCs w:val="24"/>
        </w:rPr>
        <w:t>the notification provisions of the TSCA section 406(b) rule will apply to</w:t>
      </w:r>
      <w:r w:rsidR="004C19D6">
        <w:rPr>
          <w:sz w:val="24"/>
          <w:szCs w:val="24"/>
        </w:rPr>
        <w:t xml:space="preserve"> </w:t>
      </w:r>
      <w:r w:rsidR="00F95528">
        <w:rPr>
          <w:sz w:val="24"/>
          <w:szCs w:val="24"/>
        </w:rPr>
        <w:t>1,447,374</w:t>
      </w:r>
      <w:r w:rsidR="00E80ABB" w:rsidRPr="000773A9">
        <w:rPr>
          <w:sz w:val="24"/>
          <w:szCs w:val="24"/>
        </w:rPr>
        <w:t xml:space="preserve"> </w:t>
      </w:r>
      <w:r w:rsidR="00580C84">
        <w:rPr>
          <w:sz w:val="24"/>
          <w:szCs w:val="24"/>
        </w:rPr>
        <w:t xml:space="preserve">renovations </w:t>
      </w:r>
      <w:r w:rsidR="00B030B6">
        <w:rPr>
          <w:sz w:val="24"/>
          <w:szCs w:val="24"/>
        </w:rPr>
        <w:t xml:space="preserve">per year </w:t>
      </w:r>
      <w:r w:rsidR="00580C84">
        <w:rPr>
          <w:sz w:val="24"/>
          <w:szCs w:val="24"/>
        </w:rPr>
        <w:t xml:space="preserve">in </w:t>
      </w:r>
      <w:r w:rsidR="00B030B6">
        <w:rPr>
          <w:sz w:val="24"/>
          <w:szCs w:val="24"/>
        </w:rPr>
        <w:t xml:space="preserve">occupied rental </w:t>
      </w:r>
      <w:r w:rsidR="00580C84">
        <w:rPr>
          <w:sz w:val="24"/>
          <w:szCs w:val="24"/>
        </w:rPr>
        <w:t>unit</w:t>
      </w:r>
      <w:r w:rsidR="00B030B6">
        <w:rPr>
          <w:sz w:val="24"/>
          <w:szCs w:val="24"/>
        </w:rPr>
        <w:t>s and</w:t>
      </w:r>
      <w:r w:rsidR="004C19D6">
        <w:rPr>
          <w:sz w:val="24"/>
          <w:szCs w:val="24"/>
        </w:rPr>
        <w:t xml:space="preserve"> </w:t>
      </w:r>
      <w:r w:rsidR="00F95528">
        <w:rPr>
          <w:sz w:val="24"/>
          <w:szCs w:val="24"/>
        </w:rPr>
        <w:t>4,342,121</w:t>
      </w:r>
      <w:r w:rsidR="00E21D75">
        <w:rPr>
          <w:sz w:val="24"/>
          <w:szCs w:val="24"/>
        </w:rPr>
        <w:t xml:space="preserve"> renovations </w:t>
      </w:r>
      <w:r w:rsidR="00B030B6">
        <w:rPr>
          <w:sz w:val="24"/>
          <w:szCs w:val="24"/>
        </w:rPr>
        <w:t xml:space="preserve">per year </w:t>
      </w:r>
      <w:r w:rsidR="00E21D75">
        <w:rPr>
          <w:sz w:val="24"/>
          <w:szCs w:val="24"/>
        </w:rPr>
        <w:t xml:space="preserve">in </w:t>
      </w:r>
      <w:r w:rsidR="00B05DE5">
        <w:rPr>
          <w:sz w:val="24"/>
          <w:szCs w:val="24"/>
        </w:rPr>
        <w:t xml:space="preserve">vacant </w:t>
      </w:r>
      <w:r w:rsidR="00B030B6">
        <w:rPr>
          <w:sz w:val="24"/>
          <w:szCs w:val="24"/>
        </w:rPr>
        <w:t xml:space="preserve">units and </w:t>
      </w:r>
      <w:r w:rsidR="00B05DE5">
        <w:rPr>
          <w:sz w:val="24"/>
          <w:szCs w:val="24"/>
        </w:rPr>
        <w:t xml:space="preserve">in </w:t>
      </w:r>
      <w:r w:rsidR="00E21D75" w:rsidRPr="00B030B6">
        <w:rPr>
          <w:sz w:val="24"/>
          <w:szCs w:val="24"/>
        </w:rPr>
        <w:t>common</w:t>
      </w:r>
      <w:r w:rsidR="00E21D75">
        <w:rPr>
          <w:sz w:val="24"/>
          <w:szCs w:val="24"/>
        </w:rPr>
        <w:t xml:space="preserve"> areas</w:t>
      </w:r>
      <w:r w:rsidRPr="000773A9">
        <w:rPr>
          <w:sz w:val="24"/>
          <w:szCs w:val="24"/>
        </w:rPr>
        <w:t xml:space="preserve">.  </w:t>
      </w:r>
    </w:p>
    <w:p w:rsidR="002C4FF6" w:rsidRDefault="002C4FF6" w:rsidP="00537689">
      <w:pPr>
        <w:numPr>
          <w:ilvl w:val="12"/>
          <w:numId w:val="0"/>
        </w:numPr>
        <w:rPr>
          <w:sz w:val="24"/>
          <w:szCs w:val="24"/>
        </w:rPr>
      </w:pPr>
    </w:p>
    <w:p w:rsidR="00A55451" w:rsidRPr="000773A9" w:rsidRDefault="002C4FF6" w:rsidP="002C4FF6">
      <w:pPr>
        <w:numPr>
          <w:ilvl w:val="12"/>
          <w:numId w:val="0"/>
        </w:numPr>
        <w:ind w:firstLine="720"/>
        <w:rPr>
          <w:sz w:val="24"/>
          <w:szCs w:val="24"/>
        </w:rPr>
      </w:pPr>
      <w:r>
        <w:rPr>
          <w:sz w:val="24"/>
          <w:szCs w:val="24"/>
        </w:rPr>
        <w:t xml:space="preserve">As shown in </w:t>
      </w:r>
      <w:r w:rsidR="00537689" w:rsidRPr="000773A9">
        <w:rPr>
          <w:sz w:val="24"/>
          <w:szCs w:val="24"/>
        </w:rPr>
        <w:fldChar w:fldCharType="begin"/>
      </w:r>
      <w:r w:rsidR="00537689" w:rsidRPr="000773A9">
        <w:rPr>
          <w:sz w:val="24"/>
          <w:szCs w:val="24"/>
        </w:rPr>
        <w:instrText xml:space="preserve"> REF _Ref269986704 \h  \* MERGEFORMAT </w:instrText>
      </w:r>
      <w:r w:rsidR="00537689" w:rsidRPr="000773A9">
        <w:rPr>
          <w:sz w:val="24"/>
          <w:szCs w:val="24"/>
        </w:rPr>
      </w:r>
      <w:r w:rsidR="00537689" w:rsidRPr="000773A9">
        <w:rPr>
          <w:sz w:val="24"/>
          <w:szCs w:val="24"/>
        </w:rPr>
        <w:fldChar w:fldCharType="separate"/>
      </w:r>
      <w:r w:rsidR="00D067A1" w:rsidRPr="00D067A1">
        <w:rPr>
          <w:sz w:val="24"/>
          <w:szCs w:val="24"/>
        </w:rPr>
        <w:t>Exhibit 6.1</w:t>
      </w:r>
      <w:r w:rsidR="00537689" w:rsidRPr="000773A9">
        <w:rPr>
          <w:sz w:val="24"/>
          <w:szCs w:val="24"/>
        </w:rPr>
        <w:fldChar w:fldCharType="end"/>
      </w:r>
      <w:r>
        <w:rPr>
          <w:sz w:val="24"/>
          <w:szCs w:val="24"/>
        </w:rPr>
        <w:t xml:space="preserve">, there are </w:t>
      </w:r>
      <w:r w:rsidR="00F37633">
        <w:rPr>
          <w:sz w:val="24"/>
          <w:szCs w:val="24"/>
        </w:rPr>
        <w:t>on</w:t>
      </w:r>
      <w:r>
        <w:rPr>
          <w:sz w:val="24"/>
          <w:szCs w:val="24"/>
        </w:rPr>
        <w:t xml:space="preserve"> average </w:t>
      </w:r>
      <w:r w:rsidR="00F95528">
        <w:rPr>
          <w:sz w:val="24"/>
          <w:szCs w:val="24"/>
        </w:rPr>
        <w:t>11,159,091</w:t>
      </w:r>
      <w:r>
        <w:rPr>
          <w:sz w:val="24"/>
          <w:szCs w:val="24"/>
        </w:rPr>
        <w:t xml:space="preserve"> LSWP events per year in target housing affected by the rule.  </w:t>
      </w:r>
    </w:p>
    <w:p w:rsidR="00537689" w:rsidRPr="000773A9" w:rsidRDefault="00537689" w:rsidP="00537689">
      <w:pPr>
        <w:numPr>
          <w:ilvl w:val="12"/>
          <w:numId w:val="0"/>
        </w:numPr>
        <w:rPr>
          <w:sz w:val="24"/>
          <w:szCs w:val="24"/>
        </w:rPr>
      </w:pPr>
      <w:r w:rsidRPr="000773A9">
        <w:rPr>
          <w:sz w:val="24"/>
          <w:szCs w:val="24"/>
        </w:rPr>
        <w:tab/>
      </w:r>
    </w:p>
    <w:tbl>
      <w:tblPr>
        <w:tblW w:w="9102" w:type="dxa"/>
        <w:jc w:val="center"/>
        <w:tblLayout w:type="fixed"/>
        <w:tblCellMar>
          <w:left w:w="100" w:type="dxa"/>
          <w:right w:w="100" w:type="dxa"/>
        </w:tblCellMar>
        <w:tblLook w:val="0000" w:firstRow="0" w:lastRow="0" w:firstColumn="0" w:lastColumn="0" w:noHBand="0" w:noVBand="0"/>
      </w:tblPr>
      <w:tblGrid>
        <w:gridCol w:w="3291"/>
        <w:gridCol w:w="1452"/>
        <w:gridCol w:w="1453"/>
        <w:gridCol w:w="1453"/>
        <w:gridCol w:w="1453"/>
      </w:tblGrid>
      <w:tr w:rsidR="00537689" w:rsidRPr="000773A9" w:rsidTr="00537689">
        <w:trPr>
          <w:cantSplit/>
          <w:trHeight w:val="495"/>
          <w:jc w:val="center"/>
        </w:trPr>
        <w:tc>
          <w:tcPr>
            <w:tcW w:w="9102" w:type="dxa"/>
            <w:gridSpan w:val="5"/>
            <w:tcBorders>
              <w:top w:val="nil"/>
              <w:bottom w:val="nil"/>
            </w:tcBorders>
          </w:tcPr>
          <w:p w:rsidR="00537689" w:rsidRPr="000773A9" w:rsidRDefault="00537689" w:rsidP="00607696">
            <w:pPr>
              <w:keepNext/>
              <w:jc w:val="center"/>
              <w:rPr>
                <w:rFonts w:eastAsia="Arial Unicode MS"/>
                <w:b/>
                <w:bCs/>
                <w:szCs w:val="16"/>
              </w:rPr>
            </w:pPr>
            <w:bookmarkStart w:id="1" w:name="_Ref269986704"/>
            <w:bookmarkStart w:id="2" w:name="OLE_LINK1"/>
            <w:bookmarkStart w:id="3" w:name="OLE_LINK2"/>
            <w:r w:rsidRPr="000773A9">
              <w:rPr>
                <w:rFonts w:eastAsia="Arial Unicode MS"/>
                <w:b/>
                <w:bCs/>
                <w:szCs w:val="16"/>
              </w:rPr>
              <w:lastRenderedPageBreak/>
              <w:t>Exhibit 6.</w:t>
            </w:r>
            <w:r w:rsidRPr="000773A9">
              <w:rPr>
                <w:rFonts w:eastAsia="Arial Unicode MS"/>
                <w:b/>
                <w:bCs/>
                <w:szCs w:val="16"/>
              </w:rPr>
              <w:fldChar w:fldCharType="begin"/>
            </w:r>
            <w:r w:rsidRPr="000773A9">
              <w:rPr>
                <w:rFonts w:eastAsia="Arial Unicode MS"/>
                <w:b/>
                <w:bCs/>
                <w:szCs w:val="16"/>
              </w:rPr>
              <w:instrText xml:space="preserve"> SEQ Exhibit_6. \* ARABIC </w:instrText>
            </w:r>
            <w:r w:rsidRPr="000773A9">
              <w:rPr>
                <w:rFonts w:eastAsia="Arial Unicode MS"/>
                <w:b/>
                <w:bCs/>
                <w:szCs w:val="16"/>
              </w:rPr>
              <w:fldChar w:fldCharType="separate"/>
            </w:r>
            <w:r w:rsidR="00D067A1">
              <w:rPr>
                <w:rFonts w:eastAsia="Arial Unicode MS"/>
                <w:b/>
                <w:bCs/>
                <w:noProof/>
                <w:szCs w:val="16"/>
              </w:rPr>
              <w:t>1</w:t>
            </w:r>
            <w:r w:rsidRPr="000773A9">
              <w:rPr>
                <w:rFonts w:eastAsia="Arial Unicode MS"/>
                <w:b/>
                <w:bCs/>
                <w:szCs w:val="16"/>
              </w:rPr>
              <w:fldChar w:fldCharType="end"/>
            </w:r>
            <w:bookmarkEnd w:id="1"/>
            <w:r w:rsidRPr="000773A9">
              <w:rPr>
                <w:rFonts w:eastAsia="Arial Unicode MS"/>
                <w:b/>
                <w:bCs/>
                <w:szCs w:val="16"/>
              </w:rPr>
              <w:t>: Summar</w:t>
            </w:r>
            <w:r w:rsidR="0061048C" w:rsidRPr="000773A9">
              <w:rPr>
                <w:rFonts w:eastAsia="Arial Unicode MS"/>
                <w:b/>
                <w:bCs/>
                <w:szCs w:val="16"/>
              </w:rPr>
              <w:t>y of Renovation Events in Target Housing</w:t>
            </w:r>
          </w:p>
        </w:tc>
      </w:tr>
      <w:tr w:rsidR="00537689" w:rsidRPr="000773A9" w:rsidTr="00537689">
        <w:trPr>
          <w:cantSplit/>
          <w:jc w:val="center"/>
        </w:trPr>
        <w:tc>
          <w:tcPr>
            <w:tcW w:w="3291" w:type="dxa"/>
            <w:tcBorders>
              <w:top w:val="single" w:sz="6" w:space="0" w:color="000000"/>
              <w:left w:val="single" w:sz="6" w:space="0" w:color="000000"/>
              <w:bottom w:val="nil"/>
              <w:right w:val="nil"/>
            </w:tcBorders>
          </w:tcPr>
          <w:p w:rsidR="00537689" w:rsidRPr="000773A9" w:rsidRDefault="00537689" w:rsidP="00537689">
            <w:pPr>
              <w:keepNext/>
              <w:numPr>
                <w:ilvl w:val="12"/>
                <w:numId w:val="0"/>
              </w:numPr>
              <w:spacing w:before="100" w:after="52"/>
            </w:pPr>
          </w:p>
        </w:tc>
        <w:tc>
          <w:tcPr>
            <w:tcW w:w="1452" w:type="dxa"/>
            <w:tcBorders>
              <w:top w:val="single" w:sz="4" w:space="0" w:color="auto"/>
              <w:left w:val="single" w:sz="6" w:space="0" w:color="000000"/>
              <w:bottom w:val="nil"/>
              <w:right w:val="single" w:sz="4" w:space="0" w:color="auto"/>
            </w:tcBorders>
          </w:tcPr>
          <w:p w:rsidR="00537689" w:rsidRPr="000773A9" w:rsidRDefault="00537689" w:rsidP="00537689">
            <w:pPr>
              <w:keepNext/>
              <w:numPr>
                <w:ilvl w:val="12"/>
                <w:numId w:val="0"/>
              </w:numPr>
              <w:spacing w:before="100" w:after="52"/>
              <w:jc w:val="center"/>
              <w:rPr>
                <w:b/>
              </w:rPr>
            </w:pPr>
            <w:r w:rsidRPr="000773A9">
              <w:rPr>
                <w:b/>
              </w:rPr>
              <w:t>Year 1</w:t>
            </w:r>
          </w:p>
        </w:tc>
        <w:tc>
          <w:tcPr>
            <w:tcW w:w="1453" w:type="dxa"/>
            <w:tcBorders>
              <w:top w:val="single" w:sz="4" w:space="0" w:color="auto"/>
              <w:left w:val="single" w:sz="4" w:space="0" w:color="auto"/>
              <w:bottom w:val="nil"/>
              <w:right w:val="single" w:sz="4" w:space="0" w:color="auto"/>
            </w:tcBorders>
          </w:tcPr>
          <w:p w:rsidR="00537689" w:rsidRPr="000773A9" w:rsidRDefault="00537689" w:rsidP="00537689">
            <w:pPr>
              <w:keepNext/>
              <w:numPr>
                <w:ilvl w:val="12"/>
                <w:numId w:val="0"/>
              </w:numPr>
              <w:spacing w:before="100" w:after="52"/>
              <w:jc w:val="center"/>
              <w:rPr>
                <w:b/>
              </w:rPr>
            </w:pPr>
            <w:r w:rsidRPr="000773A9">
              <w:rPr>
                <w:b/>
              </w:rPr>
              <w:t>Year 2</w:t>
            </w:r>
          </w:p>
        </w:tc>
        <w:tc>
          <w:tcPr>
            <w:tcW w:w="1453" w:type="dxa"/>
            <w:tcBorders>
              <w:top w:val="single" w:sz="6" w:space="0" w:color="000000"/>
              <w:left w:val="single" w:sz="4" w:space="0" w:color="auto"/>
              <w:bottom w:val="nil"/>
              <w:right w:val="single" w:sz="4" w:space="0" w:color="auto"/>
            </w:tcBorders>
          </w:tcPr>
          <w:p w:rsidR="00537689" w:rsidRPr="000773A9" w:rsidRDefault="00537689" w:rsidP="00537689">
            <w:pPr>
              <w:keepNext/>
              <w:numPr>
                <w:ilvl w:val="12"/>
                <w:numId w:val="0"/>
              </w:numPr>
              <w:spacing w:before="100" w:after="52"/>
              <w:jc w:val="center"/>
              <w:rPr>
                <w:b/>
              </w:rPr>
            </w:pPr>
            <w:r w:rsidRPr="000773A9">
              <w:rPr>
                <w:b/>
              </w:rPr>
              <w:t>Year 3</w:t>
            </w:r>
          </w:p>
        </w:tc>
        <w:tc>
          <w:tcPr>
            <w:tcW w:w="1453" w:type="dxa"/>
            <w:tcBorders>
              <w:top w:val="single" w:sz="6" w:space="0" w:color="000000"/>
              <w:left w:val="single" w:sz="4" w:space="0" w:color="auto"/>
              <w:bottom w:val="nil"/>
              <w:right w:val="single" w:sz="4" w:space="0" w:color="auto"/>
            </w:tcBorders>
          </w:tcPr>
          <w:p w:rsidR="00537689" w:rsidRPr="000773A9" w:rsidRDefault="00537689" w:rsidP="00537689">
            <w:pPr>
              <w:keepNext/>
              <w:numPr>
                <w:ilvl w:val="12"/>
                <w:numId w:val="0"/>
              </w:numPr>
              <w:spacing w:before="100" w:after="52"/>
              <w:jc w:val="center"/>
              <w:rPr>
                <w:b/>
              </w:rPr>
            </w:pPr>
            <w:r w:rsidRPr="000773A9">
              <w:rPr>
                <w:b/>
              </w:rPr>
              <w:t>Average</w:t>
            </w:r>
          </w:p>
        </w:tc>
      </w:tr>
      <w:tr w:rsidR="00537689" w:rsidRPr="000773A9" w:rsidTr="00537689">
        <w:trPr>
          <w:cantSplit/>
          <w:jc w:val="center"/>
        </w:trPr>
        <w:tc>
          <w:tcPr>
            <w:tcW w:w="9102" w:type="dxa"/>
            <w:gridSpan w:val="5"/>
            <w:tcBorders>
              <w:top w:val="single" w:sz="6" w:space="0" w:color="000000"/>
              <w:left w:val="single" w:sz="6" w:space="0" w:color="000000"/>
              <w:bottom w:val="nil"/>
              <w:right w:val="single" w:sz="4" w:space="0" w:color="auto"/>
            </w:tcBorders>
          </w:tcPr>
          <w:p w:rsidR="00537689" w:rsidRPr="000773A9" w:rsidRDefault="00537689" w:rsidP="00537689">
            <w:pPr>
              <w:keepNext/>
              <w:jc w:val="center"/>
            </w:pPr>
            <w:r w:rsidRPr="000773A9">
              <w:t>Owner-Occupied Target Housing</w:t>
            </w:r>
          </w:p>
        </w:tc>
      </w:tr>
      <w:tr w:rsidR="00F95528" w:rsidRPr="000773A9" w:rsidTr="000474AA">
        <w:trPr>
          <w:cantSplit/>
          <w:jc w:val="center"/>
        </w:trPr>
        <w:tc>
          <w:tcPr>
            <w:tcW w:w="3291" w:type="dxa"/>
            <w:tcBorders>
              <w:top w:val="single" w:sz="6" w:space="0" w:color="000000"/>
              <w:left w:val="single" w:sz="6" w:space="0" w:color="000000"/>
              <w:bottom w:val="nil"/>
              <w:right w:val="nil"/>
            </w:tcBorders>
          </w:tcPr>
          <w:p w:rsidR="00F95528" w:rsidRPr="000773A9" w:rsidRDefault="00F95528" w:rsidP="00537689">
            <w:pPr>
              <w:keepNext/>
            </w:pPr>
            <w:r w:rsidRPr="000773A9">
              <w:t>Regulated under the 2008 RRP rule</w:t>
            </w:r>
          </w:p>
        </w:tc>
        <w:tc>
          <w:tcPr>
            <w:tcW w:w="1452" w:type="dxa"/>
            <w:tcBorders>
              <w:top w:val="single" w:sz="6" w:space="0" w:color="000000"/>
              <w:left w:val="single" w:sz="6" w:space="0" w:color="000000"/>
              <w:bottom w:val="nil"/>
              <w:right w:val="single" w:sz="4" w:space="0" w:color="auto"/>
            </w:tcBorders>
            <w:vAlign w:val="center"/>
          </w:tcPr>
          <w:p w:rsidR="00F95528" w:rsidRPr="000773A9" w:rsidRDefault="00F95528" w:rsidP="00A63128">
            <w:pPr>
              <w:ind w:right="212"/>
              <w:jc w:val="right"/>
            </w:pPr>
            <w:r>
              <w:t>909,333</w:t>
            </w:r>
          </w:p>
        </w:tc>
        <w:tc>
          <w:tcPr>
            <w:tcW w:w="1453" w:type="dxa"/>
            <w:tcBorders>
              <w:top w:val="single" w:sz="6" w:space="0" w:color="000000"/>
              <w:left w:val="single" w:sz="4" w:space="0" w:color="auto"/>
              <w:bottom w:val="nil"/>
              <w:right w:val="single" w:sz="4" w:space="0" w:color="auto"/>
            </w:tcBorders>
            <w:vAlign w:val="center"/>
          </w:tcPr>
          <w:p w:rsidR="00F95528" w:rsidRPr="000773A9" w:rsidRDefault="00F95528" w:rsidP="00A63128">
            <w:pPr>
              <w:ind w:right="212"/>
              <w:jc w:val="right"/>
            </w:pPr>
            <w:r>
              <w:t>905,605</w:t>
            </w:r>
          </w:p>
        </w:tc>
        <w:tc>
          <w:tcPr>
            <w:tcW w:w="1453" w:type="dxa"/>
            <w:tcBorders>
              <w:top w:val="single" w:sz="6" w:space="0" w:color="000000"/>
              <w:left w:val="single" w:sz="4" w:space="0" w:color="auto"/>
              <w:bottom w:val="nil"/>
              <w:right w:val="single" w:sz="4" w:space="0" w:color="auto"/>
            </w:tcBorders>
            <w:vAlign w:val="center"/>
          </w:tcPr>
          <w:p w:rsidR="00F95528" w:rsidRPr="000773A9" w:rsidRDefault="00F95528" w:rsidP="00A63128">
            <w:pPr>
              <w:ind w:right="212"/>
              <w:jc w:val="right"/>
            </w:pPr>
            <w:r>
              <w:t>901,892</w:t>
            </w:r>
          </w:p>
        </w:tc>
        <w:tc>
          <w:tcPr>
            <w:tcW w:w="1453" w:type="dxa"/>
            <w:tcBorders>
              <w:top w:val="single" w:sz="6" w:space="0" w:color="000000"/>
              <w:left w:val="single" w:sz="4" w:space="0" w:color="auto"/>
              <w:bottom w:val="nil"/>
              <w:right w:val="single" w:sz="4" w:space="0" w:color="auto"/>
            </w:tcBorders>
            <w:vAlign w:val="center"/>
          </w:tcPr>
          <w:p w:rsidR="00F95528" w:rsidRPr="000773A9" w:rsidRDefault="00F95528" w:rsidP="00A63128">
            <w:pPr>
              <w:ind w:right="212"/>
              <w:jc w:val="right"/>
            </w:pPr>
            <w:r>
              <w:t>905,610</w:t>
            </w:r>
          </w:p>
        </w:tc>
      </w:tr>
      <w:tr w:rsidR="00F95528" w:rsidRPr="000773A9" w:rsidTr="000474AA">
        <w:trPr>
          <w:cantSplit/>
          <w:jc w:val="center"/>
        </w:trPr>
        <w:tc>
          <w:tcPr>
            <w:tcW w:w="3291" w:type="dxa"/>
            <w:tcBorders>
              <w:top w:val="single" w:sz="6" w:space="0" w:color="000000"/>
              <w:left w:val="single" w:sz="6" w:space="0" w:color="000000"/>
              <w:bottom w:val="nil"/>
              <w:right w:val="nil"/>
            </w:tcBorders>
          </w:tcPr>
          <w:p w:rsidR="00F95528" w:rsidRPr="000773A9" w:rsidRDefault="00F95528" w:rsidP="00537689">
            <w:pPr>
              <w:keepNext/>
            </w:pPr>
            <w:r w:rsidRPr="000773A9">
              <w:t xml:space="preserve">Regulated under the 2010 </w:t>
            </w:r>
            <w:r>
              <w:t>Opt-out</w:t>
            </w:r>
            <w:r w:rsidRPr="000773A9">
              <w:t xml:space="preserve"> rule</w:t>
            </w:r>
          </w:p>
        </w:tc>
        <w:tc>
          <w:tcPr>
            <w:tcW w:w="1452" w:type="dxa"/>
            <w:tcBorders>
              <w:top w:val="single" w:sz="6" w:space="0" w:color="000000"/>
              <w:left w:val="single" w:sz="6" w:space="0" w:color="000000"/>
              <w:bottom w:val="nil"/>
              <w:right w:val="single" w:sz="4" w:space="0" w:color="auto"/>
            </w:tcBorders>
            <w:vAlign w:val="center"/>
          </w:tcPr>
          <w:p w:rsidR="00F95528" w:rsidRPr="000773A9" w:rsidRDefault="00F95528" w:rsidP="00A63128">
            <w:pPr>
              <w:ind w:right="212"/>
              <w:jc w:val="right"/>
            </w:pPr>
            <w:r>
              <w:t>4,482,338</w:t>
            </w:r>
          </w:p>
        </w:tc>
        <w:tc>
          <w:tcPr>
            <w:tcW w:w="1453" w:type="dxa"/>
            <w:tcBorders>
              <w:top w:val="single" w:sz="6" w:space="0" w:color="000000"/>
              <w:left w:val="single" w:sz="4" w:space="0" w:color="auto"/>
              <w:bottom w:val="nil"/>
              <w:right w:val="single" w:sz="4" w:space="0" w:color="auto"/>
            </w:tcBorders>
            <w:vAlign w:val="center"/>
          </w:tcPr>
          <w:p w:rsidR="00F95528" w:rsidRPr="000773A9" w:rsidRDefault="00F95528" w:rsidP="00A63128">
            <w:pPr>
              <w:ind w:right="212"/>
              <w:jc w:val="right"/>
            </w:pPr>
            <w:r>
              <w:t>4,463,961</w:t>
            </w:r>
          </w:p>
        </w:tc>
        <w:tc>
          <w:tcPr>
            <w:tcW w:w="1453" w:type="dxa"/>
            <w:tcBorders>
              <w:top w:val="single" w:sz="6" w:space="0" w:color="000000"/>
              <w:left w:val="single" w:sz="4" w:space="0" w:color="auto"/>
              <w:bottom w:val="nil"/>
              <w:right w:val="single" w:sz="4" w:space="0" w:color="auto"/>
            </w:tcBorders>
            <w:vAlign w:val="center"/>
          </w:tcPr>
          <w:p w:rsidR="00F95528" w:rsidRPr="000773A9" w:rsidRDefault="00F95528" w:rsidP="00A63128">
            <w:pPr>
              <w:ind w:right="212"/>
              <w:jc w:val="right"/>
            </w:pPr>
            <w:r>
              <w:t>4,445,658</w:t>
            </w:r>
          </w:p>
        </w:tc>
        <w:tc>
          <w:tcPr>
            <w:tcW w:w="1453" w:type="dxa"/>
            <w:tcBorders>
              <w:top w:val="single" w:sz="6" w:space="0" w:color="000000"/>
              <w:left w:val="single" w:sz="4" w:space="0" w:color="auto"/>
              <w:bottom w:val="nil"/>
              <w:right w:val="single" w:sz="4" w:space="0" w:color="auto"/>
            </w:tcBorders>
            <w:vAlign w:val="center"/>
          </w:tcPr>
          <w:p w:rsidR="00F95528" w:rsidRPr="000773A9" w:rsidRDefault="00F95528" w:rsidP="00A63128">
            <w:pPr>
              <w:ind w:right="212"/>
              <w:jc w:val="right"/>
            </w:pPr>
            <w:r>
              <w:t>4,463,986</w:t>
            </w:r>
          </w:p>
        </w:tc>
      </w:tr>
      <w:tr w:rsidR="00F95528" w:rsidRPr="000773A9" w:rsidTr="000474AA">
        <w:trPr>
          <w:cantSplit/>
          <w:jc w:val="center"/>
        </w:trPr>
        <w:tc>
          <w:tcPr>
            <w:tcW w:w="3291" w:type="dxa"/>
            <w:tcBorders>
              <w:top w:val="single" w:sz="6" w:space="0" w:color="000000"/>
              <w:left w:val="single" w:sz="6" w:space="0" w:color="000000"/>
              <w:bottom w:val="nil"/>
              <w:right w:val="nil"/>
            </w:tcBorders>
          </w:tcPr>
          <w:p w:rsidR="00F95528" w:rsidRPr="000773A9" w:rsidRDefault="00F95528" w:rsidP="00537689">
            <w:pPr>
              <w:keepNext/>
              <w:rPr>
                <w:i/>
              </w:rPr>
            </w:pPr>
            <w:r w:rsidRPr="000773A9">
              <w:rPr>
                <w:i/>
              </w:rPr>
              <w:t>Subtotal – Owner-Occupied Events</w:t>
            </w:r>
          </w:p>
        </w:tc>
        <w:tc>
          <w:tcPr>
            <w:tcW w:w="1452" w:type="dxa"/>
            <w:tcBorders>
              <w:top w:val="single" w:sz="6" w:space="0" w:color="000000"/>
              <w:left w:val="single" w:sz="6" w:space="0" w:color="000000"/>
              <w:bottom w:val="nil"/>
              <w:right w:val="single" w:sz="4" w:space="0" w:color="auto"/>
            </w:tcBorders>
            <w:vAlign w:val="center"/>
          </w:tcPr>
          <w:p w:rsidR="00F95528" w:rsidRPr="000773A9" w:rsidRDefault="00F95528" w:rsidP="00A63128">
            <w:pPr>
              <w:ind w:right="212"/>
              <w:jc w:val="right"/>
              <w:rPr>
                <w:i/>
                <w:iCs/>
              </w:rPr>
            </w:pPr>
            <w:r>
              <w:rPr>
                <w:i/>
                <w:iCs/>
              </w:rPr>
              <w:t>5,391,671</w:t>
            </w:r>
          </w:p>
        </w:tc>
        <w:tc>
          <w:tcPr>
            <w:tcW w:w="1453" w:type="dxa"/>
            <w:tcBorders>
              <w:top w:val="single" w:sz="6" w:space="0" w:color="000000"/>
              <w:left w:val="single" w:sz="4" w:space="0" w:color="auto"/>
              <w:bottom w:val="nil"/>
              <w:right w:val="single" w:sz="4" w:space="0" w:color="auto"/>
            </w:tcBorders>
            <w:vAlign w:val="center"/>
          </w:tcPr>
          <w:p w:rsidR="00F95528" w:rsidRPr="000773A9" w:rsidRDefault="00F95528" w:rsidP="00A63128">
            <w:pPr>
              <w:ind w:right="212"/>
              <w:jc w:val="right"/>
              <w:rPr>
                <w:i/>
                <w:iCs/>
              </w:rPr>
            </w:pPr>
            <w:r>
              <w:rPr>
                <w:i/>
                <w:iCs/>
              </w:rPr>
              <w:t>5,369,566</w:t>
            </w:r>
          </w:p>
        </w:tc>
        <w:tc>
          <w:tcPr>
            <w:tcW w:w="1453" w:type="dxa"/>
            <w:tcBorders>
              <w:top w:val="single" w:sz="6" w:space="0" w:color="000000"/>
              <w:left w:val="single" w:sz="4" w:space="0" w:color="auto"/>
              <w:bottom w:val="nil"/>
              <w:right w:val="single" w:sz="4" w:space="0" w:color="auto"/>
            </w:tcBorders>
            <w:vAlign w:val="center"/>
          </w:tcPr>
          <w:p w:rsidR="00F95528" w:rsidRPr="000773A9" w:rsidRDefault="00F95528" w:rsidP="00A63128">
            <w:pPr>
              <w:ind w:right="212"/>
              <w:jc w:val="right"/>
              <w:rPr>
                <w:i/>
                <w:iCs/>
              </w:rPr>
            </w:pPr>
            <w:r>
              <w:rPr>
                <w:i/>
                <w:iCs/>
              </w:rPr>
              <w:t>5,347,550</w:t>
            </w:r>
          </w:p>
        </w:tc>
        <w:tc>
          <w:tcPr>
            <w:tcW w:w="1453" w:type="dxa"/>
            <w:tcBorders>
              <w:top w:val="single" w:sz="6" w:space="0" w:color="000000"/>
              <w:left w:val="single" w:sz="4" w:space="0" w:color="auto"/>
              <w:bottom w:val="nil"/>
              <w:right w:val="single" w:sz="4" w:space="0" w:color="auto"/>
            </w:tcBorders>
            <w:vAlign w:val="center"/>
          </w:tcPr>
          <w:p w:rsidR="00F95528" w:rsidRPr="000773A9" w:rsidRDefault="00F95528" w:rsidP="00A63128">
            <w:pPr>
              <w:ind w:right="212"/>
              <w:jc w:val="right"/>
              <w:rPr>
                <w:i/>
                <w:iCs/>
              </w:rPr>
            </w:pPr>
            <w:r>
              <w:rPr>
                <w:i/>
                <w:iCs/>
              </w:rPr>
              <w:t>5,369,596</w:t>
            </w:r>
          </w:p>
        </w:tc>
      </w:tr>
      <w:tr w:rsidR="00537689" w:rsidRPr="000773A9" w:rsidTr="00537689">
        <w:trPr>
          <w:cantSplit/>
          <w:jc w:val="center"/>
        </w:trPr>
        <w:tc>
          <w:tcPr>
            <w:tcW w:w="9102" w:type="dxa"/>
            <w:gridSpan w:val="5"/>
            <w:tcBorders>
              <w:top w:val="single" w:sz="6" w:space="0" w:color="000000"/>
              <w:left w:val="single" w:sz="6" w:space="0" w:color="000000"/>
              <w:bottom w:val="nil"/>
              <w:right w:val="single" w:sz="4" w:space="0" w:color="auto"/>
            </w:tcBorders>
          </w:tcPr>
          <w:p w:rsidR="00537689" w:rsidRPr="000773A9" w:rsidRDefault="00537689" w:rsidP="00537689">
            <w:pPr>
              <w:keepNext/>
              <w:jc w:val="center"/>
            </w:pPr>
            <w:r w:rsidRPr="000773A9">
              <w:t>Rental Target Housing</w:t>
            </w:r>
          </w:p>
        </w:tc>
      </w:tr>
      <w:tr w:rsidR="00F95528" w:rsidRPr="000773A9" w:rsidTr="00675F4C">
        <w:trPr>
          <w:cantSplit/>
          <w:jc w:val="center"/>
        </w:trPr>
        <w:tc>
          <w:tcPr>
            <w:tcW w:w="3291" w:type="dxa"/>
            <w:tcBorders>
              <w:top w:val="single" w:sz="6" w:space="0" w:color="000000"/>
              <w:left w:val="single" w:sz="6" w:space="0" w:color="000000"/>
              <w:bottom w:val="nil"/>
              <w:right w:val="nil"/>
            </w:tcBorders>
          </w:tcPr>
          <w:p w:rsidR="00F95528" w:rsidRPr="00B05DE5" w:rsidRDefault="00F95528" w:rsidP="00537689">
            <w:pPr>
              <w:keepNext/>
            </w:pPr>
            <w:r w:rsidRPr="00B05DE5">
              <w:t>Occupied Units</w:t>
            </w:r>
          </w:p>
        </w:tc>
        <w:tc>
          <w:tcPr>
            <w:tcW w:w="1452" w:type="dxa"/>
            <w:tcBorders>
              <w:top w:val="single" w:sz="6" w:space="0" w:color="000000"/>
              <w:left w:val="single" w:sz="6" w:space="0" w:color="000000"/>
              <w:bottom w:val="nil"/>
              <w:right w:val="single" w:sz="4" w:space="0" w:color="auto"/>
            </w:tcBorders>
          </w:tcPr>
          <w:p w:rsidR="00F95528" w:rsidRPr="000773A9" w:rsidRDefault="00F95528" w:rsidP="00A63128">
            <w:pPr>
              <w:ind w:right="212"/>
              <w:jc w:val="right"/>
            </w:pPr>
            <w:r>
              <w:t>1,453,324</w:t>
            </w:r>
          </w:p>
        </w:tc>
        <w:tc>
          <w:tcPr>
            <w:tcW w:w="1453" w:type="dxa"/>
            <w:tcBorders>
              <w:top w:val="single" w:sz="6" w:space="0" w:color="000000"/>
              <w:left w:val="single" w:sz="4" w:space="0" w:color="auto"/>
              <w:bottom w:val="nil"/>
              <w:right w:val="single" w:sz="4" w:space="0" w:color="auto"/>
            </w:tcBorders>
          </w:tcPr>
          <w:p w:rsidR="00F95528" w:rsidRPr="000773A9" w:rsidRDefault="00F95528" w:rsidP="00A63128">
            <w:pPr>
              <w:ind w:right="212"/>
              <w:jc w:val="right"/>
            </w:pPr>
            <w:r>
              <w:t>1,447,366</w:t>
            </w:r>
          </w:p>
        </w:tc>
        <w:tc>
          <w:tcPr>
            <w:tcW w:w="1453" w:type="dxa"/>
            <w:tcBorders>
              <w:top w:val="single" w:sz="6" w:space="0" w:color="000000"/>
              <w:left w:val="single" w:sz="4" w:space="0" w:color="auto"/>
              <w:bottom w:val="nil"/>
              <w:right w:val="single" w:sz="4" w:space="0" w:color="auto"/>
            </w:tcBorders>
          </w:tcPr>
          <w:p w:rsidR="00F95528" w:rsidRPr="000773A9" w:rsidRDefault="00F95528" w:rsidP="00A63128">
            <w:pPr>
              <w:ind w:right="212"/>
              <w:jc w:val="right"/>
            </w:pPr>
            <w:r>
              <w:t>1,441,431</w:t>
            </w:r>
          </w:p>
        </w:tc>
        <w:tc>
          <w:tcPr>
            <w:tcW w:w="1453" w:type="dxa"/>
            <w:tcBorders>
              <w:top w:val="single" w:sz="6" w:space="0" w:color="000000"/>
              <w:left w:val="single" w:sz="4" w:space="0" w:color="auto"/>
              <w:bottom w:val="nil"/>
              <w:right w:val="single" w:sz="4" w:space="0" w:color="auto"/>
            </w:tcBorders>
          </w:tcPr>
          <w:p w:rsidR="00F95528" w:rsidRPr="000773A9" w:rsidRDefault="00F95528" w:rsidP="00A63128">
            <w:pPr>
              <w:ind w:right="212"/>
              <w:jc w:val="right"/>
            </w:pPr>
            <w:r>
              <w:t>1,447,374</w:t>
            </w:r>
          </w:p>
        </w:tc>
      </w:tr>
      <w:tr w:rsidR="00F95528" w:rsidRPr="000773A9" w:rsidTr="00675F4C">
        <w:trPr>
          <w:cantSplit/>
          <w:jc w:val="center"/>
        </w:trPr>
        <w:tc>
          <w:tcPr>
            <w:tcW w:w="3291" w:type="dxa"/>
            <w:tcBorders>
              <w:top w:val="single" w:sz="6" w:space="0" w:color="000000"/>
              <w:left w:val="single" w:sz="6" w:space="0" w:color="000000"/>
              <w:bottom w:val="single" w:sz="6" w:space="0" w:color="000000"/>
              <w:right w:val="nil"/>
            </w:tcBorders>
          </w:tcPr>
          <w:p w:rsidR="00F95528" w:rsidRPr="00B05DE5" w:rsidRDefault="00F95528" w:rsidP="00537689">
            <w:pPr>
              <w:keepNext/>
              <w:rPr>
                <w:bCs/>
              </w:rPr>
            </w:pPr>
            <w:r w:rsidRPr="00B05DE5">
              <w:rPr>
                <w:bCs/>
              </w:rPr>
              <w:t>Vacant Units and Common Areas</w:t>
            </w:r>
          </w:p>
        </w:tc>
        <w:tc>
          <w:tcPr>
            <w:tcW w:w="1452" w:type="dxa"/>
            <w:tcBorders>
              <w:top w:val="single" w:sz="6" w:space="0" w:color="000000"/>
              <w:left w:val="single" w:sz="6" w:space="0" w:color="000000"/>
              <w:bottom w:val="single" w:sz="6" w:space="0" w:color="000000"/>
              <w:right w:val="single" w:sz="4" w:space="0" w:color="auto"/>
            </w:tcBorders>
          </w:tcPr>
          <w:p w:rsidR="00F95528" w:rsidRPr="000773A9" w:rsidRDefault="00F95528" w:rsidP="00A63128">
            <w:pPr>
              <w:ind w:right="212"/>
              <w:jc w:val="right"/>
            </w:pPr>
            <w:r>
              <w:t>4,359,972</w:t>
            </w:r>
          </w:p>
        </w:tc>
        <w:tc>
          <w:tcPr>
            <w:tcW w:w="1453" w:type="dxa"/>
            <w:tcBorders>
              <w:top w:val="single" w:sz="6" w:space="0" w:color="000000"/>
              <w:left w:val="single" w:sz="4" w:space="0" w:color="auto"/>
              <w:bottom w:val="single" w:sz="6" w:space="0" w:color="000000"/>
              <w:right w:val="single" w:sz="4" w:space="0" w:color="auto"/>
            </w:tcBorders>
          </w:tcPr>
          <w:p w:rsidR="00F95528" w:rsidRPr="000773A9" w:rsidRDefault="00F95528" w:rsidP="00A63128">
            <w:pPr>
              <w:ind w:right="212"/>
              <w:jc w:val="right"/>
            </w:pPr>
            <w:r>
              <w:t>4,342,09</w:t>
            </w:r>
            <w:r w:rsidR="008B0690">
              <w:t>6</w:t>
            </w:r>
          </w:p>
        </w:tc>
        <w:tc>
          <w:tcPr>
            <w:tcW w:w="1453" w:type="dxa"/>
            <w:tcBorders>
              <w:top w:val="single" w:sz="6" w:space="0" w:color="000000"/>
              <w:left w:val="single" w:sz="4" w:space="0" w:color="auto"/>
              <w:bottom w:val="single" w:sz="6" w:space="0" w:color="000000"/>
              <w:right w:val="single" w:sz="4" w:space="0" w:color="auto"/>
            </w:tcBorders>
          </w:tcPr>
          <w:p w:rsidR="00F95528" w:rsidRPr="000773A9" w:rsidRDefault="00F95528" w:rsidP="00A63128">
            <w:pPr>
              <w:ind w:right="212"/>
              <w:jc w:val="right"/>
            </w:pPr>
            <w:r>
              <w:t>4,324,294</w:t>
            </w:r>
          </w:p>
        </w:tc>
        <w:tc>
          <w:tcPr>
            <w:tcW w:w="1453" w:type="dxa"/>
            <w:tcBorders>
              <w:top w:val="single" w:sz="6" w:space="0" w:color="000000"/>
              <w:left w:val="single" w:sz="4" w:space="0" w:color="auto"/>
              <w:bottom w:val="single" w:sz="6" w:space="0" w:color="000000"/>
              <w:right w:val="single" w:sz="4" w:space="0" w:color="auto"/>
            </w:tcBorders>
          </w:tcPr>
          <w:p w:rsidR="00F95528" w:rsidRPr="000773A9" w:rsidRDefault="00F95528" w:rsidP="00A63128">
            <w:pPr>
              <w:ind w:right="212"/>
              <w:jc w:val="right"/>
            </w:pPr>
            <w:r>
              <w:t>4,342,121</w:t>
            </w:r>
          </w:p>
        </w:tc>
      </w:tr>
      <w:tr w:rsidR="00F95528" w:rsidRPr="000773A9" w:rsidTr="000474AA">
        <w:trPr>
          <w:cantSplit/>
          <w:jc w:val="center"/>
        </w:trPr>
        <w:tc>
          <w:tcPr>
            <w:tcW w:w="3291" w:type="dxa"/>
            <w:tcBorders>
              <w:top w:val="single" w:sz="6" w:space="0" w:color="000000"/>
              <w:left w:val="single" w:sz="6" w:space="0" w:color="000000"/>
              <w:bottom w:val="single" w:sz="6" w:space="0" w:color="000000"/>
              <w:right w:val="nil"/>
            </w:tcBorders>
          </w:tcPr>
          <w:p w:rsidR="00F95528" w:rsidRPr="000773A9" w:rsidRDefault="00F95528" w:rsidP="00537689">
            <w:pPr>
              <w:keepNext/>
              <w:rPr>
                <w:bCs/>
                <w:i/>
              </w:rPr>
            </w:pPr>
            <w:r w:rsidRPr="000773A9">
              <w:rPr>
                <w:bCs/>
                <w:i/>
              </w:rPr>
              <w:t>Subtotal – Rental Events</w:t>
            </w:r>
          </w:p>
        </w:tc>
        <w:tc>
          <w:tcPr>
            <w:tcW w:w="1452" w:type="dxa"/>
            <w:tcBorders>
              <w:top w:val="single" w:sz="6" w:space="0" w:color="000000"/>
              <w:left w:val="single" w:sz="6" w:space="0" w:color="000000"/>
              <w:bottom w:val="single" w:sz="6" w:space="0" w:color="000000"/>
              <w:right w:val="single" w:sz="4" w:space="0" w:color="auto"/>
            </w:tcBorders>
          </w:tcPr>
          <w:p w:rsidR="00F95528" w:rsidRPr="000773A9" w:rsidRDefault="00F95528" w:rsidP="00A63128">
            <w:pPr>
              <w:ind w:right="212"/>
              <w:jc w:val="right"/>
              <w:rPr>
                <w:i/>
                <w:iCs/>
              </w:rPr>
            </w:pPr>
            <w:r>
              <w:rPr>
                <w:i/>
                <w:iCs/>
              </w:rPr>
              <w:t>5,813,296</w:t>
            </w:r>
          </w:p>
        </w:tc>
        <w:tc>
          <w:tcPr>
            <w:tcW w:w="1453" w:type="dxa"/>
            <w:tcBorders>
              <w:top w:val="single" w:sz="6" w:space="0" w:color="000000"/>
              <w:left w:val="single" w:sz="4" w:space="0" w:color="auto"/>
              <w:bottom w:val="single" w:sz="6" w:space="0" w:color="000000"/>
              <w:right w:val="single" w:sz="4" w:space="0" w:color="auto"/>
            </w:tcBorders>
          </w:tcPr>
          <w:p w:rsidR="00F95528" w:rsidRPr="000773A9" w:rsidRDefault="00F95528" w:rsidP="00A63128">
            <w:pPr>
              <w:ind w:right="212"/>
              <w:jc w:val="right"/>
              <w:rPr>
                <w:i/>
                <w:iCs/>
              </w:rPr>
            </w:pPr>
            <w:r>
              <w:rPr>
                <w:i/>
                <w:iCs/>
              </w:rPr>
              <w:t>5,789,46</w:t>
            </w:r>
            <w:r w:rsidR="008B0690">
              <w:rPr>
                <w:i/>
                <w:iCs/>
              </w:rPr>
              <w:t>2</w:t>
            </w:r>
          </w:p>
        </w:tc>
        <w:tc>
          <w:tcPr>
            <w:tcW w:w="1453" w:type="dxa"/>
            <w:tcBorders>
              <w:top w:val="single" w:sz="6" w:space="0" w:color="000000"/>
              <w:left w:val="single" w:sz="4" w:space="0" w:color="auto"/>
              <w:bottom w:val="single" w:sz="6" w:space="0" w:color="000000"/>
              <w:right w:val="single" w:sz="4" w:space="0" w:color="auto"/>
            </w:tcBorders>
          </w:tcPr>
          <w:p w:rsidR="00F95528" w:rsidRPr="000773A9" w:rsidRDefault="00F95528" w:rsidP="00A63128">
            <w:pPr>
              <w:ind w:right="212"/>
              <w:jc w:val="right"/>
              <w:rPr>
                <w:i/>
                <w:iCs/>
              </w:rPr>
            </w:pPr>
            <w:r>
              <w:rPr>
                <w:i/>
                <w:iCs/>
              </w:rPr>
              <w:t>5,765,725</w:t>
            </w:r>
          </w:p>
        </w:tc>
        <w:tc>
          <w:tcPr>
            <w:tcW w:w="1453" w:type="dxa"/>
            <w:tcBorders>
              <w:top w:val="single" w:sz="6" w:space="0" w:color="000000"/>
              <w:left w:val="single" w:sz="4" w:space="0" w:color="auto"/>
              <w:bottom w:val="single" w:sz="6" w:space="0" w:color="000000"/>
              <w:right w:val="single" w:sz="4" w:space="0" w:color="auto"/>
            </w:tcBorders>
          </w:tcPr>
          <w:p w:rsidR="00F95528" w:rsidRPr="000773A9" w:rsidRDefault="00F95528" w:rsidP="00A63128">
            <w:pPr>
              <w:ind w:right="212"/>
              <w:jc w:val="right"/>
              <w:rPr>
                <w:i/>
                <w:iCs/>
              </w:rPr>
            </w:pPr>
            <w:r>
              <w:rPr>
                <w:i/>
                <w:iCs/>
              </w:rPr>
              <w:t>5,789,495</w:t>
            </w:r>
          </w:p>
        </w:tc>
      </w:tr>
      <w:tr w:rsidR="00F95528" w:rsidRPr="000773A9" w:rsidTr="00537689">
        <w:trPr>
          <w:cantSplit/>
          <w:jc w:val="center"/>
        </w:trPr>
        <w:tc>
          <w:tcPr>
            <w:tcW w:w="3291" w:type="dxa"/>
            <w:tcBorders>
              <w:top w:val="single" w:sz="6" w:space="0" w:color="000000"/>
              <w:left w:val="single" w:sz="6" w:space="0" w:color="000000"/>
              <w:bottom w:val="single" w:sz="6" w:space="0" w:color="000000"/>
              <w:right w:val="nil"/>
            </w:tcBorders>
          </w:tcPr>
          <w:p w:rsidR="00F95528" w:rsidRPr="000773A9" w:rsidRDefault="00F95528" w:rsidP="00537689">
            <w:pPr>
              <w:keepNext/>
              <w:rPr>
                <w:b/>
                <w:bCs/>
              </w:rPr>
            </w:pPr>
            <w:r w:rsidRPr="000773A9">
              <w:rPr>
                <w:b/>
                <w:bCs/>
              </w:rPr>
              <w:t>Total Events</w:t>
            </w:r>
          </w:p>
        </w:tc>
        <w:tc>
          <w:tcPr>
            <w:tcW w:w="1452" w:type="dxa"/>
            <w:tcBorders>
              <w:top w:val="single" w:sz="6" w:space="0" w:color="000000"/>
              <w:left w:val="single" w:sz="6" w:space="0" w:color="000000"/>
              <w:bottom w:val="single" w:sz="6" w:space="0" w:color="000000"/>
              <w:right w:val="single" w:sz="4" w:space="0" w:color="auto"/>
            </w:tcBorders>
          </w:tcPr>
          <w:p w:rsidR="00F95528" w:rsidRPr="000773A9" w:rsidRDefault="00F95528" w:rsidP="00A63128">
            <w:pPr>
              <w:ind w:right="212"/>
              <w:jc w:val="right"/>
              <w:rPr>
                <w:b/>
                <w:bCs/>
              </w:rPr>
            </w:pPr>
            <w:r>
              <w:rPr>
                <w:b/>
                <w:bCs/>
              </w:rPr>
              <w:t>11,204,967</w:t>
            </w:r>
          </w:p>
        </w:tc>
        <w:tc>
          <w:tcPr>
            <w:tcW w:w="1453" w:type="dxa"/>
            <w:tcBorders>
              <w:top w:val="single" w:sz="6" w:space="0" w:color="000000"/>
              <w:left w:val="single" w:sz="4" w:space="0" w:color="auto"/>
              <w:bottom w:val="single" w:sz="6" w:space="0" w:color="000000"/>
              <w:right w:val="single" w:sz="4" w:space="0" w:color="auto"/>
            </w:tcBorders>
          </w:tcPr>
          <w:p w:rsidR="00F95528" w:rsidRPr="000773A9" w:rsidRDefault="00F95528" w:rsidP="00A63128">
            <w:pPr>
              <w:ind w:right="212"/>
              <w:jc w:val="right"/>
              <w:rPr>
                <w:b/>
                <w:bCs/>
              </w:rPr>
            </w:pPr>
            <w:r>
              <w:rPr>
                <w:b/>
                <w:bCs/>
              </w:rPr>
              <w:t>11,159,02</w:t>
            </w:r>
            <w:r w:rsidR="008B0690">
              <w:rPr>
                <w:b/>
                <w:bCs/>
              </w:rPr>
              <w:t>8</w:t>
            </w:r>
          </w:p>
        </w:tc>
        <w:tc>
          <w:tcPr>
            <w:tcW w:w="1453" w:type="dxa"/>
            <w:tcBorders>
              <w:top w:val="single" w:sz="6" w:space="0" w:color="000000"/>
              <w:left w:val="single" w:sz="4" w:space="0" w:color="auto"/>
              <w:bottom w:val="single" w:sz="6" w:space="0" w:color="000000"/>
              <w:right w:val="single" w:sz="4" w:space="0" w:color="auto"/>
            </w:tcBorders>
          </w:tcPr>
          <w:p w:rsidR="00F95528" w:rsidRPr="000773A9" w:rsidRDefault="00F95528" w:rsidP="00A63128">
            <w:pPr>
              <w:ind w:right="212"/>
              <w:jc w:val="right"/>
              <w:rPr>
                <w:b/>
                <w:bCs/>
              </w:rPr>
            </w:pPr>
            <w:r>
              <w:rPr>
                <w:b/>
                <w:bCs/>
              </w:rPr>
              <w:t>11,113,275</w:t>
            </w:r>
          </w:p>
        </w:tc>
        <w:tc>
          <w:tcPr>
            <w:tcW w:w="1453" w:type="dxa"/>
            <w:tcBorders>
              <w:top w:val="single" w:sz="6" w:space="0" w:color="000000"/>
              <w:left w:val="single" w:sz="4" w:space="0" w:color="auto"/>
              <w:bottom w:val="single" w:sz="6" w:space="0" w:color="000000"/>
              <w:right w:val="single" w:sz="4" w:space="0" w:color="auto"/>
            </w:tcBorders>
          </w:tcPr>
          <w:p w:rsidR="00F95528" w:rsidRPr="000773A9" w:rsidRDefault="00F95528" w:rsidP="00A63128">
            <w:pPr>
              <w:ind w:right="212"/>
              <w:jc w:val="right"/>
              <w:rPr>
                <w:b/>
                <w:bCs/>
              </w:rPr>
            </w:pPr>
            <w:r>
              <w:rPr>
                <w:b/>
                <w:bCs/>
              </w:rPr>
              <w:t>11,159,091</w:t>
            </w:r>
          </w:p>
        </w:tc>
      </w:tr>
      <w:tr w:rsidR="00537689" w:rsidRPr="000773A9" w:rsidTr="00537689">
        <w:trPr>
          <w:cantSplit/>
          <w:jc w:val="center"/>
        </w:trPr>
        <w:tc>
          <w:tcPr>
            <w:tcW w:w="9102" w:type="dxa"/>
            <w:gridSpan w:val="5"/>
            <w:tcBorders>
              <w:top w:val="single" w:sz="6" w:space="0" w:color="000000"/>
              <w:bottom w:val="nil"/>
            </w:tcBorders>
          </w:tcPr>
          <w:p w:rsidR="00537689" w:rsidRPr="000773A9" w:rsidRDefault="00537689" w:rsidP="00537689">
            <w:pPr>
              <w:keepNext/>
              <w:rPr>
                <w:bCs/>
              </w:rPr>
            </w:pPr>
            <w:r w:rsidRPr="000773A9">
              <w:rPr>
                <w:b/>
                <w:bCs/>
              </w:rPr>
              <w:t xml:space="preserve">Sources: </w:t>
            </w:r>
            <w:r w:rsidRPr="000773A9">
              <w:rPr>
                <w:bCs/>
              </w:rPr>
              <w:t xml:space="preserve">Economic Analysis for the </w:t>
            </w:r>
            <w:r w:rsidR="0061048C" w:rsidRPr="000773A9">
              <w:rPr>
                <w:bCs/>
              </w:rPr>
              <w:t>2008 RRP rule</w:t>
            </w:r>
            <w:r w:rsidRPr="000773A9">
              <w:rPr>
                <w:bCs/>
              </w:rPr>
              <w:t>; Economic Analysis for the 20</w:t>
            </w:r>
            <w:r w:rsidR="0061048C" w:rsidRPr="000773A9">
              <w:rPr>
                <w:bCs/>
              </w:rPr>
              <w:t>1</w:t>
            </w:r>
            <w:r w:rsidRPr="000773A9">
              <w:rPr>
                <w:bCs/>
              </w:rPr>
              <w:t xml:space="preserve">0 </w:t>
            </w:r>
            <w:r w:rsidR="00A55451">
              <w:rPr>
                <w:bCs/>
              </w:rPr>
              <w:t>Opt-out</w:t>
            </w:r>
            <w:r w:rsidRPr="000773A9">
              <w:rPr>
                <w:bCs/>
              </w:rPr>
              <w:t xml:space="preserve"> </w:t>
            </w:r>
            <w:r w:rsidR="0061048C" w:rsidRPr="000773A9">
              <w:rPr>
                <w:bCs/>
              </w:rPr>
              <w:t>r</w:t>
            </w:r>
            <w:r w:rsidRPr="000773A9">
              <w:rPr>
                <w:bCs/>
              </w:rPr>
              <w:t>ule</w:t>
            </w:r>
          </w:p>
        </w:tc>
      </w:tr>
      <w:bookmarkEnd w:id="2"/>
      <w:bookmarkEnd w:id="3"/>
    </w:tbl>
    <w:p w:rsidR="00942920" w:rsidRDefault="00942920" w:rsidP="00537689">
      <w:pPr>
        <w:numPr>
          <w:ilvl w:val="12"/>
          <w:numId w:val="0"/>
        </w:numPr>
        <w:ind w:firstLine="720"/>
        <w:rPr>
          <w:sz w:val="24"/>
          <w:szCs w:val="24"/>
        </w:rPr>
      </w:pPr>
    </w:p>
    <w:p w:rsidR="00537689" w:rsidRPr="000773A9" w:rsidRDefault="00942920" w:rsidP="00537689">
      <w:pPr>
        <w:numPr>
          <w:ilvl w:val="12"/>
          <w:numId w:val="0"/>
        </w:numPr>
        <w:ind w:firstLine="720"/>
        <w:rPr>
          <w:sz w:val="24"/>
          <w:szCs w:val="24"/>
        </w:rPr>
      </w:pPr>
      <w:r>
        <w:rPr>
          <w:sz w:val="24"/>
          <w:szCs w:val="24"/>
        </w:rPr>
        <w:t xml:space="preserve">Exhibit 6.2 </w:t>
      </w:r>
      <w:r w:rsidR="00537689" w:rsidRPr="000773A9">
        <w:rPr>
          <w:sz w:val="24"/>
          <w:szCs w:val="24"/>
        </w:rPr>
        <w:t xml:space="preserve">shows the three-year average annual number of respondents </w:t>
      </w:r>
      <w:r w:rsidR="000E3C90" w:rsidRPr="000773A9">
        <w:rPr>
          <w:sz w:val="24"/>
          <w:szCs w:val="24"/>
        </w:rPr>
        <w:t xml:space="preserve">and number of responses by type for </w:t>
      </w:r>
      <w:r w:rsidR="00537689" w:rsidRPr="000773A9">
        <w:rPr>
          <w:sz w:val="24"/>
          <w:szCs w:val="24"/>
        </w:rPr>
        <w:t>the pre-renovation education requirements in target housing.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1494"/>
        <w:gridCol w:w="1560"/>
        <w:gridCol w:w="1560"/>
      </w:tblGrid>
      <w:tr w:rsidR="00537689" w:rsidRPr="00662B77" w:rsidTr="00942920">
        <w:trPr>
          <w:jc w:val="center"/>
        </w:trPr>
        <w:tc>
          <w:tcPr>
            <w:tcW w:w="7524" w:type="dxa"/>
            <w:gridSpan w:val="4"/>
            <w:tcBorders>
              <w:top w:val="nil"/>
              <w:left w:val="nil"/>
              <w:right w:val="nil"/>
            </w:tcBorders>
          </w:tcPr>
          <w:p w:rsidR="00CD069D" w:rsidRDefault="00CD069D" w:rsidP="00662B77">
            <w:pPr>
              <w:keepNext/>
              <w:jc w:val="center"/>
              <w:rPr>
                <w:b/>
                <w:bCs/>
              </w:rPr>
            </w:pPr>
            <w:bookmarkStart w:id="4" w:name="_Ref271720414"/>
          </w:p>
          <w:p w:rsidR="00537689" w:rsidRPr="00662B77" w:rsidRDefault="00537689" w:rsidP="00662B77">
            <w:pPr>
              <w:keepNext/>
              <w:jc w:val="center"/>
              <w:rPr>
                <w:b/>
                <w:bCs/>
              </w:rPr>
            </w:pPr>
            <w:r w:rsidRPr="00662B77">
              <w:rPr>
                <w:b/>
                <w:bCs/>
              </w:rPr>
              <w:t>Exhibit 6.</w:t>
            </w:r>
            <w:r w:rsidRPr="00662B77">
              <w:rPr>
                <w:b/>
                <w:bCs/>
              </w:rPr>
              <w:fldChar w:fldCharType="begin"/>
            </w:r>
            <w:r w:rsidRPr="00662B77">
              <w:rPr>
                <w:b/>
                <w:bCs/>
              </w:rPr>
              <w:instrText xml:space="preserve"> SEQ Exhibit_6. \* ARABIC </w:instrText>
            </w:r>
            <w:r w:rsidRPr="00662B77">
              <w:rPr>
                <w:b/>
                <w:bCs/>
              </w:rPr>
              <w:fldChar w:fldCharType="separate"/>
            </w:r>
            <w:r w:rsidR="00D067A1">
              <w:rPr>
                <w:b/>
                <w:bCs/>
                <w:noProof/>
              </w:rPr>
              <w:t>2</w:t>
            </w:r>
            <w:r w:rsidRPr="00662B77">
              <w:rPr>
                <w:b/>
                <w:bCs/>
              </w:rPr>
              <w:fldChar w:fldCharType="end"/>
            </w:r>
            <w:bookmarkEnd w:id="4"/>
            <w:r w:rsidRPr="00662B77">
              <w:rPr>
                <w:b/>
                <w:bCs/>
              </w:rPr>
              <w:t>: Average Annual Number of Pre-Re</w:t>
            </w:r>
            <w:r w:rsidR="006648B8" w:rsidRPr="00662B77">
              <w:rPr>
                <w:b/>
                <w:bCs/>
              </w:rPr>
              <w:t xml:space="preserve">novation Education Respondents and </w:t>
            </w:r>
            <w:r w:rsidRPr="00662B77">
              <w:rPr>
                <w:b/>
                <w:bCs/>
              </w:rPr>
              <w:t xml:space="preserve">Responses </w:t>
            </w:r>
            <w:r w:rsidR="002E1D79" w:rsidRPr="00662B77">
              <w:rPr>
                <w:b/>
                <w:bCs/>
              </w:rPr>
              <w:t xml:space="preserve">for </w:t>
            </w:r>
            <w:r w:rsidR="006648B8" w:rsidRPr="00662B77">
              <w:rPr>
                <w:b/>
                <w:bCs/>
              </w:rPr>
              <w:t>Renovation W</w:t>
            </w:r>
            <w:r w:rsidR="002E1D79" w:rsidRPr="00662B77">
              <w:rPr>
                <w:b/>
                <w:bCs/>
              </w:rPr>
              <w:t>ork in Target Housing</w:t>
            </w:r>
          </w:p>
          <w:p w:rsidR="00537689" w:rsidRPr="00662B77" w:rsidRDefault="00537689" w:rsidP="00662B77">
            <w:pPr>
              <w:keepNext/>
              <w:rPr>
                <w:b/>
                <w:bCs/>
              </w:rPr>
            </w:pPr>
          </w:p>
        </w:tc>
      </w:tr>
      <w:tr w:rsidR="000E3C90" w:rsidRPr="00662B77" w:rsidTr="00942920">
        <w:trPr>
          <w:jc w:val="center"/>
        </w:trPr>
        <w:tc>
          <w:tcPr>
            <w:tcW w:w="2910" w:type="dxa"/>
          </w:tcPr>
          <w:p w:rsidR="000E3C90" w:rsidRPr="00662B77" w:rsidRDefault="000E3C90" w:rsidP="00662B77">
            <w:pPr>
              <w:keepNext/>
              <w:ind w:firstLine="125"/>
              <w:rPr>
                <w:szCs w:val="16"/>
              </w:rPr>
            </w:pPr>
          </w:p>
        </w:tc>
        <w:tc>
          <w:tcPr>
            <w:tcW w:w="1494" w:type="dxa"/>
          </w:tcPr>
          <w:p w:rsidR="000E3C90" w:rsidRPr="00662B77" w:rsidRDefault="000E3C90" w:rsidP="00662B77">
            <w:pPr>
              <w:keepNext/>
              <w:ind w:left="12"/>
              <w:jc w:val="center"/>
              <w:rPr>
                <w:b/>
                <w:szCs w:val="16"/>
              </w:rPr>
            </w:pPr>
            <w:r w:rsidRPr="00662B77">
              <w:rPr>
                <w:b/>
                <w:szCs w:val="16"/>
              </w:rPr>
              <w:t>Number of Small Respondents</w:t>
            </w:r>
          </w:p>
        </w:tc>
        <w:tc>
          <w:tcPr>
            <w:tcW w:w="1560" w:type="dxa"/>
          </w:tcPr>
          <w:p w:rsidR="000E3C90" w:rsidRPr="00662B77" w:rsidRDefault="000E3C90" w:rsidP="00662B77">
            <w:pPr>
              <w:keepNext/>
              <w:ind w:left="12"/>
              <w:jc w:val="center"/>
              <w:rPr>
                <w:b/>
                <w:szCs w:val="16"/>
              </w:rPr>
            </w:pPr>
            <w:r w:rsidRPr="00662B77">
              <w:rPr>
                <w:b/>
                <w:szCs w:val="16"/>
              </w:rPr>
              <w:t>Number of Respondents</w:t>
            </w:r>
          </w:p>
        </w:tc>
        <w:tc>
          <w:tcPr>
            <w:tcW w:w="1560" w:type="dxa"/>
          </w:tcPr>
          <w:p w:rsidR="000E3C90" w:rsidRPr="00662B77" w:rsidRDefault="000F50FE" w:rsidP="00662B77">
            <w:pPr>
              <w:keepNext/>
              <w:ind w:left="12"/>
              <w:jc w:val="center"/>
              <w:rPr>
                <w:b/>
                <w:szCs w:val="16"/>
              </w:rPr>
            </w:pPr>
            <w:r w:rsidRPr="00662B77">
              <w:rPr>
                <w:b/>
                <w:szCs w:val="16"/>
              </w:rPr>
              <w:t>Number of Responses</w:t>
            </w:r>
          </w:p>
          <w:p w:rsidR="000E3C90" w:rsidRPr="00662B77" w:rsidRDefault="000E3C90" w:rsidP="00662B77">
            <w:pPr>
              <w:keepNext/>
              <w:ind w:left="12"/>
              <w:jc w:val="center"/>
              <w:rPr>
                <w:b/>
                <w:szCs w:val="16"/>
              </w:rPr>
            </w:pPr>
          </w:p>
        </w:tc>
      </w:tr>
      <w:tr w:rsidR="0015522C" w:rsidRPr="000773A9" w:rsidTr="00942920">
        <w:trPr>
          <w:jc w:val="center"/>
        </w:trPr>
        <w:tc>
          <w:tcPr>
            <w:tcW w:w="2910" w:type="dxa"/>
          </w:tcPr>
          <w:p w:rsidR="0015522C" w:rsidRPr="00662B77" w:rsidRDefault="0015522C" w:rsidP="00662B77">
            <w:pPr>
              <w:keepNext/>
              <w:ind w:hanging="54"/>
              <w:rPr>
                <w:szCs w:val="16"/>
              </w:rPr>
            </w:pPr>
            <w:r w:rsidRPr="00662B77">
              <w:rPr>
                <w:szCs w:val="16"/>
              </w:rPr>
              <w:t>Owner-Occupied Events</w:t>
            </w:r>
          </w:p>
        </w:tc>
        <w:tc>
          <w:tcPr>
            <w:tcW w:w="1494" w:type="dxa"/>
            <w:vAlign w:val="bottom"/>
          </w:tcPr>
          <w:p w:rsidR="0015522C" w:rsidRPr="000773A9" w:rsidRDefault="0015522C" w:rsidP="00662B77">
            <w:pPr>
              <w:ind w:right="212"/>
              <w:jc w:val="right"/>
            </w:pPr>
            <w:r>
              <w:t>276,119</w:t>
            </w:r>
          </w:p>
        </w:tc>
        <w:tc>
          <w:tcPr>
            <w:tcW w:w="1560" w:type="dxa"/>
            <w:vAlign w:val="bottom"/>
          </w:tcPr>
          <w:p w:rsidR="0015522C" w:rsidRPr="000773A9" w:rsidRDefault="0015522C" w:rsidP="00662B77">
            <w:pPr>
              <w:ind w:right="212"/>
              <w:jc w:val="right"/>
            </w:pPr>
            <w:r>
              <w:t>278,</w:t>
            </w:r>
            <w:r w:rsidR="00FE5505">
              <w:t>183</w:t>
            </w:r>
          </w:p>
        </w:tc>
        <w:tc>
          <w:tcPr>
            <w:tcW w:w="1560" w:type="dxa"/>
            <w:vAlign w:val="bottom"/>
          </w:tcPr>
          <w:p w:rsidR="0015522C" w:rsidRPr="000773A9" w:rsidRDefault="0015522C" w:rsidP="00662B77">
            <w:pPr>
              <w:ind w:right="212"/>
              <w:jc w:val="right"/>
            </w:pPr>
            <w:r>
              <w:t>5,369,596</w:t>
            </w:r>
          </w:p>
        </w:tc>
      </w:tr>
      <w:tr w:rsidR="0015522C" w:rsidRPr="000773A9" w:rsidTr="00942920">
        <w:trPr>
          <w:jc w:val="center"/>
        </w:trPr>
        <w:tc>
          <w:tcPr>
            <w:tcW w:w="2910" w:type="dxa"/>
          </w:tcPr>
          <w:p w:rsidR="0015522C" w:rsidRPr="00662B77" w:rsidRDefault="0015522C" w:rsidP="00662B77">
            <w:pPr>
              <w:keepNext/>
              <w:ind w:hanging="54"/>
              <w:rPr>
                <w:szCs w:val="16"/>
              </w:rPr>
            </w:pPr>
            <w:r w:rsidRPr="00662B77">
              <w:rPr>
                <w:szCs w:val="16"/>
              </w:rPr>
              <w:t>Rental Events in Occupied Units</w:t>
            </w:r>
          </w:p>
        </w:tc>
        <w:tc>
          <w:tcPr>
            <w:tcW w:w="1494" w:type="dxa"/>
            <w:vAlign w:val="bottom"/>
          </w:tcPr>
          <w:p w:rsidR="0015522C" w:rsidRPr="000773A9" w:rsidRDefault="0015522C" w:rsidP="00662B77">
            <w:pPr>
              <w:ind w:right="212"/>
              <w:jc w:val="right"/>
            </w:pPr>
            <w:r>
              <w:t>276,119</w:t>
            </w:r>
          </w:p>
        </w:tc>
        <w:tc>
          <w:tcPr>
            <w:tcW w:w="1560" w:type="dxa"/>
            <w:vAlign w:val="bottom"/>
          </w:tcPr>
          <w:p w:rsidR="0015522C" w:rsidRPr="000773A9" w:rsidRDefault="0015522C" w:rsidP="00662B77">
            <w:pPr>
              <w:ind w:right="212"/>
              <w:jc w:val="right"/>
            </w:pPr>
            <w:r>
              <w:t>278,</w:t>
            </w:r>
            <w:r w:rsidR="00FE5505">
              <w:t>183</w:t>
            </w:r>
          </w:p>
        </w:tc>
        <w:tc>
          <w:tcPr>
            <w:tcW w:w="1560" w:type="dxa"/>
            <w:vAlign w:val="bottom"/>
          </w:tcPr>
          <w:p w:rsidR="0015522C" w:rsidRPr="000773A9" w:rsidRDefault="0015522C" w:rsidP="00662B77">
            <w:pPr>
              <w:ind w:right="212"/>
              <w:jc w:val="right"/>
            </w:pPr>
            <w:r>
              <w:t>1,447,374</w:t>
            </w:r>
          </w:p>
        </w:tc>
      </w:tr>
      <w:tr w:rsidR="0015522C" w:rsidRPr="000773A9" w:rsidTr="00942920">
        <w:trPr>
          <w:jc w:val="center"/>
        </w:trPr>
        <w:tc>
          <w:tcPr>
            <w:tcW w:w="2910" w:type="dxa"/>
          </w:tcPr>
          <w:p w:rsidR="0015522C" w:rsidRPr="00662B77" w:rsidRDefault="0015522C" w:rsidP="00662B77">
            <w:pPr>
              <w:keepNext/>
              <w:ind w:left="-54"/>
              <w:rPr>
                <w:szCs w:val="16"/>
              </w:rPr>
            </w:pPr>
            <w:r w:rsidRPr="00662B77">
              <w:rPr>
                <w:szCs w:val="16"/>
              </w:rPr>
              <w:t>Rental Events in Vacant Units and Common Areas</w:t>
            </w:r>
          </w:p>
        </w:tc>
        <w:tc>
          <w:tcPr>
            <w:tcW w:w="1494" w:type="dxa"/>
            <w:vAlign w:val="bottom"/>
          </w:tcPr>
          <w:p w:rsidR="0015522C" w:rsidRPr="000773A9" w:rsidRDefault="0015522C" w:rsidP="00662B77">
            <w:pPr>
              <w:ind w:right="212"/>
              <w:jc w:val="right"/>
            </w:pPr>
            <w:r>
              <w:t>276,119</w:t>
            </w:r>
          </w:p>
        </w:tc>
        <w:tc>
          <w:tcPr>
            <w:tcW w:w="1560" w:type="dxa"/>
            <w:vAlign w:val="bottom"/>
          </w:tcPr>
          <w:p w:rsidR="0015522C" w:rsidRPr="000773A9" w:rsidRDefault="0015522C" w:rsidP="00662B77">
            <w:pPr>
              <w:ind w:right="212"/>
              <w:jc w:val="right"/>
            </w:pPr>
            <w:r>
              <w:t>278,</w:t>
            </w:r>
            <w:r w:rsidR="00FE5505">
              <w:t>183</w:t>
            </w:r>
          </w:p>
        </w:tc>
        <w:tc>
          <w:tcPr>
            <w:tcW w:w="1560" w:type="dxa"/>
            <w:vAlign w:val="bottom"/>
          </w:tcPr>
          <w:p w:rsidR="0015522C" w:rsidRPr="000773A9" w:rsidRDefault="0015522C" w:rsidP="00662B77">
            <w:pPr>
              <w:ind w:right="212"/>
              <w:jc w:val="right"/>
            </w:pPr>
            <w:r>
              <w:t>4,342,121</w:t>
            </w:r>
          </w:p>
        </w:tc>
      </w:tr>
      <w:tr w:rsidR="0015522C" w:rsidRPr="000773A9" w:rsidTr="00942920">
        <w:trPr>
          <w:jc w:val="center"/>
        </w:trPr>
        <w:tc>
          <w:tcPr>
            <w:tcW w:w="2910" w:type="dxa"/>
          </w:tcPr>
          <w:p w:rsidR="0015522C" w:rsidRPr="00662B77" w:rsidRDefault="0015522C" w:rsidP="00662B77">
            <w:pPr>
              <w:keepNext/>
              <w:ind w:left="-54"/>
              <w:rPr>
                <w:b/>
                <w:szCs w:val="16"/>
              </w:rPr>
            </w:pPr>
            <w:r w:rsidRPr="00662B77">
              <w:rPr>
                <w:b/>
                <w:szCs w:val="16"/>
              </w:rPr>
              <w:t>Total</w:t>
            </w:r>
          </w:p>
        </w:tc>
        <w:tc>
          <w:tcPr>
            <w:tcW w:w="1494" w:type="dxa"/>
            <w:vAlign w:val="bottom"/>
          </w:tcPr>
          <w:p w:rsidR="0015522C" w:rsidRPr="00662B77" w:rsidRDefault="0015522C" w:rsidP="00662B77">
            <w:pPr>
              <w:ind w:right="212"/>
              <w:jc w:val="right"/>
              <w:rPr>
                <w:b/>
              </w:rPr>
            </w:pPr>
            <w:r w:rsidRPr="00662B77">
              <w:rPr>
                <w:b/>
              </w:rPr>
              <w:t>276,119</w:t>
            </w:r>
          </w:p>
        </w:tc>
        <w:tc>
          <w:tcPr>
            <w:tcW w:w="1560" w:type="dxa"/>
            <w:vAlign w:val="bottom"/>
          </w:tcPr>
          <w:p w:rsidR="0015522C" w:rsidRPr="00662B77" w:rsidRDefault="0015522C" w:rsidP="00662B77">
            <w:pPr>
              <w:ind w:right="212"/>
              <w:jc w:val="right"/>
              <w:rPr>
                <w:b/>
              </w:rPr>
            </w:pPr>
            <w:r w:rsidRPr="00662B77">
              <w:rPr>
                <w:b/>
              </w:rPr>
              <w:t>278,</w:t>
            </w:r>
            <w:r w:rsidR="00FE5505" w:rsidRPr="00662B77">
              <w:rPr>
                <w:b/>
              </w:rPr>
              <w:t>183</w:t>
            </w:r>
          </w:p>
        </w:tc>
        <w:tc>
          <w:tcPr>
            <w:tcW w:w="1560" w:type="dxa"/>
            <w:vAlign w:val="bottom"/>
          </w:tcPr>
          <w:p w:rsidR="0015522C" w:rsidRPr="00662B77" w:rsidRDefault="0015522C" w:rsidP="00662B77">
            <w:pPr>
              <w:ind w:right="212"/>
              <w:jc w:val="right"/>
              <w:rPr>
                <w:b/>
              </w:rPr>
            </w:pPr>
            <w:r w:rsidRPr="00662B77">
              <w:rPr>
                <w:b/>
              </w:rPr>
              <w:t>11,159,091</w:t>
            </w:r>
          </w:p>
        </w:tc>
      </w:tr>
      <w:tr w:rsidR="00537689" w:rsidRPr="00662B77" w:rsidTr="00942920">
        <w:trPr>
          <w:jc w:val="center"/>
        </w:trPr>
        <w:tc>
          <w:tcPr>
            <w:tcW w:w="7524" w:type="dxa"/>
            <w:gridSpan w:val="4"/>
            <w:tcBorders>
              <w:left w:val="nil"/>
              <w:bottom w:val="nil"/>
              <w:right w:val="nil"/>
            </w:tcBorders>
          </w:tcPr>
          <w:p w:rsidR="00537689" w:rsidRPr="00662B77" w:rsidRDefault="00537689" w:rsidP="00662B77">
            <w:pPr>
              <w:keepNext/>
              <w:rPr>
                <w:iCs/>
              </w:rPr>
            </w:pPr>
            <w:r w:rsidRPr="00662B77">
              <w:rPr>
                <w:b/>
                <w:bCs/>
              </w:rPr>
              <w:t xml:space="preserve">Sources: </w:t>
            </w:r>
            <w:r w:rsidRPr="000773A9">
              <w:t xml:space="preserve"> </w:t>
            </w:r>
            <w:r w:rsidRPr="00662B77">
              <w:rPr>
                <w:iCs/>
              </w:rPr>
              <w:t xml:space="preserve">Economic Analysis for the </w:t>
            </w:r>
            <w:r w:rsidR="0061048C" w:rsidRPr="00662B77">
              <w:rPr>
                <w:iCs/>
              </w:rPr>
              <w:t>RRP rule</w:t>
            </w:r>
            <w:r w:rsidRPr="00662B77">
              <w:rPr>
                <w:iCs/>
              </w:rPr>
              <w:t xml:space="preserve"> (EPA 2008)</w:t>
            </w:r>
            <w:r w:rsidR="00623887" w:rsidRPr="00662B77">
              <w:rPr>
                <w:iCs/>
              </w:rPr>
              <w:t xml:space="preserve">; Economic Analysis for the </w:t>
            </w:r>
            <w:r w:rsidR="00A55451" w:rsidRPr="00662B77">
              <w:rPr>
                <w:iCs/>
              </w:rPr>
              <w:t>Opt-out</w:t>
            </w:r>
            <w:r w:rsidR="00623887" w:rsidRPr="00662B77">
              <w:rPr>
                <w:iCs/>
              </w:rPr>
              <w:t xml:space="preserve"> </w:t>
            </w:r>
            <w:r w:rsidR="0061048C" w:rsidRPr="00662B77">
              <w:rPr>
                <w:iCs/>
              </w:rPr>
              <w:t>r</w:t>
            </w:r>
            <w:r w:rsidR="00623887" w:rsidRPr="00662B77">
              <w:rPr>
                <w:iCs/>
              </w:rPr>
              <w:t>ule (EPA 20</w:t>
            </w:r>
            <w:r w:rsidR="0061048C" w:rsidRPr="00662B77">
              <w:rPr>
                <w:iCs/>
              </w:rPr>
              <w:t>1</w:t>
            </w:r>
            <w:r w:rsidR="00623887" w:rsidRPr="00662B77">
              <w:rPr>
                <w:iCs/>
              </w:rPr>
              <w:t>0)</w:t>
            </w:r>
            <w:r w:rsidRPr="00662B77">
              <w:rPr>
                <w:iCs/>
              </w:rPr>
              <w:t>.</w:t>
            </w:r>
          </w:p>
        </w:tc>
      </w:tr>
    </w:tbl>
    <w:p w:rsidR="00537689" w:rsidRPr="000773A9" w:rsidRDefault="00537689" w:rsidP="00537689"/>
    <w:p w:rsidR="00537689" w:rsidRPr="000773A9" w:rsidRDefault="00C520DF" w:rsidP="00942920">
      <w:pPr>
        <w:keepNext/>
        <w:numPr>
          <w:ilvl w:val="12"/>
          <w:numId w:val="0"/>
        </w:numPr>
        <w:ind w:firstLine="720"/>
        <w:rPr>
          <w:sz w:val="24"/>
          <w:szCs w:val="24"/>
        </w:rPr>
      </w:pPr>
      <w:r>
        <w:rPr>
          <w:sz w:val="24"/>
          <w:szCs w:val="24"/>
        </w:rPr>
        <w:t>(</w:t>
      </w:r>
      <w:proofErr w:type="gramStart"/>
      <w:r>
        <w:rPr>
          <w:sz w:val="24"/>
          <w:szCs w:val="24"/>
        </w:rPr>
        <w:t>ii</w:t>
      </w:r>
      <w:proofErr w:type="gramEnd"/>
      <w:r>
        <w:rPr>
          <w:sz w:val="24"/>
          <w:szCs w:val="24"/>
        </w:rPr>
        <w:t>)</w:t>
      </w:r>
      <w:r w:rsidR="0016598E">
        <w:rPr>
          <w:sz w:val="24"/>
          <w:szCs w:val="24"/>
        </w:rPr>
        <w:t xml:space="preserve"> </w:t>
      </w:r>
      <w:r>
        <w:rPr>
          <w:sz w:val="24"/>
          <w:szCs w:val="24"/>
        </w:rPr>
        <w:t xml:space="preserve"> </w:t>
      </w:r>
      <w:r w:rsidR="00537689" w:rsidRPr="000773A9">
        <w:rPr>
          <w:sz w:val="24"/>
          <w:szCs w:val="24"/>
          <w:u w:val="single"/>
        </w:rPr>
        <w:t xml:space="preserve">Events Taking Place in Public </w:t>
      </w:r>
      <w:r w:rsidR="00171B7D" w:rsidRPr="000773A9">
        <w:rPr>
          <w:sz w:val="24"/>
          <w:szCs w:val="24"/>
          <w:u w:val="single"/>
        </w:rPr>
        <w:t>or</w:t>
      </w:r>
      <w:r w:rsidR="00537689" w:rsidRPr="000773A9">
        <w:rPr>
          <w:sz w:val="24"/>
          <w:szCs w:val="24"/>
          <w:u w:val="single"/>
        </w:rPr>
        <w:t xml:space="preserve"> Commercial Building </w:t>
      </w:r>
      <w:r w:rsidR="00A9661B">
        <w:rPr>
          <w:sz w:val="24"/>
          <w:szCs w:val="24"/>
          <w:u w:val="single"/>
        </w:rPr>
        <w:t>COFs</w:t>
      </w:r>
    </w:p>
    <w:p w:rsidR="00537689" w:rsidRPr="000773A9" w:rsidRDefault="00537689" w:rsidP="00537689">
      <w:pPr>
        <w:keepNext/>
        <w:numPr>
          <w:ilvl w:val="12"/>
          <w:numId w:val="0"/>
        </w:numPr>
        <w:rPr>
          <w:sz w:val="24"/>
          <w:szCs w:val="24"/>
        </w:rPr>
      </w:pPr>
    </w:p>
    <w:p w:rsidR="00537689" w:rsidRPr="000773A9" w:rsidRDefault="00537689" w:rsidP="00537689">
      <w:pPr>
        <w:keepNext/>
        <w:numPr>
          <w:ilvl w:val="12"/>
          <w:numId w:val="0"/>
        </w:numPr>
        <w:rPr>
          <w:sz w:val="24"/>
          <w:szCs w:val="24"/>
        </w:rPr>
      </w:pPr>
      <w:r w:rsidRPr="000773A9">
        <w:rPr>
          <w:sz w:val="24"/>
          <w:szCs w:val="24"/>
        </w:rPr>
        <w:tab/>
      </w:r>
      <w:r w:rsidR="001549DF" w:rsidRPr="000773A9">
        <w:rPr>
          <w:sz w:val="24"/>
          <w:szCs w:val="24"/>
        </w:rPr>
        <w:t xml:space="preserve">In addition to the change in target housing renovation events, this ICR includes burden and material cost estimates related to renovations taking place in public or commercial building </w:t>
      </w:r>
      <w:r w:rsidR="002D3B1A">
        <w:rPr>
          <w:sz w:val="24"/>
          <w:szCs w:val="24"/>
        </w:rPr>
        <w:t>COFs</w:t>
      </w:r>
      <w:r w:rsidR="001549DF" w:rsidRPr="000773A9">
        <w:rPr>
          <w:sz w:val="24"/>
          <w:szCs w:val="24"/>
        </w:rPr>
        <w:t xml:space="preserve">.  </w:t>
      </w:r>
      <w:r w:rsidRPr="000773A9">
        <w:rPr>
          <w:sz w:val="24"/>
          <w:szCs w:val="24"/>
        </w:rPr>
        <w:t xml:space="preserve">The </w:t>
      </w:r>
      <w:r w:rsidR="0061048C" w:rsidRPr="000773A9">
        <w:rPr>
          <w:sz w:val="24"/>
          <w:szCs w:val="24"/>
        </w:rPr>
        <w:t>2008 RRP rule</w:t>
      </w:r>
      <w:r w:rsidRPr="000773A9">
        <w:rPr>
          <w:sz w:val="24"/>
          <w:szCs w:val="24"/>
        </w:rPr>
        <w:t xml:space="preserve"> extended the pre-renovation information dissemination requirements to renovation projects performed by contractors or landlords in public or commercial building COFs.  </w:t>
      </w:r>
      <w:r w:rsidR="001549DF">
        <w:rPr>
          <w:sz w:val="24"/>
          <w:szCs w:val="24"/>
        </w:rPr>
        <w:t>(</w:t>
      </w:r>
      <w:r w:rsidR="001549DF" w:rsidRPr="000773A9">
        <w:rPr>
          <w:sz w:val="24"/>
          <w:szCs w:val="24"/>
        </w:rPr>
        <w:t xml:space="preserve">The burden estimates for these entities relating to </w:t>
      </w:r>
      <w:r w:rsidR="00F427C3">
        <w:rPr>
          <w:sz w:val="24"/>
          <w:szCs w:val="24"/>
        </w:rPr>
        <w:t xml:space="preserve">the </w:t>
      </w:r>
      <w:r w:rsidR="001549DF" w:rsidRPr="000773A9">
        <w:rPr>
          <w:sz w:val="24"/>
          <w:szCs w:val="24"/>
        </w:rPr>
        <w:t>pre-renovation education requirements of the 2008 RRP rule were prev</w:t>
      </w:r>
      <w:r w:rsidR="001549DF">
        <w:rPr>
          <w:sz w:val="24"/>
          <w:szCs w:val="24"/>
        </w:rPr>
        <w:t xml:space="preserve">iously included in ICR 1715.10, but are now being included in this ICR so that all of the pre-renovation information dissemination requirements under </w:t>
      </w:r>
      <w:r w:rsidR="002B4D77">
        <w:rPr>
          <w:sz w:val="24"/>
          <w:szCs w:val="24"/>
        </w:rPr>
        <w:t xml:space="preserve">TSCA </w:t>
      </w:r>
      <w:r w:rsidR="00363A91">
        <w:rPr>
          <w:sz w:val="24"/>
          <w:szCs w:val="24"/>
        </w:rPr>
        <w:t xml:space="preserve">section </w:t>
      </w:r>
      <w:r w:rsidR="001549DF">
        <w:rPr>
          <w:sz w:val="24"/>
          <w:szCs w:val="24"/>
        </w:rPr>
        <w:t xml:space="preserve">406(b) are accounted for in a single ICR).  </w:t>
      </w:r>
      <w:r w:rsidRPr="000773A9">
        <w:rPr>
          <w:sz w:val="24"/>
          <w:szCs w:val="24"/>
        </w:rPr>
        <w:t>This analysis assumes that contractors will work both in COFs that rent space, and in those that own space.  Landlords will only work in the buildings that they own.</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r>
      <w:r w:rsidR="00C520DF">
        <w:rPr>
          <w:sz w:val="24"/>
          <w:szCs w:val="24"/>
        </w:rPr>
        <w:t xml:space="preserve">Since </w:t>
      </w:r>
      <w:r w:rsidRPr="000773A9">
        <w:rPr>
          <w:sz w:val="24"/>
          <w:szCs w:val="24"/>
        </w:rPr>
        <w:t>t</w:t>
      </w:r>
      <w:r w:rsidR="00CF4323" w:rsidRPr="000773A9">
        <w:rPr>
          <w:sz w:val="24"/>
          <w:szCs w:val="24"/>
        </w:rPr>
        <w:t>he p</w:t>
      </w:r>
      <w:r w:rsidRPr="000773A9">
        <w:rPr>
          <w:sz w:val="24"/>
          <w:szCs w:val="24"/>
        </w:rPr>
        <w:t>re-</w:t>
      </w:r>
      <w:r w:rsidR="00CF4323" w:rsidRPr="000773A9">
        <w:rPr>
          <w:sz w:val="24"/>
          <w:szCs w:val="24"/>
        </w:rPr>
        <w:t>r</w:t>
      </w:r>
      <w:r w:rsidRPr="000773A9">
        <w:rPr>
          <w:sz w:val="24"/>
          <w:szCs w:val="24"/>
        </w:rPr>
        <w:t xml:space="preserve">enovation </w:t>
      </w:r>
      <w:r w:rsidR="00CF4323" w:rsidRPr="000773A9">
        <w:rPr>
          <w:sz w:val="24"/>
          <w:szCs w:val="24"/>
        </w:rPr>
        <w:t>e</w:t>
      </w:r>
      <w:r w:rsidRPr="000773A9">
        <w:rPr>
          <w:sz w:val="24"/>
          <w:szCs w:val="24"/>
        </w:rPr>
        <w:t>ducation requirements do not apply to events where a test kit indicates that lead-based paint is not present</w:t>
      </w:r>
      <w:r w:rsidR="00C520DF">
        <w:rPr>
          <w:sz w:val="24"/>
          <w:szCs w:val="24"/>
        </w:rPr>
        <w:t xml:space="preserve">, </w:t>
      </w:r>
      <w:r w:rsidR="00D84042">
        <w:rPr>
          <w:sz w:val="24"/>
          <w:szCs w:val="24"/>
        </w:rPr>
        <w:t xml:space="preserve">pre-renovation education </w:t>
      </w:r>
      <w:r w:rsidRPr="000773A9">
        <w:rPr>
          <w:sz w:val="24"/>
          <w:szCs w:val="24"/>
        </w:rPr>
        <w:t xml:space="preserve">costs are </w:t>
      </w:r>
      <w:r w:rsidR="00C520DF">
        <w:rPr>
          <w:sz w:val="24"/>
          <w:szCs w:val="24"/>
        </w:rPr>
        <w:t xml:space="preserve">only </w:t>
      </w:r>
      <w:r w:rsidRPr="000773A9">
        <w:rPr>
          <w:sz w:val="24"/>
          <w:szCs w:val="24"/>
        </w:rPr>
        <w:t xml:space="preserve">incurred for events </w:t>
      </w:r>
      <w:r w:rsidR="00C520DF">
        <w:rPr>
          <w:sz w:val="24"/>
          <w:szCs w:val="24"/>
        </w:rPr>
        <w:t xml:space="preserve">where </w:t>
      </w:r>
      <w:r w:rsidR="009D0258" w:rsidRPr="000773A9">
        <w:rPr>
          <w:sz w:val="24"/>
          <w:szCs w:val="24"/>
        </w:rPr>
        <w:t>LSWP</w:t>
      </w:r>
      <w:r w:rsidRPr="000773A9">
        <w:rPr>
          <w:sz w:val="24"/>
          <w:szCs w:val="24"/>
        </w:rPr>
        <w:t xml:space="preserve"> are used.  The number of LSWP events performed by landlords and contractors in COFs was calculated using the approach described in detail in </w:t>
      </w:r>
      <w:r w:rsidR="00D31215">
        <w:rPr>
          <w:sz w:val="24"/>
          <w:szCs w:val="24"/>
        </w:rPr>
        <w:t>s</w:t>
      </w:r>
      <w:r w:rsidRPr="000773A9">
        <w:rPr>
          <w:sz w:val="24"/>
          <w:szCs w:val="24"/>
        </w:rPr>
        <w:t xml:space="preserve">ection 4.4 of the Economic Analysis for the </w:t>
      </w:r>
      <w:r w:rsidR="0061048C" w:rsidRPr="000773A9">
        <w:rPr>
          <w:sz w:val="24"/>
          <w:szCs w:val="24"/>
        </w:rPr>
        <w:t>RRP rule</w:t>
      </w:r>
      <w:r w:rsidRPr="000773A9">
        <w:rPr>
          <w:sz w:val="24"/>
          <w:szCs w:val="24"/>
        </w:rPr>
        <w:t xml:space="preserve"> (EPA 2008).  </w:t>
      </w:r>
      <w:r w:rsidR="00D31215">
        <w:rPr>
          <w:sz w:val="24"/>
          <w:szCs w:val="24"/>
        </w:rPr>
        <w:t>The analysis described in s</w:t>
      </w:r>
      <w:r w:rsidR="00D84042">
        <w:rPr>
          <w:sz w:val="24"/>
          <w:szCs w:val="24"/>
        </w:rPr>
        <w:t xml:space="preserve">ection 4.4 </w:t>
      </w:r>
      <w:r w:rsidRPr="000773A9">
        <w:rPr>
          <w:sz w:val="24"/>
          <w:szCs w:val="24"/>
        </w:rPr>
        <w:lastRenderedPageBreak/>
        <w:t>estimated the percentage of events</w:t>
      </w:r>
      <w:r w:rsidR="00D84042">
        <w:rPr>
          <w:sz w:val="24"/>
          <w:szCs w:val="24"/>
        </w:rPr>
        <w:t xml:space="preserve"> (</w:t>
      </w:r>
      <w:r w:rsidRPr="000773A9">
        <w:rPr>
          <w:sz w:val="24"/>
          <w:szCs w:val="24"/>
        </w:rPr>
        <w:t>by event and facility type</w:t>
      </w:r>
      <w:r w:rsidR="00D84042">
        <w:rPr>
          <w:sz w:val="24"/>
          <w:szCs w:val="24"/>
        </w:rPr>
        <w:t>)</w:t>
      </w:r>
      <w:r w:rsidRPr="000773A9">
        <w:rPr>
          <w:sz w:val="24"/>
          <w:szCs w:val="24"/>
        </w:rPr>
        <w:t xml:space="preserve"> performed by landlords, contractors, and by the </w:t>
      </w:r>
      <w:r w:rsidR="002E1D79" w:rsidRPr="000773A9">
        <w:rPr>
          <w:sz w:val="24"/>
          <w:szCs w:val="24"/>
        </w:rPr>
        <w:t xml:space="preserve">staff of </w:t>
      </w:r>
      <w:r w:rsidRPr="000773A9">
        <w:rPr>
          <w:sz w:val="24"/>
          <w:szCs w:val="24"/>
        </w:rPr>
        <w:t>COFs themselves</w:t>
      </w:r>
      <w:r w:rsidR="00D84042">
        <w:rPr>
          <w:sz w:val="24"/>
          <w:szCs w:val="24"/>
        </w:rPr>
        <w:t xml:space="preserve">, and the results </w:t>
      </w:r>
      <w:r w:rsidRPr="000773A9">
        <w:rPr>
          <w:sz w:val="24"/>
          <w:szCs w:val="24"/>
        </w:rPr>
        <w:t>are presented in Table 4-91</w:t>
      </w:r>
      <w:r w:rsidR="00D84042">
        <w:rPr>
          <w:sz w:val="24"/>
          <w:szCs w:val="24"/>
        </w:rPr>
        <w:t xml:space="preserve"> </w:t>
      </w:r>
      <w:r w:rsidRPr="000773A9">
        <w:rPr>
          <w:sz w:val="24"/>
          <w:szCs w:val="24"/>
        </w:rPr>
        <w:t xml:space="preserve">(EPA 2008). </w:t>
      </w:r>
      <w:r w:rsidR="00D84042">
        <w:rPr>
          <w:sz w:val="24"/>
          <w:szCs w:val="24"/>
        </w:rPr>
        <w:t xml:space="preserve"> </w:t>
      </w:r>
      <w:r w:rsidRPr="000773A9">
        <w:rPr>
          <w:sz w:val="24"/>
          <w:szCs w:val="24"/>
        </w:rPr>
        <w:t xml:space="preserve">This </w:t>
      </w:r>
      <w:r w:rsidR="00D84042">
        <w:rPr>
          <w:sz w:val="24"/>
          <w:szCs w:val="24"/>
        </w:rPr>
        <w:t xml:space="preserve">ICR </w:t>
      </w:r>
      <w:r w:rsidRPr="000773A9">
        <w:rPr>
          <w:sz w:val="24"/>
          <w:szCs w:val="24"/>
        </w:rPr>
        <w:t xml:space="preserve">analysis applies the percentages in Table 4-91 to the numbers of LSWP events performed in each type of </w:t>
      </w:r>
      <w:r w:rsidR="00CF4323" w:rsidRPr="000773A9">
        <w:rPr>
          <w:sz w:val="24"/>
          <w:szCs w:val="24"/>
        </w:rPr>
        <w:t>COF</w:t>
      </w:r>
      <w:r w:rsidRPr="000773A9">
        <w:rPr>
          <w:sz w:val="24"/>
          <w:szCs w:val="24"/>
        </w:rPr>
        <w:t xml:space="preserve"> (see </w:t>
      </w:r>
      <w:r w:rsidR="00D31215">
        <w:rPr>
          <w:sz w:val="24"/>
          <w:szCs w:val="24"/>
        </w:rPr>
        <w:t>s</w:t>
      </w:r>
      <w:r w:rsidRPr="000773A9">
        <w:rPr>
          <w:sz w:val="24"/>
          <w:szCs w:val="24"/>
        </w:rPr>
        <w:t>ection 4.4 of Chapter 4 in EPA 2008) to estimate the number of events where contractors and landlords will need to distribute pamphlet(s) and obtain proof of pamphlet receipt prior to beginning renovation work.</w:t>
      </w:r>
    </w:p>
    <w:p w:rsidR="00537689" w:rsidRPr="000773A9" w:rsidRDefault="00537689" w:rsidP="00537689">
      <w:pPr>
        <w:numPr>
          <w:ilvl w:val="12"/>
          <w:numId w:val="0"/>
        </w:numPr>
        <w:rPr>
          <w:sz w:val="24"/>
          <w:szCs w:val="24"/>
        </w:rPr>
      </w:pPr>
    </w:p>
    <w:p w:rsidR="00537689" w:rsidRPr="000773A9" w:rsidRDefault="0016598E" w:rsidP="00942920">
      <w:pPr>
        <w:numPr>
          <w:ilvl w:val="12"/>
          <w:numId w:val="0"/>
        </w:numPr>
        <w:ind w:firstLine="720"/>
        <w:rPr>
          <w:i/>
          <w:sz w:val="24"/>
          <w:szCs w:val="24"/>
        </w:rPr>
      </w:pPr>
      <w:r>
        <w:rPr>
          <w:sz w:val="24"/>
          <w:szCs w:val="24"/>
        </w:rPr>
        <w:t xml:space="preserve">(A)  </w:t>
      </w:r>
      <w:r w:rsidR="00537689" w:rsidRPr="000773A9">
        <w:rPr>
          <w:i/>
          <w:sz w:val="24"/>
          <w:szCs w:val="24"/>
        </w:rPr>
        <w:t xml:space="preserve">Number of </w:t>
      </w:r>
      <w:r>
        <w:rPr>
          <w:i/>
          <w:sz w:val="24"/>
          <w:szCs w:val="24"/>
        </w:rPr>
        <w:t>COF Landlord Firms and Events</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firstLine="720"/>
        <w:rPr>
          <w:sz w:val="24"/>
          <w:szCs w:val="24"/>
        </w:rPr>
      </w:pPr>
      <w:r w:rsidRPr="000773A9">
        <w:rPr>
          <w:sz w:val="24"/>
          <w:szCs w:val="24"/>
        </w:rPr>
        <w:t xml:space="preserve">Landlords are required to comply with the </w:t>
      </w:r>
      <w:r w:rsidR="0016598E">
        <w:rPr>
          <w:sz w:val="24"/>
          <w:szCs w:val="24"/>
        </w:rPr>
        <w:t>p</w:t>
      </w:r>
      <w:r w:rsidRPr="000773A9">
        <w:rPr>
          <w:sz w:val="24"/>
          <w:szCs w:val="24"/>
        </w:rPr>
        <w:t>re-</w:t>
      </w:r>
      <w:r w:rsidR="0016598E">
        <w:rPr>
          <w:sz w:val="24"/>
          <w:szCs w:val="24"/>
        </w:rPr>
        <w:t>r</w:t>
      </w:r>
      <w:r w:rsidRPr="000773A9">
        <w:rPr>
          <w:sz w:val="24"/>
          <w:szCs w:val="24"/>
        </w:rPr>
        <w:t xml:space="preserve">enovation </w:t>
      </w:r>
      <w:r w:rsidR="0016598E">
        <w:rPr>
          <w:sz w:val="24"/>
          <w:szCs w:val="24"/>
        </w:rPr>
        <w:t>e</w:t>
      </w:r>
      <w:r w:rsidRPr="000773A9">
        <w:rPr>
          <w:sz w:val="24"/>
          <w:szCs w:val="24"/>
        </w:rPr>
        <w:t xml:space="preserve">ducation </w:t>
      </w:r>
      <w:r w:rsidR="0016598E">
        <w:rPr>
          <w:sz w:val="24"/>
          <w:szCs w:val="24"/>
        </w:rPr>
        <w:t>r</w:t>
      </w:r>
      <w:r w:rsidRPr="000773A9">
        <w:rPr>
          <w:sz w:val="24"/>
          <w:szCs w:val="24"/>
        </w:rPr>
        <w:t xml:space="preserve">ule during each LSWP event they perform.  </w:t>
      </w:r>
      <w:r w:rsidRPr="000773A9">
        <w:rPr>
          <w:sz w:val="24"/>
          <w:szCs w:val="24"/>
        </w:rPr>
        <w:fldChar w:fldCharType="begin"/>
      </w:r>
      <w:r w:rsidRPr="000773A9">
        <w:rPr>
          <w:sz w:val="24"/>
          <w:szCs w:val="24"/>
        </w:rPr>
        <w:instrText xml:space="preserve"> REF _Ref159223958 \h  \* MERGEFORMAT </w:instrText>
      </w:r>
      <w:r w:rsidRPr="000773A9">
        <w:rPr>
          <w:sz w:val="24"/>
          <w:szCs w:val="24"/>
        </w:rPr>
      </w:r>
      <w:r w:rsidRPr="000773A9">
        <w:rPr>
          <w:sz w:val="24"/>
          <w:szCs w:val="24"/>
        </w:rPr>
        <w:fldChar w:fldCharType="separate"/>
      </w:r>
      <w:r w:rsidR="00D067A1" w:rsidRPr="00D067A1">
        <w:rPr>
          <w:sz w:val="24"/>
          <w:szCs w:val="24"/>
        </w:rPr>
        <w:t>Exhibit 6.3</w:t>
      </w:r>
      <w:r w:rsidRPr="000773A9">
        <w:rPr>
          <w:sz w:val="24"/>
          <w:szCs w:val="24"/>
        </w:rPr>
        <w:fldChar w:fldCharType="end"/>
      </w:r>
      <w:r w:rsidRPr="000773A9">
        <w:rPr>
          <w:sz w:val="24"/>
          <w:szCs w:val="24"/>
        </w:rPr>
        <w:t xml:space="preserve"> presents the number of lessor/manager firms renting space to COFs and the numbers of LSWP events performed by these firms each year during the</w:t>
      </w:r>
      <w:r w:rsidR="00D84042">
        <w:rPr>
          <w:sz w:val="24"/>
          <w:szCs w:val="24"/>
        </w:rPr>
        <w:t xml:space="preserve"> first three years of the rule.  </w:t>
      </w:r>
      <w:r w:rsidR="00D84042" w:rsidRPr="000773A9">
        <w:rPr>
          <w:sz w:val="24"/>
          <w:szCs w:val="24"/>
        </w:rPr>
        <w:t xml:space="preserve">There </w:t>
      </w:r>
      <w:r w:rsidR="00FE3063">
        <w:rPr>
          <w:sz w:val="24"/>
          <w:szCs w:val="24"/>
        </w:rPr>
        <w:t>were on average</w:t>
      </w:r>
      <w:r w:rsidR="00D84042" w:rsidRPr="000773A9">
        <w:rPr>
          <w:sz w:val="24"/>
          <w:szCs w:val="24"/>
        </w:rPr>
        <w:t xml:space="preserve"> 13,170 non-residential property manager or lessor firms estimated to rent space </w:t>
      </w:r>
      <w:r w:rsidR="00D84042">
        <w:rPr>
          <w:sz w:val="24"/>
          <w:szCs w:val="24"/>
        </w:rPr>
        <w:t xml:space="preserve">to </w:t>
      </w:r>
      <w:r w:rsidR="00D84042" w:rsidRPr="000773A9">
        <w:rPr>
          <w:sz w:val="24"/>
          <w:szCs w:val="24"/>
        </w:rPr>
        <w:t>COFs annually during the reporting period</w:t>
      </w:r>
      <w:r w:rsidR="00D84042">
        <w:rPr>
          <w:sz w:val="24"/>
          <w:szCs w:val="24"/>
        </w:rPr>
        <w:t xml:space="preserve">, and they perform an average of </w:t>
      </w:r>
      <w:r w:rsidR="00293224">
        <w:rPr>
          <w:sz w:val="24"/>
          <w:szCs w:val="24"/>
        </w:rPr>
        <w:t>4,341</w:t>
      </w:r>
      <w:r w:rsidR="00D84042">
        <w:rPr>
          <w:sz w:val="24"/>
          <w:szCs w:val="24"/>
        </w:rPr>
        <w:t xml:space="preserve"> LSWP events per year</w:t>
      </w:r>
      <w:r w:rsidR="00D84042" w:rsidRPr="000773A9">
        <w:rPr>
          <w:sz w:val="24"/>
          <w:szCs w:val="24"/>
        </w:rPr>
        <w:t xml:space="preserve">.  </w:t>
      </w:r>
    </w:p>
    <w:p w:rsidR="00537689" w:rsidRPr="000773A9" w:rsidRDefault="00537689" w:rsidP="00537689">
      <w:pPr>
        <w:numPr>
          <w:ilvl w:val="12"/>
          <w:numId w:val="0"/>
        </w:num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1402"/>
        <w:gridCol w:w="1402"/>
        <w:gridCol w:w="1402"/>
        <w:gridCol w:w="1402"/>
      </w:tblGrid>
      <w:tr w:rsidR="00537689" w:rsidRPr="000773A9" w:rsidTr="00CF5C17">
        <w:trPr>
          <w:cantSplit/>
          <w:jc w:val="center"/>
        </w:trPr>
        <w:tc>
          <w:tcPr>
            <w:tcW w:w="8817" w:type="dxa"/>
            <w:gridSpan w:val="5"/>
            <w:tcBorders>
              <w:top w:val="nil"/>
              <w:left w:val="nil"/>
              <w:right w:val="nil"/>
            </w:tcBorders>
          </w:tcPr>
          <w:p w:rsidR="00537689" w:rsidRPr="000773A9" w:rsidRDefault="00537689" w:rsidP="00537689">
            <w:pPr>
              <w:jc w:val="center"/>
              <w:rPr>
                <w:b/>
                <w:bCs/>
              </w:rPr>
            </w:pPr>
            <w:bookmarkStart w:id="5" w:name="_Ref159223958"/>
            <w:r w:rsidRPr="000773A9">
              <w:rPr>
                <w:b/>
                <w:bCs/>
              </w:rPr>
              <w:t>Exhibit 6.</w:t>
            </w:r>
            <w:r w:rsidRPr="000773A9">
              <w:rPr>
                <w:b/>
                <w:bCs/>
              </w:rPr>
              <w:fldChar w:fldCharType="begin"/>
            </w:r>
            <w:r w:rsidRPr="000773A9">
              <w:rPr>
                <w:b/>
                <w:bCs/>
              </w:rPr>
              <w:instrText xml:space="preserve"> SEQ Exhibit_6. \* ARABIC </w:instrText>
            </w:r>
            <w:r w:rsidRPr="000773A9">
              <w:rPr>
                <w:b/>
                <w:bCs/>
              </w:rPr>
              <w:fldChar w:fldCharType="separate"/>
            </w:r>
            <w:r w:rsidR="00D067A1">
              <w:rPr>
                <w:b/>
                <w:bCs/>
                <w:noProof/>
              </w:rPr>
              <w:t>3</w:t>
            </w:r>
            <w:r w:rsidRPr="000773A9">
              <w:rPr>
                <w:b/>
                <w:bCs/>
              </w:rPr>
              <w:fldChar w:fldCharType="end"/>
            </w:r>
            <w:bookmarkEnd w:id="5"/>
            <w:r w:rsidRPr="000773A9">
              <w:rPr>
                <w:b/>
                <w:bCs/>
              </w:rPr>
              <w:t>:</w:t>
            </w:r>
            <w:r w:rsidRPr="000773A9">
              <w:t xml:space="preserve"> </w:t>
            </w:r>
            <w:r w:rsidRPr="000773A9">
              <w:rPr>
                <w:b/>
                <w:bCs/>
              </w:rPr>
              <w:t>Number of Non-Residential Property Manager Firms and LSWP Events They Perform</w:t>
            </w:r>
          </w:p>
          <w:p w:rsidR="00537689" w:rsidRPr="000773A9" w:rsidRDefault="00537689" w:rsidP="00537689">
            <w:pPr>
              <w:jc w:val="center"/>
              <w:rPr>
                <w:sz w:val="22"/>
              </w:rPr>
            </w:pPr>
          </w:p>
        </w:tc>
      </w:tr>
      <w:tr w:rsidR="00CF5C17" w:rsidRPr="000773A9" w:rsidTr="00257A33">
        <w:trPr>
          <w:jc w:val="center"/>
        </w:trPr>
        <w:tc>
          <w:tcPr>
            <w:tcW w:w="3209" w:type="dxa"/>
          </w:tcPr>
          <w:p w:rsidR="00CF5C17" w:rsidRPr="000773A9" w:rsidRDefault="00CF5C17" w:rsidP="00537689"/>
        </w:tc>
        <w:tc>
          <w:tcPr>
            <w:tcW w:w="1402" w:type="dxa"/>
          </w:tcPr>
          <w:p w:rsidR="00CF5C17" w:rsidRPr="000773A9" w:rsidRDefault="00CF5C17" w:rsidP="00537689">
            <w:pPr>
              <w:jc w:val="center"/>
              <w:rPr>
                <w:b/>
              </w:rPr>
            </w:pPr>
            <w:r w:rsidRPr="000773A9">
              <w:rPr>
                <w:b/>
              </w:rPr>
              <w:t>Year 1</w:t>
            </w:r>
          </w:p>
        </w:tc>
        <w:tc>
          <w:tcPr>
            <w:tcW w:w="1402" w:type="dxa"/>
          </w:tcPr>
          <w:p w:rsidR="00CF5C17" w:rsidRPr="000773A9" w:rsidRDefault="00CF5C17" w:rsidP="00537689">
            <w:pPr>
              <w:jc w:val="center"/>
              <w:rPr>
                <w:b/>
              </w:rPr>
            </w:pPr>
            <w:r w:rsidRPr="000773A9">
              <w:rPr>
                <w:b/>
              </w:rPr>
              <w:t>Year 2</w:t>
            </w:r>
          </w:p>
        </w:tc>
        <w:tc>
          <w:tcPr>
            <w:tcW w:w="1402" w:type="dxa"/>
          </w:tcPr>
          <w:p w:rsidR="00CF5C17" w:rsidRPr="000773A9" w:rsidRDefault="00CF5C17" w:rsidP="00537689">
            <w:pPr>
              <w:jc w:val="center"/>
              <w:rPr>
                <w:b/>
              </w:rPr>
            </w:pPr>
            <w:r w:rsidRPr="000773A9">
              <w:rPr>
                <w:b/>
              </w:rPr>
              <w:t>Year 3</w:t>
            </w:r>
          </w:p>
        </w:tc>
        <w:tc>
          <w:tcPr>
            <w:tcW w:w="1402" w:type="dxa"/>
          </w:tcPr>
          <w:p w:rsidR="00CF5C17" w:rsidRPr="000773A9" w:rsidRDefault="00CF5C17" w:rsidP="00CF5C17">
            <w:pPr>
              <w:jc w:val="center"/>
              <w:rPr>
                <w:b/>
              </w:rPr>
            </w:pPr>
            <w:r w:rsidRPr="000773A9">
              <w:rPr>
                <w:b/>
              </w:rPr>
              <w:t>Average</w:t>
            </w:r>
          </w:p>
        </w:tc>
      </w:tr>
      <w:tr w:rsidR="000F50FE" w:rsidRPr="000773A9" w:rsidTr="00675F4C">
        <w:trPr>
          <w:jc w:val="center"/>
        </w:trPr>
        <w:tc>
          <w:tcPr>
            <w:tcW w:w="3209" w:type="dxa"/>
          </w:tcPr>
          <w:p w:rsidR="000F50FE" w:rsidRPr="000773A9" w:rsidRDefault="000F50FE" w:rsidP="00537689">
            <w:r w:rsidRPr="000773A9">
              <w:t>Number of Lessor/Manager Firms</w:t>
            </w:r>
          </w:p>
        </w:tc>
        <w:tc>
          <w:tcPr>
            <w:tcW w:w="1402" w:type="dxa"/>
            <w:vAlign w:val="bottom"/>
          </w:tcPr>
          <w:p w:rsidR="000F50FE" w:rsidRPr="000773A9" w:rsidRDefault="000F50FE" w:rsidP="00A63128">
            <w:pPr>
              <w:ind w:right="334"/>
              <w:jc w:val="right"/>
            </w:pPr>
            <w:r w:rsidRPr="000773A9">
              <w:t>13,224</w:t>
            </w:r>
          </w:p>
        </w:tc>
        <w:tc>
          <w:tcPr>
            <w:tcW w:w="1402" w:type="dxa"/>
            <w:vAlign w:val="bottom"/>
          </w:tcPr>
          <w:p w:rsidR="000F50FE" w:rsidRPr="000773A9" w:rsidRDefault="000F50FE" w:rsidP="00A63128">
            <w:pPr>
              <w:ind w:right="334"/>
              <w:jc w:val="right"/>
            </w:pPr>
            <w:r w:rsidRPr="000773A9">
              <w:t>13,170</w:t>
            </w:r>
          </w:p>
        </w:tc>
        <w:tc>
          <w:tcPr>
            <w:tcW w:w="1402" w:type="dxa"/>
            <w:vAlign w:val="bottom"/>
          </w:tcPr>
          <w:p w:rsidR="000F50FE" w:rsidRPr="000773A9" w:rsidRDefault="000F50FE" w:rsidP="00A63128">
            <w:pPr>
              <w:ind w:right="334"/>
              <w:jc w:val="right"/>
            </w:pPr>
            <w:r w:rsidRPr="000773A9">
              <w:t>13,116</w:t>
            </w:r>
          </w:p>
        </w:tc>
        <w:tc>
          <w:tcPr>
            <w:tcW w:w="1402" w:type="dxa"/>
            <w:vAlign w:val="bottom"/>
          </w:tcPr>
          <w:p w:rsidR="000F50FE" w:rsidRPr="000773A9" w:rsidRDefault="000F50FE" w:rsidP="00A63128">
            <w:pPr>
              <w:ind w:right="334"/>
              <w:jc w:val="right"/>
            </w:pPr>
            <w:r w:rsidRPr="000773A9">
              <w:t>13,170</w:t>
            </w:r>
          </w:p>
        </w:tc>
      </w:tr>
      <w:tr w:rsidR="00293224" w:rsidRPr="000773A9" w:rsidTr="00675F4C">
        <w:trPr>
          <w:jc w:val="center"/>
        </w:trPr>
        <w:tc>
          <w:tcPr>
            <w:tcW w:w="3209" w:type="dxa"/>
          </w:tcPr>
          <w:p w:rsidR="00293224" w:rsidRPr="000773A9" w:rsidRDefault="00293224" w:rsidP="00537689">
            <w:r w:rsidRPr="000773A9">
              <w:t>Number of LSWP Events Performed</w:t>
            </w:r>
          </w:p>
        </w:tc>
        <w:tc>
          <w:tcPr>
            <w:tcW w:w="1402" w:type="dxa"/>
            <w:vAlign w:val="bottom"/>
          </w:tcPr>
          <w:p w:rsidR="00293224" w:rsidRPr="000773A9" w:rsidRDefault="00293224" w:rsidP="00A63128">
            <w:pPr>
              <w:ind w:right="334"/>
              <w:jc w:val="right"/>
            </w:pPr>
            <w:r>
              <w:t>4,359</w:t>
            </w:r>
          </w:p>
        </w:tc>
        <w:tc>
          <w:tcPr>
            <w:tcW w:w="1402" w:type="dxa"/>
            <w:vAlign w:val="bottom"/>
          </w:tcPr>
          <w:p w:rsidR="00293224" w:rsidRPr="000773A9" w:rsidRDefault="00293224" w:rsidP="00A63128">
            <w:pPr>
              <w:ind w:right="334"/>
              <w:jc w:val="right"/>
            </w:pPr>
            <w:r>
              <w:t>4,341</w:t>
            </w:r>
          </w:p>
        </w:tc>
        <w:tc>
          <w:tcPr>
            <w:tcW w:w="1402" w:type="dxa"/>
            <w:vAlign w:val="bottom"/>
          </w:tcPr>
          <w:p w:rsidR="00293224" w:rsidRPr="000773A9" w:rsidRDefault="00293224" w:rsidP="00A63128">
            <w:pPr>
              <w:ind w:right="334"/>
              <w:jc w:val="right"/>
            </w:pPr>
            <w:r>
              <w:t>4,323</w:t>
            </w:r>
          </w:p>
        </w:tc>
        <w:tc>
          <w:tcPr>
            <w:tcW w:w="1402" w:type="dxa"/>
            <w:vAlign w:val="bottom"/>
          </w:tcPr>
          <w:p w:rsidR="00293224" w:rsidRPr="000773A9" w:rsidRDefault="00293224" w:rsidP="00A63128">
            <w:pPr>
              <w:ind w:right="334"/>
              <w:jc w:val="right"/>
            </w:pPr>
            <w:r>
              <w:t>4,341</w:t>
            </w:r>
          </w:p>
        </w:tc>
      </w:tr>
      <w:tr w:rsidR="00537689" w:rsidRPr="000773A9" w:rsidTr="00CF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tc>
          <w:tcPr>
            <w:tcW w:w="8817" w:type="dxa"/>
            <w:gridSpan w:val="5"/>
          </w:tcPr>
          <w:p w:rsidR="00537689" w:rsidRPr="000773A9" w:rsidRDefault="00537689" w:rsidP="00537689">
            <w:pPr>
              <w:pStyle w:val="BodyText"/>
              <w:rPr>
                <w:b/>
                <w:bCs/>
                <w:sz w:val="20"/>
              </w:rPr>
            </w:pPr>
            <w:r w:rsidRPr="000773A9">
              <w:rPr>
                <w:b/>
                <w:bCs/>
                <w:sz w:val="20"/>
              </w:rPr>
              <w:t xml:space="preserve">Source(s): </w:t>
            </w:r>
            <w:r w:rsidRPr="000773A9">
              <w:rPr>
                <w:iCs/>
                <w:sz w:val="20"/>
              </w:rPr>
              <w:t xml:space="preserve">Economic Analysis for the </w:t>
            </w:r>
            <w:r w:rsidR="0061048C" w:rsidRPr="000773A9">
              <w:rPr>
                <w:iCs/>
                <w:sz w:val="20"/>
              </w:rPr>
              <w:t>RRP rule</w:t>
            </w:r>
            <w:r w:rsidRPr="000773A9">
              <w:rPr>
                <w:iCs/>
                <w:sz w:val="20"/>
              </w:rPr>
              <w:t xml:space="preserve"> (EPA 2008).</w:t>
            </w:r>
          </w:p>
        </w:tc>
      </w:tr>
    </w:tbl>
    <w:p w:rsidR="00537689" w:rsidRPr="000773A9" w:rsidRDefault="00537689" w:rsidP="00537689">
      <w:pPr>
        <w:numPr>
          <w:ilvl w:val="12"/>
          <w:numId w:val="0"/>
        </w:numPr>
        <w:ind w:firstLine="720"/>
        <w:rPr>
          <w:sz w:val="24"/>
          <w:szCs w:val="24"/>
        </w:rPr>
      </w:pPr>
    </w:p>
    <w:p w:rsidR="00537689" w:rsidRPr="000773A9" w:rsidRDefault="0016598E" w:rsidP="00942920">
      <w:pPr>
        <w:keepNext/>
        <w:numPr>
          <w:ilvl w:val="12"/>
          <w:numId w:val="0"/>
        </w:numPr>
        <w:ind w:firstLine="720"/>
        <w:rPr>
          <w:i/>
          <w:sz w:val="24"/>
          <w:szCs w:val="24"/>
        </w:rPr>
      </w:pPr>
      <w:r>
        <w:rPr>
          <w:sz w:val="24"/>
          <w:szCs w:val="24"/>
        </w:rPr>
        <w:t xml:space="preserve">(B)  </w:t>
      </w:r>
      <w:r w:rsidR="00537689" w:rsidRPr="000773A9">
        <w:rPr>
          <w:i/>
          <w:sz w:val="24"/>
          <w:szCs w:val="24"/>
        </w:rPr>
        <w:t xml:space="preserve">Number of </w:t>
      </w:r>
      <w:r>
        <w:rPr>
          <w:i/>
          <w:sz w:val="24"/>
          <w:szCs w:val="24"/>
        </w:rPr>
        <w:t>COF Contractor Firms and Events</w:t>
      </w:r>
    </w:p>
    <w:p w:rsidR="00537689" w:rsidRPr="000773A9" w:rsidRDefault="00537689" w:rsidP="0016598E">
      <w:pPr>
        <w:keepNext/>
        <w:numPr>
          <w:ilvl w:val="12"/>
          <w:numId w:val="0"/>
        </w:numPr>
        <w:ind w:firstLine="720"/>
        <w:rPr>
          <w:sz w:val="24"/>
          <w:szCs w:val="24"/>
        </w:rPr>
      </w:pPr>
    </w:p>
    <w:p w:rsidR="00537689" w:rsidRPr="000773A9" w:rsidRDefault="0016598E" w:rsidP="00696A04">
      <w:pPr>
        <w:keepNext/>
        <w:numPr>
          <w:ilvl w:val="12"/>
          <w:numId w:val="0"/>
        </w:numPr>
        <w:ind w:firstLine="720"/>
        <w:rPr>
          <w:sz w:val="24"/>
          <w:szCs w:val="24"/>
        </w:rPr>
      </w:pPr>
      <w:r>
        <w:rPr>
          <w:sz w:val="24"/>
          <w:szCs w:val="24"/>
        </w:rPr>
        <w:t>T</w:t>
      </w:r>
      <w:r w:rsidR="00537689" w:rsidRPr="000773A9">
        <w:rPr>
          <w:sz w:val="24"/>
          <w:szCs w:val="24"/>
        </w:rPr>
        <w:t>he number of LSWP events performed by contractors in public or commercial building COFs</w:t>
      </w:r>
      <w:r>
        <w:rPr>
          <w:sz w:val="24"/>
          <w:szCs w:val="24"/>
        </w:rPr>
        <w:t xml:space="preserve"> was estimated by applying the </w:t>
      </w:r>
      <w:r w:rsidR="00537689" w:rsidRPr="000773A9">
        <w:rPr>
          <w:sz w:val="24"/>
          <w:szCs w:val="24"/>
        </w:rPr>
        <w:t xml:space="preserve">percentages of all RRP events performed by contractors in schools and daycare centers to the total number of LSWP events performed in these buildings in a given year.  </w:t>
      </w:r>
      <w:r w:rsidR="00696A04" w:rsidRPr="003224A0">
        <w:rPr>
          <w:sz w:val="24"/>
          <w:szCs w:val="24"/>
        </w:rPr>
        <w:t xml:space="preserve">These </w:t>
      </w:r>
      <w:r w:rsidR="0063149E">
        <w:rPr>
          <w:sz w:val="24"/>
          <w:szCs w:val="24"/>
        </w:rPr>
        <w:t>estimates are based on the number of events calculated for the</w:t>
      </w:r>
      <w:r w:rsidR="00696A04" w:rsidRPr="003224A0">
        <w:rPr>
          <w:sz w:val="24"/>
          <w:szCs w:val="24"/>
        </w:rPr>
        <w:t xml:space="preserve"> Economic Analysis for the RRP rule (EPA 2008).  Section 4.4 of the Economic Analysis for the RRP rule (EPA 2008) presents the estimated percentages of RRP events, by event and facility type, performed by landlords, contractors, and by the COFs themselves.</w:t>
      </w:r>
      <w:r w:rsidR="00696A04" w:rsidRPr="000773A9">
        <w:rPr>
          <w:sz w:val="24"/>
          <w:szCs w:val="24"/>
        </w:rPr>
        <w:t xml:space="preserve">  </w:t>
      </w:r>
    </w:p>
    <w:p w:rsidR="00537689" w:rsidRPr="000773A9" w:rsidRDefault="00537689" w:rsidP="00537689">
      <w:pPr>
        <w:numPr>
          <w:ilvl w:val="12"/>
          <w:numId w:val="0"/>
        </w:numPr>
        <w:ind w:firstLine="720"/>
        <w:rPr>
          <w:sz w:val="24"/>
          <w:szCs w:val="24"/>
        </w:rPr>
      </w:pPr>
    </w:p>
    <w:p w:rsidR="00537689" w:rsidRPr="000773A9" w:rsidRDefault="00537689" w:rsidP="00537689">
      <w:pPr>
        <w:numPr>
          <w:ilvl w:val="12"/>
          <w:numId w:val="0"/>
        </w:numPr>
        <w:ind w:firstLine="720"/>
        <w:rPr>
          <w:sz w:val="24"/>
          <w:szCs w:val="24"/>
        </w:rPr>
      </w:pPr>
      <w:r w:rsidRPr="000773A9">
        <w:rPr>
          <w:sz w:val="24"/>
          <w:szCs w:val="24"/>
        </w:rPr>
        <w:fldChar w:fldCharType="begin"/>
      </w:r>
      <w:r w:rsidRPr="000773A9">
        <w:rPr>
          <w:sz w:val="24"/>
          <w:szCs w:val="24"/>
        </w:rPr>
        <w:instrText xml:space="preserve"> REF _Ref159223974 \h  \* MERGEFORMAT </w:instrText>
      </w:r>
      <w:r w:rsidRPr="000773A9">
        <w:rPr>
          <w:sz w:val="24"/>
          <w:szCs w:val="24"/>
        </w:rPr>
      </w:r>
      <w:r w:rsidRPr="000773A9">
        <w:rPr>
          <w:sz w:val="24"/>
          <w:szCs w:val="24"/>
        </w:rPr>
        <w:fldChar w:fldCharType="separate"/>
      </w:r>
      <w:r w:rsidR="00D067A1" w:rsidRPr="00D067A1">
        <w:rPr>
          <w:sz w:val="24"/>
          <w:szCs w:val="24"/>
        </w:rPr>
        <w:t>Exhibit 6.4</w:t>
      </w:r>
      <w:r w:rsidRPr="000773A9">
        <w:rPr>
          <w:sz w:val="24"/>
          <w:szCs w:val="24"/>
        </w:rPr>
        <w:fldChar w:fldCharType="end"/>
      </w:r>
      <w:r w:rsidRPr="000773A9">
        <w:rPr>
          <w:sz w:val="24"/>
          <w:szCs w:val="24"/>
        </w:rPr>
        <w:t xml:space="preserve"> presents the number of events performed by contractors in the first, second, and third years of the rule in schools, in daycare centers that own their space and in daycare centers that rent their space.</w:t>
      </w:r>
      <w:r w:rsidRPr="000773A9">
        <w:rPr>
          <w:sz w:val="24"/>
          <w:szCs w:val="24"/>
          <w:vertAlign w:val="superscript"/>
        </w:rPr>
        <w:footnoteReference w:id="4"/>
      </w:r>
      <w:r w:rsidRPr="000773A9">
        <w:rPr>
          <w:sz w:val="24"/>
          <w:szCs w:val="24"/>
        </w:rPr>
        <w:t xml:space="preserve">  </w:t>
      </w:r>
      <w:r w:rsidRPr="000773A9">
        <w:rPr>
          <w:sz w:val="24"/>
          <w:szCs w:val="24"/>
        </w:rPr>
        <w:fldChar w:fldCharType="begin"/>
      </w:r>
      <w:r w:rsidRPr="000773A9">
        <w:rPr>
          <w:sz w:val="24"/>
          <w:szCs w:val="24"/>
        </w:rPr>
        <w:instrText xml:space="preserve"> REF _Ref271710478 \h  \* MERGEFORMAT </w:instrText>
      </w:r>
      <w:r w:rsidRPr="000773A9">
        <w:rPr>
          <w:sz w:val="24"/>
          <w:szCs w:val="24"/>
        </w:rPr>
      </w:r>
      <w:r w:rsidRPr="000773A9">
        <w:rPr>
          <w:sz w:val="24"/>
          <w:szCs w:val="24"/>
        </w:rPr>
        <w:fldChar w:fldCharType="separate"/>
      </w:r>
      <w:r w:rsidR="00D067A1" w:rsidRPr="00D067A1">
        <w:rPr>
          <w:sz w:val="24"/>
          <w:szCs w:val="24"/>
        </w:rPr>
        <w:t>Exhibit 6.5</w:t>
      </w:r>
      <w:r w:rsidRPr="000773A9">
        <w:rPr>
          <w:sz w:val="24"/>
          <w:szCs w:val="24"/>
        </w:rPr>
        <w:fldChar w:fldCharType="end"/>
      </w:r>
      <w:r w:rsidRPr="000773A9">
        <w:rPr>
          <w:sz w:val="24"/>
          <w:szCs w:val="24"/>
        </w:rPr>
        <w:t xml:space="preserve"> presents the number of contractor firms performing work in public </w:t>
      </w:r>
      <w:r w:rsidR="00CF4323" w:rsidRPr="000773A9">
        <w:rPr>
          <w:sz w:val="24"/>
          <w:szCs w:val="24"/>
        </w:rPr>
        <w:t>or</w:t>
      </w:r>
      <w:r w:rsidRPr="000773A9">
        <w:rPr>
          <w:sz w:val="24"/>
          <w:szCs w:val="24"/>
        </w:rPr>
        <w:t xml:space="preserve"> commercial building COFs, and the total number of those events.</w:t>
      </w:r>
      <w:r w:rsidR="00696A04">
        <w:rPr>
          <w:sz w:val="24"/>
          <w:szCs w:val="24"/>
        </w:rPr>
        <w:t xml:space="preserve">  </w:t>
      </w:r>
      <w:r w:rsidR="00696A04" w:rsidRPr="000773A9">
        <w:rPr>
          <w:sz w:val="24"/>
          <w:szCs w:val="24"/>
        </w:rPr>
        <w:t xml:space="preserve">It is estimated that </w:t>
      </w:r>
      <w:r w:rsidR="00F469A3">
        <w:rPr>
          <w:sz w:val="24"/>
          <w:szCs w:val="24"/>
        </w:rPr>
        <w:t xml:space="preserve">an annual average of </w:t>
      </w:r>
      <w:r w:rsidR="00696A04">
        <w:rPr>
          <w:sz w:val="24"/>
          <w:szCs w:val="24"/>
        </w:rPr>
        <w:t xml:space="preserve">3,197 contractor firms will perform renovations </w:t>
      </w:r>
      <w:r w:rsidR="00696A04" w:rsidRPr="000773A9">
        <w:rPr>
          <w:sz w:val="24"/>
          <w:szCs w:val="24"/>
        </w:rPr>
        <w:t>in public or commercial building COFs</w:t>
      </w:r>
      <w:r w:rsidR="00696A04">
        <w:rPr>
          <w:sz w:val="24"/>
          <w:szCs w:val="24"/>
        </w:rPr>
        <w:t xml:space="preserve"> that require LSWP</w:t>
      </w:r>
      <w:r w:rsidR="00696A04" w:rsidRPr="000773A9">
        <w:rPr>
          <w:sz w:val="24"/>
          <w:szCs w:val="24"/>
        </w:rPr>
        <w:t>.</w:t>
      </w:r>
      <w:r w:rsidR="00696A04">
        <w:rPr>
          <w:sz w:val="24"/>
          <w:szCs w:val="24"/>
        </w:rPr>
        <w:t xml:space="preserve">  These </w:t>
      </w:r>
      <w:r w:rsidR="00696A04" w:rsidRPr="000773A9">
        <w:rPr>
          <w:sz w:val="24"/>
          <w:szCs w:val="24"/>
        </w:rPr>
        <w:t xml:space="preserve">contractors will perform an annual average of </w:t>
      </w:r>
      <w:r w:rsidR="00293224">
        <w:rPr>
          <w:sz w:val="24"/>
          <w:szCs w:val="24"/>
        </w:rPr>
        <w:t>115,721</w:t>
      </w:r>
      <w:r w:rsidR="00696A04" w:rsidRPr="000773A9">
        <w:rPr>
          <w:sz w:val="24"/>
          <w:szCs w:val="24"/>
        </w:rPr>
        <w:t xml:space="preserve"> renovation events that require LSWP in public or commercial building COFs.</w:t>
      </w:r>
      <w:r w:rsidR="00696A04" w:rsidRPr="000773A9">
        <w:rPr>
          <w:color w:val="FF0000"/>
          <w:sz w:val="24"/>
          <w:szCs w:val="24"/>
        </w:rPr>
        <w:t xml:space="preserve">  </w:t>
      </w:r>
    </w:p>
    <w:p w:rsidR="00537689" w:rsidRPr="000773A9" w:rsidRDefault="00537689" w:rsidP="00537689">
      <w:pPr>
        <w:numPr>
          <w:ilvl w:val="12"/>
          <w:numId w:val="0"/>
        </w:numPr>
        <w:ind w:firstLine="720"/>
        <w:rPr>
          <w:sz w:val="24"/>
          <w:szCs w:val="24"/>
        </w:rPr>
      </w:pPr>
    </w:p>
    <w:p w:rsidR="00537689" w:rsidRPr="000773A9" w:rsidRDefault="00537689" w:rsidP="000C44B0">
      <w:pPr>
        <w:keepNext/>
        <w:jc w:val="center"/>
        <w:rPr>
          <w:b/>
          <w:bCs/>
        </w:rPr>
      </w:pPr>
      <w:bookmarkStart w:id="6" w:name="_Ref159223974"/>
      <w:r w:rsidRPr="000773A9">
        <w:rPr>
          <w:b/>
          <w:bCs/>
        </w:rPr>
        <w:t>Exhibit 6.</w:t>
      </w:r>
      <w:r w:rsidRPr="000773A9">
        <w:rPr>
          <w:b/>
          <w:bCs/>
        </w:rPr>
        <w:fldChar w:fldCharType="begin"/>
      </w:r>
      <w:r w:rsidRPr="000773A9">
        <w:rPr>
          <w:b/>
          <w:bCs/>
        </w:rPr>
        <w:instrText xml:space="preserve"> SEQ Exhibit_6. \* ARABIC </w:instrText>
      </w:r>
      <w:r w:rsidRPr="000773A9">
        <w:rPr>
          <w:b/>
          <w:bCs/>
        </w:rPr>
        <w:fldChar w:fldCharType="separate"/>
      </w:r>
      <w:r w:rsidR="00D067A1">
        <w:rPr>
          <w:b/>
          <w:bCs/>
          <w:noProof/>
        </w:rPr>
        <w:t>4</w:t>
      </w:r>
      <w:r w:rsidRPr="000773A9">
        <w:rPr>
          <w:b/>
          <w:bCs/>
        </w:rPr>
        <w:fldChar w:fldCharType="end"/>
      </w:r>
      <w:bookmarkEnd w:id="6"/>
      <w:r w:rsidRPr="000773A9">
        <w:rPr>
          <w:b/>
          <w:bCs/>
        </w:rPr>
        <w:t>:</w:t>
      </w:r>
      <w:r w:rsidRPr="000773A9">
        <w:t xml:space="preserve"> </w:t>
      </w:r>
      <w:r w:rsidRPr="000773A9">
        <w:rPr>
          <w:b/>
          <w:bCs/>
        </w:rPr>
        <w:t>Number of Contractor LSWP Events by COF Type</w:t>
      </w:r>
    </w:p>
    <w:p w:rsidR="00537689" w:rsidRPr="000773A9" w:rsidRDefault="00537689" w:rsidP="00CF5C17">
      <w:pPr>
        <w:keepNext/>
        <w:ind w:firstLine="720"/>
        <w:jc w:val="center"/>
        <w:rPr>
          <w:sz w:val="22"/>
        </w:rPr>
      </w:pPr>
    </w:p>
    <w:tbl>
      <w:tblPr>
        <w:tblW w:w="8703" w:type="dxa"/>
        <w:jc w:val="center"/>
        <w:tblLayout w:type="fixed"/>
        <w:tblCellMar>
          <w:left w:w="0" w:type="dxa"/>
          <w:right w:w="0" w:type="dxa"/>
        </w:tblCellMar>
        <w:tblLook w:val="0000" w:firstRow="0" w:lastRow="0" w:firstColumn="0" w:lastColumn="0" w:noHBand="0" w:noVBand="0"/>
      </w:tblPr>
      <w:tblGrid>
        <w:gridCol w:w="3485"/>
        <w:gridCol w:w="1304"/>
        <w:gridCol w:w="1305"/>
        <w:gridCol w:w="1304"/>
        <w:gridCol w:w="1305"/>
      </w:tblGrid>
      <w:tr w:rsidR="00537689" w:rsidRPr="000773A9" w:rsidTr="00537689">
        <w:trPr>
          <w:cantSplit/>
          <w:trHeight w:val="233"/>
          <w:jc w:val="center"/>
        </w:trPr>
        <w:tc>
          <w:tcPr>
            <w:tcW w:w="3485" w:type="dxa"/>
            <w:vMerge w:val="restart"/>
            <w:tcBorders>
              <w:top w:val="single" w:sz="4" w:space="0" w:color="auto"/>
              <w:left w:val="single" w:sz="4" w:space="0" w:color="auto"/>
              <w:right w:val="single" w:sz="4" w:space="0" w:color="auto"/>
            </w:tcBorders>
            <w:noWrap/>
            <w:vAlign w:val="bottom"/>
          </w:tcPr>
          <w:p w:rsidR="00537689" w:rsidRPr="000773A9" w:rsidRDefault="00537689" w:rsidP="00CF5C17">
            <w:pPr>
              <w:pStyle w:val="Heading4"/>
              <w:jc w:val="center"/>
              <w:rPr>
                <w:b w:val="0"/>
                <w:sz w:val="20"/>
              </w:rPr>
            </w:pPr>
            <w:r w:rsidRPr="000773A9">
              <w:rPr>
                <w:b w:val="0"/>
                <w:sz w:val="20"/>
              </w:rPr>
              <w:t>Type of COF</w:t>
            </w:r>
          </w:p>
        </w:tc>
        <w:tc>
          <w:tcPr>
            <w:tcW w:w="5218" w:type="dxa"/>
            <w:gridSpan w:val="4"/>
            <w:tcBorders>
              <w:top w:val="single" w:sz="4" w:space="0" w:color="auto"/>
              <w:left w:val="nil"/>
              <w:bottom w:val="single" w:sz="4" w:space="0" w:color="auto"/>
              <w:right w:val="single" w:sz="4" w:space="0" w:color="auto"/>
            </w:tcBorders>
            <w:vAlign w:val="bottom"/>
          </w:tcPr>
          <w:p w:rsidR="00537689" w:rsidRPr="000773A9" w:rsidRDefault="00537689" w:rsidP="00CF5C17">
            <w:pPr>
              <w:keepNext/>
              <w:jc w:val="center"/>
              <w:rPr>
                <w:b/>
                <w:szCs w:val="16"/>
              </w:rPr>
            </w:pPr>
            <w:r w:rsidRPr="000773A9">
              <w:rPr>
                <w:b/>
                <w:szCs w:val="16"/>
              </w:rPr>
              <w:t>Number of Events Performed by Contractors</w:t>
            </w:r>
          </w:p>
        </w:tc>
      </w:tr>
      <w:tr w:rsidR="00D81153" w:rsidRPr="000773A9" w:rsidTr="00D81153">
        <w:trPr>
          <w:cantSplit/>
          <w:trHeight w:val="634"/>
          <w:jc w:val="center"/>
        </w:trPr>
        <w:tc>
          <w:tcPr>
            <w:tcW w:w="3485" w:type="dxa"/>
            <w:vMerge/>
            <w:tcBorders>
              <w:left w:val="single" w:sz="4" w:space="0" w:color="auto"/>
              <w:bottom w:val="single" w:sz="4" w:space="0" w:color="auto"/>
              <w:right w:val="single" w:sz="4" w:space="0" w:color="auto"/>
            </w:tcBorders>
            <w:noWrap/>
            <w:vAlign w:val="bottom"/>
          </w:tcPr>
          <w:p w:rsidR="00D81153" w:rsidRPr="000773A9" w:rsidRDefault="00D81153" w:rsidP="00CF5C17">
            <w:pPr>
              <w:keepNext/>
              <w:rPr>
                <w:rFonts w:eastAsia="Arial Unicode MS"/>
                <w:b/>
              </w:rPr>
            </w:pPr>
          </w:p>
        </w:tc>
        <w:tc>
          <w:tcPr>
            <w:tcW w:w="1304" w:type="dxa"/>
            <w:tcBorders>
              <w:top w:val="nil"/>
              <w:left w:val="nil"/>
              <w:bottom w:val="single" w:sz="4" w:space="0" w:color="auto"/>
              <w:right w:val="single" w:sz="4" w:space="0" w:color="auto"/>
            </w:tcBorders>
            <w:vAlign w:val="bottom"/>
          </w:tcPr>
          <w:p w:rsidR="00D81153" w:rsidRPr="000773A9" w:rsidRDefault="00D81153" w:rsidP="00CF5C17">
            <w:pPr>
              <w:keepNext/>
              <w:jc w:val="center"/>
              <w:rPr>
                <w:b/>
                <w:szCs w:val="16"/>
              </w:rPr>
            </w:pPr>
            <w:r w:rsidRPr="000773A9">
              <w:rPr>
                <w:b/>
                <w:szCs w:val="16"/>
              </w:rPr>
              <w:t>Year 1</w:t>
            </w:r>
          </w:p>
        </w:tc>
        <w:tc>
          <w:tcPr>
            <w:tcW w:w="1305" w:type="dxa"/>
            <w:tcBorders>
              <w:top w:val="nil"/>
              <w:left w:val="nil"/>
              <w:bottom w:val="single" w:sz="4" w:space="0" w:color="auto"/>
              <w:right w:val="single" w:sz="4" w:space="0" w:color="auto"/>
            </w:tcBorders>
            <w:vAlign w:val="bottom"/>
          </w:tcPr>
          <w:p w:rsidR="00D81153" w:rsidRPr="000773A9" w:rsidRDefault="00D81153" w:rsidP="00CF5C17">
            <w:pPr>
              <w:keepNext/>
              <w:jc w:val="center"/>
              <w:rPr>
                <w:rFonts w:eastAsia="Arial Unicode MS"/>
                <w:b/>
                <w:szCs w:val="16"/>
              </w:rPr>
            </w:pPr>
            <w:r w:rsidRPr="000773A9">
              <w:rPr>
                <w:b/>
                <w:szCs w:val="16"/>
              </w:rPr>
              <w:t>Year 2</w:t>
            </w:r>
          </w:p>
        </w:tc>
        <w:tc>
          <w:tcPr>
            <w:tcW w:w="1304" w:type="dxa"/>
            <w:tcBorders>
              <w:top w:val="nil"/>
              <w:left w:val="nil"/>
              <w:bottom w:val="single" w:sz="4" w:space="0" w:color="auto"/>
              <w:right w:val="single" w:sz="4" w:space="0" w:color="auto"/>
            </w:tcBorders>
            <w:vAlign w:val="bottom"/>
          </w:tcPr>
          <w:p w:rsidR="00D81153" w:rsidRPr="000773A9" w:rsidRDefault="00D81153" w:rsidP="00CF5C17">
            <w:pPr>
              <w:keepNext/>
              <w:jc w:val="center"/>
              <w:rPr>
                <w:rFonts w:eastAsia="Arial Unicode MS"/>
                <w:b/>
                <w:szCs w:val="16"/>
              </w:rPr>
            </w:pPr>
            <w:r w:rsidRPr="000773A9">
              <w:rPr>
                <w:b/>
                <w:szCs w:val="16"/>
              </w:rPr>
              <w:t>Year 3</w:t>
            </w:r>
          </w:p>
        </w:tc>
        <w:tc>
          <w:tcPr>
            <w:tcW w:w="1305" w:type="dxa"/>
            <w:tcBorders>
              <w:top w:val="nil"/>
              <w:left w:val="nil"/>
              <w:bottom w:val="single" w:sz="4" w:space="0" w:color="auto"/>
              <w:right w:val="single" w:sz="4" w:space="0" w:color="auto"/>
            </w:tcBorders>
            <w:vAlign w:val="bottom"/>
          </w:tcPr>
          <w:p w:rsidR="00D81153" w:rsidRPr="000773A9" w:rsidRDefault="00D81153" w:rsidP="00CF5C17">
            <w:pPr>
              <w:keepNext/>
              <w:jc w:val="center"/>
            </w:pPr>
          </w:p>
          <w:p w:rsidR="00D81153" w:rsidRPr="000773A9" w:rsidRDefault="00D81153" w:rsidP="00D81153">
            <w:pPr>
              <w:keepNext/>
              <w:jc w:val="center"/>
              <w:rPr>
                <w:b/>
              </w:rPr>
            </w:pPr>
            <w:r w:rsidRPr="000773A9">
              <w:rPr>
                <w:b/>
              </w:rPr>
              <w:t>Average</w:t>
            </w:r>
          </w:p>
        </w:tc>
      </w:tr>
      <w:tr w:rsidR="00293224" w:rsidRPr="000773A9" w:rsidTr="00675F4C">
        <w:trPr>
          <w:cantSplit/>
          <w:trHeight w:val="255"/>
          <w:jc w:val="center"/>
        </w:trPr>
        <w:tc>
          <w:tcPr>
            <w:tcW w:w="3485" w:type="dxa"/>
            <w:tcBorders>
              <w:top w:val="nil"/>
              <w:left w:val="single" w:sz="4" w:space="0" w:color="auto"/>
              <w:bottom w:val="single" w:sz="4" w:space="0" w:color="auto"/>
              <w:right w:val="single" w:sz="4" w:space="0" w:color="auto"/>
            </w:tcBorders>
            <w:noWrap/>
            <w:vAlign w:val="bottom"/>
          </w:tcPr>
          <w:p w:rsidR="00293224" w:rsidRPr="000773A9" w:rsidRDefault="00293224" w:rsidP="00CF5C17">
            <w:pPr>
              <w:keepNext/>
              <w:ind w:firstLine="125"/>
              <w:rPr>
                <w:rFonts w:eastAsia="Arial Unicode MS"/>
                <w:szCs w:val="16"/>
              </w:rPr>
            </w:pPr>
            <w:r w:rsidRPr="000773A9">
              <w:rPr>
                <w:szCs w:val="16"/>
              </w:rPr>
              <w:t xml:space="preserve">Public and Private </w:t>
            </w:r>
            <w:proofErr w:type="spellStart"/>
            <w:r w:rsidRPr="000773A9">
              <w:rPr>
                <w:szCs w:val="16"/>
              </w:rPr>
              <w:t>Schools</w:t>
            </w:r>
            <w:r w:rsidRPr="000773A9">
              <w:rPr>
                <w:szCs w:val="16"/>
                <w:vertAlign w:val="superscript"/>
              </w:rPr>
              <w:t>a</w:t>
            </w:r>
            <w:proofErr w:type="spellEnd"/>
          </w:p>
        </w:tc>
        <w:tc>
          <w:tcPr>
            <w:tcW w:w="1304" w:type="dxa"/>
            <w:tcBorders>
              <w:top w:val="nil"/>
              <w:left w:val="nil"/>
              <w:bottom w:val="single" w:sz="4" w:space="0" w:color="auto"/>
              <w:right w:val="single" w:sz="4" w:space="0" w:color="auto"/>
            </w:tcBorders>
            <w:noWrap/>
            <w:vAlign w:val="bottom"/>
          </w:tcPr>
          <w:p w:rsidR="00293224" w:rsidRPr="000773A9" w:rsidRDefault="00293224" w:rsidP="003C3F22">
            <w:pPr>
              <w:keepNext/>
              <w:ind w:right="317"/>
              <w:jc w:val="right"/>
            </w:pPr>
            <w:r>
              <w:t>93,561</w:t>
            </w:r>
          </w:p>
        </w:tc>
        <w:tc>
          <w:tcPr>
            <w:tcW w:w="1305" w:type="dxa"/>
            <w:tcBorders>
              <w:top w:val="nil"/>
              <w:left w:val="nil"/>
              <w:bottom w:val="single" w:sz="4" w:space="0" w:color="auto"/>
              <w:right w:val="single" w:sz="4" w:space="0" w:color="auto"/>
            </w:tcBorders>
            <w:noWrap/>
            <w:vAlign w:val="bottom"/>
          </w:tcPr>
          <w:p w:rsidR="00293224" w:rsidRPr="000773A9" w:rsidRDefault="00293224" w:rsidP="003C3F22">
            <w:pPr>
              <w:keepNext/>
              <w:ind w:right="317"/>
              <w:jc w:val="right"/>
            </w:pPr>
            <w:r>
              <w:t>93,178</w:t>
            </w:r>
          </w:p>
        </w:tc>
        <w:tc>
          <w:tcPr>
            <w:tcW w:w="1304" w:type="dxa"/>
            <w:tcBorders>
              <w:top w:val="nil"/>
              <w:left w:val="nil"/>
              <w:bottom w:val="single" w:sz="4" w:space="0" w:color="auto"/>
              <w:right w:val="single" w:sz="4" w:space="0" w:color="auto"/>
            </w:tcBorders>
            <w:noWrap/>
            <w:vAlign w:val="bottom"/>
          </w:tcPr>
          <w:p w:rsidR="00293224" w:rsidRPr="000773A9" w:rsidRDefault="00293224" w:rsidP="003C3F22">
            <w:pPr>
              <w:keepNext/>
              <w:ind w:right="317"/>
              <w:jc w:val="right"/>
            </w:pPr>
            <w:r>
              <w:t>92,795</w:t>
            </w:r>
          </w:p>
        </w:tc>
        <w:tc>
          <w:tcPr>
            <w:tcW w:w="1305" w:type="dxa"/>
            <w:tcBorders>
              <w:top w:val="nil"/>
              <w:left w:val="nil"/>
              <w:bottom w:val="single" w:sz="4" w:space="0" w:color="auto"/>
              <w:right w:val="single" w:sz="4" w:space="0" w:color="auto"/>
            </w:tcBorders>
            <w:vAlign w:val="bottom"/>
          </w:tcPr>
          <w:p w:rsidR="00293224" w:rsidRPr="000773A9" w:rsidRDefault="00293224" w:rsidP="003C3F22">
            <w:pPr>
              <w:ind w:right="317"/>
              <w:jc w:val="right"/>
            </w:pPr>
            <w:r>
              <w:t>93,178</w:t>
            </w:r>
          </w:p>
        </w:tc>
      </w:tr>
      <w:tr w:rsidR="00674D36" w:rsidRPr="000773A9" w:rsidTr="00675F4C">
        <w:trPr>
          <w:cantSplit/>
          <w:trHeight w:val="152"/>
          <w:jc w:val="center"/>
        </w:trPr>
        <w:tc>
          <w:tcPr>
            <w:tcW w:w="3485" w:type="dxa"/>
            <w:tcBorders>
              <w:top w:val="nil"/>
              <w:left w:val="single" w:sz="4" w:space="0" w:color="auto"/>
              <w:bottom w:val="single" w:sz="4" w:space="0" w:color="auto"/>
              <w:right w:val="single" w:sz="4" w:space="0" w:color="auto"/>
            </w:tcBorders>
            <w:noWrap/>
            <w:vAlign w:val="bottom"/>
          </w:tcPr>
          <w:p w:rsidR="00674D36" w:rsidRPr="000773A9" w:rsidRDefault="00674D36" w:rsidP="00CF5C17">
            <w:pPr>
              <w:keepNext/>
              <w:ind w:firstLine="125"/>
              <w:rPr>
                <w:rFonts w:eastAsia="Arial Unicode MS"/>
                <w:i/>
                <w:iCs/>
              </w:rPr>
            </w:pPr>
            <w:r w:rsidRPr="000773A9">
              <w:rPr>
                <w:szCs w:val="16"/>
              </w:rPr>
              <w:t xml:space="preserve">Daycare Centers that Own their </w:t>
            </w:r>
            <w:proofErr w:type="spellStart"/>
            <w:r w:rsidRPr="000773A9">
              <w:rPr>
                <w:szCs w:val="16"/>
              </w:rPr>
              <w:t>Space</w:t>
            </w:r>
            <w:r w:rsidRPr="000773A9">
              <w:rPr>
                <w:szCs w:val="16"/>
                <w:vertAlign w:val="superscript"/>
              </w:rPr>
              <w:t>b</w:t>
            </w:r>
            <w:proofErr w:type="spellEnd"/>
          </w:p>
        </w:tc>
        <w:tc>
          <w:tcPr>
            <w:tcW w:w="1304" w:type="dxa"/>
            <w:tcBorders>
              <w:top w:val="nil"/>
              <w:left w:val="nil"/>
              <w:bottom w:val="single" w:sz="4" w:space="0" w:color="auto"/>
              <w:right w:val="single" w:sz="4" w:space="0" w:color="auto"/>
            </w:tcBorders>
            <w:noWrap/>
            <w:vAlign w:val="bottom"/>
          </w:tcPr>
          <w:p w:rsidR="00674D36" w:rsidRPr="000773A9" w:rsidRDefault="00674D36" w:rsidP="003C3F22">
            <w:pPr>
              <w:keepNext/>
              <w:ind w:right="317"/>
              <w:jc w:val="right"/>
            </w:pPr>
            <w:r>
              <w:t>16,395</w:t>
            </w:r>
          </w:p>
        </w:tc>
        <w:tc>
          <w:tcPr>
            <w:tcW w:w="1305" w:type="dxa"/>
            <w:tcBorders>
              <w:top w:val="nil"/>
              <w:left w:val="nil"/>
              <w:bottom w:val="single" w:sz="4" w:space="0" w:color="auto"/>
              <w:right w:val="single" w:sz="4" w:space="0" w:color="auto"/>
            </w:tcBorders>
            <w:noWrap/>
            <w:vAlign w:val="bottom"/>
          </w:tcPr>
          <w:p w:rsidR="00674D36" w:rsidRPr="000773A9" w:rsidRDefault="00674D36" w:rsidP="003C3F22">
            <w:pPr>
              <w:keepNext/>
              <w:ind w:right="317"/>
              <w:jc w:val="right"/>
            </w:pPr>
            <w:r>
              <w:t>16,328</w:t>
            </w:r>
          </w:p>
        </w:tc>
        <w:tc>
          <w:tcPr>
            <w:tcW w:w="1304" w:type="dxa"/>
            <w:tcBorders>
              <w:top w:val="nil"/>
              <w:left w:val="nil"/>
              <w:bottom w:val="single" w:sz="4" w:space="0" w:color="auto"/>
              <w:right w:val="single" w:sz="4" w:space="0" w:color="auto"/>
            </w:tcBorders>
            <w:noWrap/>
            <w:vAlign w:val="bottom"/>
          </w:tcPr>
          <w:p w:rsidR="00674D36" w:rsidRPr="000773A9" w:rsidRDefault="00674D36" w:rsidP="003C3F22">
            <w:pPr>
              <w:keepNext/>
              <w:ind w:right="317"/>
              <w:jc w:val="right"/>
            </w:pPr>
            <w:r>
              <w:t>16,261</w:t>
            </w:r>
          </w:p>
        </w:tc>
        <w:tc>
          <w:tcPr>
            <w:tcW w:w="1305" w:type="dxa"/>
            <w:tcBorders>
              <w:top w:val="nil"/>
              <w:left w:val="nil"/>
              <w:bottom w:val="single" w:sz="4" w:space="0" w:color="auto"/>
              <w:right w:val="single" w:sz="4" w:space="0" w:color="auto"/>
            </w:tcBorders>
            <w:vAlign w:val="bottom"/>
          </w:tcPr>
          <w:p w:rsidR="00674D36" w:rsidRPr="000773A9" w:rsidRDefault="00674D36" w:rsidP="003C3F22">
            <w:pPr>
              <w:ind w:right="317"/>
              <w:jc w:val="right"/>
            </w:pPr>
            <w:r>
              <w:t>16,328</w:t>
            </w:r>
          </w:p>
        </w:tc>
      </w:tr>
      <w:tr w:rsidR="00674D36" w:rsidRPr="000773A9" w:rsidTr="00675F4C">
        <w:trPr>
          <w:cantSplit/>
          <w:trHeight w:val="122"/>
          <w:jc w:val="center"/>
        </w:trPr>
        <w:tc>
          <w:tcPr>
            <w:tcW w:w="3485" w:type="dxa"/>
            <w:tcBorders>
              <w:top w:val="nil"/>
              <w:left w:val="single" w:sz="4" w:space="0" w:color="auto"/>
              <w:bottom w:val="single" w:sz="4" w:space="0" w:color="auto"/>
              <w:right w:val="single" w:sz="4" w:space="0" w:color="auto"/>
            </w:tcBorders>
            <w:noWrap/>
            <w:vAlign w:val="bottom"/>
          </w:tcPr>
          <w:p w:rsidR="00674D36" w:rsidRPr="000773A9" w:rsidRDefault="00674D36" w:rsidP="00CF5C17">
            <w:pPr>
              <w:keepNext/>
              <w:ind w:firstLine="125"/>
              <w:rPr>
                <w:rFonts w:eastAsia="Arial Unicode MS"/>
                <w:i/>
                <w:iCs/>
              </w:rPr>
            </w:pPr>
            <w:r w:rsidRPr="000773A9">
              <w:rPr>
                <w:i/>
                <w:szCs w:val="16"/>
              </w:rPr>
              <w:t xml:space="preserve">     Sub-total in Owner-Occupied COFs</w:t>
            </w:r>
          </w:p>
        </w:tc>
        <w:tc>
          <w:tcPr>
            <w:tcW w:w="1304" w:type="dxa"/>
            <w:tcBorders>
              <w:top w:val="nil"/>
              <w:left w:val="nil"/>
              <w:bottom w:val="single" w:sz="4" w:space="0" w:color="auto"/>
              <w:right w:val="single" w:sz="4" w:space="0" w:color="auto"/>
            </w:tcBorders>
            <w:noWrap/>
            <w:vAlign w:val="bottom"/>
          </w:tcPr>
          <w:p w:rsidR="00674D36" w:rsidRPr="00293224" w:rsidRDefault="00674D36" w:rsidP="003C3F22">
            <w:pPr>
              <w:keepNext/>
              <w:ind w:right="317"/>
              <w:jc w:val="right"/>
              <w:rPr>
                <w:i/>
              </w:rPr>
            </w:pPr>
            <w:r>
              <w:rPr>
                <w:i/>
                <w:iCs/>
              </w:rPr>
              <w:t>109,956</w:t>
            </w:r>
          </w:p>
        </w:tc>
        <w:tc>
          <w:tcPr>
            <w:tcW w:w="1305" w:type="dxa"/>
            <w:tcBorders>
              <w:top w:val="nil"/>
              <w:left w:val="nil"/>
              <w:bottom w:val="single" w:sz="4" w:space="0" w:color="auto"/>
              <w:right w:val="single" w:sz="4" w:space="0" w:color="auto"/>
            </w:tcBorders>
            <w:noWrap/>
            <w:vAlign w:val="bottom"/>
          </w:tcPr>
          <w:p w:rsidR="00674D36" w:rsidRPr="00293224" w:rsidRDefault="00674D36" w:rsidP="003C3F22">
            <w:pPr>
              <w:keepNext/>
              <w:ind w:right="317"/>
              <w:jc w:val="right"/>
              <w:rPr>
                <w:i/>
              </w:rPr>
            </w:pPr>
            <w:r>
              <w:rPr>
                <w:i/>
                <w:iCs/>
              </w:rPr>
              <w:t>109,506</w:t>
            </w:r>
          </w:p>
        </w:tc>
        <w:tc>
          <w:tcPr>
            <w:tcW w:w="1304" w:type="dxa"/>
            <w:tcBorders>
              <w:top w:val="nil"/>
              <w:left w:val="nil"/>
              <w:bottom w:val="single" w:sz="4" w:space="0" w:color="auto"/>
              <w:right w:val="single" w:sz="4" w:space="0" w:color="auto"/>
            </w:tcBorders>
            <w:noWrap/>
            <w:vAlign w:val="bottom"/>
          </w:tcPr>
          <w:p w:rsidR="00674D36" w:rsidRPr="00293224" w:rsidRDefault="00674D36" w:rsidP="003C3F22">
            <w:pPr>
              <w:keepNext/>
              <w:ind w:right="317"/>
              <w:jc w:val="right"/>
              <w:rPr>
                <w:i/>
              </w:rPr>
            </w:pPr>
            <w:r>
              <w:rPr>
                <w:i/>
                <w:iCs/>
              </w:rPr>
              <w:t>109,056</w:t>
            </w:r>
          </w:p>
        </w:tc>
        <w:tc>
          <w:tcPr>
            <w:tcW w:w="1305" w:type="dxa"/>
            <w:tcBorders>
              <w:top w:val="nil"/>
              <w:left w:val="nil"/>
              <w:bottom w:val="single" w:sz="4" w:space="0" w:color="auto"/>
              <w:right w:val="single" w:sz="4" w:space="0" w:color="auto"/>
            </w:tcBorders>
            <w:vAlign w:val="bottom"/>
          </w:tcPr>
          <w:p w:rsidR="00674D36" w:rsidRPr="00293224" w:rsidRDefault="00674D36" w:rsidP="003C3F22">
            <w:pPr>
              <w:ind w:right="317"/>
              <w:jc w:val="right"/>
              <w:rPr>
                <w:i/>
              </w:rPr>
            </w:pPr>
            <w:r>
              <w:rPr>
                <w:i/>
                <w:iCs/>
              </w:rPr>
              <w:t>109,506</w:t>
            </w:r>
          </w:p>
        </w:tc>
      </w:tr>
      <w:tr w:rsidR="00674D36" w:rsidRPr="000773A9" w:rsidTr="00675F4C">
        <w:trPr>
          <w:cantSplit/>
          <w:trHeight w:val="255"/>
          <w:jc w:val="center"/>
        </w:trPr>
        <w:tc>
          <w:tcPr>
            <w:tcW w:w="3485" w:type="dxa"/>
            <w:tcBorders>
              <w:top w:val="nil"/>
              <w:left w:val="single" w:sz="4" w:space="0" w:color="auto"/>
              <w:bottom w:val="single" w:sz="4" w:space="0" w:color="auto"/>
              <w:right w:val="single" w:sz="4" w:space="0" w:color="auto"/>
            </w:tcBorders>
            <w:noWrap/>
            <w:vAlign w:val="bottom"/>
          </w:tcPr>
          <w:p w:rsidR="00674D36" w:rsidRPr="000773A9" w:rsidRDefault="00674D36" w:rsidP="002737A2">
            <w:pPr>
              <w:keepNext/>
              <w:ind w:firstLine="125"/>
              <w:rPr>
                <w:rFonts w:eastAsia="Arial Unicode MS"/>
                <w:szCs w:val="16"/>
              </w:rPr>
            </w:pPr>
            <w:r w:rsidRPr="000773A9">
              <w:rPr>
                <w:szCs w:val="16"/>
              </w:rPr>
              <w:t xml:space="preserve">Daycare Centers that Rent their </w:t>
            </w:r>
            <w:proofErr w:type="spellStart"/>
            <w:r w:rsidRPr="000773A9">
              <w:rPr>
                <w:szCs w:val="16"/>
              </w:rPr>
              <w:t>Space</w:t>
            </w:r>
            <w:r w:rsidRPr="000773A9">
              <w:rPr>
                <w:szCs w:val="16"/>
                <w:vertAlign w:val="superscript"/>
              </w:rPr>
              <w:t>c</w:t>
            </w:r>
            <w:proofErr w:type="spellEnd"/>
          </w:p>
        </w:tc>
        <w:tc>
          <w:tcPr>
            <w:tcW w:w="1304" w:type="dxa"/>
            <w:tcBorders>
              <w:top w:val="nil"/>
              <w:left w:val="nil"/>
              <w:bottom w:val="single" w:sz="4" w:space="0" w:color="auto"/>
              <w:right w:val="single" w:sz="4" w:space="0" w:color="auto"/>
            </w:tcBorders>
            <w:noWrap/>
            <w:vAlign w:val="bottom"/>
          </w:tcPr>
          <w:p w:rsidR="00674D36" w:rsidRPr="000773A9" w:rsidRDefault="00674D36" w:rsidP="002737A2">
            <w:pPr>
              <w:keepNext/>
              <w:ind w:right="317"/>
              <w:jc w:val="right"/>
            </w:pPr>
            <w:r>
              <w:t>6,241</w:t>
            </w:r>
          </w:p>
        </w:tc>
        <w:tc>
          <w:tcPr>
            <w:tcW w:w="1305" w:type="dxa"/>
            <w:tcBorders>
              <w:top w:val="nil"/>
              <w:left w:val="nil"/>
              <w:bottom w:val="single" w:sz="4" w:space="0" w:color="auto"/>
              <w:right w:val="single" w:sz="4" w:space="0" w:color="auto"/>
            </w:tcBorders>
            <w:noWrap/>
            <w:vAlign w:val="bottom"/>
          </w:tcPr>
          <w:p w:rsidR="00674D36" w:rsidRPr="000773A9" w:rsidRDefault="00674D36" w:rsidP="002737A2">
            <w:pPr>
              <w:keepNext/>
              <w:ind w:right="317"/>
              <w:jc w:val="right"/>
            </w:pPr>
            <w:r>
              <w:t>6,215</w:t>
            </w:r>
          </w:p>
        </w:tc>
        <w:tc>
          <w:tcPr>
            <w:tcW w:w="1304" w:type="dxa"/>
            <w:tcBorders>
              <w:top w:val="nil"/>
              <w:left w:val="nil"/>
              <w:bottom w:val="single" w:sz="4" w:space="0" w:color="auto"/>
              <w:right w:val="single" w:sz="4" w:space="0" w:color="auto"/>
            </w:tcBorders>
            <w:noWrap/>
            <w:vAlign w:val="bottom"/>
          </w:tcPr>
          <w:p w:rsidR="00674D36" w:rsidRPr="000773A9" w:rsidRDefault="00674D36" w:rsidP="002737A2">
            <w:pPr>
              <w:keepNext/>
              <w:ind w:right="317"/>
              <w:jc w:val="right"/>
            </w:pPr>
            <w:r>
              <w:t>6,189</w:t>
            </w:r>
          </w:p>
        </w:tc>
        <w:tc>
          <w:tcPr>
            <w:tcW w:w="1305" w:type="dxa"/>
            <w:tcBorders>
              <w:top w:val="nil"/>
              <w:left w:val="nil"/>
              <w:bottom w:val="single" w:sz="4" w:space="0" w:color="auto"/>
              <w:right w:val="single" w:sz="4" w:space="0" w:color="auto"/>
            </w:tcBorders>
            <w:vAlign w:val="bottom"/>
          </w:tcPr>
          <w:p w:rsidR="00674D36" w:rsidRPr="000773A9" w:rsidRDefault="00674D36" w:rsidP="002737A2">
            <w:pPr>
              <w:ind w:right="317"/>
              <w:jc w:val="right"/>
            </w:pPr>
            <w:r>
              <w:t>6,215</w:t>
            </w:r>
          </w:p>
        </w:tc>
      </w:tr>
      <w:tr w:rsidR="00674D36" w:rsidRPr="000773A9" w:rsidTr="00675F4C">
        <w:trPr>
          <w:cantSplit/>
          <w:trHeight w:val="255"/>
          <w:jc w:val="center"/>
        </w:trPr>
        <w:tc>
          <w:tcPr>
            <w:tcW w:w="3485" w:type="dxa"/>
            <w:tcBorders>
              <w:top w:val="nil"/>
              <w:left w:val="single" w:sz="4" w:space="0" w:color="auto"/>
              <w:bottom w:val="single" w:sz="4" w:space="0" w:color="auto"/>
              <w:right w:val="single" w:sz="4" w:space="0" w:color="auto"/>
            </w:tcBorders>
            <w:noWrap/>
            <w:vAlign w:val="bottom"/>
          </w:tcPr>
          <w:p w:rsidR="00674D36" w:rsidRPr="000773A9" w:rsidRDefault="00674D36" w:rsidP="00CF5C17">
            <w:pPr>
              <w:keepNext/>
              <w:ind w:firstLine="125"/>
              <w:rPr>
                <w:rFonts w:eastAsia="Arial Unicode MS"/>
                <w:i/>
                <w:szCs w:val="16"/>
              </w:rPr>
            </w:pPr>
            <w:r w:rsidRPr="000773A9">
              <w:rPr>
                <w:i/>
                <w:szCs w:val="16"/>
              </w:rPr>
              <w:t xml:space="preserve">     Sub-total in COFs that Rent Space</w:t>
            </w:r>
          </w:p>
        </w:tc>
        <w:tc>
          <w:tcPr>
            <w:tcW w:w="1304" w:type="dxa"/>
            <w:tcBorders>
              <w:top w:val="nil"/>
              <w:left w:val="nil"/>
              <w:bottom w:val="single" w:sz="4" w:space="0" w:color="auto"/>
              <w:right w:val="single" w:sz="4" w:space="0" w:color="auto"/>
            </w:tcBorders>
            <w:noWrap/>
            <w:vAlign w:val="bottom"/>
          </w:tcPr>
          <w:p w:rsidR="00674D36" w:rsidRPr="00293224" w:rsidRDefault="00674D36" w:rsidP="003C3F22">
            <w:pPr>
              <w:keepNext/>
              <w:ind w:right="317"/>
              <w:jc w:val="right"/>
              <w:rPr>
                <w:i/>
              </w:rPr>
            </w:pPr>
            <w:r>
              <w:rPr>
                <w:i/>
                <w:iCs/>
              </w:rPr>
              <w:t>6,241</w:t>
            </w:r>
          </w:p>
        </w:tc>
        <w:tc>
          <w:tcPr>
            <w:tcW w:w="1305" w:type="dxa"/>
            <w:tcBorders>
              <w:top w:val="nil"/>
              <w:left w:val="nil"/>
              <w:bottom w:val="single" w:sz="4" w:space="0" w:color="auto"/>
              <w:right w:val="single" w:sz="4" w:space="0" w:color="auto"/>
            </w:tcBorders>
            <w:noWrap/>
            <w:vAlign w:val="bottom"/>
          </w:tcPr>
          <w:p w:rsidR="00674D36" w:rsidRPr="00293224" w:rsidRDefault="00674D36" w:rsidP="003C3F22">
            <w:pPr>
              <w:keepNext/>
              <w:ind w:right="317"/>
              <w:jc w:val="right"/>
              <w:rPr>
                <w:i/>
              </w:rPr>
            </w:pPr>
            <w:r>
              <w:rPr>
                <w:i/>
                <w:iCs/>
              </w:rPr>
              <w:t>6,215</w:t>
            </w:r>
          </w:p>
        </w:tc>
        <w:tc>
          <w:tcPr>
            <w:tcW w:w="1304" w:type="dxa"/>
            <w:tcBorders>
              <w:top w:val="nil"/>
              <w:left w:val="nil"/>
              <w:bottom w:val="single" w:sz="4" w:space="0" w:color="auto"/>
              <w:right w:val="single" w:sz="4" w:space="0" w:color="auto"/>
            </w:tcBorders>
            <w:noWrap/>
            <w:vAlign w:val="bottom"/>
          </w:tcPr>
          <w:p w:rsidR="00674D36" w:rsidRPr="00293224" w:rsidRDefault="00674D36" w:rsidP="003C3F22">
            <w:pPr>
              <w:keepNext/>
              <w:ind w:right="317"/>
              <w:jc w:val="right"/>
              <w:rPr>
                <w:i/>
              </w:rPr>
            </w:pPr>
            <w:r>
              <w:rPr>
                <w:i/>
                <w:iCs/>
              </w:rPr>
              <w:t>6,189</w:t>
            </w:r>
          </w:p>
        </w:tc>
        <w:tc>
          <w:tcPr>
            <w:tcW w:w="1305" w:type="dxa"/>
            <w:tcBorders>
              <w:top w:val="nil"/>
              <w:left w:val="nil"/>
              <w:bottom w:val="single" w:sz="4" w:space="0" w:color="auto"/>
              <w:right w:val="single" w:sz="4" w:space="0" w:color="auto"/>
            </w:tcBorders>
            <w:vAlign w:val="bottom"/>
          </w:tcPr>
          <w:p w:rsidR="00674D36" w:rsidRPr="00293224" w:rsidRDefault="00674D36" w:rsidP="003C3F22">
            <w:pPr>
              <w:ind w:right="317"/>
              <w:jc w:val="right"/>
              <w:rPr>
                <w:i/>
              </w:rPr>
            </w:pPr>
            <w:r>
              <w:rPr>
                <w:i/>
                <w:iCs/>
              </w:rPr>
              <w:t>6,215</w:t>
            </w:r>
          </w:p>
        </w:tc>
      </w:tr>
      <w:tr w:rsidR="00293224" w:rsidRPr="000773A9" w:rsidTr="00675F4C">
        <w:trPr>
          <w:cantSplit/>
          <w:trHeight w:val="255"/>
          <w:jc w:val="center"/>
        </w:trPr>
        <w:tc>
          <w:tcPr>
            <w:tcW w:w="3485" w:type="dxa"/>
            <w:tcBorders>
              <w:top w:val="single" w:sz="4" w:space="0" w:color="auto"/>
              <w:left w:val="single" w:sz="4" w:space="0" w:color="auto"/>
              <w:bottom w:val="single" w:sz="4" w:space="0" w:color="auto"/>
              <w:right w:val="single" w:sz="4" w:space="0" w:color="auto"/>
            </w:tcBorders>
            <w:noWrap/>
            <w:vAlign w:val="bottom"/>
          </w:tcPr>
          <w:p w:rsidR="00293224" w:rsidRPr="000773A9" w:rsidRDefault="00293224" w:rsidP="00CF5C17">
            <w:pPr>
              <w:keepNext/>
              <w:ind w:firstLine="125"/>
              <w:rPr>
                <w:rFonts w:eastAsia="Arial Unicode MS"/>
                <w:b/>
                <w:szCs w:val="16"/>
              </w:rPr>
            </w:pPr>
            <w:r w:rsidRPr="000773A9">
              <w:rPr>
                <w:b/>
                <w:szCs w:val="16"/>
              </w:rPr>
              <w:t>Total Events</w:t>
            </w:r>
          </w:p>
        </w:tc>
        <w:tc>
          <w:tcPr>
            <w:tcW w:w="1304" w:type="dxa"/>
            <w:tcBorders>
              <w:top w:val="single" w:sz="4" w:space="0" w:color="auto"/>
              <w:left w:val="nil"/>
              <w:bottom w:val="single" w:sz="4" w:space="0" w:color="auto"/>
              <w:right w:val="single" w:sz="4" w:space="0" w:color="auto"/>
            </w:tcBorders>
            <w:noWrap/>
            <w:vAlign w:val="bottom"/>
          </w:tcPr>
          <w:p w:rsidR="00293224" w:rsidRPr="00293224" w:rsidRDefault="00293224" w:rsidP="003C3F22">
            <w:pPr>
              <w:keepNext/>
              <w:ind w:right="317"/>
              <w:jc w:val="right"/>
              <w:rPr>
                <w:b/>
              </w:rPr>
            </w:pPr>
            <w:r w:rsidRPr="00293224">
              <w:rPr>
                <w:b/>
              </w:rPr>
              <w:t>116,197</w:t>
            </w:r>
          </w:p>
        </w:tc>
        <w:tc>
          <w:tcPr>
            <w:tcW w:w="1305" w:type="dxa"/>
            <w:tcBorders>
              <w:top w:val="single" w:sz="4" w:space="0" w:color="auto"/>
              <w:left w:val="nil"/>
              <w:bottom w:val="single" w:sz="4" w:space="0" w:color="auto"/>
              <w:right w:val="single" w:sz="4" w:space="0" w:color="auto"/>
            </w:tcBorders>
            <w:noWrap/>
            <w:vAlign w:val="bottom"/>
          </w:tcPr>
          <w:p w:rsidR="00293224" w:rsidRPr="00293224" w:rsidRDefault="00293224" w:rsidP="003C3F22">
            <w:pPr>
              <w:keepNext/>
              <w:ind w:right="317"/>
              <w:jc w:val="right"/>
              <w:rPr>
                <w:b/>
              </w:rPr>
            </w:pPr>
            <w:r w:rsidRPr="00293224">
              <w:rPr>
                <w:b/>
              </w:rPr>
              <w:t>115,721</w:t>
            </w:r>
          </w:p>
        </w:tc>
        <w:tc>
          <w:tcPr>
            <w:tcW w:w="1304" w:type="dxa"/>
            <w:tcBorders>
              <w:top w:val="single" w:sz="4" w:space="0" w:color="auto"/>
              <w:left w:val="nil"/>
              <w:bottom w:val="single" w:sz="4" w:space="0" w:color="auto"/>
              <w:right w:val="single" w:sz="4" w:space="0" w:color="auto"/>
            </w:tcBorders>
            <w:noWrap/>
            <w:vAlign w:val="bottom"/>
          </w:tcPr>
          <w:p w:rsidR="00293224" w:rsidRPr="00293224" w:rsidRDefault="00293224" w:rsidP="003C3F22">
            <w:pPr>
              <w:keepNext/>
              <w:ind w:right="317"/>
              <w:jc w:val="right"/>
              <w:rPr>
                <w:b/>
              </w:rPr>
            </w:pPr>
            <w:r w:rsidRPr="00293224">
              <w:rPr>
                <w:b/>
              </w:rPr>
              <w:t>115,245</w:t>
            </w:r>
          </w:p>
        </w:tc>
        <w:tc>
          <w:tcPr>
            <w:tcW w:w="1305" w:type="dxa"/>
            <w:tcBorders>
              <w:top w:val="single" w:sz="4" w:space="0" w:color="auto"/>
              <w:left w:val="nil"/>
              <w:bottom w:val="single" w:sz="4" w:space="0" w:color="auto"/>
              <w:right w:val="single" w:sz="4" w:space="0" w:color="auto"/>
            </w:tcBorders>
            <w:vAlign w:val="bottom"/>
          </w:tcPr>
          <w:p w:rsidR="00293224" w:rsidRPr="00293224" w:rsidRDefault="00293224" w:rsidP="003C3F22">
            <w:pPr>
              <w:ind w:right="317"/>
              <w:jc w:val="right"/>
              <w:rPr>
                <w:b/>
              </w:rPr>
            </w:pPr>
            <w:r w:rsidRPr="00293224">
              <w:rPr>
                <w:b/>
              </w:rPr>
              <w:t>115,721</w:t>
            </w:r>
          </w:p>
        </w:tc>
      </w:tr>
      <w:tr w:rsidR="000B2FE1" w:rsidRPr="000773A9" w:rsidTr="00537689">
        <w:trPr>
          <w:cantSplit/>
          <w:trHeight w:val="1583"/>
          <w:jc w:val="center"/>
        </w:trPr>
        <w:tc>
          <w:tcPr>
            <w:tcW w:w="8703" w:type="dxa"/>
            <w:gridSpan w:val="5"/>
            <w:tcBorders>
              <w:top w:val="single" w:sz="4" w:space="0" w:color="auto"/>
              <w:bottom w:val="nil"/>
            </w:tcBorders>
            <w:noWrap/>
            <w:vAlign w:val="bottom"/>
          </w:tcPr>
          <w:p w:rsidR="000B2FE1" w:rsidRPr="000773A9" w:rsidRDefault="000B2FE1" w:rsidP="00CF5C17">
            <w:pPr>
              <w:keepNext/>
              <w:autoSpaceDE/>
              <w:autoSpaceDN/>
              <w:adjustRightInd/>
              <w:rPr>
                <w:szCs w:val="16"/>
              </w:rPr>
            </w:pPr>
            <w:r w:rsidRPr="000773A9">
              <w:rPr>
                <w:b/>
                <w:szCs w:val="16"/>
              </w:rPr>
              <w:t>Notes:</w:t>
            </w:r>
          </w:p>
          <w:p w:rsidR="000B2FE1" w:rsidRPr="000773A9" w:rsidRDefault="000B2FE1" w:rsidP="00CF5C17">
            <w:pPr>
              <w:keepNext/>
              <w:numPr>
                <w:ilvl w:val="0"/>
                <w:numId w:val="31"/>
              </w:numPr>
              <w:tabs>
                <w:tab w:val="clear" w:pos="720"/>
                <w:tab w:val="num" w:pos="392"/>
              </w:tabs>
              <w:autoSpaceDE/>
              <w:autoSpaceDN/>
              <w:adjustRightInd/>
              <w:ind w:left="392" w:hanging="212"/>
              <w:rPr>
                <w:szCs w:val="16"/>
              </w:rPr>
            </w:pPr>
            <w:r w:rsidRPr="000773A9">
              <w:rPr>
                <w:szCs w:val="16"/>
              </w:rPr>
              <w:t>All schools are assumed to own their buildings.</w:t>
            </w:r>
          </w:p>
          <w:p w:rsidR="000B2FE1" w:rsidRPr="000773A9" w:rsidRDefault="000B2FE1" w:rsidP="00CF5C17">
            <w:pPr>
              <w:keepNext/>
              <w:numPr>
                <w:ilvl w:val="0"/>
                <w:numId w:val="31"/>
              </w:numPr>
              <w:tabs>
                <w:tab w:val="clear" w:pos="720"/>
                <w:tab w:val="num" w:pos="392"/>
              </w:tabs>
              <w:autoSpaceDE/>
              <w:autoSpaceDN/>
              <w:adjustRightInd/>
              <w:ind w:left="392" w:hanging="212"/>
              <w:rPr>
                <w:szCs w:val="16"/>
              </w:rPr>
            </w:pPr>
            <w:r w:rsidRPr="000773A9">
              <w:rPr>
                <w:szCs w:val="16"/>
              </w:rPr>
              <w:t xml:space="preserve">The number of events in daycare centers that own their space is calculated as the difference between the number of contractor events in all daycare centers and the number of events in daycare </w:t>
            </w:r>
            <w:r w:rsidR="0016598E">
              <w:rPr>
                <w:szCs w:val="16"/>
              </w:rPr>
              <w:t xml:space="preserve">centers that rent their space.  </w:t>
            </w:r>
            <w:r w:rsidRPr="000773A9">
              <w:rPr>
                <w:szCs w:val="16"/>
              </w:rPr>
              <w:t xml:space="preserve">See </w:t>
            </w:r>
            <w:r w:rsidR="00D31215">
              <w:rPr>
                <w:szCs w:val="16"/>
              </w:rPr>
              <w:t>s</w:t>
            </w:r>
            <w:r w:rsidRPr="000773A9">
              <w:rPr>
                <w:szCs w:val="16"/>
              </w:rPr>
              <w:t xml:space="preserve">ection 4.4 of the Economic Analysis for the RRP rule (EPA 2008).  </w:t>
            </w:r>
          </w:p>
          <w:p w:rsidR="000B2FE1" w:rsidRPr="000773A9" w:rsidRDefault="000B2FE1" w:rsidP="000B2FE1">
            <w:pPr>
              <w:keepNext/>
              <w:numPr>
                <w:ilvl w:val="0"/>
                <w:numId w:val="31"/>
              </w:numPr>
              <w:tabs>
                <w:tab w:val="clear" w:pos="720"/>
                <w:tab w:val="num" w:pos="392"/>
              </w:tabs>
              <w:autoSpaceDE/>
              <w:autoSpaceDN/>
              <w:adjustRightInd/>
              <w:ind w:left="392" w:hanging="212"/>
              <w:rPr>
                <w:szCs w:val="16"/>
              </w:rPr>
            </w:pPr>
            <w:r w:rsidRPr="000773A9">
              <w:rPr>
                <w:szCs w:val="16"/>
              </w:rPr>
              <w:t xml:space="preserve">The number of centers renting space was estimated using data from DOE’s Commercial Building Energy Consumption Survey (CBECS).  HUD data was used to determine the percentages of work being contracted out.  See </w:t>
            </w:r>
            <w:r w:rsidR="00D31215">
              <w:rPr>
                <w:szCs w:val="16"/>
              </w:rPr>
              <w:t>s</w:t>
            </w:r>
            <w:r w:rsidRPr="000773A9">
              <w:rPr>
                <w:szCs w:val="16"/>
              </w:rPr>
              <w:t xml:space="preserve">ection 4.4 of the Economic Analysis for the RRP rule (EPA 2008).    </w:t>
            </w:r>
          </w:p>
          <w:p w:rsidR="000B2FE1" w:rsidRPr="000773A9" w:rsidRDefault="000B2FE1" w:rsidP="00CF5C17">
            <w:pPr>
              <w:keepNext/>
              <w:rPr>
                <w:szCs w:val="16"/>
              </w:rPr>
            </w:pPr>
            <w:r w:rsidRPr="000773A9">
              <w:rPr>
                <w:b/>
                <w:bCs/>
              </w:rPr>
              <w:t xml:space="preserve">Sources: </w:t>
            </w:r>
            <w:r w:rsidRPr="000773A9">
              <w:t xml:space="preserve"> </w:t>
            </w:r>
            <w:r w:rsidRPr="000773A9">
              <w:rPr>
                <w:iCs/>
              </w:rPr>
              <w:t xml:space="preserve">Economic Analysis for the RRP rule (EPA 2008). </w:t>
            </w:r>
          </w:p>
        </w:tc>
      </w:tr>
    </w:tbl>
    <w:p w:rsidR="00537689" w:rsidRPr="000773A9" w:rsidRDefault="00537689" w:rsidP="00537689">
      <w:pPr>
        <w:numPr>
          <w:ilvl w:val="12"/>
          <w:numId w:val="0"/>
        </w:num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8"/>
        <w:gridCol w:w="1479"/>
        <w:gridCol w:w="1480"/>
        <w:gridCol w:w="1479"/>
        <w:gridCol w:w="1480"/>
      </w:tblGrid>
      <w:tr w:rsidR="00537689" w:rsidRPr="000773A9" w:rsidTr="00257A33">
        <w:trPr>
          <w:cantSplit/>
          <w:jc w:val="center"/>
        </w:trPr>
        <w:tc>
          <w:tcPr>
            <w:tcW w:w="9196" w:type="dxa"/>
            <w:gridSpan w:val="5"/>
            <w:tcBorders>
              <w:top w:val="nil"/>
              <w:left w:val="nil"/>
              <w:right w:val="nil"/>
            </w:tcBorders>
          </w:tcPr>
          <w:p w:rsidR="00537689" w:rsidRPr="000773A9" w:rsidRDefault="00537689" w:rsidP="00B3355D">
            <w:pPr>
              <w:keepNext/>
              <w:jc w:val="center"/>
              <w:rPr>
                <w:b/>
                <w:bCs/>
              </w:rPr>
            </w:pPr>
            <w:bookmarkStart w:id="7" w:name="_Ref271710478"/>
            <w:r w:rsidRPr="000773A9">
              <w:rPr>
                <w:b/>
                <w:bCs/>
              </w:rPr>
              <w:t>Exhibit 6.</w:t>
            </w:r>
            <w:r w:rsidRPr="000773A9">
              <w:rPr>
                <w:b/>
                <w:bCs/>
              </w:rPr>
              <w:fldChar w:fldCharType="begin"/>
            </w:r>
            <w:r w:rsidRPr="000773A9">
              <w:rPr>
                <w:b/>
                <w:bCs/>
              </w:rPr>
              <w:instrText xml:space="preserve"> SEQ Exhibit_6. \* ARABIC </w:instrText>
            </w:r>
            <w:r w:rsidRPr="000773A9">
              <w:rPr>
                <w:b/>
                <w:bCs/>
              </w:rPr>
              <w:fldChar w:fldCharType="separate"/>
            </w:r>
            <w:r w:rsidR="00D067A1">
              <w:rPr>
                <w:b/>
                <w:bCs/>
                <w:noProof/>
              </w:rPr>
              <w:t>5</w:t>
            </w:r>
            <w:r w:rsidRPr="000773A9">
              <w:rPr>
                <w:b/>
                <w:bCs/>
              </w:rPr>
              <w:fldChar w:fldCharType="end"/>
            </w:r>
            <w:bookmarkEnd w:id="7"/>
            <w:r w:rsidRPr="000773A9">
              <w:rPr>
                <w:b/>
                <w:bCs/>
              </w:rPr>
              <w:t>:</w:t>
            </w:r>
            <w:r w:rsidRPr="000773A9">
              <w:t xml:space="preserve"> </w:t>
            </w:r>
            <w:r w:rsidRPr="000773A9">
              <w:rPr>
                <w:b/>
                <w:bCs/>
              </w:rPr>
              <w:t>Number of Non-Residential Contractor Firms and LSWP Events They Perform</w:t>
            </w:r>
            <w:r w:rsidR="004275CA" w:rsidRPr="000773A9">
              <w:rPr>
                <w:b/>
                <w:bCs/>
              </w:rPr>
              <w:t xml:space="preserve"> in COFs</w:t>
            </w:r>
          </w:p>
          <w:p w:rsidR="00537689" w:rsidRPr="000773A9" w:rsidRDefault="00537689" w:rsidP="00B3355D">
            <w:pPr>
              <w:keepNext/>
              <w:jc w:val="center"/>
              <w:rPr>
                <w:sz w:val="22"/>
              </w:rPr>
            </w:pPr>
          </w:p>
        </w:tc>
      </w:tr>
      <w:tr w:rsidR="00D81153" w:rsidRPr="000773A9" w:rsidTr="00257A33">
        <w:trPr>
          <w:jc w:val="center"/>
        </w:trPr>
        <w:tc>
          <w:tcPr>
            <w:tcW w:w="3278" w:type="dxa"/>
          </w:tcPr>
          <w:p w:rsidR="00D81153" w:rsidRPr="000773A9" w:rsidRDefault="00D81153" w:rsidP="00B3355D">
            <w:pPr>
              <w:keepNext/>
            </w:pPr>
          </w:p>
        </w:tc>
        <w:tc>
          <w:tcPr>
            <w:tcW w:w="1479" w:type="dxa"/>
          </w:tcPr>
          <w:p w:rsidR="00D81153" w:rsidRPr="000773A9" w:rsidRDefault="00D81153" w:rsidP="00B3355D">
            <w:pPr>
              <w:keepNext/>
              <w:jc w:val="center"/>
              <w:rPr>
                <w:b/>
              </w:rPr>
            </w:pPr>
            <w:r w:rsidRPr="000773A9">
              <w:rPr>
                <w:b/>
              </w:rPr>
              <w:t>Year 1</w:t>
            </w:r>
          </w:p>
        </w:tc>
        <w:tc>
          <w:tcPr>
            <w:tcW w:w="1480" w:type="dxa"/>
          </w:tcPr>
          <w:p w:rsidR="00D81153" w:rsidRPr="000773A9" w:rsidRDefault="00D81153" w:rsidP="00B3355D">
            <w:pPr>
              <w:keepNext/>
              <w:jc w:val="center"/>
              <w:rPr>
                <w:b/>
              </w:rPr>
            </w:pPr>
            <w:r w:rsidRPr="000773A9">
              <w:rPr>
                <w:b/>
              </w:rPr>
              <w:t>Year 2</w:t>
            </w:r>
          </w:p>
        </w:tc>
        <w:tc>
          <w:tcPr>
            <w:tcW w:w="1479" w:type="dxa"/>
          </w:tcPr>
          <w:p w:rsidR="00D81153" w:rsidRPr="000773A9" w:rsidRDefault="00D81153" w:rsidP="00B3355D">
            <w:pPr>
              <w:keepNext/>
              <w:jc w:val="center"/>
              <w:rPr>
                <w:b/>
              </w:rPr>
            </w:pPr>
            <w:r w:rsidRPr="000773A9">
              <w:rPr>
                <w:b/>
              </w:rPr>
              <w:t>Year 3</w:t>
            </w:r>
          </w:p>
        </w:tc>
        <w:tc>
          <w:tcPr>
            <w:tcW w:w="1480" w:type="dxa"/>
          </w:tcPr>
          <w:p w:rsidR="00D81153" w:rsidRPr="000773A9" w:rsidRDefault="00D81153" w:rsidP="00B3355D">
            <w:pPr>
              <w:keepNext/>
              <w:jc w:val="center"/>
              <w:rPr>
                <w:b/>
              </w:rPr>
            </w:pPr>
            <w:r w:rsidRPr="000773A9">
              <w:rPr>
                <w:b/>
              </w:rPr>
              <w:t>Average</w:t>
            </w:r>
          </w:p>
        </w:tc>
      </w:tr>
      <w:tr w:rsidR="005509F5" w:rsidRPr="000773A9" w:rsidTr="00675F4C">
        <w:trPr>
          <w:jc w:val="center"/>
        </w:trPr>
        <w:tc>
          <w:tcPr>
            <w:tcW w:w="3278" w:type="dxa"/>
          </w:tcPr>
          <w:p w:rsidR="005509F5" w:rsidRPr="000773A9" w:rsidRDefault="005509F5" w:rsidP="00B3355D">
            <w:pPr>
              <w:keepNext/>
            </w:pPr>
            <w:r w:rsidRPr="000773A9">
              <w:t>Number of Contractor Firms</w:t>
            </w:r>
          </w:p>
        </w:tc>
        <w:tc>
          <w:tcPr>
            <w:tcW w:w="1479" w:type="dxa"/>
            <w:vAlign w:val="bottom"/>
          </w:tcPr>
          <w:p w:rsidR="005509F5" w:rsidRPr="000773A9" w:rsidRDefault="005509F5" w:rsidP="00B3355D">
            <w:pPr>
              <w:keepNext/>
              <w:ind w:right="291"/>
              <w:jc w:val="right"/>
            </w:pPr>
            <w:r>
              <w:t>3,210</w:t>
            </w:r>
          </w:p>
        </w:tc>
        <w:tc>
          <w:tcPr>
            <w:tcW w:w="1480" w:type="dxa"/>
            <w:vAlign w:val="bottom"/>
          </w:tcPr>
          <w:p w:rsidR="005509F5" w:rsidRPr="000773A9" w:rsidRDefault="005509F5" w:rsidP="00B3355D">
            <w:pPr>
              <w:keepNext/>
              <w:ind w:right="291"/>
              <w:jc w:val="right"/>
            </w:pPr>
            <w:r>
              <w:t>3,197</w:t>
            </w:r>
          </w:p>
        </w:tc>
        <w:tc>
          <w:tcPr>
            <w:tcW w:w="1479" w:type="dxa"/>
            <w:vAlign w:val="bottom"/>
          </w:tcPr>
          <w:p w:rsidR="005509F5" w:rsidRPr="000773A9" w:rsidRDefault="005509F5" w:rsidP="00B3355D">
            <w:pPr>
              <w:keepNext/>
              <w:ind w:right="291"/>
              <w:jc w:val="right"/>
            </w:pPr>
            <w:r>
              <w:t>3,183</w:t>
            </w:r>
          </w:p>
        </w:tc>
        <w:tc>
          <w:tcPr>
            <w:tcW w:w="1480" w:type="dxa"/>
            <w:vAlign w:val="bottom"/>
          </w:tcPr>
          <w:p w:rsidR="005509F5" w:rsidRPr="000773A9" w:rsidRDefault="005509F5" w:rsidP="00B3355D">
            <w:pPr>
              <w:keepNext/>
              <w:ind w:right="291"/>
              <w:jc w:val="right"/>
            </w:pPr>
            <w:r>
              <w:t>3,197</w:t>
            </w:r>
          </w:p>
        </w:tc>
      </w:tr>
      <w:tr w:rsidR="005509F5" w:rsidRPr="000773A9" w:rsidTr="00675F4C">
        <w:trPr>
          <w:jc w:val="center"/>
        </w:trPr>
        <w:tc>
          <w:tcPr>
            <w:tcW w:w="3278" w:type="dxa"/>
          </w:tcPr>
          <w:p w:rsidR="005509F5" w:rsidRPr="000773A9" w:rsidRDefault="005509F5" w:rsidP="00B3355D">
            <w:pPr>
              <w:keepNext/>
            </w:pPr>
            <w:r w:rsidRPr="000773A9">
              <w:t>Number of LSWP Events Performed</w:t>
            </w:r>
          </w:p>
        </w:tc>
        <w:tc>
          <w:tcPr>
            <w:tcW w:w="1479" w:type="dxa"/>
            <w:vAlign w:val="bottom"/>
          </w:tcPr>
          <w:p w:rsidR="005509F5" w:rsidRPr="000773A9" w:rsidRDefault="005509F5" w:rsidP="00B3355D">
            <w:pPr>
              <w:keepNext/>
              <w:ind w:right="291"/>
              <w:jc w:val="right"/>
            </w:pPr>
            <w:r>
              <w:t>116,197</w:t>
            </w:r>
          </w:p>
        </w:tc>
        <w:tc>
          <w:tcPr>
            <w:tcW w:w="1480" w:type="dxa"/>
            <w:vAlign w:val="bottom"/>
          </w:tcPr>
          <w:p w:rsidR="005509F5" w:rsidRPr="000773A9" w:rsidRDefault="005509F5" w:rsidP="00B3355D">
            <w:pPr>
              <w:keepNext/>
              <w:ind w:right="291"/>
              <w:jc w:val="right"/>
            </w:pPr>
            <w:r>
              <w:t>115,721</w:t>
            </w:r>
          </w:p>
        </w:tc>
        <w:tc>
          <w:tcPr>
            <w:tcW w:w="1479" w:type="dxa"/>
            <w:vAlign w:val="bottom"/>
          </w:tcPr>
          <w:p w:rsidR="005509F5" w:rsidRPr="000773A9" w:rsidRDefault="005509F5" w:rsidP="00B3355D">
            <w:pPr>
              <w:keepNext/>
              <w:ind w:right="291"/>
              <w:jc w:val="right"/>
            </w:pPr>
            <w:r>
              <w:t>115,245</w:t>
            </w:r>
          </w:p>
        </w:tc>
        <w:tc>
          <w:tcPr>
            <w:tcW w:w="1480" w:type="dxa"/>
            <w:vAlign w:val="bottom"/>
          </w:tcPr>
          <w:p w:rsidR="005509F5" w:rsidRPr="000773A9" w:rsidRDefault="005509F5" w:rsidP="00B3355D">
            <w:pPr>
              <w:keepNext/>
              <w:ind w:right="291"/>
              <w:jc w:val="right"/>
            </w:pPr>
            <w:r>
              <w:t>115,721</w:t>
            </w:r>
          </w:p>
        </w:tc>
      </w:tr>
      <w:tr w:rsidR="00537689" w:rsidRPr="000773A9" w:rsidTr="00257A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tc>
          <w:tcPr>
            <w:tcW w:w="9196" w:type="dxa"/>
            <w:gridSpan w:val="5"/>
          </w:tcPr>
          <w:p w:rsidR="00537689" w:rsidRPr="000773A9" w:rsidRDefault="00537689" w:rsidP="00B3355D">
            <w:pPr>
              <w:pStyle w:val="BodyText"/>
              <w:keepNext/>
              <w:rPr>
                <w:b/>
                <w:bCs/>
                <w:sz w:val="20"/>
              </w:rPr>
            </w:pPr>
            <w:r w:rsidRPr="000773A9">
              <w:rPr>
                <w:b/>
                <w:bCs/>
                <w:sz w:val="20"/>
              </w:rPr>
              <w:t xml:space="preserve">Source(s): </w:t>
            </w:r>
            <w:r w:rsidRPr="000773A9">
              <w:rPr>
                <w:iCs/>
                <w:sz w:val="20"/>
              </w:rPr>
              <w:t xml:space="preserve">Economic Analysis for the </w:t>
            </w:r>
            <w:r w:rsidR="0061048C" w:rsidRPr="000773A9">
              <w:rPr>
                <w:iCs/>
                <w:sz w:val="20"/>
              </w:rPr>
              <w:t>RRP rule</w:t>
            </w:r>
            <w:r w:rsidRPr="000773A9">
              <w:rPr>
                <w:iCs/>
                <w:sz w:val="20"/>
              </w:rPr>
              <w:t xml:space="preserve"> (EPA 2008).</w:t>
            </w:r>
          </w:p>
        </w:tc>
      </w:tr>
    </w:tbl>
    <w:p w:rsidR="00537689" w:rsidRPr="000773A9" w:rsidRDefault="00537689" w:rsidP="00537689">
      <w:pPr>
        <w:numPr>
          <w:ilvl w:val="12"/>
          <w:numId w:val="0"/>
        </w:numPr>
        <w:rPr>
          <w:sz w:val="24"/>
          <w:szCs w:val="24"/>
        </w:rPr>
      </w:pPr>
    </w:p>
    <w:p w:rsidR="00537689" w:rsidRPr="000773A9" w:rsidRDefault="00696A04" w:rsidP="00942920">
      <w:pPr>
        <w:numPr>
          <w:ilvl w:val="12"/>
          <w:numId w:val="0"/>
        </w:numPr>
        <w:ind w:left="720"/>
        <w:rPr>
          <w:sz w:val="24"/>
          <w:szCs w:val="24"/>
        </w:rPr>
      </w:pPr>
      <w:r>
        <w:rPr>
          <w:sz w:val="24"/>
          <w:szCs w:val="24"/>
        </w:rPr>
        <w:t xml:space="preserve">(C)  </w:t>
      </w:r>
      <w:r w:rsidR="00537689" w:rsidRPr="000773A9">
        <w:rPr>
          <w:i/>
          <w:sz w:val="24"/>
          <w:szCs w:val="24"/>
        </w:rPr>
        <w:t xml:space="preserve">Number of </w:t>
      </w:r>
      <w:r>
        <w:rPr>
          <w:i/>
          <w:sz w:val="24"/>
          <w:szCs w:val="24"/>
        </w:rPr>
        <w:t xml:space="preserve">COF Renovation </w:t>
      </w:r>
      <w:r w:rsidR="00537689" w:rsidRPr="000773A9">
        <w:rPr>
          <w:i/>
          <w:sz w:val="24"/>
          <w:szCs w:val="24"/>
        </w:rPr>
        <w:t xml:space="preserve">Events Performed </w:t>
      </w:r>
      <w:r w:rsidRPr="000773A9">
        <w:rPr>
          <w:i/>
          <w:sz w:val="24"/>
          <w:szCs w:val="24"/>
        </w:rPr>
        <w:t xml:space="preserve">In-House </w:t>
      </w:r>
      <w:r w:rsidR="00537689" w:rsidRPr="000773A9">
        <w:rPr>
          <w:i/>
          <w:sz w:val="24"/>
          <w:szCs w:val="24"/>
        </w:rPr>
        <w:t>by Daycare Centers and Schools</w:t>
      </w:r>
    </w:p>
    <w:p w:rsidR="00537689" w:rsidRPr="000773A9" w:rsidRDefault="00537689" w:rsidP="00537689">
      <w:pPr>
        <w:numPr>
          <w:ilvl w:val="12"/>
          <w:numId w:val="0"/>
        </w:numPr>
        <w:ind w:firstLine="720"/>
        <w:rPr>
          <w:sz w:val="24"/>
          <w:szCs w:val="24"/>
        </w:rPr>
      </w:pPr>
      <w:r w:rsidRPr="000773A9">
        <w:rPr>
          <w:sz w:val="24"/>
          <w:szCs w:val="24"/>
        </w:rPr>
        <w:t xml:space="preserve"> </w:t>
      </w:r>
    </w:p>
    <w:p w:rsidR="00537689" w:rsidRPr="000773A9" w:rsidRDefault="00537689" w:rsidP="00537689">
      <w:pPr>
        <w:numPr>
          <w:ilvl w:val="12"/>
          <w:numId w:val="0"/>
        </w:numPr>
        <w:ind w:firstLine="720"/>
        <w:rPr>
          <w:sz w:val="24"/>
          <w:szCs w:val="24"/>
        </w:rPr>
      </w:pPr>
      <w:r w:rsidRPr="000773A9">
        <w:rPr>
          <w:sz w:val="24"/>
          <w:szCs w:val="24"/>
        </w:rPr>
        <w:t xml:space="preserve">In addition to events performed by landlords and contractors, daycare centers and schools are expected to perform some renovation events using in-house staff.  </w:t>
      </w:r>
      <w:r w:rsidR="00A9661B">
        <w:rPr>
          <w:sz w:val="24"/>
          <w:szCs w:val="24"/>
        </w:rPr>
        <w:t>T</w:t>
      </w:r>
      <w:r w:rsidRPr="000773A9">
        <w:rPr>
          <w:sz w:val="24"/>
          <w:szCs w:val="24"/>
        </w:rPr>
        <w:t xml:space="preserve">hese entities </w:t>
      </w:r>
      <w:r w:rsidR="00A9661B">
        <w:rPr>
          <w:sz w:val="24"/>
          <w:szCs w:val="24"/>
        </w:rPr>
        <w:t xml:space="preserve">are assumed to </w:t>
      </w:r>
      <w:r w:rsidR="00D81153" w:rsidRPr="000773A9">
        <w:rPr>
          <w:sz w:val="24"/>
          <w:szCs w:val="24"/>
        </w:rPr>
        <w:t xml:space="preserve">comply with the rule by </w:t>
      </w:r>
      <w:r w:rsidRPr="000773A9">
        <w:rPr>
          <w:sz w:val="24"/>
          <w:szCs w:val="24"/>
        </w:rPr>
        <w:t>post</w:t>
      </w:r>
      <w:r w:rsidR="00D81153" w:rsidRPr="000773A9">
        <w:rPr>
          <w:sz w:val="24"/>
          <w:szCs w:val="24"/>
        </w:rPr>
        <w:t>ing</w:t>
      </w:r>
      <w:r w:rsidRPr="000773A9">
        <w:rPr>
          <w:sz w:val="24"/>
          <w:szCs w:val="24"/>
        </w:rPr>
        <w:t xml:space="preserve"> informational signs describing the general nature and locations of the project, the anticipated completion date, and a copy of the lead safety pamphlet in a location accessible to parents and guardians.  </w:t>
      </w:r>
      <w:r w:rsidRPr="000773A9">
        <w:rPr>
          <w:sz w:val="24"/>
          <w:szCs w:val="24"/>
        </w:rPr>
        <w:fldChar w:fldCharType="begin"/>
      </w:r>
      <w:r w:rsidRPr="000773A9">
        <w:rPr>
          <w:sz w:val="24"/>
          <w:szCs w:val="24"/>
        </w:rPr>
        <w:instrText xml:space="preserve"> REF _Ref271715511 \h  \* MERGEFORMAT </w:instrText>
      </w:r>
      <w:r w:rsidRPr="000773A9">
        <w:rPr>
          <w:sz w:val="24"/>
          <w:szCs w:val="24"/>
        </w:rPr>
      </w:r>
      <w:r w:rsidRPr="000773A9">
        <w:rPr>
          <w:sz w:val="24"/>
          <w:szCs w:val="24"/>
        </w:rPr>
        <w:fldChar w:fldCharType="separate"/>
      </w:r>
      <w:r w:rsidR="00D067A1" w:rsidRPr="00D067A1">
        <w:rPr>
          <w:sz w:val="24"/>
          <w:szCs w:val="24"/>
        </w:rPr>
        <w:t>Exhibit 6.6</w:t>
      </w:r>
      <w:r w:rsidRPr="000773A9">
        <w:rPr>
          <w:sz w:val="24"/>
          <w:szCs w:val="24"/>
        </w:rPr>
        <w:fldChar w:fldCharType="end"/>
      </w:r>
      <w:r w:rsidRPr="000773A9">
        <w:rPr>
          <w:sz w:val="24"/>
          <w:szCs w:val="24"/>
        </w:rPr>
        <w:t xml:space="preserve"> presents the number of daycare centers and schools, and the number of in-house events they perform.</w:t>
      </w:r>
    </w:p>
    <w:p w:rsidR="00537689" w:rsidRPr="000773A9" w:rsidRDefault="00537689" w:rsidP="00537689">
      <w:pPr>
        <w:numPr>
          <w:ilvl w:val="12"/>
          <w:numId w:val="0"/>
        </w:numPr>
        <w:ind w:firstLine="72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8"/>
        <w:gridCol w:w="1407"/>
        <w:gridCol w:w="1407"/>
        <w:gridCol w:w="1407"/>
        <w:gridCol w:w="1407"/>
      </w:tblGrid>
      <w:tr w:rsidR="00537689" w:rsidRPr="000773A9" w:rsidTr="00257A33">
        <w:trPr>
          <w:cantSplit/>
          <w:jc w:val="center"/>
        </w:trPr>
        <w:tc>
          <w:tcPr>
            <w:tcW w:w="9216" w:type="dxa"/>
            <w:gridSpan w:val="5"/>
            <w:tcBorders>
              <w:top w:val="nil"/>
              <w:left w:val="nil"/>
              <w:right w:val="nil"/>
            </w:tcBorders>
          </w:tcPr>
          <w:p w:rsidR="00537689" w:rsidRPr="000773A9" w:rsidRDefault="00537689" w:rsidP="00537689">
            <w:pPr>
              <w:keepNext/>
              <w:jc w:val="center"/>
              <w:rPr>
                <w:b/>
                <w:bCs/>
              </w:rPr>
            </w:pPr>
            <w:bookmarkStart w:id="8" w:name="_Ref271715511"/>
            <w:r w:rsidRPr="000773A9">
              <w:rPr>
                <w:b/>
                <w:bCs/>
              </w:rPr>
              <w:t>Exhibit 6.</w:t>
            </w:r>
            <w:r w:rsidRPr="000773A9">
              <w:rPr>
                <w:b/>
                <w:bCs/>
              </w:rPr>
              <w:fldChar w:fldCharType="begin"/>
            </w:r>
            <w:r w:rsidRPr="000773A9">
              <w:rPr>
                <w:b/>
                <w:bCs/>
              </w:rPr>
              <w:instrText xml:space="preserve"> SEQ Exhibit_6. \* ARABIC </w:instrText>
            </w:r>
            <w:r w:rsidRPr="000773A9">
              <w:rPr>
                <w:b/>
                <w:bCs/>
              </w:rPr>
              <w:fldChar w:fldCharType="separate"/>
            </w:r>
            <w:r w:rsidR="00D067A1">
              <w:rPr>
                <w:b/>
                <w:bCs/>
                <w:noProof/>
              </w:rPr>
              <w:t>6</w:t>
            </w:r>
            <w:r w:rsidRPr="000773A9">
              <w:rPr>
                <w:b/>
                <w:bCs/>
              </w:rPr>
              <w:fldChar w:fldCharType="end"/>
            </w:r>
            <w:bookmarkEnd w:id="8"/>
            <w:r w:rsidRPr="000773A9">
              <w:rPr>
                <w:b/>
                <w:bCs/>
              </w:rPr>
              <w:t>:</w:t>
            </w:r>
            <w:r w:rsidRPr="000773A9">
              <w:t xml:space="preserve"> </w:t>
            </w:r>
            <w:r w:rsidRPr="000773A9">
              <w:rPr>
                <w:b/>
                <w:bCs/>
              </w:rPr>
              <w:t>Number of Entities</w:t>
            </w:r>
            <w:r w:rsidR="004275CA" w:rsidRPr="000773A9">
              <w:rPr>
                <w:b/>
                <w:bCs/>
              </w:rPr>
              <w:t xml:space="preserve"> and</w:t>
            </w:r>
            <w:r w:rsidRPr="000773A9">
              <w:rPr>
                <w:b/>
                <w:bCs/>
              </w:rPr>
              <w:t xml:space="preserve"> Events</w:t>
            </w:r>
            <w:r w:rsidR="004275CA" w:rsidRPr="000773A9">
              <w:rPr>
                <w:b/>
                <w:bCs/>
              </w:rPr>
              <w:t xml:space="preserve"> for </w:t>
            </w:r>
            <w:smartTag w:uri="urn:schemas-microsoft-com:office:smarttags" w:element="place">
              <w:smartTag w:uri="urn:schemas-microsoft-com:office:smarttags" w:element="PlaceName">
                <w:r w:rsidR="004275CA" w:rsidRPr="000773A9">
                  <w:rPr>
                    <w:b/>
                    <w:bCs/>
                  </w:rPr>
                  <w:t>Daycare</w:t>
                </w:r>
              </w:smartTag>
              <w:r w:rsidR="004275CA" w:rsidRPr="000773A9">
                <w:rPr>
                  <w:b/>
                  <w:bCs/>
                </w:rPr>
                <w:t xml:space="preserve"> </w:t>
              </w:r>
              <w:smartTag w:uri="urn:schemas-microsoft-com:office:smarttags" w:element="PlaceType">
                <w:r w:rsidR="004275CA" w:rsidRPr="000773A9">
                  <w:rPr>
                    <w:b/>
                    <w:bCs/>
                  </w:rPr>
                  <w:t>Centers</w:t>
                </w:r>
              </w:smartTag>
            </w:smartTag>
            <w:r w:rsidR="004275CA" w:rsidRPr="000773A9">
              <w:rPr>
                <w:b/>
                <w:bCs/>
              </w:rPr>
              <w:t xml:space="preserve"> and Schools Performing In-House Work</w:t>
            </w:r>
          </w:p>
          <w:p w:rsidR="00537689" w:rsidRPr="000773A9" w:rsidRDefault="00537689" w:rsidP="00537689">
            <w:pPr>
              <w:keepNext/>
              <w:jc w:val="center"/>
              <w:rPr>
                <w:sz w:val="22"/>
              </w:rPr>
            </w:pPr>
          </w:p>
        </w:tc>
      </w:tr>
      <w:tr w:rsidR="0004187A" w:rsidRPr="000773A9" w:rsidTr="00257A33">
        <w:trPr>
          <w:jc w:val="center"/>
        </w:trPr>
        <w:tc>
          <w:tcPr>
            <w:tcW w:w="3588" w:type="dxa"/>
          </w:tcPr>
          <w:p w:rsidR="0004187A" w:rsidRPr="000773A9" w:rsidRDefault="0004187A" w:rsidP="00537689">
            <w:pPr>
              <w:keepNext/>
            </w:pPr>
          </w:p>
        </w:tc>
        <w:tc>
          <w:tcPr>
            <w:tcW w:w="1407" w:type="dxa"/>
          </w:tcPr>
          <w:p w:rsidR="0004187A" w:rsidRPr="000773A9" w:rsidRDefault="0004187A" w:rsidP="00537689">
            <w:pPr>
              <w:keepNext/>
              <w:jc w:val="center"/>
              <w:rPr>
                <w:b/>
              </w:rPr>
            </w:pPr>
            <w:r w:rsidRPr="000773A9">
              <w:rPr>
                <w:b/>
              </w:rPr>
              <w:t>Year 1</w:t>
            </w:r>
          </w:p>
        </w:tc>
        <w:tc>
          <w:tcPr>
            <w:tcW w:w="1407" w:type="dxa"/>
          </w:tcPr>
          <w:p w:rsidR="0004187A" w:rsidRPr="000773A9" w:rsidRDefault="0004187A" w:rsidP="00537689">
            <w:pPr>
              <w:keepNext/>
              <w:jc w:val="center"/>
              <w:rPr>
                <w:b/>
              </w:rPr>
            </w:pPr>
            <w:r w:rsidRPr="000773A9">
              <w:rPr>
                <w:b/>
              </w:rPr>
              <w:t>Year 2</w:t>
            </w:r>
          </w:p>
        </w:tc>
        <w:tc>
          <w:tcPr>
            <w:tcW w:w="1407" w:type="dxa"/>
          </w:tcPr>
          <w:p w:rsidR="0004187A" w:rsidRPr="000773A9" w:rsidRDefault="0004187A" w:rsidP="00537689">
            <w:pPr>
              <w:keepNext/>
              <w:jc w:val="center"/>
              <w:rPr>
                <w:b/>
              </w:rPr>
            </w:pPr>
            <w:r w:rsidRPr="000773A9">
              <w:rPr>
                <w:b/>
              </w:rPr>
              <w:t>Year 3</w:t>
            </w:r>
          </w:p>
        </w:tc>
        <w:tc>
          <w:tcPr>
            <w:tcW w:w="1407" w:type="dxa"/>
          </w:tcPr>
          <w:p w:rsidR="0004187A" w:rsidRPr="000773A9" w:rsidRDefault="0004187A" w:rsidP="0004187A">
            <w:pPr>
              <w:keepNext/>
              <w:jc w:val="center"/>
              <w:rPr>
                <w:b/>
              </w:rPr>
            </w:pPr>
            <w:r w:rsidRPr="000773A9">
              <w:rPr>
                <w:b/>
              </w:rPr>
              <w:t>Average</w:t>
            </w:r>
          </w:p>
        </w:tc>
      </w:tr>
      <w:tr w:rsidR="005509F5" w:rsidRPr="000773A9" w:rsidTr="00675F4C">
        <w:trPr>
          <w:jc w:val="center"/>
        </w:trPr>
        <w:tc>
          <w:tcPr>
            <w:tcW w:w="3588" w:type="dxa"/>
          </w:tcPr>
          <w:p w:rsidR="005509F5" w:rsidRPr="000773A9" w:rsidRDefault="005509F5" w:rsidP="00537689">
            <w:pPr>
              <w:keepNext/>
            </w:pPr>
            <w:r w:rsidRPr="000773A9">
              <w:t xml:space="preserve">Number of </w:t>
            </w:r>
            <w:smartTag w:uri="urn:schemas-microsoft-com:office:smarttags" w:element="place">
              <w:smartTag w:uri="urn:schemas-microsoft-com:office:smarttags" w:element="PlaceName">
                <w:r w:rsidRPr="000773A9">
                  <w:t>Daycare</w:t>
                </w:r>
              </w:smartTag>
              <w:r w:rsidRPr="000773A9">
                <w:t xml:space="preserve"> </w:t>
              </w:r>
              <w:smartTag w:uri="urn:schemas-microsoft-com:office:smarttags" w:element="PlaceType">
                <w:r w:rsidRPr="000773A9">
                  <w:t>Centers</w:t>
                </w:r>
              </w:smartTag>
            </w:smartTag>
            <w:r w:rsidRPr="000773A9">
              <w:t xml:space="preserve"> and Schools</w:t>
            </w:r>
          </w:p>
        </w:tc>
        <w:tc>
          <w:tcPr>
            <w:tcW w:w="1407" w:type="dxa"/>
            <w:vAlign w:val="bottom"/>
          </w:tcPr>
          <w:p w:rsidR="005509F5" w:rsidRPr="000773A9" w:rsidRDefault="005509F5" w:rsidP="00537689">
            <w:pPr>
              <w:jc w:val="center"/>
            </w:pPr>
            <w:r>
              <w:t>26,062</w:t>
            </w:r>
          </w:p>
        </w:tc>
        <w:tc>
          <w:tcPr>
            <w:tcW w:w="1407" w:type="dxa"/>
            <w:vAlign w:val="bottom"/>
          </w:tcPr>
          <w:p w:rsidR="005509F5" w:rsidRPr="000773A9" w:rsidRDefault="005509F5" w:rsidP="00537689">
            <w:pPr>
              <w:jc w:val="center"/>
            </w:pPr>
            <w:r>
              <w:t>25,954</w:t>
            </w:r>
          </w:p>
        </w:tc>
        <w:tc>
          <w:tcPr>
            <w:tcW w:w="1407" w:type="dxa"/>
            <w:vAlign w:val="bottom"/>
          </w:tcPr>
          <w:p w:rsidR="005509F5" w:rsidRPr="000773A9" w:rsidRDefault="005509F5" w:rsidP="00537689">
            <w:pPr>
              <w:jc w:val="center"/>
            </w:pPr>
            <w:r>
              <w:t>25,847</w:t>
            </w:r>
          </w:p>
        </w:tc>
        <w:tc>
          <w:tcPr>
            <w:tcW w:w="1407" w:type="dxa"/>
            <w:vAlign w:val="bottom"/>
          </w:tcPr>
          <w:p w:rsidR="005509F5" w:rsidRPr="000773A9" w:rsidRDefault="005509F5" w:rsidP="0004187A">
            <w:pPr>
              <w:jc w:val="center"/>
            </w:pPr>
            <w:r>
              <w:t>25,954</w:t>
            </w:r>
          </w:p>
        </w:tc>
      </w:tr>
      <w:tr w:rsidR="005509F5" w:rsidRPr="000773A9" w:rsidTr="00675F4C">
        <w:trPr>
          <w:jc w:val="center"/>
        </w:trPr>
        <w:tc>
          <w:tcPr>
            <w:tcW w:w="3588" w:type="dxa"/>
          </w:tcPr>
          <w:p w:rsidR="005509F5" w:rsidRPr="000773A9" w:rsidRDefault="005509F5" w:rsidP="00537689">
            <w:pPr>
              <w:keepNext/>
            </w:pPr>
            <w:r w:rsidRPr="000773A9">
              <w:t>Number of LSWP Events Performed</w:t>
            </w:r>
          </w:p>
        </w:tc>
        <w:tc>
          <w:tcPr>
            <w:tcW w:w="1407" w:type="dxa"/>
            <w:vAlign w:val="bottom"/>
          </w:tcPr>
          <w:p w:rsidR="005509F5" w:rsidRPr="000773A9" w:rsidRDefault="005509F5" w:rsidP="00537689">
            <w:pPr>
              <w:jc w:val="center"/>
            </w:pPr>
            <w:r>
              <w:t>61,747</w:t>
            </w:r>
          </w:p>
        </w:tc>
        <w:tc>
          <w:tcPr>
            <w:tcW w:w="1407" w:type="dxa"/>
            <w:vAlign w:val="bottom"/>
          </w:tcPr>
          <w:p w:rsidR="005509F5" w:rsidRPr="000773A9" w:rsidRDefault="005509F5" w:rsidP="00537689">
            <w:pPr>
              <w:jc w:val="center"/>
            </w:pPr>
            <w:r>
              <w:t>61,494</w:t>
            </w:r>
          </w:p>
        </w:tc>
        <w:tc>
          <w:tcPr>
            <w:tcW w:w="1407" w:type="dxa"/>
            <w:vAlign w:val="bottom"/>
          </w:tcPr>
          <w:p w:rsidR="005509F5" w:rsidRPr="000773A9" w:rsidRDefault="005509F5" w:rsidP="00537689">
            <w:pPr>
              <w:jc w:val="center"/>
            </w:pPr>
            <w:r>
              <w:t>61,241</w:t>
            </w:r>
          </w:p>
        </w:tc>
        <w:tc>
          <w:tcPr>
            <w:tcW w:w="1407" w:type="dxa"/>
            <w:vAlign w:val="bottom"/>
          </w:tcPr>
          <w:p w:rsidR="005509F5" w:rsidRPr="000773A9" w:rsidRDefault="005509F5" w:rsidP="0004187A">
            <w:pPr>
              <w:jc w:val="center"/>
            </w:pPr>
            <w:r>
              <w:t>61,494</w:t>
            </w:r>
          </w:p>
        </w:tc>
      </w:tr>
      <w:tr w:rsidR="00537689" w:rsidRPr="000773A9" w:rsidTr="00257A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tc>
          <w:tcPr>
            <w:tcW w:w="9216" w:type="dxa"/>
            <w:gridSpan w:val="5"/>
          </w:tcPr>
          <w:p w:rsidR="00537689" w:rsidRPr="000773A9" w:rsidRDefault="00537689" w:rsidP="00537689">
            <w:pPr>
              <w:pStyle w:val="BodyText"/>
              <w:keepNext/>
              <w:rPr>
                <w:b/>
                <w:bCs/>
                <w:sz w:val="20"/>
              </w:rPr>
            </w:pPr>
            <w:r w:rsidRPr="000773A9">
              <w:rPr>
                <w:b/>
                <w:bCs/>
                <w:sz w:val="20"/>
              </w:rPr>
              <w:t xml:space="preserve">Source(s): </w:t>
            </w:r>
            <w:r w:rsidRPr="000773A9">
              <w:rPr>
                <w:iCs/>
                <w:sz w:val="20"/>
              </w:rPr>
              <w:t xml:space="preserve">Economic Analysis for the </w:t>
            </w:r>
            <w:r w:rsidR="0061048C" w:rsidRPr="000773A9">
              <w:rPr>
                <w:iCs/>
                <w:sz w:val="20"/>
              </w:rPr>
              <w:t>RRP rule</w:t>
            </w:r>
            <w:r w:rsidRPr="000773A9">
              <w:rPr>
                <w:iCs/>
                <w:sz w:val="20"/>
              </w:rPr>
              <w:t xml:space="preserve"> (EPA 2008).</w:t>
            </w:r>
          </w:p>
        </w:tc>
      </w:tr>
    </w:tbl>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firstLine="720"/>
        <w:rPr>
          <w:sz w:val="24"/>
          <w:szCs w:val="24"/>
        </w:rPr>
      </w:pPr>
      <w:r w:rsidRPr="000773A9">
        <w:rPr>
          <w:sz w:val="24"/>
          <w:szCs w:val="24"/>
        </w:rPr>
        <w:fldChar w:fldCharType="begin"/>
      </w:r>
      <w:r w:rsidRPr="000773A9">
        <w:rPr>
          <w:sz w:val="24"/>
          <w:szCs w:val="24"/>
        </w:rPr>
        <w:instrText xml:space="preserve"> REF _Ref191371725 \h  \* MERGEFORMAT </w:instrText>
      </w:r>
      <w:r w:rsidRPr="000773A9">
        <w:rPr>
          <w:sz w:val="24"/>
          <w:szCs w:val="24"/>
        </w:rPr>
      </w:r>
      <w:r w:rsidRPr="000773A9">
        <w:rPr>
          <w:sz w:val="24"/>
          <w:szCs w:val="24"/>
        </w:rPr>
        <w:fldChar w:fldCharType="separate"/>
      </w:r>
      <w:r w:rsidR="00D067A1" w:rsidRPr="00D067A1">
        <w:rPr>
          <w:sz w:val="24"/>
          <w:szCs w:val="24"/>
        </w:rPr>
        <w:t>Exhibit 6.7</w:t>
      </w:r>
      <w:r w:rsidRPr="000773A9">
        <w:rPr>
          <w:sz w:val="24"/>
          <w:szCs w:val="24"/>
        </w:rPr>
        <w:fldChar w:fldCharType="end"/>
      </w:r>
      <w:r w:rsidRPr="000773A9">
        <w:rPr>
          <w:sz w:val="24"/>
          <w:szCs w:val="24"/>
        </w:rPr>
        <w:t xml:space="preserve"> shows the three-year average annual number of respondents to the pre-renovation education requirements in public or commercial building COFs.  Landlords and contractors working in public or commercial building COFs that own their buildings comprise a single category, as both must notify only the COF operator.  Contractors working in COFs that </w:t>
      </w:r>
      <w:r w:rsidRPr="000773A9">
        <w:rPr>
          <w:sz w:val="24"/>
          <w:szCs w:val="24"/>
        </w:rPr>
        <w:lastRenderedPageBreak/>
        <w:t xml:space="preserve">rent their space constitute a second category, as they must notify both the COF operator and the owner of the building.  The same set of contractors performs work in both renter- and owner-occupied COFs; therefore, the </w:t>
      </w:r>
      <w:r w:rsidRPr="005509F5">
        <w:rPr>
          <w:sz w:val="24"/>
          <w:szCs w:val="24"/>
        </w:rPr>
        <w:t>3,</w:t>
      </w:r>
      <w:r w:rsidR="005509F5" w:rsidRPr="005509F5">
        <w:rPr>
          <w:sz w:val="24"/>
          <w:szCs w:val="24"/>
        </w:rPr>
        <w:t>197</w:t>
      </w:r>
      <w:r w:rsidR="005509F5" w:rsidRPr="000773A9">
        <w:rPr>
          <w:sz w:val="24"/>
          <w:szCs w:val="24"/>
        </w:rPr>
        <w:t xml:space="preserve"> </w:t>
      </w:r>
      <w:r w:rsidRPr="000773A9">
        <w:rPr>
          <w:sz w:val="24"/>
          <w:szCs w:val="24"/>
        </w:rPr>
        <w:t xml:space="preserve">contractors performing work in </w:t>
      </w:r>
      <w:r w:rsidR="007F455A" w:rsidRPr="000773A9">
        <w:rPr>
          <w:sz w:val="24"/>
          <w:szCs w:val="24"/>
        </w:rPr>
        <w:t xml:space="preserve">renter </w:t>
      </w:r>
      <w:r w:rsidRPr="000773A9">
        <w:rPr>
          <w:sz w:val="24"/>
          <w:szCs w:val="24"/>
        </w:rPr>
        <w:t>COFs are included in both categories.  Daycare centers and schools performing renovations using in-house staff make up the third group, as they are only required to post informational signs (including the lead safety pamphlet) that are accessible to parents and guardians.</w:t>
      </w:r>
    </w:p>
    <w:p w:rsidR="00537689" w:rsidRPr="000773A9" w:rsidRDefault="00537689" w:rsidP="005376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1320"/>
        <w:gridCol w:w="1320"/>
        <w:gridCol w:w="1320"/>
      </w:tblGrid>
      <w:tr w:rsidR="00537689" w:rsidRPr="000773A9" w:rsidTr="00662B77">
        <w:trPr>
          <w:jc w:val="center"/>
        </w:trPr>
        <w:tc>
          <w:tcPr>
            <w:tcW w:w="7548" w:type="dxa"/>
            <w:gridSpan w:val="4"/>
            <w:tcBorders>
              <w:top w:val="nil"/>
              <w:left w:val="nil"/>
              <w:right w:val="nil"/>
            </w:tcBorders>
          </w:tcPr>
          <w:p w:rsidR="00537689" w:rsidRPr="00662B77" w:rsidRDefault="00537689" w:rsidP="00662B77">
            <w:pPr>
              <w:keepNext/>
              <w:jc w:val="center"/>
              <w:rPr>
                <w:b/>
                <w:bCs/>
              </w:rPr>
            </w:pPr>
            <w:bookmarkStart w:id="9" w:name="_Ref191371725"/>
            <w:r w:rsidRPr="00662B77">
              <w:rPr>
                <w:b/>
                <w:bCs/>
              </w:rPr>
              <w:t>Exhibit 6.</w:t>
            </w:r>
            <w:r w:rsidRPr="00662B77">
              <w:rPr>
                <w:b/>
                <w:bCs/>
              </w:rPr>
              <w:fldChar w:fldCharType="begin"/>
            </w:r>
            <w:r w:rsidRPr="00662B77">
              <w:rPr>
                <w:b/>
                <w:bCs/>
              </w:rPr>
              <w:instrText xml:space="preserve"> SEQ Exhibit_6. \* ARABIC </w:instrText>
            </w:r>
            <w:r w:rsidRPr="00662B77">
              <w:rPr>
                <w:b/>
                <w:bCs/>
              </w:rPr>
              <w:fldChar w:fldCharType="separate"/>
            </w:r>
            <w:r w:rsidR="00D067A1">
              <w:rPr>
                <w:b/>
                <w:bCs/>
                <w:noProof/>
              </w:rPr>
              <w:t>7</w:t>
            </w:r>
            <w:r w:rsidRPr="00662B77">
              <w:rPr>
                <w:b/>
                <w:bCs/>
              </w:rPr>
              <w:fldChar w:fldCharType="end"/>
            </w:r>
            <w:bookmarkEnd w:id="9"/>
            <w:r w:rsidRPr="00662B77">
              <w:rPr>
                <w:b/>
                <w:bCs/>
              </w:rPr>
              <w:t>: Average Annual Number of Pre-Renovation Education Respondents</w:t>
            </w:r>
            <w:r w:rsidR="00E55283" w:rsidRPr="00662B77">
              <w:rPr>
                <w:b/>
                <w:bCs/>
              </w:rPr>
              <w:t xml:space="preserve"> and</w:t>
            </w:r>
            <w:r w:rsidRPr="00662B77">
              <w:rPr>
                <w:b/>
                <w:bCs/>
              </w:rPr>
              <w:t xml:space="preserve"> Responses</w:t>
            </w:r>
            <w:r w:rsidR="00E55283" w:rsidRPr="00662B77">
              <w:rPr>
                <w:b/>
                <w:bCs/>
              </w:rPr>
              <w:t xml:space="preserve"> </w:t>
            </w:r>
            <w:r w:rsidR="007F455A" w:rsidRPr="00662B77">
              <w:rPr>
                <w:b/>
                <w:bCs/>
              </w:rPr>
              <w:t>for Renovation Work in COFs</w:t>
            </w:r>
          </w:p>
          <w:p w:rsidR="00537689" w:rsidRPr="00662B77" w:rsidRDefault="00537689" w:rsidP="00662B77">
            <w:pPr>
              <w:keepNext/>
              <w:rPr>
                <w:b/>
                <w:bCs/>
              </w:rPr>
            </w:pPr>
          </w:p>
        </w:tc>
      </w:tr>
      <w:tr w:rsidR="00E55283" w:rsidRPr="000773A9" w:rsidTr="00662B77">
        <w:trPr>
          <w:jc w:val="center"/>
        </w:trPr>
        <w:tc>
          <w:tcPr>
            <w:tcW w:w="3588" w:type="dxa"/>
          </w:tcPr>
          <w:p w:rsidR="00E55283" w:rsidRPr="00662B77" w:rsidRDefault="00E55283" w:rsidP="00662B77">
            <w:pPr>
              <w:keepNext/>
              <w:ind w:firstLine="125"/>
              <w:rPr>
                <w:szCs w:val="16"/>
              </w:rPr>
            </w:pPr>
          </w:p>
        </w:tc>
        <w:tc>
          <w:tcPr>
            <w:tcW w:w="1320" w:type="dxa"/>
          </w:tcPr>
          <w:p w:rsidR="00E55283" w:rsidRPr="00662B77" w:rsidRDefault="00E55283" w:rsidP="00662B77">
            <w:pPr>
              <w:keepNext/>
              <w:ind w:left="12"/>
              <w:jc w:val="center"/>
              <w:rPr>
                <w:b/>
                <w:szCs w:val="16"/>
              </w:rPr>
            </w:pPr>
            <w:r w:rsidRPr="00662B77">
              <w:rPr>
                <w:b/>
                <w:szCs w:val="16"/>
              </w:rPr>
              <w:t>Number of Small Respondents</w:t>
            </w:r>
          </w:p>
        </w:tc>
        <w:tc>
          <w:tcPr>
            <w:tcW w:w="1320" w:type="dxa"/>
          </w:tcPr>
          <w:p w:rsidR="00E55283" w:rsidRPr="00662B77" w:rsidRDefault="00E55283" w:rsidP="00662B77">
            <w:pPr>
              <w:keepNext/>
              <w:ind w:left="12"/>
              <w:jc w:val="center"/>
              <w:rPr>
                <w:b/>
                <w:szCs w:val="16"/>
              </w:rPr>
            </w:pPr>
            <w:r w:rsidRPr="00662B77">
              <w:rPr>
                <w:b/>
                <w:szCs w:val="16"/>
              </w:rPr>
              <w:t>Number of Respondents</w:t>
            </w:r>
          </w:p>
        </w:tc>
        <w:tc>
          <w:tcPr>
            <w:tcW w:w="1320" w:type="dxa"/>
          </w:tcPr>
          <w:p w:rsidR="00E55283" w:rsidRPr="00662B77" w:rsidRDefault="00E0741A" w:rsidP="00662B77">
            <w:pPr>
              <w:keepNext/>
              <w:ind w:left="12"/>
              <w:jc w:val="center"/>
              <w:rPr>
                <w:b/>
                <w:szCs w:val="16"/>
              </w:rPr>
            </w:pPr>
            <w:r w:rsidRPr="00662B77">
              <w:rPr>
                <w:b/>
                <w:szCs w:val="16"/>
              </w:rPr>
              <w:t>Number of Responses</w:t>
            </w:r>
          </w:p>
        </w:tc>
      </w:tr>
      <w:tr w:rsidR="005509F5" w:rsidRPr="000773A9" w:rsidTr="00662B77">
        <w:trPr>
          <w:jc w:val="center"/>
        </w:trPr>
        <w:tc>
          <w:tcPr>
            <w:tcW w:w="3588" w:type="dxa"/>
          </w:tcPr>
          <w:p w:rsidR="005509F5" w:rsidRPr="00662B77" w:rsidRDefault="005509F5" w:rsidP="00662B77">
            <w:pPr>
              <w:keepNext/>
              <w:rPr>
                <w:szCs w:val="16"/>
              </w:rPr>
            </w:pPr>
            <w:r w:rsidRPr="00662B77">
              <w:rPr>
                <w:szCs w:val="16"/>
              </w:rPr>
              <w:t xml:space="preserve">Landlords working in renter COFs and Contractors working in owner COFs  </w:t>
            </w:r>
          </w:p>
          <w:p w:rsidR="005509F5" w:rsidRPr="00662B77" w:rsidRDefault="005509F5" w:rsidP="00662B77">
            <w:pPr>
              <w:keepNext/>
              <w:rPr>
                <w:i/>
                <w:szCs w:val="16"/>
              </w:rPr>
            </w:pPr>
            <w:r w:rsidRPr="00662B77">
              <w:rPr>
                <w:i/>
                <w:szCs w:val="16"/>
              </w:rPr>
              <w:t>(Private Entities)</w:t>
            </w:r>
          </w:p>
        </w:tc>
        <w:tc>
          <w:tcPr>
            <w:tcW w:w="1320" w:type="dxa"/>
            <w:vAlign w:val="bottom"/>
          </w:tcPr>
          <w:p w:rsidR="005509F5" w:rsidRPr="000773A9" w:rsidRDefault="005509F5" w:rsidP="00662B77">
            <w:pPr>
              <w:jc w:val="right"/>
            </w:pPr>
            <w:r>
              <w:t>15,242</w:t>
            </w:r>
          </w:p>
        </w:tc>
        <w:tc>
          <w:tcPr>
            <w:tcW w:w="1320" w:type="dxa"/>
            <w:vAlign w:val="bottom"/>
          </w:tcPr>
          <w:p w:rsidR="005509F5" w:rsidRPr="000773A9" w:rsidRDefault="005509F5" w:rsidP="00662B77">
            <w:pPr>
              <w:jc w:val="right"/>
            </w:pPr>
            <w:r>
              <w:t>16,367</w:t>
            </w:r>
          </w:p>
        </w:tc>
        <w:tc>
          <w:tcPr>
            <w:tcW w:w="1320" w:type="dxa"/>
            <w:vAlign w:val="bottom"/>
          </w:tcPr>
          <w:p w:rsidR="005509F5" w:rsidRPr="000773A9" w:rsidRDefault="005509F5" w:rsidP="00662B77">
            <w:pPr>
              <w:jc w:val="right"/>
            </w:pPr>
            <w:r>
              <w:t>113,847</w:t>
            </w:r>
          </w:p>
        </w:tc>
      </w:tr>
      <w:tr w:rsidR="005509F5" w:rsidRPr="000773A9" w:rsidTr="00662B77">
        <w:trPr>
          <w:jc w:val="center"/>
        </w:trPr>
        <w:tc>
          <w:tcPr>
            <w:tcW w:w="3588" w:type="dxa"/>
          </w:tcPr>
          <w:p w:rsidR="005509F5" w:rsidRPr="00662B77" w:rsidRDefault="005509F5" w:rsidP="00662B77">
            <w:pPr>
              <w:keepNext/>
              <w:rPr>
                <w:szCs w:val="16"/>
              </w:rPr>
            </w:pPr>
            <w:r w:rsidRPr="00662B77">
              <w:rPr>
                <w:szCs w:val="16"/>
              </w:rPr>
              <w:t xml:space="preserve">Contractors working in renter COFs </w:t>
            </w:r>
          </w:p>
          <w:p w:rsidR="005509F5" w:rsidRPr="00662B77" w:rsidRDefault="005509F5" w:rsidP="00662B77">
            <w:pPr>
              <w:keepNext/>
              <w:rPr>
                <w:i/>
                <w:szCs w:val="16"/>
              </w:rPr>
            </w:pPr>
            <w:r w:rsidRPr="00662B77">
              <w:rPr>
                <w:i/>
                <w:szCs w:val="16"/>
              </w:rPr>
              <w:t>(Private Entities)</w:t>
            </w:r>
          </w:p>
        </w:tc>
        <w:tc>
          <w:tcPr>
            <w:tcW w:w="1320" w:type="dxa"/>
            <w:vAlign w:val="bottom"/>
          </w:tcPr>
          <w:p w:rsidR="005509F5" w:rsidRPr="000773A9" w:rsidRDefault="005509F5" w:rsidP="00662B77">
            <w:pPr>
              <w:jc w:val="right"/>
            </w:pPr>
            <w:r>
              <w:t>3,137</w:t>
            </w:r>
          </w:p>
        </w:tc>
        <w:tc>
          <w:tcPr>
            <w:tcW w:w="1320" w:type="dxa"/>
            <w:vAlign w:val="bottom"/>
          </w:tcPr>
          <w:p w:rsidR="005509F5" w:rsidRPr="000773A9" w:rsidRDefault="005509F5" w:rsidP="00662B77">
            <w:pPr>
              <w:jc w:val="right"/>
            </w:pPr>
            <w:r>
              <w:t>3,197</w:t>
            </w:r>
          </w:p>
        </w:tc>
        <w:tc>
          <w:tcPr>
            <w:tcW w:w="1320" w:type="dxa"/>
            <w:vAlign w:val="bottom"/>
          </w:tcPr>
          <w:p w:rsidR="005509F5" w:rsidRPr="000773A9" w:rsidRDefault="005509F5" w:rsidP="00662B77">
            <w:pPr>
              <w:jc w:val="right"/>
            </w:pPr>
            <w:r>
              <w:t>6,215</w:t>
            </w:r>
          </w:p>
        </w:tc>
      </w:tr>
      <w:tr w:rsidR="00E55283" w:rsidRPr="000773A9" w:rsidTr="00662B77">
        <w:trPr>
          <w:jc w:val="center"/>
        </w:trPr>
        <w:tc>
          <w:tcPr>
            <w:tcW w:w="3588" w:type="dxa"/>
          </w:tcPr>
          <w:p w:rsidR="00E55283" w:rsidRPr="00662B77" w:rsidRDefault="00E55283" w:rsidP="00662B77">
            <w:pPr>
              <w:keepNext/>
              <w:rPr>
                <w:szCs w:val="16"/>
              </w:rPr>
            </w:pPr>
            <w:smartTag w:uri="urn:schemas-microsoft-com:office:smarttags" w:element="place">
              <w:smartTag w:uri="urn:schemas-microsoft-com:office:smarttags" w:element="PlaceName">
                <w:r w:rsidRPr="00662B77">
                  <w:rPr>
                    <w:szCs w:val="16"/>
                  </w:rPr>
                  <w:t>Daycare</w:t>
                </w:r>
              </w:smartTag>
              <w:r w:rsidRPr="00662B77">
                <w:rPr>
                  <w:szCs w:val="16"/>
                </w:rPr>
                <w:t xml:space="preserve"> </w:t>
              </w:r>
              <w:smartTag w:uri="urn:schemas-microsoft-com:office:smarttags" w:element="PlaceType">
                <w:r w:rsidRPr="00662B77">
                  <w:rPr>
                    <w:szCs w:val="16"/>
                  </w:rPr>
                  <w:t>Centers</w:t>
                </w:r>
              </w:smartTag>
            </w:smartTag>
            <w:r w:rsidRPr="00662B77">
              <w:rPr>
                <w:szCs w:val="16"/>
              </w:rPr>
              <w:t xml:space="preserve"> and Schools Performing Own Renovations </w:t>
            </w:r>
          </w:p>
          <w:p w:rsidR="00E55283" w:rsidRPr="00662B77" w:rsidRDefault="00E55283" w:rsidP="00662B77">
            <w:pPr>
              <w:keepNext/>
              <w:numPr>
                <w:ilvl w:val="0"/>
                <w:numId w:val="35"/>
              </w:numPr>
              <w:rPr>
                <w:i/>
                <w:szCs w:val="16"/>
              </w:rPr>
            </w:pPr>
            <w:r w:rsidRPr="00662B77">
              <w:rPr>
                <w:i/>
                <w:szCs w:val="16"/>
              </w:rPr>
              <w:t>Private Entities</w:t>
            </w:r>
          </w:p>
          <w:p w:rsidR="00E55283" w:rsidRPr="00662B77" w:rsidRDefault="00E55283" w:rsidP="00662B77">
            <w:pPr>
              <w:keepNext/>
              <w:numPr>
                <w:ilvl w:val="0"/>
                <w:numId w:val="35"/>
              </w:numPr>
              <w:rPr>
                <w:i/>
                <w:szCs w:val="16"/>
              </w:rPr>
            </w:pPr>
            <w:r w:rsidRPr="00662B77">
              <w:rPr>
                <w:i/>
                <w:szCs w:val="16"/>
              </w:rPr>
              <w:t>State/Local Governments</w:t>
            </w:r>
          </w:p>
        </w:tc>
        <w:tc>
          <w:tcPr>
            <w:tcW w:w="1320" w:type="dxa"/>
            <w:vAlign w:val="bottom"/>
          </w:tcPr>
          <w:p w:rsidR="00E55283" w:rsidRDefault="00E55283" w:rsidP="00662B77">
            <w:pPr>
              <w:jc w:val="right"/>
            </w:pPr>
            <w:r w:rsidRPr="000773A9">
              <w:t>18,</w:t>
            </w:r>
            <w:r w:rsidR="005509F5">
              <w:t>236</w:t>
            </w:r>
          </w:p>
          <w:p w:rsidR="00E55283" w:rsidRPr="000773A9" w:rsidRDefault="00E55283" w:rsidP="00662B77">
            <w:pPr>
              <w:jc w:val="right"/>
            </w:pPr>
            <w:r w:rsidRPr="000773A9">
              <w:t>7,138</w:t>
            </w:r>
          </w:p>
        </w:tc>
        <w:tc>
          <w:tcPr>
            <w:tcW w:w="1320" w:type="dxa"/>
            <w:vAlign w:val="bottom"/>
          </w:tcPr>
          <w:p w:rsidR="00E55283" w:rsidRDefault="00E55283" w:rsidP="00662B77">
            <w:pPr>
              <w:jc w:val="right"/>
            </w:pPr>
            <w:r w:rsidRPr="000773A9">
              <w:t>18,</w:t>
            </w:r>
            <w:r w:rsidR="005509F5">
              <w:t>236</w:t>
            </w:r>
          </w:p>
          <w:p w:rsidR="00E55283" w:rsidRPr="000773A9" w:rsidRDefault="00E55283" w:rsidP="00662B77">
            <w:pPr>
              <w:jc w:val="right"/>
            </w:pPr>
            <w:r w:rsidRPr="000773A9">
              <w:t>7,</w:t>
            </w:r>
            <w:r w:rsidR="005509F5">
              <w:t>718</w:t>
            </w:r>
          </w:p>
        </w:tc>
        <w:tc>
          <w:tcPr>
            <w:tcW w:w="1320" w:type="dxa"/>
            <w:vAlign w:val="bottom"/>
          </w:tcPr>
          <w:p w:rsidR="00E55283" w:rsidRDefault="005509F5" w:rsidP="00662B77">
            <w:pPr>
              <w:jc w:val="right"/>
            </w:pPr>
            <w:r>
              <w:t>25,212</w:t>
            </w:r>
          </w:p>
          <w:p w:rsidR="00E55283" w:rsidRPr="000773A9" w:rsidRDefault="005509F5" w:rsidP="00662B77">
            <w:pPr>
              <w:jc w:val="right"/>
            </w:pPr>
            <w:r>
              <w:t>36,282</w:t>
            </w:r>
          </w:p>
        </w:tc>
      </w:tr>
      <w:tr w:rsidR="00537689" w:rsidRPr="000773A9" w:rsidTr="00662B77">
        <w:trPr>
          <w:jc w:val="center"/>
        </w:trPr>
        <w:tc>
          <w:tcPr>
            <w:tcW w:w="7548" w:type="dxa"/>
            <w:gridSpan w:val="4"/>
            <w:tcBorders>
              <w:left w:val="nil"/>
              <w:bottom w:val="nil"/>
              <w:right w:val="nil"/>
            </w:tcBorders>
          </w:tcPr>
          <w:p w:rsidR="00537689" w:rsidRPr="00662B77" w:rsidRDefault="00537689" w:rsidP="00662B77">
            <w:pPr>
              <w:keepNext/>
              <w:rPr>
                <w:iCs/>
              </w:rPr>
            </w:pPr>
            <w:r w:rsidRPr="00662B77">
              <w:rPr>
                <w:b/>
                <w:bCs/>
              </w:rPr>
              <w:t xml:space="preserve">Sources: </w:t>
            </w:r>
            <w:r w:rsidRPr="000773A9">
              <w:t xml:space="preserve"> </w:t>
            </w:r>
            <w:r w:rsidRPr="00662B77">
              <w:rPr>
                <w:iCs/>
              </w:rPr>
              <w:t xml:space="preserve">Economic Analysis for the </w:t>
            </w:r>
            <w:r w:rsidR="0061048C" w:rsidRPr="00662B77">
              <w:rPr>
                <w:iCs/>
              </w:rPr>
              <w:t>RRP rule</w:t>
            </w:r>
            <w:r w:rsidRPr="00662B77">
              <w:rPr>
                <w:iCs/>
              </w:rPr>
              <w:t xml:space="preserve"> (EPA 2008).</w:t>
            </w:r>
          </w:p>
        </w:tc>
      </w:tr>
    </w:tbl>
    <w:p w:rsidR="00537689" w:rsidRPr="000773A9" w:rsidRDefault="00537689" w:rsidP="00537689">
      <w:pPr>
        <w:numPr>
          <w:ilvl w:val="12"/>
          <w:numId w:val="0"/>
        </w:numPr>
        <w:rPr>
          <w:sz w:val="24"/>
          <w:szCs w:val="24"/>
        </w:rPr>
      </w:pPr>
    </w:p>
    <w:p w:rsidR="00DD0249" w:rsidRDefault="00DD0249" w:rsidP="00942920">
      <w:pPr>
        <w:numPr>
          <w:ilvl w:val="12"/>
          <w:numId w:val="0"/>
        </w:numPr>
        <w:ind w:firstLine="720"/>
        <w:rPr>
          <w:sz w:val="24"/>
          <w:szCs w:val="24"/>
        </w:rPr>
      </w:pPr>
      <w:r>
        <w:rPr>
          <w:sz w:val="24"/>
          <w:szCs w:val="24"/>
        </w:rPr>
        <w:t xml:space="preserve">(D)  </w:t>
      </w:r>
      <w:r>
        <w:rPr>
          <w:i/>
          <w:sz w:val="24"/>
          <w:szCs w:val="24"/>
        </w:rPr>
        <w:t>Total Number of Respondents and Responses</w:t>
      </w:r>
      <w:r w:rsidRPr="000773A9">
        <w:rPr>
          <w:i/>
          <w:sz w:val="24"/>
          <w:szCs w:val="24"/>
        </w:rPr>
        <w:t xml:space="preserve"> </w:t>
      </w:r>
    </w:p>
    <w:p w:rsidR="00DD0249" w:rsidRDefault="00DD0249" w:rsidP="00537689">
      <w:pPr>
        <w:numPr>
          <w:ilvl w:val="12"/>
          <w:numId w:val="0"/>
        </w:numPr>
        <w:rPr>
          <w:sz w:val="24"/>
          <w:szCs w:val="24"/>
        </w:rPr>
      </w:pPr>
    </w:p>
    <w:p w:rsidR="00DD0249" w:rsidRPr="00364C85" w:rsidRDefault="00364C85" w:rsidP="00942920">
      <w:pPr>
        <w:numPr>
          <w:ilvl w:val="12"/>
          <w:numId w:val="0"/>
        </w:numPr>
        <w:ind w:firstLine="720"/>
        <w:rPr>
          <w:sz w:val="24"/>
          <w:szCs w:val="24"/>
        </w:rPr>
      </w:pPr>
      <w:r>
        <w:rPr>
          <w:sz w:val="24"/>
          <w:szCs w:val="24"/>
        </w:rPr>
        <w:t xml:space="preserve">The total number of respondents and responses are shown in </w:t>
      </w:r>
      <w:r w:rsidR="0015522C" w:rsidRPr="0015522C">
        <w:rPr>
          <w:sz w:val="24"/>
          <w:szCs w:val="24"/>
        </w:rPr>
        <w:fldChar w:fldCharType="begin"/>
      </w:r>
      <w:r w:rsidR="0015522C" w:rsidRPr="0015522C">
        <w:rPr>
          <w:sz w:val="24"/>
          <w:szCs w:val="24"/>
        </w:rPr>
        <w:instrText xml:space="preserve"> REF _Ref280275970 \h </w:instrText>
      </w:r>
      <w:r w:rsidR="0015522C">
        <w:rPr>
          <w:sz w:val="24"/>
          <w:szCs w:val="24"/>
        </w:rPr>
        <w:instrText xml:space="preserve"> \* MERGEFORMAT </w:instrText>
      </w:r>
      <w:r w:rsidR="0015522C" w:rsidRPr="0015522C">
        <w:rPr>
          <w:sz w:val="24"/>
          <w:szCs w:val="24"/>
        </w:rPr>
      </w:r>
      <w:r w:rsidR="0015522C" w:rsidRPr="0015522C">
        <w:rPr>
          <w:sz w:val="24"/>
          <w:szCs w:val="24"/>
        </w:rPr>
        <w:fldChar w:fldCharType="separate"/>
      </w:r>
      <w:r w:rsidR="00D067A1" w:rsidRPr="00D067A1">
        <w:rPr>
          <w:sz w:val="24"/>
          <w:szCs w:val="24"/>
        </w:rPr>
        <w:t>Exhibit 6.8</w:t>
      </w:r>
      <w:r w:rsidR="0015522C" w:rsidRPr="0015522C">
        <w:rPr>
          <w:sz w:val="24"/>
          <w:szCs w:val="24"/>
        </w:rPr>
        <w:fldChar w:fldCharType="end"/>
      </w:r>
      <w:r w:rsidR="0015522C" w:rsidRPr="0015522C">
        <w:rPr>
          <w:sz w:val="24"/>
          <w:szCs w:val="24"/>
        </w:rPr>
        <w:t xml:space="preserve"> </w:t>
      </w:r>
      <w:r w:rsidRPr="0015522C">
        <w:rPr>
          <w:sz w:val="24"/>
          <w:szCs w:val="24"/>
        </w:rPr>
        <w:t xml:space="preserve">and </w:t>
      </w:r>
      <w:r w:rsidR="0015522C">
        <w:rPr>
          <w:sz w:val="24"/>
          <w:szCs w:val="24"/>
        </w:rPr>
        <w:fldChar w:fldCharType="begin"/>
      </w:r>
      <w:r w:rsidR="0015522C">
        <w:rPr>
          <w:sz w:val="24"/>
          <w:szCs w:val="24"/>
        </w:rPr>
        <w:instrText xml:space="preserve"> REF _Ref280275981 \h  \* MERGEFORMAT </w:instrText>
      </w:r>
      <w:r w:rsidR="0015522C">
        <w:rPr>
          <w:sz w:val="24"/>
          <w:szCs w:val="24"/>
        </w:rPr>
      </w:r>
      <w:r w:rsidR="0015522C">
        <w:rPr>
          <w:sz w:val="24"/>
          <w:szCs w:val="24"/>
        </w:rPr>
        <w:fldChar w:fldCharType="separate"/>
      </w:r>
      <w:r w:rsidR="00D067A1" w:rsidRPr="00D067A1">
        <w:rPr>
          <w:sz w:val="24"/>
          <w:szCs w:val="24"/>
        </w:rPr>
        <w:t>Exhibit 6.9</w:t>
      </w:r>
      <w:r w:rsidR="0015522C">
        <w:rPr>
          <w:sz w:val="24"/>
          <w:szCs w:val="24"/>
        </w:rPr>
        <w:fldChar w:fldCharType="end"/>
      </w:r>
      <w:r w:rsidR="00A05424" w:rsidRPr="0015522C">
        <w:rPr>
          <w:sz w:val="24"/>
          <w:szCs w:val="24"/>
        </w:rPr>
        <w:t>.</w:t>
      </w:r>
      <w:r w:rsidR="00F427C3" w:rsidRPr="00F427C3">
        <w:rPr>
          <w:sz w:val="24"/>
          <w:szCs w:val="24"/>
        </w:rPr>
        <w:t xml:space="preserve"> </w:t>
      </w:r>
      <w:r w:rsidR="00A05424">
        <w:rPr>
          <w:sz w:val="24"/>
          <w:szCs w:val="24"/>
        </w:rPr>
        <w:t xml:space="preserve"> </w:t>
      </w:r>
      <w:r w:rsidR="00F427C3" w:rsidRPr="000773A9">
        <w:rPr>
          <w:sz w:val="24"/>
          <w:szCs w:val="24"/>
        </w:rPr>
        <w:t>Th</w:t>
      </w:r>
      <w:r w:rsidR="00F427C3">
        <w:rPr>
          <w:sz w:val="24"/>
          <w:szCs w:val="24"/>
        </w:rPr>
        <w:t>is represents a decrease in the estimated number of respondents and responses compared to the previously approved ICR.</w:t>
      </w:r>
      <w:r w:rsidR="00A05424">
        <w:rPr>
          <w:rStyle w:val="FootnoteReference"/>
          <w:sz w:val="24"/>
          <w:szCs w:val="24"/>
        </w:rPr>
        <w:footnoteReference w:id="5"/>
      </w:r>
      <w:r w:rsidR="00F427C3">
        <w:rPr>
          <w:sz w:val="24"/>
          <w:szCs w:val="24"/>
        </w:rPr>
        <w:t xml:space="preserve">  The </w:t>
      </w:r>
      <w:r w:rsidR="00F427C3" w:rsidRPr="000773A9">
        <w:rPr>
          <w:sz w:val="24"/>
          <w:szCs w:val="24"/>
        </w:rPr>
        <w:t xml:space="preserve">reason for the decrease is </w:t>
      </w:r>
      <w:r w:rsidR="00F427C3">
        <w:rPr>
          <w:sz w:val="24"/>
          <w:szCs w:val="24"/>
        </w:rPr>
        <w:t xml:space="preserve">that the approach </w:t>
      </w:r>
      <w:r w:rsidR="00F427C3" w:rsidRPr="000773A9">
        <w:rPr>
          <w:sz w:val="24"/>
          <w:szCs w:val="24"/>
        </w:rPr>
        <w:t xml:space="preserve">for calculating the number of target housing renovation events </w:t>
      </w:r>
      <w:r w:rsidR="00F427C3">
        <w:rPr>
          <w:sz w:val="24"/>
          <w:szCs w:val="24"/>
        </w:rPr>
        <w:t xml:space="preserve">has been updated to reflect a more recent methodology which was used </w:t>
      </w:r>
      <w:r w:rsidR="00F427C3" w:rsidRPr="000773A9">
        <w:rPr>
          <w:sz w:val="24"/>
          <w:szCs w:val="24"/>
        </w:rPr>
        <w:t xml:space="preserve">in the </w:t>
      </w:r>
      <w:r w:rsidR="00F427C3">
        <w:rPr>
          <w:sz w:val="24"/>
          <w:szCs w:val="24"/>
        </w:rPr>
        <w:t xml:space="preserve">economic analysis of the </w:t>
      </w:r>
      <w:r w:rsidR="00F427C3" w:rsidRPr="000773A9">
        <w:rPr>
          <w:sz w:val="24"/>
          <w:szCs w:val="24"/>
        </w:rPr>
        <w:t>2008 RRP rule.</w:t>
      </w:r>
      <w:r w:rsidR="00E20295">
        <w:rPr>
          <w:rStyle w:val="FootnoteReference"/>
          <w:sz w:val="24"/>
          <w:szCs w:val="24"/>
        </w:rPr>
        <w:footnoteReference w:id="6"/>
      </w:r>
      <w:r w:rsidR="00F427C3" w:rsidRPr="000773A9">
        <w:rPr>
          <w:sz w:val="24"/>
          <w:szCs w:val="24"/>
        </w:rPr>
        <w:t xml:space="preserve">  </w:t>
      </w:r>
    </w:p>
    <w:p w:rsidR="00DD0249" w:rsidRPr="000773A9" w:rsidRDefault="00DD0249" w:rsidP="00DD0249">
      <w:pPr>
        <w:rPr>
          <w:sz w:val="24"/>
          <w:szCs w:val="24"/>
        </w:rPr>
      </w:pPr>
    </w:p>
    <w:tbl>
      <w:tblPr>
        <w:tblW w:w="8765" w:type="dxa"/>
        <w:jc w:val="center"/>
        <w:tblLayout w:type="fixed"/>
        <w:tblCellMar>
          <w:left w:w="0" w:type="dxa"/>
          <w:right w:w="0" w:type="dxa"/>
        </w:tblCellMar>
        <w:tblLook w:val="0000" w:firstRow="0" w:lastRow="0" w:firstColumn="0" w:lastColumn="0" w:noHBand="0" w:noVBand="0"/>
      </w:tblPr>
      <w:tblGrid>
        <w:gridCol w:w="2943"/>
        <w:gridCol w:w="1455"/>
        <w:gridCol w:w="1456"/>
        <w:gridCol w:w="1455"/>
        <w:gridCol w:w="1456"/>
      </w:tblGrid>
      <w:tr w:rsidR="00DD0249" w:rsidRPr="000773A9" w:rsidTr="00E5710D">
        <w:trPr>
          <w:trHeight w:val="255"/>
          <w:jc w:val="center"/>
        </w:trPr>
        <w:tc>
          <w:tcPr>
            <w:tcW w:w="8765" w:type="dxa"/>
            <w:gridSpan w:val="5"/>
            <w:tcBorders>
              <w:bottom w:val="single" w:sz="4" w:space="0" w:color="000000"/>
            </w:tcBorders>
            <w:noWrap/>
            <w:vAlign w:val="bottom"/>
          </w:tcPr>
          <w:p w:rsidR="00DD0249" w:rsidRPr="00AB529F" w:rsidRDefault="0005468E" w:rsidP="00E5710D">
            <w:pPr>
              <w:keepNext/>
              <w:jc w:val="center"/>
              <w:rPr>
                <w:b/>
                <w:bCs/>
                <w:szCs w:val="16"/>
              </w:rPr>
            </w:pPr>
            <w:bookmarkStart w:id="10" w:name="_Ref280275970"/>
            <w:r w:rsidRPr="000773A9">
              <w:rPr>
                <w:b/>
                <w:bCs/>
              </w:rPr>
              <w:t>Exhibit 6.</w:t>
            </w:r>
            <w:r w:rsidRPr="000773A9">
              <w:rPr>
                <w:b/>
                <w:bCs/>
              </w:rPr>
              <w:fldChar w:fldCharType="begin"/>
            </w:r>
            <w:r w:rsidRPr="000773A9">
              <w:rPr>
                <w:b/>
                <w:bCs/>
              </w:rPr>
              <w:instrText xml:space="preserve"> SEQ Exhibit_6. \* ARABIC </w:instrText>
            </w:r>
            <w:r w:rsidRPr="000773A9">
              <w:rPr>
                <w:b/>
                <w:bCs/>
              </w:rPr>
              <w:fldChar w:fldCharType="separate"/>
            </w:r>
            <w:r w:rsidR="00D067A1">
              <w:rPr>
                <w:b/>
                <w:bCs/>
                <w:noProof/>
              </w:rPr>
              <w:t>8</w:t>
            </w:r>
            <w:r w:rsidRPr="000773A9">
              <w:rPr>
                <w:b/>
                <w:bCs/>
              </w:rPr>
              <w:fldChar w:fldCharType="end"/>
            </w:r>
            <w:bookmarkEnd w:id="10"/>
            <w:r w:rsidR="00DD0249" w:rsidRPr="0015522C">
              <w:rPr>
                <w:b/>
                <w:bCs/>
              </w:rPr>
              <w:t>:</w:t>
            </w:r>
            <w:r w:rsidR="00DD0249" w:rsidRPr="0015522C">
              <w:rPr>
                <w:b/>
              </w:rPr>
              <w:t xml:space="preserve">  Total Respondents</w:t>
            </w:r>
          </w:p>
          <w:p w:rsidR="00DD0249" w:rsidRPr="000773A9" w:rsidRDefault="00DD0249" w:rsidP="00E5710D">
            <w:pPr>
              <w:keepNext/>
              <w:jc w:val="center"/>
              <w:rPr>
                <w:b/>
                <w:bCs/>
                <w:szCs w:val="16"/>
              </w:rPr>
            </w:pPr>
          </w:p>
        </w:tc>
      </w:tr>
      <w:tr w:rsidR="00DD0249" w:rsidRPr="000773A9" w:rsidTr="00E5710D">
        <w:trPr>
          <w:trHeight w:val="255"/>
          <w:jc w:val="center"/>
        </w:trPr>
        <w:tc>
          <w:tcPr>
            <w:tcW w:w="2943" w:type="dxa"/>
            <w:tcBorders>
              <w:top w:val="single" w:sz="4" w:space="0" w:color="000000"/>
              <w:left w:val="single" w:sz="4" w:space="0" w:color="auto"/>
              <w:bottom w:val="single" w:sz="4" w:space="0" w:color="auto"/>
              <w:right w:val="single" w:sz="4" w:space="0" w:color="auto"/>
            </w:tcBorders>
            <w:noWrap/>
            <w:vAlign w:val="bottom"/>
          </w:tcPr>
          <w:p w:rsidR="00DD0249" w:rsidRPr="000773A9" w:rsidRDefault="00DD0249" w:rsidP="00E5710D">
            <w:pPr>
              <w:keepNext/>
              <w:rPr>
                <w:rFonts w:eastAsia="Arial Unicode MS"/>
                <w:b/>
                <w:bCs/>
                <w:szCs w:val="16"/>
              </w:rPr>
            </w:pPr>
            <w:r w:rsidRPr="000773A9">
              <w:rPr>
                <w:b/>
                <w:bCs/>
                <w:szCs w:val="16"/>
              </w:rPr>
              <w:t> </w:t>
            </w:r>
            <w:r>
              <w:rPr>
                <w:b/>
                <w:bCs/>
                <w:szCs w:val="16"/>
              </w:rPr>
              <w:t>Type of Respondent</w:t>
            </w:r>
          </w:p>
        </w:tc>
        <w:tc>
          <w:tcPr>
            <w:tcW w:w="1455" w:type="dxa"/>
            <w:tcBorders>
              <w:top w:val="single" w:sz="4" w:space="0" w:color="000000"/>
              <w:left w:val="nil"/>
              <w:bottom w:val="single" w:sz="4" w:space="0" w:color="auto"/>
              <w:right w:val="single" w:sz="4" w:space="0" w:color="auto"/>
            </w:tcBorders>
            <w:noWrap/>
            <w:vAlign w:val="bottom"/>
          </w:tcPr>
          <w:p w:rsidR="00DD0249" w:rsidRPr="000773A9" w:rsidRDefault="00DD0249" w:rsidP="00E5710D">
            <w:pPr>
              <w:keepNext/>
              <w:jc w:val="center"/>
              <w:rPr>
                <w:rFonts w:eastAsia="Arial Unicode MS"/>
                <w:b/>
                <w:szCs w:val="16"/>
              </w:rPr>
            </w:pPr>
            <w:r w:rsidRPr="000773A9">
              <w:rPr>
                <w:b/>
                <w:szCs w:val="16"/>
              </w:rPr>
              <w:t>Year 1</w:t>
            </w:r>
          </w:p>
        </w:tc>
        <w:tc>
          <w:tcPr>
            <w:tcW w:w="1456" w:type="dxa"/>
            <w:tcBorders>
              <w:top w:val="single" w:sz="4" w:space="0" w:color="000000"/>
              <w:left w:val="nil"/>
              <w:bottom w:val="single" w:sz="4" w:space="0" w:color="auto"/>
              <w:right w:val="single" w:sz="4" w:space="0" w:color="auto"/>
            </w:tcBorders>
            <w:noWrap/>
            <w:vAlign w:val="bottom"/>
          </w:tcPr>
          <w:p w:rsidR="00DD0249" w:rsidRPr="000773A9" w:rsidRDefault="00DD0249" w:rsidP="00E5710D">
            <w:pPr>
              <w:keepNext/>
              <w:jc w:val="center"/>
              <w:rPr>
                <w:rFonts w:eastAsia="Arial Unicode MS"/>
                <w:b/>
                <w:szCs w:val="16"/>
              </w:rPr>
            </w:pPr>
            <w:r w:rsidRPr="000773A9">
              <w:rPr>
                <w:b/>
                <w:szCs w:val="16"/>
              </w:rPr>
              <w:t>Year 2</w:t>
            </w:r>
          </w:p>
        </w:tc>
        <w:tc>
          <w:tcPr>
            <w:tcW w:w="1455" w:type="dxa"/>
            <w:tcBorders>
              <w:top w:val="single" w:sz="4" w:space="0" w:color="000000"/>
              <w:left w:val="nil"/>
              <w:bottom w:val="single" w:sz="4" w:space="0" w:color="auto"/>
              <w:right w:val="single" w:sz="4" w:space="0" w:color="auto"/>
            </w:tcBorders>
            <w:noWrap/>
            <w:vAlign w:val="bottom"/>
          </w:tcPr>
          <w:p w:rsidR="00DD0249" w:rsidRPr="000773A9" w:rsidRDefault="00DD0249" w:rsidP="00E5710D">
            <w:pPr>
              <w:keepNext/>
              <w:jc w:val="center"/>
              <w:rPr>
                <w:rFonts w:eastAsia="Arial Unicode MS"/>
                <w:b/>
                <w:szCs w:val="16"/>
              </w:rPr>
            </w:pPr>
            <w:r w:rsidRPr="000773A9">
              <w:rPr>
                <w:b/>
                <w:szCs w:val="16"/>
              </w:rPr>
              <w:t>Year 3</w:t>
            </w:r>
          </w:p>
        </w:tc>
        <w:tc>
          <w:tcPr>
            <w:tcW w:w="1456" w:type="dxa"/>
            <w:tcBorders>
              <w:top w:val="single" w:sz="4" w:space="0" w:color="000000"/>
              <w:left w:val="nil"/>
              <w:bottom w:val="single" w:sz="4" w:space="0" w:color="auto"/>
              <w:right w:val="single" w:sz="4" w:space="0" w:color="auto"/>
            </w:tcBorders>
            <w:vAlign w:val="bottom"/>
          </w:tcPr>
          <w:p w:rsidR="00DD0249" w:rsidRPr="000773A9" w:rsidRDefault="00DD0249" w:rsidP="00E5710D">
            <w:pPr>
              <w:keepNext/>
              <w:jc w:val="center"/>
              <w:rPr>
                <w:rFonts w:eastAsia="Arial Unicode MS"/>
                <w:b/>
                <w:szCs w:val="16"/>
              </w:rPr>
            </w:pPr>
            <w:r w:rsidRPr="000773A9">
              <w:rPr>
                <w:rFonts w:eastAsia="Arial Unicode MS"/>
                <w:b/>
                <w:szCs w:val="16"/>
              </w:rPr>
              <w:t>Average</w:t>
            </w:r>
          </w:p>
        </w:tc>
      </w:tr>
      <w:tr w:rsidR="0015522C" w:rsidRPr="000773A9" w:rsidTr="0015522C">
        <w:trPr>
          <w:trHeight w:val="77"/>
          <w:jc w:val="center"/>
        </w:trPr>
        <w:tc>
          <w:tcPr>
            <w:tcW w:w="2943" w:type="dxa"/>
            <w:tcBorders>
              <w:top w:val="nil"/>
              <w:left w:val="single" w:sz="4" w:space="0" w:color="auto"/>
              <w:bottom w:val="single" w:sz="4" w:space="0" w:color="auto"/>
              <w:right w:val="single" w:sz="4" w:space="0" w:color="auto"/>
            </w:tcBorders>
            <w:vAlign w:val="bottom"/>
          </w:tcPr>
          <w:p w:rsidR="0015522C" w:rsidRPr="00901E84" w:rsidRDefault="0015522C" w:rsidP="00E5710D">
            <w:r>
              <w:t xml:space="preserve">Contractors and rental property managers working in </w:t>
            </w:r>
            <w:r w:rsidRPr="00901E84">
              <w:t>Target Housing</w:t>
            </w:r>
          </w:p>
        </w:tc>
        <w:tc>
          <w:tcPr>
            <w:tcW w:w="1455" w:type="dxa"/>
            <w:tcBorders>
              <w:top w:val="single" w:sz="4" w:space="0" w:color="auto"/>
              <w:left w:val="nil"/>
              <w:bottom w:val="single" w:sz="4" w:space="0" w:color="auto"/>
              <w:right w:val="single" w:sz="4" w:space="0" w:color="auto"/>
            </w:tcBorders>
            <w:shd w:val="clear" w:color="auto" w:fill="auto"/>
            <w:noWrap/>
            <w:vAlign w:val="center"/>
          </w:tcPr>
          <w:p w:rsidR="0015522C" w:rsidRPr="009259CA" w:rsidRDefault="0015522C" w:rsidP="0015522C">
            <w:pPr>
              <w:ind w:right="166"/>
              <w:jc w:val="right"/>
            </w:pPr>
            <w:r>
              <w:t>279,327</w:t>
            </w:r>
          </w:p>
        </w:tc>
        <w:tc>
          <w:tcPr>
            <w:tcW w:w="1456" w:type="dxa"/>
            <w:tcBorders>
              <w:top w:val="single" w:sz="4" w:space="0" w:color="auto"/>
              <w:left w:val="nil"/>
              <w:bottom w:val="single" w:sz="4" w:space="0" w:color="auto"/>
              <w:right w:val="single" w:sz="4" w:space="0" w:color="auto"/>
            </w:tcBorders>
            <w:shd w:val="clear" w:color="auto" w:fill="auto"/>
            <w:noWrap/>
            <w:vAlign w:val="center"/>
          </w:tcPr>
          <w:p w:rsidR="0015522C" w:rsidRPr="009259CA" w:rsidRDefault="0015522C" w:rsidP="0015522C">
            <w:pPr>
              <w:ind w:right="166"/>
              <w:jc w:val="right"/>
            </w:pPr>
            <w:r>
              <w:t>278,182</w:t>
            </w:r>
          </w:p>
        </w:tc>
        <w:tc>
          <w:tcPr>
            <w:tcW w:w="1455" w:type="dxa"/>
            <w:tcBorders>
              <w:top w:val="single" w:sz="4" w:space="0" w:color="auto"/>
              <w:left w:val="nil"/>
              <w:bottom w:val="single" w:sz="4" w:space="0" w:color="auto"/>
              <w:right w:val="single" w:sz="4" w:space="0" w:color="auto"/>
            </w:tcBorders>
            <w:shd w:val="clear" w:color="auto" w:fill="auto"/>
            <w:noWrap/>
            <w:vAlign w:val="center"/>
          </w:tcPr>
          <w:p w:rsidR="0015522C" w:rsidRPr="009259CA" w:rsidRDefault="0015522C" w:rsidP="0015522C">
            <w:pPr>
              <w:ind w:right="166"/>
              <w:jc w:val="right"/>
            </w:pPr>
            <w:r>
              <w:t>277,041</w:t>
            </w:r>
          </w:p>
        </w:tc>
        <w:tc>
          <w:tcPr>
            <w:tcW w:w="1456" w:type="dxa"/>
            <w:tcBorders>
              <w:top w:val="nil"/>
              <w:left w:val="nil"/>
              <w:bottom w:val="single" w:sz="4" w:space="0" w:color="auto"/>
              <w:right w:val="single" w:sz="4" w:space="0" w:color="auto"/>
            </w:tcBorders>
            <w:vAlign w:val="center"/>
          </w:tcPr>
          <w:p w:rsidR="0015522C" w:rsidRPr="009259CA" w:rsidRDefault="0015522C" w:rsidP="0015522C">
            <w:pPr>
              <w:ind w:right="166"/>
              <w:jc w:val="right"/>
            </w:pPr>
            <w:r>
              <w:t>278,183</w:t>
            </w:r>
          </w:p>
        </w:tc>
      </w:tr>
      <w:tr w:rsidR="0015522C" w:rsidRPr="000773A9" w:rsidTr="0015522C">
        <w:trPr>
          <w:trHeight w:val="89"/>
          <w:jc w:val="center"/>
        </w:trPr>
        <w:tc>
          <w:tcPr>
            <w:tcW w:w="2943" w:type="dxa"/>
            <w:tcBorders>
              <w:top w:val="nil"/>
              <w:left w:val="single" w:sz="4" w:space="0" w:color="auto"/>
              <w:bottom w:val="single" w:sz="4" w:space="0" w:color="auto"/>
              <w:right w:val="single" w:sz="4" w:space="0" w:color="auto"/>
            </w:tcBorders>
            <w:vAlign w:val="bottom"/>
          </w:tcPr>
          <w:p w:rsidR="0015522C" w:rsidRPr="000773A9" w:rsidRDefault="0015522C" w:rsidP="00E5710D">
            <w:r>
              <w:t xml:space="preserve">Landlords working in COFs  </w:t>
            </w:r>
          </w:p>
        </w:tc>
        <w:tc>
          <w:tcPr>
            <w:tcW w:w="1455" w:type="dxa"/>
            <w:tcBorders>
              <w:top w:val="nil"/>
              <w:left w:val="nil"/>
              <w:bottom w:val="single" w:sz="4" w:space="0" w:color="auto"/>
              <w:right w:val="single" w:sz="4" w:space="0" w:color="auto"/>
            </w:tcBorders>
            <w:shd w:val="clear" w:color="auto" w:fill="auto"/>
            <w:noWrap/>
            <w:vAlign w:val="center"/>
          </w:tcPr>
          <w:p w:rsidR="0015522C" w:rsidRPr="000773A9" w:rsidRDefault="0015522C" w:rsidP="0015522C">
            <w:pPr>
              <w:ind w:right="166"/>
              <w:jc w:val="right"/>
            </w:pPr>
            <w:r>
              <w:t>13,224</w:t>
            </w:r>
          </w:p>
        </w:tc>
        <w:tc>
          <w:tcPr>
            <w:tcW w:w="1456" w:type="dxa"/>
            <w:tcBorders>
              <w:top w:val="nil"/>
              <w:left w:val="nil"/>
              <w:bottom w:val="single" w:sz="4" w:space="0" w:color="auto"/>
              <w:right w:val="single" w:sz="4" w:space="0" w:color="auto"/>
            </w:tcBorders>
            <w:shd w:val="clear" w:color="auto" w:fill="auto"/>
            <w:noWrap/>
            <w:vAlign w:val="center"/>
          </w:tcPr>
          <w:p w:rsidR="0015522C" w:rsidRPr="000773A9" w:rsidRDefault="0015522C" w:rsidP="0015522C">
            <w:pPr>
              <w:ind w:right="166"/>
              <w:jc w:val="right"/>
            </w:pPr>
            <w:r>
              <w:t>13,170</w:t>
            </w:r>
          </w:p>
        </w:tc>
        <w:tc>
          <w:tcPr>
            <w:tcW w:w="1455" w:type="dxa"/>
            <w:tcBorders>
              <w:top w:val="nil"/>
              <w:left w:val="nil"/>
              <w:bottom w:val="single" w:sz="4" w:space="0" w:color="auto"/>
              <w:right w:val="single" w:sz="4" w:space="0" w:color="auto"/>
            </w:tcBorders>
            <w:shd w:val="clear" w:color="auto" w:fill="auto"/>
            <w:noWrap/>
            <w:vAlign w:val="center"/>
          </w:tcPr>
          <w:p w:rsidR="0015522C" w:rsidRPr="000773A9" w:rsidRDefault="0015522C" w:rsidP="0015522C">
            <w:pPr>
              <w:ind w:right="166"/>
              <w:jc w:val="right"/>
            </w:pPr>
            <w:r>
              <w:t>13,116</w:t>
            </w:r>
          </w:p>
        </w:tc>
        <w:tc>
          <w:tcPr>
            <w:tcW w:w="1456" w:type="dxa"/>
            <w:tcBorders>
              <w:top w:val="nil"/>
              <w:left w:val="nil"/>
              <w:bottom w:val="single" w:sz="4" w:space="0" w:color="auto"/>
              <w:right w:val="single" w:sz="4" w:space="0" w:color="auto"/>
            </w:tcBorders>
            <w:vAlign w:val="center"/>
          </w:tcPr>
          <w:p w:rsidR="0015522C" w:rsidRPr="000773A9" w:rsidRDefault="0015522C" w:rsidP="0015522C">
            <w:pPr>
              <w:ind w:right="166"/>
              <w:jc w:val="right"/>
            </w:pPr>
            <w:r>
              <w:t>13,170</w:t>
            </w:r>
          </w:p>
        </w:tc>
      </w:tr>
      <w:tr w:rsidR="0015522C" w:rsidRPr="000773A9" w:rsidTr="0015522C">
        <w:trPr>
          <w:trHeight w:val="89"/>
          <w:jc w:val="center"/>
        </w:trPr>
        <w:tc>
          <w:tcPr>
            <w:tcW w:w="2943" w:type="dxa"/>
            <w:tcBorders>
              <w:top w:val="nil"/>
              <w:left w:val="single" w:sz="4" w:space="0" w:color="auto"/>
              <w:bottom w:val="single" w:sz="4" w:space="0" w:color="auto"/>
              <w:right w:val="single" w:sz="4" w:space="0" w:color="auto"/>
            </w:tcBorders>
            <w:vAlign w:val="bottom"/>
          </w:tcPr>
          <w:p w:rsidR="0015522C" w:rsidRPr="000773A9" w:rsidRDefault="0015522C" w:rsidP="00E5710D">
            <w:r w:rsidRPr="00696A04">
              <w:rPr>
                <w:szCs w:val="16"/>
              </w:rPr>
              <w:t>Contractors working in COFs</w:t>
            </w:r>
          </w:p>
        </w:tc>
        <w:tc>
          <w:tcPr>
            <w:tcW w:w="1455" w:type="dxa"/>
            <w:tcBorders>
              <w:top w:val="nil"/>
              <w:left w:val="nil"/>
              <w:bottom w:val="single" w:sz="4" w:space="0" w:color="auto"/>
              <w:right w:val="single" w:sz="4" w:space="0" w:color="auto"/>
            </w:tcBorders>
            <w:shd w:val="clear" w:color="auto" w:fill="auto"/>
            <w:noWrap/>
            <w:vAlign w:val="center"/>
          </w:tcPr>
          <w:p w:rsidR="0015522C" w:rsidRPr="000773A9" w:rsidRDefault="0015522C" w:rsidP="0015522C">
            <w:pPr>
              <w:ind w:right="166"/>
              <w:jc w:val="right"/>
            </w:pPr>
            <w:r>
              <w:t>3,210</w:t>
            </w:r>
          </w:p>
        </w:tc>
        <w:tc>
          <w:tcPr>
            <w:tcW w:w="1456" w:type="dxa"/>
            <w:tcBorders>
              <w:top w:val="nil"/>
              <w:left w:val="nil"/>
              <w:bottom w:val="single" w:sz="4" w:space="0" w:color="auto"/>
              <w:right w:val="single" w:sz="4" w:space="0" w:color="auto"/>
            </w:tcBorders>
            <w:shd w:val="clear" w:color="auto" w:fill="auto"/>
            <w:noWrap/>
            <w:vAlign w:val="center"/>
          </w:tcPr>
          <w:p w:rsidR="0015522C" w:rsidRPr="000773A9" w:rsidRDefault="0015522C" w:rsidP="0015522C">
            <w:pPr>
              <w:ind w:right="166"/>
              <w:jc w:val="right"/>
            </w:pPr>
            <w:r>
              <w:t>3,197</w:t>
            </w:r>
          </w:p>
        </w:tc>
        <w:tc>
          <w:tcPr>
            <w:tcW w:w="1455" w:type="dxa"/>
            <w:tcBorders>
              <w:top w:val="nil"/>
              <w:left w:val="nil"/>
              <w:bottom w:val="single" w:sz="4" w:space="0" w:color="auto"/>
              <w:right w:val="single" w:sz="4" w:space="0" w:color="auto"/>
            </w:tcBorders>
            <w:shd w:val="clear" w:color="auto" w:fill="auto"/>
            <w:noWrap/>
            <w:vAlign w:val="center"/>
          </w:tcPr>
          <w:p w:rsidR="0015522C" w:rsidRPr="000773A9" w:rsidRDefault="0015522C" w:rsidP="0015522C">
            <w:pPr>
              <w:ind w:right="166"/>
              <w:jc w:val="right"/>
            </w:pPr>
            <w:r>
              <w:t>3,183</w:t>
            </w:r>
          </w:p>
        </w:tc>
        <w:tc>
          <w:tcPr>
            <w:tcW w:w="1456" w:type="dxa"/>
            <w:tcBorders>
              <w:top w:val="nil"/>
              <w:left w:val="nil"/>
              <w:bottom w:val="single" w:sz="4" w:space="0" w:color="auto"/>
              <w:right w:val="single" w:sz="4" w:space="0" w:color="auto"/>
            </w:tcBorders>
            <w:vAlign w:val="center"/>
          </w:tcPr>
          <w:p w:rsidR="0015522C" w:rsidRPr="000773A9" w:rsidRDefault="0015522C" w:rsidP="0015522C">
            <w:pPr>
              <w:ind w:right="166"/>
              <w:jc w:val="right"/>
            </w:pPr>
            <w:r>
              <w:t>3,197</w:t>
            </w:r>
          </w:p>
        </w:tc>
      </w:tr>
      <w:tr w:rsidR="0015522C" w:rsidRPr="000773A9" w:rsidTr="0015522C">
        <w:trPr>
          <w:trHeight w:val="89"/>
          <w:jc w:val="center"/>
        </w:trPr>
        <w:tc>
          <w:tcPr>
            <w:tcW w:w="2943" w:type="dxa"/>
            <w:tcBorders>
              <w:top w:val="nil"/>
              <w:left w:val="single" w:sz="4" w:space="0" w:color="auto"/>
              <w:bottom w:val="single" w:sz="4" w:space="0" w:color="auto"/>
              <w:right w:val="single" w:sz="4" w:space="0" w:color="auto"/>
            </w:tcBorders>
            <w:vAlign w:val="bottom"/>
          </w:tcPr>
          <w:p w:rsidR="0015522C" w:rsidRPr="000773A9" w:rsidRDefault="0015522C" w:rsidP="00E5710D">
            <w:smartTag w:uri="urn:schemas-microsoft-com:office:smarttags" w:element="place">
              <w:smartTag w:uri="urn:schemas-microsoft-com:office:smarttags" w:element="PlaceName">
                <w:r w:rsidRPr="00696A04">
                  <w:rPr>
                    <w:szCs w:val="16"/>
                  </w:rPr>
                  <w:t>Daycare</w:t>
                </w:r>
              </w:smartTag>
              <w:r w:rsidRPr="00696A04">
                <w:rPr>
                  <w:szCs w:val="16"/>
                </w:rPr>
                <w:t xml:space="preserve"> </w:t>
              </w:r>
              <w:smartTag w:uri="urn:schemas-microsoft-com:office:smarttags" w:element="PlaceType">
                <w:r w:rsidRPr="00696A04">
                  <w:rPr>
                    <w:szCs w:val="16"/>
                  </w:rPr>
                  <w:t>Centers</w:t>
                </w:r>
              </w:smartTag>
            </w:smartTag>
            <w:r w:rsidRPr="00696A04">
              <w:rPr>
                <w:szCs w:val="16"/>
              </w:rPr>
              <w:t xml:space="preserve"> and Schools Performing Own Renovations</w:t>
            </w:r>
          </w:p>
        </w:tc>
        <w:tc>
          <w:tcPr>
            <w:tcW w:w="1455" w:type="dxa"/>
            <w:tcBorders>
              <w:top w:val="single" w:sz="4" w:space="0" w:color="auto"/>
              <w:left w:val="nil"/>
              <w:bottom w:val="single" w:sz="4" w:space="0" w:color="auto"/>
              <w:right w:val="single" w:sz="4" w:space="0" w:color="auto"/>
            </w:tcBorders>
            <w:shd w:val="clear" w:color="auto" w:fill="auto"/>
            <w:noWrap/>
            <w:vAlign w:val="center"/>
          </w:tcPr>
          <w:p w:rsidR="0015522C" w:rsidRPr="000773A9" w:rsidRDefault="0015522C" w:rsidP="0015522C">
            <w:pPr>
              <w:ind w:right="166"/>
              <w:jc w:val="right"/>
            </w:pPr>
            <w:r>
              <w:t>26,062</w:t>
            </w:r>
          </w:p>
        </w:tc>
        <w:tc>
          <w:tcPr>
            <w:tcW w:w="1456" w:type="dxa"/>
            <w:tcBorders>
              <w:top w:val="single" w:sz="4" w:space="0" w:color="auto"/>
              <w:left w:val="nil"/>
              <w:bottom w:val="single" w:sz="4" w:space="0" w:color="auto"/>
              <w:right w:val="single" w:sz="4" w:space="0" w:color="auto"/>
            </w:tcBorders>
            <w:shd w:val="clear" w:color="auto" w:fill="auto"/>
            <w:noWrap/>
            <w:vAlign w:val="center"/>
          </w:tcPr>
          <w:p w:rsidR="0015522C" w:rsidRPr="000773A9" w:rsidRDefault="0015522C" w:rsidP="0015522C">
            <w:pPr>
              <w:ind w:right="166"/>
              <w:jc w:val="right"/>
            </w:pPr>
            <w:r>
              <w:t>25,954</w:t>
            </w:r>
          </w:p>
        </w:tc>
        <w:tc>
          <w:tcPr>
            <w:tcW w:w="1455" w:type="dxa"/>
            <w:tcBorders>
              <w:top w:val="single" w:sz="4" w:space="0" w:color="auto"/>
              <w:left w:val="nil"/>
              <w:bottom w:val="single" w:sz="4" w:space="0" w:color="auto"/>
              <w:right w:val="single" w:sz="4" w:space="0" w:color="auto"/>
            </w:tcBorders>
            <w:shd w:val="clear" w:color="auto" w:fill="auto"/>
            <w:noWrap/>
            <w:vAlign w:val="center"/>
          </w:tcPr>
          <w:p w:rsidR="0015522C" w:rsidRPr="000773A9" w:rsidRDefault="0015522C" w:rsidP="0015522C">
            <w:pPr>
              <w:ind w:right="166"/>
              <w:jc w:val="right"/>
            </w:pPr>
            <w:r>
              <w:t>25,847</w:t>
            </w:r>
          </w:p>
        </w:tc>
        <w:tc>
          <w:tcPr>
            <w:tcW w:w="1456" w:type="dxa"/>
            <w:tcBorders>
              <w:top w:val="nil"/>
              <w:left w:val="nil"/>
              <w:bottom w:val="single" w:sz="4" w:space="0" w:color="auto"/>
              <w:right w:val="single" w:sz="4" w:space="0" w:color="auto"/>
            </w:tcBorders>
            <w:vAlign w:val="center"/>
          </w:tcPr>
          <w:p w:rsidR="0015522C" w:rsidRPr="000773A9" w:rsidRDefault="0015522C" w:rsidP="0015522C">
            <w:pPr>
              <w:ind w:right="166"/>
              <w:jc w:val="right"/>
            </w:pPr>
            <w:r>
              <w:t>25,954</w:t>
            </w:r>
          </w:p>
        </w:tc>
      </w:tr>
      <w:tr w:rsidR="0015522C" w:rsidRPr="000773A9" w:rsidTr="0015522C">
        <w:trPr>
          <w:trHeight w:val="89"/>
          <w:jc w:val="center"/>
        </w:trPr>
        <w:tc>
          <w:tcPr>
            <w:tcW w:w="2943" w:type="dxa"/>
            <w:tcBorders>
              <w:top w:val="nil"/>
              <w:left w:val="single" w:sz="4" w:space="0" w:color="auto"/>
              <w:bottom w:val="single" w:sz="4" w:space="0" w:color="auto"/>
              <w:right w:val="single" w:sz="4" w:space="0" w:color="auto"/>
            </w:tcBorders>
            <w:vAlign w:val="bottom"/>
          </w:tcPr>
          <w:p w:rsidR="0015522C" w:rsidRPr="000773A9" w:rsidRDefault="0015522C" w:rsidP="00E5710D">
            <w:pPr>
              <w:rPr>
                <w:b/>
              </w:rPr>
            </w:pPr>
            <w:r w:rsidRPr="000773A9">
              <w:rPr>
                <w:b/>
              </w:rPr>
              <w:t xml:space="preserve">Total </w:t>
            </w:r>
          </w:p>
        </w:tc>
        <w:tc>
          <w:tcPr>
            <w:tcW w:w="1455" w:type="dxa"/>
            <w:tcBorders>
              <w:top w:val="nil"/>
              <w:left w:val="nil"/>
              <w:bottom w:val="single" w:sz="4" w:space="0" w:color="auto"/>
              <w:right w:val="single" w:sz="4" w:space="0" w:color="auto"/>
            </w:tcBorders>
            <w:noWrap/>
            <w:vAlign w:val="center"/>
          </w:tcPr>
          <w:p w:rsidR="0015522C" w:rsidRPr="0015522C" w:rsidRDefault="0015522C" w:rsidP="0015522C">
            <w:pPr>
              <w:ind w:right="166"/>
              <w:jc w:val="right"/>
              <w:rPr>
                <w:b/>
              </w:rPr>
            </w:pPr>
            <w:r w:rsidRPr="0015522C">
              <w:rPr>
                <w:b/>
              </w:rPr>
              <w:t>321,823</w:t>
            </w:r>
          </w:p>
        </w:tc>
        <w:tc>
          <w:tcPr>
            <w:tcW w:w="1456" w:type="dxa"/>
            <w:tcBorders>
              <w:top w:val="nil"/>
              <w:left w:val="nil"/>
              <w:bottom w:val="single" w:sz="4" w:space="0" w:color="auto"/>
              <w:right w:val="single" w:sz="4" w:space="0" w:color="auto"/>
            </w:tcBorders>
            <w:noWrap/>
            <w:vAlign w:val="center"/>
          </w:tcPr>
          <w:p w:rsidR="0015522C" w:rsidRPr="0015522C" w:rsidRDefault="0015522C" w:rsidP="0015522C">
            <w:pPr>
              <w:ind w:right="166"/>
              <w:jc w:val="right"/>
              <w:rPr>
                <w:b/>
              </w:rPr>
            </w:pPr>
            <w:r w:rsidRPr="0015522C">
              <w:rPr>
                <w:b/>
              </w:rPr>
              <w:t>320,503</w:t>
            </w:r>
          </w:p>
        </w:tc>
        <w:tc>
          <w:tcPr>
            <w:tcW w:w="1455" w:type="dxa"/>
            <w:tcBorders>
              <w:top w:val="nil"/>
              <w:left w:val="nil"/>
              <w:bottom w:val="single" w:sz="4" w:space="0" w:color="auto"/>
              <w:right w:val="single" w:sz="4" w:space="0" w:color="auto"/>
            </w:tcBorders>
            <w:noWrap/>
            <w:vAlign w:val="center"/>
          </w:tcPr>
          <w:p w:rsidR="0015522C" w:rsidRPr="0015522C" w:rsidRDefault="0015522C" w:rsidP="0015522C">
            <w:pPr>
              <w:ind w:right="166"/>
              <w:jc w:val="right"/>
              <w:rPr>
                <w:b/>
              </w:rPr>
            </w:pPr>
            <w:r w:rsidRPr="0015522C">
              <w:rPr>
                <w:b/>
              </w:rPr>
              <w:t>319,187</w:t>
            </w:r>
          </w:p>
        </w:tc>
        <w:tc>
          <w:tcPr>
            <w:tcW w:w="1456" w:type="dxa"/>
            <w:tcBorders>
              <w:top w:val="nil"/>
              <w:left w:val="nil"/>
              <w:bottom w:val="single" w:sz="4" w:space="0" w:color="auto"/>
              <w:right w:val="single" w:sz="4" w:space="0" w:color="auto"/>
            </w:tcBorders>
            <w:vAlign w:val="center"/>
          </w:tcPr>
          <w:p w:rsidR="0015522C" w:rsidRPr="0015522C" w:rsidRDefault="0015522C" w:rsidP="0015522C">
            <w:pPr>
              <w:ind w:right="166"/>
              <w:jc w:val="right"/>
              <w:rPr>
                <w:b/>
              </w:rPr>
            </w:pPr>
            <w:r w:rsidRPr="0015522C">
              <w:rPr>
                <w:b/>
              </w:rPr>
              <w:t>320,504</w:t>
            </w:r>
          </w:p>
        </w:tc>
      </w:tr>
    </w:tbl>
    <w:p w:rsidR="00DD0249" w:rsidRPr="000773A9" w:rsidRDefault="00DD0249" w:rsidP="00DD0249">
      <w:pPr>
        <w:rPr>
          <w:sz w:val="24"/>
          <w:szCs w:val="24"/>
        </w:rPr>
      </w:pPr>
    </w:p>
    <w:p w:rsidR="00DD0249" w:rsidRPr="000773A9" w:rsidRDefault="00DD0249" w:rsidP="00DD0249">
      <w:pPr>
        <w:rPr>
          <w:sz w:val="24"/>
          <w:szCs w:val="24"/>
        </w:rPr>
      </w:pPr>
    </w:p>
    <w:tbl>
      <w:tblPr>
        <w:tblW w:w="8765" w:type="dxa"/>
        <w:jc w:val="center"/>
        <w:tblLayout w:type="fixed"/>
        <w:tblCellMar>
          <w:left w:w="0" w:type="dxa"/>
          <w:right w:w="0" w:type="dxa"/>
        </w:tblCellMar>
        <w:tblLook w:val="0000" w:firstRow="0" w:lastRow="0" w:firstColumn="0" w:lastColumn="0" w:noHBand="0" w:noVBand="0"/>
      </w:tblPr>
      <w:tblGrid>
        <w:gridCol w:w="2943"/>
        <w:gridCol w:w="1455"/>
        <w:gridCol w:w="1456"/>
        <w:gridCol w:w="1455"/>
        <w:gridCol w:w="1456"/>
      </w:tblGrid>
      <w:tr w:rsidR="00DD0249" w:rsidRPr="000773A9" w:rsidTr="00E5710D">
        <w:trPr>
          <w:trHeight w:val="255"/>
          <w:jc w:val="center"/>
        </w:trPr>
        <w:tc>
          <w:tcPr>
            <w:tcW w:w="8765" w:type="dxa"/>
            <w:gridSpan w:val="5"/>
            <w:tcBorders>
              <w:bottom w:val="single" w:sz="4" w:space="0" w:color="000000"/>
            </w:tcBorders>
            <w:noWrap/>
            <w:vAlign w:val="bottom"/>
          </w:tcPr>
          <w:p w:rsidR="00DD0249" w:rsidRPr="00AB529F" w:rsidRDefault="009D6B4D" w:rsidP="0015522C">
            <w:pPr>
              <w:keepNext/>
              <w:jc w:val="center"/>
              <w:rPr>
                <w:b/>
                <w:bCs/>
                <w:szCs w:val="16"/>
              </w:rPr>
            </w:pPr>
            <w:bookmarkStart w:id="11" w:name="_Ref280275981"/>
            <w:r w:rsidRPr="000773A9">
              <w:rPr>
                <w:b/>
                <w:bCs/>
              </w:rPr>
              <w:lastRenderedPageBreak/>
              <w:t>Exhibit 6.</w:t>
            </w:r>
            <w:r w:rsidRPr="0015522C">
              <w:rPr>
                <w:b/>
                <w:bCs/>
              </w:rPr>
              <w:fldChar w:fldCharType="begin"/>
            </w:r>
            <w:r w:rsidRPr="0015522C">
              <w:rPr>
                <w:b/>
                <w:bCs/>
              </w:rPr>
              <w:instrText xml:space="preserve"> SEQ Exhibit_6. \* ARABIC </w:instrText>
            </w:r>
            <w:r w:rsidRPr="0015522C">
              <w:rPr>
                <w:b/>
                <w:bCs/>
              </w:rPr>
              <w:fldChar w:fldCharType="separate"/>
            </w:r>
            <w:r w:rsidR="00D067A1">
              <w:rPr>
                <w:b/>
                <w:bCs/>
                <w:noProof/>
              </w:rPr>
              <w:t>9</w:t>
            </w:r>
            <w:r w:rsidRPr="0015522C">
              <w:rPr>
                <w:b/>
                <w:bCs/>
              </w:rPr>
              <w:fldChar w:fldCharType="end"/>
            </w:r>
            <w:bookmarkEnd w:id="11"/>
            <w:r w:rsidR="00DD0249" w:rsidRPr="0015522C">
              <w:rPr>
                <w:b/>
                <w:bCs/>
              </w:rPr>
              <w:t>:</w:t>
            </w:r>
            <w:r w:rsidR="00DD0249" w:rsidRPr="0015522C">
              <w:rPr>
                <w:b/>
              </w:rPr>
              <w:t xml:space="preserve">  Total Responses</w:t>
            </w:r>
          </w:p>
          <w:p w:rsidR="00DD0249" w:rsidRPr="000773A9" w:rsidRDefault="00DD0249" w:rsidP="0015522C">
            <w:pPr>
              <w:keepNext/>
              <w:jc w:val="center"/>
              <w:rPr>
                <w:b/>
                <w:bCs/>
                <w:szCs w:val="16"/>
              </w:rPr>
            </w:pPr>
          </w:p>
        </w:tc>
      </w:tr>
      <w:tr w:rsidR="00DD0249" w:rsidRPr="000773A9" w:rsidTr="00E5710D">
        <w:trPr>
          <w:trHeight w:val="255"/>
          <w:jc w:val="center"/>
        </w:trPr>
        <w:tc>
          <w:tcPr>
            <w:tcW w:w="2943" w:type="dxa"/>
            <w:tcBorders>
              <w:top w:val="single" w:sz="4" w:space="0" w:color="000000"/>
              <w:left w:val="single" w:sz="4" w:space="0" w:color="auto"/>
              <w:bottom w:val="single" w:sz="4" w:space="0" w:color="auto"/>
              <w:right w:val="single" w:sz="4" w:space="0" w:color="auto"/>
            </w:tcBorders>
            <w:noWrap/>
            <w:vAlign w:val="bottom"/>
          </w:tcPr>
          <w:p w:rsidR="00DD0249" w:rsidRPr="000773A9" w:rsidRDefault="00DD0249" w:rsidP="0015522C">
            <w:pPr>
              <w:keepNext/>
              <w:rPr>
                <w:rFonts w:eastAsia="Arial Unicode MS"/>
                <w:b/>
                <w:bCs/>
                <w:szCs w:val="16"/>
              </w:rPr>
            </w:pPr>
            <w:r w:rsidRPr="000773A9">
              <w:rPr>
                <w:b/>
                <w:bCs/>
                <w:szCs w:val="16"/>
              </w:rPr>
              <w:t> </w:t>
            </w:r>
            <w:r>
              <w:rPr>
                <w:b/>
                <w:bCs/>
                <w:szCs w:val="16"/>
              </w:rPr>
              <w:t>Renovation Events</w:t>
            </w:r>
          </w:p>
        </w:tc>
        <w:tc>
          <w:tcPr>
            <w:tcW w:w="1455" w:type="dxa"/>
            <w:tcBorders>
              <w:top w:val="single" w:sz="4" w:space="0" w:color="000000"/>
              <w:left w:val="nil"/>
              <w:bottom w:val="single" w:sz="4" w:space="0" w:color="auto"/>
              <w:right w:val="single" w:sz="4" w:space="0" w:color="auto"/>
            </w:tcBorders>
            <w:noWrap/>
            <w:vAlign w:val="bottom"/>
          </w:tcPr>
          <w:p w:rsidR="00DD0249" w:rsidRPr="000773A9" w:rsidRDefault="00DD0249" w:rsidP="0015522C">
            <w:pPr>
              <w:keepNext/>
              <w:jc w:val="center"/>
              <w:rPr>
                <w:rFonts w:eastAsia="Arial Unicode MS"/>
                <w:b/>
                <w:szCs w:val="16"/>
              </w:rPr>
            </w:pPr>
            <w:r w:rsidRPr="000773A9">
              <w:rPr>
                <w:b/>
                <w:szCs w:val="16"/>
              </w:rPr>
              <w:t>Year 1</w:t>
            </w:r>
          </w:p>
        </w:tc>
        <w:tc>
          <w:tcPr>
            <w:tcW w:w="1456" w:type="dxa"/>
            <w:tcBorders>
              <w:top w:val="single" w:sz="4" w:space="0" w:color="000000"/>
              <w:left w:val="nil"/>
              <w:bottom w:val="single" w:sz="4" w:space="0" w:color="auto"/>
              <w:right w:val="single" w:sz="4" w:space="0" w:color="auto"/>
            </w:tcBorders>
            <w:noWrap/>
            <w:vAlign w:val="bottom"/>
          </w:tcPr>
          <w:p w:rsidR="00DD0249" w:rsidRPr="000773A9" w:rsidRDefault="00DD0249" w:rsidP="0015522C">
            <w:pPr>
              <w:keepNext/>
              <w:jc w:val="center"/>
              <w:rPr>
                <w:rFonts w:eastAsia="Arial Unicode MS"/>
                <w:b/>
                <w:szCs w:val="16"/>
              </w:rPr>
            </w:pPr>
            <w:r w:rsidRPr="000773A9">
              <w:rPr>
                <w:b/>
                <w:szCs w:val="16"/>
              </w:rPr>
              <w:t>Year 2</w:t>
            </w:r>
          </w:p>
        </w:tc>
        <w:tc>
          <w:tcPr>
            <w:tcW w:w="1455" w:type="dxa"/>
            <w:tcBorders>
              <w:top w:val="single" w:sz="4" w:space="0" w:color="000000"/>
              <w:left w:val="nil"/>
              <w:bottom w:val="single" w:sz="4" w:space="0" w:color="auto"/>
              <w:right w:val="single" w:sz="4" w:space="0" w:color="auto"/>
            </w:tcBorders>
            <w:noWrap/>
            <w:vAlign w:val="bottom"/>
          </w:tcPr>
          <w:p w:rsidR="00DD0249" w:rsidRPr="000773A9" w:rsidRDefault="00DD0249" w:rsidP="0015522C">
            <w:pPr>
              <w:keepNext/>
              <w:jc w:val="center"/>
              <w:rPr>
                <w:rFonts w:eastAsia="Arial Unicode MS"/>
                <w:b/>
                <w:szCs w:val="16"/>
              </w:rPr>
            </w:pPr>
            <w:r w:rsidRPr="000773A9">
              <w:rPr>
                <w:b/>
                <w:szCs w:val="16"/>
              </w:rPr>
              <w:t>Year 3</w:t>
            </w:r>
          </w:p>
        </w:tc>
        <w:tc>
          <w:tcPr>
            <w:tcW w:w="1456" w:type="dxa"/>
            <w:tcBorders>
              <w:top w:val="single" w:sz="4" w:space="0" w:color="000000"/>
              <w:left w:val="nil"/>
              <w:bottom w:val="single" w:sz="4" w:space="0" w:color="auto"/>
              <w:right w:val="single" w:sz="4" w:space="0" w:color="auto"/>
            </w:tcBorders>
            <w:vAlign w:val="bottom"/>
          </w:tcPr>
          <w:p w:rsidR="00DD0249" w:rsidRPr="000773A9" w:rsidRDefault="00DD0249" w:rsidP="0015522C">
            <w:pPr>
              <w:keepNext/>
              <w:jc w:val="center"/>
              <w:rPr>
                <w:rFonts w:eastAsia="Arial Unicode MS"/>
                <w:b/>
                <w:szCs w:val="16"/>
              </w:rPr>
            </w:pPr>
            <w:r w:rsidRPr="000773A9">
              <w:rPr>
                <w:rFonts w:eastAsia="Arial Unicode MS"/>
                <w:b/>
                <w:szCs w:val="16"/>
              </w:rPr>
              <w:t>Average</w:t>
            </w:r>
          </w:p>
        </w:tc>
      </w:tr>
      <w:tr w:rsidR="0015522C" w:rsidRPr="000773A9" w:rsidTr="0015522C">
        <w:trPr>
          <w:trHeight w:val="77"/>
          <w:jc w:val="center"/>
        </w:trPr>
        <w:tc>
          <w:tcPr>
            <w:tcW w:w="2943" w:type="dxa"/>
            <w:tcBorders>
              <w:top w:val="nil"/>
              <w:left w:val="single" w:sz="4" w:space="0" w:color="auto"/>
              <w:bottom w:val="single" w:sz="4" w:space="0" w:color="auto"/>
              <w:right w:val="single" w:sz="4" w:space="0" w:color="auto"/>
            </w:tcBorders>
            <w:vAlign w:val="bottom"/>
          </w:tcPr>
          <w:p w:rsidR="0015522C" w:rsidRPr="000773A9" w:rsidRDefault="0015522C" w:rsidP="0015522C">
            <w:pPr>
              <w:keepNext/>
            </w:pPr>
            <w:r>
              <w:t>Target Housing</w:t>
            </w:r>
          </w:p>
        </w:tc>
        <w:tc>
          <w:tcPr>
            <w:tcW w:w="1455"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11,204,967</w:t>
            </w:r>
          </w:p>
        </w:tc>
        <w:tc>
          <w:tcPr>
            <w:tcW w:w="1456"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11,159,028</w:t>
            </w:r>
          </w:p>
        </w:tc>
        <w:tc>
          <w:tcPr>
            <w:tcW w:w="1455"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11,113,275</w:t>
            </w:r>
          </w:p>
        </w:tc>
        <w:tc>
          <w:tcPr>
            <w:tcW w:w="1456" w:type="dxa"/>
            <w:tcBorders>
              <w:top w:val="nil"/>
              <w:left w:val="nil"/>
              <w:bottom w:val="single" w:sz="4" w:space="0" w:color="auto"/>
              <w:right w:val="single" w:sz="4" w:space="0" w:color="auto"/>
            </w:tcBorders>
            <w:vAlign w:val="center"/>
          </w:tcPr>
          <w:p w:rsidR="0015522C" w:rsidRPr="00A05424" w:rsidRDefault="0015522C" w:rsidP="0015522C">
            <w:pPr>
              <w:ind w:right="166"/>
              <w:jc w:val="right"/>
            </w:pPr>
            <w:r>
              <w:t>11,159,090</w:t>
            </w:r>
          </w:p>
        </w:tc>
      </w:tr>
      <w:tr w:rsidR="0015522C" w:rsidRPr="000773A9" w:rsidTr="0015522C">
        <w:trPr>
          <w:trHeight w:val="89"/>
          <w:jc w:val="center"/>
        </w:trPr>
        <w:tc>
          <w:tcPr>
            <w:tcW w:w="2943" w:type="dxa"/>
            <w:tcBorders>
              <w:top w:val="nil"/>
              <w:left w:val="single" w:sz="4" w:space="0" w:color="auto"/>
              <w:bottom w:val="single" w:sz="4" w:space="0" w:color="auto"/>
              <w:right w:val="single" w:sz="4" w:space="0" w:color="auto"/>
            </w:tcBorders>
            <w:vAlign w:val="bottom"/>
          </w:tcPr>
          <w:p w:rsidR="0015522C" w:rsidRPr="000773A9" w:rsidRDefault="0015522C" w:rsidP="0015522C">
            <w:pPr>
              <w:keepNext/>
            </w:pPr>
            <w:r>
              <w:t>COFs – Landlord Firms</w:t>
            </w:r>
          </w:p>
        </w:tc>
        <w:tc>
          <w:tcPr>
            <w:tcW w:w="1455"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4,359</w:t>
            </w:r>
          </w:p>
        </w:tc>
        <w:tc>
          <w:tcPr>
            <w:tcW w:w="1456"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4,341</w:t>
            </w:r>
          </w:p>
        </w:tc>
        <w:tc>
          <w:tcPr>
            <w:tcW w:w="1455"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4,323</w:t>
            </w:r>
          </w:p>
        </w:tc>
        <w:tc>
          <w:tcPr>
            <w:tcW w:w="1456" w:type="dxa"/>
            <w:tcBorders>
              <w:top w:val="nil"/>
              <w:left w:val="nil"/>
              <w:bottom w:val="single" w:sz="4" w:space="0" w:color="auto"/>
              <w:right w:val="single" w:sz="4" w:space="0" w:color="auto"/>
            </w:tcBorders>
            <w:vAlign w:val="center"/>
          </w:tcPr>
          <w:p w:rsidR="0015522C" w:rsidRPr="00A05424" w:rsidRDefault="0015522C" w:rsidP="0015522C">
            <w:pPr>
              <w:ind w:right="166"/>
              <w:jc w:val="right"/>
            </w:pPr>
            <w:r>
              <w:t>4,341</w:t>
            </w:r>
          </w:p>
        </w:tc>
      </w:tr>
      <w:tr w:rsidR="0015522C" w:rsidRPr="000773A9" w:rsidTr="0015522C">
        <w:trPr>
          <w:trHeight w:val="89"/>
          <w:jc w:val="center"/>
        </w:trPr>
        <w:tc>
          <w:tcPr>
            <w:tcW w:w="2943" w:type="dxa"/>
            <w:tcBorders>
              <w:top w:val="nil"/>
              <w:left w:val="single" w:sz="4" w:space="0" w:color="auto"/>
              <w:bottom w:val="single" w:sz="4" w:space="0" w:color="auto"/>
              <w:right w:val="single" w:sz="4" w:space="0" w:color="auto"/>
            </w:tcBorders>
            <w:vAlign w:val="bottom"/>
          </w:tcPr>
          <w:p w:rsidR="0015522C" w:rsidRPr="000773A9" w:rsidRDefault="0015522C" w:rsidP="0015522C">
            <w:pPr>
              <w:keepNext/>
            </w:pPr>
            <w:r>
              <w:t>COFs – Contractor Firms</w:t>
            </w:r>
          </w:p>
        </w:tc>
        <w:tc>
          <w:tcPr>
            <w:tcW w:w="1455"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116,197</w:t>
            </w:r>
          </w:p>
        </w:tc>
        <w:tc>
          <w:tcPr>
            <w:tcW w:w="1456"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115,721</w:t>
            </w:r>
          </w:p>
        </w:tc>
        <w:tc>
          <w:tcPr>
            <w:tcW w:w="1455"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115,245</w:t>
            </w:r>
          </w:p>
        </w:tc>
        <w:tc>
          <w:tcPr>
            <w:tcW w:w="1456" w:type="dxa"/>
            <w:tcBorders>
              <w:top w:val="nil"/>
              <w:left w:val="nil"/>
              <w:bottom w:val="single" w:sz="4" w:space="0" w:color="auto"/>
              <w:right w:val="single" w:sz="4" w:space="0" w:color="auto"/>
            </w:tcBorders>
            <w:vAlign w:val="center"/>
          </w:tcPr>
          <w:p w:rsidR="0015522C" w:rsidRPr="00A05424" w:rsidRDefault="0015522C" w:rsidP="0015522C">
            <w:pPr>
              <w:ind w:right="166"/>
              <w:jc w:val="right"/>
            </w:pPr>
            <w:r>
              <w:t>115,721</w:t>
            </w:r>
          </w:p>
        </w:tc>
      </w:tr>
      <w:tr w:rsidR="0015522C" w:rsidRPr="000773A9" w:rsidTr="0015522C">
        <w:trPr>
          <w:trHeight w:val="89"/>
          <w:jc w:val="center"/>
        </w:trPr>
        <w:tc>
          <w:tcPr>
            <w:tcW w:w="2943" w:type="dxa"/>
            <w:tcBorders>
              <w:top w:val="nil"/>
              <w:left w:val="single" w:sz="4" w:space="0" w:color="auto"/>
              <w:bottom w:val="single" w:sz="4" w:space="0" w:color="auto"/>
              <w:right w:val="single" w:sz="4" w:space="0" w:color="auto"/>
            </w:tcBorders>
            <w:vAlign w:val="bottom"/>
          </w:tcPr>
          <w:p w:rsidR="0015522C" w:rsidRPr="000773A9" w:rsidRDefault="0015522C" w:rsidP="0015522C">
            <w:pPr>
              <w:keepNext/>
            </w:pPr>
            <w:r>
              <w:t>COFs –</w:t>
            </w:r>
            <w:smartTag w:uri="urn:schemas-microsoft-com:office:smarttags" w:element="place">
              <w:smartTag w:uri="urn:schemas-microsoft-com:office:smarttags" w:element="PlaceName">
                <w:r>
                  <w:t>Daycare</w:t>
                </w:r>
              </w:smartTag>
              <w:r>
                <w:t xml:space="preserve"> </w:t>
              </w:r>
              <w:smartTag w:uri="urn:schemas-microsoft-com:office:smarttags" w:element="PlaceType">
                <w:r>
                  <w:t>Centers</w:t>
                </w:r>
              </w:smartTag>
            </w:smartTag>
            <w:r>
              <w:t xml:space="preserve"> &amp; Schools </w:t>
            </w:r>
          </w:p>
        </w:tc>
        <w:tc>
          <w:tcPr>
            <w:tcW w:w="1455"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61,747</w:t>
            </w:r>
          </w:p>
        </w:tc>
        <w:tc>
          <w:tcPr>
            <w:tcW w:w="1456"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61,494</w:t>
            </w:r>
          </w:p>
        </w:tc>
        <w:tc>
          <w:tcPr>
            <w:tcW w:w="1455" w:type="dxa"/>
            <w:tcBorders>
              <w:top w:val="nil"/>
              <w:left w:val="nil"/>
              <w:bottom w:val="single" w:sz="4" w:space="0" w:color="auto"/>
              <w:right w:val="single" w:sz="4" w:space="0" w:color="auto"/>
            </w:tcBorders>
            <w:noWrap/>
            <w:vAlign w:val="center"/>
          </w:tcPr>
          <w:p w:rsidR="0015522C" w:rsidRPr="00A05424" w:rsidRDefault="0015522C" w:rsidP="0015522C">
            <w:pPr>
              <w:ind w:right="166"/>
              <w:jc w:val="right"/>
            </w:pPr>
            <w:r>
              <w:t>61,241</w:t>
            </w:r>
          </w:p>
        </w:tc>
        <w:tc>
          <w:tcPr>
            <w:tcW w:w="1456" w:type="dxa"/>
            <w:tcBorders>
              <w:top w:val="nil"/>
              <w:left w:val="nil"/>
              <w:bottom w:val="single" w:sz="4" w:space="0" w:color="auto"/>
              <w:right w:val="single" w:sz="4" w:space="0" w:color="auto"/>
            </w:tcBorders>
            <w:vAlign w:val="center"/>
          </w:tcPr>
          <w:p w:rsidR="0015522C" w:rsidRPr="00A05424" w:rsidRDefault="0015522C" w:rsidP="0015522C">
            <w:pPr>
              <w:ind w:right="166"/>
              <w:jc w:val="right"/>
            </w:pPr>
            <w:r>
              <w:t>61,494</w:t>
            </w:r>
          </w:p>
        </w:tc>
      </w:tr>
      <w:tr w:rsidR="0015522C" w:rsidRPr="000773A9" w:rsidTr="0015522C">
        <w:trPr>
          <w:trHeight w:val="89"/>
          <w:jc w:val="center"/>
        </w:trPr>
        <w:tc>
          <w:tcPr>
            <w:tcW w:w="2943" w:type="dxa"/>
            <w:tcBorders>
              <w:top w:val="nil"/>
              <w:left w:val="single" w:sz="4" w:space="0" w:color="auto"/>
              <w:bottom w:val="single" w:sz="4" w:space="0" w:color="auto"/>
              <w:right w:val="single" w:sz="4" w:space="0" w:color="auto"/>
            </w:tcBorders>
            <w:vAlign w:val="bottom"/>
          </w:tcPr>
          <w:p w:rsidR="0015522C" w:rsidRPr="000773A9" w:rsidRDefault="0015522C" w:rsidP="0015522C">
            <w:pPr>
              <w:keepNext/>
              <w:rPr>
                <w:b/>
              </w:rPr>
            </w:pPr>
            <w:r w:rsidRPr="000773A9">
              <w:rPr>
                <w:b/>
              </w:rPr>
              <w:t xml:space="preserve">Total </w:t>
            </w:r>
          </w:p>
        </w:tc>
        <w:tc>
          <w:tcPr>
            <w:tcW w:w="1455" w:type="dxa"/>
            <w:tcBorders>
              <w:top w:val="nil"/>
              <w:left w:val="nil"/>
              <w:bottom w:val="single" w:sz="4" w:space="0" w:color="auto"/>
              <w:right w:val="single" w:sz="4" w:space="0" w:color="auto"/>
            </w:tcBorders>
            <w:noWrap/>
            <w:vAlign w:val="center"/>
          </w:tcPr>
          <w:p w:rsidR="0015522C" w:rsidRPr="0015522C" w:rsidRDefault="0015522C" w:rsidP="0015522C">
            <w:pPr>
              <w:ind w:right="166"/>
              <w:jc w:val="right"/>
              <w:rPr>
                <w:b/>
              </w:rPr>
            </w:pPr>
            <w:r w:rsidRPr="0015522C">
              <w:rPr>
                <w:b/>
              </w:rPr>
              <w:t>11,387,270</w:t>
            </w:r>
          </w:p>
        </w:tc>
        <w:tc>
          <w:tcPr>
            <w:tcW w:w="1456" w:type="dxa"/>
            <w:tcBorders>
              <w:top w:val="nil"/>
              <w:left w:val="nil"/>
              <w:bottom w:val="single" w:sz="4" w:space="0" w:color="auto"/>
              <w:right w:val="single" w:sz="4" w:space="0" w:color="auto"/>
            </w:tcBorders>
            <w:noWrap/>
            <w:vAlign w:val="center"/>
          </w:tcPr>
          <w:p w:rsidR="0015522C" w:rsidRPr="0015522C" w:rsidRDefault="0015522C" w:rsidP="0015522C">
            <w:pPr>
              <w:ind w:right="166"/>
              <w:jc w:val="right"/>
              <w:rPr>
                <w:b/>
              </w:rPr>
            </w:pPr>
            <w:r w:rsidRPr="0015522C">
              <w:rPr>
                <w:b/>
              </w:rPr>
              <w:t>11,340,584</w:t>
            </w:r>
          </w:p>
        </w:tc>
        <w:tc>
          <w:tcPr>
            <w:tcW w:w="1455" w:type="dxa"/>
            <w:tcBorders>
              <w:top w:val="nil"/>
              <w:left w:val="nil"/>
              <w:bottom w:val="single" w:sz="4" w:space="0" w:color="auto"/>
              <w:right w:val="single" w:sz="4" w:space="0" w:color="auto"/>
            </w:tcBorders>
            <w:noWrap/>
            <w:vAlign w:val="center"/>
          </w:tcPr>
          <w:p w:rsidR="0015522C" w:rsidRPr="0015522C" w:rsidRDefault="0015522C" w:rsidP="0015522C">
            <w:pPr>
              <w:ind w:right="166"/>
              <w:jc w:val="right"/>
              <w:rPr>
                <w:b/>
              </w:rPr>
            </w:pPr>
            <w:r w:rsidRPr="0015522C">
              <w:rPr>
                <w:b/>
              </w:rPr>
              <w:t>11,294,084</w:t>
            </w:r>
          </w:p>
        </w:tc>
        <w:tc>
          <w:tcPr>
            <w:tcW w:w="1456" w:type="dxa"/>
            <w:tcBorders>
              <w:top w:val="nil"/>
              <w:left w:val="nil"/>
              <w:bottom w:val="single" w:sz="4" w:space="0" w:color="auto"/>
              <w:right w:val="single" w:sz="4" w:space="0" w:color="auto"/>
            </w:tcBorders>
            <w:vAlign w:val="center"/>
          </w:tcPr>
          <w:p w:rsidR="0015522C" w:rsidRPr="0015522C" w:rsidRDefault="0015522C" w:rsidP="0015522C">
            <w:pPr>
              <w:ind w:right="166"/>
              <w:jc w:val="right"/>
              <w:rPr>
                <w:b/>
              </w:rPr>
            </w:pPr>
            <w:r w:rsidRPr="0015522C">
              <w:rPr>
                <w:b/>
              </w:rPr>
              <w:t>11,340,646</w:t>
            </w:r>
          </w:p>
        </w:tc>
      </w:tr>
    </w:tbl>
    <w:p w:rsidR="00DD0249" w:rsidRDefault="00DD0249" w:rsidP="00537689">
      <w:pPr>
        <w:numPr>
          <w:ilvl w:val="12"/>
          <w:numId w:val="0"/>
        </w:numPr>
        <w:rPr>
          <w:sz w:val="24"/>
          <w:szCs w:val="24"/>
        </w:rPr>
      </w:pPr>
    </w:p>
    <w:p w:rsidR="00537689" w:rsidRPr="000773A9" w:rsidRDefault="00C23608" w:rsidP="00942920">
      <w:pPr>
        <w:numPr>
          <w:ilvl w:val="12"/>
          <w:numId w:val="0"/>
        </w:numPr>
        <w:ind w:firstLine="720"/>
        <w:rPr>
          <w:sz w:val="24"/>
          <w:szCs w:val="24"/>
          <w:u w:val="single"/>
        </w:rPr>
      </w:pPr>
      <w:r>
        <w:rPr>
          <w:sz w:val="24"/>
          <w:szCs w:val="24"/>
        </w:rPr>
        <w:t xml:space="preserve">(iii) </w:t>
      </w:r>
      <w:r w:rsidR="00537689" w:rsidRPr="000773A9">
        <w:rPr>
          <w:sz w:val="24"/>
          <w:szCs w:val="24"/>
          <w:u w:val="single"/>
        </w:rPr>
        <w:t>Respondent Burden Related to Pre-Renovation Education</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The burden </w:t>
      </w:r>
      <w:r w:rsidR="003C3F22" w:rsidRPr="000773A9">
        <w:rPr>
          <w:sz w:val="24"/>
          <w:szCs w:val="24"/>
        </w:rPr>
        <w:t>from</w:t>
      </w:r>
      <w:r w:rsidRPr="000773A9">
        <w:rPr>
          <w:sz w:val="24"/>
          <w:szCs w:val="24"/>
        </w:rPr>
        <w:t xml:space="preserve"> </w:t>
      </w:r>
      <w:r w:rsidR="003C3F22" w:rsidRPr="000773A9">
        <w:rPr>
          <w:sz w:val="24"/>
          <w:szCs w:val="24"/>
        </w:rPr>
        <w:t xml:space="preserve">the </w:t>
      </w:r>
      <w:r w:rsidRPr="000773A9">
        <w:rPr>
          <w:sz w:val="24"/>
          <w:szCs w:val="24"/>
        </w:rPr>
        <w:t>activit</w:t>
      </w:r>
      <w:r w:rsidR="003C3F22" w:rsidRPr="000773A9">
        <w:rPr>
          <w:sz w:val="24"/>
          <w:szCs w:val="24"/>
        </w:rPr>
        <w:t>ies covered by this ICR</w:t>
      </w:r>
      <w:r w:rsidR="0004187A" w:rsidRPr="000773A9">
        <w:rPr>
          <w:sz w:val="24"/>
          <w:szCs w:val="24"/>
        </w:rPr>
        <w:t xml:space="preserve"> involves the time</w:t>
      </w:r>
      <w:r w:rsidRPr="000773A9">
        <w:rPr>
          <w:sz w:val="24"/>
          <w:szCs w:val="24"/>
        </w:rPr>
        <w:t xml:space="preserve"> for preparing and providing the information needed to perform the disclosure activities in conjunction with the renovation of target housing, and public or commercial building </w:t>
      </w:r>
      <w:r w:rsidR="00A9661B">
        <w:rPr>
          <w:sz w:val="24"/>
          <w:szCs w:val="24"/>
        </w:rPr>
        <w:t>COFs</w:t>
      </w:r>
      <w:r w:rsidRPr="000773A9">
        <w:rPr>
          <w:sz w:val="24"/>
          <w:szCs w:val="24"/>
        </w:rPr>
        <w:t xml:space="preserve"> as specified by the rule.  In essence, this includes the following activities:</w:t>
      </w:r>
    </w:p>
    <w:p w:rsidR="00537689" w:rsidRPr="000773A9" w:rsidRDefault="00537689" w:rsidP="00537689">
      <w:pPr>
        <w:numPr>
          <w:ilvl w:val="12"/>
          <w:numId w:val="0"/>
        </w:numPr>
        <w:rPr>
          <w:sz w:val="24"/>
          <w:szCs w:val="24"/>
        </w:rPr>
      </w:pPr>
    </w:p>
    <w:p w:rsidR="00537689" w:rsidRPr="000773A9" w:rsidRDefault="00537689" w:rsidP="00537689">
      <w:pPr>
        <w:pStyle w:val="Level1"/>
        <w:numPr>
          <w:ilvl w:val="0"/>
          <w:numId w:val="17"/>
        </w:numPr>
      </w:pPr>
      <w:r w:rsidRPr="000773A9">
        <w:t>Preparing written acknowledgment/certification</w:t>
      </w:r>
      <w:r w:rsidR="007F455A" w:rsidRPr="000773A9">
        <w:t>;</w:t>
      </w:r>
    </w:p>
    <w:p w:rsidR="00537689" w:rsidRPr="000773A9" w:rsidRDefault="00537689" w:rsidP="00537689">
      <w:pPr>
        <w:pStyle w:val="Level1"/>
        <w:numPr>
          <w:ilvl w:val="0"/>
          <w:numId w:val="17"/>
        </w:numPr>
      </w:pPr>
      <w:r w:rsidRPr="000773A9">
        <w:t>Preparing and delivering t</w:t>
      </w:r>
      <w:r w:rsidR="00C23608">
        <w:t>he pamphlet to individual owner-</w:t>
      </w:r>
      <w:r w:rsidRPr="000773A9">
        <w:t>occupants, owners of all rental units, and occupants</w:t>
      </w:r>
      <w:r w:rsidR="00C23608">
        <w:t xml:space="preserve"> of target housing rental units where </w:t>
      </w:r>
      <w:r w:rsidR="00F469A3">
        <w:t xml:space="preserve">an occupied unit </w:t>
      </w:r>
      <w:r w:rsidR="00C23608">
        <w:t>is being renovated</w:t>
      </w:r>
      <w:r w:rsidR="007F455A" w:rsidRPr="000773A9">
        <w:t>;</w:t>
      </w:r>
    </w:p>
    <w:p w:rsidR="00537689" w:rsidRPr="000773A9" w:rsidRDefault="00537689" w:rsidP="00537689">
      <w:pPr>
        <w:pStyle w:val="Level1"/>
        <w:numPr>
          <w:ilvl w:val="0"/>
          <w:numId w:val="17"/>
        </w:numPr>
      </w:pPr>
      <w:r w:rsidRPr="000773A9">
        <w:t>Obtaining acknowledgment/certification of the delivered pamphlet</w:t>
      </w:r>
      <w:r w:rsidR="007F455A" w:rsidRPr="000773A9">
        <w:t>;</w:t>
      </w:r>
    </w:p>
    <w:p w:rsidR="00537689" w:rsidRPr="000773A9" w:rsidRDefault="00537689" w:rsidP="00537689">
      <w:pPr>
        <w:pStyle w:val="Level1"/>
        <w:numPr>
          <w:ilvl w:val="0"/>
          <w:numId w:val="17"/>
        </w:numPr>
      </w:pPr>
      <w:r w:rsidRPr="000773A9">
        <w:t xml:space="preserve">Preparing and posting the notification for </w:t>
      </w:r>
      <w:r w:rsidRPr="00F469A3">
        <w:t>common</w:t>
      </w:r>
      <w:r w:rsidRPr="000773A9">
        <w:t xml:space="preserve"> area activities, or for </w:t>
      </w:r>
      <w:r w:rsidR="00A9661B">
        <w:t>COFs</w:t>
      </w:r>
      <w:r w:rsidR="007F455A" w:rsidRPr="000773A9">
        <w:t>; and</w:t>
      </w:r>
    </w:p>
    <w:p w:rsidR="00537689" w:rsidRPr="000773A9" w:rsidRDefault="00537689" w:rsidP="00537689">
      <w:pPr>
        <w:pStyle w:val="Level1"/>
        <w:numPr>
          <w:ilvl w:val="0"/>
          <w:numId w:val="17"/>
        </w:numPr>
      </w:pPr>
      <w:r w:rsidRPr="000773A9">
        <w:t xml:space="preserve">Preparing a statement describing the steps performed to notify all occupants of </w:t>
      </w:r>
      <w:r w:rsidRPr="00F469A3">
        <w:t>common</w:t>
      </w:r>
      <w:r w:rsidRPr="000773A9">
        <w:t xml:space="preserve"> areas of the intended renovation</w:t>
      </w:r>
      <w:r w:rsidR="007F455A" w:rsidRPr="000773A9">
        <w:t>.</w:t>
      </w:r>
    </w:p>
    <w:p w:rsidR="00C65171" w:rsidRDefault="00C65171" w:rsidP="00537689">
      <w:pPr>
        <w:numPr>
          <w:ilvl w:val="12"/>
          <w:numId w:val="0"/>
        </w:numPr>
        <w:rPr>
          <w:sz w:val="24"/>
          <w:szCs w:val="24"/>
        </w:rPr>
      </w:pPr>
    </w:p>
    <w:p w:rsidR="00C65171" w:rsidRDefault="00C65171" w:rsidP="003D664F">
      <w:pPr>
        <w:numPr>
          <w:ilvl w:val="12"/>
          <w:numId w:val="0"/>
        </w:numPr>
        <w:ind w:left="360" w:firstLine="720"/>
        <w:rPr>
          <w:sz w:val="24"/>
          <w:szCs w:val="24"/>
        </w:rPr>
      </w:pPr>
      <w:r w:rsidRPr="00C65171">
        <w:rPr>
          <w:sz w:val="24"/>
          <w:szCs w:val="24"/>
        </w:rPr>
        <w:t xml:space="preserve">Prior versions of the </w:t>
      </w:r>
      <w:r w:rsidR="002B4D77">
        <w:rPr>
          <w:sz w:val="24"/>
          <w:szCs w:val="24"/>
        </w:rPr>
        <w:t xml:space="preserve">TSCA section </w:t>
      </w:r>
      <w:r w:rsidRPr="00C65171">
        <w:rPr>
          <w:sz w:val="24"/>
          <w:szCs w:val="24"/>
        </w:rPr>
        <w:t>406(b) ICR included start-up burden for new respondents to read and learn the pre-renovation information dissemination requirements.  Because those requirements are now discussed as part of the certified renovator training (which was created after the previous version of this ICR was approved), the start-up burden is no longer included in this ICR.</w:t>
      </w:r>
    </w:p>
    <w:p w:rsidR="00C65171" w:rsidRPr="000773A9" w:rsidRDefault="00C65171" w:rsidP="00537689">
      <w:pPr>
        <w:numPr>
          <w:ilvl w:val="12"/>
          <w:numId w:val="0"/>
        </w:numPr>
        <w:rPr>
          <w:sz w:val="24"/>
          <w:szCs w:val="24"/>
        </w:rPr>
      </w:pPr>
    </w:p>
    <w:p w:rsidR="00537689" w:rsidRPr="000773A9" w:rsidRDefault="00C23608" w:rsidP="00942920">
      <w:pPr>
        <w:numPr>
          <w:ilvl w:val="12"/>
          <w:numId w:val="0"/>
        </w:numPr>
        <w:ind w:firstLine="720"/>
        <w:rPr>
          <w:i/>
          <w:sz w:val="24"/>
          <w:szCs w:val="24"/>
        </w:rPr>
      </w:pPr>
      <w:r>
        <w:rPr>
          <w:sz w:val="24"/>
          <w:szCs w:val="24"/>
        </w:rPr>
        <w:t xml:space="preserve">(A) </w:t>
      </w:r>
      <w:r w:rsidR="00537689" w:rsidRPr="000773A9">
        <w:rPr>
          <w:i/>
          <w:sz w:val="24"/>
          <w:szCs w:val="24"/>
        </w:rPr>
        <w:t>Target Housing Event Burden</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In this transaction, the renovator/manager must prepare the appropriate document, make sufficient copies, distribute the information, and obtain the acknowledgments or prepare a certification of the delivery failure.  Since </w:t>
      </w:r>
      <w:r w:rsidR="00C23608">
        <w:rPr>
          <w:sz w:val="24"/>
          <w:szCs w:val="24"/>
        </w:rPr>
        <w:t xml:space="preserve">the burden </w:t>
      </w:r>
      <w:r w:rsidRPr="000773A9">
        <w:rPr>
          <w:sz w:val="24"/>
          <w:szCs w:val="24"/>
        </w:rPr>
        <w:t>per event is likely to vary greatly, dependent upon such highly variable factors as the method of delivery chosen, the frequency of this acti</w:t>
      </w:r>
      <w:r w:rsidR="00C23608">
        <w:rPr>
          <w:sz w:val="24"/>
          <w:szCs w:val="24"/>
        </w:rPr>
        <w:t xml:space="preserve">vity for the individual manager or </w:t>
      </w:r>
      <w:r w:rsidRPr="000773A9">
        <w:rPr>
          <w:sz w:val="24"/>
          <w:szCs w:val="24"/>
        </w:rPr>
        <w:t>renovator, the number of events, experience</w:t>
      </w:r>
      <w:r w:rsidR="003C3F22" w:rsidRPr="000773A9">
        <w:rPr>
          <w:sz w:val="24"/>
          <w:szCs w:val="24"/>
        </w:rPr>
        <w:t>,</w:t>
      </w:r>
      <w:r w:rsidRPr="000773A9">
        <w:rPr>
          <w:sz w:val="24"/>
          <w:szCs w:val="24"/>
        </w:rPr>
        <w:t xml:space="preserve"> and individual efficiencies, EPA has attempted to </w:t>
      </w:r>
      <w:r w:rsidR="007F455A" w:rsidRPr="000773A9">
        <w:rPr>
          <w:sz w:val="24"/>
          <w:szCs w:val="24"/>
        </w:rPr>
        <w:t xml:space="preserve">make the analysis more straightforward </w:t>
      </w:r>
      <w:r w:rsidRPr="000773A9">
        <w:rPr>
          <w:sz w:val="24"/>
          <w:szCs w:val="24"/>
        </w:rPr>
        <w:t xml:space="preserve">by making some </w:t>
      </w:r>
      <w:r w:rsidR="003C3F22" w:rsidRPr="000773A9">
        <w:rPr>
          <w:sz w:val="24"/>
          <w:szCs w:val="24"/>
        </w:rPr>
        <w:t xml:space="preserve">simplifying </w:t>
      </w:r>
      <w:r w:rsidRPr="000773A9">
        <w:rPr>
          <w:sz w:val="24"/>
          <w:szCs w:val="24"/>
        </w:rPr>
        <w:t xml:space="preserve">assumptions.  The time estimates are based on conversations with renovation contractors, building trade groups, and rental property owners and managers.  </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 xml:space="preserve">EPA assumed </w:t>
      </w:r>
      <w:r w:rsidR="00C23608">
        <w:rPr>
          <w:sz w:val="24"/>
          <w:szCs w:val="24"/>
        </w:rPr>
        <w:t xml:space="preserve">that a written acknowledgement will be prepared for 100% of the renovations </w:t>
      </w:r>
      <w:r w:rsidRPr="000773A9">
        <w:rPr>
          <w:sz w:val="24"/>
          <w:szCs w:val="24"/>
        </w:rPr>
        <w:t>in owner occupied target housing (</w:t>
      </w:r>
      <w:r w:rsidR="005509F5">
        <w:rPr>
          <w:sz w:val="24"/>
          <w:szCs w:val="24"/>
        </w:rPr>
        <w:t>5,</w:t>
      </w:r>
      <w:r w:rsidR="004A7A09">
        <w:rPr>
          <w:sz w:val="24"/>
          <w:szCs w:val="24"/>
        </w:rPr>
        <w:t>369,596</w:t>
      </w:r>
      <w:r w:rsidR="0006454E">
        <w:rPr>
          <w:sz w:val="24"/>
          <w:szCs w:val="24"/>
        </w:rPr>
        <w:t xml:space="preserve"> renovations</w:t>
      </w:r>
      <w:r w:rsidRPr="000773A9">
        <w:rPr>
          <w:sz w:val="24"/>
          <w:szCs w:val="24"/>
        </w:rPr>
        <w:t>), and 25</w:t>
      </w:r>
      <w:r w:rsidR="00C23608">
        <w:rPr>
          <w:sz w:val="24"/>
          <w:szCs w:val="24"/>
        </w:rPr>
        <w:t xml:space="preserve">% of </w:t>
      </w:r>
      <w:r w:rsidR="0006454E">
        <w:rPr>
          <w:sz w:val="24"/>
          <w:szCs w:val="24"/>
        </w:rPr>
        <w:t xml:space="preserve">the </w:t>
      </w:r>
      <w:r w:rsidR="00C23608">
        <w:rPr>
          <w:sz w:val="24"/>
          <w:szCs w:val="24"/>
        </w:rPr>
        <w:t xml:space="preserve">renovations </w:t>
      </w:r>
      <w:r w:rsidR="00F469A3">
        <w:rPr>
          <w:sz w:val="24"/>
          <w:szCs w:val="24"/>
        </w:rPr>
        <w:t xml:space="preserve">in rental target housing </w:t>
      </w:r>
      <w:r w:rsidR="00C23608">
        <w:rPr>
          <w:sz w:val="24"/>
          <w:szCs w:val="24"/>
        </w:rPr>
        <w:t xml:space="preserve">taking place in occupied </w:t>
      </w:r>
      <w:r w:rsidR="0006454E">
        <w:rPr>
          <w:sz w:val="24"/>
          <w:szCs w:val="24"/>
        </w:rPr>
        <w:t xml:space="preserve">units </w:t>
      </w:r>
      <w:r w:rsidRPr="000773A9">
        <w:rPr>
          <w:sz w:val="24"/>
          <w:szCs w:val="24"/>
        </w:rPr>
        <w:t>(</w:t>
      </w:r>
      <w:r w:rsidR="0006454E">
        <w:rPr>
          <w:sz w:val="24"/>
          <w:szCs w:val="24"/>
        </w:rPr>
        <w:t xml:space="preserve">or </w:t>
      </w:r>
      <w:r w:rsidR="005509F5">
        <w:rPr>
          <w:sz w:val="24"/>
          <w:szCs w:val="24"/>
        </w:rPr>
        <w:t>1,4</w:t>
      </w:r>
      <w:r w:rsidR="004A7A09">
        <w:rPr>
          <w:sz w:val="24"/>
          <w:szCs w:val="24"/>
        </w:rPr>
        <w:t>47,374</w:t>
      </w:r>
      <w:r w:rsidR="00E80ABB" w:rsidRPr="000773A9">
        <w:rPr>
          <w:sz w:val="24"/>
          <w:szCs w:val="24"/>
        </w:rPr>
        <w:t xml:space="preserve"> </w:t>
      </w:r>
      <w:r w:rsidRPr="000773A9">
        <w:rPr>
          <w:sz w:val="24"/>
          <w:szCs w:val="24"/>
        </w:rPr>
        <w:t>renovation</w:t>
      </w:r>
      <w:r w:rsidR="0006454E">
        <w:rPr>
          <w:sz w:val="24"/>
          <w:szCs w:val="24"/>
        </w:rPr>
        <w:t>s</w:t>
      </w:r>
      <w:r w:rsidRPr="000773A9">
        <w:rPr>
          <w:sz w:val="24"/>
          <w:szCs w:val="24"/>
        </w:rPr>
        <w:t xml:space="preserve">).  In addition, a written acknowledgment will be prepared for 100% of </w:t>
      </w:r>
      <w:r w:rsidR="003C3F22" w:rsidRPr="000773A9">
        <w:rPr>
          <w:sz w:val="24"/>
          <w:szCs w:val="24"/>
        </w:rPr>
        <w:t xml:space="preserve">the </w:t>
      </w:r>
      <w:r w:rsidRPr="000773A9">
        <w:rPr>
          <w:sz w:val="24"/>
          <w:szCs w:val="24"/>
        </w:rPr>
        <w:t>owners of rental target housing units (</w:t>
      </w:r>
      <w:r w:rsidR="004A7A09">
        <w:rPr>
          <w:sz w:val="24"/>
          <w:szCs w:val="24"/>
        </w:rPr>
        <w:t>5,789,494</w:t>
      </w:r>
      <w:r w:rsidR="00F469A3">
        <w:rPr>
          <w:sz w:val="24"/>
          <w:szCs w:val="24"/>
        </w:rPr>
        <w:t xml:space="preserve"> renovations</w:t>
      </w:r>
      <w:r w:rsidRPr="000773A9">
        <w:rPr>
          <w:sz w:val="24"/>
          <w:szCs w:val="24"/>
        </w:rPr>
        <w:t xml:space="preserve">).  </w:t>
      </w:r>
    </w:p>
    <w:p w:rsidR="00C253F1" w:rsidRPr="000773A9" w:rsidRDefault="00C253F1" w:rsidP="00C253F1">
      <w:pPr>
        <w:numPr>
          <w:ilvl w:val="12"/>
          <w:numId w:val="0"/>
        </w:numPr>
        <w:rPr>
          <w:sz w:val="24"/>
          <w:szCs w:val="24"/>
        </w:rPr>
      </w:pPr>
    </w:p>
    <w:p w:rsidR="00D27D37" w:rsidRDefault="00C253F1" w:rsidP="00D27D37">
      <w:pPr>
        <w:numPr>
          <w:ilvl w:val="12"/>
          <w:numId w:val="0"/>
        </w:numPr>
        <w:ind w:firstLine="720"/>
        <w:rPr>
          <w:sz w:val="24"/>
          <w:szCs w:val="24"/>
        </w:rPr>
      </w:pPr>
      <w:r w:rsidRPr="0062266D">
        <w:rPr>
          <w:sz w:val="24"/>
          <w:szCs w:val="24"/>
        </w:rPr>
        <w:lastRenderedPageBreak/>
        <w:t>This analysis estimates the burden per event of preparing acknowledgement and certification forms, distributing pamphlets, and obtaining proof of pamphlet receipt based on the supporting statement for the previous version of this ICR – EPA ICR No. 1669.05 (2008)</w:t>
      </w:r>
      <w:r w:rsidR="00D27D37">
        <w:rPr>
          <w:sz w:val="24"/>
          <w:szCs w:val="24"/>
        </w:rPr>
        <w:t xml:space="preserve"> – with some modifications</w:t>
      </w:r>
      <w:r w:rsidRPr="0062266D">
        <w:rPr>
          <w:sz w:val="24"/>
          <w:szCs w:val="24"/>
        </w:rPr>
        <w:t xml:space="preserve">.  </w:t>
      </w:r>
      <w:r w:rsidR="00D27D37">
        <w:rPr>
          <w:sz w:val="24"/>
          <w:szCs w:val="24"/>
        </w:rPr>
        <w:t xml:space="preserve">The current </w:t>
      </w:r>
      <w:r w:rsidRPr="0062266D">
        <w:rPr>
          <w:sz w:val="24"/>
          <w:szCs w:val="24"/>
        </w:rPr>
        <w:t>ICR</w:t>
      </w:r>
      <w:r w:rsidR="00D27D37">
        <w:rPr>
          <w:sz w:val="24"/>
          <w:szCs w:val="24"/>
        </w:rPr>
        <w:t xml:space="preserve"> estimates</w:t>
      </w:r>
      <w:r w:rsidRPr="0062266D">
        <w:rPr>
          <w:sz w:val="24"/>
          <w:szCs w:val="24"/>
        </w:rPr>
        <w:t xml:space="preserve"> that contractors or landlords will need </w:t>
      </w:r>
      <w:r w:rsidR="00AD0BB5">
        <w:rPr>
          <w:sz w:val="24"/>
          <w:szCs w:val="24"/>
        </w:rPr>
        <w:t xml:space="preserve">an average of </w:t>
      </w:r>
      <w:r w:rsidRPr="0062266D">
        <w:rPr>
          <w:sz w:val="24"/>
          <w:szCs w:val="24"/>
        </w:rPr>
        <w:t xml:space="preserve">two minutes to prepare a set of acknowledgement and certification forms; </w:t>
      </w:r>
      <w:r w:rsidR="00AD0BB5">
        <w:rPr>
          <w:sz w:val="24"/>
          <w:szCs w:val="24"/>
        </w:rPr>
        <w:t xml:space="preserve">two minutes to </w:t>
      </w:r>
      <w:r w:rsidRPr="0062266D">
        <w:rPr>
          <w:sz w:val="24"/>
          <w:szCs w:val="24"/>
        </w:rPr>
        <w:t xml:space="preserve">photocopy the pamphlet; and </w:t>
      </w:r>
      <w:r w:rsidR="00AD0BB5">
        <w:rPr>
          <w:sz w:val="24"/>
          <w:szCs w:val="24"/>
        </w:rPr>
        <w:t xml:space="preserve">two minutes to </w:t>
      </w:r>
      <w:r w:rsidRPr="0062266D">
        <w:rPr>
          <w:sz w:val="24"/>
          <w:szCs w:val="24"/>
        </w:rPr>
        <w:t>deliver the pamphlet and obtain proof of pamphlet receipt from each individual involved</w:t>
      </w:r>
      <w:r w:rsidR="00AD0BB5">
        <w:rPr>
          <w:sz w:val="24"/>
          <w:szCs w:val="24"/>
        </w:rPr>
        <w:t xml:space="preserve">.  </w:t>
      </w:r>
      <w:r w:rsidR="00D27D37">
        <w:rPr>
          <w:sz w:val="24"/>
          <w:szCs w:val="24"/>
        </w:rPr>
        <w:t xml:space="preserve">The burden of preparing the lead hazard pamphlet is a new estimate that was not included as a separate line item in the previous ICR.  </w:t>
      </w:r>
    </w:p>
    <w:p w:rsidR="00D27D37" w:rsidRDefault="00D27D37" w:rsidP="00D27D37">
      <w:pPr>
        <w:numPr>
          <w:ilvl w:val="12"/>
          <w:numId w:val="0"/>
        </w:numPr>
        <w:ind w:firstLine="720"/>
        <w:rPr>
          <w:sz w:val="24"/>
          <w:szCs w:val="24"/>
        </w:rPr>
      </w:pPr>
    </w:p>
    <w:p w:rsidR="00D27D37" w:rsidRPr="000773A9" w:rsidRDefault="00D27D37" w:rsidP="00D27D37">
      <w:pPr>
        <w:numPr>
          <w:ilvl w:val="12"/>
          <w:numId w:val="0"/>
        </w:numPr>
        <w:ind w:firstLine="720"/>
        <w:rPr>
          <w:sz w:val="24"/>
          <w:szCs w:val="24"/>
        </w:rPr>
      </w:pPr>
      <w:r>
        <w:rPr>
          <w:sz w:val="24"/>
          <w:szCs w:val="24"/>
        </w:rPr>
        <w:t xml:space="preserve">The current </w:t>
      </w:r>
      <w:r w:rsidR="00AD0BB5" w:rsidRPr="0062266D">
        <w:rPr>
          <w:sz w:val="24"/>
          <w:szCs w:val="24"/>
        </w:rPr>
        <w:t>ICR</w:t>
      </w:r>
      <w:r>
        <w:rPr>
          <w:sz w:val="24"/>
          <w:szCs w:val="24"/>
        </w:rPr>
        <w:t xml:space="preserve"> estimates</w:t>
      </w:r>
      <w:r w:rsidR="00AD0BB5">
        <w:rPr>
          <w:sz w:val="24"/>
          <w:szCs w:val="24"/>
        </w:rPr>
        <w:t xml:space="preserve"> that </w:t>
      </w:r>
      <w:r w:rsidR="00AD0BB5" w:rsidRPr="0062266D">
        <w:rPr>
          <w:sz w:val="24"/>
          <w:szCs w:val="24"/>
        </w:rPr>
        <w:t>contractors or landlords will need</w:t>
      </w:r>
      <w:r w:rsidR="00AD0BB5">
        <w:rPr>
          <w:sz w:val="24"/>
          <w:szCs w:val="24"/>
        </w:rPr>
        <w:t xml:space="preserve"> </w:t>
      </w:r>
      <w:r w:rsidR="00D46561">
        <w:rPr>
          <w:sz w:val="24"/>
          <w:szCs w:val="24"/>
        </w:rPr>
        <w:t>five</w:t>
      </w:r>
      <w:r w:rsidR="000F56C2" w:rsidRPr="0062266D">
        <w:rPr>
          <w:sz w:val="24"/>
          <w:szCs w:val="24"/>
        </w:rPr>
        <w:t xml:space="preserve"> </w:t>
      </w:r>
      <w:r w:rsidR="00C253F1" w:rsidRPr="0062266D">
        <w:rPr>
          <w:sz w:val="24"/>
          <w:szCs w:val="24"/>
        </w:rPr>
        <w:t>minutes to file all of the signed acknowledgement forms or mailing certificates.</w:t>
      </w:r>
      <w:r>
        <w:rPr>
          <w:sz w:val="24"/>
          <w:szCs w:val="24"/>
        </w:rPr>
        <w:t xml:space="preserve">  </w:t>
      </w:r>
      <w:r w:rsidR="00B22072">
        <w:rPr>
          <w:sz w:val="24"/>
          <w:szCs w:val="24"/>
        </w:rPr>
        <w:t>For renovation events in common areas, th</w:t>
      </w:r>
      <w:r w:rsidR="0015522C">
        <w:rPr>
          <w:sz w:val="24"/>
          <w:szCs w:val="24"/>
        </w:rPr>
        <w:t>e</w:t>
      </w:r>
      <w:r w:rsidR="00B22072">
        <w:rPr>
          <w:sz w:val="24"/>
          <w:szCs w:val="24"/>
        </w:rPr>
        <w:t>s</w:t>
      </w:r>
      <w:r w:rsidR="0015522C">
        <w:rPr>
          <w:sz w:val="24"/>
          <w:szCs w:val="24"/>
        </w:rPr>
        <w:t>e</w:t>
      </w:r>
      <w:r w:rsidR="00B22072">
        <w:rPr>
          <w:sz w:val="24"/>
          <w:szCs w:val="24"/>
        </w:rPr>
        <w:t xml:space="preserve"> </w:t>
      </w:r>
      <w:r w:rsidR="007415CB">
        <w:rPr>
          <w:sz w:val="24"/>
          <w:szCs w:val="24"/>
        </w:rPr>
        <w:t xml:space="preserve">5 minutes </w:t>
      </w:r>
      <w:r w:rsidR="00B22072">
        <w:rPr>
          <w:sz w:val="24"/>
          <w:szCs w:val="24"/>
        </w:rPr>
        <w:t xml:space="preserve">represent the </w:t>
      </w:r>
      <w:r>
        <w:rPr>
          <w:sz w:val="24"/>
          <w:szCs w:val="24"/>
        </w:rPr>
        <w:t>burden for preparing, signing, and dating a statement of notification</w:t>
      </w:r>
      <w:r w:rsidR="00424376">
        <w:rPr>
          <w:sz w:val="24"/>
          <w:szCs w:val="24"/>
        </w:rPr>
        <w:t xml:space="preserve">.  (The previous ICR accounted for these two activities separately.)  </w:t>
      </w:r>
      <w:r w:rsidR="007415CB">
        <w:rPr>
          <w:sz w:val="24"/>
          <w:szCs w:val="24"/>
        </w:rPr>
        <w:t>Common area renovations are discussed in more detail below.</w:t>
      </w:r>
    </w:p>
    <w:p w:rsidR="00C253F1" w:rsidRPr="000773A9" w:rsidRDefault="00C253F1" w:rsidP="00537689">
      <w:pPr>
        <w:numPr>
          <w:ilvl w:val="12"/>
          <w:numId w:val="0"/>
        </w:numPr>
        <w:rPr>
          <w:sz w:val="24"/>
          <w:szCs w:val="24"/>
        </w:rPr>
      </w:pPr>
    </w:p>
    <w:p w:rsidR="00537689" w:rsidRPr="000773A9" w:rsidRDefault="00537689" w:rsidP="00537689">
      <w:pPr>
        <w:numPr>
          <w:ilvl w:val="12"/>
          <w:numId w:val="0"/>
        </w:numPr>
        <w:rPr>
          <w:sz w:val="24"/>
          <w:szCs w:val="24"/>
        </w:rPr>
      </w:pPr>
      <w:r w:rsidRPr="000773A9">
        <w:rPr>
          <w:sz w:val="24"/>
          <w:szCs w:val="24"/>
        </w:rPr>
        <w:tab/>
        <w:t>The renovator/manager is also required to distribute the pamphlet and obtain acknowledgments from all target housing owner occupants (</w:t>
      </w:r>
      <w:r w:rsidR="004A7A09">
        <w:rPr>
          <w:sz w:val="24"/>
          <w:szCs w:val="24"/>
        </w:rPr>
        <w:t>5,369,596</w:t>
      </w:r>
      <w:r w:rsidRPr="000773A9">
        <w:rPr>
          <w:sz w:val="24"/>
          <w:szCs w:val="24"/>
        </w:rPr>
        <w:t>), all owners of rental housing units (</w:t>
      </w:r>
      <w:r w:rsidR="004A7A09">
        <w:rPr>
          <w:sz w:val="24"/>
          <w:szCs w:val="24"/>
        </w:rPr>
        <w:t>5,789,494</w:t>
      </w:r>
      <w:r w:rsidRPr="000773A9">
        <w:rPr>
          <w:sz w:val="24"/>
          <w:szCs w:val="24"/>
        </w:rPr>
        <w:t xml:space="preserve">), and occupants </w:t>
      </w:r>
      <w:r w:rsidR="00D430FD">
        <w:rPr>
          <w:sz w:val="24"/>
          <w:szCs w:val="24"/>
        </w:rPr>
        <w:t xml:space="preserve">of rental target housing units where </w:t>
      </w:r>
      <w:r w:rsidR="00F469A3">
        <w:rPr>
          <w:sz w:val="24"/>
          <w:szCs w:val="24"/>
        </w:rPr>
        <w:t xml:space="preserve">occupied units </w:t>
      </w:r>
      <w:r w:rsidR="00D430FD">
        <w:rPr>
          <w:sz w:val="24"/>
          <w:szCs w:val="24"/>
        </w:rPr>
        <w:t xml:space="preserve">are renovated </w:t>
      </w:r>
      <w:r w:rsidRPr="000773A9">
        <w:rPr>
          <w:sz w:val="24"/>
          <w:szCs w:val="24"/>
        </w:rPr>
        <w:t>(</w:t>
      </w:r>
      <w:r w:rsidR="004A7A09">
        <w:rPr>
          <w:sz w:val="24"/>
          <w:szCs w:val="24"/>
        </w:rPr>
        <w:t>1,447,374</w:t>
      </w:r>
      <w:r w:rsidRPr="000773A9">
        <w:rPr>
          <w:sz w:val="24"/>
          <w:szCs w:val="24"/>
        </w:rPr>
        <w:t xml:space="preserve">).  </w:t>
      </w:r>
      <w:r w:rsidR="00D44468" w:rsidRPr="000773A9">
        <w:rPr>
          <w:sz w:val="24"/>
          <w:szCs w:val="24"/>
        </w:rPr>
        <w:t xml:space="preserve">The pre-renovation education requirements provide </w:t>
      </w:r>
      <w:r w:rsidRPr="000773A9">
        <w:rPr>
          <w:sz w:val="24"/>
          <w:szCs w:val="24"/>
        </w:rPr>
        <w:t>flexibility to the renovator/manager for their distribution of the pamphlet or notification.  Since the renovator/manager will already visit the site on more than one occasion to complete the contract transaction,</w:t>
      </w:r>
      <w:r w:rsidR="00D430FD">
        <w:rPr>
          <w:sz w:val="24"/>
          <w:szCs w:val="24"/>
        </w:rPr>
        <w:t xml:space="preserve"> evaluate the site for estimation </w:t>
      </w:r>
      <w:r w:rsidRPr="000773A9">
        <w:rPr>
          <w:sz w:val="24"/>
          <w:szCs w:val="24"/>
        </w:rPr>
        <w:t>purposes, deliver material and the like, EPA believes personal delivery, i.e., distribution of the pamphlet or notification, is likely to be combined with one of these other activities. Since the manager/renovator must obtain the acknowledgment from the recipient when the information is provided, or certify that the information was made available and acknowledgment was refused, this activity will also occur at this time.  EPA estimates this transaction may take less than 1 minute, and no more than 4 minutes; EPA estimated</w:t>
      </w:r>
      <w:r w:rsidR="00D430FD">
        <w:rPr>
          <w:sz w:val="24"/>
          <w:szCs w:val="24"/>
        </w:rPr>
        <w:t xml:space="preserve"> the burden to be 2 minutes per </w:t>
      </w:r>
      <w:r w:rsidRPr="000773A9">
        <w:rPr>
          <w:sz w:val="24"/>
          <w:szCs w:val="24"/>
        </w:rPr>
        <w:t xml:space="preserve">event </w:t>
      </w:r>
      <w:r w:rsidR="00D430FD">
        <w:rPr>
          <w:sz w:val="24"/>
          <w:szCs w:val="24"/>
        </w:rPr>
        <w:t xml:space="preserve">(0.033 hours) </w:t>
      </w:r>
      <w:r w:rsidRPr="000773A9">
        <w:rPr>
          <w:sz w:val="24"/>
          <w:szCs w:val="24"/>
        </w:rPr>
        <w:t>in order to calculate the total burden for the ICR.</w:t>
      </w:r>
    </w:p>
    <w:p w:rsidR="00537689" w:rsidRDefault="00537689" w:rsidP="00537689">
      <w:pPr>
        <w:numPr>
          <w:ilvl w:val="12"/>
          <w:numId w:val="0"/>
        </w:numPr>
        <w:rPr>
          <w:sz w:val="24"/>
          <w:szCs w:val="24"/>
        </w:rPr>
      </w:pPr>
    </w:p>
    <w:p w:rsidR="00F469A3" w:rsidRPr="0062266D" w:rsidRDefault="0062266D" w:rsidP="00F469A3">
      <w:pPr>
        <w:numPr>
          <w:ilvl w:val="12"/>
          <w:numId w:val="0"/>
        </w:numPr>
        <w:ind w:firstLine="720"/>
        <w:rPr>
          <w:sz w:val="24"/>
          <w:szCs w:val="24"/>
        </w:rPr>
      </w:pPr>
      <w:r w:rsidRPr="0062266D">
        <w:rPr>
          <w:sz w:val="24"/>
          <w:szCs w:val="24"/>
        </w:rPr>
        <w:t xml:space="preserve">For the sake of simplicity, </w:t>
      </w:r>
      <w:r w:rsidR="00F469A3" w:rsidRPr="0062266D">
        <w:rPr>
          <w:sz w:val="24"/>
          <w:szCs w:val="24"/>
        </w:rPr>
        <w:t xml:space="preserve">EPA calculated the burden for all written acknowledgments based on the time to prepare the document for the first event, although subsequent events will involve copying the document for distribution, which takes less time.  </w:t>
      </w:r>
      <w:r w:rsidRPr="0062266D">
        <w:rPr>
          <w:sz w:val="24"/>
          <w:szCs w:val="24"/>
        </w:rPr>
        <w:t>Similarly, EPA assumed that 100</w:t>
      </w:r>
      <w:r w:rsidR="00AD0BB5">
        <w:rPr>
          <w:sz w:val="24"/>
          <w:szCs w:val="24"/>
        </w:rPr>
        <w:t xml:space="preserve"> percent</w:t>
      </w:r>
      <w:r w:rsidRPr="0062266D">
        <w:rPr>
          <w:sz w:val="24"/>
          <w:szCs w:val="24"/>
        </w:rPr>
        <w:t xml:space="preserve"> of the renovation activities in rental housing will involve the notification of the owner, even though in some cases the renovations will be conducted by the rental owner’s staff.  </w:t>
      </w:r>
      <w:r w:rsidR="00F469A3" w:rsidRPr="0062266D">
        <w:rPr>
          <w:sz w:val="24"/>
          <w:szCs w:val="24"/>
        </w:rPr>
        <w:t>All of these assumptions are consistent with those used in the original RIA for this rule and with the previous ICR analyses.</w:t>
      </w:r>
    </w:p>
    <w:p w:rsidR="00F469A3" w:rsidRPr="0062266D" w:rsidRDefault="00F469A3" w:rsidP="00537689">
      <w:pPr>
        <w:numPr>
          <w:ilvl w:val="12"/>
          <w:numId w:val="0"/>
        </w:numPr>
        <w:rPr>
          <w:sz w:val="24"/>
          <w:szCs w:val="24"/>
        </w:rPr>
      </w:pPr>
    </w:p>
    <w:p w:rsidR="00537689" w:rsidRPr="0062266D" w:rsidRDefault="00537689" w:rsidP="00537689">
      <w:pPr>
        <w:numPr>
          <w:ilvl w:val="12"/>
          <w:numId w:val="0"/>
        </w:numPr>
        <w:rPr>
          <w:sz w:val="24"/>
          <w:szCs w:val="24"/>
        </w:rPr>
      </w:pPr>
      <w:r w:rsidRPr="0062266D">
        <w:rPr>
          <w:sz w:val="24"/>
          <w:szCs w:val="24"/>
        </w:rPr>
        <w:tab/>
        <w:t>There will be some instances when the manager/renovator will need to provide a self-certification for failed deliveries</w:t>
      </w:r>
      <w:r w:rsidR="00D44468" w:rsidRPr="0062266D">
        <w:rPr>
          <w:sz w:val="24"/>
          <w:szCs w:val="24"/>
        </w:rPr>
        <w:t>, resulting in additional burden</w:t>
      </w:r>
      <w:r w:rsidRPr="0062266D">
        <w:rPr>
          <w:sz w:val="24"/>
          <w:szCs w:val="24"/>
        </w:rPr>
        <w:t xml:space="preserve">. EPA believes that the </w:t>
      </w:r>
      <w:r w:rsidR="00D44468" w:rsidRPr="0062266D">
        <w:rPr>
          <w:sz w:val="24"/>
          <w:szCs w:val="24"/>
        </w:rPr>
        <w:t xml:space="preserve">other assumptions in the analysis (including the simplifying assumptions described above) are sufficiently conservative to offset </w:t>
      </w:r>
      <w:r w:rsidRPr="0062266D">
        <w:rPr>
          <w:sz w:val="24"/>
          <w:szCs w:val="24"/>
        </w:rPr>
        <w:t>any added burden associated with failed deliveries, so that no additional burden need be estimated to cover these circumstances. Consequently, the calculations in this analysis assume that all recipients will provide the acknowledgment.</w:t>
      </w:r>
    </w:p>
    <w:p w:rsidR="00537689" w:rsidRPr="0062266D" w:rsidRDefault="00537689" w:rsidP="00537689">
      <w:pPr>
        <w:numPr>
          <w:ilvl w:val="12"/>
          <w:numId w:val="0"/>
        </w:numPr>
        <w:rPr>
          <w:sz w:val="24"/>
          <w:szCs w:val="24"/>
        </w:rPr>
      </w:pPr>
    </w:p>
    <w:p w:rsidR="00537689" w:rsidRPr="000773A9" w:rsidRDefault="00537689" w:rsidP="00537689">
      <w:pPr>
        <w:numPr>
          <w:ilvl w:val="12"/>
          <w:numId w:val="0"/>
        </w:numPr>
        <w:rPr>
          <w:sz w:val="24"/>
          <w:szCs w:val="24"/>
        </w:rPr>
      </w:pPr>
      <w:r w:rsidRPr="0062266D">
        <w:rPr>
          <w:sz w:val="24"/>
          <w:szCs w:val="24"/>
        </w:rPr>
        <w:tab/>
      </w:r>
      <w:r w:rsidR="0062266D" w:rsidRPr="0062266D">
        <w:rPr>
          <w:sz w:val="24"/>
          <w:szCs w:val="24"/>
        </w:rPr>
        <w:t>R</w:t>
      </w:r>
      <w:r w:rsidRPr="0062266D">
        <w:rPr>
          <w:sz w:val="24"/>
          <w:szCs w:val="24"/>
        </w:rPr>
        <w:t>enovation activities taking place in the common area also require the</w:t>
      </w:r>
      <w:r w:rsidR="000F56C2">
        <w:rPr>
          <w:sz w:val="24"/>
          <w:szCs w:val="24"/>
        </w:rPr>
        <w:t xml:space="preserve"> </w:t>
      </w:r>
      <w:r w:rsidR="00940102">
        <w:rPr>
          <w:sz w:val="24"/>
          <w:szCs w:val="24"/>
        </w:rPr>
        <w:t>firm performing renovations</w:t>
      </w:r>
      <w:r w:rsidR="000F56C2">
        <w:rPr>
          <w:sz w:val="24"/>
          <w:szCs w:val="24"/>
        </w:rPr>
        <w:t xml:space="preserve"> to </w:t>
      </w:r>
      <w:r w:rsidR="00E837A2">
        <w:rPr>
          <w:sz w:val="24"/>
          <w:szCs w:val="24"/>
        </w:rPr>
        <w:t xml:space="preserve">provide occupants with general information about the renovation project and </w:t>
      </w:r>
      <w:r w:rsidR="00E837A2">
        <w:rPr>
          <w:sz w:val="24"/>
          <w:szCs w:val="24"/>
        </w:rPr>
        <w:lastRenderedPageBreak/>
        <w:t xml:space="preserve">access to the lead hazard information pamphlet. </w:t>
      </w:r>
      <w:r w:rsidRPr="0062266D">
        <w:rPr>
          <w:sz w:val="24"/>
          <w:szCs w:val="24"/>
        </w:rPr>
        <w:t xml:space="preserve"> </w:t>
      </w:r>
      <w:r w:rsidR="00E837A2">
        <w:rPr>
          <w:sz w:val="24"/>
          <w:szCs w:val="24"/>
        </w:rPr>
        <w:t xml:space="preserve">In addition, the </w:t>
      </w:r>
      <w:r w:rsidR="00940102">
        <w:rPr>
          <w:sz w:val="24"/>
          <w:szCs w:val="24"/>
        </w:rPr>
        <w:t>firm performing renovations</w:t>
      </w:r>
      <w:r w:rsidR="00E837A2">
        <w:rPr>
          <w:sz w:val="24"/>
          <w:szCs w:val="24"/>
        </w:rPr>
        <w:t xml:space="preserve"> must </w:t>
      </w:r>
      <w:r w:rsidR="00E837A2" w:rsidRPr="0062266D">
        <w:rPr>
          <w:sz w:val="24"/>
          <w:szCs w:val="24"/>
        </w:rPr>
        <w:t>prepar</w:t>
      </w:r>
      <w:r w:rsidR="00E837A2">
        <w:rPr>
          <w:sz w:val="24"/>
          <w:szCs w:val="24"/>
        </w:rPr>
        <w:t>e</w:t>
      </w:r>
      <w:r w:rsidR="00E837A2" w:rsidRPr="0062266D">
        <w:rPr>
          <w:sz w:val="24"/>
          <w:szCs w:val="24"/>
        </w:rPr>
        <w:t xml:space="preserve"> </w:t>
      </w:r>
      <w:r w:rsidRPr="0062266D">
        <w:rPr>
          <w:sz w:val="24"/>
          <w:szCs w:val="24"/>
        </w:rPr>
        <w:t>a</w:t>
      </w:r>
      <w:r w:rsidRPr="000773A9">
        <w:rPr>
          <w:sz w:val="24"/>
          <w:szCs w:val="24"/>
        </w:rPr>
        <w:t xml:space="preserve"> statement describing the steps performed to notify each occupant of the intended renovation.  </w:t>
      </w:r>
      <w:r w:rsidR="00E837A2">
        <w:rPr>
          <w:sz w:val="24"/>
          <w:szCs w:val="24"/>
        </w:rPr>
        <w:t xml:space="preserve">EPA assumes that all renovators working in common areas will post a single copy of the pamphlet and a job-specific information sheet.  </w:t>
      </w:r>
      <w:r w:rsidRPr="000773A9">
        <w:rPr>
          <w:sz w:val="24"/>
          <w:szCs w:val="24"/>
        </w:rPr>
        <w:t xml:space="preserve">For this requirement, EPA is assuming a time estimate of </w:t>
      </w:r>
      <w:r w:rsidR="00D46561">
        <w:rPr>
          <w:sz w:val="24"/>
          <w:szCs w:val="24"/>
        </w:rPr>
        <w:t>five</w:t>
      </w:r>
      <w:r w:rsidR="00EE5628" w:rsidRPr="000773A9">
        <w:rPr>
          <w:sz w:val="24"/>
          <w:szCs w:val="24"/>
        </w:rPr>
        <w:t xml:space="preserve"> </w:t>
      </w:r>
      <w:r w:rsidRPr="000773A9">
        <w:rPr>
          <w:sz w:val="24"/>
          <w:szCs w:val="24"/>
        </w:rPr>
        <w:t>minutes per event</w:t>
      </w:r>
      <w:r w:rsidR="00E837A2">
        <w:rPr>
          <w:sz w:val="24"/>
          <w:szCs w:val="24"/>
        </w:rPr>
        <w:t xml:space="preserve"> to prepare and post the information and pamphlet.  </w:t>
      </w:r>
      <w:r w:rsidR="007415CB">
        <w:rPr>
          <w:sz w:val="24"/>
          <w:szCs w:val="24"/>
        </w:rPr>
        <w:t>As described above, t</w:t>
      </w:r>
      <w:r w:rsidR="00E837A2">
        <w:rPr>
          <w:sz w:val="24"/>
          <w:szCs w:val="24"/>
        </w:rPr>
        <w:t>he time to prepare, sign, and file the statement of notification i</w:t>
      </w:r>
      <w:r w:rsidR="00870639">
        <w:rPr>
          <w:sz w:val="24"/>
          <w:szCs w:val="24"/>
        </w:rPr>
        <w:t xml:space="preserve">s included in the </w:t>
      </w:r>
      <w:r w:rsidR="00D46561">
        <w:rPr>
          <w:sz w:val="24"/>
          <w:szCs w:val="24"/>
        </w:rPr>
        <w:t>five</w:t>
      </w:r>
      <w:r w:rsidR="00870639">
        <w:rPr>
          <w:sz w:val="24"/>
          <w:szCs w:val="24"/>
        </w:rPr>
        <w:t xml:space="preserve"> minutes </w:t>
      </w:r>
      <w:r w:rsidR="00EF3AB3">
        <w:rPr>
          <w:sz w:val="24"/>
          <w:szCs w:val="24"/>
        </w:rPr>
        <w:t>attributed to</w:t>
      </w:r>
      <w:r w:rsidR="00870639">
        <w:rPr>
          <w:sz w:val="24"/>
          <w:szCs w:val="24"/>
        </w:rPr>
        <w:t xml:space="preserve"> fil</w:t>
      </w:r>
      <w:r w:rsidR="00EF3AB3">
        <w:rPr>
          <w:sz w:val="24"/>
          <w:szCs w:val="24"/>
        </w:rPr>
        <w:t>ing</w:t>
      </w:r>
      <w:r w:rsidR="00870639">
        <w:rPr>
          <w:sz w:val="24"/>
          <w:szCs w:val="24"/>
        </w:rPr>
        <w:t xml:space="preserve"> the acknowledgment of pamphlet delivery to the owner of the affected property.</w:t>
      </w:r>
    </w:p>
    <w:p w:rsidR="00537689" w:rsidRPr="000773A9" w:rsidRDefault="00537689" w:rsidP="00537689">
      <w:pPr>
        <w:numPr>
          <w:ilvl w:val="12"/>
          <w:numId w:val="0"/>
        </w:numPr>
        <w:rPr>
          <w:sz w:val="24"/>
          <w:szCs w:val="24"/>
        </w:rPr>
      </w:pPr>
    </w:p>
    <w:p w:rsidR="00537689" w:rsidRDefault="00537689" w:rsidP="00537689">
      <w:pPr>
        <w:numPr>
          <w:ilvl w:val="12"/>
          <w:numId w:val="0"/>
        </w:numPr>
        <w:ind w:firstLine="720"/>
        <w:rPr>
          <w:sz w:val="24"/>
          <w:szCs w:val="24"/>
        </w:rPr>
      </w:pPr>
      <w:r w:rsidRPr="000773A9">
        <w:rPr>
          <w:sz w:val="24"/>
          <w:szCs w:val="24"/>
        </w:rPr>
        <w:fldChar w:fldCharType="begin"/>
      </w:r>
      <w:r w:rsidRPr="000773A9">
        <w:rPr>
          <w:sz w:val="24"/>
          <w:szCs w:val="24"/>
        </w:rPr>
        <w:instrText xml:space="preserve"> REF _Ref269986796 \h  \* MERGEFORMAT </w:instrText>
      </w:r>
      <w:r w:rsidRPr="000773A9">
        <w:rPr>
          <w:sz w:val="24"/>
          <w:szCs w:val="24"/>
        </w:rPr>
      </w:r>
      <w:r w:rsidRPr="000773A9">
        <w:rPr>
          <w:sz w:val="24"/>
          <w:szCs w:val="24"/>
        </w:rPr>
        <w:fldChar w:fldCharType="separate"/>
      </w:r>
      <w:r w:rsidR="00D067A1" w:rsidRPr="00D067A1">
        <w:rPr>
          <w:sz w:val="24"/>
          <w:szCs w:val="24"/>
        </w:rPr>
        <w:t>Exhibit 6.10</w:t>
      </w:r>
      <w:r w:rsidRPr="000773A9">
        <w:rPr>
          <w:sz w:val="24"/>
          <w:szCs w:val="24"/>
        </w:rPr>
        <w:fldChar w:fldCharType="end"/>
      </w:r>
      <w:r w:rsidRPr="000773A9">
        <w:rPr>
          <w:sz w:val="24"/>
          <w:szCs w:val="24"/>
        </w:rPr>
        <w:t xml:space="preserve"> presents the per-event burden associated with pre-renovation education incurred by contractors and landlords performing work in owner-occupied and rental target housing units.</w:t>
      </w:r>
    </w:p>
    <w:p w:rsidR="0085358D" w:rsidRPr="000773A9" w:rsidRDefault="0085358D" w:rsidP="00537689">
      <w:pPr>
        <w:numPr>
          <w:ilvl w:val="12"/>
          <w:numId w:val="0"/>
        </w:numPr>
        <w:ind w:firstLine="720"/>
        <w:rPr>
          <w:sz w:val="24"/>
          <w:szCs w:val="24"/>
        </w:rPr>
      </w:pPr>
    </w:p>
    <w:tbl>
      <w:tblPr>
        <w:tblW w:w="9407" w:type="dxa"/>
        <w:jc w:val="center"/>
        <w:tblLayout w:type="fixed"/>
        <w:tblCellMar>
          <w:left w:w="0" w:type="dxa"/>
          <w:right w:w="0" w:type="dxa"/>
        </w:tblCellMar>
        <w:tblLook w:val="0000" w:firstRow="0" w:lastRow="0" w:firstColumn="0" w:lastColumn="0" w:noHBand="0" w:noVBand="0"/>
      </w:tblPr>
      <w:tblGrid>
        <w:gridCol w:w="3264"/>
        <w:gridCol w:w="1023"/>
        <w:gridCol w:w="1024"/>
        <w:gridCol w:w="1024"/>
        <w:gridCol w:w="1024"/>
        <w:gridCol w:w="1024"/>
        <w:gridCol w:w="1024"/>
      </w:tblGrid>
      <w:tr w:rsidR="00537689" w:rsidRPr="000773A9" w:rsidTr="007A419F">
        <w:trPr>
          <w:trHeight w:val="255"/>
          <w:jc w:val="center"/>
        </w:trPr>
        <w:tc>
          <w:tcPr>
            <w:tcW w:w="9407" w:type="dxa"/>
            <w:gridSpan w:val="7"/>
            <w:tcBorders>
              <w:bottom w:val="single" w:sz="4" w:space="0" w:color="auto"/>
            </w:tcBorders>
            <w:noWrap/>
            <w:vAlign w:val="bottom"/>
          </w:tcPr>
          <w:p w:rsidR="00537689" w:rsidRPr="000773A9" w:rsidRDefault="00537689" w:rsidP="00537689">
            <w:pPr>
              <w:keepNext/>
              <w:jc w:val="center"/>
              <w:rPr>
                <w:b/>
                <w:bCs/>
                <w:szCs w:val="16"/>
              </w:rPr>
            </w:pPr>
            <w:bookmarkStart w:id="12" w:name="_Ref269986796"/>
            <w:r w:rsidRPr="000773A9">
              <w:rPr>
                <w:rFonts w:eastAsia="Arial Unicode MS"/>
                <w:b/>
                <w:bCs/>
                <w:szCs w:val="16"/>
              </w:rPr>
              <w:t>Exhibit 6.</w:t>
            </w:r>
            <w:r w:rsidRPr="000773A9">
              <w:rPr>
                <w:rFonts w:eastAsia="Arial Unicode MS"/>
                <w:b/>
                <w:bCs/>
                <w:szCs w:val="16"/>
              </w:rPr>
              <w:fldChar w:fldCharType="begin"/>
            </w:r>
            <w:r w:rsidRPr="000773A9">
              <w:rPr>
                <w:rFonts w:eastAsia="Arial Unicode MS"/>
                <w:b/>
                <w:bCs/>
                <w:szCs w:val="16"/>
              </w:rPr>
              <w:instrText xml:space="preserve"> SEQ Exhibit_6. \* ARABIC </w:instrText>
            </w:r>
            <w:r w:rsidRPr="000773A9">
              <w:rPr>
                <w:rFonts w:eastAsia="Arial Unicode MS"/>
                <w:b/>
                <w:bCs/>
                <w:szCs w:val="16"/>
              </w:rPr>
              <w:fldChar w:fldCharType="separate"/>
            </w:r>
            <w:r w:rsidR="00D067A1">
              <w:rPr>
                <w:rFonts w:eastAsia="Arial Unicode MS"/>
                <w:b/>
                <w:bCs/>
                <w:noProof/>
                <w:szCs w:val="16"/>
              </w:rPr>
              <w:t>10</w:t>
            </w:r>
            <w:r w:rsidRPr="000773A9">
              <w:rPr>
                <w:rFonts w:eastAsia="Arial Unicode MS"/>
                <w:b/>
                <w:bCs/>
                <w:szCs w:val="16"/>
              </w:rPr>
              <w:fldChar w:fldCharType="end"/>
            </w:r>
            <w:bookmarkEnd w:id="12"/>
            <w:r w:rsidRPr="000773A9">
              <w:rPr>
                <w:b/>
                <w:bCs/>
              </w:rPr>
              <w:t>:</w:t>
            </w:r>
            <w:r w:rsidRPr="000773A9">
              <w:t xml:space="preserve"> </w:t>
            </w:r>
            <w:r w:rsidRPr="000773A9">
              <w:rPr>
                <w:b/>
                <w:bCs/>
                <w:szCs w:val="16"/>
              </w:rPr>
              <w:t xml:space="preserve"> Burden Estimates </w:t>
            </w:r>
            <w:r w:rsidR="00160C32" w:rsidRPr="000773A9">
              <w:rPr>
                <w:b/>
                <w:bCs/>
                <w:szCs w:val="16"/>
              </w:rPr>
              <w:t xml:space="preserve">for Target Housing Renovations </w:t>
            </w:r>
            <w:r w:rsidRPr="000773A9">
              <w:rPr>
                <w:b/>
                <w:bCs/>
                <w:szCs w:val="16"/>
              </w:rPr>
              <w:t xml:space="preserve">by </w:t>
            </w:r>
            <w:r w:rsidR="00D430FD">
              <w:rPr>
                <w:b/>
                <w:bCs/>
                <w:szCs w:val="16"/>
              </w:rPr>
              <w:t xml:space="preserve">Event and </w:t>
            </w:r>
            <w:r w:rsidRPr="000773A9">
              <w:rPr>
                <w:b/>
                <w:bCs/>
                <w:szCs w:val="16"/>
              </w:rPr>
              <w:t>Task (in hours)</w:t>
            </w:r>
          </w:p>
          <w:p w:rsidR="00537689" w:rsidRPr="000773A9" w:rsidRDefault="00537689" w:rsidP="00537689">
            <w:pPr>
              <w:keepNext/>
              <w:jc w:val="center"/>
              <w:rPr>
                <w:rFonts w:eastAsia="Arial Unicode MS"/>
                <w:b/>
                <w:bCs/>
                <w:szCs w:val="16"/>
              </w:rPr>
            </w:pPr>
          </w:p>
        </w:tc>
      </w:tr>
      <w:tr w:rsidR="007A419F" w:rsidRPr="000773A9" w:rsidTr="00533E2F">
        <w:trPr>
          <w:trHeight w:val="255"/>
          <w:jc w:val="center"/>
        </w:trPr>
        <w:tc>
          <w:tcPr>
            <w:tcW w:w="3264" w:type="dxa"/>
            <w:vMerge w:val="restart"/>
            <w:tcBorders>
              <w:top w:val="nil"/>
              <w:left w:val="single" w:sz="4" w:space="0" w:color="auto"/>
              <w:right w:val="nil"/>
            </w:tcBorders>
            <w:noWrap/>
            <w:vAlign w:val="center"/>
          </w:tcPr>
          <w:p w:rsidR="007A419F" w:rsidRPr="000773A9" w:rsidRDefault="007A419F" w:rsidP="00537689">
            <w:pPr>
              <w:keepNext/>
              <w:jc w:val="center"/>
              <w:rPr>
                <w:rFonts w:eastAsia="Arial Unicode MS"/>
                <w:b/>
                <w:szCs w:val="16"/>
              </w:rPr>
            </w:pPr>
            <w:r w:rsidRPr="000773A9">
              <w:rPr>
                <w:b/>
                <w:szCs w:val="16"/>
              </w:rPr>
              <w:t>Activity</w:t>
            </w:r>
          </w:p>
        </w:tc>
        <w:tc>
          <w:tcPr>
            <w:tcW w:w="6143" w:type="dxa"/>
            <w:gridSpan w:val="6"/>
            <w:tcBorders>
              <w:top w:val="single" w:sz="4" w:space="0" w:color="auto"/>
              <w:left w:val="single" w:sz="4" w:space="0" w:color="auto"/>
              <w:bottom w:val="single" w:sz="4" w:space="0" w:color="auto"/>
              <w:right w:val="single" w:sz="4" w:space="0" w:color="auto"/>
            </w:tcBorders>
            <w:noWrap/>
            <w:vAlign w:val="bottom"/>
          </w:tcPr>
          <w:p w:rsidR="007A419F" w:rsidRPr="000773A9" w:rsidRDefault="007A419F" w:rsidP="00537689">
            <w:pPr>
              <w:keepNext/>
              <w:jc w:val="center"/>
              <w:rPr>
                <w:rFonts w:eastAsia="Arial Unicode MS"/>
                <w:b/>
                <w:szCs w:val="16"/>
              </w:rPr>
            </w:pPr>
            <w:r w:rsidRPr="000773A9">
              <w:rPr>
                <w:b/>
                <w:szCs w:val="16"/>
              </w:rPr>
              <w:t>Burden Hours</w:t>
            </w:r>
            <w:r>
              <w:rPr>
                <w:b/>
                <w:szCs w:val="16"/>
              </w:rPr>
              <w:t xml:space="preserve"> by Type of Event</w:t>
            </w:r>
          </w:p>
        </w:tc>
      </w:tr>
      <w:tr w:rsidR="007A419F" w:rsidRPr="000773A9" w:rsidTr="00533E2F">
        <w:trPr>
          <w:trHeight w:val="647"/>
          <w:jc w:val="center"/>
        </w:trPr>
        <w:tc>
          <w:tcPr>
            <w:tcW w:w="3264" w:type="dxa"/>
            <w:vMerge/>
            <w:tcBorders>
              <w:left w:val="single" w:sz="4" w:space="0" w:color="auto"/>
              <w:right w:val="nil"/>
            </w:tcBorders>
            <w:vAlign w:val="center"/>
          </w:tcPr>
          <w:p w:rsidR="007A419F" w:rsidRPr="000773A9" w:rsidRDefault="007A419F" w:rsidP="00537689">
            <w:pPr>
              <w:keepNext/>
              <w:rPr>
                <w:rFonts w:eastAsia="Arial Unicode MS"/>
                <w:b/>
                <w:bCs/>
                <w:szCs w:val="16"/>
              </w:rPr>
            </w:pPr>
          </w:p>
        </w:tc>
        <w:tc>
          <w:tcPr>
            <w:tcW w:w="2047" w:type="dxa"/>
            <w:gridSpan w:val="2"/>
            <w:tcBorders>
              <w:top w:val="nil"/>
              <w:left w:val="single" w:sz="4" w:space="0" w:color="auto"/>
              <w:bottom w:val="single" w:sz="4" w:space="0" w:color="auto"/>
              <w:right w:val="single" w:sz="4" w:space="0" w:color="auto"/>
            </w:tcBorders>
            <w:vAlign w:val="center"/>
          </w:tcPr>
          <w:p w:rsidR="007A419F" w:rsidRPr="000773A9" w:rsidRDefault="007A419F" w:rsidP="00537689">
            <w:pPr>
              <w:keepNext/>
              <w:jc w:val="center"/>
              <w:rPr>
                <w:b/>
                <w:bCs/>
              </w:rPr>
            </w:pPr>
            <w:r w:rsidRPr="000773A9">
              <w:rPr>
                <w:b/>
                <w:bCs/>
              </w:rPr>
              <w:t>Owner-Occupied Events</w:t>
            </w:r>
          </w:p>
        </w:tc>
        <w:tc>
          <w:tcPr>
            <w:tcW w:w="2048" w:type="dxa"/>
            <w:gridSpan w:val="2"/>
            <w:tcBorders>
              <w:top w:val="nil"/>
              <w:left w:val="single" w:sz="4" w:space="0" w:color="auto"/>
              <w:bottom w:val="single" w:sz="4" w:space="0" w:color="auto"/>
              <w:right w:val="single" w:sz="4" w:space="0" w:color="auto"/>
            </w:tcBorders>
            <w:vAlign w:val="center"/>
          </w:tcPr>
          <w:p w:rsidR="007A419F" w:rsidRPr="000773A9" w:rsidRDefault="007A419F" w:rsidP="00537689">
            <w:pPr>
              <w:keepNext/>
              <w:jc w:val="center"/>
              <w:rPr>
                <w:b/>
                <w:bCs/>
              </w:rPr>
            </w:pPr>
            <w:r w:rsidRPr="000773A9">
              <w:rPr>
                <w:b/>
                <w:bCs/>
              </w:rPr>
              <w:t xml:space="preserve">Rental Events </w:t>
            </w:r>
            <w:r>
              <w:rPr>
                <w:b/>
                <w:bCs/>
              </w:rPr>
              <w:t>–</w:t>
            </w:r>
            <w:r w:rsidRPr="000773A9">
              <w:rPr>
                <w:b/>
                <w:bCs/>
              </w:rPr>
              <w:t xml:space="preserve"> </w:t>
            </w:r>
            <w:r>
              <w:rPr>
                <w:b/>
                <w:bCs/>
              </w:rPr>
              <w:t>Occupied Units</w:t>
            </w:r>
          </w:p>
        </w:tc>
        <w:tc>
          <w:tcPr>
            <w:tcW w:w="2048" w:type="dxa"/>
            <w:gridSpan w:val="2"/>
            <w:tcBorders>
              <w:top w:val="nil"/>
              <w:left w:val="nil"/>
              <w:bottom w:val="single" w:sz="4" w:space="0" w:color="auto"/>
              <w:right w:val="single" w:sz="4" w:space="0" w:color="auto"/>
            </w:tcBorders>
            <w:vAlign w:val="center"/>
          </w:tcPr>
          <w:p w:rsidR="007A419F" w:rsidRPr="000773A9" w:rsidRDefault="007A419F" w:rsidP="00537689">
            <w:pPr>
              <w:keepNext/>
              <w:jc w:val="center"/>
              <w:rPr>
                <w:b/>
                <w:bCs/>
              </w:rPr>
            </w:pPr>
            <w:r w:rsidRPr="000773A9">
              <w:rPr>
                <w:b/>
                <w:bCs/>
              </w:rPr>
              <w:t xml:space="preserve">Rental Events </w:t>
            </w:r>
            <w:r>
              <w:rPr>
                <w:b/>
                <w:bCs/>
              </w:rPr>
              <w:t>–</w:t>
            </w:r>
            <w:r w:rsidRPr="000773A9">
              <w:rPr>
                <w:b/>
                <w:bCs/>
              </w:rPr>
              <w:t xml:space="preserve"> </w:t>
            </w:r>
            <w:r>
              <w:rPr>
                <w:b/>
                <w:bCs/>
              </w:rPr>
              <w:t xml:space="preserve">Vacant Units &amp; </w:t>
            </w:r>
            <w:r w:rsidRPr="00987917">
              <w:rPr>
                <w:b/>
                <w:bCs/>
              </w:rPr>
              <w:t>Common</w:t>
            </w:r>
            <w:r w:rsidRPr="000773A9">
              <w:rPr>
                <w:b/>
                <w:bCs/>
              </w:rPr>
              <w:t xml:space="preserve"> Area</w:t>
            </w:r>
            <w:r>
              <w:rPr>
                <w:b/>
                <w:bCs/>
              </w:rPr>
              <w:t>s</w:t>
            </w:r>
          </w:p>
        </w:tc>
      </w:tr>
      <w:tr w:rsidR="007A419F" w:rsidRPr="000773A9" w:rsidTr="00533E2F">
        <w:trPr>
          <w:trHeight w:val="255"/>
          <w:jc w:val="center"/>
        </w:trPr>
        <w:tc>
          <w:tcPr>
            <w:tcW w:w="3264" w:type="dxa"/>
            <w:vMerge/>
            <w:tcBorders>
              <w:left w:val="single" w:sz="4" w:space="0" w:color="auto"/>
              <w:bottom w:val="single" w:sz="4" w:space="0" w:color="auto"/>
              <w:right w:val="single" w:sz="4" w:space="0" w:color="auto"/>
            </w:tcBorders>
            <w:vAlign w:val="center"/>
          </w:tcPr>
          <w:p w:rsidR="007A419F" w:rsidRPr="000773A9" w:rsidRDefault="007A419F" w:rsidP="00537689">
            <w:pPr>
              <w:keepNext/>
            </w:pPr>
          </w:p>
        </w:tc>
        <w:tc>
          <w:tcPr>
            <w:tcW w:w="1023" w:type="dxa"/>
            <w:tcBorders>
              <w:top w:val="nil"/>
              <w:left w:val="nil"/>
              <w:bottom w:val="single" w:sz="4" w:space="0" w:color="auto"/>
              <w:right w:val="single" w:sz="4" w:space="0" w:color="auto"/>
            </w:tcBorders>
            <w:noWrap/>
            <w:vAlign w:val="center"/>
          </w:tcPr>
          <w:p w:rsidR="007A419F" w:rsidRPr="007A419F" w:rsidRDefault="007A419F" w:rsidP="009254D7">
            <w:pPr>
              <w:keepNext/>
              <w:jc w:val="center"/>
              <w:rPr>
                <w:b/>
              </w:rPr>
            </w:pPr>
            <w:r w:rsidRPr="007A419F">
              <w:rPr>
                <w:b/>
              </w:rPr>
              <w:t>Number of Activities</w:t>
            </w:r>
          </w:p>
          <w:p w:rsidR="007A419F" w:rsidRPr="007A419F" w:rsidRDefault="007A419F" w:rsidP="009254D7">
            <w:pPr>
              <w:keepNext/>
              <w:jc w:val="center"/>
              <w:rPr>
                <w:b/>
              </w:rPr>
            </w:pPr>
            <w:r w:rsidRPr="007A419F">
              <w:rPr>
                <w:b/>
              </w:rPr>
              <w:t>per event</w:t>
            </w:r>
          </w:p>
        </w:tc>
        <w:tc>
          <w:tcPr>
            <w:tcW w:w="1024" w:type="dxa"/>
            <w:tcBorders>
              <w:top w:val="nil"/>
              <w:left w:val="nil"/>
              <w:bottom w:val="single" w:sz="4" w:space="0" w:color="auto"/>
              <w:right w:val="single" w:sz="4" w:space="0" w:color="auto"/>
            </w:tcBorders>
            <w:vAlign w:val="center"/>
          </w:tcPr>
          <w:p w:rsidR="007A419F" w:rsidRPr="007A419F" w:rsidRDefault="007A419F" w:rsidP="00537689">
            <w:pPr>
              <w:keepNext/>
              <w:jc w:val="center"/>
              <w:rPr>
                <w:b/>
              </w:rPr>
            </w:pPr>
            <w:r w:rsidRPr="007A419F">
              <w:rPr>
                <w:b/>
              </w:rPr>
              <w:t>Burden per event</w:t>
            </w:r>
          </w:p>
        </w:tc>
        <w:tc>
          <w:tcPr>
            <w:tcW w:w="1024" w:type="dxa"/>
            <w:tcBorders>
              <w:top w:val="nil"/>
              <w:left w:val="nil"/>
              <w:bottom w:val="single" w:sz="4" w:space="0" w:color="auto"/>
              <w:right w:val="single" w:sz="4" w:space="0" w:color="auto"/>
            </w:tcBorders>
            <w:vAlign w:val="center"/>
          </w:tcPr>
          <w:p w:rsidR="007A419F" w:rsidRPr="007A419F" w:rsidRDefault="007A419F" w:rsidP="009254D7">
            <w:pPr>
              <w:keepNext/>
              <w:jc w:val="center"/>
              <w:rPr>
                <w:b/>
              </w:rPr>
            </w:pPr>
            <w:r w:rsidRPr="007A419F">
              <w:rPr>
                <w:b/>
              </w:rPr>
              <w:t>Number of Activities per event</w:t>
            </w:r>
          </w:p>
        </w:tc>
        <w:tc>
          <w:tcPr>
            <w:tcW w:w="1024" w:type="dxa"/>
            <w:tcBorders>
              <w:top w:val="nil"/>
              <w:left w:val="nil"/>
              <w:bottom w:val="single" w:sz="4" w:space="0" w:color="auto"/>
              <w:right w:val="single" w:sz="4" w:space="0" w:color="auto"/>
            </w:tcBorders>
            <w:vAlign w:val="center"/>
          </w:tcPr>
          <w:p w:rsidR="007A419F" w:rsidRPr="007A419F" w:rsidRDefault="007A419F" w:rsidP="00537689">
            <w:pPr>
              <w:keepNext/>
              <w:jc w:val="center"/>
              <w:rPr>
                <w:b/>
              </w:rPr>
            </w:pPr>
            <w:r w:rsidRPr="007A419F">
              <w:rPr>
                <w:b/>
              </w:rPr>
              <w:t>Burden per event</w:t>
            </w:r>
          </w:p>
        </w:tc>
        <w:tc>
          <w:tcPr>
            <w:tcW w:w="1024" w:type="dxa"/>
            <w:tcBorders>
              <w:top w:val="nil"/>
              <w:left w:val="nil"/>
              <w:bottom w:val="single" w:sz="4" w:space="0" w:color="auto"/>
              <w:right w:val="single" w:sz="4" w:space="0" w:color="auto"/>
            </w:tcBorders>
            <w:noWrap/>
            <w:vAlign w:val="center"/>
          </w:tcPr>
          <w:p w:rsidR="007A419F" w:rsidRPr="007A419F" w:rsidRDefault="007A419F" w:rsidP="009254D7">
            <w:pPr>
              <w:keepNext/>
              <w:jc w:val="center"/>
              <w:rPr>
                <w:b/>
              </w:rPr>
            </w:pPr>
            <w:r w:rsidRPr="007A419F">
              <w:rPr>
                <w:b/>
              </w:rPr>
              <w:t>Number of Activities per event</w:t>
            </w:r>
          </w:p>
        </w:tc>
        <w:tc>
          <w:tcPr>
            <w:tcW w:w="1024" w:type="dxa"/>
            <w:tcBorders>
              <w:top w:val="nil"/>
              <w:left w:val="nil"/>
              <w:bottom w:val="single" w:sz="4" w:space="0" w:color="auto"/>
              <w:right w:val="single" w:sz="4" w:space="0" w:color="auto"/>
            </w:tcBorders>
            <w:vAlign w:val="center"/>
          </w:tcPr>
          <w:p w:rsidR="007A419F" w:rsidRPr="007A419F" w:rsidRDefault="007A419F" w:rsidP="00537689">
            <w:pPr>
              <w:keepNext/>
              <w:jc w:val="center"/>
              <w:rPr>
                <w:b/>
              </w:rPr>
            </w:pPr>
            <w:r w:rsidRPr="007A419F">
              <w:rPr>
                <w:b/>
              </w:rPr>
              <w:t>Burden per event</w:t>
            </w:r>
          </w:p>
        </w:tc>
      </w:tr>
      <w:tr w:rsidR="00DA3953" w:rsidRPr="000773A9" w:rsidTr="007A419F">
        <w:trPr>
          <w:trHeight w:val="255"/>
          <w:jc w:val="center"/>
        </w:trPr>
        <w:tc>
          <w:tcPr>
            <w:tcW w:w="3264" w:type="dxa"/>
            <w:tcBorders>
              <w:top w:val="nil"/>
              <w:left w:val="single" w:sz="4" w:space="0" w:color="auto"/>
              <w:bottom w:val="single" w:sz="4" w:space="0" w:color="auto"/>
              <w:right w:val="single" w:sz="4" w:space="0" w:color="auto"/>
            </w:tcBorders>
            <w:vAlign w:val="bottom"/>
          </w:tcPr>
          <w:p w:rsidR="00DA3953" w:rsidRPr="000773A9" w:rsidRDefault="00DA3953" w:rsidP="00EB2350">
            <w:pPr>
              <w:keepNext/>
            </w:pPr>
            <w:r w:rsidRPr="000773A9">
              <w:t>Photocopy</w:t>
            </w:r>
            <w:r>
              <w:t>/Print</w:t>
            </w:r>
            <w:r w:rsidRPr="000773A9">
              <w:t xml:space="preserve"> </w:t>
            </w:r>
            <w:r>
              <w:t>P</w:t>
            </w:r>
            <w:r w:rsidRPr="000773A9">
              <w:t>amphlet</w:t>
            </w:r>
          </w:p>
        </w:tc>
        <w:tc>
          <w:tcPr>
            <w:tcW w:w="1023" w:type="dxa"/>
            <w:tcBorders>
              <w:top w:val="nil"/>
              <w:left w:val="nil"/>
              <w:bottom w:val="single" w:sz="4" w:space="0" w:color="auto"/>
              <w:right w:val="single" w:sz="4" w:space="0" w:color="auto"/>
            </w:tcBorders>
            <w:noWrap/>
            <w:vAlign w:val="center"/>
          </w:tcPr>
          <w:p w:rsidR="00DA3953" w:rsidRPr="000773A9" w:rsidRDefault="00DA3953" w:rsidP="00DA3953">
            <w:pPr>
              <w:keepNext/>
              <w:jc w:val="center"/>
            </w:pPr>
            <w:r>
              <w:t>1</w:t>
            </w:r>
          </w:p>
        </w:tc>
        <w:tc>
          <w:tcPr>
            <w:tcW w:w="1024" w:type="dxa"/>
            <w:tcBorders>
              <w:top w:val="nil"/>
              <w:left w:val="nil"/>
              <w:bottom w:val="single" w:sz="4" w:space="0" w:color="auto"/>
              <w:right w:val="single" w:sz="4" w:space="0" w:color="auto"/>
            </w:tcBorders>
            <w:vAlign w:val="center"/>
          </w:tcPr>
          <w:p w:rsidR="00DA3953" w:rsidRPr="000773A9" w:rsidRDefault="00DA3953" w:rsidP="00DA3953">
            <w:pPr>
              <w:keepNext/>
              <w:jc w:val="center"/>
            </w:pPr>
            <w:r>
              <w:t>0.033</w:t>
            </w:r>
          </w:p>
        </w:tc>
        <w:tc>
          <w:tcPr>
            <w:tcW w:w="1024" w:type="dxa"/>
            <w:tcBorders>
              <w:top w:val="nil"/>
              <w:left w:val="nil"/>
              <w:bottom w:val="single" w:sz="4" w:space="0" w:color="auto"/>
              <w:right w:val="single" w:sz="4" w:space="0" w:color="auto"/>
            </w:tcBorders>
            <w:vAlign w:val="center"/>
          </w:tcPr>
          <w:p w:rsidR="00DA3953" w:rsidRPr="000773A9" w:rsidRDefault="00DA3953" w:rsidP="00DA3953">
            <w:pPr>
              <w:keepNext/>
              <w:jc w:val="center"/>
            </w:pPr>
            <w:r>
              <w:t>2</w:t>
            </w:r>
          </w:p>
        </w:tc>
        <w:tc>
          <w:tcPr>
            <w:tcW w:w="1024" w:type="dxa"/>
            <w:tcBorders>
              <w:top w:val="nil"/>
              <w:left w:val="nil"/>
              <w:bottom w:val="single" w:sz="4" w:space="0" w:color="auto"/>
              <w:right w:val="single" w:sz="4" w:space="0" w:color="auto"/>
            </w:tcBorders>
            <w:vAlign w:val="center"/>
          </w:tcPr>
          <w:p w:rsidR="00DA3953" w:rsidRPr="000773A9" w:rsidRDefault="00DA3953" w:rsidP="00DA3953">
            <w:pPr>
              <w:keepNext/>
              <w:jc w:val="center"/>
            </w:pPr>
            <w:r>
              <w:t>0.066</w:t>
            </w:r>
          </w:p>
        </w:tc>
        <w:tc>
          <w:tcPr>
            <w:tcW w:w="1024" w:type="dxa"/>
            <w:tcBorders>
              <w:top w:val="nil"/>
              <w:left w:val="nil"/>
              <w:bottom w:val="single" w:sz="4" w:space="0" w:color="auto"/>
              <w:right w:val="single" w:sz="4" w:space="0" w:color="auto"/>
            </w:tcBorders>
            <w:noWrap/>
            <w:vAlign w:val="center"/>
          </w:tcPr>
          <w:p w:rsidR="00DA3953" w:rsidRPr="000773A9" w:rsidRDefault="00DA3953" w:rsidP="00DA3953">
            <w:pPr>
              <w:keepNext/>
              <w:jc w:val="center"/>
            </w:pPr>
            <w:r>
              <w:t>1</w:t>
            </w:r>
          </w:p>
        </w:tc>
        <w:tc>
          <w:tcPr>
            <w:tcW w:w="1024" w:type="dxa"/>
            <w:tcBorders>
              <w:top w:val="nil"/>
              <w:left w:val="nil"/>
              <w:bottom w:val="single" w:sz="4" w:space="0" w:color="auto"/>
              <w:right w:val="single" w:sz="4" w:space="0" w:color="auto"/>
            </w:tcBorders>
            <w:vAlign w:val="center"/>
          </w:tcPr>
          <w:p w:rsidR="00DA3953" w:rsidRPr="000773A9" w:rsidRDefault="00DA3953" w:rsidP="00DA3953">
            <w:pPr>
              <w:keepNext/>
              <w:jc w:val="center"/>
            </w:pPr>
            <w:r>
              <w:t>0.033</w:t>
            </w:r>
          </w:p>
        </w:tc>
      </w:tr>
      <w:tr w:rsidR="00795D0F" w:rsidRPr="000773A9" w:rsidTr="007A419F">
        <w:trPr>
          <w:trHeight w:val="255"/>
          <w:jc w:val="center"/>
        </w:trPr>
        <w:tc>
          <w:tcPr>
            <w:tcW w:w="3264" w:type="dxa"/>
            <w:tcBorders>
              <w:top w:val="nil"/>
              <w:left w:val="single" w:sz="4" w:space="0" w:color="auto"/>
              <w:bottom w:val="single" w:sz="4" w:space="0" w:color="auto"/>
              <w:right w:val="single" w:sz="4" w:space="0" w:color="auto"/>
            </w:tcBorders>
            <w:vAlign w:val="bottom"/>
          </w:tcPr>
          <w:p w:rsidR="00795D0F" w:rsidRPr="000773A9" w:rsidRDefault="00795D0F" w:rsidP="00537689">
            <w:pPr>
              <w:keepNext/>
            </w:pPr>
            <w:r w:rsidRPr="000773A9">
              <w:t>Preparing Acknowledgement</w:t>
            </w:r>
            <w:r w:rsidR="00DA3953">
              <w:t xml:space="preserve"> Sheet</w:t>
            </w:r>
          </w:p>
        </w:tc>
        <w:tc>
          <w:tcPr>
            <w:tcW w:w="1023" w:type="dxa"/>
            <w:tcBorders>
              <w:top w:val="nil"/>
              <w:left w:val="nil"/>
              <w:bottom w:val="single" w:sz="4" w:space="0" w:color="auto"/>
              <w:right w:val="single" w:sz="4" w:space="0" w:color="auto"/>
            </w:tcBorders>
            <w:noWrap/>
            <w:vAlign w:val="center"/>
          </w:tcPr>
          <w:p w:rsidR="00795D0F" w:rsidRPr="000773A9" w:rsidRDefault="00795D0F" w:rsidP="00DA3953">
            <w:pPr>
              <w:keepNext/>
              <w:jc w:val="center"/>
            </w:pPr>
            <w:r>
              <w:t>1</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0.033</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2</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0.066</w:t>
            </w:r>
          </w:p>
        </w:tc>
        <w:tc>
          <w:tcPr>
            <w:tcW w:w="1024" w:type="dxa"/>
            <w:tcBorders>
              <w:top w:val="nil"/>
              <w:left w:val="nil"/>
              <w:bottom w:val="single" w:sz="4" w:space="0" w:color="auto"/>
              <w:right w:val="single" w:sz="4" w:space="0" w:color="auto"/>
            </w:tcBorders>
            <w:noWrap/>
            <w:vAlign w:val="center"/>
          </w:tcPr>
          <w:p w:rsidR="00795D0F" w:rsidRPr="000773A9" w:rsidRDefault="00795D0F" w:rsidP="00DA3953">
            <w:pPr>
              <w:keepNext/>
              <w:jc w:val="center"/>
            </w:pPr>
            <w:r>
              <w:t>1</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0.033</w:t>
            </w:r>
          </w:p>
        </w:tc>
      </w:tr>
      <w:tr w:rsidR="00795D0F" w:rsidRPr="000773A9" w:rsidTr="007A419F">
        <w:trPr>
          <w:trHeight w:val="255"/>
          <w:jc w:val="center"/>
        </w:trPr>
        <w:tc>
          <w:tcPr>
            <w:tcW w:w="3264" w:type="dxa"/>
            <w:tcBorders>
              <w:top w:val="nil"/>
              <w:left w:val="single" w:sz="4" w:space="0" w:color="auto"/>
              <w:bottom w:val="single" w:sz="4" w:space="0" w:color="auto"/>
              <w:right w:val="single" w:sz="4" w:space="0" w:color="auto"/>
            </w:tcBorders>
            <w:vAlign w:val="bottom"/>
          </w:tcPr>
          <w:p w:rsidR="00795D0F" w:rsidRPr="000773A9" w:rsidRDefault="00795D0F" w:rsidP="00DA3953">
            <w:pPr>
              <w:keepNext/>
            </w:pPr>
            <w:r w:rsidRPr="000773A9">
              <w:t>Distribution of Pamphlet</w:t>
            </w:r>
            <w:r w:rsidR="00DA3953">
              <w:t xml:space="preserve"> to Owners/Occupants</w:t>
            </w:r>
          </w:p>
        </w:tc>
        <w:tc>
          <w:tcPr>
            <w:tcW w:w="1023" w:type="dxa"/>
            <w:tcBorders>
              <w:top w:val="nil"/>
              <w:left w:val="nil"/>
              <w:bottom w:val="single" w:sz="4" w:space="0" w:color="auto"/>
              <w:right w:val="single" w:sz="4" w:space="0" w:color="auto"/>
            </w:tcBorders>
            <w:noWrap/>
            <w:vAlign w:val="center"/>
          </w:tcPr>
          <w:p w:rsidR="00795D0F" w:rsidRPr="000773A9" w:rsidRDefault="00795D0F" w:rsidP="00DA3953">
            <w:pPr>
              <w:keepNext/>
              <w:jc w:val="center"/>
            </w:pPr>
            <w:r>
              <w:t>1</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0.033</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2</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0.066</w:t>
            </w:r>
          </w:p>
        </w:tc>
        <w:tc>
          <w:tcPr>
            <w:tcW w:w="1024" w:type="dxa"/>
            <w:tcBorders>
              <w:top w:val="nil"/>
              <w:left w:val="nil"/>
              <w:bottom w:val="single" w:sz="4" w:space="0" w:color="auto"/>
              <w:right w:val="single" w:sz="4" w:space="0" w:color="auto"/>
            </w:tcBorders>
            <w:noWrap/>
            <w:vAlign w:val="center"/>
          </w:tcPr>
          <w:p w:rsidR="00795D0F" w:rsidRPr="000773A9" w:rsidRDefault="00795D0F" w:rsidP="00DA3953">
            <w:pPr>
              <w:keepNext/>
              <w:jc w:val="center"/>
            </w:pPr>
            <w:r>
              <w:t>1</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0.033</w:t>
            </w:r>
          </w:p>
        </w:tc>
      </w:tr>
      <w:tr w:rsidR="00795D0F" w:rsidRPr="000773A9" w:rsidTr="007A419F">
        <w:trPr>
          <w:trHeight w:val="255"/>
          <w:jc w:val="center"/>
        </w:trPr>
        <w:tc>
          <w:tcPr>
            <w:tcW w:w="3264" w:type="dxa"/>
            <w:tcBorders>
              <w:top w:val="nil"/>
              <w:left w:val="single" w:sz="4" w:space="0" w:color="auto"/>
              <w:bottom w:val="single" w:sz="4" w:space="0" w:color="auto"/>
              <w:right w:val="single" w:sz="4" w:space="0" w:color="auto"/>
            </w:tcBorders>
            <w:vAlign w:val="bottom"/>
          </w:tcPr>
          <w:p w:rsidR="00795D0F" w:rsidRPr="000773A9" w:rsidRDefault="00795D0F" w:rsidP="00537689">
            <w:pPr>
              <w:keepNext/>
            </w:pPr>
            <w:r w:rsidRPr="000773A9">
              <w:t>Filing and Retaining Acknowledgement</w:t>
            </w:r>
            <w:r w:rsidR="00C45019">
              <w:t xml:space="preserve"> and Steps Taken for Common Area Notification</w:t>
            </w:r>
          </w:p>
        </w:tc>
        <w:tc>
          <w:tcPr>
            <w:tcW w:w="1023" w:type="dxa"/>
            <w:tcBorders>
              <w:top w:val="nil"/>
              <w:left w:val="nil"/>
              <w:bottom w:val="single" w:sz="4" w:space="0" w:color="auto"/>
              <w:right w:val="single" w:sz="4" w:space="0" w:color="auto"/>
            </w:tcBorders>
            <w:noWrap/>
            <w:vAlign w:val="center"/>
          </w:tcPr>
          <w:p w:rsidR="00795D0F" w:rsidRPr="000773A9" w:rsidRDefault="00795D0F" w:rsidP="00DA3953">
            <w:pPr>
              <w:keepNext/>
              <w:jc w:val="center"/>
            </w:pPr>
            <w:r>
              <w:t>1</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0.083</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1</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0.083</w:t>
            </w:r>
          </w:p>
        </w:tc>
        <w:tc>
          <w:tcPr>
            <w:tcW w:w="1024" w:type="dxa"/>
            <w:tcBorders>
              <w:top w:val="nil"/>
              <w:left w:val="nil"/>
              <w:bottom w:val="single" w:sz="4" w:space="0" w:color="auto"/>
              <w:right w:val="single" w:sz="4" w:space="0" w:color="auto"/>
            </w:tcBorders>
            <w:noWrap/>
            <w:vAlign w:val="center"/>
          </w:tcPr>
          <w:p w:rsidR="00795D0F" w:rsidRPr="000773A9" w:rsidRDefault="00795D0F" w:rsidP="00DA3953">
            <w:pPr>
              <w:keepNext/>
              <w:jc w:val="center"/>
            </w:pPr>
            <w:r>
              <w:t>1</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0.083</w:t>
            </w:r>
          </w:p>
        </w:tc>
      </w:tr>
      <w:tr w:rsidR="00DA3953" w:rsidRPr="000773A9" w:rsidTr="007A419F">
        <w:trPr>
          <w:trHeight w:val="255"/>
          <w:jc w:val="center"/>
        </w:trPr>
        <w:tc>
          <w:tcPr>
            <w:tcW w:w="9407" w:type="dxa"/>
            <w:gridSpan w:val="7"/>
            <w:tcBorders>
              <w:top w:val="nil"/>
              <w:left w:val="single" w:sz="4" w:space="0" w:color="auto"/>
              <w:bottom w:val="single" w:sz="4" w:space="0" w:color="auto"/>
              <w:right w:val="single" w:sz="4" w:space="0" w:color="auto"/>
            </w:tcBorders>
            <w:vAlign w:val="bottom"/>
          </w:tcPr>
          <w:p w:rsidR="00DA3953" w:rsidRDefault="0029732B" w:rsidP="00DA3953">
            <w:pPr>
              <w:keepNext/>
              <w:jc w:val="center"/>
            </w:pPr>
            <w:r>
              <w:t xml:space="preserve">Other </w:t>
            </w:r>
            <w:r w:rsidR="00C45019">
              <w:t xml:space="preserve">Activities for </w:t>
            </w:r>
            <w:r w:rsidR="00DA3953">
              <w:t>Common Area/Unoccupied Events</w:t>
            </w:r>
          </w:p>
        </w:tc>
      </w:tr>
      <w:tr w:rsidR="00795D0F" w:rsidRPr="000773A9" w:rsidTr="007A419F">
        <w:trPr>
          <w:trHeight w:val="255"/>
          <w:jc w:val="center"/>
        </w:trPr>
        <w:tc>
          <w:tcPr>
            <w:tcW w:w="3264" w:type="dxa"/>
            <w:tcBorders>
              <w:top w:val="nil"/>
              <w:left w:val="single" w:sz="4" w:space="0" w:color="auto"/>
              <w:bottom w:val="single" w:sz="4" w:space="0" w:color="auto"/>
              <w:right w:val="single" w:sz="4" w:space="0" w:color="auto"/>
            </w:tcBorders>
            <w:vAlign w:val="bottom"/>
          </w:tcPr>
          <w:p w:rsidR="00795D0F" w:rsidRPr="000773A9" w:rsidRDefault="00C45019" w:rsidP="00537689">
            <w:pPr>
              <w:keepNext/>
            </w:pPr>
            <w:r>
              <w:t>Prepare/Post</w:t>
            </w:r>
            <w:r w:rsidRPr="000773A9">
              <w:t xml:space="preserve"> </w:t>
            </w:r>
            <w:r w:rsidR="00DA3953">
              <w:t>P</w:t>
            </w:r>
            <w:r w:rsidR="00795D0F" w:rsidRPr="000773A9">
              <w:t>amphlet</w:t>
            </w:r>
            <w:r w:rsidR="00DA3953">
              <w:t xml:space="preserve"> and Job-Specific Information</w:t>
            </w:r>
          </w:p>
        </w:tc>
        <w:tc>
          <w:tcPr>
            <w:tcW w:w="1023" w:type="dxa"/>
            <w:tcBorders>
              <w:top w:val="nil"/>
              <w:left w:val="nil"/>
              <w:bottom w:val="single" w:sz="4" w:space="0" w:color="auto"/>
              <w:right w:val="single" w:sz="4" w:space="0" w:color="auto"/>
            </w:tcBorders>
            <w:noWrap/>
            <w:vAlign w:val="center"/>
          </w:tcPr>
          <w:p w:rsidR="00795D0F" w:rsidRPr="000773A9" w:rsidRDefault="00795D0F" w:rsidP="00DA3953">
            <w:pPr>
              <w:keepNext/>
              <w:jc w:val="center"/>
            </w:pPr>
            <w:r>
              <w:t>-</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w:t>
            </w:r>
          </w:p>
        </w:tc>
        <w:tc>
          <w:tcPr>
            <w:tcW w:w="1024" w:type="dxa"/>
            <w:tcBorders>
              <w:top w:val="nil"/>
              <w:left w:val="nil"/>
              <w:bottom w:val="single" w:sz="4" w:space="0" w:color="auto"/>
              <w:right w:val="single" w:sz="4" w:space="0" w:color="auto"/>
            </w:tcBorders>
            <w:noWrap/>
            <w:vAlign w:val="center"/>
          </w:tcPr>
          <w:p w:rsidR="00795D0F" w:rsidRPr="000773A9" w:rsidRDefault="00795D0F" w:rsidP="00DA3953">
            <w:pPr>
              <w:keepNext/>
              <w:jc w:val="center"/>
            </w:pPr>
            <w:r>
              <w:t>1</w:t>
            </w:r>
          </w:p>
        </w:tc>
        <w:tc>
          <w:tcPr>
            <w:tcW w:w="1024" w:type="dxa"/>
            <w:tcBorders>
              <w:top w:val="nil"/>
              <w:left w:val="nil"/>
              <w:bottom w:val="single" w:sz="4" w:space="0" w:color="auto"/>
              <w:right w:val="single" w:sz="4" w:space="0" w:color="auto"/>
            </w:tcBorders>
            <w:vAlign w:val="center"/>
          </w:tcPr>
          <w:p w:rsidR="00795D0F" w:rsidRPr="000773A9" w:rsidRDefault="00795D0F" w:rsidP="00DA3953">
            <w:pPr>
              <w:keepNext/>
              <w:jc w:val="center"/>
            </w:pPr>
            <w:r>
              <w:t>0.083</w:t>
            </w:r>
          </w:p>
        </w:tc>
      </w:tr>
      <w:tr w:rsidR="00870639" w:rsidRPr="000773A9" w:rsidTr="007A419F">
        <w:trPr>
          <w:trHeight w:val="255"/>
          <w:jc w:val="center"/>
        </w:trPr>
        <w:tc>
          <w:tcPr>
            <w:tcW w:w="3264" w:type="dxa"/>
            <w:tcBorders>
              <w:top w:val="nil"/>
              <w:left w:val="single" w:sz="4" w:space="0" w:color="auto"/>
              <w:bottom w:val="single" w:sz="4" w:space="0" w:color="auto"/>
              <w:right w:val="single" w:sz="4" w:space="0" w:color="auto"/>
            </w:tcBorders>
            <w:noWrap/>
            <w:vAlign w:val="bottom"/>
          </w:tcPr>
          <w:p w:rsidR="00870639" w:rsidRPr="000773A9" w:rsidRDefault="00870639" w:rsidP="00537689">
            <w:pPr>
              <w:keepNext/>
              <w:rPr>
                <w:b/>
                <w:bCs/>
              </w:rPr>
            </w:pPr>
            <w:r w:rsidRPr="000773A9">
              <w:rPr>
                <w:b/>
                <w:bCs/>
              </w:rPr>
              <w:t>Total</w:t>
            </w:r>
          </w:p>
        </w:tc>
        <w:tc>
          <w:tcPr>
            <w:tcW w:w="1023" w:type="dxa"/>
            <w:tcBorders>
              <w:top w:val="nil"/>
              <w:left w:val="nil"/>
              <w:bottom w:val="single" w:sz="4" w:space="0" w:color="auto"/>
              <w:right w:val="single" w:sz="4" w:space="0" w:color="auto"/>
            </w:tcBorders>
            <w:noWrap/>
            <w:vAlign w:val="center"/>
          </w:tcPr>
          <w:p w:rsidR="00870639" w:rsidRPr="000773A9" w:rsidRDefault="00870639" w:rsidP="00DA3953">
            <w:pPr>
              <w:keepNext/>
              <w:jc w:val="center"/>
              <w:rPr>
                <w:b/>
                <w:bCs/>
              </w:rPr>
            </w:pPr>
          </w:p>
        </w:tc>
        <w:tc>
          <w:tcPr>
            <w:tcW w:w="1024" w:type="dxa"/>
            <w:tcBorders>
              <w:top w:val="nil"/>
              <w:left w:val="nil"/>
              <w:bottom w:val="single" w:sz="4" w:space="0" w:color="auto"/>
              <w:right w:val="single" w:sz="4" w:space="0" w:color="auto"/>
            </w:tcBorders>
            <w:vAlign w:val="center"/>
          </w:tcPr>
          <w:p w:rsidR="00870639" w:rsidRPr="000773A9" w:rsidRDefault="00870639" w:rsidP="00DA3953">
            <w:pPr>
              <w:keepNext/>
              <w:jc w:val="center"/>
              <w:rPr>
                <w:b/>
                <w:bCs/>
              </w:rPr>
            </w:pPr>
            <w:r>
              <w:rPr>
                <w:b/>
                <w:bCs/>
              </w:rPr>
              <w:t>0.182</w:t>
            </w:r>
          </w:p>
        </w:tc>
        <w:tc>
          <w:tcPr>
            <w:tcW w:w="1024" w:type="dxa"/>
            <w:tcBorders>
              <w:top w:val="nil"/>
              <w:left w:val="nil"/>
              <w:bottom w:val="single" w:sz="4" w:space="0" w:color="auto"/>
              <w:right w:val="single" w:sz="4" w:space="0" w:color="auto"/>
            </w:tcBorders>
            <w:vAlign w:val="center"/>
          </w:tcPr>
          <w:p w:rsidR="00870639" w:rsidRPr="000773A9" w:rsidRDefault="00870639" w:rsidP="00DA3953">
            <w:pPr>
              <w:keepNext/>
              <w:jc w:val="center"/>
              <w:rPr>
                <w:b/>
                <w:bCs/>
              </w:rPr>
            </w:pPr>
          </w:p>
        </w:tc>
        <w:tc>
          <w:tcPr>
            <w:tcW w:w="1024" w:type="dxa"/>
            <w:tcBorders>
              <w:top w:val="nil"/>
              <w:left w:val="nil"/>
              <w:bottom w:val="single" w:sz="4" w:space="0" w:color="auto"/>
              <w:right w:val="single" w:sz="4" w:space="0" w:color="auto"/>
            </w:tcBorders>
            <w:vAlign w:val="center"/>
          </w:tcPr>
          <w:p w:rsidR="00870639" w:rsidRPr="000773A9" w:rsidRDefault="00870639" w:rsidP="00DA3953">
            <w:pPr>
              <w:keepNext/>
              <w:jc w:val="center"/>
              <w:rPr>
                <w:b/>
                <w:bCs/>
              </w:rPr>
            </w:pPr>
            <w:r>
              <w:rPr>
                <w:b/>
                <w:bCs/>
              </w:rPr>
              <w:t>0.281</w:t>
            </w:r>
          </w:p>
        </w:tc>
        <w:tc>
          <w:tcPr>
            <w:tcW w:w="1024" w:type="dxa"/>
            <w:tcBorders>
              <w:top w:val="nil"/>
              <w:left w:val="nil"/>
              <w:bottom w:val="single" w:sz="4" w:space="0" w:color="auto"/>
              <w:right w:val="single" w:sz="4" w:space="0" w:color="auto"/>
            </w:tcBorders>
            <w:noWrap/>
            <w:vAlign w:val="center"/>
          </w:tcPr>
          <w:p w:rsidR="00870639" w:rsidRPr="000773A9" w:rsidRDefault="00870639" w:rsidP="00DA3953">
            <w:pPr>
              <w:keepNext/>
              <w:jc w:val="center"/>
              <w:rPr>
                <w:b/>
                <w:bCs/>
              </w:rPr>
            </w:pPr>
          </w:p>
        </w:tc>
        <w:tc>
          <w:tcPr>
            <w:tcW w:w="1024" w:type="dxa"/>
            <w:tcBorders>
              <w:top w:val="nil"/>
              <w:left w:val="nil"/>
              <w:bottom w:val="single" w:sz="4" w:space="0" w:color="auto"/>
              <w:right w:val="single" w:sz="4" w:space="0" w:color="auto"/>
            </w:tcBorders>
            <w:vAlign w:val="center"/>
          </w:tcPr>
          <w:p w:rsidR="00870639" w:rsidRPr="000773A9" w:rsidRDefault="00870639" w:rsidP="00DA3953">
            <w:pPr>
              <w:keepNext/>
              <w:jc w:val="center"/>
              <w:rPr>
                <w:b/>
                <w:bCs/>
              </w:rPr>
            </w:pPr>
            <w:r>
              <w:rPr>
                <w:b/>
                <w:bCs/>
              </w:rPr>
              <w:t>0.265</w:t>
            </w:r>
          </w:p>
        </w:tc>
      </w:tr>
      <w:tr w:rsidR="00EE5628" w:rsidRPr="000773A9" w:rsidTr="007A419F">
        <w:tblPrEx>
          <w:tblCellMar>
            <w:left w:w="108" w:type="dxa"/>
            <w:right w:w="108" w:type="dxa"/>
          </w:tblCellMar>
        </w:tblPrEx>
        <w:trPr>
          <w:trHeight w:val="285"/>
          <w:jc w:val="center"/>
        </w:trPr>
        <w:tc>
          <w:tcPr>
            <w:tcW w:w="9407" w:type="dxa"/>
            <w:gridSpan w:val="7"/>
          </w:tcPr>
          <w:p w:rsidR="00EE5628" w:rsidRDefault="00EE5628" w:rsidP="00537689">
            <w:pPr>
              <w:keepNext/>
              <w:rPr>
                <w:bCs/>
              </w:rPr>
            </w:pPr>
            <w:r w:rsidRPr="000773A9">
              <w:rPr>
                <w:b/>
                <w:bCs/>
              </w:rPr>
              <w:t>Note(s):</w:t>
            </w:r>
            <w:r w:rsidRPr="000773A9">
              <w:rPr>
                <w:bCs/>
              </w:rPr>
              <w:t xml:space="preserve"> </w:t>
            </w:r>
            <w:r w:rsidR="00795D0F">
              <w:rPr>
                <w:bCs/>
              </w:rPr>
              <w:t>Values rounded to 3 decimal places.</w:t>
            </w:r>
          </w:p>
          <w:p w:rsidR="00EE5628" w:rsidRPr="000773A9" w:rsidRDefault="00EE5628" w:rsidP="00537689">
            <w:pPr>
              <w:keepNext/>
              <w:rPr>
                <w:bCs/>
              </w:rPr>
            </w:pPr>
            <w:r>
              <w:rPr>
                <w:bCs/>
              </w:rPr>
              <w:t xml:space="preserve">The rule requires the </w:t>
            </w:r>
            <w:r w:rsidR="00940102">
              <w:rPr>
                <w:bCs/>
              </w:rPr>
              <w:t>firm performing renovations</w:t>
            </w:r>
            <w:r>
              <w:rPr>
                <w:bCs/>
              </w:rPr>
              <w:t xml:space="preserve"> to prepare and distribute pamphlets to the owner of the affected property.  In addition, the </w:t>
            </w:r>
            <w:r w:rsidR="00940102">
              <w:rPr>
                <w:bCs/>
              </w:rPr>
              <w:t>firm performing renovations</w:t>
            </w:r>
            <w:r>
              <w:rPr>
                <w:bCs/>
              </w:rPr>
              <w:t xml:space="preserve"> is required to distribute pamphlets to the tenant</w:t>
            </w:r>
            <w:r w:rsidR="00EF1039">
              <w:rPr>
                <w:bCs/>
              </w:rPr>
              <w:t>s</w:t>
            </w:r>
            <w:r>
              <w:rPr>
                <w:bCs/>
              </w:rPr>
              <w:t xml:space="preserve"> of </w:t>
            </w:r>
            <w:r w:rsidR="00EF53BC">
              <w:rPr>
                <w:bCs/>
              </w:rPr>
              <w:t xml:space="preserve">the </w:t>
            </w:r>
            <w:r>
              <w:rPr>
                <w:bCs/>
              </w:rPr>
              <w:t>rental propert</w:t>
            </w:r>
            <w:r w:rsidR="00EF1039">
              <w:rPr>
                <w:bCs/>
              </w:rPr>
              <w:t>ies</w:t>
            </w:r>
            <w:r>
              <w:rPr>
                <w:bCs/>
              </w:rPr>
              <w:t xml:space="preserve"> (if occupied), or post a pamphlet in the case of common area rental events.  This analysis may overestimate the time for vacant, single-unit rental events, as it assumes a sign will be posted in these cases.</w:t>
            </w:r>
          </w:p>
          <w:p w:rsidR="00EE5628" w:rsidRPr="000773A9" w:rsidRDefault="00EE5628" w:rsidP="00537689">
            <w:pPr>
              <w:keepNext/>
              <w:rPr>
                <w:rFonts w:ascii="Helv" w:hAnsi="Helv"/>
                <w:color w:val="000000"/>
              </w:rPr>
            </w:pPr>
            <w:r w:rsidRPr="000773A9">
              <w:rPr>
                <w:b/>
                <w:bCs/>
              </w:rPr>
              <w:t xml:space="preserve">Sources:  </w:t>
            </w:r>
            <w:r w:rsidRPr="000773A9">
              <w:rPr>
                <w:i/>
                <w:iCs/>
                <w:color w:val="000000"/>
              </w:rPr>
              <w:t>Supporting Statement for Lead-Based Paint Pre-Renovation Information Dissemination - TSCA Sec. 406(b)  EPA ICR No. 1669.05 (2008)</w:t>
            </w:r>
          </w:p>
        </w:tc>
      </w:tr>
    </w:tbl>
    <w:p w:rsidR="00537689" w:rsidRPr="000773A9" w:rsidRDefault="00537689" w:rsidP="00537689">
      <w:pPr>
        <w:numPr>
          <w:ilvl w:val="12"/>
          <w:numId w:val="0"/>
        </w:numPr>
        <w:rPr>
          <w:sz w:val="24"/>
          <w:szCs w:val="24"/>
        </w:rPr>
      </w:pPr>
    </w:p>
    <w:p w:rsidR="00537689" w:rsidRPr="000773A9" w:rsidRDefault="00537689" w:rsidP="00537689">
      <w:pPr>
        <w:rPr>
          <w:sz w:val="24"/>
          <w:szCs w:val="24"/>
        </w:rPr>
      </w:pPr>
      <w:r w:rsidRPr="000773A9">
        <w:rPr>
          <w:vertAlign w:val="superscript"/>
        </w:rPr>
        <w:tab/>
      </w:r>
      <w:r w:rsidRPr="0062266D">
        <w:rPr>
          <w:sz w:val="24"/>
          <w:szCs w:val="24"/>
          <w:lang w:val="en-CA"/>
        </w:rPr>
        <w:fldChar w:fldCharType="begin"/>
      </w:r>
      <w:r w:rsidRPr="0062266D">
        <w:rPr>
          <w:sz w:val="24"/>
          <w:szCs w:val="24"/>
          <w:lang w:val="en-CA"/>
        </w:rPr>
        <w:instrText xml:space="preserve"> SEQ CHAPTER \h \r 1</w:instrText>
      </w:r>
      <w:r w:rsidRPr="0062266D">
        <w:rPr>
          <w:sz w:val="24"/>
          <w:szCs w:val="24"/>
          <w:lang w:val="en-CA"/>
        </w:rPr>
        <w:fldChar w:fldCharType="end"/>
      </w:r>
      <w:r w:rsidRPr="0062266D">
        <w:rPr>
          <w:sz w:val="24"/>
          <w:szCs w:val="24"/>
        </w:rPr>
        <w:t xml:space="preserve">The </w:t>
      </w:r>
      <w:r w:rsidR="00160C32" w:rsidRPr="0062266D">
        <w:rPr>
          <w:sz w:val="24"/>
          <w:szCs w:val="24"/>
        </w:rPr>
        <w:t>r</w:t>
      </w:r>
      <w:r w:rsidRPr="0062266D">
        <w:rPr>
          <w:sz w:val="24"/>
          <w:szCs w:val="24"/>
        </w:rPr>
        <w:t>ecordkee</w:t>
      </w:r>
      <w:r w:rsidR="0004187A" w:rsidRPr="0062266D">
        <w:rPr>
          <w:sz w:val="24"/>
          <w:szCs w:val="24"/>
        </w:rPr>
        <w:t xml:space="preserve">ping </w:t>
      </w:r>
      <w:r w:rsidR="00160C32" w:rsidRPr="0062266D">
        <w:rPr>
          <w:sz w:val="24"/>
          <w:szCs w:val="24"/>
        </w:rPr>
        <w:t>b</w:t>
      </w:r>
      <w:r w:rsidR="0004187A" w:rsidRPr="0062266D">
        <w:rPr>
          <w:sz w:val="24"/>
          <w:szCs w:val="24"/>
        </w:rPr>
        <w:t xml:space="preserve">urden involves the time </w:t>
      </w:r>
      <w:r w:rsidRPr="0062266D">
        <w:rPr>
          <w:sz w:val="24"/>
          <w:szCs w:val="24"/>
        </w:rPr>
        <w:t xml:space="preserve">for meeting the </w:t>
      </w:r>
      <w:r w:rsidR="00F67650" w:rsidRPr="0062266D">
        <w:rPr>
          <w:sz w:val="24"/>
          <w:szCs w:val="24"/>
        </w:rPr>
        <w:t xml:space="preserve">pre-renovation education </w:t>
      </w:r>
      <w:r w:rsidRPr="0062266D">
        <w:rPr>
          <w:sz w:val="24"/>
          <w:szCs w:val="24"/>
        </w:rPr>
        <w:t xml:space="preserve">rule's recordkeeping requirements.  The individual recordkeeping burden for renovation contractors and property managers performing renovation work is based on the estimated total annual number of renovations performed, i.e., </w:t>
      </w:r>
      <w:r w:rsidR="004A7A09">
        <w:rPr>
          <w:sz w:val="24"/>
          <w:szCs w:val="24"/>
        </w:rPr>
        <w:t>11,159,091</w:t>
      </w:r>
      <w:r w:rsidRPr="0062266D">
        <w:rPr>
          <w:sz w:val="24"/>
          <w:szCs w:val="24"/>
        </w:rPr>
        <w:t xml:space="preserve">, and the total amount of time spent in the recordkeeping activity (approximately </w:t>
      </w:r>
      <w:r w:rsidR="00D46561">
        <w:rPr>
          <w:sz w:val="24"/>
          <w:szCs w:val="24"/>
        </w:rPr>
        <w:t>five</w:t>
      </w:r>
      <w:r w:rsidR="00EE5628" w:rsidRPr="0062266D">
        <w:rPr>
          <w:sz w:val="24"/>
          <w:szCs w:val="24"/>
        </w:rPr>
        <w:t xml:space="preserve"> </w:t>
      </w:r>
      <w:r w:rsidRPr="0062266D">
        <w:rPr>
          <w:sz w:val="24"/>
          <w:szCs w:val="24"/>
        </w:rPr>
        <w:t>minutes per event</w:t>
      </w:r>
      <w:r w:rsidR="00EE5628">
        <w:rPr>
          <w:sz w:val="24"/>
          <w:szCs w:val="24"/>
        </w:rPr>
        <w:t xml:space="preserve"> for filing and retaining the acknowledgement form</w:t>
      </w:r>
      <w:r w:rsidR="00795D0F">
        <w:rPr>
          <w:sz w:val="24"/>
          <w:szCs w:val="24"/>
        </w:rPr>
        <w:t xml:space="preserve"> and</w:t>
      </w:r>
      <w:r w:rsidR="00E85019">
        <w:rPr>
          <w:sz w:val="24"/>
          <w:szCs w:val="24"/>
        </w:rPr>
        <w:t xml:space="preserve"> if applicable, a</w:t>
      </w:r>
      <w:r w:rsidR="00795D0F">
        <w:rPr>
          <w:sz w:val="24"/>
          <w:szCs w:val="24"/>
        </w:rPr>
        <w:t xml:space="preserve"> statement of notification for common area activities</w:t>
      </w:r>
      <w:r w:rsidRPr="0062266D">
        <w:rPr>
          <w:sz w:val="24"/>
          <w:szCs w:val="24"/>
        </w:rPr>
        <w:t>).</w:t>
      </w:r>
      <w:r w:rsidR="00D430FD">
        <w:rPr>
          <w:sz w:val="24"/>
          <w:szCs w:val="24"/>
        </w:rPr>
        <w:t xml:space="preserve"> </w:t>
      </w:r>
    </w:p>
    <w:p w:rsidR="00537689" w:rsidRPr="000773A9" w:rsidRDefault="00537689" w:rsidP="00537689">
      <w:pPr>
        <w:rPr>
          <w:sz w:val="24"/>
          <w:szCs w:val="24"/>
        </w:rPr>
      </w:pPr>
    </w:p>
    <w:p w:rsidR="00537689" w:rsidRPr="000773A9" w:rsidRDefault="00537689" w:rsidP="00537689">
      <w:pPr>
        <w:rPr>
          <w:sz w:val="24"/>
          <w:szCs w:val="24"/>
        </w:rPr>
      </w:pPr>
      <w:r w:rsidRPr="000773A9">
        <w:rPr>
          <w:sz w:val="24"/>
          <w:szCs w:val="24"/>
        </w:rPr>
        <w:tab/>
      </w:r>
      <w:r w:rsidRPr="000773A9">
        <w:rPr>
          <w:sz w:val="24"/>
          <w:szCs w:val="24"/>
        </w:rPr>
        <w:fldChar w:fldCharType="begin"/>
      </w:r>
      <w:r w:rsidRPr="000773A9">
        <w:rPr>
          <w:sz w:val="24"/>
          <w:szCs w:val="24"/>
        </w:rPr>
        <w:instrText xml:space="preserve"> REF _Ref269986821 \h  \* MERGEFORMAT </w:instrText>
      </w:r>
      <w:r w:rsidRPr="000773A9">
        <w:rPr>
          <w:sz w:val="24"/>
          <w:szCs w:val="24"/>
        </w:rPr>
      </w:r>
      <w:r w:rsidRPr="000773A9">
        <w:rPr>
          <w:sz w:val="24"/>
          <w:szCs w:val="24"/>
        </w:rPr>
        <w:fldChar w:fldCharType="separate"/>
      </w:r>
      <w:r w:rsidR="00D067A1" w:rsidRPr="00D067A1">
        <w:rPr>
          <w:sz w:val="24"/>
          <w:szCs w:val="24"/>
        </w:rPr>
        <w:t>Exhibit 6.11</w:t>
      </w:r>
      <w:r w:rsidRPr="000773A9">
        <w:rPr>
          <w:sz w:val="24"/>
          <w:szCs w:val="24"/>
        </w:rPr>
        <w:fldChar w:fldCharType="end"/>
      </w:r>
      <w:r w:rsidRPr="000773A9">
        <w:rPr>
          <w:sz w:val="24"/>
          <w:szCs w:val="24"/>
        </w:rPr>
        <w:t xml:space="preserve"> presents the total estimated burden incurred by contractors and landlords in complying with the pre-renovation education requirements of </w:t>
      </w:r>
      <w:r w:rsidR="002B4D77">
        <w:rPr>
          <w:sz w:val="24"/>
          <w:szCs w:val="24"/>
        </w:rPr>
        <w:t xml:space="preserve">TSCA section </w:t>
      </w:r>
      <w:r w:rsidRPr="000773A9">
        <w:rPr>
          <w:sz w:val="24"/>
          <w:szCs w:val="24"/>
        </w:rPr>
        <w:t>406(b)</w:t>
      </w:r>
      <w:r w:rsidR="00987917">
        <w:rPr>
          <w:sz w:val="24"/>
          <w:szCs w:val="24"/>
        </w:rPr>
        <w:t xml:space="preserve"> in target </w:t>
      </w:r>
      <w:r w:rsidR="00987917">
        <w:rPr>
          <w:sz w:val="24"/>
          <w:szCs w:val="24"/>
        </w:rPr>
        <w:lastRenderedPageBreak/>
        <w:t>housing</w:t>
      </w:r>
      <w:r w:rsidRPr="000773A9">
        <w:rPr>
          <w:sz w:val="24"/>
          <w:szCs w:val="24"/>
        </w:rPr>
        <w:t xml:space="preserve">.  Total burden estimates represent the products of the total per-event burden estimates in </w:t>
      </w:r>
      <w:r w:rsidRPr="000773A9">
        <w:rPr>
          <w:sz w:val="24"/>
          <w:szCs w:val="24"/>
        </w:rPr>
        <w:fldChar w:fldCharType="begin"/>
      </w:r>
      <w:r w:rsidRPr="000773A9">
        <w:rPr>
          <w:sz w:val="24"/>
          <w:szCs w:val="24"/>
        </w:rPr>
        <w:instrText xml:space="preserve"> REF _Ref269986796 \h  \* MERGEFORMAT </w:instrText>
      </w:r>
      <w:r w:rsidRPr="000773A9">
        <w:rPr>
          <w:sz w:val="24"/>
          <w:szCs w:val="24"/>
        </w:rPr>
      </w:r>
      <w:r w:rsidRPr="000773A9">
        <w:rPr>
          <w:sz w:val="24"/>
          <w:szCs w:val="24"/>
        </w:rPr>
        <w:fldChar w:fldCharType="separate"/>
      </w:r>
      <w:r w:rsidR="00D067A1" w:rsidRPr="00D067A1">
        <w:rPr>
          <w:sz w:val="24"/>
          <w:szCs w:val="24"/>
        </w:rPr>
        <w:t>Exhibit 6.10</w:t>
      </w:r>
      <w:r w:rsidRPr="000773A9">
        <w:rPr>
          <w:sz w:val="24"/>
          <w:szCs w:val="24"/>
        </w:rPr>
        <w:fldChar w:fldCharType="end"/>
      </w:r>
      <w:r w:rsidRPr="000773A9">
        <w:rPr>
          <w:sz w:val="24"/>
          <w:szCs w:val="24"/>
        </w:rPr>
        <w:t xml:space="preserve"> with the corresponding total number of events.</w:t>
      </w:r>
    </w:p>
    <w:p w:rsidR="00537689" w:rsidRPr="000773A9" w:rsidRDefault="00537689" w:rsidP="00537689">
      <w:pPr>
        <w:rPr>
          <w:sz w:val="24"/>
          <w:szCs w:val="24"/>
        </w:rPr>
      </w:pPr>
    </w:p>
    <w:tbl>
      <w:tblPr>
        <w:tblW w:w="9062" w:type="dxa"/>
        <w:jc w:val="center"/>
        <w:tblLayout w:type="fixed"/>
        <w:tblCellMar>
          <w:left w:w="0" w:type="dxa"/>
          <w:right w:w="0" w:type="dxa"/>
        </w:tblCellMar>
        <w:tblLook w:val="0000" w:firstRow="0" w:lastRow="0" w:firstColumn="0" w:lastColumn="0" w:noHBand="0" w:noVBand="0"/>
      </w:tblPr>
      <w:tblGrid>
        <w:gridCol w:w="1411"/>
        <w:gridCol w:w="2549"/>
        <w:gridCol w:w="1275"/>
        <w:gridCol w:w="1276"/>
        <w:gridCol w:w="1275"/>
        <w:gridCol w:w="1276"/>
      </w:tblGrid>
      <w:tr w:rsidR="00537689" w:rsidRPr="000773A9" w:rsidTr="00E54898">
        <w:trPr>
          <w:trHeight w:val="255"/>
          <w:jc w:val="center"/>
        </w:trPr>
        <w:tc>
          <w:tcPr>
            <w:tcW w:w="9062" w:type="dxa"/>
            <w:gridSpan w:val="6"/>
            <w:tcBorders>
              <w:bottom w:val="single" w:sz="4" w:space="0" w:color="000000"/>
            </w:tcBorders>
            <w:noWrap/>
            <w:vAlign w:val="bottom"/>
          </w:tcPr>
          <w:p w:rsidR="00537689" w:rsidRPr="000773A9" w:rsidRDefault="00537689" w:rsidP="00537689">
            <w:pPr>
              <w:keepNext/>
              <w:jc w:val="center"/>
              <w:rPr>
                <w:b/>
                <w:bCs/>
                <w:szCs w:val="16"/>
              </w:rPr>
            </w:pPr>
            <w:bookmarkStart w:id="13" w:name="_Ref269986821"/>
            <w:r w:rsidRPr="000773A9">
              <w:rPr>
                <w:rFonts w:eastAsia="Arial Unicode MS"/>
                <w:b/>
                <w:bCs/>
                <w:szCs w:val="16"/>
              </w:rPr>
              <w:t>Exhibit 6.</w:t>
            </w:r>
            <w:r w:rsidRPr="000773A9">
              <w:rPr>
                <w:rFonts w:eastAsia="Arial Unicode MS"/>
                <w:b/>
                <w:bCs/>
                <w:szCs w:val="16"/>
              </w:rPr>
              <w:fldChar w:fldCharType="begin"/>
            </w:r>
            <w:r w:rsidRPr="000773A9">
              <w:rPr>
                <w:rFonts w:eastAsia="Arial Unicode MS"/>
                <w:b/>
                <w:bCs/>
                <w:szCs w:val="16"/>
              </w:rPr>
              <w:instrText xml:space="preserve"> SEQ Exhibit_6. \* ARABIC </w:instrText>
            </w:r>
            <w:r w:rsidRPr="000773A9">
              <w:rPr>
                <w:rFonts w:eastAsia="Arial Unicode MS"/>
                <w:b/>
                <w:bCs/>
                <w:szCs w:val="16"/>
              </w:rPr>
              <w:fldChar w:fldCharType="separate"/>
            </w:r>
            <w:r w:rsidR="00D067A1">
              <w:rPr>
                <w:rFonts w:eastAsia="Arial Unicode MS"/>
                <w:b/>
                <w:bCs/>
                <w:noProof/>
                <w:szCs w:val="16"/>
              </w:rPr>
              <w:t>11</w:t>
            </w:r>
            <w:r w:rsidRPr="000773A9">
              <w:rPr>
                <w:rFonts w:eastAsia="Arial Unicode MS"/>
                <w:b/>
                <w:bCs/>
                <w:szCs w:val="16"/>
              </w:rPr>
              <w:fldChar w:fldCharType="end"/>
            </w:r>
            <w:bookmarkEnd w:id="13"/>
            <w:r w:rsidRPr="000773A9">
              <w:rPr>
                <w:b/>
                <w:bCs/>
              </w:rPr>
              <w:t>:</w:t>
            </w:r>
            <w:r w:rsidRPr="000773A9">
              <w:t xml:space="preserve"> </w:t>
            </w:r>
            <w:r w:rsidRPr="000773A9">
              <w:rPr>
                <w:b/>
                <w:bCs/>
                <w:szCs w:val="16"/>
              </w:rPr>
              <w:t xml:space="preserve">Pre-Renovation Education Burden </w:t>
            </w:r>
            <w:r w:rsidR="00740619" w:rsidRPr="000773A9">
              <w:rPr>
                <w:b/>
                <w:bCs/>
                <w:szCs w:val="16"/>
              </w:rPr>
              <w:t>for Target Housing Renovations</w:t>
            </w:r>
          </w:p>
          <w:p w:rsidR="00537689" w:rsidRPr="000773A9" w:rsidRDefault="00537689" w:rsidP="00537689">
            <w:pPr>
              <w:keepNext/>
              <w:jc w:val="center"/>
              <w:rPr>
                <w:b/>
                <w:bCs/>
                <w:szCs w:val="16"/>
              </w:rPr>
            </w:pPr>
            <w:r w:rsidRPr="000773A9">
              <w:rPr>
                <w:szCs w:val="16"/>
              </w:rPr>
              <w:t>Total Burden Hours</w:t>
            </w:r>
          </w:p>
        </w:tc>
      </w:tr>
      <w:tr w:rsidR="0004187A" w:rsidRPr="000773A9" w:rsidTr="00E54898">
        <w:trPr>
          <w:trHeight w:val="255"/>
          <w:jc w:val="center"/>
        </w:trPr>
        <w:tc>
          <w:tcPr>
            <w:tcW w:w="3960" w:type="dxa"/>
            <w:gridSpan w:val="2"/>
            <w:tcBorders>
              <w:top w:val="single" w:sz="4" w:space="0" w:color="000000"/>
              <w:left w:val="single" w:sz="4" w:space="0" w:color="auto"/>
              <w:bottom w:val="single" w:sz="4" w:space="0" w:color="auto"/>
              <w:right w:val="single" w:sz="4" w:space="0" w:color="auto"/>
            </w:tcBorders>
            <w:noWrap/>
            <w:vAlign w:val="bottom"/>
          </w:tcPr>
          <w:p w:rsidR="0004187A" w:rsidRPr="000773A9" w:rsidRDefault="0004187A" w:rsidP="00537689">
            <w:pPr>
              <w:keepNext/>
              <w:rPr>
                <w:rFonts w:eastAsia="Arial Unicode MS"/>
                <w:b/>
                <w:bCs/>
                <w:szCs w:val="16"/>
              </w:rPr>
            </w:pPr>
            <w:r w:rsidRPr="000773A9">
              <w:rPr>
                <w:b/>
                <w:bCs/>
                <w:szCs w:val="16"/>
              </w:rPr>
              <w:t> </w:t>
            </w:r>
          </w:p>
        </w:tc>
        <w:tc>
          <w:tcPr>
            <w:tcW w:w="1275" w:type="dxa"/>
            <w:tcBorders>
              <w:top w:val="single" w:sz="4" w:space="0" w:color="000000"/>
              <w:left w:val="nil"/>
              <w:bottom w:val="single" w:sz="4" w:space="0" w:color="auto"/>
              <w:right w:val="single" w:sz="4" w:space="0" w:color="auto"/>
            </w:tcBorders>
            <w:noWrap/>
            <w:vAlign w:val="bottom"/>
          </w:tcPr>
          <w:p w:rsidR="0004187A" w:rsidRPr="000773A9" w:rsidRDefault="0004187A" w:rsidP="00537689">
            <w:pPr>
              <w:keepNext/>
              <w:jc w:val="center"/>
              <w:rPr>
                <w:rFonts w:eastAsia="Arial Unicode MS"/>
                <w:b/>
                <w:szCs w:val="16"/>
              </w:rPr>
            </w:pPr>
            <w:r w:rsidRPr="000773A9">
              <w:rPr>
                <w:b/>
                <w:szCs w:val="16"/>
              </w:rPr>
              <w:t>Year 1</w:t>
            </w:r>
          </w:p>
        </w:tc>
        <w:tc>
          <w:tcPr>
            <w:tcW w:w="1276" w:type="dxa"/>
            <w:tcBorders>
              <w:top w:val="single" w:sz="4" w:space="0" w:color="000000"/>
              <w:left w:val="nil"/>
              <w:bottom w:val="single" w:sz="4" w:space="0" w:color="auto"/>
              <w:right w:val="single" w:sz="4" w:space="0" w:color="auto"/>
            </w:tcBorders>
            <w:noWrap/>
            <w:vAlign w:val="bottom"/>
          </w:tcPr>
          <w:p w:rsidR="0004187A" w:rsidRPr="000773A9" w:rsidRDefault="0004187A" w:rsidP="00537689">
            <w:pPr>
              <w:keepNext/>
              <w:jc w:val="center"/>
              <w:rPr>
                <w:rFonts w:eastAsia="Arial Unicode MS"/>
                <w:b/>
                <w:szCs w:val="16"/>
              </w:rPr>
            </w:pPr>
            <w:r w:rsidRPr="000773A9">
              <w:rPr>
                <w:b/>
                <w:szCs w:val="16"/>
              </w:rPr>
              <w:t>Year 2</w:t>
            </w:r>
          </w:p>
        </w:tc>
        <w:tc>
          <w:tcPr>
            <w:tcW w:w="1275" w:type="dxa"/>
            <w:tcBorders>
              <w:top w:val="single" w:sz="4" w:space="0" w:color="000000"/>
              <w:left w:val="nil"/>
              <w:bottom w:val="single" w:sz="4" w:space="0" w:color="auto"/>
              <w:right w:val="single" w:sz="4" w:space="0" w:color="auto"/>
            </w:tcBorders>
            <w:noWrap/>
            <w:vAlign w:val="bottom"/>
          </w:tcPr>
          <w:p w:rsidR="0004187A" w:rsidRPr="000773A9" w:rsidRDefault="0004187A" w:rsidP="00537689">
            <w:pPr>
              <w:keepNext/>
              <w:jc w:val="center"/>
              <w:rPr>
                <w:rFonts w:eastAsia="Arial Unicode MS"/>
                <w:b/>
                <w:szCs w:val="16"/>
              </w:rPr>
            </w:pPr>
            <w:r w:rsidRPr="000773A9">
              <w:rPr>
                <w:b/>
                <w:szCs w:val="16"/>
              </w:rPr>
              <w:t>Year 3</w:t>
            </w:r>
          </w:p>
        </w:tc>
        <w:tc>
          <w:tcPr>
            <w:tcW w:w="1276" w:type="dxa"/>
            <w:tcBorders>
              <w:top w:val="single" w:sz="4" w:space="0" w:color="000000"/>
              <w:left w:val="nil"/>
              <w:bottom w:val="single" w:sz="4" w:space="0" w:color="auto"/>
              <w:right w:val="single" w:sz="4" w:space="0" w:color="auto"/>
            </w:tcBorders>
            <w:vAlign w:val="bottom"/>
          </w:tcPr>
          <w:p w:rsidR="0004187A" w:rsidRPr="000773A9" w:rsidRDefault="00157B4C" w:rsidP="0004187A">
            <w:pPr>
              <w:keepNext/>
              <w:jc w:val="center"/>
              <w:rPr>
                <w:rFonts w:eastAsia="Arial Unicode MS"/>
                <w:b/>
                <w:szCs w:val="16"/>
              </w:rPr>
            </w:pPr>
            <w:r w:rsidRPr="000773A9">
              <w:rPr>
                <w:rFonts w:eastAsia="Arial Unicode MS"/>
                <w:b/>
                <w:szCs w:val="16"/>
              </w:rPr>
              <w:t>Average</w:t>
            </w:r>
          </w:p>
        </w:tc>
      </w:tr>
      <w:tr w:rsidR="00795D0F" w:rsidRPr="000773A9" w:rsidTr="00E54898">
        <w:trPr>
          <w:trHeight w:val="77"/>
          <w:jc w:val="center"/>
        </w:trPr>
        <w:tc>
          <w:tcPr>
            <w:tcW w:w="1411" w:type="dxa"/>
            <w:vMerge w:val="restart"/>
            <w:tcBorders>
              <w:top w:val="nil"/>
              <w:left w:val="single" w:sz="4" w:space="0" w:color="auto"/>
              <w:right w:val="single" w:sz="4" w:space="0" w:color="auto"/>
            </w:tcBorders>
            <w:vAlign w:val="center"/>
          </w:tcPr>
          <w:p w:rsidR="00795D0F" w:rsidRPr="000773A9" w:rsidRDefault="00795D0F" w:rsidP="00537689">
            <w:pPr>
              <w:keepNext/>
              <w:rPr>
                <w:rFonts w:eastAsia="Arial Unicode MS"/>
                <w:szCs w:val="16"/>
              </w:rPr>
            </w:pPr>
            <w:r w:rsidRPr="00E54898">
              <w:rPr>
                <w:iCs/>
              </w:rPr>
              <w:t xml:space="preserve">Owner-Occupied </w:t>
            </w:r>
            <w:r>
              <w:rPr>
                <w:iCs/>
              </w:rPr>
              <w:t>Units</w:t>
            </w:r>
          </w:p>
        </w:tc>
        <w:tc>
          <w:tcPr>
            <w:tcW w:w="2549" w:type="dxa"/>
            <w:tcBorders>
              <w:top w:val="nil"/>
              <w:left w:val="single" w:sz="4" w:space="0" w:color="auto"/>
              <w:bottom w:val="single" w:sz="4" w:space="0" w:color="auto"/>
              <w:right w:val="single" w:sz="4" w:space="0" w:color="auto"/>
            </w:tcBorders>
            <w:vAlign w:val="bottom"/>
          </w:tcPr>
          <w:p w:rsidR="00795D0F" w:rsidRPr="000773A9" w:rsidRDefault="00795D0F" w:rsidP="00135783">
            <w:pPr>
              <w:keepNext/>
              <w:rPr>
                <w:rFonts w:eastAsia="Arial Unicode MS"/>
                <w:szCs w:val="16"/>
              </w:rPr>
            </w:pPr>
            <w:r w:rsidRPr="000773A9">
              <w:rPr>
                <w:rFonts w:eastAsia="Arial Unicode MS"/>
                <w:szCs w:val="16"/>
              </w:rPr>
              <w:t>LSWP Events Performed Annually</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5,391,671</w:t>
            </w:r>
          </w:p>
        </w:tc>
        <w:tc>
          <w:tcPr>
            <w:tcW w:w="1276"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5,369,566</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5,347,550</w:t>
            </w:r>
          </w:p>
        </w:tc>
        <w:tc>
          <w:tcPr>
            <w:tcW w:w="1276" w:type="dxa"/>
            <w:tcBorders>
              <w:top w:val="nil"/>
              <w:left w:val="nil"/>
              <w:bottom w:val="single" w:sz="4" w:space="0" w:color="auto"/>
              <w:right w:val="single" w:sz="4" w:space="0" w:color="auto"/>
            </w:tcBorders>
            <w:vAlign w:val="bottom"/>
          </w:tcPr>
          <w:p w:rsidR="00795D0F" w:rsidRPr="000773A9" w:rsidRDefault="00795D0F" w:rsidP="00F67650">
            <w:pPr>
              <w:ind w:right="195"/>
              <w:jc w:val="right"/>
            </w:pPr>
            <w:r>
              <w:t>5,369,596</w:t>
            </w:r>
          </w:p>
        </w:tc>
      </w:tr>
      <w:tr w:rsidR="00795D0F" w:rsidRPr="000773A9" w:rsidTr="00E54898">
        <w:trPr>
          <w:trHeight w:val="89"/>
          <w:jc w:val="center"/>
        </w:trPr>
        <w:tc>
          <w:tcPr>
            <w:tcW w:w="1411" w:type="dxa"/>
            <w:vMerge/>
            <w:tcBorders>
              <w:left w:val="single" w:sz="4" w:space="0" w:color="auto"/>
              <w:right w:val="single" w:sz="4" w:space="0" w:color="auto"/>
            </w:tcBorders>
            <w:vAlign w:val="center"/>
          </w:tcPr>
          <w:p w:rsidR="00795D0F" w:rsidRPr="000773A9" w:rsidRDefault="00795D0F" w:rsidP="00537689">
            <w:pPr>
              <w:keepNext/>
              <w:rPr>
                <w:rFonts w:eastAsia="Arial Unicode MS"/>
                <w:szCs w:val="16"/>
              </w:rPr>
            </w:pPr>
          </w:p>
        </w:tc>
        <w:tc>
          <w:tcPr>
            <w:tcW w:w="2549" w:type="dxa"/>
            <w:tcBorders>
              <w:top w:val="nil"/>
              <w:left w:val="single" w:sz="4" w:space="0" w:color="auto"/>
              <w:bottom w:val="single" w:sz="4" w:space="0" w:color="auto"/>
              <w:right w:val="single" w:sz="4" w:space="0" w:color="auto"/>
            </w:tcBorders>
            <w:vAlign w:val="bottom"/>
          </w:tcPr>
          <w:p w:rsidR="00795D0F" w:rsidRPr="000773A9" w:rsidRDefault="00795D0F" w:rsidP="00135783">
            <w:pPr>
              <w:keepNext/>
              <w:rPr>
                <w:rFonts w:eastAsia="Arial Unicode MS"/>
                <w:szCs w:val="16"/>
              </w:rPr>
            </w:pPr>
            <w:r w:rsidRPr="000773A9">
              <w:rPr>
                <w:rFonts w:eastAsia="Arial Unicode MS"/>
                <w:szCs w:val="16"/>
              </w:rPr>
              <w:t>Hour Burden per Event</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0.182</w:t>
            </w:r>
          </w:p>
        </w:tc>
        <w:tc>
          <w:tcPr>
            <w:tcW w:w="1276"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0.182</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0.182</w:t>
            </w:r>
          </w:p>
        </w:tc>
        <w:tc>
          <w:tcPr>
            <w:tcW w:w="1276" w:type="dxa"/>
            <w:tcBorders>
              <w:top w:val="nil"/>
              <w:left w:val="nil"/>
              <w:bottom w:val="single" w:sz="4" w:space="0" w:color="auto"/>
              <w:right w:val="single" w:sz="4" w:space="0" w:color="auto"/>
            </w:tcBorders>
            <w:vAlign w:val="bottom"/>
          </w:tcPr>
          <w:p w:rsidR="00795D0F" w:rsidRPr="000773A9" w:rsidRDefault="00795D0F" w:rsidP="00F67650">
            <w:pPr>
              <w:ind w:right="195"/>
              <w:jc w:val="right"/>
            </w:pPr>
            <w:r>
              <w:t>0.182</w:t>
            </w:r>
          </w:p>
        </w:tc>
      </w:tr>
      <w:tr w:rsidR="00795D0F" w:rsidRPr="000773A9" w:rsidTr="00E54898">
        <w:trPr>
          <w:trHeight w:val="89"/>
          <w:jc w:val="center"/>
        </w:trPr>
        <w:tc>
          <w:tcPr>
            <w:tcW w:w="1411" w:type="dxa"/>
            <w:vMerge/>
            <w:tcBorders>
              <w:left w:val="single" w:sz="4" w:space="0" w:color="auto"/>
              <w:bottom w:val="single" w:sz="4" w:space="0" w:color="auto"/>
              <w:right w:val="single" w:sz="4" w:space="0" w:color="auto"/>
            </w:tcBorders>
            <w:vAlign w:val="center"/>
          </w:tcPr>
          <w:p w:rsidR="00795D0F" w:rsidRPr="000773A9" w:rsidRDefault="00795D0F" w:rsidP="00537689">
            <w:pPr>
              <w:keepNext/>
              <w:rPr>
                <w:rFonts w:eastAsia="Arial Unicode MS"/>
                <w:szCs w:val="16"/>
              </w:rPr>
            </w:pPr>
          </w:p>
        </w:tc>
        <w:tc>
          <w:tcPr>
            <w:tcW w:w="2549" w:type="dxa"/>
            <w:tcBorders>
              <w:top w:val="nil"/>
              <w:left w:val="single" w:sz="4" w:space="0" w:color="auto"/>
              <w:bottom w:val="single" w:sz="4" w:space="0" w:color="auto"/>
              <w:right w:val="single" w:sz="4" w:space="0" w:color="auto"/>
            </w:tcBorders>
            <w:vAlign w:val="bottom"/>
          </w:tcPr>
          <w:p w:rsidR="00795D0F" w:rsidRPr="000773A9" w:rsidRDefault="00795D0F" w:rsidP="00135783">
            <w:pPr>
              <w:keepNext/>
              <w:rPr>
                <w:rFonts w:eastAsia="Arial Unicode MS"/>
                <w:szCs w:val="16"/>
              </w:rPr>
            </w:pPr>
            <w:r w:rsidRPr="000773A9">
              <w:rPr>
                <w:rFonts w:eastAsia="Arial Unicode MS"/>
                <w:szCs w:val="16"/>
              </w:rPr>
              <w:t>Total Burden Hours</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981,284</w:t>
            </w:r>
          </w:p>
        </w:tc>
        <w:tc>
          <w:tcPr>
            <w:tcW w:w="1276"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977,261</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973,254</w:t>
            </w:r>
          </w:p>
        </w:tc>
        <w:tc>
          <w:tcPr>
            <w:tcW w:w="1276" w:type="dxa"/>
            <w:tcBorders>
              <w:top w:val="nil"/>
              <w:left w:val="nil"/>
              <w:bottom w:val="single" w:sz="4" w:space="0" w:color="auto"/>
              <w:right w:val="single" w:sz="4" w:space="0" w:color="auto"/>
            </w:tcBorders>
            <w:vAlign w:val="bottom"/>
          </w:tcPr>
          <w:p w:rsidR="00795D0F" w:rsidRPr="000773A9" w:rsidRDefault="00795D0F" w:rsidP="00F67650">
            <w:pPr>
              <w:ind w:right="195"/>
              <w:jc w:val="right"/>
            </w:pPr>
            <w:r>
              <w:t>977,266</w:t>
            </w:r>
          </w:p>
        </w:tc>
      </w:tr>
      <w:tr w:rsidR="00795D0F" w:rsidRPr="000773A9" w:rsidTr="00E54898">
        <w:trPr>
          <w:trHeight w:val="77"/>
          <w:jc w:val="center"/>
        </w:trPr>
        <w:tc>
          <w:tcPr>
            <w:tcW w:w="1411" w:type="dxa"/>
            <w:vMerge w:val="restart"/>
            <w:tcBorders>
              <w:top w:val="nil"/>
              <w:left w:val="single" w:sz="4" w:space="0" w:color="auto"/>
              <w:right w:val="single" w:sz="4" w:space="0" w:color="auto"/>
            </w:tcBorders>
            <w:vAlign w:val="center"/>
          </w:tcPr>
          <w:p w:rsidR="00795D0F" w:rsidRPr="000773A9" w:rsidRDefault="00795D0F" w:rsidP="00537689">
            <w:pPr>
              <w:keepNext/>
              <w:rPr>
                <w:rFonts w:eastAsia="Arial Unicode MS"/>
                <w:szCs w:val="16"/>
              </w:rPr>
            </w:pPr>
            <w:r w:rsidRPr="00E54898">
              <w:rPr>
                <w:iCs/>
              </w:rPr>
              <w:t xml:space="preserve">Rental </w:t>
            </w:r>
            <w:r>
              <w:rPr>
                <w:iCs/>
              </w:rPr>
              <w:t>– O</w:t>
            </w:r>
            <w:r w:rsidRPr="00E54898">
              <w:rPr>
                <w:iCs/>
              </w:rPr>
              <w:t xml:space="preserve">ccupied </w:t>
            </w:r>
            <w:r>
              <w:rPr>
                <w:iCs/>
              </w:rPr>
              <w:t xml:space="preserve">Units </w:t>
            </w:r>
          </w:p>
        </w:tc>
        <w:tc>
          <w:tcPr>
            <w:tcW w:w="2549" w:type="dxa"/>
            <w:tcBorders>
              <w:top w:val="nil"/>
              <w:left w:val="single" w:sz="4" w:space="0" w:color="auto"/>
              <w:bottom w:val="single" w:sz="4" w:space="0" w:color="auto"/>
              <w:right w:val="single" w:sz="4" w:space="0" w:color="auto"/>
            </w:tcBorders>
            <w:vAlign w:val="bottom"/>
          </w:tcPr>
          <w:p w:rsidR="00795D0F" w:rsidRPr="000773A9" w:rsidRDefault="00795D0F" w:rsidP="00135783">
            <w:pPr>
              <w:keepNext/>
              <w:rPr>
                <w:rFonts w:eastAsia="Arial Unicode MS"/>
                <w:szCs w:val="16"/>
              </w:rPr>
            </w:pPr>
            <w:r w:rsidRPr="000773A9">
              <w:rPr>
                <w:rFonts w:eastAsia="Arial Unicode MS"/>
                <w:szCs w:val="16"/>
              </w:rPr>
              <w:t>LSWP Events Performed Annually</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1,453,324</w:t>
            </w:r>
          </w:p>
        </w:tc>
        <w:tc>
          <w:tcPr>
            <w:tcW w:w="1276"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1,447,366</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1,441,431</w:t>
            </w:r>
          </w:p>
        </w:tc>
        <w:tc>
          <w:tcPr>
            <w:tcW w:w="1276" w:type="dxa"/>
            <w:tcBorders>
              <w:top w:val="nil"/>
              <w:left w:val="nil"/>
              <w:bottom w:val="single" w:sz="4" w:space="0" w:color="auto"/>
              <w:right w:val="single" w:sz="4" w:space="0" w:color="auto"/>
            </w:tcBorders>
            <w:vAlign w:val="bottom"/>
          </w:tcPr>
          <w:p w:rsidR="00795D0F" w:rsidRPr="000773A9" w:rsidRDefault="00795D0F" w:rsidP="00F67650">
            <w:pPr>
              <w:ind w:right="195"/>
              <w:jc w:val="right"/>
            </w:pPr>
            <w:r>
              <w:t>1,447,374</w:t>
            </w:r>
          </w:p>
        </w:tc>
      </w:tr>
      <w:tr w:rsidR="00795D0F" w:rsidRPr="000773A9" w:rsidTr="00E54898">
        <w:trPr>
          <w:trHeight w:val="89"/>
          <w:jc w:val="center"/>
        </w:trPr>
        <w:tc>
          <w:tcPr>
            <w:tcW w:w="1411" w:type="dxa"/>
            <w:vMerge/>
            <w:tcBorders>
              <w:left w:val="single" w:sz="4" w:space="0" w:color="auto"/>
              <w:right w:val="single" w:sz="4" w:space="0" w:color="auto"/>
            </w:tcBorders>
            <w:vAlign w:val="center"/>
          </w:tcPr>
          <w:p w:rsidR="00795D0F" w:rsidRPr="000773A9" w:rsidRDefault="00795D0F" w:rsidP="00537689">
            <w:pPr>
              <w:keepNext/>
              <w:rPr>
                <w:rFonts w:eastAsia="Arial Unicode MS"/>
                <w:szCs w:val="16"/>
              </w:rPr>
            </w:pPr>
          </w:p>
        </w:tc>
        <w:tc>
          <w:tcPr>
            <w:tcW w:w="2549" w:type="dxa"/>
            <w:tcBorders>
              <w:top w:val="nil"/>
              <w:left w:val="single" w:sz="4" w:space="0" w:color="auto"/>
              <w:bottom w:val="single" w:sz="4" w:space="0" w:color="auto"/>
              <w:right w:val="single" w:sz="4" w:space="0" w:color="auto"/>
            </w:tcBorders>
            <w:vAlign w:val="bottom"/>
          </w:tcPr>
          <w:p w:rsidR="00795D0F" w:rsidRPr="000773A9" w:rsidRDefault="00795D0F" w:rsidP="00135783">
            <w:pPr>
              <w:keepNext/>
              <w:rPr>
                <w:rFonts w:eastAsia="Arial Unicode MS"/>
                <w:szCs w:val="16"/>
              </w:rPr>
            </w:pPr>
            <w:r w:rsidRPr="000773A9">
              <w:rPr>
                <w:rFonts w:eastAsia="Arial Unicode MS"/>
                <w:szCs w:val="16"/>
              </w:rPr>
              <w:t>Hour Burden per Event</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0.281</w:t>
            </w:r>
          </w:p>
        </w:tc>
        <w:tc>
          <w:tcPr>
            <w:tcW w:w="1276"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0.281</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0.281</w:t>
            </w:r>
          </w:p>
        </w:tc>
        <w:tc>
          <w:tcPr>
            <w:tcW w:w="1276" w:type="dxa"/>
            <w:tcBorders>
              <w:top w:val="nil"/>
              <w:left w:val="nil"/>
              <w:bottom w:val="single" w:sz="4" w:space="0" w:color="auto"/>
              <w:right w:val="single" w:sz="4" w:space="0" w:color="auto"/>
            </w:tcBorders>
            <w:vAlign w:val="bottom"/>
          </w:tcPr>
          <w:p w:rsidR="00795D0F" w:rsidRPr="000773A9" w:rsidRDefault="00795D0F" w:rsidP="00F67650">
            <w:pPr>
              <w:ind w:right="195"/>
              <w:jc w:val="right"/>
            </w:pPr>
            <w:r>
              <w:t>0.281</w:t>
            </w:r>
          </w:p>
        </w:tc>
      </w:tr>
      <w:tr w:rsidR="00795D0F" w:rsidRPr="000773A9" w:rsidTr="00E54898">
        <w:trPr>
          <w:trHeight w:val="89"/>
          <w:jc w:val="center"/>
        </w:trPr>
        <w:tc>
          <w:tcPr>
            <w:tcW w:w="1411" w:type="dxa"/>
            <w:vMerge/>
            <w:tcBorders>
              <w:left w:val="single" w:sz="4" w:space="0" w:color="auto"/>
              <w:bottom w:val="single" w:sz="4" w:space="0" w:color="auto"/>
              <w:right w:val="single" w:sz="4" w:space="0" w:color="auto"/>
            </w:tcBorders>
            <w:vAlign w:val="center"/>
          </w:tcPr>
          <w:p w:rsidR="00795D0F" w:rsidRPr="000773A9" w:rsidRDefault="00795D0F" w:rsidP="00537689">
            <w:pPr>
              <w:keepNext/>
              <w:rPr>
                <w:rFonts w:eastAsia="Arial Unicode MS"/>
                <w:szCs w:val="16"/>
              </w:rPr>
            </w:pPr>
          </w:p>
        </w:tc>
        <w:tc>
          <w:tcPr>
            <w:tcW w:w="2549" w:type="dxa"/>
            <w:tcBorders>
              <w:top w:val="nil"/>
              <w:left w:val="single" w:sz="4" w:space="0" w:color="auto"/>
              <w:bottom w:val="single" w:sz="4" w:space="0" w:color="auto"/>
              <w:right w:val="single" w:sz="4" w:space="0" w:color="auto"/>
            </w:tcBorders>
            <w:vAlign w:val="bottom"/>
          </w:tcPr>
          <w:p w:rsidR="00795D0F" w:rsidRPr="000773A9" w:rsidRDefault="00795D0F" w:rsidP="00135783">
            <w:pPr>
              <w:keepNext/>
              <w:rPr>
                <w:rFonts w:eastAsia="Arial Unicode MS"/>
                <w:szCs w:val="16"/>
              </w:rPr>
            </w:pPr>
            <w:r w:rsidRPr="000773A9">
              <w:rPr>
                <w:rFonts w:eastAsia="Arial Unicode MS"/>
                <w:szCs w:val="16"/>
              </w:rPr>
              <w:t>Total Burden Hours</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408,384</w:t>
            </w:r>
          </w:p>
        </w:tc>
        <w:tc>
          <w:tcPr>
            <w:tcW w:w="1276"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406,710</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405,042</w:t>
            </w:r>
          </w:p>
        </w:tc>
        <w:tc>
          <w:tcPr>
            <w:tcW w:w="1276" w:type="dxa"/>
            <w:tcBorders>
              <w:top w:val="nil"/>
              <w:left w:val="nil"/>
              <w:bottom w:val="single" w:sz="4" w:space="0" w:color="auto"/>
              <w:right w:val="single" w:sz="4" w:space="0" w:color="auto"/>
            </w:tcBorders>
            <w:vAlign w:val="bottom"/>
          </w:tcPr>
          <w:p w:rsidR="00795D0F" w:rsidRPr="000773A9" w:rsidRDefault="00795D0F" w:rsidP="00F67650">
            <w:pPr>
              <w:ind w:right="195"/>
              <w:jc w:val="right"/>
            </w:pPr>
            <w:r>
              <w:t>406,712</w:t>
            </w:r>
          </w:p>
        </w:tc>
      </w:tr>
      <w:tr w:rsidR="00795D0F" w:rsidRPr="000773A9" w:rsidTr="00E54898">
        <w:trPr>
          <w:trHeight w:val="77"/>
          <w:jc w:val="center"/>
        </w:trPr>
        <w:tc>
          <w:tcPr>
            <w:tcW w:w="1411" w:type="dxa"/>
            <w:vMerge w:val="restart"/>
            <w:tcBorders>
              <w:top w:val="nil"/>
              <w:left w:val="single" w:sz="4" w:space="0" w:color="auto"/>
              <w:right w:val="single" w:sz="4" w:space="0" w:color="auto"/>
            </w:tcBorders>
            <w:vAlign w:val="center"/>
          </w:tcPr>
          <w:p w:rsidR="00795D0F" w:rsidRPr="000773A9" w:rsidRDefault="00795D0F" w:rsidP="00537689">
            <w:pPr>
              <w:keepNext/>
              <w:rPr>
                <w:rFonts w:eastAsia="Arial Unicode MS"/>
                <w:szCs w:val="16"/>
              </w:rPr>
            </w:pPr>
            <w:r w:rsidRPr="00E54898">
              <w:rPr>
                <w:iCs/>
              </w:rPr>
              <w:t xml:space="preserve">Rental </w:t>
            </w:r>
            <w:r>
              <w:rPr>
                <w:iCs/>
              </w:rPr>
              <w:t>–Vacant Units</w:t>
            </w:r>
            <w:r w:rsidRPr="00E54898">
              <w:rPr>
                <w:iCs/>
              </w:rPr>
              <w:t xml:space="preserve"> </w:t>
            </w:r>
            <w:r>
              <w:rPr>
                <w:iCs/>
              </w:rPr>
              <w:t xml:space="preserve">and </w:t>
            </w:r>
            <w:r w:rsidRPr="00987917">
              <w:rPr>
                <w:iCs/>
              </w:rPr>
              <w:t>Common</w:t>
            </w:r>
            <w:r w:rsidRPr="00E54898">
              <w:rPr>
                <w:iCs/>
              </w:rPr>
              <w:t xml:space="preserve"> Areas</w:t>
            </w:r>
          </w:p>
        </w:tc>
        <w:tc>
          <w:tcPr>
            <w:tcW w:w="2549" w:type="dxa"/>
            <w:tcBorders>
              <w:top w:val="nil"/>
              <w:left w:val="single" w:sz="4" w:space="0" w:color="auto"/>
              <w:bottom w:val="single" w:sz="4" w:space="0" w:color="auto"/>
              <w:right w:val="single" w:sz="4" w:space="0" w:color="auto"/>
            </w:tcBorders>
            <w:vAlign w:val="bottom"/>
          </w:tcPr>
          <w:p w:rsidR="00795D0F" w:rsidRPr="000773A9" w:rsidRDefault="00795D0F" w:rsidP="00135783">
            <w:pPr>
              <w:keepNext/>
              <w:rPr>
                <w:rFonts w:eastAsia="Arial Unicode MS"/>
                <w:szCs w:val="16"/>
              </w:rPr>
            </w:pPr>
            <w:r w:rsidRPr="000773A9">
              <w:rPr>
                <w:rFonts w:eastAsia="Arial Unicode MS"/>
                <w:szCs w:val="16"/>
              </w:rPr>
              <w:t>LSWP Events Performed Annually</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4,359,972</w:t>
            </w:r>
          </w:p>
        </w:tc>
        <w:tc>
          <w:tcPr>
            <w:tcW w:w="1276"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4,342,09</w:t>
            </w:r>
            <w:r w:rsidR="00266699">
              <w:t>6</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4,324,294</w:t>
            </w:r>
          </w:p>
        </w:tc>
        <w:tc>
          <w:tcPr>
            <w:tcW w:w="1276" w:type="dxa"/>
            <w:tcBorders>
              <w:top w:val="nil"/>
              <w:left w:val="nil"/>
              <w:bottom w:val="single" w:sz="4" w:space="0" w:color="auto"/>
              <w:right w:val="single" w:sz="4" w:space="0" w:color="auto"/>
            </w:tcBorders>
            <w:vAlign w:val="bottom"/>
          </w:tcPr>
          <w:p w:rsidR="00795D0F" w:rsidRPr="000773A9" w:rsidRDefault="00795D0F" w:rsidP="00F67650">
            <w:pPr>
              <w:ind w:right="195"/>
              <w:jc w:val="right"/>
            </w:pPr>
            <w:r>
              <w:t>4,342,121</w:t>
            </w:r>
          </w:p>
        </w:tc>
      </w:tr>
      <w:tr w:rsidR="00795D0F" w:rsidRPr="000773A9" w:rsidTr="00E54898">
        <w:trPr>
          <w:trHeight w:val="89"/>
          <w:jc w:val="center"/>
        </w:trPr>
        <w:tc>
          <w:tcPr>
            <w:tcW w:w="1411" w:type="dxa"/>
            <w:vMerge/>
            <w:tcBorders>
              <w:left w:val="single" w:sz="4" w:space="0" w:color="auto"/>
              <w:right w:val="single" w:sz="4" w:space="0" w:color="auto"/>
            </w:tcBorders>
            <w:vAlign w:val="bottom"/>
          </w:tcPr>
          <w:p w:rsidR="00795D0F" w:rsidRPr="000773A9" w:rsidRDefault="00795D0F" w:rsidP="00537689">
            <w:pPr>
              <w:keepNext/>
              <w:rPr>
                <w:rFonts w:eastAsia="Arial Unicode MS"/>
                <w:szCs w:val="16"/>
              </w:rPr>
            </w:pPr>
          </w:p>
        </w:tc>
        <w:tc>
          <w:tcPr>
            <w:tcW w:w="2549" w:type="dxa"/>
            <w:tcBorders>
              <w:top w:val="nil"/>
              <w:left w:val="single" w:sz="4" w:space="0" w:color="auto"/>
              <w:bottom w:val="single" w:sz="4" w:space="0" w:color="auto"/>
              <w:right w:val="single" w:sz="4" w:space="0" w:color="auto"/>
            </w:tcBorders>
            <w:vAlign w:val="bottom"/>
          </w:tcPr>
          <w:p w:rsidR="00795D0F" w:rsidRPr="000773A9" w:rsidRDefault="00795D0F" w:rsidP="00135783">
            <w:pPr>
              <w:keepNext/>
              <w:rPr>
                <w:rFonts w:eastAsia="Arial Unicode MS"/>
                <w:szCs w:val="16"/>
              </w:rPr>
            </w:pPr>
            <w:r w:rsidRPr="000773A9">
              <w:rPr>
                <w:rFonts w:eastAsia="Arial Unicode MS"/>
                <w:szCs w:val="16"/>
              </w:rPr>
              <w:t>Hour Burden per Event</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0.265</w:t>
            </w:r>
          </w:p>
        </w:tc>
        <w:tc>
          <w:tcPr>
            <w:tcW w:w="1276"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0.265</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0.265</w:t>
            </w:r>
          </w:p>
        </w:tc>
        <w:tc>
          <w:tcPr>
            <w:tcW w:w="1276" w:type="dxa"/>
            <w:tcBorders>
              <w:top w:val="nil"/>
              <w:left w:val="nil"/>
              <w:bottom w:val="single" w:sz="4" w:space="0" w:color="auto"/>
              <w:right w:val="single" w:sz="4" w:space="0" w:color="auto"/>
            </w:tcBorders>
            <w:vAlign w:val="bottom"/>
          </w:tcPr>
          <w:p w:rsidR="00795D0F" w:rsidRPr="000773A9" w:rsidRDefault="00795D0F" w:rsidP="00F67650">
            <w:pPr>
              <w:ind w:right="195"/>
              <w:jc w:val="right"/>
            </w:pPr>
            <w:r>
              <w:t>0.265</w:t>
            </w:r>
          </w:p>
        </w:tc>
      </w:tr>
      <w:tr w:rsidR="00795D0F" w:rsidRPr="000773A9" w:rsidTr="00E54898">
        <w:trPr>
          <w:trHeight w:val="89"/>
          <w:jc w:val="center"/>
        </w:trPr>
        <w:tc>
          <w:tcPr>
            <w:tcW w:w="1411" w:type="dxa"/>
            <w:vMerge/>
            <w:tcBorders>
              <w:left w:val="single" w:sz="4" w:space="0" w:color="auto"/>
              <w:bottom w:val="single" w:sz="4" w:space="0" w:color="auto"/>
              <w:right w:val="single" w:sz="4" w:space="0" w:color="auto"/>
            </w:tcBorders>
            <w:vAlign w:val="bottom"/>
          </w:tcPr>
          <w:p w:rsidR="00795D0F" w:rsidRPr="000773A9" w:rsidRDefault="00795D0F" w:rsidP="00537689">
            <w:pPr>
              <w:keepNext/>
              <w:rPr>
                <w:rFonts w:eastAsia="Arial Unicode MS"/>
                <w:szCs w:val="16"/>
              </w:rPr>
            </w:pPr>
          </w:p>
        </w:tc>
        <w:tc>
          <w:tcPr>
            <w:tcW w:w="2549" w:type="dxa"/>
            <w:tcBorders>
              <w:top w:val="nil"/>
              <w:left w:val="single" w:sz="4" w:space="0" w:color="auto"/>
              <w:bottom w:val="single" w:sz="4" w:space="0" w:color="auto"/>
              <w:right w:val="single" w:sz="4" w:space="0" w:color="auto"/>
            </w:tcBorders>
            <w:vAlign w:val="bottom"/>
          </w:tcPr>
          <w:p w:rsidR="00795D0F" w:rsidRPr="000773A9" w:rsidRDefault="00795D0F" w:rsidP="00135783">
            <w:pPr>
              <w:keepNext/>
              <w:rPr>
                <w:rFonts w:eastAsia="Arial Unicode MS"/>
                <w:szCs w:val="16"/>
              </w:rPr>
            </w:pPr>
            <w:r w:rsidRPr="000773A9">
              <w:rPr>
                <w:rFonts w:eastAsia="Arial Unicode MS"/>
                <w:szCs w:val="16"/>
              </w:rPr>
              <w:t>Total Burden Hours</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1,155,393</w:t>
            </w:r>
          </w:p>
        </w:tc>
        <w:tc>
          <w:tcPr>
            <w:tcW w:w="1276"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1,150,65</w:t>
            </w:r>
            <w:r w:rsidR="00266699">
              <w:t>5</w:t>
            </w:r>
          </w:p>
        </w:tc>
        <w:tc>
          <w:tcPr>
            <w:tcW w:w="1275" w:type="dxa"/>
            <w:tcBorders>
              <w:top w:val="nil"/>
              <w:left w:val="nil"/>
              <w:bottom w:val="single" w:sz="4" w:space="0" w:color="auto"/>
              <w:right w:val="single" w:sz="4" w:space="0" w:color="auto"/>
            </w:tcBorders>
            <w:noWrap/>
            <w:vAlign w:val="bottom"/>
          </w:tcPr>
          <w:p w:rsidR="00795D0F" w:rsidRPr="000773A9" w:rsidRDefault="00795D0F" w:rsidP="00F67650">
            <w:pPr>
              <w:ind w:right="195"/>
              <w:jc w:val="right"/>
            </w:pPr>
            <w:r>
              <w:t>1,145,938</w:t>
            </w:r>
          </w:p>
        </w:tc>
        <w:tc>
          <w:tcPr>
            <w:tcW w:w="1276" w:type="dxa"/>
            <w:tcBorders>
              <w:top w:val="nil"/>
              <w:left w:val="nil"/>
              <w:bottom w:val="single" w:sz="4" w:space="0" w:color="auto"/>
              <w:right w:val="single" w:sz="4" w:space="0" w:color="auto"/>
            </w:tcBorders>
            <w:vAlign w:val="bottom"/>
          </w:tcPr>
          <w:p w:rsidR="00795D0F" w:rsidRPr="000773A9" w:rsidRDefault="00795D0F" w:rsidP="00F67650">
            <w:pPr>
              <w:ind w:right="195"/>
              <w:jc w:val="right"/>
            </w:pPr>
            <w:r>
              <w:t>1,150,662</w:t>
            </w:r>
          </w:p>
        </w:tc>
      </w:tr>
      <w:tr w:rsidR="00795D0F" w:rsidRPr="000773A9" w:rsidTr="00E54898">
        <w:trPr>
          <w:trHeight w:val="89"/>
          <w:jc w:val="center"/>
        </w:trPr>
        <w:tc>
          <w:tcPr>
            <w:tcW w:w="3960" w:type="dxa"/>
            <w:gridSpan w:val="2"/>
            <w:tcBorders>
              <w:top w:val="nil"/>
              <w:left w:val="single" w:sz="4" w:space="0" w:color="auto"/>
              <w:bottom w:val="single" w:sz="4" w:space="0" w:color="auto"/>
              <w:right w:val="single" w:sz="4" w:space="0" w:color="auto"/>
            </w:tcBorders>
            <w:vAlign w:val="bottom"/>
          </w:tcPr>
          <w:p w:rsidR="00795D0F" w:rsidRPr="00987917" w:rsidRDefault="00795D0F" w:rsidP="00537689">
            <w:pPr>
              <w:keepNext/>
              <w:rPr>
                <w:rFonts w:eastAsia="Arial Unicode MS"/>
                <w:b/>
                <w:szCs w:val="16"/>
              </w:rPr>
            </w:pPr>
            <w:r w:rsidRPr="00987917">
              <w:rPr>
                <w:rFonts w:eastAsia="Arial Unicode MS"/>
                <w:b/>
                <w:szCs w:val="16"/>
              </w:rPr>
              <w:t xml:space="preserve">Total Burden Hours – </w:t>
            </w:r>
            <w:r w:rsidRPr="00987917">
              <w:rPr>
                <w:b/>
                <w:i/>
                <w:iCs/>
              </w:rPr>
              <w:t>All Events</w:t>
            </w:r>
          </w:p>
        </w:tc>
        <w:tc>
          <w:tcPr>
            <w:tcW w:w="1275" w:type="dxa"/>
            <w:tcBorders>
              <w:top w:val="nil"/>
              <w:left w:val="nil"/>
              <w:bottom w:val="single" w:sz="4" w:space="0" w:color="auto"/>
              <w:right w:val="single" w:sz="4" w:space="0" w:color="auto"/>
            </w:tcBorders>
            <w:noWrap/>
            <w:vAlign w:val="bottom"/>
          </w:tcPr>
          <w:p w:rsidR="00795D0F" w:rsidRPr="00795D0F" w:rsidRDefault="00795D0F" w:rsidP="00F67650">
            <w:pPr>
              <w:ind w:right="195"/>
              <w:jc w:val="right"/>
              <w:rPr>
                <w:b/>
              </w:rPr>
            </w:pPr>
            <w:r w:rsidRPr="00795D0F">
              <w:rPr>
                <w:b/>
              </w:rPr>
              <w:t>2,545,061</w:t>
            </w:r>
          </w:p>
        </w:tc>
        <w:tc>
          <w:tcPr>
            <w:tcW w:w="1276" w:type="dxa"/>
            <w:tcBorders>
              <w:top w:val="nil"/>
              <w:left w:val="nil"/>
              <w:bottom w:val="single" w:sz="4" w:space="0" w:color="auto"/>
              <w:right w:val="single" w:sz="4" w:space="0" w:color="auto"/>
            </w:tcBorders>
            <w:noWrap/>
            <w:vAlign w:val="bottom"/>
          </w:tcPr>
          <w:p w:rsidR="00795D0F" w:rsidRPr="00795D0F" w:rsidRDefault="00795D0F" w:rsidP="00F67650">
            <w:pPr>
              <w:ind w:right="195"/>
              <w:jc w:val="right"/>
              <w:rPr>
                <w:b/>
              </w:rPr>
            </w:pPr>
            <w:r w:rsidRPr="00795D0F">
              <w:rPr>
                <w:b/>
              </w:rPr>
              <w:t>2,534,62</w:t>
            </w:r>
            <w:r w:rsidR="00266699">
              <w:rPr>
                <w:b/>
              </w:rPr>
              <w:t>6</w:t>
            </w:r>
          </w:p>
        </w:tc>
        <w:tc>
          <w:tcPr>
            <w:tcW w:w="1275" w:type="dxa"/>
            <w:tcBorders>
              <w:top w:val="nil"/>
              <w:left w:val="nil"/>
              <w:bottom w:val="single" w:sz="4" w:space="0" w:color="auto"/>
              <w:right w:val="single" w:sz="4" w:space="0" w:color="auto"/>
            </w:tcBorders>
            <w:noWrap/>
            <w:vAlign w:val="bottom"/>
          </w:tcPr>
          <w:p w:rsidR="00795D0F" w:rsidRPr="00795D0F" w:rsidRDefault="00795D0F" w:rsidP="00F67650">
            <w:pPr>
              <w:ind w:right="195"/>
              <w:jc w:val="right"/>
              <w:rPr>
                <w:b/>
              </w:rPr>
            </w:pPr>
            <w:r w:rsidRPr="00795D0F">
              <w:rPr>
                <w:b/>
              </w:rPr>
              <w:t>2,524,234</w:t>
            </w:r>
          </w:p>
        </w:tc>
        <w:tc>
          <w:tcPr>
            <w:tcW w:w="1276" w:type="dxa"/>
            <w:tcBorders>
              <w:top w:val="nil"/>
              <w:left w:val="nil"/>
              <w:bottom w:val="single" w:sz="4" w:space="0" w:color="auto"/>
              <w:right w:val="single" w:sz="4" w:space="0" w:color="auto"/>
            </w:tcBorders>
            <w:vAlign w:val="bottom"/>
          </w:tcPr>
          <w:p w:rsidR="00795D0F" w:rsidRPr="00795D0F" w:rsidRDefault="00795D0F" w:rsidP="00F67650">
            <w:pPr>
              <w:ind w:right="195"/>
              <w:jc w:val="right"/>
              <w:rPr>
                <w:b/>
              </w:rPr>
            </w:pPr>
            <w:r w:rsidRPr="00795D0F">
              <w:rPr>
                <w:b/>
              </w:rPr>
              <w:t>2,534,640</w:t>
            </w:r>
          </w:p>
        </w:tc>
      </w:tr>
      <w:tr w:rsidR="00E54898" w:rsidRPr="000773A9" w:rsidTr="00E54898">
        <w:tblPrEx>
          <w:tblCellMar>
            <w:left w:w="108" w:type="dxa"/>
            <w:right w:w="108" w:type="dxa"/>
          </w:tblCellMar>
        </w:tblPrEx>
        <w:trPr>
          <w:trHeight w:val="268"/>
          <w:jc w:val="center"/>
        </w:trPr>
        <w:tc>
          <w:tcPr>
            <w:tcW w:w="9062" w:type="dxa"/>
            <w:gridSpan w:val="6"/>
          </w:tcPr>
          <w:p w:rsidR="00E54898" w:rsidRPr="000773A9" w:rsidRDefault="00E54898" w:rsidP="00537689">
            <w:pPr>
              <w:keepNext/>
              <w:rPr>
                <w:b/>
                <w:bCs/>
              </w:rPr>
            </w:pPr>
            <w:r w:rsidRPr="000773A9">
              <w:rPr>
                <w:b/>
                <w:bCs/>
              </w:rPr>
              <w:t xml:space="preserve">Sources: </w:t>
            </w:r>
            <w:r w:rsidRPr="000773A9">
              <w:rPr>
                <w:iCs/>
              </w:rPr>
              <w:t xml:space="preserve">Economic Analysis for the 2008 RRP rule; Economic Analysis for the 2010 </w:t>
            </w:r>
            <w:r>
              <w:rPr>
                <w:iCs/>
              </w:rPr>
              <w:t>Opt-out</w:t>
            </w:r>
            <w:r w:rsidRPr="000773A9">
              <w:rPr>
                <w:iCs/>
              </w:rPr>
              <w:t xml:space="preserve"> rule; </w:t>
            </w:r>
            <w:r w:rsidRPr="000773A9">
              <w:rPr>
                <w:i/>
                <w:iCs/>
                <w:color w:val="000000"/>
              </w:rPr>
              <w:t>Supporting Statement for Lead-Based Paint Pre-Renovation Information Dissemination - TSCA Sec. 406(b),</w:t>
            </w:r>
            <w:r w:rsidRPr="000773A9">
              <w:rPr>
                <w:iCs/>
                <w:color w:val="000000"/>
              </w:rPr>
              <w:t xml:space="preserve"> EPA ICR No. 1669.05 (2008)</w:t>
            </w:r>
            <w:r w:rsidRPr="000773A9">
              <w:rPr>
                <w:iCs/>
              </w:rPr>
              <w:t xml:space="preserve">. </w:t>
            </w:r>
          </w:p>
        </w:tc>
      </w:tr>
    </w:tbl>
    <w:p w:rsidR="00537689" w:rsidRPr="000773A9" w:rsidRDefault="00537689" w:rsidP="00537689">
      <w:pPr>
        <w:rPr>
          <w:sz w:val="24"/>
          <w:szCs w:val="24"/>
        </w:rPr>
      </w:pPr>
    </w:p>
    <w:p w:rsidR="00537689" w:rsidRPr="000773A9" w:rsidRDefault="00C253F1" w:rsidP="00942920">
      <w:pPr>
        <w:keepNext/>
        <w:ind w:firstLine="720"/>
        <w:rPr>
          <w:i/>
          <w:sz w:val="24"/>
          <w:szCs w:val="24"/>
        </w:rPr>
      </w:pPr>
      <w:r>
        <w:rPr>
          <w:sz w:val="24"/>
          <w:szCs w:val="24"/>
        </w:rPr>
        <w:t xml:space="preserve">(B)  </w:t>
      </w:r>
      <w:r w:rsidR="00537689" w:rsidRPr="000773A9">
        <w:rPr>
          <w:i/>
          <w:sz w:val="24"/>
          <w:szCs w:val="24"/>
        </w:rPr>
        <w:t>Public or Commercial Building COF Events Burden</w:t>
      </w:r>
    </w:p>
    <w:p w:rsidR="00537689" w:rsidRPr="000773A9" w:rsidRDefault="00537689" w:rsidP="00257A33">
      <w:pPr>
        <w:keepNext/>
        <w:numPr>
          <w:ilvl w:val="12"/>
          <w:numId w:val="0"/>
        </w:numPr>
        <w:ind w:firstLine="720"/>
        <w:rPr>
          <w:sz w:val="24"/>
          <w:szCs w:val="24"/>
        </w:rPr>
      </w:pPr>
    </w:p>
    <w:p w:rsidR="00537689" w:rsidRPr="000773A9" w:rsidRDefault="00537689" w:rsidP="00257A33">
      <w:pPr>
        <w:keepNext/>
        <w:numPr>
          <w:ilvl w:val="12"/>
          <w:numId w:val="0"/>
        </w:numPr>
        <w:ind w:firstLine="720"/>
        <w:rPr>
          <w:sz w:val="24"/>
          <w:szCs w:val="24"/>
        </w:rPr>
      </w:pPr>
      <w:r w:rsidRPr="000773A9">
        <w:rPr>
          <w:sz w:val="24"/>
          <w:szCs w:val="24"/>
        </w:rPr>
        <w:t xml:space="preserve">The pre-renovation education burden on entities performing renovation work in public or commercial building COFs is similar to that for </w:t>
      </w:r>
      <w:r w:rsidR="00740619" w:rsidRPr="000773A9">
        <w:rPr>
          <w:sz w:val="24"/>
          <w:szCs w:val="24"/>
        </w:rPr>
        <w:t xml:space="preserve">entities working in </w:t>
      </w:r>
      <w:r w:rsidRPr="000773A9">
        <w:rPr>
          <w:sz w:val="24"/>
          <w:szCs w:val="24"/>
        </w:rPr>
        <w:t>target housing.  Landlords, as well as contractors working in COFs that own their own space, will need to prepare one set of acknowledgement and certification forms, distribute the pamphlet to the COF owner only, and obtain proof that the pamphlet was provided to the COF owner.  Contractors working in COFs that are renting space will need to prepare two sets of acknowledgement and certification fo</w:t>
      </w:r>
      <w:r w:rsidR="00AD0BB5">
        <w:rPr>
          <w:sz w:val="24"/>
          <w:szCs w:val="24"/>
        </w:rPr>
        <w:t>rms (one for the building owner</w:t>
      </w:r>
      <w:r w:rsidRPr="000773A9">
        <w:rPr>
          <w:sz w:val="24"/>
          <w:szCs w:val="24"/>
        </w:rPr>
        <w:t xml:space="preserve"> and the other for the COF owner), distribute the pamphlet to both individuals, and obtain proof that both individuals have received the pamphlet.  </w:t>
      </w:r>
    </w:p>
    <w:p w:rsidR="00537689" w:rsidRPr="000773A9" w:rsidRDefault="00537689" w:rsidP="00537689">
      <w:pPr>
        <w:numPr>
          <w:ilvl w:val="12"/>
          <w:numId w:val="0"/>
        </w:numPr>
        <w:ind w:firstLine="720"/>
        <w:rPr>
          <w:sz w:val="24"/>
          <w:szCs w:val="24"/>
        </w:rPr>
      </w:pPr>
    </w:p>
    <w:p w:rsidR="00537689" w:rsidRPr="000773A9" w:rsidRDefault="00C253F1" w:rsidP="00537689">
      <w:pPr>
        <w:numPr>
          <w:ilvl w:val="12"/>
          <w:numId w:val="0"/>
        </w:numPr>
        <w:ind w:firstLine="720"/>
        <w:rPr>
          <w:sz w:val="24"/>
          <w:szCs w:val="24"/>
        </w:rPr>
      </w:pPr>
      <w:r>
        <w:rPr>
          <w:sz w:val="24"/>
          <w:szCs w:val="24"/>
        </w:rPr>
        <w:t xml:space="preserve">This analysis estimates the burden per </w:t>
      </w:r>
      <w:r w:rsidR="00537689" w:rsidRPr="000773A9">
        <w:rPr>
          <w:sz w:val="24"/>
          <w:szCs w:val="24"/>
        </w:rPr>
        <w:t xml:space="preserve">event of preparing acknowledgement and certification forms, distributing pamphlets, and obtaining proof of pamphlet receipt based on the supporting statement for the </w:t>
      </w:r>
      <w:r w:rsidR="00740619" w:rsidRPr="000773A9">
        <w:rPr>
          <w:sz w:val="24"/>
          <w:szCs w:val="24"/>
        </w:rPr>
        <w:t>previous version of this ICR –</w:t>
      </w:r>
      <w:r w:rsidR="00A71E04" w:rsidRPr="000773A9">
        <w:rPr>
          <w:sz w:val="24"/>
          <w:szCs w:val="24"/>
        </w:rPr>
        <w:t xml:space="preserve"> </w:t>
      </w:r>
      <w:r w:rsidR="00537689" w:rsidRPr="000773A9">
        <w:rPr>
          <w:sz w:val="24"/>
          <w:szCs w:val="24"/>
        </w:rPr>
        <w:t>EPA ICR No. 1669.0</w:t>
      </w:r>
      <w:r w:rsidR="00160C32" w:rsidRPr="000773A9">
        <w:rPr>
          <w:sz w:val="24"/>
          <w:szCs w:val="24"/>
        </w:rPr>
        <w:t>5</w:t>
      </w:r>
      <w:r w:rsidR="00B3596D" w:rsidRPr="000773A9">
        <w:rPr>
          <w:sz w:val="24"/>
          <w:szCs w:val="24"/>
        </w:rPr>
        <w:t xml:space="preserve"> (2008)</w:t>
      </w:r>
      <w:r w:rsidR="00537689" w:rsidRPr="000773A9">
        <w:rPr>
          <w:sz w:val="24"/>
          <w:szCs w:val="24"/>
        </w:rPr>
        <w:t>.  ICR No. 1669.0</w:t>
      </w:r>
      <w:r w:rsidR="00160C32" w:rsidRPr="000773A9">
        <w:rPr>
          <w:sz w:val="24"/>
          <w:szCs w:val="24"/>
        </w:rPr>
        <w:t>5</w:t>
      </w:r>
      <w:r w:rsidR="00537689" w:rsidRPr="000773A9">
        <w:rPr>
          <w:sz w:val="24"/>
          <w:szCs w:val="24"/>
        </w:rPr>
        <w:t xml:space="preserve"> estimated contractors or landlords will need two minutes to prepare a set of acknowledgement and certification forms; </w:t>
      </w:r>
      <w:r w:rsidR="00987917">
        <w:rPr>
          <w:sz w:val="24"/>
          <w:szCs w:val="24"/>
        </w:rPr>
        <w:t xml:space="preserve">two minutes to </w:t>
      </w:r>
      <w:r w:rsidR="00537689" w:rsidRPr="000773A9">
        <w:rPr>
          <w:sz w:val="24"/>
          <w:szCs w:val="24"/>
        </w:rPr>
        <w:t xml:space="preserve">photocopy the pamphlet; </w:t>
      </w:r>
      <w:r w:rsidR="00987917">
        <w:rPr>
          <w:sz w:val="24"/>
          <w:szCs w:val="24"/>
        </w:rPr>
        <w:t xml:space="preserve">two minutes to </w:t>
      </w:r>
      <w:r w:rsidR="00537689" w:rsidRPr="000773A9">
        <w:rPr>
          <w:sz w:val="24"/>
          <w:szCs w:val="24"/>
        </w:rPr>
        <w:t>deliver the pamphlet and obtain proof of pamphlet receipt from each individual involved, and three minutes to file all of the signed acknowledgement forms or mailing certificates.</w:t>
      </w:r>
    </w:p>
    <w:p w:rsidR="00537689" w:rsidRPr="000773A9" w:rsidRDefault="00537689" w:rsidP="00537689">
      <w:pPr>
        <w:numPr>
          <w:ilvl w:val="12"/>
          <w:numId w:val="0"/>
        </w:numPr>
        <w:ind w:firstLine="720"/>
        <w:rPr>
          <w:sz w:val="24"/>
          <w:szCs w:val="24"/>
        </w:rPr>
      </w:pPr>
    </w:p>
    <w:p w:rsidR="00537689" w:rsidRPr="000773A9" w:rsidRDefault="00537689" w:rsidP="00537689">
      <w:pPr>
        <w:numPr>
          <w:ilvl w:val="12"/>
          <w:numId w:val="0"/>
        </w:numPr>
        <w:ind w:firstLine="720"/>
        <w:rPr>
          <w:sz w:val="24"/>
          <w:szCs w:val="24"/>
        </w:rPr>
      </w:pPr>
      <w:r w:rsidRPr="000773A9">
        <w:rPr>
          <w:sz w:val="24"/>
          <w:szCs w:val="24"/>
        </w:rPr>
        <w:t>In addition to those requirements,</w:t>
      </w:r>
      <w:r w:rsidR="00B63D6F" w:rsidRPr="000773A9">
        <w:rPr>
          <w:sz w:val="24"/>
          <w:szCs w:val="24"/>
        </w:rPr>
        <w:t xml:space="preserve"> </w:t>
      </w:r>
      <w:r w:rsidRPr="000773A9">
        <w:rPr>
          <w:sz w:val="24"/>
          <w:szCs w:val="24"/>
        </w:rPr>
        <w:t xml:space="preserve">a renovation firm working in a COF </w:t>
      </w:r>
      <w:r w:rsidR="00B63D6F" w:rsidRPr="000773A9">
        <w:rPr>
          <w:sz w:val="24"/>
          <w:szCs w:val="24"/>
        </w:rPr>
        <w:t xml:space="preserve">is required to </w:t>
      </w:r>
      <w:r w:rsidRPr="000773A9">
        <w:rPr>
          <w:sz w:val="24"/>
          <w:szCs w:val="24"/>
        </w:rPr>
        <w:t xml:space="preserve">either distribute the pamphlet and general information on the renovation project to the parents or guardians of children using the facility, or post informational signs describing the general nature and locations of the project and the anticipated completion date.  These signs must be posted in areas where they can be seen by the parents or guardians of the children frequenting the </w:t>
      </w:r>
      <w:r w:rsidR="00AD0BB5">
        <w:rPr>
          <w:sz w:val="24"/>
          <w:szCs w:val="24"/>
        </w:rPr>
        <w:t>COF</w:t>
      </w:r>
      <w:r w:rsidRPr="000773A9">
        <w:rPr>
          <w:sz w:val="24"/>
          <w:szCs w:val="24"/>
        </w:rPr>
        <w:t xml:space="preserve">.  The signs must be accompanied by a posted copy of the lead hazard information pamphlet or information on how interested parents and guardians can review a copy of the pamphlet or obtain a copy from the renovation firm at no cost to the parent or guardian.  </w:t>
      </w:r>
      <w:r w:rsidR="00F47372">
        <w:rPr>
          <w:sz w:val="24"/>
          <w:szCs w:val="24"/>
        </w:rPr>
        <w:t xml:space="preserve">In addition, the </w:t>
      </w:r>
      <w:r w:rsidR="00940102">
        <w:rPr>
          <w:sz w:val="24"/>
          <w:szCs w:val="24"/>
        </w:rPr>
        <w:t xml:space="preserve">firm </w:t>
      </w:r>
      <w:r w:rsidR="00940102">
        <w:rPr>
          <w:sz w:val="24"/>
          <w:szCs w:val="24"/>
        </w:rPr>
        <w:lastRenderedPageBreak/>
        <w:t>performing renovations</w:t>
      </w:r>
      <w:r w:rsidR="00F47372">
        <w:rPr>
          <w:sz w:val="24"/>
          <w:szCs w:val="24"/>
        </w:rPr>
        <w:t xml:space="preserve"> must </w:t>
      </w:r>
      <w:r w:rsidR="00F47372" w:rsidRPr="0062266D">
        <w:rPr>
          <w:sz w:val="24"/>
          <w:szCs w:val="24"/>
        </w:rPr>
        <w:t>prepar</w:t>
      </w:r>
      <w:r w:rsidR="00F47372">
        <w:rPr>
          <w:sz w:val="24"/>
          <w:szCs w:val="24"/>
        </w:rPr>
        <w:t>e</w:t>
      </w:r>
      <w:r w:rsidR="00F47372" w:rsidRPr="0062266D">
        <w:rPr>
          <w:sz w:val="24"/>
          <w:szCs w:val="24"/>
        </w:rPr>
        <w:t xml:space="preserve"> a</w:t>
      </w:r>
      <w:r w:rsidR="00F47372" w:rsidRPr="000773A9">
        <w:rPr>
          <w:sz w:val="24"/>
          <w:szCs w:val="24"/>
        </w:rPr>
        <w:t xml:space="preserve"> statement describing the steps performed to notify each occupant of the intended renovation.  </w:t>
      </w:r>
      <w:r w:rsidR="00F47372">
        <w:rPr>
          <w:sz w:val="24"/>
          <w:szCs w:val="24"/>
        </w:rPr>
        <w:t xml:space="preserve">The time to prepare, sign, and file the statement of notification is included in the </w:t>
      </w:r>
      <w:r w:rsidR="00D46561">
        <w:rPr>
          <w:sz w:val="24"/>
          <w:szCs w:val="24"/>
        </w:rPr>
        <w:t>five</w:t>
      </w:r>
      <w:r w:rsidR="00F47372">
        <w:rPr>
          <w:sz w:val="24"/>
          <w:szCs w:val="24"/>
        </w:rPr>
        <w:t xml:space="preserve"> minutes used to file the acknowledgment of pamphlet delivery to the owner of the COF.</w:t>
      </w:r>
    </w:p>
    <w:p w:rsidR="00537689" w:rsidRPr="000773A9" w:rsidRDefault="00537689" w:rsidP="00537689">
      <w:pPr>
        <w:numPr>
          <w:ilvl w:val="12"/>
          <w:numId w:val="0"/>
        </w:numPr>
        <w:rPr>
          <w:sz w:val="24"/>
          <w:szCs w:val="24"/>
        </w:rPr>
      </w:pPr>
    </w:p>
    <w:p w:rsidR="00537689" w:rsidRPr="000773A9" w:rsidRDefault="00537689" w:rsidP="00537689">
      <w:pPr>
        <w:numPr>
          <w:ilvl w:val="12"/>
          <w:numId w:val="0"/>
        </w:numPr>
        <w:ind w:firstLine="720"/>
        <w:rPr>
          <w:sz w:val="24"/>
          <w:szCs w:val="24"/>
        </w:rPr>
      </w:pPr>
      <w:r w:rsidRPr="000773A9">
        <w:rPr>
          <w:sz w:val="24"/>
          <w:szCs w:val="24"/>
        </w:rPr>
        <w:fldChar w:fldCharType="begin"/>
      </w:r>
      <w:r w:rsidRPr="000773A9">
        <w:rPr>
          <w:sz w:val="24"/>
          <w:szCs w:val="24"/>
        </w:rPr>
        <w:instrText xml:space="preserve"> REF _Ref271725815 \h  \* MERGEFORMAT </w:instrText>
      </w:r>
      <w:r w:rsidRPr="000773A9">
        <w:rPr>
          <w:sz w:val="24"/>
          <w:szCs w:val="24"/>
        </w:rPr>
      </w:r>
      <w:r w:rsidRPr="000773A9">
        <w:rPr>
          <w:sz w:val="24"/>
          <w:szCs w:val="24"/>
        </w:rPr>
        <w:fldChar w:fldCharType="separate"/>
      </w:r>
      <w:r w:rsidR="00D067A1" w:rsidRPr="00D067A1">
        <w:rPr>
          <w:sz w:val="24"/>
          <w:szCs w:val="24"/>
        </w:rPr>
        <w:t>Exhibit 6.12</w:t>
      </w:r>
      <w:r w:rsidRPr="000773A9">
        <w:rPr>
          <w:sz w:val="24"/>
          <w:szCs w:val="24"/>
        </w:rPr>
        <w:fldChar w:fldCharType="end"/>
      </w:r>
      <w:r w:rsidRPr="000773A9">
        <w:rPr>
          <w:sz w:val="24"/>
          <w:szCs w:val="24"/>
        </w:rPr>
        <w:t xml:space="preserve"> presents the per-event burden associated with pre-renovation education incurred by contractors and landlords performing work in owner-occupied and rental </w:t>
      </w:r>
      <w:r w:rsidR="00A9661B">
        <w:rPr>
          <w:sz w:val="24"/>
          <w:szCs w:val="24"/>
        </w:rPr>
        <w:t>COFs</w:t>
      </w:r>
      <w:r w:rsidR="00BB5DFE" w:rsidRPr="000773A9">
        <w:rPr>
          <w:sz w:val="24"/>
          <w:szCs w:val="24"/>
        </w:rPr>
        <w:t>.</w:t>
      </w:r>
    </w:p>
    <w:p w:rsidR="00537689" w:rsidRPr="000773A9" w:rsidRDefault="00537689" w:rsidP="00537689">
      <w:pPr>
        <w:numPr>
          <w:ilvl w:val="12"/>
          <w:numId w:val="0"/>
        </w:numPr>
        <w:rPr>
          <w:sz w:val="24"/>
          <w:szCs w:val="24"/>
        </w:rPr>
      </w:pPr>
    </w:p>
    <w:tbl>
      <w:tblPr>
        <w:tblW w:w="9207" w:type="dxa"/>
        <w:jc w:val="center"/>
        <w:tblLayout w:type="fixed"/>
        <w:tblCellMar>
          <w:left w:w="0" w:type="dxa"/>
          <w:right w:w="0" w:type="dxa"/>
        </w:tblCellMar>
        <w:tblLook w:val="0000" w:firstRow="0" w:lastRow="0" w:firstColumn="0" w:lastColumn="0" w:noHBand="0" w:noVBand="0"/>
      </w:tblPr>
      <w:tblGrid>
        <w:gridCol w:w="3284"/>
        <w:gridCol w:w="987"/>
        <w:gridCol w:w="987"/>
        <w:gridCol w:w="987"/>
        <w:gridCol w:w="987"/>
        <w:gridCol w:w="987"/>
        <w:gridCol w:w="988"/>
      </w:tblGrid>
      <w:tr w:rsidR="00537689" w:rsidRPr="000773A9" w:rsidTr="007A419F">
        <w:trPr>
          <w:trHeight w:val="255"/>
          <w:jc w:val="center"/>
        </w:trPr>
        <w:tc>
          <w:tcPr>
            <w:tcW w:w="9207" w:type="dxa"/>
            <w:gridSpan w:val="7"/>
            <w:tcBorders>
              <w:bottom w:val="single" w:sz="4" w:space="0" w:color="auto"/>
            </w:tcBorders>
            <w:noWrap/>
            <w:vAlign w:val="bottom"/>
          </w:tcPr>
          <w:p w:rsidR="00537689" w:rsidRPr="000773A9" w:rsidRDefault="00537689" w:rsidP="00537689">
            <w:pPr>
              <w:keepNext/>
              <w:jc w:val="center"/>
              <w:rPr>
                <w:b/>
                <w:bCs/>
                <w:szCs w:val="16"/>
              </w:rPr>
            </w:pPr>
            <w:bookmarkStart w:id="14" w:name="_Ref271725815"/>
            <w:r w:rsidRPr="000773A9">
              <w:rPr>
                <w:rFonts w:eastAsia="Arial Unicode MS"/>
                <w:b/>
                <w:bCs/>
                <w:szCs w:val="16"/>
              </w:rPr>
              <w:t>Exhibit 6.</w:t>
            </w:r>
            <w:r w:rsidRPr="000773A9">
              <w:rPr>
                <w:rFonts w:eastAsia="Arial Unicode MS"/>
                <w:b/>
                <w:bCs/>
                <w:szCs w:val="16"/>
              </w:rPr>
              <w:fldChar w:fldCharType="begin"/>
            </w:r>
            <w:r w:rsidRPr="000773A9">
              <w:rPr>
                <w:rFonts w:eastAsia="Arial Unicode MS"/>
                <w:b/>
                <w:bCs/>
                <w:szCs w:val="16"/>
              </w:rPr>
              <w:instrText xml:space="preserve"> SEQ Exhibit_6. \* ARABIC </w:instrText>
            </w:r>
            <w:r w:rsidRPr="000773A9">
              <w:rPr>
                <w:rFonts w:eastAsia="Arial Unicode MS"/>
                <w:b/>
                <w:bCs/>
                <w:szCs w:val="16"/>
              </w:rPr>
              <w:fldChar w:fldCharType="separate"/>
            </w:r>
            <w:r w:rsidR="00D067A1">
              <w:rPr>
                <w:rFonts w:eastAsia="Arial Unicode MS"/>
                <w:b/>
                <w:bCs/>
                <w:noProof/>
                <w:szCs w:val="16"/>
              </w:rPr>
              <w:t>12</w:t>
            </w:r>
            <w:r w:rsidRPr="000773A9">
              <w:rPr>
                <w:rFonts w:eastAsia="Arial Unicode MS"/>
                <w:b/>
                <w:bCs/>
                <w:szCs w:val="16"/>
              </w:rPr>
              <w:fldChar w:fldCharType="end"/>
            </w:r>
            <w:bookmarkEnd w:id="14"/>
            <w:r w:rsidRPr="000773A9">
              <w:rPr>
                <w:b/>
                <w:bCs/>
              </w:rPr>
              <w:t>:</w:t>
            </w:r>
            <w:r w:rsidRPr="000773A9">
              <w:t xml:space="preserve"> </w:t>
            </w:r>
            <w:r w:rsidRPr="000773A9">
              <w:rPr>
                <w:b/>
                <w:bCs/>
                <w:szCs w:val="16"/>
              </w:rPr>
              <w:t>Per-Event Burden Estimates by Task (in hours) for COF Events</w:t>
            </w:r>
          </w:p>
          <w:p w:rsidR="00537689" w:rsidRPr="000773A9" w:rsidRDefault="00537689" w:rsidP="00537689">
            <w:pPr>
              <w:keepNext/>
              <w:jc w:val="center"/>
              <w:rPr>
                <w:rFonts w:eastAsia="Arial Unicode MS"/>
                <w:b/>
                <w:bCs/>
                <w:szCs w:val="16"/>
              </w:rPr>
            </w:pPr>
          </w:p>
        </w:tc>
      </w:tr>
      <w:tr w:rsidR="007A419F" w:rsidRPr="000773A9" w:rsidTr="00533E2F">
        <w:trPr>
          <w:trHeight w:val="255"/>
          <w:jc w:val="center"/>
        </w:trPr>
        <w:tc>
          <w:tcPr>
            <w:tcW w:w="3284" w:type="dxa"/>
            <w:vMerge w:val="restart"/>
            <w:tcBorders>
              <w:top w:val="nil"/>
              <w:left w:val="single" w:sz="4" w:space="0" w:color="auto"/>
              <w:right w:val="nil"/>
            </w:tcBorders>
            <w:noWrap/>
            <w:vAlign w:val="center"/>
          </w:tcPr>
          <w:p w:rsidR="007A419F" w:rsidRPr="000773A9" w:rsidRDefault="007A419F" w:rsidP="00537689">
            <w:pPr>
              <w:keepNext/>
              <w:jc w:val="center"/>
              <w:rPr>
                <w:rFonts w:eastAsia="Arial Unicode MS"/>
                <w:b/>
                <w:szCs w:val="16"/>
              </w:rPr>
            </w:pPr>
            <w:r w:rsidRPr="000773A9">
              <w:rPr>
                <w:b/>
                <w:szCs w:val="16"/>
              </w:rPr>
              <w:t>Activity</w:t>
            </w:r>
          </w:p>
        </w:tc>
        <w:tc>
          <w:tcPr>
            <w:tcW w:w="5923" w:type="dxa"/>
            <w:gridSpan w:val="6"/>
            <w:tcBorders>
              <w:top w:val="single" w:sz="4" w:space="0" w:color="auto"/>
              <w:left w:val="single" w:sz="4" w:space="0" w:color="auto"/>
              <w:bottom w:val="single" w:sz="4" w:space="0" w:color="auto"/>
              <w:right w:val="single" w:sz="4" w:space="0" w:color="auto"/>
            </w:tcBorders>
            <w:noWrap/>
            <w:vAlign w:val="bottom"/>
          </w:tcPr>
          <w:p w:rsidR="007A419F" w:rsidRPr="000773A9" w:rsidRDefault="007A419F" w:rsidP="00537689">
            <w:pPr>
              <w:keepNext/>
              <w:jc w:val="center"/>
              <w:rPr>
                <w:rFonts w:eastAsia="Arial Unicode MS"/>
                <w:b/>
                <w:szCs w:val="16"/>
              </w:rPr>
            </w:pPr>
            <w:r w:rsidRPr="000773A9">
              <w:rPr>
                <w:b/>
                <w:szCs w:val="16"/>
              </w:rPr>
              <w:t>Burden Hours</w:t>
            </w:r>
            <w:r>
              <w:rPr>
                <w:b/>
                <w:szCs w:val="16"/>
              </w:rPr>
              <w:t xml:space="preserve"> by Type of Event</w:t>
            </w:r>
          </w:p>
        </w:tc>
      </w:tr>
      <w:tr w:rsidR="007A419F" w:rsidRPr="000773A9" w:rsidTr="00533E2F">
        <w:trPr>
          <w:trHeight w:val="647"/>
          <w:jc w:val="center"/>
        </w:trPr>
        <w:tc>
          <w:tcPr>
            <w:tcW w:w="3284" w:type="dxa"/>
            <w:vMerge/>
            <w:tcBorders>
              <w:left w:val="single" w:sz="4" w:space="0" w:color="auto"/>
              <w:right w:val="nil"/>
            </w:tcBorders>
            <w:vAlign w:val="center"/>
          </w:tcPr>
          <w:p w:rsidR="007A419F" w:rsidRPr="000773A9" w:rsidRDefault="007A419F" w:rsidP="00537689">
            <w:pPr>
              <w:keepNext/>
              <w:rPr>
                <w:rFonts w:eastAsia="Arial Unicode MS"/>
                <w:b/>
                <w:bCs/>
                <w:szCs w:val="16"/>
              </w:rPr>
            </w:pPr>
          </w:p>
        </w:tc>
        <w:tc>
          <w:tcPr>
            <w:tcW w:w="1974" w:type="dxa"/>
            <w:gridSpan w:val="2"/>
            <w:tcBorders>
              <w:top w:val="nil"/>
              <w:left w:val="single" w:sz="4" w:space="0" w:color="auto"/>
              <w:bottom w:val="single" w:sz="4" w:space="0" w:color="auto"/>
              <w:right w:val="single" w:sz="4" w:space="0" w:color="auto"/>
            </w:tcBorders>
            <w:vAlign w:val="center"/>
          </w:tcPr>
          <w:p w:rsidR="007A419F" w:rsidRPr="000773A9" w:rsidRDefault="007A419F" w:rsidP="00537689">
            <w:pPr>
              <w:keepNext/>
              <w:jc w:val="center"/>
              <w:rPr>
                <w:b/>
                <w:bCs/>
              </w:rPr>
            </w:pPr>
            <w:r w:rsidRPr="000773A9">
              <w:rPr>
                <w:b/>
                <w:bCs/>
              </w:rPr>
              <w:t>Contractor Owner-Occupied, or Landlord COF Events</w:t>
            </w:r>
          </w:p>
        </w:tc>
        <w:tc>
          <w:tcPr>
            <w:tcW w:w="1974" w:type="dxa"/>
            <w:gridSpan w:val="2"/>
            <w:tcBorders>
              <w:top w:val="nil"/>
              <w:left w:val="single" w:sz="4" w:space="0" w:color="auto"/>
              <w:bottom w:val="single" w:sz="4" w:space="0" w:color="auto"/>
              <w:right w:val="single" w:sz="4" w:space="0" w:color="auto"/>
            </w:tcBorders>
            <w:vAlign w:val="center"/>
          </w:tcPr>
          <w:p w:rsidR="007A419F" w:rsidRPr="000773A9" w:rsidRDefault="007A419F" w:rsidP="00537689">
            <w:pPr>
              <w:keepNext/>
              <w:jc w:val="center"/>
              <w:rPr>
                <w:b/>
                <w:bCs/>
              </w:rPr>
            </w:pPr>
            <w:r w:rsidRPr="000773A9">
              <w:rPr>
                <w:b/>
                <w:bCs/>
              </w:rPr>
              <w:t>Contactor Rental COF Events</w:t>
            </w:r>
          </w:p>
        </w:tc>
        <w:tc>
          <w:tcPr>
            <w:tcW w:w="1975" w:type="dxa"/>
            <w:gridSpan w:val="2"/>
            <w:tcBorders>
              <w:top w:val="nil"/>
              <w:left w:val="nil"/>
              <w:bottom w:val="single" w:sz="4" w:space="0" w:color="auto"/>
              <w:right w:val="single" w:sz="4" w:space="0" w:color="auto"/>
            </w:tcBorders>
            <w:vAlign w:val="center"/>
          </w:tcPr>
          <w:p w:rsidR="007A419F" w:rsidRPr="000773A9" w:rsidRDefault="007A419F" w:rsidP="00537689">
            <w:pPr>
              <w:keepNext/>
              <w:jc w:val="center"/>
              <w:rPr>
                <w:b/>
                <w:bCs/>
              </w:rPr>
            </w:pPr>
            <w:r w:rsidRPr="000773A9">
              <w:rPr>
                <w:b/>
                <w:bCs/>
              </w:rPr>
              <w:t>In-House COF Events</w:t>
            </w:r>
          </w:p>
        </w:tc>
      </w:tr>
      <w:tr w:rsidR="007A419F" w:rsidRPr="000773A9" w:rsidTr="00533E2F">
        <w:trPr>
          <w:trHeight w:val="255"/>
          <w:jc w:val="center"/>
        </w:trPr>
        <w:tc>
          <w:tcPr>
            <w:tcW w:w="3284" w:type="dxa"/>
            <w:vMerge/>
            <w:tcBorders>
              <w:left w:val="single" w:sz="4" w:space="0" w:color="auto"/>
              <w:bottom w:val="single" w:sz="4" w:space="0" w:color="auto"/>
              <w:right w:val="single" w:sz="4" w:space="0" w:color="auto"/>
            </w:tcBorders>
            <w:vAlign w:val="center"/>
          </w:tcPr>
          <w:p w:rsidR="007A419F" w:rsidRPr="000773A9" w:rsidRDefault="007A419F" w:rsidP="00537689">
            <w:pPr>
              <w:keepNext/>
            </w:pPr>
          </w:p>
        </w:tc>
        <w:tc>
          <w:tcPr>
            <w:tcW w:w="987" w:type="dxa"/>
            <w:tcBorders>
              <w:top w:val="nil"/>
              <w:left w:val="nil"/>
              <w:bottom w:val="single" w:sz="4" w:space="0" w:color="auto"/>
              <w:right w:val="single" w:sz="4" w:space="0" w:color="auto"/>
            </w:tcBorders>
            <w:noWrap/>
            <w:vAlign w:val="center"/>
          </w:tcPr>
          <w:p w:rsidR="007A419F" w:rsidRPr="007A419F" w:rsidRDefault="007A419F" w:rsidP="00EE5628">
            <w:pPr>
              <w:jc w:val="center"/>
              <w:rPr>
                <w:b/>
              </w:rPr>
            </w:pPr>
            <w:r w:rsidRPr="007A419F">
              <w:rPr>
                <w:b/>
              </w:rPr>
              <w:t>Number of Activities</w:t>
            </w:r>
          </w:p>
          <w:p w:rsidR="007A419F" w:rsidRPr="007A419F" w:rsidRDefault="007A419F" w:rsidP="00EE5628">
            <w:pPr>
              <w:jc w:val="center"/>
              <w:rPr>
                <w:b/>
              </w:rPr>
            </w:pPr>
            <w:r w:rsidRPr="007A419F">
              <w:rPr>
                <w:b/>
              </w:rPr>
              <w:t>per event</w:t>
            </w:r>
          </w:p>
        </w:tc>
        <w:tc>
          <w:tcPr>
            <w:tcW w:w="987" w:type="dxa"/>
            <w:tcBorders>
              <w:top w:val="nil"/>
              <w:left w:val="nil"/>
              <w:bottom w:val="single" w:sz="4" w:space="0" w:color="auto"/>
              <w:right w:val="single" w:sz="4" w:space="0" w:color="auto"/>
            </w:tcBorders>
            <w:vAlign w:val="center"/>
          </w:tcPr>
          <w:p w:rsidR="007A419F" w:rsidRPr="007A419F" w:rsidRDefault="007A419F" w:rsidP="00537689">
            <w:pPr>
              <w:jc w:val="center"/>
              <w:rPr>
                <w:b/>
              </w:rPr>
            </w:pPr>
            <w:r w:rsidRPr="007A419F">
              <w:rPr>
                <w:b/>
              </w:rPr>
              <w:t>Burden per event</w:t>
            </w:r>
          </w:p>
        </w:tc>
        <w:tc>
          <w:tcPr>
            <w:tcW w:w="987" w:type="dxa"/>
            <w:tcBorders>
              <w:top w:val="nil"/>
              <w:left w:val="nil"/>
              <w:bottom w:val="single" w:sz="4" w:space="0" w:color="auto"/>
              <w:right w:val="single" w:sz="4" w:space="0" w:color="auto"/>
            </w:tcBorders>
            <w:vAlign w:val="center"/>
          </w:tcPr>
          <w:p w:rsidR="007A419F" w:rsidRPr="007A419F" w:rsidRDefault="007A419F" w:rsidP="00EE5628">
            <w:pPr>
              <w:jc w:val="center"/>
              <w:rPr>
                <w:b/>
              </w:rPr>
            </w:pPr>
            <w:r w:rsidRPr="007A419F">
              <w:rPr>
                <w:b/>
              </w:rPr>
              <w:t>Number of Activities per event</w:t>
            </w:r>
          </w:p>
        </w:tc>
        <w:tc>
          <w:tcPr>
            <w:tcW w:w="987" w:type="dxa"/>
            <w:tcBorders>
              <w:top w:val="nil"/>
              <w:left w:val="nil"/>
              <w:bottom w:val="single" w:sz="4" w:space="0" w:color="auto"/>
              <w:right w:val="single" w:sz="4" w:space="0" w:color="auto"/>
            </w:tcBorders>
            <w:vAlign w:val="center"/>
          </w:tcPr>
          <w:p w:rsidR="007A419F" w:rsidRPr="007A419F" w:rsidRDefault="007A419F" w:rsidP="00537689">
            <w:pPr>
              <w:jc w:val="center"/>
              <w:rPr>
                <w:b/>
              </w:rPr>
            </w:pPr>
            <w:r w:rsidRPr="007A419F">
              <w:rPr>
                <w:b/>
              </w:rPr>
              <w:t>Burden per event</w:t>
            </w:r>
          </w:p>
        </w:tc>
        <w:tc>
          <w:tcPr>
            <w:tcW w:w="987" w:type="dxa"/>
            <w:tcBorders>
              <w:top w:val="nil"/>
              <w:left w:val="nil"/>
              <w:bottom w:val="single" w:sz="4" w:space="0" w:color="auto"/>
              <w:right w:val="single" w:sz="4" w:space="0" w:color="auto"/>
            </w:tcBorders>
            <w:noWrap/>
            <w:vAlign w:val="center"/>
          </w:tcPr>
          <w:p w:rsidR="007A419F" w:rsidRPr="007A419F" w:rsidRDefault="007A419F" w:rsidP="00EE5628">
            <w:pPr>
              <w:jc w:val="center"/>
              <w:rPr>
                <w:b/>
              </w:rPr>
            </w:pPr>
            <w:r w:rsidRPr="007A419F">
              <w:rPr>
                <w:b/>
              </w:rPr>
              <w:t>Number of Activities per event</w:t>
            </w:r>
          </w:p>
        </w:tc>
        <w:tc>
          <w:tcPr>
            <w:tcW w:w="988" w:type="dxa"/>
            <w:tcBorders>
              <w:top w:val="nil"/>
              <w:left w:val="nil"/>
              <w:bottom w:val="single" w:sz="4" w:space="0" w:color="auto"/>
              <w:right w:val="single" w:sz="4" w:space="0" w:color="auto"/>
            </w:tcBorders>
            <w:vAlign w:val="center"/>
          </w:tcPr>
          <w:p w:rsidR="007A419F" w:rsidRPr="007A419F" w:rsidRDefault="007A419F" w:rsidP="00537689">
            <w:pPr>
              <w:jc w:val="center"/>
              <w:rPr>
                <w:b/>
              </w:rPr>
            </w:pPr>
            <w:r w:rsidRPr="007A419F">
              <w:rPr>
                <w:b/>
              </w:rPr>
              <w:t>Burden per event</w:t>
            </w:r>
          </w:p>
        </w:tc>
      </w:tr>
      <w:tr w:rsidR="00F15CE9" w:rsidRPr="000773A9" w:rsidTr="007A419F">
        <w:trPr>
          <w:trHeight w:val="255"/>
          <w:jc w:val="center"/>
        </w:trPr>
        <w:tc>
          <w:tcPr>
            <w:tcW w:w="3284" w:type="dxa"/>
            <w:tcBorders>
              <w:top w:val="nil"/>
              <w:left w:val="single" w:sz="4" w:space="0" w:color="auto"/>
              <w:bottom w:val="single" w:sz="4" w:space="0" w:color="auto"/>
              <w:right w:val="single" w:sz="4" w:space="0" w:color="auto"/>
            </w:tcBorders>
            <w:vAlign w:val="bottom"/>
          </w:tcPr>
          <w:p w:rsidR="00F15CE9" w:rsidRPr="000773A9" w:rsidRDefault="00F15CE9" w:rsidP="00EB2350">
            <w:pPr>
              <w:keepNext/>
            </w:pPr>
            <w:r w:rsidRPr="000773A9">
              <w:t>Photocopy</w:t>
            </w:r>
            <w:r>
              <w:t>/Print</w:t>
            </w:r>
            <w:r w:rsidRPr="000773A9">
              <w:t xml:space="preserve"> </w:t>
            </w:r>
            <w:r>
              <w:t>P</w:t>
            </w:r>
            <w:r w:rsidRPr="000773A9">
              <w:t>amphlet</w:t>
            </w:r>
          </w:p>
        </w:tc>
        <w:tc>
          <w:tcPr>
            <w:tcW w:w="987" w:type="dxa"/>
            <w:tcBorders>
              <w:top w:val="nil"/>
              <w:left w:val="nil"/>
              <w:bottom w:val="single" w:sz="4" w:space="0" w:color="auto"/>
              <w:right w:val="single" w:sz="4" w:space="0" w:color="auto"/>
            </w:tcBorders>
            <w:noWrap/>
            <w:vAlign w:val="bottom"/>
          </w:tcPr>
          <w:p w:rsidR="00F15CE9" w:rsidRPr="000773A9" w:rsidRDefault="00F15CE9" w:rsidP="00EB2350">
            <w:pPr>
              <w:jc w:val="center"/>
            </w:pPr>
            <w:r>
              <w:t>1</w:t>
            </w:r>
          </w:p>
        </w:tc>
        <w:tc>
          <w:tcPr>
            <w:tcW w:w="987" w:type="dxa"/>
            <w:tcBorders>
              <w:top w:val="nil"/>
              <w:left w:val="nil"/>
              <w:bottom w:val="single" w:sz="4" w:space="0" w:color="auto"/>
              <w:right w:val="single" w:sz="4" w:space="0" w:color="auto"/>
            </w:tcBorders>
            <w:vAlign w:val="bottom"/>
          </w:tcPr>
          <w:p w:rsidR="00F15CE9" w:rsidRPr="000773A9" w:rsidRDefault="00F15CE9" w:rsidP="00EB2350">
            <w:pPr>
              <w:jc w:val="center"/>
            </w:pPr>
            <w:r>
              <w:t>0.033</w:t>
            </w:r>
          </w:p>
        </w:tc>
        <w:tc>
          <w:tcPr>
            <w:tcW w:w="987" w:type="dxa"/>
            <w:tcBorders>
              <w:top w:val="nil"/>
              <w:left w:val="nil"/>
              <w:bottom w:val="single" w:sz="4" w:space="0" w:color="auto"/>
              <w:right w:val="single" w:sz="4" w:space="0" w:color="auto"/>
            </w:tcBorders>
            <w:vAlign w:val="bottom"/>
          </w:tcPr>
          <w:p w:rsidR="00F15CE9" w:rsidRPr="000773A9" w:rsidRDefault="00F15CE9" w:rsidP="00EB2350">
            <w:pPr>
              <w:jc w:val="center"/>
            </w:pPr>
            <w:r>
              <w:t>2</w:t>
            </w:r>
          </w:p>
        </w:tc>
        <w:tc>
          <w:tcPr>
            <w:tcW w:w="987" w:type="dxa"/>
            <w:tcBorders>
              <w:top w:val="nil"/>
              <w:left w:val="nil"/>
              <w:bottom w:val="single" w:sz="4" w:space="0" w:color="auto"/>
              <w:right w:val="single" w:sz="4" w:space="0" w:color="auto"/>
            </w:tcBorders>
            <w:vAlign w:val="bottom"/>
          </w:tcPr>
          <w:p w:rsidR="00F15CE9" w:rsidRPr="000773A9" w:rsidRDefault="00F15CE9" w:rsidP="00EB2350">
            <w:pPr>
              <w:jc w:val="center"/>
            </w:pPr>
            <w:r>
              <w:t>0.066</w:t>
            </w:r>
          </w:p>
        </w:tc>
        <w:tc>
          <w:tcPr>
            <w:tcW w:w="987" w:type="dxa"/>
            <w:tcBorders>
              <w:top w:val="nil"/>
              <w:left w:val="nil"/>
              <w:bottom w:val="single" w:sz="4" w:space="0" w:color="auto"/>
              <w:right w:val="single" w:sz="4" w:space="0" w:color="auto"/>
            </w:tcBorders>
            <w:noWrap/>
            <w:vAlign w:val="bottom"/>
          </w:tcPr>
          <w:p w:rsidR="00F15CE9" w:rsidRPr="000773A9" w:rsidRDefault="00F15CE9" w:rsidP="00EB2350">
            <w:pPr>
              <w:jc w:val="center"/>
            </w:pPr>
            <w:r>
              <w:t>-</w:t>
            </w:r>
          </w:p>
        </w:tc>
        <w:tc>
          <w:tcPr>
            <w:tcW w:w="988" w:type="dxa"/>
            <w:tcBorders>
              <w:top w:val="nil"/>
              <w:left w:val="nil"/>
              <w:bottom w:val="single" w:sz="4" w:space="0" w:color="auto"/>
              <w:right w:val="single" w:sz="4" w:space="0" w:color="auto"/>
            </w:tcBorders>
            <w:vAlign w:val="bottom"/>
          </w:tcPr>
          <w:p w:rsidR="00F15CE9" w:rsidRPr="000773A9" w:rsidRDefault="00F15CE9" w:rsidP="00EB2350">
            <w:pPr>
              <w:jc w:val="center"/>
            </w:pPr>
            <w:r>
              <w:t>-</w:t>
            </w:r>
          </w:p>
        </w:tc>
      </w:tr>
      <w:tr w:rsidR="00DF439A" w:rsidRPr="000773A9" w:rsidTr="007A419F">
        <w:trPr>
          <w:trHeight w:val="255"/>
          <w:jc w:val="center"/>
        </w:trPr>
        <w:tc>
          <w:tcPr>
            <w:tcW w:w="3284" w:type="dxa"/>
            <w:tcBorders>
              <w:top w:val="nil"/>
              <w:left w:val="single" w:sz="4" w:space="0" w:color="auto"/>
              <w:bottom w:val="single" w:sz="4" w:space="0" w:color="auto"/>
              <w:right w:val="single" w:sz="4" w:space="0" w:color="auto"/>
            </w:tcBorders>
            <w:vAlign w:val="bottom"/>
          </w:tcPr>
          <w:p w:rsidR="00DF439A" w:rsidRPr="000773A9" w:rsidRDefault="00DF439A" w:rsidP="00537689">
            <w:pPr>
              <w:keepNext/>
            </w:pPr>
            <w:r w:rsidRPr="000773A9">
              <w:t>Preparing Acknowledgement</w:t>
            </w:r>
            <w:r w:rsidR="00F15CE9">
              <w:t xml:space="preserve"> Sheet</w:t>
            </w:r>
          </w:p>
        </w:tc>
        <w:tc>
          <w:tcPr>
            <w:tcW w:w="987" w:type="dxa"/>
            <w:tcBorders>
              <w:top w:val="nil"/>
              <w:left w:val="nil"/>
              <w:bottom w:val="single" w:sz="4" w:space="0" w:color="auto"/>
              <w:right w:val="single" w:sz="4" w:space="0" w:color="auto"/>
            </w:tcBorders>
            <w:noWrap/>
            <w:vAlign w:val="bottom"/>
          </w:tcPr>
          <w:p w:rsidR="00DF439A" w:rsidRPr="000773A9" w:rsidRDefault="00DF439A" w:rsidP="00EE5628">
            <w:pPr>
              <w:jc w:val="center"/>
            </w:pPr>
            <w:r>
              <w:t>1</w:t>
            </w:r>
          </w:p>
        </w:tc>
        <w:tc>
          <w:tcPr>
            <w:tcW w:w="987" w:type="dxa"/>
            <w:tcBorders>
              <w:top w:val="nil"/>
              <w:left w:val="nil"/>
              <w:bottom w:val="single" w:sz="4" w:space="0" w:color="auto"/>
              <w:right w:val="single" w:sz="4" w:space="0" w:color="auto"/>
            </w:tcBorders>
            <w:vAlign w:val="bottom"/>
          </w:tcPr>
          <w:p w:rsidR="00DF439A" w:rsidRPr="000773A9" w:rsidRDefault="00DF439A" w:rsidP="00537689">
            <w:pPr>
              <w:jc w:val="center"/>
            </w:pPr>
            <w:r>
              <w:t>0.033</w:t>
            </w:r>
          </w:p>
        </w:tc>
        <w:tc>
          <w:tcPr>
            <w:tcW w:w="987" w:type="dxa"/>
            <w:tcBorders>
              <w:top w:val="nil"/>
              <w:left w:val="nil"/>
              <w:bottom w:val="single" w:sz="4" w:space="0" w:color="auto"/>
              <w:right w:val="single" w:sz="4" w:space="0" w:color="auto"/>
            </w:tcBorders>
            <w:vAlign w:val="bottom"/>
          </w:tcPr>
          <w:p w:rsidR="00DF439A" w:rsidRPr="000773A9" w:rsidRDefault="00DF439A" w:rsidP="00EE5628">
            <w:pPr>
              <w:jc w:val="center"/>
            </w:pPr>
            <w:r>
              <w:t>2</w:t>
            </w:r>
          </w:p>
        </w:tc>
        <w:tc>
          <w:tcPr>
            <w:tcW w:w="987" w:type="dxa"/>
            <w:tcBorders>
              <w:top w:val="nil"/>
              <w:left w:val="nil"/>
              <w:bottom w:val="single" w:sz="4" w:space="0" w:color="auto"/>
              <w:right w:val="single" w:sz="4" w:space="0" w:color="auto"/>
            </w:tcBorders>
            <w:vAlign w:val="bottom"/>
          </w:tcPr>
          <w:p w:rsidR="00DF439A" w:rsidRPr="000773A9" w:rsidRDefault="00DF439A" w:rsidP="00537689">
            <w:pPr>
              <w:jc w:val="center"/>
            </w:pPr>
            <w:r>
              <w:t>0.066</w:t>
            </w:r>
          </w:p>
        </w:tc>
        <w:tc>
          <w:tcPr>
            <w:tcW w:w="987" w:type="dxa"/>
            <w:tcBorders>
              <w:top w:val="nil"/>
              <w:left w:val="nil"/>
              <w:bottom w:val="single" w:sz="4" w:space="0" w:color="auto"/>
              <w:right w:val="single" w:sz="4" w:space="0" w:color="auto"/>
            </w:tcBorders>
            <w:noWrap/>
            <w:vAlign w:val="bottom"/>
          </w:tcPr>
          <w:p w:rsidR="00DF439A" w:rsidRPr="000773A9" w:rsidRDefault="00DF439A" w:rsidP="00EE5628">
            <w:pPr>
              <w:jc w:val="center"/>
            </w:pPr>
            <w:r>
              <w:t>-</w:t>
            </w:r>
          </w:p>
        </w:tc>
        <w:tc>
          <w:tcPr>
            <w:tcW w:w="988" w:type="dxa"/>
            <w:tcBorders>
              <w:top w:val="nil"/>
              <w:left w:val="nil"/>
              <w:bottom w:val="single" w:sz="4" w:space="0" w:color="auto"/>
              <w:right w:val="single" w:sz="4" w:space="0" w:color="auto"/>
            </w:tcBorders>
            <w:vAlign w:val="bottom"/>
          </w:tcPr>
          <w:p w:rsidR="00DF439A" w:rsidRPr="000773A9" w:rsidRDefault="00DF439A" w:rsidP="00537689">
            <w:pPr>
              <w:jc w:val="center"/>
            </w:pPr>
            <w:r>
              <w:t>-</w:t>
            </w:r>
          </w:p>
        </w:tc>
      </w:tr>
      <w:tr w:rsidR="00DF439A" w:rsidRPr="000773A9" w:rsidTr="007A419F">
        <w:trPr>
          <w:trHeight w:val="255"/>
          <w:jc w:val="center"/>
        </w:trPr>
        <w:tc>
          <w:tcPr>
            <w:tcW w:w="3284" w:type="dxa"/>
            <w:tcBorders>
              <w:top w:val="nil"/>
              <w:left w:val="single" w:sz="4" w:space="0" w:color="auto"/>
              <w:bottom w:val="single" w:sz="4" w:space="0" w:color="auto"/>
              <w:right w:val="single" w:sz="4" w:space="0" w:color="auto"/>
            </w:tcBorders>
            <w:vAlign w:val="bottom"/>
          </w:tcPr>
          <w:p w:rsidR="00DF439A" w:rsidRPr="000773A9" w:rsidRDefault="00DF439A" w:rsidP="00537689">
            <w:pPr>
              <w:keepNext/>
            </w:pPr>
            <w:r w:rsidRPr="000773A9">
              <w:t>Distribution of Pamphlet</w:t>
            </w:r>
            <w:r w:rsidR="00DA3953">
              <w:t xml:space="preserve"> to Owners/Occupants</w:t>
            </w:r>
          </w:p>
        </w:tc>
        <w:tc>
          <w:tcPr>
            <w:tcW w:w="987" w:type="dxa"/>
            <w:tcBorders>
              <w:top w:val="nil"/>
              <w:left w:val="nil"/>
              <w:bottom w:val="single" w:sz="4" w:space="0" w:color="auto"/>
              <w:right w:val="single" w:sz="4" w:space="0" w:color="auto"/>
            </w:tcBorders>
            <w:noWrap/>
            <w:vAlign w:val="bottom"/>
          </w:tcPr>
          <w:p w:rsidR="00DF439A" w:rsidRPr="000773A9" w:rsidRDefault="00DF439A" w:rsidP="00EE5628">
            <w:pPr>
              <w:jc w:val="center"/>
            </w:pPr>
            <w:r>
              <w:t>1</w:t>
            </w:r>
          </w:p>
        </w:tc>
        <w:tc>
          <w:tcPr>
            <w:tcW w:w="987" w:type="dxa"/>
            <w:tcBorders>
              <w:top w:val="nil"/>
              <w:left w:val="nil"/>
              <w:bottom w:val="single" w:sz="4" w:space="0" w:color="auto"/>
              <w:right w:val="single" w:sz="4" w:space="0" w:color="auto"/>
            </w:tcBorders>
            <w:vAlign w:val="bottom"/>
          </w:tcPr>
          <w:p w:rsidR="00DF439A" w:rsidRPr="000773A9" w:rsidRDefault="00DF439A" w:rsidP="00537689">
            <w:pPr>
              <w:jc w:val="center"/>
            </w:pPr>
            <w:r>
              <w:t>0.033</w:t>
            </w:r>
          </w:p>
        </w:tc>
        <w:tc>
          <w:tcPr>
            <w:tcW w:w="987" w:type="dxa"/>
            <w:tcBorders>
              <w:top w:val="nil"/>
              <w:left w:val="nil"/>
              <w:bottom w:val="single" w:sz="4" w:space="0" w:color="auto"/>
              <w:right w:val="single" w:sz="4" w:space="0" w:color="auto"/>
            </w:tcBorders>
            <w:vAlign w:val="bottom"/>
          </w:tcPr>
          <w:p w:rsidR="00DF439A" w:rsidRPr="000773A9" w:rsidRDefault="00DF439A" w:rsidP="00EE5628">
            <w:pPr>
              <w:jc w:val="center"/>
            </w:pPr>
            <w:r>
              <w:t>2</w:t>
            </w:r>
          </w:p>
        </w:tc>
        <w:tc>
          <w:tcPr>
            <w:tcW w:w="987" w:type="dxa"/>
            <w:tcBorders>
              <w:top w:val="nil"/>
              <w:left w:val="nil"/>
              <w:bottom w:val="single" w:sz="4" w:space="0" w:color="auto"/>
              <w:right w:val="single" w:sz="4" w:space="0" w:color="auto"/>
            </w:tcBorders>
            <w:vAlign w:val="bottom"/>
          </w:tcPr>
          <w:p w:rsidR="00DF439A" w:rsidRPr="000773A9" w:rsidRDefault="00DF439A" w:rsidP="00537689">
            <w:pPr>
              <w:jc w:val="center"/>
            </w:pPr>
            <w:r>
              <w:t>0.066</w:t>
            </w:r>
          </w:p>
        </w:tc>
        <w:tc>
          <w:tcPr>
            <w:tcW w:w="987" w:type="dxa"/>
            <w:tcBorders>
              <w:top w:val="nil"/>
              <w:left w:val="nil"/>
              <w:bottom w:val="single" w:sz="4" w:space="0" w:color="auto"/>
              <w:right w:val="single" w:sz="4" w:space="0" w:color="auto"/>
            </w:tcBorders>
            <w:noWrap/>
            <w:vAlign w:val="bottom"/>
          </w:tcPr>
          <w:p w:rsidR="00DF439A" w:rsidRPr="000773A9" w:rsidRDefault="00DF439A" w:rsidP="00EE5628">
            <w:pPr>
              <w:jc w:val="center"/>
            </w:pPr>
            <w:r>
              <w:t>-</w:t>
            </w:r>
          </w:p>
        </w:tc>
        <w:tc>
          <w:tcPr>
            <w:tcW w:w="988" w:type="dxa"/>
            <w:tcBorders>
              <w:top w:val="nil"/>
              <w:left w:val="nil"/>
              <w:bottom w:val="single" w:sz="4" w:space="0" w:color="auto"/>
              <w:right w:val="single" w:sz="4" w:space="0" w:color="auto"/>
            </w:tcBorders>
            <w:vAlign w:val="bottom"/>
          </w:tcPr>
          <w:p w:rsidR="00DF439A" w:rsidRPr="000773A9" w:rsidRDefault="00DF439A" w:rsidP="00537689">
            <w:pPr>
              <w:jc w:val="center"/>
            </w:pPr>
            <w:r>
              <w:t>-</w:t>
            </w:r>
          </w:p>
        </w:tc>
      </w:tr>
      <w:tr w:rsidR="00DF439A" w:rsidRPr="000773A9" w:rsidTr="007A419F">
        <w:trPr>
          <w:trHeight w:val="255"/>
          <w:jc w:val="center"/>
        </w:trPr>
        <w:tc>
          <w:tcPr>
            <w:tcW w:w="3284" w:type="dxa"/>
            <w:tcBorders>
              <w:top w:val="nil"/>
              <w:left w:val="single" w:sz="4" w:space="0" w:color="auto"/>
              <w:bottom w:val="single" w:sz="4" w:space="0" w:color="auto"/>
              <w:right w:val="single" w:sz="4" w:space="0" w:color="auto"/>
            </w:tcBorders>
            <w:vAlign w:val="bottom"/>
          </w:tcPr>
          <w:p w:rsidR="00DF439A" w:rsidRPr="000773A9" w:rsidRDefault="00DF439A" w:rsidP="00537689">
            <w:pPr>
              <w:keepNext/>
            </w:pPr>
            <w:r w:rsidRPr="000773A9">
              <w:t>Filing and Retaining Acknowledgement</w:t>
            </w:r>
            <w:r w:rsidR="00C45019">
              <w:t xml:space="preserve"> and Steps to Notify Parents/Guardians</w:t>
            </w:r>
            <w:r w:rsidR="00F60E73">
              <w:t xml:space="preserve"> [</w:t>
            </w:r>
            <w:proofErr w:type="spellStart"/>
            <w:r w:rsidR="00F60E73">
              <w:t>i.e</w:t>
            </w:r>
            <w:proofErr w:type="spellEnd"/>
            <w:r w:rsidR="00F60E73">
              <w:t>, recordkeeping]</w:t>
            </w:r>
          </w:p>
        </w:tc>
        <w:tc>
          <w:tcPr>
            <w:tcW w:w="987" w:type="dxa"/>
            <w:tcBorders>
              <w:top w:val="nil"/>
              <w:left w:val="nil"/>
              <w:bottom w:val="single" w:sz="4" w:space="0" w:color="auto"/>
              <w:right w:val="single" w:sz="4" w:space="0" w:color="auto"/>
            </w:tcBorders>
            <w:noWrap/>
            <w:vAlign w:val="bottom"/>
          </w:tcPr>
          <w:p w:rsidR="00DF439A" w:rsidRPr="000773A9" w:rsidRDefault="00DF439A" w:rsidP="00EE5628">
            <w:pPr>
              <w:jc w:val="center"/>
            </w:pPr>
            <w:r>
              <w:t>1</w:t>
            </w:r>
          </w:p>
        </w:tc>
        <w:tc>
          <w:tcPr>
            <w:tcW w:w="987" w:type="dxa"/>
            <w:tcBorders>
              <w:top w:val="nil"/>
              <w:left w:val="nil"/>
              <w:bottom w:val="single" w:sz="4" w:space="0" w:color="auto"/>
              <w:right w:val="single" w:sz="4" w:space="0" w:color="auto"/>
            </w:tcBorders>
            <w:vAlign w:val="bottom"/>
          </w:tcPr>
          <w:p w:rsidR="00DF439A" w:rsidRPr="000773A9" w:rsidRDefault="00DF439A" w:rsidP="00537689">
            <w:pPr>
              <w:jc w:val="center"/>
            </w:pPr>
            <w:r>
              <w:t>0.083</w:t>
            </w:r>
          </w:p>
        </w:tc>
        <w:tc>
          <w:tcPr>
            <w:tcW w:w="987" w:type="dxa"/>
            <w:tcBorders>
              <w:top w:val="nil"/>
              <w:left w:val="nil"/>
              <w:bottom w:val="single" w:sz="4" w:space="0" w:color="auto"/>
              <w:right w:val="single" w:sz="4" w:space="0" w:color="auto"/>
            </w:tcBorders>
            <w:vAlign w:val="bottom"/>
          </w:tcPr>
          <w:p w:rsidR="00DF439A" w:rsidRPr="000773A9" w:rsidRDefault="00DF439A" w:rsidP="00EE5628">
            <w:pPr>
              <w:jc w:val="center"/>
            </w:pPr>
            <w:r>
              <w:t>1</w:t>
            </w:r>
          </w:p>
        </w:tc>
        <w:tc>
          <w:tcPr>
            <w:tcW w:w="987" w:type="dxa"/>
            <w:tcBorders>
              <w:top w:val="nil"/>
              <w:left w:val="nil"/>
              <w:bottom w:val="single" w:sz="4" w:space="0" w:color="auto"/>
              <w:right w:val="single" w:sz="4" w:space="0" w:color="auto"/>
            </w:tcBorders>
            <w:vAlign w:val="bottom"/>
          </w:tcPr>
          <w:p w:rsidR="00DF439A" w:rsidRPr="000773A9" w:rsidRDefault="00DF439A" w:rsidP="00537689">
            <w:pPr>
              <w:jc w:val="center"/>
            </w:pPr>
            <w:r>
              <w:t>0.083</w:t>
            </w:r>
          </w:p>
        </w:tc>
        <w:tc>
          <w:tcPr>
            <w:tcW w:w="987" w:type="dxa"/>
            <w:tcBorders>
              <w:top w:val="nil"/>
              <w:left w:val="nil"/>
              <w:bottom w:val="single" w:sz="4" w:space="0" w:color="auto"/>
              <w:right w:val="single" w:sz="4" w:space="0" w:color="auto"/>
            </w:tcBorders>
            <w:noWrap/>
            <w:vAlign w:val="bottom"/>
          </w:tcPr>
          <w:p w:rsidR="00DF439A" w:rsidRPr="000773A9" w:rsidRDefault="00DF439A" w:rsidP="00EE5628">
            <w:pPr>
              <w:jc w:val="center"/>
            </w:pPr>
            <w:r>
              <w:t>1</w:t>
            </w:r>
          </w:p>
        </w:tc>
        <w:tc>
          <w:tcPr>
            <w:tcW w:w="988" w:type="dxa"/>
            <w:tcBorders>
              <w:top w:val="nil"/>
              <w:left w:val="nil"/>
              <w:bottom w:val="single" w:sz="4" w:space="0" w:color="auto"/>
              <w:right w:val="single" w:sz="4" w:space="0" w:color="auto"/>
            </w:tcBorders>
            <w:vAlign w:val="bottom"/>
          </w:tcPr>
          <w:p w:rsidR="00DF439A" w:rsidRPr="000773A9" w:rsidRDefault="00DF439A" w:rsidP="00537689">
            <w:pPr>
              <w:jc w:val="center"/>
            </w:pPr>
            <w:r>
              <w:t>0.083</w:t>
            </w:r>
          </w:p>
        </w:tc>
      </w:tr>
      <w:tr w:rsidR="00C45019" w:rsidRPr="000773A9" w:rsidTr="007A419F">
        <w:trPr>
          <w:trHeight w:val="255"/>
          <w:jc w:val="center"/>
        </w:trPr>
        <w:tc>
          <w:tcPr>
            <w:tcW w:w="9207" w:type="dxa"/>
            <w:gridSpan w:val="7"/>
            <w:tcBorders>
              <w:top w:val="nil"/>
              <w:left w:val="single" w:sz="4" w:space="0" w:color="auto"/>
              <w:bottom w:val="single" w:sz="4" w:space="0" w:color="auto"/>
              <w:right w:val="single" w:sz="4" w:space="0" w:color="auto"/>
            </w:tcBorders>
            <w:vAlign w:val="bottom"/>
          </w:tcPr>
          <w:p w:rsidR="00C45019" w:rsidRDefault="0029732B" w:rsidP="00537689">
            <w:pPr>
              <w:jc w:val="center"/>
            </w:pPr>
            <w:r>
              <w:t xml:space="preserve">Other </w:t>
            </w:r>
            <w:r w:rsidR="00C45019">
              <w:t xml:space="preserve">Activities </w:t>
            </w:r>
            <w:r>
              <w:t>when</w:t>
            </w:r>
            <w:r w:rsidR="00C45019">
              <w:t xml:space="preserve"> Notify</w:t>
            </w:r>
            <w:r>
              <w:t>ing</w:t>
            </w:r>
            <w:r w:rsidR="00C45019">
              <w:t xml:space="preserve"> Parents/Guardians</w:t>
            </w:r>
          </w:p>
        </w:tc>
      </w:tr>
      <w:tr w:rsidR="00DF439A" w:rsidRPr="000773A9" w:rsidTr="007A419F">
        <w:trPr>
          <w:trHeight w:val="255"/>
          <w:jc w:val="center"/>
        </w:trPr>
        <w:tc>
          <w:tcPr>
            <w:tcW w:w="3284" w:type="dxa"/>
            <w:tcBorders>
              <w:top w:val="nil"/>
              <w:left w:val="single" w:sz="4" w:space="0" w:color="auto"/>
              <w:bottom w:val="single" w:sz="4" w:space="0" w:color="auto"/>
              <w:right w:val="single" w:sz="4" w:space="0" w:color="auto"/>
            </w:tcBorders>
            <w:vAlign w:val="bottom"/>
          </w:tcPr>
          <w:p w:rsidR="00DF439A" w:rsidRPr="000773A9" w:rsidRDefault="00C45019" w:rsidP="00537689">
            <w:pPr>
              <w:keepNext/>
            </w:pPr>
            <w:r>
              <w:t>Prepare/</w:t>
            </w:r>
            <w:r w:rsidR="00DF439A" w:rsidRPr="000773A9">
              <w:t xml:space="preserve">Post </w:t>
            </w:r>
            <w:r w:rsidR="00DA3953">
              <w:t>P</w:t>
            </w:r>
            <w:r w:rsidR="00DA3953" w:rsidRPr="000773A9">
              <w:t>amphlet</w:t>
            </w:r>
            <w:r>
              <w:t xml:space="preserve"> and Job-Specific Information</w:t>
            </w:r>
          </w:p>
        </w:tc>
        <w:tc>
          <w:tcPr>
            <w:tcW w:w="987" w:type="dxa"/>
            <w:tcBorders>
              <w:top w:val="nil"/>
              <w:left w:val="nil"/>
              <w:bottom w:val="single" w:sz="4" w:space="0" w:color="auto"/>
              <w:right w:val="single" w:sz="4" w:space="0" w:color="auto"/>
            </w:tcBorders>
            <w:noWrap/>
            <w:vAlign w:val="bottom"/>
          </w:tcPr>
          <w:p w:rsidR="00DF439A" w:rsidRPr="000773A9" w:rsidRDefault="00DF439A" w:rsidP="00EE5628">
            <w:pPr>
              <w:jc w:val="center"/>
            </w:pPr>
            <w:r>
              <w:t>1</w:t>
            </w:r>
          </w:p>
        </w:tc>
        <w:tc>
          <w:tcPr>
            <w:tcW w:w="987" w:type="dxa"/>
            <w:tcBorders>
              <w:top w:val="nil"/>
              <w:left w:val="nil"/>
              <w:bottom w:val="single" w:sz="4" w:space="0" w:color="auto"/>
              <w:right w:val="single" w:sz="4" w:space="0" w:color="auto"/>
            </w:tcBorders>
            <w:vAlign w:val="bottom"/>
          </w:tcPr>
          <w:p w:rsidR="00DF439A" w:rsidRPr="000773A9" w:rsidRDefault="00DF439A" w:rsidP="00537689">
            <w:pPr>
              <w:jc w:val="center"/>
            </w:pPr>
            <w:r>
              <w:t>0.083</w:t>
            </w:r>
          </w:p>
        </w:tc>
        <w:tc>
          <w:tcPr>
            <w:tcW w:w="987" w:type="dxa"/>
            <w:tcBorders>
              <w:top w:val="nil"/>
              <w:left w:val="nil"/>
              <w:bottom w:val="single" w:sz="4" w:space="0" w:color="auto"/>
              <w:right w:val="single" w:sz="4" w:space="0" w:color="auto"/>
            </w:tcBorders>
            <w:vAlign w:val="bottom"/>
          </w:tcPr>
          <w:p w:rsidR="00DF439A" w:rsidRPr="000773A9" w:rsidRDefault="00DF439A" w:rsidP="00EE5628">
            <w:pPr>
              <w:jc w:val="center"/>
            </w:pPr>
            <w:r>
              <w:t>1</w:t>
            </w:r>
          </w:p>
        </w:tc>
        <w:tc>
          <w:tcPr>
            <w:tcW w:w="987" w:type="dxa"/>
            <w:tcBorders>
              <w:top w:val="nil"/>
              <w:left w:val="nil"/>
              <w:bottom w:val="single" w:sz="4" w:space="0" w:color="auto"/>
              <w:right w:val="single" w:sz="4" w:space="0" w:color="auto"/>
            </w:tcBorders>
            <w:vAlign w:val="bottom"/>
          </w:tcPr>
          <w:p w:rsidR="00DF439A" w:rsidRPr="000773A9" w:rsidRDefault="00DF439A" w:rsidP="00537689">
            <w:pPr>
              <w:jc w:val="center"/>
            </w:pPr>
            <w:r>
              <w:t>0.083</w:t>
            </w:r>
          </w:p>
        </w:tc>
        <w:tc>
          <w:tcPr>
            <w:tcW w:w="987" w:type="dxa"/>
            <w:tcBorders>
              <w:top w:val="nil"/>
              <w:left w:val="nil"/>
              <w:bottom w:val="single" w:sz="4" w:space="0" w:color="auto"/>
              <w:right w:val="single" w:sz="4" w:space="0" w:color="auto"/>
            </w:tcBorders>
            <w:noWrap/>
            <w:vAlign w:val="bottom"/>
          </w:tcPr>
          <w:p w:rsidR="00DF439A" w:rsidRPr="000773A9" w:rsidRDefault="00DF439A" w:rsidP="00EE5628">
            <w:pPr>
              <w:jc w:val="center"/>
            </w:pPr>
            <w:r>
              <w:t>1</w:t>
            </w:r>
          </w:p>
        </w:tc>
        <w:tc>
          <w:tcPr>
            <w:tcW w:w="988" w:type="dxa"/>
            <w:tcBorders>
              <w:top w:val="nil"/>
              <w:left w:val="nil"/>
              <w:bottom w:val="single" w:sz="4" w:space="0" w:color="auto"/>
              <w:right w:val="single" w:sz="4" w:space="0" w:color="auto"/>
            </w:tcBorders>
            <w:vAlign w:val="bottom"/>
          </w:tcPr>
          <w:p w:rsidR="00DF439A" w:rsidRPr="000773A9" w:rsidRDefault="00DF439A" w:rsidP="00537689">
            <w:pPr>
              <w:jc w:val="center"/>
            </w:pPr>
            <w:r>
              <w:t>0.083</w:t>
            </w:r>
          </w:p>
        </w:tc>
      </w:tr>
      <w:tr w:rsidR="00DF439A" w:rsidRPr="000773A9" w:rsidTr="007A419F">
        <w:trPr>
          <w:trHeight w:val="255"/>
          <w:jc w:val="center"/>
        </w:trPr>
        <w:tc>
          <w:tcPr>
            <w:tcW w:w="3284" w:type="dxa"/>
            <w:tcBorders>
              <w:top w:val="nil"/>
              <w:left w:val="single" w:sz="4" w:space="0" w:color="auto"/>
              <w:bottom w:val="single" w:sz="4" w:space="0" w:color="auto"/>
              <w:right w:val="single" w:sz="4" w:space="0" w:color="auto"/>
            </w:tcBorders>
            <w:noWrap/>
            <w:vAlign w:val="bottom"/>
          </w:tcPr>
          <w:p w:rsidR="00DF439A" w:rsidRPr="000773A9" w:rsidRDefault="00DF439A" w:rsidP="00537689">
            <w:pPr>
              <w:keepNext/>
              <w:rPr>
                <w:b/>
                <w:bCs/>
              </w:rPr>
            </w:pPr>
            <w:r w:rsidRPr="000773A9">
              <w:rPr>
                <w:b/>
                <w:bCs/>
              </w:rPr>
              <w:t>Total</w:t>
            </w:r>
          </w:p>
        </w:tc>
        <w:tc>
          <w:tcPr>
            <w:tcW w:w="987" w:type="dxa"/>
            <w:tcBorders>
              <w:top w:val="nil"/>
              <w:left w:val="nil"/>
              <w:bottom w:val="single" w:sz="4" w:space="0" w:color="auto"/>
              <w:right w:val="single" w:sz="4" w:space="0" w:color="auto"/>
            </w:tcBorders>
            <w:noWrap/>
            <w:vAlign w:val="bottom"/>
          </w:tcPr>
          <w:p w:rsidR="00DF439A" w:rsidRPr="000773A9" w:rsidRDefault="00DF439A" w:rsidP="00EE5628">
            <w:pPr>
              <w:jc w:val="center"/>
              <w:rPr>
                <w:b/>
              </w:rPr>
            </w:pPr>
          </w:p>
        </w:tc>
        <w:tc>
          <w:tcPr>
            <w:tcW w:w="987" w:type="dxa"/>
            <w:tcBorders>
              <w:top w:val="nil"/>
              <w:left w:val="nil"/>
              <w:bottom w:val="single" w:sz="4" w:space="0" w:color="auto"/>
              <w:right w:val="single" w:sz="4" w:space="0" w:color="auto"/>
            </w:tcBorders>
            <w:vAlign w:val="bottom"/>
          </w:tcPr>
          <w:p w:rsidR="00DF439A" w:rsidRPr="000773A9" w:rsidRDefault="00DF439A" w:rsidP="00537689">
            <w:pPr>
              <w:jc w:val="center"/>
              <w:rPr>
                <w:b/>
              </w:rPr>
            </w:pPr>
            <w:r>
              <w:rPr>
                <w:b/>
                <w:bCs/>
              </w:rPr>
              <w:t>0.265</w:t>
            </w:r>
          </w:p>
        </w:tc>
        <w:tc>
          <w:tcPr>
            <w:tcW w:w="987" w:type="dxa"/>
            <w:tcBorders>
              <w:top w:val="nil"/>
              <w:left w:val="nil"/>
              <w:bottom w:val="single" w:sz="4" w:space="0" w:color="auto"/>
              <w:right w:val="single" w:sz="4" w:space="0" w:color="auto"/>
            </w:tcBorders>
            <w:vAlign w:val="bottom"/>
          </w:tcPr>
          <w:p w:rsidR="00DF439A" w:rsidRPr="000773A9" w:rsidRDefault="00DF439A" w:rsidP="00EE5628">
            <w:pPr>
              <w:jc w:val="center"/>
              <w:rPr>
                <w:b/>
              </w:rPr>
            </w:pPr>
          </w:p>
        </w:tc>
        <w:tc>
          <w:tcPr>
            <w:tcW w:w="987" w:type="dxa"/>
            <w:tcBorders>
              <w:top w:val="nil"/>
              <w:left w:val="nil"/>
              <w:bottom w:val="single" w:sz="4" w:space="0" w:color="auto"/>
              <w:right w:val="single" w:sz="4" w:space="0" w:color="auto"/>
            </w:tcBorders>
            <w:vAlign w:val="bottom"/>
          </w:tcPr>
          <w:p w:rsidR="00DF439A" w:rsidRPr="000773A9" w:rsidRDefault="00DF439A" w:rsidP="00537689">
            <w:pPr>
              <w:jc w:val="center"/>
              <w:rPr>
                <w:b/>
              </w:rPr>
            </w:pPr>
            <w:r>
              <w:rPr>
                <w:b/>
                <w:bCs/>
              </w:rPr>
              <w:t>0.364</w:t>
            </w:r>
          </w:p>
        </w:tc>
        <w:tc>
          <w:tcPr>
            <w:tcW w:w="987" w:type="dxa"/>
            <w:tcBorders>
              <w:top w:val="nil"/>
              <w:left w:val="nil"/>
              <w:bottom w:val="single" w:sz="4" w:space="0" w:color="auto"/>
              <w:right w:val="single" w:sz="4" w:space="0" w:color="auto"/>
            </w:tcBorders>
            <w:noWrap/>
            <w:vAlign w:val="bottom"/>
          </w:tcPr>
          <w:p w:rsidR="00DF439A" w:rsidRPr="000773A9" w:rsidRDefault="00DF439A" w:rsidP="00EE5628">
            <w:pPr>
              <w:jc w:val="center"/>
              <w:rPr>
                <w:b/>
              </w:rPr>
            </w:pPr>
          </w:p>
        </w:tc>
        <w:tc>
          <w:tcPr>
            <w:tcW w:w="988" w:type="dxa"/>
            <w:tcBorders>
              <w:top w:val="nil"/>
              <w:left w:val="nil"/>
              <w:bottom w:val="single" w:sz="4" w:space="0" w:color="auto"/>
              <w:right w:val="single" w:sz="4" w:space="0" w:color="auto"/>
            </w:tcBorders>
            <w:vAlign w:val="bottom"/>
          </w:tcPr>
          <w:p w:rsidR="00DF439A" w:rsidRPr="000773A9" w:rsidRDefault="00DF439A" w:rsidP="00537689">
            <w:pPr>
              <w:jc w:val="center"/>
              <w:rPr>
                <w:b/>
              </w:rPr>
            </w:pPr>
            <w:r>
              <w:rPr>
                <w:b/>
                <w:bCs/>
              </w:rPr>
              <w:t>0.166</w:t>
            </w:r>
          </w:p>
        </w:tc>
      </w:tr>
      <w:tr w:rsidR="005C1339" w:rsidRPr="000773A9" w:rsidTr="007A419F">
        <w:tblPrEx>
          <w:tblCellMar>
            <w:left w:w="108" w:type="dxa"/>
            <w:right w:w="108" w:type="dxa"/>
          </w:tblCellMar>
        </w:tblPrEx>
        <w:trPr>
          <w:trHeight w:val="285"/>
          <w:jc w:val="center"/>
        </w:trPr>
        <w:tc>
          <w:tcPr>
            <w:tcW w:w="9207" w:type="dxa"/>
            <w:gridSpan w:val="7"/>
          </w:tcPr>
          <w:p w:rsidR="005C1339" w:rsidRPr="000773A9" w:rsidRDefault="005C1339" w:rsidP="00537689">
            <w:pPr>
              <w:keepNext/>
              <w:rPr>
                <w:bCs/>
              </w:rPr>
            </w:pPr>
            <w:r w:rsidRPr="000773A9">
              <w:rPr>
                <w:b/>
                <w:bCs/>
              </w:rPr>
              <w:t>Note(s):</w:t>
            </w:r>
            <w:r w:rsidRPr="000773A9">
              <w:rPr>
                <w:bCs/>
              </w:rPr>
              <w:t xml:space="preserve"> </w:t>
            </w:r>
            <w:r w:rsidR="00DF439A">
              <w:rPr>
                <w:bCs/>
              </w:rPr>
              <w:t>Values rounded to 3 decimal places.</w:t>
            </w:r>
          </w:p>
          <w:p w:rsidR="00913842" w:rsidRDefault="00913842" w:rsidP="00537689">
            <w:pPr>
              <w:keepNext/>
              <w:rPr>
                <w:b/>
                <w:bCs/>
              </w:rPr>
            </w:pPr>
            <w:r>
              <w:rPr>
                <w:bCs/>
              </w:rPr>
              <w:t xml:space="preserve">The rule requires the </w:t>
            </w:r>
            <w:r w:rsidR="00940102">
              <w:rPr>
                <w:bCs/>
              </w:rPr>
              <w:t>firm performing renovations</w:t>
            </w:r>
            <w:r>
              <w:rPr>
                <w:bCs/>
              </w:rPr>
              <w:t xml:space="preserve"> to prepare and distribute pamphlets to the owner of the affected property.  In addition, the </w:t>
            </w:r>
            <w:r w:rsidR="00940102">
              <w:rPr>
                <w:bCs/>
              </w:rPr>
              <w:t>firm performing renovations</w:t>
            </w:r>
            <w:r>
              <w:rPr>
                <w:bCs/>
              </w:rPr>
              <w:t xml:space="preserve"> is required to distribute pamphlets to the tenant of</w:t>
            </w:r>
            <w:r w:rsidR="00EF53BC">
              <w:rPr>
                <w:bCs/>
              </w:rPr>
              <w:t xml:space="preserve"> the</w:t>
            </w:r>
            <w:r>
              <w:rPr>
                <w:bCs/>
              </w:rPr>
              <w:t xml:space="preserve"> rental property.  In all cases, </w:t>
            </w:r>
            <w:r w:rsidR="00EF1039">
              <w:rPr>
                <w:bCs/>
              </w:rPr>
              <w:t xml:space="preserve">the </w:t>
            </w:r>
            <w:r w:rsidR="00940102">
              <w:rPr>
                <w:bCs/>
              </w:rPr>
              <w:t>firm performing renovations</w:t>
            </w:r>
            <w:r w:rsidR="00EF1039">
              <w:rPr>
                <w:bCs/>
              </w:rPr>
              <w:t xml:space="preserve"> is assumed to post a pamphlet</w:t>
            </w:r>
            <w:r>
              <w:rPr>
                <w:bCs/>
              </w:rPr>
              <w:t xml:space="preserve"> in the affected </w:t>
            </w:r>
            <w:r w:rsidR="00AD0BB5">
              <w:rPr>
                <w:bCs/>
              </w:rPr>
              <w:t>COF</w:t>
            </w:r>
            <w:r>
              <w:rPr>
                <w:bCs/>
              </w:rPr>
              <w:t>.</w:t>
            </w:r>
          </w:p>
          <w:p w:rsidR="005C1339" w:rsidRPr="000773A9" w:rsidRDefault="006B1DF9" w:rsidP="00537689">
            <w:pPr>
              <w:keepNext/>
              <w:rPr>
                <w:rFonts w:ascii="Helv" w:hAnsi="Helv"/>
                <w:color w:val="000000"/>
              </w:rPr>
            </w:pPr>
            <w:r>
              <w:rPr>
                <w:b/>
                <w:bCs/>
              </w:rPr>
              <w:t>Source</w:t>
            </w:r>
            <w:r w:rsidR="005C1339" w:rsidRPr="000773A9">
              <w:rPr>
                <w:b/>
                <w:bCs/>
              </w:rPr>
              <w:t xml:space="preserve">:  </w:t>
            </w:r>
            <w:r w:rsidR="005C1339" w:rsidRPr="000773A9">
              <w:rPr>
                <w:i/>
                <w:iCs/>
                <w:color w:val="000000"/>
              </w:rPr>
              <w:t>Supporting Statement for Lead-Based Paint Pre-Renovation Information Dissemination - TSCA Sec. 406(b)  EPA ICR No. 1669.05 (2008)</w:t>
            </w:r>
          </w:p>
        </w:tc>
      </w:tr>
    </w:tbl>
    <w:p w:rsidR="00537689" w:rsidRPr="000773A9" w:rsidRDefault="00537689" w:rsidP="00537689">
      <w:pPr>
        <w:numPr>
          <w:ilvl w:val="12"/>
          <w:numId w:val="0"/>
        </w:numPr>
        <w:rPr>
          <w:sz w:val="24"/>
          <w:szCs w:val="24"/>
        </w:rPr>
      </w:pPr>
    </w:p>
    <w:p w:rsidR="00D067A1" w:rsidRDefault="00EB65D3" w:rsidP="00D067A1">
      <w:pPr>
        <w:numPr>
          <w:ilvl w:val="12"/>
          <w:numId w:val="0"/>
        </w:numPr>
        <w:ind w:firstLine="720"/>
        <w:rPr>
          <w:sz w:val="24"/>
          <w:szCs w:val="24"/>
        </w:rPr>
      </w:pPr>
      <w:r>
        <w:rPr>
          <w:sz w:val="24"/>
          <w:szCs w:val="24"/>
        </w:rPr>
        <w:t>T</w:t>
      </w:r>
      <w:r w:rsidR="00987917" w:rsidRPr="000773A9">
        <w:rPr>
          <w:sz w:val="24"/>
          <w:szCs w:val="24"/>
        </w:rPr>
        <w:t xml:space="preserve">he burden estimates in </w:t>
      </w:r>
      <w:r w:rsidR="00987917" w:rsidRPr="000773A9">
        <w:rPr>
          <w:sz w:val="24"/>
          <w:szCs w:val="24"/>
        </w:rPr>
        <w:fldChar w:fldCharType="begin"/>
      </w:r>
      <w:r w:rsidR="00987917" w:rsidRPr="000773A9">
        <w:rPr>
          <w:sz w:val="24"/>
          <w:szCs w:val="24"/>
        </w:rPr>
        <w:instrText xml:space="preserve"> REF _Ref271725815 \h  \* MERGEFORMAT </w:instrText>
      </w:r>
      <w:r w:rsidR="00987917" w:rsidRPr="000773A9">
        <w:rPr>
          <w:sz w:val="24"/>
          <w:szCs w:val="24"/>
        </w:rPr>
      </w:r>
      <w:r w:rsidR="00987917" w:rsidRPr="000773A9">
        <w:rPr>
          <w:sz w:val="24"/>
          <w:szCs w:val="24"/>
        </w:rPr>
        <w:fldChar w:fldCharType="separate"/>
      </w:r>
      <w:r w:rsidR="00D067A1" w:rsidRPr="00D067A1">
        <w:rPr>
          <w:sz w:val="24"/>
          <w:szCs w:val="24"/>
        </w:rPr>
        <w:t>Exhibit 6.12</w:t>
      </w:r>
      <w:r w:rsidR="00987917" w:rsidRPr="000773A9">
        <w:rPr>
          <w:sz w:val="24"/>
          <w:szCs w:val="24"/>
        </w:rPr>
        <w:fldChar w:fldCharType="end"/>
      </w:r>
      <w:r w:rsidR="00987917" w:rsidRPr="000773A9">
        <w:rPr>
          <w:sz w:val="24"/>
          <w:szCs w:val="24"/>
        </w:rPr>
        <w:t xml:space="preserve"> </w:t>
      </w:r>
      <w:r>
        <w:rPr>
          <w:sz w:val="24"/>
          <w:szCs w:val="24"/>
        </w:rPr>
        <w:t xml:space="preserve">are combined in </w:t>
      </w:r>
      <w:r w:rsidR="0085358D">
        <w:rPr>
          <w:sz w:val="24"/>
          <w:szCs w:val="24"/>
        </w:rPr>
        <w:t xml:space="preserve">Exhibit 6.13 with the number of </w:t>
      </w:r>
      <w:r w:rsidRPr="000773A9">
        <w:rPr>
          <w:sz w:val="24"/>
          <w:szCs w:val="24"/>
        </w:rPr>
        <w:fldChar w:fldCharType="begin"/>
      </w:r>
      <w:r w:rsidRPr="000773A9">
        <w:rPr>
          <w:sz w:val="24"/>
          <w:szCs w:val="24"/>
        </w:rPr>
        <w:instrText xml:space="preserve"> REF _Ref271725806 \h  \* MERGEFORMAT </w:instrText>
      </w:r>
      <w:r w:rsidRPr="000773A9">
        <w:rPr>
          <w:sz w:val="24"/>
          <w:szCs w:val="24"/>
        </w:rPr>
      </w:r>
      <w:r w:rsidRPr="000773A9">
        <w:rPr>
          <w:sz w:val="24"/>
          <w:szCs w:val="24"/>
        </w:rPr>
        <w:fldChar w:fldCharType="separate"/>
      </w:r>
      <w:r w:rsidR="0085358D">
        <w:rPr>
          <w:sz w:val="24"/>
          <w:szCs w:val="24"/>
        </w:rPr>
        <w:t>renovation events to estimate the total burden incurred by contractors and landlords complying with the pre-renovation education requirements of TSCA section 406(b) in COFs.</w:t>
      </w:r>
    </w:p>
    <w:p w:rsidR="0085358D" w:rsidRPr="00D067A1" w:rsidRDefault="0085358D" w:rsidP="00D067A1">
      <w:pPr>
        <w:numPr>
          <w:ilvl w:val="12"/>
          <w:numId w:val="0"/>
        </w:numPr>
        <w:ind w:firstLine="720"/>
        <w:rPr>
          <w:sz w:val="24"/>
          <w:szCs w:val="24"/>
        </w:rPr>
      </w:pPr>
    </w:p>
    <w:p w:rsidR="00537689" w:rsidRPr="000773A9" w:rsidRDefault="00EB65D3" w:rsidP="00D93752">
      <w:pPr>
        <w:numPr>
          <w:ilvl w:val="12"/>
          <w:numId w:val="0"/>
        </w:numPr>
        <w:ind w:firstLine="720"/>
        <w:rPr>
          <w:sz w:val="24"/>
          <w:szCs w:val="24"/>
        </w:rPr>
      </w:pPr>
      <w:r w:rsidRPr="000773A9">
        <w:rPr>
          <w:sz w:val="24"/>
          <w:szCs w:val="24"/>
        </w:rPr>
        <w:fldChar w:fldCharType="end"/>
      </w:r>
      <w:r w:rsidR="00537689" w:rsidRPr="000773A9">
        <w:rPr>
          <w:sz w:val="24"/>
          <w:szCs w:val="24"/>
        </w:rPr>
        <w:t xml:space="preserve">  </w:t>
      </w:r>
    </w:p>
    <w:tbl>
      <w:tblPr>
        <w:tblW w:w="9062" w:type="dxa"/>
        <w:jc w:val="center"/>
        <w:tblLayout w:type="fixed"/>
        <w:tblCellMar>
          <w:left w:w="0" w:type="dxa"/>
          <w:right w:w="0" w:type="dxa"/>
        </w:tblCellMar>
        <w:tblLook w:val="0000" w:firstRow="0" w:lastRow="0" w:firstColumn="0" w:lastColumn="0" w:noHBand="0" w:noVBand="0"/>
      </w:tblPr>
      <w:tblGrid>
        <w:gridCol w:w="1891"/>
        <w:gridCol w:w="2309"/>
        <w:gridCol w:w="1215"/>
        <w:gridCol w:w="1216"/>
        <w:gridCol w:w="1215"/>
        <w:gridCol w:w="1216"/>
      </w:tblGrid>
      <w:tr w:rsidR="00537689" w:rsidRPr="000773A9" w:rsidTr="00EB65D3">
        <w:trPr>
          <w:trHeight w:val="255"/>
          <w:jc w:val="center"/>
        </w:trPr>
        <w:tc>
          <w:tcPr>
            <w:tcW w:w="9062" w:type="dxa"/>
            <w:gridSpan w:val="6"/>
            <w:tcBorders>
              <w:bottom w:val="single" w:sz="4" w:space="0" w:color="000000"/>
            </w:tcBorders>
            <w:noWrap/>
            <w:vAlign w:val="bottom"/>
          </w:tcPr>
          <w:p w:rsidR="002319F0" w:rsidRDefault="002319F0" w:rsidP="00537689">
            <w:pPr>
              <w:keepNext/>
              <w:jc w:val="center"/>
              <w:rPr>
                <w:rFonts w:eastAsia="Arial Unicode MS"/>
                <w:b/>
                <w:bCs/>
                <w:szCs w:val="16"/>
              </w:rPr>
            </w:pPr>
            <w:bookmarkStart w:id="15" w:name="_Ref271725806"/>
          </w:p>
          <w:p w:rsidR="00537689" w:rsidRPr="000773A9" w:rsidRDefault="00537689" w:rsidP="00537689">
            <w:pPr>
              <w:keepNext/>
              <w:jc w:val="center"/>
              <w:rPr>
                <w:b/>
                <w:bCs/>
                <w:szCs w:val="16"/>
              </w:rPr>
            </w:pPr>
            <w:r w:rsidRPr="000773A9">
              <w:rPr>
                <w:rFonts w:eastAsia="Arial Unicode MS"/>
                <w:b/>
                <w:bCs/>
                <w:szCs w:val="16"/>
              </w:rPr>
              <w:t>Exhibit 6.</w:t>
            </w:r>
            <w:r w:rsidRPr="000773A9">
              <w:rPr>
                <w:rFonts w:eastAsia="Arial Unicode MS"/>
                <w:b/>
                <w:bCs/>
                <w:szCs w:val="16"/>
              </w:rPr>
              <w:fldChar w:fldCharType="begin"/>
            </w:r>
            <w:r w:rsidRPr="000773A9">
              <w:rPr>
                <w:rFonts w:eastAsia="Arial Unicode MS"/>
                <w:b/>
                <w:bCs/>
                <w:szCs w:val="16"/>
              </w:rPr>
              <w:instrText xml:space="preserve"> SEQ Exhibit_6. \* ARABIC </w:instrText>
            </w:r>
            <w:r w:rsidRPr="000773A9">
              <w:rPr>
                <w:rFonts w:eastAsia="Arial Unicode MS"/>
                <w:b/>
                <w:bCs/>
                <w:szCs w:val="16"/>
              </w:rPr>
              <w:fldChar w:fldCharType="separate"/>
            </w:r>
            <w:r w:rsidR="00D067A1">
              <w:rPr>
                <w:rFonts w:eastAsia="Arial Unicode MS"/>
                <w:b/>
                <w:bCs/>
                <w:noProof/>
                <w:szCs w:val="16"/>
              </w:rPr>
              <w:t>13</w:t>
            </w:r>
            <w:r w:rsidRPr="000773A9">
              <w:rPr>
                <w:rFonts w:eastAsia="Arial Unicode MS"/>
                <w:b/>
                <w:bCs/>
                <w:szCs w:val="16"/>
              </w:rPr>
              <w:fldChar w:fldCharType="end"/>
            </w:r>
            <w:bookmarkEnd w:id="15"/>
            <w:r w:rsidRPr="000773A9">
              <w:rPr>
                <w:b/>
                <w:bCs/>
              </w:rPr>
              <w:t>:</w:t>
            </w:r>
            <w:r w:rsidRPr="000773A9">
              <w:t xml:space="preserve"> </w:t>
            </w:r>
            <w:r w:rsidRPr="000773A9">
              <w:rPr>
                <w:b/>
                <w:bCs/>
                <w:szCs w:val="16"/>
              </w:rPr>
              <w:t xml:space="preserve">Pre-Renovation Education Burden </w:t>
            </w:r>
            <w:r w:rsidR="00B3596D" w:rsidRPr="000773A9">
              <w:rPr>
                <w:b/>
                <w:bCs/>
                <w:szCs w:val="16"/>
              </w:rPr>
              <w:t>for Renovations in COFs</w:t>
            </w:r>
          </w:p>
          <w:p w:rsidR="00537689" w:rsidRPr="000773A9" w:rsidRDefault="00537689" w:rsidP="00537689">
            <w:pPr>
              <w:keepNext/>
              <w:jc w:val="center"/>
              <w:rPr>
                <w:b/>
                <w:bCs/>
                <w:szCs w:val="16"/>
              </w:rPr>
            </w:pPr>
          </w:p>
        </w:tc>
      </w:tr>
      <w:tr w:rsidR="00EB65D3" w:rsidRPr="000773A9" w:rsidTr="00EB65D3">
        <w:trPr>
          <w:trHeight w:val="255"/>
          <w:jc w:val="center"/>
        </w:trPr>
        <w:tc>
          <w:tcPr>
            <w:tcW w:w="1891" w:type="dxa"/>
            <w:tcBorders>
              <w:top w:val="single" w:sz="4" w:space="0" w:color="000000"/>
              <w:left w:val="single" w:sz="4" w:space="0" w:color="auto"/>
              <w:bottom w:val="single" w:sz="4" w:space="0" w:color="auto"/>
              <w:right w:val="single" w:sz="4" w:space="0" w:color="auto"/>
            </w:tcBorders>
            <w:noWrap/>
            <w:vAlign w:val="bottom"/>
          </w:tcPr>
          <w:p w:rsidR="00EB65D3" w:rsidRPr="000773A9" w:rsidRDefault="00EB65D3" w:rsidP="00537689">
            <w:pPr>
              <w:keepNext/>
              <w:rPr>
                <w:rFonts w:eastAsia="Arial Unicode MS"/>
                <w:b/>
                <w:bCs/>
                <w:szCs w:val="16"/>
              </w:rPr>
            </w:pPr>
            <w:r w:rsidRPr="000773A9">
              <w:rPr>
                <w:b/>
                <w:bCs/>
                <w:szCs w:val="16"/>
              </w:rPr>
              <w:t> </w:t>
            </w:r>
            <w:r>
              <w:rPr>
                <w:b/>
                <w:bCs/>
                <w:szCs w:val="16"/>
              </w:rPr>
              <w:t>Respondent type</w:t>
            </w:r>
          </w:p>
        </w:tc>
        <w:tc>
          <w:tcPr>
            <w:tcW w:w="2309" w:type="dxa"/>
            <w:tcBorders>
              <w:top w:val="single" w:sz="4" w:space="0" w:color="000000"/>
              <w:left w:val="single" w:sz="4" w:space="0" w:color="auto"/>
              <w:bottom w:val="single" w:sz="4" w:space="0" w:color="auto"/>
              <w:right w:val="single" w:sz="4" w:space="0" w:color="auto"/>
            </w:tcBorders>
            <w:vAlign w:val="bottom"/>
          </w:tcPr>
          <w:p w:rsidR="00EB65D3" w:rsidRPr="000773A9" w:rsidRDefault="00EB65D3" w:rsidP="00537689">
            <w:pPr>
              <w:keepNext/>
              <w:rPr>
                <w:rFonts w:eastAsia="Arial Unicode MS"/>
                <w:b/>
                <w:bCs/>
                <w:szCs w:val="16"/>
              </w:rPr>
            </w:pPr>
          </w:p>
        </w:tc>
        <w:tc>
          <w:tcPr>
            <w:tcW w:w="1215" w:type="dxa"/>
            <w:tcBorders>
              <w:top w:val="single" w:sz="4" w:space="0" w:color="000000"/>
              <w:left w:val="nil"/>
              <w:bottom w:val="single" w:sz="4" w:space="0" w:color="auto"/>
              <w:right w:val="single" w:sz="4" w:space="0" w:color="auto"/>
            </w:tcBorders>
            <w:noWrap/>
            <w:vAlign w:val="bottom"/>
          </w:tcPr>
          <w:p w:rsidR="00EB65D3" w:rsidRPr="000773A9" w:rsidRDefault="00EB65D3" w:rsidP="00537689">
            <w:pPr>
              <w:keepNext/>
              <w:jc w:val="center"/>
              <w:rPr>
                <w:rFonts w:eastAsia="Arial Unicode MS"/>
                <w:b/>
                <w:szCs w:val="16"/>
              </w:rPr>
            </w:pPr>
            <w:r w:rsidRPr="000773A9">
              <w:rPr>
                <w:b/>
                <w:szCs w:val="16"/>
              </w:rPr>
              <w:t>Year 1</w:t>
            </w:r>
          </w:p>
        </w:tc>
        <w:tc>
          <w:tcPr>
            <w:tcW w:w="1216" w:type="dxa"/>
            <w:tcBorders>
              <w:top w:val="single" w:sz="4" w:space="0" w:color="000000"/>
              <w:left w:val="nil"/>
              <w:bottom w:val="single" w:sz="4" w:space="0" w:color="auto"/>
              <w:right w:val="single" w:sz="4" w:space="0" w:color="auto"/>
            </w:tcBorders>
            <w:noWrap/>
            <w:vAlign w:val="bottom"/>
          </w:tcPr>
          <w:p w:rsidR="00EB65D3" w:rsidRPr="000773A9" w:rsidRDefault="00EB65D3" w:rsidP="00537689">
            <w:pPr>
              <w:keepNext/>
              <w:jc w:val="center"/>
              <w:rPr>
                <w:rFonts w:eastAsia="Arial Unicode MS"/>
                <w:b/>
                <w:szCs w:val="16"/>
              </w:rPr>
            </w:pPr>
            <w:r w:rsidRPr="000773A9">
              <w:rPr>
                <w:b/>
                <w:szCs w:val="16"/>
              </w:rPr>
              <w:t>Year 2</w:t>
            </w:r>
          </w:p>
        </w:tc>
        <w:tc>
          <w:tcPr>
            <w:tcW w:w="1215" w:type="dxa"/>
            <w:tcBorders>
              <w:top w:val="single" w:sz="4" w:space="0" w:color="000000"/>
              <w:left w:val="nil"/>
              <w:bottom w:val="single" w:sz="4" w:space="0" w:color="auto"/>
              <w:right w:val="single" w:sz="4" w:space="0" w:color="auto"/>
            </w:tcBorders>
            <w:noWrap/>
            <w:vAlign w:val="bottom"/>
          </w:tcPr>
          <w:p w:rsidR="00EB65D3" w:rsidRPr="000773A9" w:rsidRDefault="00EB65D3" w:rsidP="00537689">
            <w:pPr>
              <w:keepNext/>
              <w:jc w:val="center"/>
              <w:rPr>
                <w:rFonts w:eastAsia="Arial Unicode MS"/>
                <w:b/>
                <w:szCs w:val="16"/>
              </w:rPr>
            </w:pPr>
            <w:r w:rsidRPr="000773A9">
              <w:rPr>
                <w:b/>
                <w:szCs w:val="16"/>
              </w:rPr>
              <w:t>Year 3</w:t>
            </w:r>
          </w:p>
        </w:tc>
        <w:tc>
          <w:tcPr>
            <w:tcW w:w="1216" w:type="dxa"/>
            <w:tcBorders>
              <w:top w:val="single" w:sz="4" w:space="0" w:color="000000"/>
              <w:left w:val="nil"/>
              <w:bottom w:val="single" w:sz="4" w:space="0" w:color="auto"/>
              <w:right w:val="single" w:sz="4" w:space="0" w:color="auto"/>
            </w:tcBorders>
            <w:vAlign w:val="bottom"/>
          </w:tcPr>
          <w:p w:rsidR="00EB65D3" w:rsidRPr="000773A9" w:rsidRDefault="00EB65D3" w:rsidP="00537689">
            <w:pPr>
              <w:keepNext/>
              <w:jc w:val="center"/>
              <w:rPr>
                <w:rFonts w:eastAsia="Arial Unicode MS"/>
                <w:b/>
                <w:szCs w:val="16"/>
              </w:rPr>
            </w:pPr>
            <w:r w:rsidRPr="000773A9">
              <w:rPr>
                <w:rFonts w:eastAsia="Arial Unicode MS"/>
                <w:b/>
                <w:szCs w:val="16"/>
              </w:rPr>
              <w:t>Average</w:t>
            </w:r>
          </w:p>
        </w:tc>
      </w:tr>
      <w:tr w:rsidR="00DF439A" w:rsidRPr="000773A9" w:rsidTr="00EB65D3">
        <w:trPr>
          <w:trHeight w:val="77"/>
          <w:jc w:val="center"/>
        </w:trPr>
        <w:tc>
          <w:tcPr>
            <w:tcW w:w="1891" w:type="dxa"/>
            <w:vMerge w:val="restart"/>
            <w:tcBorders>
              <w:top w:val="nil"/>
              <w:left w:val="single" w:sz="4" w:space="0" w:color="auto"/>
              <w:right w:val="single" w:sz="4" w:space="0" w:color="auto"/>
            </w:tcBorders>
            <w:vAlign w:val="center"/>
          </w:tcPr>
          <w:p w:rsidR="00DF439A" w:rsidRPr="000773A9" w:rsidRDefault="00DF439A" w:rsidP="00537689">
            <w:pPr>
              <w:keepNext/>
              <w:rPr>
                <w:rFonts w:eastAsia="Arial Unicode MS"/>
                <w:szCs w:val="16"/>
              </w:rPr>
            </w:pPr>
            <w:r w:rsidRPr="00FA28EE">
              <w:rPr>
                <w:iCs/>
              </w:rPr>
              <w:t>Contractor Owner-Occupied or Landlord COF Events</w:t>
            </w:r>
          </w:p>
        </w:tc>
        <w:tc>
          <w:tcPr>
            <w:tcW w:w="2309" w:type="dxa"/>
            <w:tcBorders>
              <w:top w:val="nil"/>
              <w:left w:val="single" w:sz="4" w:space="0" w:color="auto"/>
              <w:bottom w:val="single" w:sz="4" w:space="0" w:color="auto"/>
              <w:right w:val="single" w:sz="4" w:space="0" w:color="auto"/>
            </w:tcBorders>
            <w:vAlign w:val="bottom"/>
          </w:tcPr>
          <w:p w:rsidR="00DF439A" w:rsidRPr="000773A9" w:rsidRDefault="00DF439A" w:rsidP="00135783">
            <w:pPr>
              <w:keepNext/>
              <w:rPr>
                <w:rFonts w:eastAsia="Arial Unicode MS"/>
                <w:szCs w:val="16"/>
              </w:rPr>
            </w:pPr>
            <w:r w:rsidRPr="000773A9">
              <w:rPr>
                <w:rFonts w:eastAsia="Arial Unicode MS"/>
                <w:szCs w:val="16"/>
              </w:rPr>
              <w:t xml:space="preserve">LSWP Events Performed </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114,315</w:t>
            </w:r>
          </w:p>
        </w:tc>
        <w:tc>
          <w:tcPr>
            <w:tcW w:w="1216"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113,</w:t>
            </w:r>
            <w:r w:rsidR="00266699">
              <w:t>847</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113,379</w:t>
            </w:r>
          </w:p>
        </w:tc>
        <w:tc>
          <w:tcPr>
            <w:tcW w:w="1216" w:type="dxa"/>
            <w:tcBorders>
              <w:top w:val="nil"/>
              <w:left w:val="nil"/>
              <w:bottom w:val="single" w:sz="4" w:space="0" w:color="auto"/>
              <w:right w:val="single" w:sz="4" w:space="0" w:color="auto"/>
            </w:tcBorders>
            <w:vAlign w:val="bottom"/>
          </w:tcPr>
          <w:p w:rsidR="00DF439A" w:rsidRPr="000773A9" w:rsidRDefault="00DF439A" w:rsidP="00F67650">
            <w:pPr>
              <w:ind w:right="255"/>
              <w:jc w:val="right"/>
            </w:pPr>
            <w:r>
              <w:t>113,847</w:t>
            </w:r>
          </w:p>
        </w:tc>
      </w:tr>
      <w:tr w:rsidR="00DF439A" w:rsidRPr="000773A9" w:rsidTr="00EB65D3">
        <w:trPr>
          <w:trHeight w:val="89"/>
          <w:jc w:val="center"/>
        </w:trPr>
        <w:tc>
          <w:tcPr>
            <w:tcW w:w="1891" w:type="dxa"/>
            <w:vMerge/>
            <w:tcBorders>
              <w:left w:val="single" w:sz="4" w:space="0" w:color="auto"/>
              <w:right w:val="single" w:sz="4" w:space="0" w:color="auto"/>
            </w:tcBorders>
            <w:vAlign w:val="center"/>
          </w:tcPr>
          <w:p w:rsidR="00DF439A" w:rsidRPr="000773A9" w:rsidRDefault="00DF439A" w:rsidP="00537689">
            <w:pPr>
              <w:keepNext/>
              <w:rPr>
                <w:rFonts w:eastAsia="Arial Unicode MS"/>
                <w:szCs w:val="16"/>
              </w:rPr>
            </w:pPr>
          </w:p>
        </w:tc>
        <w:tc>
          <w:tcPr>
            <w:tcW w:w="2309" w:type="dxa"/>
            <w:tcBorders>
              <w:top w:val="nil"/>
              <w:left w:val="single" w:sz="4" w:space="0" w:color="auto"/>
              <w:bottom w:val="single" w:sz="4" w:space="0" w:color="auto"/>
              <w:right w:val="single" w:sz="4" w:space="0" w:color="auto"/>
            </w:tcBorders>
            <w:vAlign w:val="bottom"/>
          </w:tcPr>
          <w:p w:rsidR="00DF439A" w:rsidRPr="000773A9" w:rsidRDefault="00DF439A" w:rsidP="00135783">
            <w:pPr>
              <w:keepNext/>
              <w:rPr>
                <w:rFonts w:eastAsia="Arial Unicode MS"/>
                <w:szCs w:val="16"/>
              </w:rPr>
            </w:pPr>
            <w:r w:rsidRPr="000773A9">
              <w:rPr>
                <w:rFonts w:eastAsia="Arial Unicode MS"/>
                <w:szCs w:val="16"/>
              </w:rPr>
              <w:t xml:space="preserve">Burden </w:t>
            </w:r>
            <w:r>
              <w:rPr>
                <w:rFonts w:eastAsia="Arial Unicode MS"/>
                <w:szCs w:val="16"/>
              </w:rPr>
              <w:t xml:space="preserve">Hours </w:t>
            </w:r>
            <w:r w:rsidRPr="000773A9">
              <w:rPr>
                <w:rFonts w:eastAsia="Arial Unicode MS"/>
                <w:szCs w:val="16"/>
              </w:rPr>
              <w:t>per Event</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0.265</w:t>
            </w:r>
          </w:p>
        </w:tc>
        <w:tc>
          <w:tcPr>
            <w:tcW w:w="1216"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0.265</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0.265</w:t>
            </w:r>
          </w:p>
        </w:tc>
        <w:tc>
          <w:tcPr>
            <w:tcW w:w="1216" w:type="dxa"/>
            <w:tcBorders>
              <w:top w:val="nil"/>
              <w:left w:val="nil"/>
              <w:bottom w:val="single" w:sz="4" w:space="0" w:color="auto"/>
              <w:right w:val="single" w:sz="4" w:space="0" w:color="auto"/>
            </w:tcBorders>
            <w:vAlign w:val="bottom"/>
          </w:tcPr>
          <w:p w:rsidR="00DF439A" w:rsidRPr="000773A9" w:rsidRDefault="00DF439A" w:rsidP="00F67650">
            <w:pPr>
              <w:ind w:right="255"/>
              <w:jc w:val="right"/>
            </w:pPr>
            <w:r>
              <w:t>0.265</w:t>
            </w:r>
          </w:p>
        </w:tc>
      </w:tr>
      <w:tr w:rsidR="00DF439A" w:rsidRPr="000773A9" w:rsidTr="00EB65D3">
        <w:trPr>
          <w:trHeight w:val="89"/>
          <w:jc w:val="center"/>
        </w:trPr>
        <w:tc>
          <w:tcPr>
            <w:tcW w:w="1891" w:type="dxa"/>
            <w:vMerge/>
            <w:tcBorders>
              <w:left w:val="single" w:sz="4" w:space="0" w:color="auto"/>
              <w:bottom w:val="single" w:sz="4" w:space="0" w:color="auto"/>
              <w:right w:val="single" w:sz="4" w:space="0" w:color="auto"/>
            </w:tcBorders>
            <w:vAlign w:val="center"/>
          </w:tcPr>
          <w:p w:rsidR="00DF439A" w:rsidRPr="000773A9" w:rsidRDefault="00DF439A" w:rsidP="00537689">
            <w:pPr>
              <w:keepNext/>
              <w:rPr>
                <w:rFonts w:eastAsia="Arial Unicode MS"/>
                <w:szCs w:val="16"/>
              </w:rPr>
            </w:pPr>
          </w:p>
        </w:tc>
        <w:tc>
          <w:tcPr>
            <w:tcW w:w="2309" w:type="dxa"/>
            <w:tcBorders>
              <w:top w:val="nil"/>
              <w:left w:val="single" w:sz="4" w:space="0" w:color="auto"/>
              <w:bottom w:val="single" w:sz="4" w:space="0" w:color="auto"/>
              <w:right w:val="single" w:sz="4" w:space="0" w:color="auto"/>
            </w:tcBorders>
            <w:vAlign w:val="bottom"/>
          </w:tcPr>
          <w:p w:rsidR="00DF439A" w:rsidRPr="000773A9" w:rsidRDefault="00DF439A" w:rsidP="00135783">
            <w:pPr>
              <w:keepNext/>
              <w:rPr>
                <w:rFonts w:eastAsia="Arial Unicode MS"/>
                <w:szCs w:val="16"/>
              </w:rPr>
            </w:pPr>
            <w:r w:rsidRPr="000773A9">
              <w:rPr>
                <w:rFonts w:eastAsia="Arial Unicode MS"/>
                <w:szCs w:val="16"/>
              </w:rPr>
              <w:t>Total Burden Hours</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30,293</w:t>
            </w:r>
          </w:p>
        </w:tc>
        <w:tc>
          <w:tcPr>
            <w:tcW w:w="1216"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30,169</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30,046</w:t>
            </w:r>
          </w:p>
        </w:tc>
        <w:tc>
          <w:tcPr>
            <w:tcW w:w="1216" w:type="dxa"/>
            <w:tcBorders>
              <w:top w:val="nil"/>
              <w:left w:val="nil"/>
              <w:bottom w:val="single" w:sz="4" w:space="0" w:color="auto"/>
              <w:right w:val="single" w:sz="4" w:space="0" w:color="auto"/>
            </w:tcBorders>
            <w:vAlign w:val="bottom"/>
          </w:tcPr>
          <w:p w:rsidR="00DF439A" w:rsidRPr="000773A9" w:rsidRDefault="00DF439A" w:rsidP="00F67650">
            <w:pPr>
              <w:ind w:right="255"/>
              <w:jc w:val="right"/>
            </w:pPr>
            <w:r>
              <w:t>30,169</w:t>
            </w:r>
          </w:p>
        </w:tc>
      </w:tr>
      <w:tr w:rsidR="00DF439A" w:rsidRPr="000773A9" w:rsidTr="00EB65D3">
        <w:trPr>
          <w:trHeight w:val="77"/>
          <w:jc w:val="center"/>
        </w:trPr>
        <w:tc>
          <w:tcPr>
            <w:tcW w:w="1891" w:type="dxa"/>
            <w:vMerge w:val="restart"/>
            <w:tcBorders>
              <w:top w:val="nil"/>
              <w:left w:val="single" w:sz="4" w:space="0" w:color="auto"/>
              <w:right w:val="single" w:sz="4" w:space="0" w:color="auto"/>
            </w:tcBorders>
            <w:vAlign w:val="center"/>
          </w:tcPr>
          <w:p w:rsidR="00DF439A" w:rsidRPr="000773A9" w:rsidRDefault="00DF439A" w:rsidP="00537689">
            <w:pPr>
              <w:keepNext/>
              <w:rPr>
                <w:rFonts w:eastAsia="Arial Unicode MS"/>
                <w:szCs w:val="16"/>
              </w:rPr>
            </w:pPr>
            <w:r w:rsidRPr="00FA28EE">
              <w:rPr>
                <w:iCs/>
              </w:rPr>
              <w:t>Contractor Rental COF Events</w:t>
            </w:r>
          </w:p>
        </w:tc>
        <w:tc>
          <w:tcPr>
            <w:tcW w:w="2309" w:type="dxa"/>
            <w:tcBorders>
              <w:top w:val="nil"/>
              <w:left w:val="single" w:sz="4" w:space="0" w:color="auto"/>
              <w:bottom w:val="single" w:sz="4" w:space="0" w:color="auto"/>
              <w:right w:val="single" w:sz="4" w:space="0" w:color="auto"/>
            </w:tcBorders>
            <w:vAlign w:val="bottom"/>
          </w:tcPr>
          <w:p w:rsidR="00DF439A" w:rsidRPr="000773A9" w:rsidRDefault="00DF439A" w:rsidP="00135783">
            <w:pPr>
              <w:keepNext/>
              <w:rPr>
                <w:rFonts w:eastAsia="Arial Unicode MS"/>
                <w:szCs w:val="16"/>
              </w:rPr>
            </w:pPr>
            <w:r w:rsidRPr="000773A9">
              <w:rPr>
                <w:rFonts w:eastAsia="Arial Unicode MS"/>
                <w:szCs w:val="16"/>
              </w:rPr>
              <w:t xml:space="preserve">LSWP Events Performed </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6,241</w:t>
            </w:r>
          </w:p>
        </w:tc>
        <w:tc>
          <w:tcPr>
            <w:tcW w:w="1216"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6,215</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6,189</w:t>
            </w:r>
          </w:p>
        </w:tc>
        <w:tc>
          <w:tcPr>
            <w:tcW w:w="1216" w:type="dxa"/>
            <w:tcBorders>
              <w:top w:val="nil"/>
              <w:left w:val="nil"/>
              <w:bottom w:val="single" w:sz="4" w:space="0" w:color="auto"/>
              <w:right w:val="single" w:sz="4" w:space="0" w:color="auto"/>
            </w:tcBorders>
            <w:vAlign w:val="bottom"/>
          </w:tcPr>
          <w:p w:rsidR="00DF439A" w:rsidRPr="000773A9" w:rsidRDefault="00DF439A" w:rsidP="00F67650">
            <w:pPr>
              <w:ind w:right="255"/>
              <w:jc w:val="right"/>
            </w:pPr>
            <w:r>
              <w:t>6,215</w:t>
            </w:r>
          </w:p>
        </w:tc>
      </w:tr>
      <w:tr w:rsidR="00DF439A" w:rsidRPr="000773A9" w:rsidTr="00EB65D3">
        <w:trPr>
          <w:trHeight w:val="89"/>
          <w:jc w:val="center"/>
        </w:trPr>
        <w:tc>
          <w:tcPr>
            <w:tcW w:w="1891" w:type="dxa"/>
            <w:vMerge/>
            <w:tcBorders>
              <w:left w:val="single" w:sz="4" w:space="0" w:color="auto"/>
              <w:right w:val="single" w:sz="4" w:space="0" w:color="auto"/>
            </w:tcBorders>
            <w:vAlign w:val="center"/>
          </w:tcPr>
          <w:p w:rsidR="00DF439A" w:rsidRPr="000773A9" w:rsidRDefault="00DF439A" w:rsidP="00537689">
            <w:pPr>
              <w:keepNext/>
              <w:rPr>
                <w:rFonts w:eastAsia="Arial Unicode MS"/>
                <w:szCs w:val="16"/>
              </w:rPr>
            </w:pPr>
          </w:p>
        </w:tc>
        <w:tc>
          <w:tcPr>
            <w:tcW w:w="2309" w:type="dxa"/>
            <w:tcBorders>
              <w:top w:val="nil"/>
              <w:left w:val="single" w:sz="4" w:space="0" w:color="auto"/>
              <w:bottom w:val="single" w:sz="4" w:space="0" w:color="auto"/>
              <w:right w:val="single" w:sz="4" w:space="0" w:color="auto"/>
            </w:tcBorders>
            <w:vAlign w:val="bottom"/>
          </w:tcPr>
          <w:p w:rsidR="00DF439A" w:rsidRPr="000773A9" w:rsidRDefault="00DF439A" w:rsidP="00135783">
            <w:pPr>
              <w:keepNext/>
              <w:rPr>
                <w:rFonts w:eastAsia="Arial Unicode MS"/>
                <w:szCs w:val="16"/>
              </w:rPr>
            </w:pPr>
            <w:r w:rsidRPr="000773A9">
              <w:rPr>
                <w:rFonts w:eastAsia="Arial Unicode MS"/>
                <w:szCs w:val="16"/>
              </w:rPr>
              <w:t xml:space="preserve">Burden </w:t>
            </w:r>
            <w:r>
              <w:rPr>
                <w:rFonts w:eastAsia="Arial Unicode MS"/>
                <w:szCs w:val="16"/>
              </w:rPr>
              <w:t xml:space="preserve">Hours </w:t>
            </w:r>
            <w:r w:rsidRPr="000773A9">
              <w:rPr>
                <w:rFonts w:eastAsia="Arial Unicode MS"/>
                <w:szCs w:val="16"/>
              </w:rPr>
              <w:t>per Event</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0.364</w:t>
            </w:r>
          </w:p>
        </w:tc>
        <w:tc>
          <w:tcPr>
            <w:tcW w:w="1216"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0.364</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0.364</w:t>
            </w:r>
          </w:p>
        </w:tc>
        <w:tc>
          <w:tcPr>
            <w:tcW w:w="1216" w:type="dxa"/>
            <w:tcBorders>
              <w:top w:val="nil"/>
              <w:left w:val="nil"/>
              <w:bottom w:val="single" w:sz="4" w:space="0" w:color="auto"/>
              <w:right w:val="single" w:sz="4" w:space="0" w:color="auto"/>
            </w:tcBorders>
            <w:vAlign w:val="bottom"/>
          </w:tcPr>
          <w:p w:rsidR="00DF439A" w:rsidRPr="000773A9" w:rsidRDefault="00DF439A" w:rsidP="00F67650">
            <w:pPr>
              <w:ind w:right="255"/>
              <w:jc w:val="right"/>
            </w:pPr>
            <w:r>
              <w:t>0.364</w:t>
            </w:r>
          </w:p>
        </w:tc>
      </w:tr>
      <w:tr w:rsidR="00DF439A" w:rsidRPr="000773A9" w:rsidTr="00EB65D3">
        <w:trPr>
          <w:trHeight w:val="89"/>
          <w:jc w:val="center"/>
        </w:trPr>
        <w:tc>
          <w:tcPr>
            <w:tcW w:w="1891" w:type="dxa"/>
            <w:vMerge/>
            <w:tcBorders>
              <w:left w:val="single" w:sz="4" w:space="0" w:color="auto"/>
              <w:bottom w:val="single" w:sz="4" w:space="0" w:color="auto"/>
              <w:right w:val="single" w:sz="4" w:space="0" w:color="auto"/>
            </w:tcBorders>
            <w:vAlign w:val="center"/>
          </w:tcPr>
          <w:p w:rsidR="00DF439A" w:rsidRPr="000773A9" w:rsidRDefault="00DF439A" w:rsidP="00537689">
            <w:pPr>
              <w:keepNext/>
              <w:rPr>
                <w:rFonts w:eastAsia="Arial Unicode MS"/>
                <w:szCs w:val="16"/>
              </w:rPr>
            </w:pPr>
          </w:p>
        </w:tc>
        <w:tc>
          <w:tcPr>
            <w:tcW w:w="2309" w:type="dxa"/>
            <w:tcBorders>
              <w:top w:val="nil"/>
              <w:left w:val="single" w:sz="4" w:space="0" w:color="auto"/>
              <w:bottom w:val="single" w:sz="4" w:space="0" w:color="auto"/>
              <w:right w:val="single" w:sz="4" w:space="0" w:color="auto"/>
            </w:tcBorders>
            <w:vAlign w:val="bottom"/>
          </w:tcPr>
          <w:p w:rsidR="00DF439A" w:rsidRPr="000773A9" w:rsidRDefault="00DF439A" w:rsidP="00135783">
            <w:pPr>
              <w:keepNext/>
              <w:rPr>
                <w:rFonts w:eastAsia="Arial Unicode MS"/>
                <w:szCs w:val="16"/>
              </w:rPr>
            </w:pPr>
            <w:r w:rsidRPr="000773A9">
              <w:rPr>
                <w:rFonts w:eastAsia="Arial Unicode MS"/>
                <w:szCs w:val="16"/>
              </w:rPr>
              <w:t>Total Burden Hours</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2,272</w:t>
            </w:r>
          </w:p>
        </w:tc>
        <w:tc>
          <w:tcPr>
            <w:tcW w:w="1216"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2,262</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2,253</w:t>
            </w:r>
          </w:p>
        </w:tc>
        <w:tc>
          <w:tcPr>
            <w:tcW w:w="1216" w:type="dxa"/>
            <w:tcBorders>
              <w:top w:val="nil"/>
              <w:left w:val="nil"/>
              <w:bottom w:val="single" w:sz="4" w:space="0" w:color="auto"/>
              <w:right w:val="single" w:sz="4" w:space="0" w:color="auto"/>
            </w:tcBorders>
            <w:vAlign w:val="bottom"/>
          </w:tcPr>
          <w:p w:rsidR="00DF439A" w:rsidRPr="000773A9" w:rsidRDefault="00DF439A" w:rsidP="00F67650">
            <w:pPr>
              <w:ind w:right="255"/>
              <w:jc w:val="right"/>
            </w:pPr>
            <w:r>
              <w:t>2,262</w:t>
            </w:r>
          </w:p>
        </w:tc>
      </w:tr>
      <w:tr w:rsidR="00DF439A" w:rsidRPr="000773A9" w:rsidTr="00EB65D3">
        <w:trPr>
          <w:trHeight w:val="77"/>
          <w:jc w:val="center"/>
        </w:trPr>
        <w:tc>
          <w:tcPr>
            <w:tcW w:w="1891" w:type="dxa"/>
            <w:vMerge w:val="restart"/>
            <w:tcBorders>
              <w:top w:val="nil"/>
              <w:left w:val="single" w:sz="4" w:space="0" w:color="auto"/>
              <w:right w:val="single" w:sz="4" w:space="0" w:color="auto"/>
            </w:tcBorders>
            <w:vAlign w:val="center"/>
          </w:tcPr>
          <w:p w:rsidR="00DF439A" w:rsidRPr="000773A9" w:rsidRDefault="00DF439A" w:rsidP="00537689">
            <w:pPr>
              <w:keepNext/>
              <w:rPr>
                <w:rFonts w:eastAsia="Arial Unicode MS"/>
                <w:szCs w:val="16"/>
              </w:rPr>
            </w:pPr>
            <w:r w:rsidRPr="00FA28EE">
              <w:rPr>
                <w:iCs/>
              </w:rPr>
              <w:t>In-House COF Events</w:t>
            </w:r>
          </w:p>
        </w:tc>
        <w:tc>
          <w:tcPr>
            <w:tcW w:w="2309" w:type="dxa"/>
            <w:tcBorders>
              <w:top w:val="nil"/>
              <w:left w:val="single" w:sz="4" w:space="0" w:color="auto"/>
              <w:bottom w:val="single" w:sz="4" w:space="0" w:color="auto"/>
              <w:right w:val="single" w:sz="4" w:space="0" w:color="auto"/>
            </w:tcBorders>
            <w:vAlign w:val="bottom"/>
          </w:tcPr>
          <w:p w:rsidR="00DF439A" w:rsidRPr="000773A9" w:rsidRDefault="00DF439A" w:rsidP="00135783">
            <w:pPr>
              <w:keepNext/>
              <w:rPr>
                <w:rFonts w:eastAsia="Arial Unicode MS"/>
                <w:szCs w:val="16"/>
              </w:rPr>
            </w:pPr>
            <w:r w:rsidRPr="000773A9">
              <w:rPr>
                <w:rFonts w:eastAsia="Arial Unicode MS"/>
                <w:szCs w:val="16"/>
              </w:rPr>
              <w:t xml:space="preserve">LSWP Events Performed </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61,747</w:t>
            </w:r>
          </w:p>
        </w:tc>
        <w:tc>
          <w:tcPr>
            <w:tcW w:w="1216"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61,494</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61,241</w:t>
            </w:r>
          </w:p>
        </w:tc>
        <w:tc>
          <w:tcPr>
            <w:tcW w:w="1216" w:type="dxa"/>
            <w:tcBorders>
              <w:top w:val="nil"/>
              <w:left w:val="nil"/>
              <w:bottom w:val="single" w:sz="4" w:space="0" w:color="auto"/>
              <w:right w:val="single" w:sz="4" w:space="0" w:color="auto"/>
            </w:tcBorders>
            <w:vAlign w:val="bottom"/>
          </w:tcPr>
          <w:p w:rsidR="00DF439A" w:rsidRPr="000773A9" w:rsidRDefault="00DF439A" w:rsidP="00F67650">
            <w:pPr>
              <w:ind w:right="255"/>
              <w:jc w:val="right"/>
            </w:pPr>
            <w:r>
              <w:t>61,494</w:t>
            </w:r>
          </w:p>
        </w:tc>
      </w:tr>
      <w:tr w:rsidR="00DF439A" w:rsidRPr="000773A9" w:rsidTr="00EB65D3">
        <w:trPr>
          <w:trHeight w:val="89"/>
          <w:jc w:val="center"/>
        </w:trPr>
        <w:tc>
          <w:tcPr>
            <w:tcW w:w="1891" w:type="dxa"/>
            <w:vMerge/>
            <w:tcBorders>
              <w:left w:val="single" w:sz="4" w:space="0" w:color="auto"/>
              <w:right w:val="single" w:sz="4" w:space="0" w:color="auto"/>
            </w:tcBorders>
            <w:vAlign w:val="bottom"/>
          </w:tcPr>
          <w:p w:rsidR="00DF439A" w:rsidRPr="000773A9" w:rsidRDefault="00DF439A" w:rsidP="00537689">
            <w:pPr>
              <w:keepNext/>
              <w:rPr>
                <w:rFonts w:eastAsia="Arial Unicode MS"/>
                <w:szCs w:val="16"/>
              </w:rPr>
            </w:pPr>
          </w:p>
        </w:tc>
        <w:tc>
          <w:tcPr>
            <w:tcW w:w="2309" w:type="dxa"/>
            <w:tcBorders>
              <w:top w:val="nil"/>
              <w:left w:val="single" w:sz="4" w:space="0" w:color="auto"/>
              <w:bottom w:val="single" w:sz="4" w:space="0" w:color="auto"/>
              <w:right w:val="single" w:sz="4" w:space="0" w:color="auto"/>
            </w:tcBorders>
            <w:vAlign w:val="bottom"/>
          </w:tcPr>
          <w:p w:rsidR="00DF439A" w:rsidRPr="000773A9" w:rsidRDefault="00DF439A" w:rsidP="00135783">
            <w:pPr>
              <w:keepNext/>
              <w:rPr>
                <w:rFonts w:eastAsia="Arial Unicode MS"/>
                <w:szCs w:val="16"/>
              </w:rPr>
            </w:pPr>
            <w:r w:rsidRPr="000773A9">
              <w:rPr>
                <w:rFonts w:eastAsia="Arial Unicode MS"/>
                <w:szCs w:val="16"/>
              </w:rPr>
              <w:t xml:space="preserve">Burden </w:t>
            </w:r>
            <w:r>
              <w:rPr>
                <w:rFonts w:eastAsia="Arial Unicode MS"/>
                <w:szCs w:val="16"/>
              </w:rPr>
              <w:t xml:space="preserve">Hours </w:t>
            </w:r>
            <w:r w:rsidRPr="000773A9">
              <w:rPr>
                <w:rFonts w:eastAsia="Arial Unicode MS"/>
                <w:szCs w:val="16"/>
              </w:rPr>
              <w:t>per Event</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0.166</w:t>
            </w:r>
          </w:p>
        </w:tc>
        <w:tc>
          <w:tcPr>
            <w:tcW w:w="1216"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0.166</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0.166</w:t>
            </w:r>
          </w:p>
        </w:tc>
        <w:tc>
          <w:tcPr>
            <w:tcW w:w="1216" w:type="dxa"/>
            <w:tcBorders>
              <w:top w:val="nil"/>
              <w:left w:val="nil"/>
              <w:bottom w:val="single" w:sz="4" w:space="0" w:color="auto"/>
              <w:right w:val="single" w:sz="4" w:space="0" w:color="auto"/>
            </w:tcBorders>
            <w:vAlign w:val="bottom"/>
          </w:tcPr>
          <w:p w:rsidR="00DF439A" w:rsidRPr="000773A9" w:rsidRDefault="00DF439A" w:rsidP="00F67650">
            <w:pPr>
              <w:ind w:right="255"/>
              <w:jc w:val="right"/>
            </w:pPr>
            <w:r>
              <w:t>0.166</w:t>
            </w:r>
          </w:p>
        </w:tc>
      </w:tr>
      <w:tr w:rsidR="00DF439A" w:rsidRPr="000773A9" w:rsidTr="00EB65D3">
        <w:trPr>
          <w:trHeight w:val="89"/>
          <w:jc w:val="center"/>
        </w:trPr>
        <w:tc>
          <w:tcPr>
            <w:tcW w:w="1891" w:type="dxa"/>
            <w:vMerge/>
            <w:tcBorders>
              <w:left w:val="single" w:sz="4" w:space="0" w:color="auto"/>
              <w:bottom w:val="single" w:sz="4" w:space="0" w:color="auto"/>
              <w:right w:val="single" w:sz="4" w:space="0" w:color="auto"/>
            </w:tcBorders>
            <w:vAlign w:val="bottom"/>
          </w:tcPr>
          <w:p w:rsidR="00DF439A" w:rsidRPr="000773A9" w:rsidRDefault="00DF439A" w:rsidP="00537689">
            <w:pPr>
              <w:keepNext/>
              <w:rPr>
                <w:rFonts w:eastAsia="Arial Unicode MS"/>
                <w:szCs w:val="16"/>
              </w:rPr>
            </w:pPr>
          </w:p>
        </w:tc>
        <w:tc>
          <w:tcPr>
            <w:tcW w:w="2309" w:type="dxa"/>
            <w:tcBorders>
              <w:top w:val="nil"/>
              <w:left w:val="single" w:sz="4" w:space="0" w:color="auto"/>
              <w:bottom w:val="single" w:sz="4" w:space="0" w:color="auto"/>
              <w:right w:val="single" w:sz="4" w:space="0" w:color="auto"/>
            </w:tcBorders>
            <w:vAlign w:val="bottom"/>
          </w:tcPr>
          <w:p w:rsidR="00DF439A" w:rsidRPr="000773A9" w:rsidRDefault="00DF439A" w:rsidP="00537689">
            <w:pPr>
              <w:keepNext/>
              <w:rPr>
                <w:rFonts w:eastAsia="Arial Unicode MS"/>
                <w:szCs w:val="16"/>
              </w:rPr>
            </w:pPr>
            <w:r w:rsidRPr="000773A9">
              <w:rPr>
                <w:rFonts w:eastAsia="Arial Unicode MS"/>
                <w:szCs w:val="16"/>
              </w:rPr>
              <w:t>Total Burden Hours</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10,250</w:t>
            </w:r>
          </w:p>
        </w:tc>
        <w:tc>
          <w:tcPr>
            <w:tcW w:w="1216"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10,208</w:t>
            </w:r>
          </w:p>
        </w:tc>
        <w:tc>
          <w:tcPr>
            <w:tcW w:w="1215" w:type="dxa"/>
            <w:tcBorders>
              <w:top w:val="nil"/>
              <w:left w:val="nil"/>
              <w:bottom w:val="single" w:sz="4" w:space="0" w:color="auto"/>
              <w:right w:val="single" w:sz="4" w:space="0" w:color="auto"/>
            </w:tcBorders>
            <w:noWrap/>
            <w:vAlign w:val="bottom"/>
          </w:tcPr>
          <w:p w:rsidR="00DF439A" w:rsidRPr="000773A9" w:rsidRDefault="00DF439A" w:rsidP="00F67650">
            <w:pPr>
              <w:ind w:right="255"/>
              <w:jc w:val="right"/>
            </w:pPr>
            <w:r>
              <w:t>10,166</w:t>
            </w:r>
          </w:p>
        </w:tc>
        <w:tc>
          <w:tcPr>
            <w:tcW w:w="1216" w:type="dxa"/>
            <w:tcBorders>
              <w:top w:val="nil"/>
              <w:left w:val="nil"/>
              <w:bottom w:val="single" w:sz="4" w:space="0" w:color="auto"/>
              <w:right w:val="single" w:sz="4" w:space="0" w:color="auto"/>
            </w:tcBorders>
            <w:vAlign w:val="bottom"/>
          </w:tcPr>
          <w:p w:rsidR="00DF439A" w:rsidRPr="000773A9" w:rsidRDefault="00DF439A" w:rsidP="00F67650">
            <w:pPr>
              <w:ind w:right="255"/>
              <w:jc w:val="right"/>
            </w:pPr>
            <w:r>
              <w:t>10,208</w:t>
            </w:r>
          </w:p>
        </w:tc>
      </w:tr>
      <w:tr w:rsidR="00DF439A" w:rsidRPr="000773A9" w:rsidTr="00EB65D3">
        <w:trPr>
          <w:trHeight w:val="89"/>
          <w:jc w:val="center"/>
        </w:trPr>
        <w:tc>
          <w:tcPr>
            <w:tcW w:w="4200" w:type="dxa"/>
            <w:gridSpan w:val="2"/>
            <w:tcBorders>
              <w:top w:val="nil"/>
              <w:left w:val="single" w:sz="4" w:space="0" w:color="auto"/>
              <w:bottom w:val="single" w:sz="4" w:space="0" w:color="auto"/>
              <w:right w:val="single" w:sz="4" w:space="0" w:color="auto"/>
            </w:tcBorders>
            <w:vAlign w:val="bottom"/>
          </w:tcPr>
          <w:p w:rsidR="00DF439A" w:rsidRPr="00987917" w:rsidRDefault="00DF439A" w:rsidP="00537689">
            <w:pPr>
              <w:keepNext/>
              <w:rPr>
                <w:rFonts w:eastAsia="Arial Unicode MS"/>
                <w:b/>
                <w:szCs w:val="16"/>
              </w:rPr>
            </w:pPr>
            <w:r w:rsidRPr="00987917">
              <w:rPr>
                <w:rFonts w:eastAsia="Arial Unicode MS"/>
                <w:b/>
                <w:szCs w:val="16"/>
              </w:rPr>
              <w:t xml:space="preserve">Total Burden Hours – </w:t>
            </w:r>
            <w:r w:rsidRPr="00987917">
              <w:rPr>
                <w:b/>
                <w:i/>
                <w:iCs/>
              </w:rPr>
              <w:t>All Events</w:t>
            </w:r>
          </w:p>
        </w:tc>
        <w:tc>
          <w:tcPr>
            <w:tcW w:w="1215" w:type="dxa"/>
            <w:tcBorders>
              <w:top w:val="nil"/>
              <w:left w:val="nil"/>
              <w:bottom w:val="single" w:sz="4" w:space="0" w:color="auto"/>
              <w:right w:val="single" w:sz="4" w:space="0" w:color="auto"/>
            </w:tcBorders>
            <w:noWrap/>
            <w:vAlign w:val="bottom"/>
          </w:tcPr>
          <w:p w:rsidR="00DF439A" w:rsidRPr="00DF439A" w:rsidRDefault="00DF439A" w:rsidP="00F67650">
            <w:pPr>
              <w:ind w:right="255"/>
              <w:jc w:val="right"/>
              <w:rPr>
                <w:b/>
              </w:rPr>
            </w:pPr>
            <w:r w:rsidRPr="00DF439A">
              <w:rPr>
                <w:b/>
              </w:rPr>
              <w:t>42,815</w:t>
            </w:r>
          </w:p>
        </w:tc>
        <w:tc>
          <w:tcPr>
            <w:tcW w:w="1216" w:type="dxa"/>
            <w:tcBorders>
              <w:top w:val="nil"/>
              <w:left w:val="nil"/>
              <w:bottom w:val="single" w:sz="4" w:space="0" w:color="auto"/>
              <w:right w:val="single" w:sz="4" w:space="0" w:color="auto"/>
            </w:tcBorders>
            <w:noWrap/>
            <w:vAlign w:val="bottom"/>
          </w:tcPr>
          <w:p w:rsidR="00DF439A" w:rsidRPr="00DF439A" w:rsidRDefault="00DF439A" w:rsidP="00F67650">
            <w:pPr>
              <w:ind w:right="255"/>
              <w:jc w:val="right"/>
              <w:rPr>
                <w:b/>
              </w:rPr>
            </w:pPr>
            <w:r w:rsidRPr="00DF439A">
              <w:rPr>
                <w:b/>
              </w:rPr>
              <w:t>42,639</w:t>
            </w:r>
          </w:p>
        </w:tc>
        <w:tc>
          <w:tcPr>
            <w:tcW w:w="1215" w:type="dxa"/>
            <w:tcBorders>
              <w:top w:val="nil"/>
              <w:left w:val="nil"/>
              <w:bottom w:val="single" w:sz="4" w:space="0" w:color="auto"/>
              <w:right w:val="single" w:sz="4" w:space="0" w:color="auto"/>
            </w:tcBorders>
            <w:noWrap/>
            <w:vAlign w:val="bottom"/>
          </w:tcPr>
          <w:p w:rsidR="00DF439A" w:rsidRPr="00DF439A" w:rsidRDefault="00DF439A" w:rsidP="00F67650">
            <w:pPr>
              <w:ind w:right="255"/>
              <w:jc w:val="right"/>
              <w:rPr>
                <w:b/>
              </w:rPr>
            </w:pPr>
            <w:r w:rsidRPr="00DF439A">
              <w:rPr>
                <w:b/>
              </w:rPr>
              <w:t>42,465</w:t>
            </w:r>
          </w:p>
        </w:tc>
        <w:tc>
          <w:tcPr>
            <w:tcW w:w="1216" w:type="dxa"/>
            <w:tcBorders>
              <w:top w:val="nil"/>
              <w:left w:val="nil"/>
              <w:bottom w:val="single" w:sz="4" w:space="0" w:color="auto"/>
              <w:right w:val="single" w:sz="4" w:space="0" w:color="auto"/>
            </w:tcBorders>
            <w:vAlign w:val="bottom"/>
          </w:tcPr>
          <w:p w:rsidR="00DF439A" w:rsidRPr="00DF439A" w:rsidRDefault="00DF439A" w:rsidP="00F67650">
            <w:pPr>
              <w:ind w:right="255"/>
              <w:jc w:val="right"/>
              <w:rPr>
                <w:b/>
              </w:rPr>
            </w:pPr>
            <w:r w:rsidRPr="00DF439A">
              <w:rPr>
                <w:b/>
              </w:rPr>
              <w:t>42,639</w:t>
            </w:r>
          </w:p>
        </w:tc>
      </w:tr>
      <w:tr w:rsidR="00FA28EE" w:rsidRPr="000773A9" w:rsidTr="00EB65D3">
        <w:tblPrEx>
          <w:tblCellMar>
            <w:left w:w="108" w:type="dxa"/>
            <w:right w:w="108" w:type="dxa"/>
          </w:tblCellMar>
        </w:tblPrEx>
        <w:trPr>
          <w:trHeight w:val="268"/>
          <w:jc w:val="center"/>
        </w:trPr>
        <w:tc>
          <w:tcPr>
            <w:tcW w:w="9062" w:type="dxa"/>
            <w:gridSpan w:val="6"/>
          </w:tcPr>
          <w:p w:rsidR="00FA28EE" w:rsidRPr="000773A9" w:rsidRDefault="00FA28EE" w:rsidP="00537689">
            <w:pPr>
              <w:keepNext/>
              <w:rPr>
                <w:b/>
                <w:bCs/>
              </w:rPr>
            </w:pPr>
            <w:r w:rsidRPr="000773A9">
              <w:rPr>
                <w:b/>
                <w:bCs/>
              </w:rPr>
              <w:t xml:space="preserve">Sources: </w:t>
            </w:r>
            <w:r w:rsidRPr="000773A9">
              <w:rPr>
                <w:iCs/>
              </w:rPr>
              <w:t xml:space="preserve">Economic Analysis for the 2008 RRP rule; </w:t>
            </w:r>
            <w:r w:rsidRPr="000773A9">
              <w:rPr>
                <w:i/>
                <w:iCs/>
                <w:color w:val="000000"/>
              </w:rPr>
              <w:t>Supporting Statement for Lead-Based Paint Pre-Renovation Information Dissemination - TSCA Sec. 406(b),</w:t>
            </w:r>
            <w:r w:rsidRPr="000773A9">
              <w:rPr>
                <w:iCs/>
                <w:color w:val="000000"/>
              </w:rPr>
              <w:t xml:space="preserve"> EPA ICR No. 1669.05 (2008)</w:t>
            </w:r>
            <w:r w:rsidRPr="000773A9">
              <w:rPr>
                <w:iCs/>
              </w:rPr>
              <w:t xml:space="preserve">. </w:t>
            </w:r>
          </w:p>
        </w:tc>
      </w:tr>
    </w:tbl>
    <w:p w:rsidR="00751C57" w:rsidRPr="000773A9" w:rsidRDefault="00751C57" w:rsidP="00751C57">
      <w:pPr>
        <w:rPr>
          <w:sz w:val="24"/>
          <w:szCs w:val="24"/>
        </w:rPr>
      </w:pPr>
    </w:p>
    <w:p w:rsidR="00751C57" w:rsidRPr="000773A9" w:rsidRDefault="00751C57" w:rsidP="00942920">
      <w:pPr>
        <w:keepNext/>
        <w:ind w:firstLine="720"/>
        <w:rPr>
          <w:i/>
          <w:sz w:val="24"/>
          <w:szCs w:val="24"/>
        </w:rPr>
      </w:pPr>
      <w:r>
        <w:rPr>
          <w:sz w:val="24"/>
          <w:szCs w:val="24"/>
        </w:rPr>
        <w:t xml:space="preserve">(C)  </w:t>
      </w:r>
      <w:r>
        <w:rPr>
          <w:i/>
          <w:sz w:val="24"/>
          <w:szCs w:val="24"/>
        </w:rPr>
        <w:t xml:space="preserve">Total </w:t>
      </w:r>
      <w:r w:rsidRPr="000773A9">
        <w:rPr>
          <w:i/>
          <w:sz w:val="24"/>
          <w:szCs w:val="24"/>
        </w:rPr>
        <w:t>Burden</w:t>
      </w:r>
      <w:r>
        <w:rPr>
          <w:i/>
          <w:sz w:val="24"/>
          <w:szCs w:val="24"/>
        </w:rPr>
        <w:t xml:space="preserve"> Hours</w:t>
      </w:r>
    </w:p>
    <w:p w:rsidR="008D5F60" w:rsidRDefault="008D5F60" w:rsidP="00537689">
      <w:pPr>
        <w:numPr>
          <w:ilvl w:val="12"/>
          <w:numId w:val="0"/>
        </w:numPr>
        <w:ind w:firstLine="720"/>
        <w:rPr>
          <w:sz w:val="24"/>
          <w:szCs w:val="24"/>
        </w:rPr>
      </w:pPr>
    </w:p>
    <w:p w:rsidR="008D5F60" w:rsidRDefault="00751C57" w:rsidP="00537689">
      <w:pPr>
        <w:numPr>
          <w:ilvl w:val="12"/>
          <w:numId w:val="0"/>
        </w:numPr>
        <w:ind w:firstLine="720"/>
        <w:rPr>
          <w:sz w:val="24"/>
          <w:szCs w:val="24"/>
        </w:rPr>
      </w:pPr>
      <w:r>
        <w:rPr>
          <w:sz w:val="24"/>
          <w:szCs w:val="24"/>
        </w:rPr>
        <w:t xml:space="preserve">Total burden hours are shown in </w:t>
      </w:r>
      <w:r w:rsidR="0055799B" w:rsidRPr="0055799B">
        <w:rPr>
          <w:sz w:val="24"/>
          <w:szCs w:val="24"/>
        </w:rPr>
        <w:fldChar w:fldCharType="begin"/>
      </w:r>
      <w:r w:rsidR="0055799B">
        <w:rPr>
          <w:sz w:val="24"/>
          <w:szCs w:val="24"/>
        </w:rPr>
        <w:instrText xml:space="preserve"> REF _Ref280277333 \h  \* MERGEFORMAT </w:instrText>
      </w:r>
      <w:r w:rsidR="0055799B" w:rsidRPr="0055799B">
        <w:rPr>
          <w:sz w:val="24"/>
          <w:szCs w:val="24"/>
        </w:rPr>
      </w:r>
      <w:r w:rsidR="0055799B" w:rsidRPr="0055799B">
        <w:rPr>
          <w:sz w:val="24"/>
          <w:szCs w:val="24"/>
        </w:rPr>
        <w:fldChar w:fldCharType="separate"/>
      </w:r>
      <w:r w:rsidR="00D067A1" w:rsidRPr="00D067A1">
        <w:rPr>
          <w:sz w:val="24"/>
          <w:szCs w:val="24"/>
        </w:rPr>
        <w:t>Exhibit 6.14</w:t>
      </w:r>
      <w:r w:rsidR="0055799B" w:rsidRPr="0055799B">
        <w:rPr>
          <w:sz w:val="24"/>
          <w:szCs w:val="24"/>
        </w:rPr>
        <w:fldChar w:fldCharType="end"/>
      </w:r>
      <w:r w:rsidR="0055799B">
        <w:rPr>
          <w:sz w:val="24"/>
          <w:szCs w:val="24"/>
        </w:rPr>
        <w:t>.</w:t>
      </w:r>
    </w:p>
    <w:p w:rsidR="008D5F60" w:rsidRPr="000773A9" w:rsidRDefault="008D5F60" w:rsidP="008D5F60">
      <w:pPr>
        <w:rPr>
          <w:sz w:val="24"/>
          <w:szCs w:val="24"/>
        </w:rPr>
      </w:pPr>
    </w:p>
    <w:tbl>
      <w:tblPr>
        <w:tblW w:w="8765" w:type="dxa"/>
        <w:jc w:val="center"/>
        <w:tblLayout w:type="fixed"/>
        <w:tblCellMar>
          <w:left w:w="0" w:type="dxa"/>
          <w:right w:w="0" w:type="dxa"/>
        </w:tblCellMar>
        <w:tblLook w:val="0000" w:firstRow="0" w:lastRow="0" w:firstColumn="0" w:lastColumn="0" w:noHBand="0" w:noVBand="0"/>
      </w:tblPr>
      <w:tblGrid>
        <w:gridCol w:w="2943"/>
        <w:gridCol w:w="1455"/>
        <w:gridCol w:w="1456"/>
        <w:gridCol w:w="1455"/>
        <w:gridCol w:w="1456"/>
      </w:tblGrid>
      <w:tr w:rsidR="008D5F60" w:rsidRPr="000773A9" w:rsidTr="00D041FD">
        <w:trPr>
          <w:trHeight w:val="255"/>
          <w:jc w:val="center"/>
        </w:trPr>
        <w:tc>
          <w:tcPr>
            <w:tcW w:w="8765" w:type="dxa"/>
            <w:gridSpan w:val="5"/>
            <w:tcBorders>
              <w:bottom w:val="single" w:sz="4" w:space="0" w:color="000000"/>
            </w:tcBorders>
            <w:noWrap/>
            <w:vAlign w:val="bottom"/>
          </w:tcPr>
          <w:p w:rsidR="008D5F60" w:rsidRPr="00AB529F" w:rsidRDefault="008D5F60" w:rsidP="00D041FD">
            <w:pPr>
              <w:keepNext/>
              <w:jc w:val="center"/>
              <w:rPr>
                <w:b/>
                <w:bCs/>
                <w:szCs w:val="16"/>
              </w:rPr>
            </w:pPr>
            <w:bookmarkStart w:id="16" w:name="_Ref280277333"/>
            <w:r w:rsidRPr="0055799B">
              <w:rPr>
                <w:rFonts w:eastAsia="Arial Unicode MS"/>
                <w:b/>
                <w:bCs/>
                <w:szCs w:val="16"/>
              </w:rPr>
              <w:t>Exhibit 6.</w:t>
            </w:r>
            <w:r w:rsidRPr="0055799B">
              <w:rPr>
                <w:rFonts w:eastAsia="Arial Unicode MS"/>
                <w:b/>
                <w:bCs/>
                <w:szCs w:val="16"/>
              </w:rPr>
              <w:fldChar w:fldCharType="begin"/>
            </w:r>
            <w:r w:rsidRPr="0055799B">
              <w:rPr>
                <w:rFonts w:eastAsia="Arial Unicode MS"/>
                <w:b/>
                <w:bCs/>
                <w:szCs w:val="16"/>
              </w:rPr>
              <w:instrText xml:space="preserve"> SEQ Exhibit_6. \* ARABIC </w:instrText>
            </w:r>
            <w:r w:rsidRPr="0055799B">
              <w:rPr>
                <w:rFonts w:eastAsia="Arial Unicode MS"/>
                <w:b/>
                <w:bCs/>
                <w:szCs w:val="16"/>
              </w:rPr>
              <w:fldChar w:fldCharType="separate"/>
            </w:r>
            <w:r w:rsidR="00D067A1">
              <w:rPr>
                <w:rFonts w:eastAsia="Arial Unicode MS"/>
                <w:b/>
                <w:bCs/>
                <w:noProof/>
                <w:szCs w:val="16"/>
              </w:rPr>
              <w:t>14</w:t>
            </w:r>
            <w:r w:rsidRPr="0055799B">
              <w:rPr>
                <w:rFonts w:eastAsia="Arial Unicode MS"/>
                <w:b/>
                <w:bCs/>
                <w:szCs w:val="16"/>
              </w:rPr>
              <w:fldChar w:fldCharType="end"/>
            </w:r>
            <w:bookmarkEnd w:id="16"/>
            <w:r w:rsidRPr="0055799B">
              <w:rPr>
                <w:b/>
                <w:bCs/>
              </w:rPr>
              <w:t>:</w:t>
            </w:r>
            <w:r w:rsidRPr="0055799B">
              <w:rPr>
                <w:b/>
              </w:rPr>
              <w:t xml:space="preserve">  Total Burden Hours</w:t>
            </w:r>
          </w:p>
          <w:p w:rsidR="008D5F60" w:rsidRPr="000773A9" w:rsidRDefault="008D5F60" w:rsidP="00D041FD">
            <w:pPr>
              <w:keepNext/>
              <w:jc w:val="center"/>
              <w:rPr>
                <w:b/>
                <w:bCs/>
                <w:szCs w:val="16"/>
              </w:rPr>
            </w:pPr>
          </w:p>
        </w:tc>
      </w:tr>
      <w:tr w:rsidR="008D5F60" w:rsidRPr="000773A9" w:rsidTr="00D041FD">
        <w:trPr>
          <w:trHeight w:val="255"/>
          <w:jc w:val="center"/>
        </w:trPr>
        <w:tc>
          <w:tcPr>
            <w:tcW w:w="2943" w:type="dxa"/>
            <w:tcBorders>
              <w:top w:val="single" w:sz="4" w:space="0" w:color="000000"/>
              <w:left w:val="single" w:sz="4" w:space="0" w:color="auto"/>
              <w:bottom w:val="single" w:sz="4" w:space="0" w:color="auto"/>
              <w:right w:val="single" w:sz="4" w:space="0" w:color="auto"/>
            </w:tcBorders>
            <w:noWrap/>
            <w:vAlign w:val="bottom"/>
          </w:tcPr>
          <w:p w:rsidR="008D5F60" w:rsidRPr="000773A9" w:rsidRDefault="008D5F60" w:rsidP="00D041FD">
            <w:pPr>
              <w:keepNext/>
              <w:rPr>
                <w:rFonts w:eastAsia="Arial Unicode MS"/>
                <w:b/>
                <w:bCs/>
                <w:szCs w:val="16"/>
              </w:rPr>
            </w:pPr>
            <w:r w:rsidRPr="000773A9">
              <w:rPr>
                <w:b/>
                <w:bCs/>
                <w:szCs w:val="16"/>
              </w:rPr>
              <w:t> </w:t>
            </w:r>
            <w:r>
              <w:rPr>
                <w:b/>
                <w:bCs/>
                <w:szCs w:val="16"/>
              </w:rPr>
              <w:t>Renovation Events</w:t>
            </w:r>
          </w:p>
        </w:tc>
        <w:tc>
          <w:tcPr>
            <w:tcW w:w="1455" w:type="dxa"/>
            <w:tcBorders>
              <w:top w:val="single" w:sz="4" w:space="0" w:color="000000"/>
              <w:left w:val="nil"/>
              <w:bottom w:val="single" w:sz="4" w:space="0" w:color="auto"/>
              <w:right w:val="single" w:sz="4" w:space="0" w:color="auto"/>
            </w:tcBorders>
            <w:noWrap/>
            <w:vAlign w:val="bottom"/>
          </w:tcPr>
          <w:p w:rsidR="008D5F60" w:rsidRPr="000773A9" w:rsidRDefault="008D5F60" w:rsidP="00D041FD">
            <w:pPr>
              <w:keepNext/>
              <w:jc w:val="center"/>
              <w:rPr>
                <w:rFonts w:eastAsia="Arial Unicode MS"/>
                <w:b/>
                <w:szCs w:val="16"/>
              </w:rPr>
            </w:pPr>
            <w:r w:rsidRPr="000773A9">
              <w:rPr>
                <w:b/>
                <w:szCs w:val="16"/>
              </w:rPr>
              <w:t>Year 1</w:t>
            </w:r>
          </w:p>
        </w:tc>
        <w:tc>
          <w:tcPr>
            <w:tcW w:w="1456" w:type="dxa"/>
            <w:tcBorders>
              <w:top w:val="single" w:sz="4" w:space="0" w:color="000000"/>
              <w:left w:val="nil"/>
              <w:bottom w:val="single" w:sz="4" w:space="0" w:color="auto"/>
              <w:right w:val="single" w:sz="4" w:space="0" w:color="auto"/>
            </w:tcBorders>
            <w:noWrap/>
            <w:vAlign w:val="bottom"/>
          </w:tcPr>
          <w:p w:rsidR="008D5F60" w:rsidRPr="000773A9" w:rsidRDefault="008D5F60" w:rsidP="00D041FD">
            <w:pPr>
              <w:keepNext/>
              <w:jc w:val="center"/>
              <w:rPr>
                <w:rFonts w:eastAsia="Arial Unicode MS"/>
                <w:b/>
                <w:szCs w:val="16"/>
              </w:rPr>
            </w:pPr>
            <w:r w:rsidRPr="000773A9">
              <w:rPr>
                <w:b/>
                <w:szCs w:val="16"/>
              </w:rPr>
              <w:t>Year 2</w:t>
            </w:r>
          </w:p>
        </w:tc>
        <w:tc>
          <w:tcPr>
            <w:tcW w:w="1455" w:type="dxa"/>
            <w:tcBorders>
              <w:top w:val="single" w:sz="4" w:space="0" w:color="000000"/>
              <w:left w:val="nil"/>
              <w:bottom w:val="single" w:sz="4" w:space="0" w:color="auto"/>
              <w:right w:val="single" w:sz="4" w:space="0" w:color="auto"/>
            </w:tcBorders>
            <w:noWrap/>
            <w:vAlign w:val="bottom"/>
          </w:tcPr>
          <w:p w:rsidR="008D5F60" w:rsidRPr="000773A9" w:rsidRDefault="008D5F60" w:rsidP="00D041FD">
            <w:pPr>
              <w:keepNext/>
              <w:jc w:val="center"/>
              <w:rPr>
                <w:rFonts w:eastAsia="Arial Unicode MS"/>
                <w:b/>
                <w:szCs w:val="16"/>
              </w:rPr>
            </w:pPr>
            <w:r w:rsidRPr="000773A9">
              <w:rPr>
                <w:b/>
                <w:szCs w:val="16"/>
              </w:rPr>
              <w:t>Year 3</w:t>
            </w:r>
          </w:p>
        </w:tc>
        <w:tc>
          <w:tcPr>
            <w:tcW w:w="1456" w:type="dxa"/>
            <w:tcBorders>
              <w:top w:val="single" w:sz="4" w:space="0" w:color="000000"/>
              <w:left w:val="nil"/>
              <w:bottom w:val="single" w:sz="4" w:space="0" w:color="auto"/>
              <w:right w:val="single" w:sz="4" w:space="0" w:color="auto"/>
            </w:tcBorders>
            <w:vAlign w:val="bottom"/>
          </w:tcPr>
          <w:p w:rsidR="008D5F60" w:rsidRPr="000773A9" w:rsidRDefault="008D5F60" w:rsidP="00D041FD">
            <w:pPr>
              <w:keepNext/>
              <w:jc w:val="center"/>
              <w:rPr>
                <w:rFonts w:eastAsia="Arial Unicode MS"/>
                <w:b/>
                <w:szCs w:val="16"/>
              </w:rPr>
            </w:pPr>
            <w:r w:rsidRPr="000773A9">
              <w:rPr>
                <w:rFonts w:eastAsia="Arial Unicode MS"/>
                <w:b/>
                <w:szCs w:val="16"/>
              </w:rPr>
              <w:t>Average</w:t>
            </w:r>
          </w:p>
        </w:tc>
      </w:tr>
      <w:tr w:rsidR="0055799B" w:rsidRPr="000773A9" w:rsidTr="00D041FD">
        <w:trPr>
          <w:trHeight w:val="77"/>
          <w:jc w:val="center"/>
        </w:trPr>
        <w:tc>
          <w:tcPr>
            <w:tcW w:w="2943" w:type="dxa"/>
            <w:tcBorders>
              <w:top w:val="nil"/>
              <w:left w:val="single" w:sz="4" w:space="0" w:color="auto"/>
              <w:bottom w:val="single" w:sz="4" w:space="0" w:color="auto"/>
              <w:right w:val="single" w:sz="4" w:space="0" w:color="auto"/>
            </w:tcBorders>
            <w:vAlign w:val="bottom"/>
          </w:tcPr>
          <w:p w:rsidR="0055799B" w:rsidRPr="000773A9" w:rsidRDefault="0055799B" w:rsidP="00D041FD">
            <w:r>
              <w:t>Target Housing</w:t>
            </w:r>
          </w:p>
        </w:tc>
        <w:tc>
          <w:tcPr>
            <w:tcW w:w="1455" w:type="dxa"/>
            <w:tcBorders>
              <w:top w:val="nil"/>
              <w:left w:val="nil"/>
              <w:bottom w:val="single" w:sz="4" w:space="0" w:color="auto"/>
              <w:right w:val="single" w:sz="4" w:space="0" w:color="auto"/>
            </w:tcBorders>
            <w:noWrap/>
            <w:vAlign w:val="bottom"/>
          </w:tcPr>
          <w:p w:rsidR="0055799B" w:rsidRPr="00901E84" w:rsidRDefault="0055799B" w:rsidP="00D041FD">
            <w:pPr>
              <w:ind w:right="195"/>
              <w:jc w:val="right"/>
            </w:pPr>
            <w:r>
              <w:t>2,545,061</w:t>
            </w:r>
          </w:p>
        </w:tc>
        <w:tc>
          <w:tcPr>
            <w:tcW w:w="1456" w:type="dxa"/>
            <w:tcBorders>
              <w:top w:val="nil"/>
              <w:left w:val="nil"/>
              <w:bottom w:val="single" w:sz="4" w:space="0" w:color="auto"/>
              <w:right w:val="single" w:sz="4" w:space="0" w:color="auto"/>
            </w:tcBorders>
            <w:noWrap/>
            <w:vAlign w:val="bottom"/>
          </w:tcPr>
          <w:p w:rsidR="0055799B" w:rsidRPr="00901E84" w:rsidRDefault="0055799B" w:rsidP="00D041FD">
            <w:pPr>
              <w:ind w:right="195"/>
              <w:jc w:val="right"/>
            </w:pPr>
            <w:r>
              <w:t>2,534,626</w:t>
            </w:r>
          </w:p>
        </w:tc>
        <w:tc>
          <w:tcPr>
            <w:tcW w:w="1455" w:type="dxa"/>
            <w:tcBorders>
              <w:top w:val="nil"/>
              <w:left w:val="nil"/>
              <w:bottom w:val="single" w:sz="4" w:space="0" w:color="auto"/>
              <w:right w:val="single" w:sz="4" w:space="0" w:color="auto"/>
            </w:tcBorders>
            <w:noWrap/>
            <w:vAlign w:val="bottom"/>
          </w:tcPr>
          <w:p w:rsidR="0055799B" w:rsidRPr="00901E84" w:rsidRDefault="0055799B" w:rsidP="00D041FD">
            <w:pPr>
              <w:ind w:right="195"/>
              <w:jc w:val="right"/>
            </w:pPr>
            <w:r>
              <w:t>2,524,234</w:t>
            </w:r>
          </w:p>
        </w:tc>
        <w:tc>
          <w:tcPr>
            <w:tcW w:w="1456" w:type="dxa"/>
            <w:tcBorders>
              <w:top w:val="nil"/>
              <w:left w:val="nil"/>
              <w:bottom w:val="single" w:sz="4" w:space="0" w:color="auto"/>
              <w:right w:val="single" w:sz="4" w:space="0" w:color="auto"/>
            </w:tcBorders>
            <w:vAlign w:val="bottom"/>
          </w:tcPr>
          <w:p w:rsidR="0055799B" w:rsidRPr="00901E84" w:rsidRDefault="0055799B" w:rsidP="00D041FD">
            <w:pPr>
              <w:ind w:right="195"/>
              <w:jc w:val="right"/>
            </w:pPr>
            <w:r>
              <w:t>2,534,640</w:t>
            </w:r>
          </w:p>
        </w:tc>
      </w:tr>
      <w:tr w:rsidR="0055799B" w:rsidRPr="000773A9" w:rsidTr="00D041FD">
        <w:trPr>
          <w:trHeight w:val="89"/>
          <w:jc w:val="center"/>
        </w:trPr>
        <w:tc>
          <w:tcPr>
            <w:tcW w:w="2943" w:type="dxa"/>
            <w:tcBorders>
              <w:top w:val="nil"/>
              <w:left w:val="single" w:sz="4" w:space="0" w:color="auto"/>
              <w:bottom w:val="single" w:sz="4" w:space="0" w:color="auto"/>
              <w:right w:val="single" w:sz="4" w:space="0" w:color="auto"/>
            </w:tcBorders>
            <w:vAlign w:val="bottom"/>
          </w:tcPr>
          <w:p w:rsidR="0055799B" w:rsidRPr="0055799B" w:rsidRDefault="0055799B" w:rsidP="00D041FD">
            <w:r w:rsidRPr="0055799B">
              <w:rPr>
                <w:iCs/>
              </w:rPr>
              <w:t>Contractor Owner-Occupied or Landlord COF Events</w:t>
            </w:r>
          </w:p>
        </w:tc>
        <w:tc>
          <w:tcPr>
            <w:tcW w:w="1455"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30,293</w:t>
            </w:r>
          </w:p>
        </w:tc>
        <w:tc>
          <w:tcPr>
            <w:tcW w:w="1456"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30,169</w:t>
            </w:r>
          </w:p>
        </w:tc>
        <w:tc>
          <w:tcPr>
            <w:tcW w:w="1455"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30,046</w:t>
            </w:r>
          </w:p>
        </w:tc>
        <w:tc>
          <w:tcPr>
            <w:tcW w:w="1456" w:type="dxa"/>
            <w:tcBorders>
              <w:top w:val="nil"/>
              <w:left w:val="nil"/>
              <w:bottom w:val="single" w:sz="4" w:space="0" w:color="auto"/>
              <w:right w:val="single" w:sz="4" w:space="0" w:color="auto"/>
            </w:tcBorders>
            <w:vAlign w:val="bottom"/>
          </w:tcPr>
          <w:p w:rsidR="0055799B" w:rsidRPr="000773A9" w:rsidRDefault="0055799B" w:rsidP="00D041FD">
            <w:pPr>
              <w:ind w:right="255"/>
              <w:jc w:val="right"/>
            </w:pPr>
            <w:r>
              <w:t>30,169</w:t>
            </w:r>
          </w:p>
        </w:tc>
      </w:tr>
      <w:tr w:rsidR="0055799B" w:rsidRPr="000773A9" w:rsidTr="00D041FD">
        <w:trPr>
          <w:trHeight w:val="89"/>
          <w:jc w:val="center"/>
        </w:trPr>
        <w:tc>
          <w:tcPr>
            <w:tcW w:w="2943" w:type="dxa"/>
            <w:tcBorders>
              <w:top w:val="nil"/>
              <w:left w:val="single" w:sz="4" w:space="0" w:color="auto"/>
              <w:bottom w:val="single" w:sz="4" w:space="0" w:color="auto"/>
              <w:right w:val="single" w:sz="4" w:space="0" w:color="auto"/>
            </w:tcBorders>
            <w:vAlign w:val="bottom"/>
          </w:tcPr>
          <w:p w:rsidR="0055799B" w:rsidRPr="0055799B" w:rsidRDefault="0055799B" w:rsidP="00D041FD">
            <w:r w:rsidRPr="0055799B">
              <w:rPr>
                <w:iCs/>
              </w:rPr>
              <w:t>Contractor Rental COF Events</w:t>
            </w:r>
          </w:p>
        </w:tc>
        <w:tc>
          <w:tcPr>
            <w:tcW w:w="1455"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2,272</w:t>
            </w:r>
          </w:p>
        </w:tc>
        <w:tc>
          <w:tcPr>
            <w:tcW w:w="1456"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2,262</w:t>
            </w:r>
          </w:p>
        </w:tc>
        <w:tc>
          <w:tcPr>
            <w:tcW w:w="1455"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2,253</w:t>
            </w:r>
          </w:p>
        </w:tc>
        <w:tc>
          <w:tcPr>
            <w:tcW w:w="1456" w:type="dxa"/>
            <w:tcBorders>
              <w:top w:val="nil"/>
              <w:left w:val="nil"/>
              <w:bottom w:val="single" w:sz="4" w:space="0" w:color="auto"/>
              <w:right w:val="single" w:sz="4" w:space="0" w:color="auto"/>
            </w:tcBorders>
            <w:vAlign w:val="bottom"/>
          </w:tcPr>
          <w:p w:rsidR="0055799B" w:rsidRPr="000773A9" w:rsidRDefault="0055799B" w:rsidP="00D041FD">
            <w:pPr>
              <w:ind w:right="255"/>
              <w:jc w:val="right"/>
            </w:pPr>
            <w:r>
              <w:t>2,262</w:t>
            </w:r>
          </w:p>
        </w:tc>
      </w:tr>
      <w:tr w:rsidR="0055799B" w:rsidRPr="000773A9" w:rsidTr="00D041FD">
        <w:trPr>
          <w:trHeight w:val="89"/>
          <w:jc w:val="center"/>
        </w:trPr>
        <w:tc>
          <w:tcPr>
            <w:tcW w:w="2943" w:type="dxa"/>
            <w:tcBorders>
              <w:top w:val="nil"/>
              <w:left w:val="single" w:sz="4" w:space="0" w:color="auto"/>
              <w:bottom w:val="single" w:sz="4" w:space="0" w:color="auto"/>
              <w:right w:val="single" w:sz="4" w:space="0" w:color="auto"/>
            </w:tcBorders>
            <w:vAlign w:val="bottom"/>
          </w:tcPr>
          <w:p w:rsidR="0055799B" w:rsidRPr="0055799B" w:rsidRDefault="0055799B" w:rsidP="00D041FD">
            <w:r w:rsidRPr="0055799B">
              <w:rPr>
                <w:iCs/>
              </w:rPr>
              <w:t>In-House COF Events</w:t>
            </w:r>
          </w:p>
        </w:tc>
        <w:tc>
          <w:tcPr>
            <w:tcW w:w="1455"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10,250</w:t>
            </w:r>
          </w:p>
        </w:tc>
        <w:tc>
          <w:tcPr>
            <w:tcW w:w="1456"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10,208</w:t>
            </w:r>
          </w:p>
        </w:tc>
        <w:tc>
          <w:tcPr>
            <w:tcW w:w="1455"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10,166</w:t>
            </w:r>
          </w:p>
        </w:tc>
        <w:tc>
          <w:tcPr>
            <w:tcW w:w="1456" w:type="dxa"/>
            <w:tcBorders>
              <w:top w:val="nil"/>
              <w:left w:val="nil"/>
              <w:bottom w:val="single" w:sz="4" w:space="0" w:color="auto"/>
              <w:right w:val="single" w:sz="4" w:space="0" w:color="auto"/>
            </w:tcBorders>
            <w:vAlign w:val="bottom"/>
          </w:tcPr>
          <w:p w:rsidR="0055799B" w:rsidRPr="000773A9" w:rsidRDefault="0055799B" w:rsidP="00D041FD">
            <w:pPr>
              <w:ind w:right="255"/>
              <w:jc w:val="right"/>
            </w:pPr>
            <w:r>
              <w:t>10,208</w:t>
            </w:r>
          </w:p>
        </w:tc>
      </w:tr>
      <w:tr w:rsidR="0055799B" w:rsidRPr="000773A9" w:rsidTr="00D041FD">
        <w:trPr>
          <w:trHeight w:val="89"/>
          <w:jc w:val="center"/>
        </w:trPr>
        <w:tc>
          <w:tcPr>
            <w:tcW w:w="2943" w:type="dxa"/>
            <w:tcBorders>
              <w:top w:val="nil"/>
              <w:left w:val="single" w:sz="4" w:space="0" w:color="auto"/>
              <w:bottom w:val="single" w:sz="4" w:space="0" w:color="auto"/>
              <w:right w:val="single" w:sz="4" w:space="0" w:color="auto"/>
            </w:tcBorders>
            <w:vAlign w:val="bottom"/>
          </w:tcPr>
          <w:p w:rsidR="0055799B" w:rsidRPr="000773A9" w:rsidRDefault="0055799B" w:rsidP="00D041FD">
            <w:pPr>
              <w:rPr>
                <w:b/>
              </w:rPr>
            </w:pPr>
            <w:r w:rsidRPr="000773A9">
              <w:rPr>
                <w:b/>
              </w:rPr>
              <w:t xml:space="preserve">Total </w:t>
            </w:r>
          </w:p>
        </w:tc>
        <w:tc>
          <w:tcPr>
            <w:tcW w:w="1455"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2,587,876</w:t>
            </w:r>
          </w:p>
        </w:tc>
        <w:tc>
          <w:tcPr>
            <w:tcW w:w="1456"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2,577,265</w:t>
            </w:r>
          </w:p>
        </w:tc>
        <w:tc>
          <w:tcPr>
            <w:tcW w:w="1455" w:type="dxa"/>
            <w:tcBorders>
              <w:top w:val="nil"/>
              <w:left w:val="nil"/>
              <w:bottom w:val="single" w:sz="4" w:space="0" w:color="auto"/>
              <w:right w:val="single" w:sz="4" w:space="0" w:color="auto"/>
            </w:tcBorders>
            <w:noWrap/>
            <w:vAlign w:val="bottom"/>
          </w:tcPr>
          <w:p w:rsidR="0055799B" w:rsidRPr="000773A9" w:rsidRDefault="0055799B" w:rsidP="00D041FD">
            <w:pPr>
              <w:ind w:right="255"/>
              <w:jc w:val="right"/>
            </w:pPr>
            <w:r>
              <w:t>2,566,699</w:t>
            </w:r>
          </w:p>
        </w:tc>
        <w:tc>
          <w:tcPr>
            <w:tcW w:w="1456" w:type="dxa"/>
            <w:tcBorders>
              <w:top w:val="nil"/>
              <w:left w:val="nil"/>
              <w:bottom w:val="single" w:sz="4" w:space="0" w:color="auto"/>
              <w:right w:val="single" w:sz="4" w:space="0" w:color="auto"/>
            </w:tcBorders>
            <w:vAlign w:val="bottom"/>
          </w:tcPr>
          <w:p w:rsidR="0055799B" w:rsidRPr="000773A9" w:rsidRDefault="0055799B" w:rsidP="00D041FD">
            <w:pPr>
              <w:ind w:right="255"/>
              <w:jc w:val="right"/>
            </w:pPr>
            <w:r>
              <w:t>2,577,280</w:t>
            </w:r>
          </w:p>
        </w:tc>
      </w:tr>
    </w:tbl>
    <w:p w:rsidR="008D5F60" w:rsidRDefault="008D5F60" w:rsidP="00751C57">
      <w:pPr>
        <w:numPr>
          <w:ilvl w:val="12"/>
          <w:numId w:val="0"/>
        </w:numPr>
        <w:rPr>
          <w:sz w:val="24"/>
          <w:szCs w:val="24"/>
        </w:rPr>
      </w:pPr>
    </w:p>
    <w:p w:rsidR="00537689" w:rsidRPr="000773A9" w:rsidRDefault="00537689" w:rsidP="003A60A1">
      <w:pPr>
        <w:keepNext/>
        <w:numPr>
          <w:ilvl w:val="12"/>
          <w:numId w:val="0"/>
        </w:numPr>
        <w:tabs>
          <w:tab w:val="left" w:pos="720"/>
          <w:tab w:val="left" w:pos="1440"/>
        </w:tabs>
        <w:ind w:left="1440" w:hanging="1440"/>
        <w:rPr>
          <w:sz w:val="24"/>
          <w:szCs w:val="24"/>
        </w:rPr>
      </w:pPr>
      <w:r w:rsidRPr="000773A9">
        <w:rPr>
          <w:b/>
          <w:bCs/>
          <w:sz w:val="24"/>
          <w:szCs w:val="24"/>
        </w:rPr>
        <w:tab/>
        <w:t>6(b)</w:t>
      </w:r>
      <w:r w:rsidRPr="000773A9">
        <w:rPr>
          <w:b/>
          <w:bCs/>
          <w:sz w:val="24"/>
          <w:szCs w:val="24"/>
        </w:rPr>
        <w:tab/>
        <w:t>Estimating Respondent Costs</w:t>
      </w:r>
    </w:p>
    <w:p w:rsidR="00537689" w:rsidRPr="000773A9" w:rsidRDefault="00537689" w:rsidP="003A60A1">
      <w:pPr>
        <w:keepNext/>
        <w:numPr>
          <w:ilvl w:val="12"/>
          <w:numId w:val="0"/>
        </w:numPr>
        <w:rPr>
          <w:sz w:val="24"/>
          <w:szCs w:val="24"/>
        </w:rPr>
      </w:pPr>
      <w:r w:rsidRPr="000773A9">
        <w:rPr>
          <w:sz w:val="24"/>
          <w:szCs w:val="24"/>
        </w:rPr>
        <w:tab/>
      </w:r>
    </w:p>
    <w:p w:rsidR="00537689" w:rsidRPr="000773A9" w:rsidRDefault="00C45847" w:rsidP="003A60A1">
      <w:pPr>
        <w:numPr>
          <w:ilvl w:val="12"/>
          <w:numId w:val="0"/>
        </w:numPr>
        <w:ind w:firstLine="720"/>
        <w:rPr>
          <w:sz w:val="24"/>
          <w:szCs w:val="24"/>
        </w:rPr>
      </w:pPr>
      <w:r w:rsidRPr="000773A9">
        <w:rPr>
          <w:sz w:val="24"/>
          <w:szCs w:val="24"/>
        </w:rPr>
        <w:t xml:space="preserve">Respondent costs are estimated by combining burden estimates from the previous section with loaded wage rate, and adding in materials costs.  </w:t>
      </w:r>
      <w:r w:rsidR="00537689" w:rsidRPr="000773A9">
        <w:rPr>
          <w:sz w:val="24"/>
          <w:szCs w:val="24"/>
        </w:rPr>
        <w:t xml:space="preserve">The </w:t>
      </w:r>
      <w:r w:rsidRPr="000773A9">
        <w:rPr>
          <w:sz w:val="24"/>
          <w:szCs w:val="24"/>
        </w:rPr>
        <w:t>loaded hourly wage rate</w:t>
      </w:r>
      <w:r w:rsidR="00537689" w:rsidRPr="000773A9">
        <w:rPr>
          <w:sz w:val="24"/>
          <w:szCs w:val="24"/>
        </w:rPr>
        <w:t xml:space="preserve"> for renovation contractors and property managers is estimated to be $</w:t>
      </w:r>
      <w:r w:rsidR="00E1772B">
        <w:rPr>
          <w:sz w:val="24"/>
          <w:szCs w:val="24"/>
        </w:rPr>
        <w:t>45.81</w:t>
      </w:r>
      <w:r w:rsidR="00537689" w:rsidRPr="000773A9">
        <w:rPr>
          <w:sz w:val="24"/>
          <w:szCs w:val="24"/>
        </w:rPr>
        <w:t xml:space="preserve"> per hour</w:t>
      </w:r>
      <w:r w:rsidRPr="000773A9">
        <w:rPr>
          <w:sz w:val="24"/>
          <w:szCs w:val="24"/>
        </w:rPr>
        <w:t xml:space="preserve">, based on </w:t>
      </w:r>
      <w:r w:rsidR="00537689" w:rsidRPr="000773A9">
        <w:rPr>
          <w:sz w:val="24"/>
          <w:szCs w:val="24"/>
        </w:rPr>
        <w:t xml:space="preserve">wage data from the Bureau of Labor Statistics </w:t>
      </w:r>
      <w:r w:rsidRPr="000773A9">
        <w:rPr>
          <w:sz w:val="24"/>
          <w:szCs w:val="24"/>
        </w:rPr>
        <w:t xml:space="preserve">and assuming </w:t>
      </w:r>
      <w:r w:rsidR="00537689" w:rsidRPr="000773A9">
        <w:rPr>
          <w:sz w:val="24"/>
          <w:szCs w:val="24"/>
        </w:rPr>
        <w:t xml:space="preserve">a </w:t>
      </w:r>
      <w:r w:rsidR="00FD6220">
        <w:rPr>
          <w:sz w:val="24"/>
          <w:szCs w:val="24"/>
        </w:rPr>
        <w:t>53</w:t>
      </w:r>
      <w:r w:rsidR="00FD6220" w:rsidRPr="000773A9">
        <w:rPr>
          <w:sz w:val="24"/>
          <w:szCs w:val="24"/>
        </w:rPr>
        <w:t xml:space="preserve"> </w:t>
      </w:r>
      <w:r w:rsidR="00537689" w:rsidRPr="000773A9">
        <w:rPr>
          <w:sz w:val="24"/>
          <w:szCs w:val="24"/>
        </w:rPr>
        <w:t>percent markup to account for fringe benefits</w:t>
      </w:r>
      <w:r w:rsidR="00FD6220">
        <w:rPr>
          <w:sz w:val="24"/>
          <w:szCs w:val="24"/>
        </w:rPr>
        <w:t xml:space="preserve"> and overhead</w:t>
      </w:r>
      <w:r w:rsidR="00537689" w:rsidRPr="000773A9">
        <w:rPr>
          <w:sz w:val="24"/>
          <w:szCs w:val="24"/>
        </w:rPr>
        <w:t>.</w:t>
      </w:r>
      <w:r w:rsidR="006C6567" w:rsidRPr="000773A9">
        <w:rPr>
          <w:rStyle w:val="FootnoteReference"/>
          <w:sz w:val="24"/>
          <w:szCs w:val="24"/>
        </w:rPr>
        <w:t xml:space="preserve"> </w:t>
      </w:r>
      <w:r w:rsidR="006C6567" w:rsidRPr="000773A9">
        <w:rPr>
          <w:rStyle w:val="FootnoteReference"/>
          <w:sz w:val="24"/>
          <w:szCs w:val="24"/>
        </w:rPr>
        <w:footnoteReference w:id="7"/>
      </w:r>
      <w:r w:rsidR="006C6567" w:rsidRPr="000773A9">
        <w:rPr>
          <w:sz w:val="24"/>
          <w:szCs w:val="24"/>
        </w:rPr>
        <w:t xml:space="preserve"> </w:t>
      </w:r>
      <w:r w:rsidR="00537689" w:rsidRPr="000773A9">
        <w:rPr>
          <w:sz w:val="24"/>
          <w:szCs w:val="24"/>
        </w:rPr>
        <w:t xml:space="preserve">  </w:t>
      </w:r>
    </w:p>
    <w:p w:rsidR="00537689" w:rsidRPr="000773A9" w:rsidRDefault="00537689" w:rsidP="00537689">
      <w:pPr>
        <w:rPr>
          <w:sz w:val="24"/>
          <w:szCs w:val="24"/>
        </w:rPr>
      </w:pPr>
    </w:p>
    <w:p w:rsidR="00537689" w:rsidRPr="000773A9" w:rsidRDefault="00537689" w:rsidP="00537689">
      <w:pPr>
        <w:rPr>
          <w:sz w:val="24"/>
          <w:szCs w:val="24"/>
        </w:rPr>
      </w:pPr>
      <w:r w:rsidRPr="000773A9">
        <w:rPr>
          <w:sz w:val="24"/>
          <w:szCs w:val="24"/>
        </w:rPr>
        <w:lastRenderedPageBreak/>
        <w:tab/>
        <w:t xml:space="preserve">The costs associated with the pamphlet, the acknowledgment forms, the certification forms, and notification signs are all considered to be materials costs and are not included in the estimated burden and corresponding </w:t>
      </w:r>
      <w:r w:rsidR="00FA28EE">
        <w:rPr>
          <w:sz w:val="24"/>
          <w:szCs w:val="24"/>
        </w:rPr>
        <w:t xml:space="preserve">labor </w:t>
      </w:r>
      <w:r w:rsidRPr="000773A9">
        <w:rPr>
          <w:sz w:val="24"/>
          <w:szCs w:val="24"/>
        </w:rPr>
        <w:t xml:space="preserve">cost estimate.  The “materials” costs consist of the cost for purchasing or duplicating the Lead Hazard Pamphlets, and the materials associated with the preparation of the acknowledgment form and notifications, as well as any certification forms. Certification forms are expected to be used infrequently, but there is no numerical information available on that frequency. The materials cost for certification forms is expected to be negligible in comparison to the cost of acknowledgment forms and therefore has not been separately estimated. </w:t>
      </w:r>
    </w:p>
    <w:p w:rsidR="00537689" w:rsidRPr="000773A9" w:rsidRDefault="00537689" w:rsidP="00537689">
      <w:pPr>
        <w:rPr>
          <w:sz w:val="24"/>
          <w:szCs w:val="24"/>
        </w:rPr>
      </w:pPr>
    </w:p>
    <w:p w:rsidR="00537689" w:rsidRDefault="00537689" w:rsidP="00537689">
      <w:pPr>
        <w:rPr>
          <w:sz w:val="24"/>
          <w:szCs w:val="24"/>
        </w:rPr>
      </w:pPr>
      <w:r w:rsidRPr="000773A9">
        <w:rPr>
          <w:sz w:val="24"/>
          <w:szCs w:val="24"/>
        </w:rPr>
        <w:tab/>
        <w:t>In addition to the time needed to prepare acknowledgement forms and distribute the pamphlet, contractors and landlords will incur the costs of either photocopying or purchasing the renovation-specific lead safety pamphlets.  The Lead Hazard Pamphlets are 1</w:t>
      </w:r>
      <w:r w:rsidR="002B3E3C">
        <w:rPr>
          <w:sz w:val="24"/>
          <w:szCs w:val="24"/>
        </w:rPr>
        <w:t>1</w:t>
      </w:r>
      <w:r w:rsidRPr="000773A9">
        <w:rPr>
          <w:sz w:val="24"/>
          <w:szCs w:val="24"/>
        </w:rPr>
        <w:t xml:space="preserve"> pages</w:t>
      </w:r>
      <w:r w:rsidR="009F5D0A">
        <w:rPr>
          <w:sz w:val="24"/>
          <w:szCs w:val="24"/>
        </w:rPr>
        <w:t xml:space="preserve"> in length</w:t>
      </w:r>
      <w:r w:rsidRPr="000773A9">
        <w:rPr>
          <w:sz w:val="24"/>
          <w:szCs w:val="24"/>
        </w:rPr>
        <w:t xml:space="preserve">, printed </w:t>
      </w:r>
      <w:r w:rsidR="002B3E3C">
        <w:rPr>
          <w:sz w:val="24"/>
          <w:szCs w:val="24"/>
        </w:rPr>
        <w:t>single-sided, black and white, and on standard paper</w:t>
      </w:r>
      <w:r w:rsidRPr="000773A9">
        <w:rPr>
          <w:sz w:val="24"/>
          <w:szCs w:val="24"/>
        </w:rPr>
        <w:t>.  Based on per-page photocopy costs, EPA estimates that a single pamphlet costs $</w:t>
      </w:r>
      <w:r w:rsidR="002B3E3C">
        <w:rPr>
          <w:sz w:val="24"/>
          <w:szCs w:val="24"/>
        </w:rPr>
        <w:t>1</w:t>
      </w:r>
      <w:r w:rsidRPr="000773A9">
        <w:rPr>
          <w:sz w:val="24"/>
          <w:szCs w:val="24"/>
        </w:rPr>
        <w:t>.</w:t>
      </w:r>
      <w:r w:rsidR="002B3E3C">
        <w:rPr>
          <w:sz w:val="24"/>
          <w:szCs w:val="24"/>
        </w:rPr>
        <w:t>1</w:t>
      </w:r>
      <w:r w:rsidR="002B3E3C" w:rsidRPr="000773A9">
        <w:rPr>
          <w:sz w:val="24"/>
          <w:szCs w:val="24"/>
        </w:rPr>
        <w:t xml:space="preserve">0 </w:t>
      </w:r>
      <w:r w:rsidRPr="000773A9">
        <w:rPr>
          <w:sz w:val="24"/>
          <w:szCs w:val="24"/>
        </w:rPr>
        <w:t>to photocopy.</w:t>
      </w:r>
      <w:r w:rsidRPr="000773A9">
        <w:rPr>
          <w:rStyle w:val="FootnoteReference"/>
          <w:sz w:val="24"/>
          <w:szCs w:val="24"/>
        </w:rPr>
        <w:footnoteReference w:id="8"/>
      </w:r>
    </w:p>
    <w:p w:rsidR="00014355" w:rsidRDefault="00014355" w:rsidP="00537689">
      <w:pPr>
        <w:rPr>
          <w:sz w:val="24"/>
          <w:szCs w:val="24"/>
        </w:rPr>
      </w:pPr>
    </w:p>
    <w:p w:rsidR="00537689" w:rsidRPr="000773A9" w:rsidRDefault="00537689" w:rsidP="00014355">
      <w:pPr>
        <w:keepNext/>
        <w:keepLines/>
        <w:numPr>
          <w:ilvl w:val="0"/>
          <w:numId w:val="38"/>
        </w:numPr>
        <w:rPr>
          <w:i/>
          <w:sz w:val="24"/>
          <w:szCs w:val="24"/>
        </w:rPr>
      </w:pPr>
      <w:r w:rsidRPr="000773A9">
        <w:rPr>
          <w:i/>
          <w:sz w:val="24"/>
          <w:szCs w:val="24"/>
        </w:rPr>
        <w:t>Target Housing Event Costs</w:t>
      </w:r>
      <w:r w:rsidR="00014355">
        <w:rPr>
          <w:i/>
          <w:sz w:val="24"/>
          <w:szCs w:val="24"/>
        </w:rPr>
        <w:t xml:space="preserve"> </w:t>
      </w:r>
    </w:p>
    <w:p w:rsidR="00537689" w:rsidRPr="000773A9" w:rsidRDefault="00537689" w:rsidP="00EB65D3">
      <w:pPr>
        <w:keepNext/>
        <w:keepLines/>
        <w:rPr>
          <w:sz w:val="24"/>
          <w:szCs w:val="24"/>
        </w:rPr>
      </w:pPr>
    </w:p>
    <w:p w:rsidR="00537689" w:rsidRPr="000773A9" w:rsidRDefault="00537689" w:rsidP="00EB65D3">
      <w:pPr>
        <w:keepNext/>
        <w:keepLines/>
        <w:ind w:firstLine="720"/>
        <w:rPr>
          <w:sz w:val="24"/>
          <w:szCs w:val="24"/>
        </w:rPr>
      </w:pPr>
      <w:r w:rsidRPr="000773A9">
        <w:rPr>
          <w:sz w:val="24"/>
          <w:szCs w:val="24"/>
        </w:rPr>
        <w:t xml:space="preserve">EPA assumes that all owner-occupied renovation events in target housing will require one copy of the lead-safety pamphlet for the owner/occupant.  Rental housing renovation events taking place in </w:t>
      </w:r>
      <w:r w:rsidR="00FA28EE">
        <w:rPr>
          <w:sz w:val="24"/>
          <w:szCs w:val="24"/>
        </w:rPr>
        <w:t xml:space="preserve">occupied rental </w:t>
      </w:r>
      <w:r w:rsidRPr="000773A9">
        <w:rPr>
          <w:sz w:val="24"/>
          <w:szCs w:val="24"/>
        </w:rPr>
        <w:t>unit</w:t>
      </w:r>
      <w:r w:rsidR="00FA28EE">
        <w:rPr>
          <w:sz w:val="24"/>
          <w:szCs w:val="24"/>
        </w:rPr>
        <w:t>s</w:t>
      </w:r>
      <w:r w:rsidRPr="000773A9">
        <w:rPr>
          <w:sz w:val="24"/>
          <w:szCs w:val="24"/>
        </w:rPr>
        <w:t xml:space="preserve"> will require two copies of the pamphlet: one for the property owner and a second for the current tenant.  </w:t>
      </w:r>
      <w:r w:rsidR="00EB65D3" w:rsidRPr="0062266D">
        <w:rPr>
          <w:sz w:val="24"/>
          <w:szCs w:val="24"/>
        </w:rPr>
        <w:t xml:space="preserve">Rental housing renovation events taking place in vacant rental units will require one copy of the pamphlet for the property owner.  </w:t>
      </w:r>
      <w:r w:rsidRPr="0062266D">
        <w:rPr>
          <w:sz w:val="24"/>
          <w:szCs w:val="24"/>
        </w:rPr>
        <w:t>F</w:t>
      </w:r>
      <w:r w:rsidRPr="000773A9">
        <w:rPr>
          <w:sz w:val="24"/>
          <w:szCs w:val="24"/>
        </w:rPr>
        <w:t xml:space="preserve">or a renovation event taking place in the </w:t>
      </w:r>
      <w:r w:rsidRPr="00EB65D3">
        <w:rPr>
          <w:sz w:val="24"/>
          <w:szCs w:val="24"/>
        </w:rPr>
        <w:t>common</w:t>
      </w:r>
      <w:r w:rsidRPr="000773A9">
        <w:rPr>
          <w:sz w:val="24"/>
          <w:szCs w:val="24"/>
        </w:rPr>
        <w:t xml:space="preserve"> area of a rental housing unit, EPA assumes </w:t>
      </w:r>
      <w:r w:rsidR="00940102">
        <w:rPr>
          <w:sz w:val="24"/>
          <w:szCs w:val="24"/>
        </w:rPr>
        <w:t>firm performing renovation</w:t>
      </w:r>
      <w:r w:rsidRPr="000773A9">
        <w:rPr>
          <w:sz w:val="24"/>
          <w:szCs w:val="24"/>
        </w:rPr>
        <w:t xml:space="preserve">s will provide a copy of the lead-safety pamphlet to the property owner and post a second copy so that it is accessible to all occupants of the building.  In addition, </w:t>
      </w:r>
      <w:r w:rsidRPr="00EB65D3">
        <w:rPr>
          <w:sz w:val="24"/>
          <w:szCs w:val="24"/>
        </w:rPr>
        <w:t>common</w:t>
      </w:r>
      <w:r w:rsidRPr="000773A9">
        <w:rPr>
          <w:sz w:val="24"/>
          <w:szCs w:val="24"/>
        </w:rPr>
        <w:t xml:space="preserve"> area events would require the </w:t>
      </w:r>
      <w:r w:rsidR="00940102">
        <w:rPr>
          <w:sz w:val="24"/>
          <w:szCs w:val="24"/>
        </w:rPr>
        <w:t>firm performing renovations</w:t>
      </w:r>
      <w:r w:rsidRPr="000773A9">
        <w:rPr>
          <w:sz w:val="24"/>
          <w:szCs w:val="24"/>
        </w:rPr>
        <w:t xml:space="preserve"> to post a sheet containing general information about the specific renovation event.  </w:t>
      </w:r>
    </w:p>
    <w:p w:rsidR="00537689" w:rsidRPr="000773A9" w:rsidRDefault="00537689" w:rsidP="00537689">
      <w:pPr>
        <w:keepNext/>
        <w:ind w:firstLine="720"/>
        <w:rPr>
          <w:sz w:val="24"/>
          <w:szCs w:val="24"/>
        </w:rPr>
      </w:pPr>
    </w:p>
    <w:p w:rsidR="00537689" w:rsidRPr="000773A9" w:rsidRDefault="00537689" w:rsidP="00537689">
      <w:pPr>
        <w:ind w:firstLine="720"/>
        <w:rPr>
          <w:sz w:val="24"/>
          <w:szCs w:val="24"/>
        </w:rPr>
      </w:pPr>
      <w:r w:rsidRPr="000773A9">
        <w:rPr>
          <w:sz w:val="24"/>
          <w:szCs w:val="24"/>
        </w:rPr>
        <w:t xml:space="preserve">It is assumed that for every renovation event there is one copy of the written acknowledgment.  </w:t>
      </w:r>
      <w:r w:rsidR="00940102">
        <w:rPr>
          <w:sz w:val="24"/>
          <w:szCs w:val="24"/>
        </w:rPr>
        <w:t>Firms performing renovation</w:t>
      </w:r>
      <w:r w:rsidRPr="000773A9">
        <w:rPr>
          <w:sz w:val="24"/>
          <w:szCs w:val="24"/>
        </w:rPr>
        <w:t xml:space="preserve">s are assumed to generate two document sets (one for the renovator and one for the occupant or owner), for a total of two copies, at approximately $0.10 </w:t>
      </w:r>
      <w:r w:rsidR="007A419F">
        <w:rPr>
          <w:sz w:val="24"/>
          <w:szCs w:val="24"/>
        </w:rPr>
        <w:t xml:space="preserve">per </w:t>
      </w:r>
      <w:r w:rsidRPr="000773A9">
        <w:rPr>
          <w:sz w:val="24"/>
          <w:szCs w:val="24"/>
        </w:rPr>
        <w:t xml:space="preserve">page.  </w:t>
      </w:r>
      <w:r w:rsidR="00EA705B">
        <w:rPr>
          <w:sz w:val="24"/>
          <w:szCs w:val="24"/>
        </w:rPr>
        <w:t xml:space="preserve">For common area events, it is assumed </w:t>
      </w:r>
      <w:r w:rsidR="00940102">
        <w:rPr>
          <w:sz w:val="24"/>
          <w:szCs w:val="24"/>
        </w:rPr>
        <w:t>firms performing renovation</w:t>
      </w:r>
      <w:r w:rsidR="00EA705B">
        <w:rPr>
          <w:sz w:val="24"/>
          <w:szCs w:val="24"/>
        </w:rPr>
        <w:t xml:space="preserve">s will make one copy of the statement describing the steps taken to notify occupants.  </w:t>
      </w:r>
      <w:r w:rsidRPr="000773A9">
        <w:rPr>
          <w:sz w:val="24"/>
          <w:szCs w:val="24"/>
        </w:rPr>
        <w:fldChar w:fldCharType="begin"/>
      </w:r>
      <w:r w:rsidRPr="000773A9">
        <w:rPr>
          <w:sz w:val="24"/>
          <w:szCs w:val="24"/>
        </w:rPr>
        <w:instrText xml:space="preserve"> REF _Ref269986933 \h  \* MERGEFORMAT </w:instrText>
      </w:r>
      <w:r w:rsidRPr="000773A9">
        <w:rPr>
          <w:sz w:val="24"/>
          <w:szCs w:val="24"/>
        </w:rPr>
      </w:r>
      <w:r w:rsidRPr="000773A9">
        <w:rPr>
          <w:sz w:val="24"/>
          <w:szCs w:val="24"/>
        </w:rPr>
        <w:fldChar w:fldCharType="separate"/>
      </w:r>
      <w:r w:rsidR="00D067A1" w:rsidRPr="00D067A1">
        <w:rPr>
          <w:sz w:val="24"/>
          <w:szCs w:val="24"/>
        </w:rPr>
        <w:t>Exhibit 6.15</w:t>
      </w:r>
      <w:r w:rsidRPr="000773A9">
        <w:rPr>
          <w:sz w:val="24"/>
          <w:szCs w:val="24"/>
        </w:rPr>
        <w:fldChar w:fldCharType="end"/>
      </w:r>
      <w:r w:rsidR="00FA28EE">
        <w:rPr>
          <w:sz w:val="24"/>
          <w:szCs w:val="24"/>
        </w:rPr>
        <w:t xml:space="preserve"> presents the resulting</w:t>
      </w:r>
      <w:r w:rsidRPr="000773A9">
        <w:rPr>
          <w:sz w:val="24"/>
          <w:szCs w:val="24"/>
        </w:rPr>
        <w:t xml:space="preserve"> pamphlet costs</w:t>
      </w:r>
      <w:r w:rsidR="00FA28EE">
        <w:rPr>
          <w:sz w:val="24"/>
          <w:szCs w:val="24"/>
        </w:rPr>
        <w:t xml:space="preserve"> per event</w:t>
      </w:r>
      <w:r w:rsidRPr="000773A9">
        <w:rPr>
          <w:sz w:val="24"/>
          <w:szCs w:val="24"/>
        </w:rPr>
        <w:t xml:space="preserve">.  </w:t>
      </w:r>
    </w:p>
    <w:p w:rsidR="00537689" w:rsidRPr="000773A9" w:rsidRDefault="00537689" w:rsidP="00537689">
      <w:pPr>
        <w:rPr>
          <w:sz w:val="24"/>
          <w:szCs w:val="24"/>
        </w:rPr>
      </w:pPr>
    </w:p>
    <w:tbl>
      <w:tblPr>
        <w:tblW w:w="9274" w:type="dxa"/>
        <w:jc w:val="center"/>
        <w:tblLayout w:type="fixed"/>
        <w:tblCellMar>
          <w:left w:w="0" w:type="dxa"/>
          <w:right w:w="0" w:type="dxa"/>
        </w:tblCellMar>
        <w:tblLook w:val="0000" w:firstRow="0" w:lastRow="0" w:firstColumn="0" w:lastColumn="0" w:noHBand="0" w:noVBand="0"/>
      </w:tblPr>
      <w:tblGrid>
        <w:gridCol w:w="2597"/>
        <w:gridCol w:w="1112"/>
        <w:gridCol w:w="1113"/>
        <w:gridCol w:w="1113"/>
        <w:gridCol w:w="1113"/>
        <w:gridCol w:w="1113"/>
        <w:gridCol w:w="1113"/>
      </w:tblGrid>
      <w:tr w:rsidR="00537689" w:rsidRPr="000773A9" w:rsidTr="007A419F">
        <w:trPr>
          <w:trHeight w:val="255"/>
          <w:jc w:val="center"/>
        </w:trPr>
        <w:tc>
          <w:tcPr>
            <w:tcW w:w="9274" w:type="dxa"/>
            <w:gridSpan w:val="7"/>
            <w:tcBorders>
              <w:bottom w:val="single" w:sz="4" w:space="0" w:color="auto"/>
            </w:tcBorders>
            <w:noWrap/>
            <w:vAlign w:val="bottom"/>
          </w:tcPr>
          <w:p w:rsidR="00537689" w:rsidRPr="000773A9" w:rsidRDefault="00537689" w:rsidP="00537689">
            <w:pPr>
              <w:keepNext/>
              <w:jc w:val="center"/>
              <w:rPr>
                <w:b/>
                <w:bCs/>
                <w:szCs w:val="16"/>
              </w:rPr>
            </w:pPr>
            <w:bookmarkStart w:id="17" w:name="_Ref269986933"/>
            <w:r w:rsidRPr="000773A9">
              <w:rPr>
                <w:rFonts w:eastAsia="Arial Unicode MS"/>
                <w:b/>
                <w:bCs/>
                <w:szCs w:val="16"/>
              </w:rPr>
              <w:lastRenderedPageBreak/>
              <w:t>Exhibit 6.</w:t>
            </w:r>
            <w:r w:rsidRPr="000773A9">
              <w:rPr>
                <w:rFonts w:eastAsia="Arial Unicode MS"/>
                <w:b/>
                <w:bCs/>
                <w:szCs w:val="16"/>
              </w:rPr>
              <w:fldChar w:fldCharType="begin"/>
            </w:r>
            <w:r w:rsidRPr="000773A9">
              <w:rPr>
                <w:rFonts w:eastAsia="Arial Unicode MS"/>
                <w:b/>
                <w:bCs/>
                <w:szCs w:val="16"/>
              </w:rPr>
              <w:instrText xml:space="preserve"> SEQ Exhibit_6. \* ARABIC </w:instrText>
            </w:r>
            <w:r w:rsidRPr="000773A9">
              <w:rPr>
                <w:rFonts w:eastAsia="Arial Unicode MS"/>
                <w:b/>
                <w:bCs/>
                <w:szCs w:val="16"/>
              </w:rPr>
              <w:fldChar w:fldCharType="separate"/>
            </w:r>
            <w:r w:rsidR="00D067A1">
              <w:rPr>
                <w:rFonts w:eastAsia="Arial Unicode MS"/>
                <w:b/>
                <w:bCs/>
                <w:noProof/>
                <w:szCs w:val="16"/>
              </w:rPr>
              <w:t>15</w:t>
            </w:r>
            <w:r w:rsidRPr="000773A9">
              <w:rPr>
                <w:rFonts w:eastAsia="Arial Unicode MS"/>
                <w:b/>
                <w:bCs/>
                <w:szCs w:val="16"/>
              </w:rPr>
              <w:fldChar w:fldCharType="end"/>
            </w:r>
            <w:bookmarkEnd w:id="17"/>
            <w:r w:rsidRPr="000773A9">
              <w:rPr>
                <w:b/>
                <w:bCs/>
              </w:rPr>
              <w:t>:</w:t>
            </w:r>
            <w:r w:rsidRPr="000773A9">
              <w:t xml:space="preserve"> </w:t>
            </w:r>
            <w:r w:rsidRPr="000773A9">
              <w:rPr>
                <w:b/>
                <w:bCs/>
                <w:szCs w:val="16"/>
              </w:rPr>
              <w:t xml:space="preserve">Per-Event </w:t>
            </w:r>
            <w:r w:rsidR="009F6B34" w:rsidRPr="000773A9">
              <w:rPr>
                <w:b/>
                <w:bCs/>
                <w:szCs w:val="16"/>
              </w:rPr>
              <w:t xml:space="preserve">Materials Cost </w:t>
            </w:r>
            <w:r w:rsidR="00DB43BF" w:rsidRPr="000773A9">
              <w:rPr>
                <w:b/>
                <w:bCs/>
                <w:szCs w:val="16"/>
              </w:rPr>
              <w:t>for Target Housing Renovations</w:t>
            </w:r>
          </w:p>
          <w:p w:rsidR="00537689" w:rsidRPr="000773A9" w:rsidRDefault="00537689" w:rsidP="00537689">
            <w:pPr>
              <w:keepNext/>
              <w:jc w:val="center"/>
              <w:rPr>
                <w:rFonts w:eastAsia="Arial Unicode MS"/>
                <w:b/>
                <w:bCs/>
                <w:szCs w:val="16"/>
              </w:rPr>
            </w:pPr>
          </w:p>
        </w:tc>
      </w:tr>
      <w:tr w:rsidR="007A419F" w:rsidRPr="000773A9" w:rsidTr="007A419F">
        <w:trPr>
          <w:trHeight w:val="255"/>
          <w:jc w:val="center"/>
        </w:trPr>
        <w:tc>
          <w:tcPr>
            <w:tcW w:w="2597" w:type="dxa"/>
            <w:vMerge w:val="restart"/>
            <w:tcBorders>
              <w:top w:val="nil"/>
              <w:left w:val="single" w:sz="4" w:space="0" w:color="auto"/>
              <w:right w:val="nil"/>
            </w:tcBorders>
            <w:noWrap/>
            <w:vAlign w:val="center"/>
          </w:tcPr>
          <w:p w:rsidR="007A419F" w:rsidRPr="000773A9" w:rsidRDefault="007A419F" w:rsidP="00537689">
            <w:pPr>
              <w:keepNext/>
              <w:jc w:val="center"/>
              <w:rPr>
                <w:rFonts w:eastAsia="Arial Unicode MS"/>
                <w:b/>
                <w:szCs w:val="16"/>
              </w:rPr>
            </w:pPr>
            <w:r w:rsidRPr="000773A9">
              <w:rPr>
                <w:b/>
                <w:szCs w:val="16"/>
              </w:rPr>
              <w:t>Activity</w:t>
            </w:r>
          </w:p>
        </w:tc>
        <w:tc>
          <w:tcPr>
            <w:tcW w:w="6677" w:type="dxa"/>
            <w:gridSpan w:val="6"/>
            <w:tcBorders>
              <w:top w:val="single" w:sz="4" w:space="0" w:color="auto"/>
              <w:left w:val="single" w:sz="4" w:space="0" w:color="auto"/>
              <w:bottom w:val="single" w:sz="4" w:space="0" w:color="auto"/>
              <w:right w:val="single" w:sz="4" w:space="0" w:color="auto"/>
            </w:tcBorders>
            <w:noWrap/>
            <w:vAlign w:val="bottom"/>
          </w:tcPr>
          <w:p w:rsidR="007A419F" w:rsidRPr="000773A9" w:rsidRDefault="007A419F" w:rsidP="00537689">
            <w:pPr>
              <w:keepNext/>
              <w:jc w:val="center"/>
              <w:rPr>
                <w:rFonts w:eastAsia="Arial Unicode MS"/>
                <w:b/>
                <w:szCs w:val="16"/>
              </w:rPr>
            </w:pPr>
            <w:r w:rsidRPr="000773A9">
              <w:rPr>
                <w:b/>
                <w:szCs w:val="16"/>
              </w:rPr>
              <w:t>Materials Cost</w:t>
            </w:r>
            <w:r>
              <w:rPr>
                <w:b/>
                <w:szCs w:val="16"/>
              </w:rPr>
              <w:t xml:space="preserve"> by Type of Activity</w:t>
            </w:r>
          </w:p>
        </w:tc>
      </w:tr>
      <w:tr w:rsidR="007A419F" w:rsidRPr="000773A9" w:rsidTr="007A419F">
        <w:trPr>
          <w:trHeight w:val="647"/>
          <w:jc w:val="center"/>
        </w:trPr>
        <w:tc>
          <w:tcPr>
            <w:tcW w:w="2597" w:type="dxa"/>
            <w:vMerge/>
            <w:tcBorders>
              <w:left w:val="single" w:sz="4" w:space="0" w:color="auto"/>
              <w:right w:val="nil"/>
            </w:tcBorders>
            <w:vAlign w:val="center"/>
          </w:tcPr>
          <w:p w:rsidR="007A419F" w:rsidRPr="000773A9" w:rsidRDefault="007A419F" w:rsidP="00537689">
            <w:pPr>
              <w:keepNext/>
              <w:rPr>
                <w:rFonts w:eastAsia="Arial Unicode MS"/>
                <w:b/>
                <w:bCs/>
                <w:szCs w:val="16"/>
              </w:rPr>
            </w:pPr>
          </w:p>
        </w:tc>
        <w:tc>
          <w:tcPr>
            <w:tcW w:w="2225" w:type="dxa"/>
            <w:gridSpan w:val="2"/>
            <w:tcBorders>
              <w:top w:val="nil"/>
              <w:left w:val="single" w:sz="4" w:space="0" w:color="auto"/>
              <w:bottom w:val="single" w:sz="4" w:space="0" w:color="auto"/>
              <w:right w:val="single" w:sz="4" w:space="0" w:color="auto"/>
            </w:tcBorders>
            <w:vAlign w:val="center"/>
          </w:tcPr>
          <w:p w:rsidR="007A419F" w:rsidRPr="000773A9" w:rsidRDefault="007A419F" w:rsidP="00537689">
            <w:pPr>
              <w:keepNext/>
              <w:jc w:val="center"/>
              <w:rPr>
                <w:b/>
                <w:bCs/>
              </w:rPr>
            </w:pPr>
            <w:r w:rsidRPr="000773A9">
              <w:rPr>
                <w:b/>
                <w:bCs/>
              </w:rPr>
              <w:t>Owner-Occupied Events</w:t>
            </w:r>
          </w:p>
        </w:tc>
        <w:tc>
          <w:tcPr>
            <w:tcW w:w="2226" w:type="dxa"/>
            <w:gridSpan w:val="2"/>
            <w:tcBorders>
              <w:top w:val="nil"/>
              <w:left w:val="single" w:sz="4" w:space="0" w:color="auto"/>
              <w:bottom w:val="single" w:sz="4" w:space="0" w:color="auto"/>
              <w:right w:val="single" w:sz="4" w:space="0" w:color="auto"/>
            </w:tcBorders>
            <w:vAlign w:val="center"/>
          </w:tcPr>
          <w:p w:rsidR="007A419F" w:rsidRPr="000773A9" w:rsidRDefault="007A419F" w:rsidP="00537689">
            <w:pPr>
              <w:keepNext/>
              <w:jc w:val="center"/>
              <w:rPr>
                <w:b/>
                <w:bCs/>
              </w:rPr>
            </w:pPr>
            <w:r>
              <w:rPr>
                <w:b/>
                <w:bCs/>
              </w:rPr>
              <w:t>Rental Events –Occupied Units</w:t>
            </w:r>
          </w:p>
        </w:tc>
        <w:tc>
          <w:tcPr>
            <w:tcW w:w="2226" w:type="dxa"/>
            <w:gridSpan w:val="2"/>
            <w:tcBorders>
              <w:top w:val="nil"/>
              <w:left w:val="nil"/>
              <w:bottom w:val="single" w:sz="4" w:space="0" w:color="auto"/>
              <w:right w:val="single" w:sz="4" w:space="0" w:color="auto"/>
            </w:tcBorders>
            <w:vAlign w:val="center"/>
          </w:tcPr>
          <w:p w:rsidR="007A419F" w:rsidRPr="000773A9" w:rsidRDefault="007A419F" w:rsidP="00537689">
            <w:pPr>
              <w:keepNext/>
              <w:jc w:val="center"/>
              <w:rPr>
                <w:b/>
                <w:bCs/>
              </w:rPr>
            </w:pPr>
            <w:r>
              <w:rPr>
                <w:b/>
                <w:bCs/>
              </w:rPr>
              <w:t xml:space="preserve">Rental Events –Vacant Units </w:t>
            </w:r>
            <w:r w:rsidRPr="00913842">
              <w:rPr>
                <w:b/>
                <w:bCs/>
              </w:rPr>
              <w:t>&amp; Common</w:t>
            </w:r>
            <w:r w:rsidRPr="000773A9">
              <w:rPr>
                <w:b/>
                <w:bCs/>
              </w:rPr>
              <w:t xml:space="preserve"> Area</w:t>
            </w:r>
            <w:r>
              <w:rPr>
                <w:b/>
                <w:bCs/>
              </w:rPr>
              <w:t>s</w:t>
            </w:r>
          </w:p>
        </w:tc>
      </w:tr>
      <w:tr w:rsidR="007A419F" w:rsidRPr="000773A9" w:rsidTr="007A419F">
        <w:trPr>
          <w:trHeight w:val="255"/>
          <w:jc w:val="center"/>
        </w:trPr>
        <w:tc>
          <w:tcPr>
            <w:tcW w:w="2597" w:type="dxa"/>
            <w:vMerge/>
            <w:tcBorders>
              <w:left w:val="single" w:sz="4" w:space="0" w:color="auto"/>
              <w:bottom w:val="single" w:sz="4" w:space="0" w:color="auto"/>
              <w:right w:val="single" w:sz="4" w:space="0" w:color="auto"/>
            </w:tcBorders>
            <w:vAlign w:val="bottom"/>
          </w:tcPr>
          <w:p w:rsidR="007A419F" w:rsidRPr="000773A9" w:rsidRDefault="007A419F" w:rsidP="00537689">
            <w:pPr>
              <w:keepNext/>
            </w:pPr>
          </w:p>
        </w:tc>
        <w:tc>
          <w:tcPr>
            <w:tcW w:w="1112" w:type="dxa"/>
            <w:tcBorders>
              <w:top w:val="nil"/>
              <w:left w:val="nil"/>
              <w:bottom w:val="single" w:sz="4" w:space="0" w:color="auto"/>
              <w:right w:val="single" w:sz="4" w:space="0" w:color="auto"/>
            </w:tcBorders>
            <w:noWrap/>
            <w:vAlign w:val="center"/>
          </w:tcPr>
          <w:p w:rsidR="007A419F" w:rsidRPr="007A419F" w:rsidRDefault="007A419F" w:rsidP="00913842">
            <w:pPr>
              <w:jc w:val="center"/>
              <w:rPr>
                <w:b/>
              </w:rPr>
            </w:pPr>
            <w:r w:rsidRPr="007A419F">
              <w:rPr>
                <w:b/>
              </w:rPr>
              <w:t>Number of Copies</w:t>
            </w:r>
          </w:p>
          <w:p w:rsidR="007A419F" w:rsidRPr="007A419F" w:rsidRDefault="007A419F" w:rsidP="00913842">
            <w:pPr>
              <w:jc w:val="center"/>
              <w:rPr>
                <w:b/>
              </w:rPr>
            </w:pPr>
            <w:r w:rsidRPr="007A419F">
              <w:rPr>
                <w:b/>
              </w:rPr>
              <w:t>per event</w:t>
            </w:r>
          </w:p>
        </w:tc>
        <w:tc>
          <w:tcPr>
            <w:tcW w:w="1113" w:type="dxa"/>
            <w:tcBorders>
              <w:top w:val="nil"/>
              <w:left w:val="nil"/>
              <w:bottom w:val="single" w:sz="4" w:space="0" w:color="auto"/>
              <w:right w:val="single" w:sz="4" w:space="0" w:color="auto"/>
            </w:tcBorders>
            <w:vAlign w:val="center"/>
          </w:tcPr>
          <w:p w:rsidR="007A419F" w:rsidRPr="007A419F" w:rsidRDefault="007A419F" w:rsidP="00537689">
            <w:pPr>
              <w:jc w:val="center"/>
              <w:rPr>
                <w:b/>
              </w:rPr>
            </w:pPr>
            <w:r w:rsidRPr="007A419F">
              <w:rPr>
                <w:b/>
              </w:rPr>
              <w:t>Cost per event</w:t>
            </w:r>
          </w:p>
        </w:tc>
        <w:tc>
          <w:tcPr>
            <w:tcW w:w="1113" w:type="dxa"/>
            <w:tcBorders>
              <w:top w:val="nil"/>
              <w:left w:val="nil"/>
              <w:bottom w:val="single" w:sz="4" w:space="0" w:color="auto"/>
              <w:right w:val="single" w:sz="4" w:space="0" w:color="auto"/>
            </w:tcBorders>
            <w:vAlign w:val="center"/>
          </w:tcPr>
          <w:p w:rsidR="007A419F" w:rsidRPr="007A419F" w:rsidRDefault="007A419F" w:rsidP="00913842">
            <w:pPr>
              <w:jc w:val="center"/>
              <w:rPr>
                <w:b/>
              </w:rPr>
            </w:pPr>
            <w:r w:rsidRPr="007A419F">
              <w:rPr>
                <w:b/>
              </w:rPr>
              <w:t>Number of Copies per event</w:t>
            </w:r>
          </w:p>
        </w:tc>
        <w:tc>
          <w:tcPr>
            <w:tcW w:w="1113" w:type="dxa"/>
            <w:tcBorders>
              <w:top w:val="nil"/>
              <w:left w:val="nil"/>
              <w:bottom w:val="single" w:sz="4" w:space="0" w:color="auto"/>
              <w:right w:val="single" w:sz="4" w:space="0" w:color="auto"/>
            </w:tcBorders>
            <w:vAlign w:val="center"/>
          </w:tcPr>
          <w:p w:rsidR="007A419F" w:rsidRPr="007A419F" w:rsidRDefault="007A419F" w:rsidP="00537689">
            <w:pPr>
              <w:jc w:val="center"/>
              <w:rPr>
                <w:b/>
              </w:rPr>
            </w:pPr>
            <w:r w:rsidRPr="007A419F">
              <w:rPr>
                <w:b/>
              </w:rPr>
              <w:t>Cost per event</w:t>
            </w:r>
          </w:p>
        </w:tc>
        <w:tc>
          <w:tcPr>
            <w:tcW w:w="1113" w:type="dxa"/>
            <w:tcBorders>
              <w:top w:val="nil"/>
              <w:left w:val="nil"/>
              <w:bottom w:val="single" w:sz="4" w:space="0" w:color="auto"/>
              <w:right w:val="single" w:sz="4" w:space="0" w:color="auto"/>
            </w:tcBorders>
            <w:noWrap/>
            <w:vAlign w:val="center"/>
          </w:tcPr>
          <w:p w:rsidR="007A419F" w:rsidRPr="007A419F" w:rsidRDefault="007A419F" w:rsidP="00913842">
            <w:pPr>
              <w:jc w:val="center"/>
              <w:rPr>
                <w:b/>
              </w:rPr>
            </w:pPr>
            <w:r w:rsidRPr="007A419F">
              <w:rPr>
                <w:b/>
              </w:rPr>
              <w:t>Number of Copies per event</w:t>
            </w:r>
          </w:p>
        </w:tc>
        <w:tc>
          <w:tcPr>
            <w:tcW w:w="1113" w:type="dxa"/>
            <w:tcBorders>
              <w:top w:val="nil"/>
              <w:left w:val="nil"/>
              <w:bottom w:val="single" w:sz="4" w:space="0" w:color="auto"/>
              <w:right w:val="single" w:sz="4" w:space="0" w:color="auto"/>
            </w:tcBorders>
            <w:vAlign w:val="center"/>
          </w:tcPr>
          <w:p w:rsidR="007A419F" w:rsidRPr="007A419F" w:rsidRDefault="007A419F" w:rsidP="00537689">
            <w:pPr>
              <w:jc w:val="center"/>
              <w:rPr>
                <w:b/>
              </w:rPr>
            </w:pPr>
            <w:r w:rsidRPr="007A419F">
              <w:rPr>
                <w:b/>
              </w:rPr>
              <w:t>Cost per event</w:t>
            </w:r>
          </w:p>
        </w:tc>
      </w:tr>
      <w:tr w:rsidR="002B3E3C" w:rsidRPr="000773A9" w:rsidTr="007A419F">
        <w:trPr>
          <w:trHeight w:val="255"/>
          <w:jc w:val="center"/>
        </w:trPr>
        <w:tc>
          <w:tcPr>
            <w:tcW w:w="2597" w:type="dxa"/>
            <w:tcBorders>
              <w:top w:val="nil"/>
              <w:left w:val="single" w:sz="4" w:space="0" w:color="auto"/>
              <w:bottom w:val="single" w:sz="4" w:space="0" w:color="auto"/>
              <w:right w:val="single" w:sz="4" w:space="0" w:color="auto"/>
            </w:tcBorders>
            <w:vAlign w:val="bottom"/>
          </w:tcPr>
          <w:p w:rsidR="002B3E3C" w:rsidRPr="000773A9" w:rsidRDefault="002B3E3C" w:rsidP="00537689">
            <w:pPr>
              <w:keepNext/>
            </w:pPr>
            <w:r w:rsidRPr="000773A9">
              <w:t>Lead Hazard Pamphlet</w:t>
            </w:r>
          </w:p>
        </w:tc>
        <w:tc>
          <w:tcPr>
            <w:tcW w:w="1112" w:type="dxa"/>
            <w:tcBorders>
              <w:top w:val="nil"/>
              <w:left w:val="nil"/>
              <w:bottom w:val="single" w:sz="4" w:space="0" w:color="auto"/>
              <w:right w:val="single" w:sz="4" w:space="0" w:color="auto"/>
            </w:tcBorders>
            <w:noWrap/>
            <w:vAlign w:val="bottom"/>
          </w:tcPr>
          <w:p w:rsidR="002B3E3C" w:rsidRPr="000773A9" w:rsidRDefault="002B3E3C" w:rsidP="00913842">
            <w:pPr>
              <w:jc w:val="center"/>
            </w:pPr>
            <w:r w:rsidRPr="00913842">
              <w:t>1</w:t>
            </w:r>
          </w:p>
        </w:tc>
        <w:tc>
          <w:tcPr>
            <w:tcW w:w="1113" w:type="dxa"/>
            <w:tcBorders>
              <w:top w:val="nil"/>
              <w:left w:val="nil"/>
              <w:bottom w:val="single" w:sz="4" w:space="0" w:color="auto"/>
              <w:right w:val="single" w:sz="4" w:space="0" w:color="auto"/>
            </w:tcBorders>
            <w:vAlign w:val="center"/>
          </w:tcPr>
          <w:p w:rsidR="002B3E3C" w:rsidRPr="000773A9" w:rsidRDefault="002B3E3C" w:rsidP="00537689">
            <w:pPr>
              <w:jc w:val="center"/>
            </w:pPr>
            <w:r w:rsidRPr="002B3E3C">
              <w:t>$1.10</w:t>
            </w:r>
          </w:p>
        </w:tc>
        <w:tc>
          <w:tcPr>
            <w:tcW w:w="1113" w:type="dxa"/>
            <w:tcBorders>
              <w:top w:val="nil"/>
              <w:left w:val="nil"/>
              <w:bottom w:val="single" w:sz="4" w:space="0" w:color="auto"/>
              <w:right w:val="single" w:sz="4" w:space="0" w:color="auto"/>
            </w:tcBorders>
            <w:vAlign w:val="bottom"/>
          </w:tcPr>
          <w:p w:rsidR="002B3E3C" w:rsidRPr="000773A9" w:rsidRDefault="002B3E3C" w:rsidP="00913842">
            <w:pPr>
              <w:jc w:val="center"/>
            </w:pPr>
            <w:r w:rsidRPr="002B3E3C">
              <w:t>2</w:t>
            </w:r>
          </w:p>
        </w:tc>
        <w:tc>
          <w:tcPr>
            <w:tcW w:w="1113" w:type="dxa"/>
            <w:tcBorders>
              <w:top w:val="nil"/>
              <w:left w:val="nil"/>
              <w:bottom w:val="single" w:sz="4" w:space="0" w:color="auto"/>
              <w:right w:val="single" w:sz="4" w:space="0" w:color="auto"/>
            </w:tcBorders>
            <w:vAlign w:val="center"/>
          </w:tcPr>
          <w:p w:rsidR="002B3E3C" w:rsidRPr="000773A9" w:rsidRDefault="002B3E3C" w:rsidP="00537689">
            <w:pPr>
              <w:jc w:val="center"/>
            </w:pPr>
            <w:r w:rsidRPr="002B3E3C">
              <w:t>$2.20</w:t>
            </w:r>
          </w:p>
        </w:tc>
        <w:tc>
          <w:tcPr>
            <w:tcW w:w="1113" w:type="dxa"/>
            <w:tcBorders>
              <w:top w:val="nil"/>
              <w:left w:val="nil"/>
              <w:bottom w:val="single" w:sz="4" w:space="0" w:color="auto"/>
              <w:right w:val="single" w:sz="4" w:space="0" w:color="auto"/>
            </w:tcBorders>
            <w:noWrap/>
            <w:vAlign w:val="bottom"/>
          </w:tcPr>
          <w:p w:rsidR="002B3E3C" w:rsidRPr="000773A9" w:rsidRDefault="002B3E3C" w:rsidP="00913842">
            <w:pPr>
              <w:jc w:val="center"/>
            </w:pPr>
            <w:r w:rsidRPr="002B3E3C">
              <w:t>2</w:t>
            </w:r>
          </w:p>
        </w:tc>
        <w:tc>
          <w:tcPr>
            <w:tcW w:w="1113" w:type="dxa"/>
            <w:tcBorders>
              <w:top w:val="nil"/>
              <w:left w:val="nil"/>
              <w:bottom w:val="single" w:sz="4" w:space="0" w:color="auto"/>
              <w:right w:val="single" w:sz="4" w:space="0" w:color="auto"/>
            </w:tcBorders>
            <w:vAlign w:val="center"/>
          </w:tcPr>
          <w:p w:rsidR="002B3E3C" w:rsidRPr="000773A9" w:rsidRDefault="002B3E3C" w:rsidP="00537689">
            <w:pPr>
              <w:jc w:val="center"/>
            </w:pPr>
            <w:r w:rsidRPr="002B3E3C">
              <w:t>$2.20</w:t>
            </w:r>
          </w:p>
        </w:tc>
      </w:tr>
      <w:tr w:rsidR="002B3E3C" w:rsidRPr="000773A9" w:rsidTr="007A419F">
        <w:trPr>
          <w:trHeight w:val="255"/>
          <w:jc w:val="center"/>
        </w:trPr>
        <w:tc>
          <w:tcPr>
            <w:tcW w:w="2597" w:type="dxa"/>
            <w:tcBorders>
              <w:top w:val="nil"/>
              <w:left w:val="single" w:sz="4" w:space="0" w:color="auto"/>
              <w:bottom w:val="single" w:sz="4" w:space="0" w:color="auto"/>
              <w:right w:val="single" w:sz="4" w:space="0" w:color="auto"/>
            </w:tcBorders>
            <w:vAlign w:val="bottom"/>
          </w:tcPr>
          <w:p w:rsidR="002B3E3C" w:rsidRPr="000773A9" w:rsidRDefault="002B3E3C" w:rsidP="00537689">
            <w:pPr>
              <w:keepNext/>
            </w:pPr>
            <w:r w:rsidRPr="000773A9">
              <w:t>Acknowledgement Sheet</w:t>
            </w:r>
          </w:p>
        </w:tc>
        <w:tc>
          <w:tcPr>
            <w:tcW w:w="1112" w:type="dxa"/>
            <w:tcBorders>
              <w:top w:val="nil"/>
              <w:left w:val="nil"/>
              <w:bottom w:val="single" w:sz="4" w:space="0" w:color="auto"/>
              <w:right w:val="single" w:sz="4" w:space="0" w:color="auto"/>
            </w:tcBorders>
            <w:noWrap/>
            <w:vAlign w:val="bottom"/>
          </w:tcPr>
          <w:p w:rsidR="002B3E3C" w:rsidRPr="000773A9" w:rsidRDefault="002B3E3C" w:rsidP="00913842">
            <w:pPr>
              <w:jc w:val="center"/>
            </w:pPr>
            <w:r>
              <w:t>2</w:t>
            </w:r>
          </w:p>
        </w:tc>
        <w:tc>
          <w:tcPr>
            <w:tcW w:w="1113" w:type="dxa"/>
            <w:tcBorders>
              <w:top w:val="nil"/>
              <w:left w:val="nil"/>
              <w:bottom w:val="single" w:sz="4" w:space="0" w:color="auto"/>
              <w:right w:val="single" w:sz="4" w:space="0" w:color="auto"/>
            </w:tcBorders>
            <w:vAlign w:val="center"/>
          </w:tcPr>
          <w:p w:rsidR="002B3E3C" w:rsidRPr="000773A9" w:rsidRDefault="002B3E3C" w:rsidP="00537689">
            <w:pPr>
              <w:jc w:val="center"/>
            </w:pPr>
            <w:r w:rsidRPr="002B3E3C">
              <w:t>$0.20</w:t>
            </w:r>
          </w:p>
        </w:tc>
        <w:tc>
          <w:tcPr>
            <w:tcW w:w="1113" w:type="dxa"/>
            <w:tcBorders>
              <w:top w:val="nil"/>
              <w:left w:val="nil"/>
              <w:bottom w:val="single" w:sz="4" w:space="0" w:color="auto"/>
              <w:right w:val="single" w:sz="4" w:space="0" w:color="auto"/>
            </w:tcBorders>
            <w:vAlign w:val="bottom"/>
          </w:tcPr>
          <w:p w:rsidR="002B3E3C" w:rsidRPr="000773A9" w:rsidRDefault="002B3E3C" w:rsidP="00913842">
            <w:pPr>
              <w:jc w:val="center"/>
            </w:pPr>
            <w:r w:rsidRPr="002B3E3C">
              <w:t>4</w:t>
            </w:r>
          </w:p>
        </w:tc>
        <w:tc>
          <w:tcPr>
            <w:tcW w:w="1113" w:type="dxa"/>
            <w:tcBorders>
              <w:top w:val="nil"/>
              <w:left w:val="nil"/>
              <w:bottom w:val="single" w:sz="4" w:space="0" w:color="auto"/>
              <w:right w:val="single" w:sz="4" w:space="0" w:color="auto"/>
            </w:tcBorders>
            <w:vAlign w:val="center"/>
          </w:tcPr>
          <w:p w:rsidR="002B3E3C" w:rsidRPr="000773A9" w:rsidRDefault="002B3E3C" w:rsidP="00537689">
            <w:pPr>
              <w:jc w:val="center"/>
            </w:pPr>
            <w:r w:rsidRPr="002B3E3C">
              <w:t>$0.40</w:t>
            </w:r>
          </w:p>
        </w:tc>
        <w:tc>
          <w:tcPr>
            <w:tcW w:w="1113" w:type="dxa"/>
            <w:tcBorders>
              <w:top w:val="nil"/>
              <w:left w:val="nil"/>
              <w:bottom w:val="single" w:sz="4" w:space="0" w:color="auto"/>
              <w:right w:val="single" w:sz="4" w:space="0" w:color="auto"/>
            </w:tcBorders>
            <w:noWrap/>
            <w:vAlign w:val="bottom"/>
          </w:tcPr>
          <w:p w:rsidR="002B3E3C" w:rsidRPr="000773A9" w:rsidRDefault="002B3E3C" w:rsidP="00913842">
            <w:pPr>
              <w:jc w:val="center"/>
            </w:pPr>
            <w:r w:rsidRPr="002B3E3C">
              <w:t>2</w:t>
            </w:r>
          </w:p>
        </w:tc>
        <w:tc>
          <w:tcPr>
            <w:tcW w:w="1113" w:type="dxa"/>
            <w:tcBorders>
              <w:top w:val="nil"/>
              <w:left w:val="nil"/>
              <w:bottom w:val="single" w:sz="4" w:space="0" w:color="auto"/>
              <w:right w:val="single" w:sz="4" w:space="0" w:color="auto"/>
            </w:tcBorders>
            <w:vAlign w:val="center"/>
          </w:tcPr>
          <w:p w:rsidR="002B3E3C" w:rsidRPr="000773A9" w:rsidRDefault="002B3E3C" w:rsidP="00537689">
            <w:pPr>
              <w:jc w:val="center"/>
            </w:pPr>
            <w:r w:rsidRPr="002B3E3C">
              <w:t>$0.20</w:t>
            </w:r>
          </w:p>
        </w:tc>
      </w:tr>
      <w:tr w:rsidR="00D15A78" w:rsidRPr="000773A9" w:rsidTr="007A419F">
        <w:trPr>
          <w:trHeight w:val="255"/>
          <w:jc w:val="center"/>
        </w:trPr>
        <w:tc>
          <w:tcPr>
            <w:tcW w:w="9274" w:type="dxa"/>
            <w:gridSpan w:val="7"/>
            <w:tcBorders>
              <w:top w:val="nil"/>
              <w:left w:val="single" w:sz="4" w:space="0" w:color="auto"/>
              <w:bottom w:val="single" w:sz="4" w:space="0" w:color="auto"/>
              <w:right w:val="single" w:sz="4" w:space="0" w:color="auto"/>
            </w:tcBorders>
            <w:vAlign w:val="bottom"/>
          </w:tcPr>
          <w:p w:rsidR="00D15A78" w:rsidRPr="002B3E3C" w:rsidRDefault="0029732B" w:rsidP="00537689">
            <w:pPr>
              <w:jc w:val="center"/>
            </w:pPr>
            <w:r>
              <w:t xml:space="preserve">Other </w:t>
            </w:r>
            <w:r w:rsidR="00C45019">
              <w:t xml:space="preserve">Materials for </w:t>
            </w:r>
            <w:r w:rsidR="00D15A78">
              <w:t>Common Area</w:t>
            </w:r>
            <w:r>
              <w:t>/Unoccupied</w:t>
            </w:r>
            <w:r w:rsidR="00D15A78">
              <w:t xml:space="preserve"> </w:t>
            </w:r>
            <w:r w:rsidR="00312DD3">
              <w:t>Events</w:t>
            </w:r>
          </w:p>
        </w:tc>
      </w:tr>
      <w:tr w:rsidR="002B3E3C" w:rsidRPr="000773A9" w:rsidTr="007A419F">
        <w:trPr>
          <w:trHeight w:val="255"/>
          <w:jc w:val="center"/>
        </w:trPr>
        <w:tc>
          <w:tcPr>
            <w:tcW w:w="2597" w:type="dxa"/>
            <w:tcBorders>
              <w:top w:val="nil"/>
              <w:left w:val="single" w:sz="4" w:space="0" w:color="auto"/>
              <w:bottom w:val="single" w:sz="4" w:space="0" w:color="auto"/>
              <w:right w:val="single" w:sz="4" w:space="0" w:color="auto"/>
            </w:tcBorders>
            <w:vAlign w:val="bottom"/>
          </w:tcPr>
          <w:p w:rsidR="002B3E3C" w:rsidRPr="000773A9" w:rsidRDefault="002B3E3C" w:rsidP="00537689">
            <w:pPr>
              <w:keepNext/>
            </w:pPr>
            <w:r w:rsidRPr="000773A9">
              <w:t>Job-Specific Information Sheet</w:t>
            </w:r>
          </w:p>
        </w:tc>
        <w:tc>
          <w:tcPr>
            <w:tcW w:w="1112" w:type="dxa"/>
            <w:tcBorders>
              <w:top w:val="nil"/>
              <w:left w:val="nil"/>
              <w:bottom w:val="single" w:sz="4" w:space="0" w:color="auto"/>
              <w:right w:val="single" w:sz="4" w:space="0" w:color="auto"/>
            </w:tcBorders>
            <w:noWrap/>
            <w:vAlign w:val="center"/>
          </w:tcPr>
          <w:p w:rsidR="002B3E3C" w:rsidRPr="000773A9" w:rsidRDefault="002B3E3C" w:rsidP="00913842">
            <w:pPr>
              <w:jc w:val="center"/>
            </w:pPr>
            <w:r w:rsidRPr="000773A9">
              <w:t>-</w:t>
            </w:r>
          </w:p>
        </w:tc>
        <w:tc>
          <w:tcPr>
            <w:tcW w:w="1113" w:type="dxa"/>
            <w:tcBorders>
              <w:top w:val="nil"/>
              <w:left w:val="nil"/>
              <w:bottom w:val="single" w:sz="4" w:space="0" w:color="auto"/>
              <w:right w:val="single" w:sz="4" w:space="0" w:color="auto"/>
            </w:tcBorders>
            <w:vAlign w:val="center"/>
          </w:tcPr>
          <w:p w:rsidR="002B3E3C" w:rsidRPr="000773A9" w:rsidRDefault="002B3E3C" w:rsidP="00537689">
            <w:pPr>
              <w:jc w:val="center"/>
            </w:pPr>
            <w:r w:rsidRPr="000773A9">
              <w:t>-</w:t>
            </w:r>
          </w:p>
        </w:tc>
        <w:tc>
          <w:tcPr>
            <w:tcW w:w="1113" w:type="dxa"/>
            <w:tcBorders>
              <w:top w:val="nil"/>
              <w:left w:val="nil"/>
              <w:bottom w:val="single" w:sz="4" w:space="0" w:color="auto"/>
              <w:right w:val="single" w:sz="4" w:space="0" w:color="auto"/>
            </w:tcBorders>
            <w:vAlign w:val="center"/>
          </w:tcPr>
          <w:p w:rsidR="002B3E3C" w:rsidRPr="000773A9" w:rsidRDefault="002B3E3C" w:rsidP="00913842">
            <w:pPr>
              <w:jc w:val="center"/>
            </w:pPr>
            <w:r w:rsidRPr="000773A9">
              <w:t>-</w:t>
            </w:r>
          </w:p>
        </w:tc>
        <w:tc>
          <w:tcPr>
            <w:tcW w:w="1113" w:type="dxa"/>
            <w:tcBorders>
              <w:top w:val="nil"/>
              <w:left w:val="nil"/>
              <w:bottom w:val="single" w:sz="4" w:space="0" w:color="auto"/>
              <w:right w:val="single" w:sz="4" w:space="0" w:color="auto"/>
            </w:tcBorders>
            <w:vAlign w:val="center"/>
          </w:tcPr>
          <w:p w:rsidR="002B3E3C" w:rsidRPr="000773A9" w:rsidRDefault="002B3E3C" w:rsidP="00537689">
            <w:pPr>
              <w:jc w:val="center"/>
            </w:pPr>
            <w:r w:rsidRPr="000773A9">
              <w:t>-</w:t>
            </w:r>
          </w:p>
        </w:tc>
        <w:tc>
          <w:tcPr>
            <w:tcW w:w="1113" w:type="dxa"/>
            <w:tcBorders>
              <w:top w:val="nil"/>
              <w:left w:val="nil"/>
              <w:bottom w:val="single" w:sz="4" w:space="0" w:color="auto"/>
              <w:right w:val="single" w:sz="4" w:space="0" w:color="auto"/>
            </w:tcBorders>
            <w:noWrap/>
            <w:vAlign w:val="bottom"/>
          </w:tcPr>
          <w:p w:rsidR="002B3E3C" w:rsidRPr="000773A9" w:rsidRDefault="002B3E3C" w:rsidP="00913842">
            <w:pPr>
              <w:jc w:val="center"/>
            </w:pPr>
            <w:r w:rsidRPr="002B3E3C">
              <w:t>1</w:t>
            </w:r>
          </w:p>
        </w:tc>
        <w:tc>
          <w:tcPr>
            <w:tcW w:w="1113" w:type="dxa"/>
            <w:tcBorders>
              <w:top w:val="nil"/>
              <w:left w:val="nil"/>
              <w:bottom w:val="single" w:sz="4" w:space="0" w:color="auto"/>
              <w:right w:val="single" w:sz="4" w:space="0" w:color="auto"/>
            </w:tcBorders>
            <w:vAlign w:val="center"/>
          </w:tcPr>
          <w:p w:rsidR="002B3E3C" w:rsidRPr="000773A9" w:rsidRDefault="002B3E3C" w:rsidP="00537689">
            <w:pPr>
              <w:jc w:val="center"/>
            </w:pPr>
            <w:r w:rsidRPr="002B3E3C">
              <w:t>$0.10</w:t>
            </w:r>
          </w:p>
        </w:tc>
      </w:tr>
      <w:tr w:rsidR="00EA705B" w:rsidRPr="000773A9" w:rsidTr="007A419F">
        <w:trPr>
          <w:trHeight w:val="255"/>
          <w:jc w:val="center"/>
        </w:trPr>
        <w:tc>
          <w:tcPr>
            <w:tcW w:w="2597" w:type="dxa"/>
            <w:tcBorders>
              <w:top w:val="nil"/>
              <w:left w:val="single" w:sz="4" w:space="0" w:color="auto"/>
              <w:bottom w:val="single" w:sz="4" w:space="0" w:color="auto"/>
              <w:right w:val="single" w:sz="4" w:space="0" w:color="auto"/>
            </w:tcBorders>
            <w:noWrap/>
            <w:vAlign w:val="bottom"/>
          </w:tcPr>
          <w:p w:rsidR="00EA705B" w:rsidRPr="00EA705B" w:rsidRDefault="00E92315" w:rsidP="00EA705B">
            <w:r>
              <w:t xml:space="preserve">Description of </w:t>
            </w:r>
            <w:r w:rsidR="00E85019">
              <w:t>Notification Process</w:t>
            </w:r>
            <w:r w:rsidR="00AA35CE">
              <w:t xml:space="preserve"> (Sign Posting)</w:t>
            </w:r>
          </w:p>
        </w:tc>
        <w:tc>
          <w:tcPr>
            <w:tcW w:w="1112" w:type="dxa"/>
            <w:tcBorders>
              <w:top w:val="nil"/>
              <w:left w:val="nil"/>
              <w:bottom w:val="single" w:sz="4" w:space="0" w:color="auto"/>
              <w:right w:val="single" w:sz="4" w:space="0" w:color="auto"/>
            </w:tcBorders>
            <w:noWrap/>
            <w:vAlign w:val="center"/>
          </w:tcPr>
          <w:p w:rsidR="00EA705B" w:rsidRPr="00E5755D" w:rsidRDefault="00EA705B" w:rsidP="00913842">
            <w:pPr>
              <w:jc w:val="center"/>
            </w:pPr>
            <w:r w:rsidRPr="000773A9">
              <w:t>-</w:t>
            </w:r>
          </w:p>
        </w:tc>
        <w:tc>
          <w:tcPr>
            <w:tcW w:w="1113" w:type="dxa"/>
            <w:tcBorders>
              <w:top w:val="nil"/>
              <w:left w:val="nil"/>
              <w:bottom w:val="single" w:sz="4" w:space="0" w:color="auto"/>
              <w:right w:val="single" w:sz="4" w:space="0" w:color="auto"/>
            </w:tcBorders>
            <w:vAlign w:val="center"/>
          </w:tcPr>
          <w:p w:rsidR="00EA705B" w:rsidRPr="002B3E3C" w:rsidRDefault="00EA705B" w:rsidP="00537689">
            <w:pPr>
              <w:jc w:val="center"/>
              <w:rPr>
                <w:b/>
              </w:rPr>
            </w:pPr>
            <w:r w:rsidRPr="000773A9">
              <w:t>-</w:t>
            </w:r>
          </w:p>
        </w:tc>
        <w:tc>
          <w:tcPr>
            <w:tcW w:w="1113" w:type="dxa"/>
            <w:tcBorders>
              <w:top w:val="nil"/>
              <w:left w:val="nil"/>
              <w:bottom w:val="single" w:sz="4" w:space="0" w:color="auto"/>
              <w:right w:val="single" w:sz="4" w:space="0" w:color="auto"/>
            </w:tcBorders>
            <w:vAlign w:val="center"/>
          </w:tcPr>
          <w:p w:rsidR="00EA705B" w:rsidRPr="002B3E3C" w:rsidRDefault="00EA705B" w:rsidP="00913842">
            <w:pPr>
              <w:jc w:val="center"/>
              <w:rPr>
                <w:b/>
              </w:rPr>
            </w:pPr>
            <w:r w:rsidRPr="000773A9">
              <w:t>-</w:t>
            </w:r>
          </w:p>
        </w:tc>
        <w:tc>
          <w:tcPr>
            <w:tcW w:w="1113" w:type="dxa"/>
            <w:tcBorders>
              <w:top w:val="nil"/>
              <w:left w:val="nil"/>
              <w:bottom w:val="single" w:sz="4" w:space="0" w:color="auto"/>
              <w:right w:val="single" w:sz="4" w:space="0" w:color="auto"/>
            </w:tcBorders>
            <w:vAlign w:val="center"/>
          </w:tcPr>
          <w:p w:rsidR="00EA705B" w:rsidRPr="002B3E3C" w:rsidRDefault="00EA705B" w:rsidP="00537689">
            <w:pPr>
              <w:jc w:val="center"/>
              <w:rPr>
                <w:b/>
              </w:rPr>
            </w:pPr>
            <w:r w:rsidRPr="000773A9">
              <w:t>-</w:t>
            </w:r>
          </w:p>
        </w:tc>
        <w:tc>
          <w:tcPr>
            <w:tcW w:w="1113" w:type="dxa"/>
            <w:tcBorders>
              <w:top w:val="nil"/>
              <w:left w:val="nil"/>
              <w:bottom w:val="single" w:sz="4" w:space="0" w:color="auto"/>
              <w:right w:val="single" w:sz="4" w:space="0" w:color="auto"/>
            </w:tcBorders>
            <w:noWrap/>
            <w:vAlign w:val="center"/>
          </w:tcPr>
          <w:p w:rsidR="00EA705B" w:rsidRPr="00EA705B" w:rsidRDefault="00EA705B" w:rsidP="00EA705B">
            <w:pPr>
              <w:jc w:val="center"/>
            </w:pPr>
            <w:r>
              <w:t>1</w:t>
            </w:r>
          </w:p>
        </w:tc>
        <w:tc>
          <w:tcPr>
            <w:tcW w:w="1113" w:type="dxa"/>
            <w:tcBorders>
              <w:top w:val="nil"/>
              <w:left w:val="nil"/>
              <w:bottom w:val="single" w:sz="4" w:space="0" w:color="auto"/>
              <w:right w:val="single" w:sz="4" w:space="0" w:color="auto"/>
            </w:tcBorders>
            <w:vAlign w:val="center"/>
          </w:tcPr>
          <w:p w:rsidR="00EA705B" w:rsidRPr="00EA705B" w:rsidRDefault="00EA705B" w:rsidP="00EA705B">
            <w:pPr>
              <w:jc w:val="center"/>
            </w:pPr>
            <w:r>
              <w:t>$0.10</w:t>
            </w:r>
          </w:p>
        </w:tc>
      </w:tr>
      <w:tr w:rsidR="002B3E3C" w:rsidRPr="000773A9" w:rsidTr="007A419F">
        <w:trPr>
          <w:trHeight w:val="255"/>
          <w:jc w:val="center"/>
        </w:trPr>
        <w:tc>
          <w:tcPr>
            <w:tcW w:w="2597" w:type="dxa"/>
            <w:tcBorders>
              <w:top w:val="nil"/>
              <w:left w:val="single" w:sz="4" w:space="0" w:color="auto"/>
              <w:bottom w:val="single" w:sz="4" w:space="0" w:color="auto"/>
              <w:right w:val="single" w:sz="4" w:space="0" w:color="auto"/>
            </w:tcBorders>
            <w:noWrap/>
            <w:vAlign w:val="bottom"/>
          </w:tcPr>
          <w:p w:rsidR="002B3E3C" w:rsidRPr="00D15A78" w:rsidRDefault="002B3E3C" w:rsidP="00537689">
            <w:pPr>
              <w:keepNext/>
              <w:rPr>
                <w:b/>
                <w:bCs/>
              </w:rPr>
            </w:pPr>
            <w:r w:rsidRPr="00D15A78">
              <w:rPr>
                <w:b/>
                <w:bCs/>
              </w:rPr>
              <w:t>Total</w:t>
            </w:r>
          </w:p>
        </w:tc>
        <w:tc>
          <w:tcPr>
            <w:tcW w:w="1112" w:type="dxa"/>
            <w:tcBorders>
              <w:top w:val="nil"/>
              <w:left w:val="nil"/>
              <w:bottom w:val="single" w:sz="4" w:space="0" w:color="auto"/>
              <w:right w:val="single" w:sz="4" w:space="0" w:color="auto"/>
            </w:tcBorders>
            <w:noWrap/>
            <w:vAlign w:val="center"/>
          </w:tcPr>
          <w:p w:rsidR="002B3E3C" w:rsidRPr="00E5755D" w:rsidRDefault="002B3E3C" w:rsidP="00913842">
            <w:pPr>
              <w:jc w:val="center"/>
            </w:pPr>
          </w:p>
        </w:tc>
        <w:tc>
          <w:tcPr>
            <w:tcW w:w="1113" w:type="dxa"/>
            <w:tcBorders>
              <w:top w:val="nil"/>
              <w:left w:val="nil"/>
              <w:bottom w:val="single" w:sz="4" w:space="0" w:color="auto"/>
              <w:right w:val="single" w:sz="4" w:space="0" w:color="auto"/>
            </w:tcBorders>
            <w:vAlign w:val="center"/>
          </w:tcPr>
          <w:p w:rsidR="002B3E3C" w:rsidRPr="002B3E3C" w:rsidRDefault="002B3E3C" w:rsidP="00537689">
            <w:pPr>
              <w:jc w:val="center"/>
              <w:rPr>
                <w:b/>
              </w:rPr>
            </w:pPr>
            <w:r w:rsidRPr="002B3E3C">
              <w:rPr>
                <w:b/>
              </w:rPr>
              <w:t>$1.30</w:t>
            </w:r>
          </w:p>
        </w:tc>
        <w:tc>
          <w:tcPr>
            <w:tcW w:w="1113" w:type="dxa"/>
            <w:tcBorders>
              <w:top w:val="nil"/>
              <w:left w:val="nil"/>
              <w:bottom w:val="single" w:sz="4" w:space="0" w:color="auto"/>
              <w:right w:val="single" w:sz="4" w:space="0" w:color="auto"/>
            </w:tcBorders>
            <w:vAlign w:val="center"/>
          </w:tcPr>
          <w:p w:rsidR="002B3E3C" w:rsidRPr="002B3E3C" w:rsidRDefault="002B3E3C" w:rsidP="00913842">
            <w:pPr>
              <w:jc w:val="center"/>
              <w:rPr>
                <w:b/>
              </w:rPr>
            </w:pPr>
            <w:r w:rsidRPr="002B3E3C">
              <w:rPr>
                <w:b/>
              </w:rPr>
              <w:t> </w:t>
            </w:r>
          </w:p>
        </w:tc>
        <w:tc>
          <w:tcPr>
            <w:tcW w:w="1113" w:type="dxa"/>
            <w:tcBorders>
              <w:top w:val="nil"/>
              <w:left w:val="nil"/>
              <w:bottom w:val="single" w:sz="4" w:space="0" w:color="auto"/>
              <w:right w:val="single" w:sz="4" w:space="0" w:color="auto"/>
            </w:tcBorders>
            <w:vAlign w:val="center"/>
          </w:tcPr>
          <w:p w:rsidR="002B3E3C" w:rsidRPr="002B3E3C" w:rsidRDefault="002B3E3C" w:rsidP="00537689">
            <w:pPr>
              <w:jc w:val="center"/>
              <w:rPr>
                <w:b/>
              </w:rPr>
            </w:pPr>
            <w:r w:rsidRPr="002B3E3C">
              <w:rPr>
                <w:b/>
              </w:rPr>
              <w:t>$2.60</w:t>
            </w:r>
          </w:p>
        </w:tc>
        <w:tc>
          <w:tcPr>
            <w:tcW w:w="1113" w:type="dxa"/>
            <w:tcBorders>
              <w:top w:val="nil"/>
              <w:left w:val="nil"/>
              <w:bottom w:val="single" w:sz="4" w:space="0" w:color="auto"/>
              <w:right w:val="single" w:sz="4" w:space="0" w:color="auto"/>
            </w:tcBorders>
            <w:noWrap/>
            <w:vAlign w:val="center"/>
          </w:tcPr>
          <w:p w:rsidR="002B3E3C" w:rsidRPr="002B3E3C" w:rsidRDefault="002B3E3C" w:rsidP="00913842">
            <w:pPr>
              <w:jc w:val="center"/>
              <w:rPr>
                <w:b/>
              </w:rPr>
            </w:pPr>
            <w:r w:rsidRPr="002B3E3C">
              <w:rPr>
                <w:b/>
              </w:rPr>
              <w:t> </w:t>
            </w:r>
          </w:p>
        </w:tc>
        <w:tc>
          <w:tcPr>
            <w:tcW w:w="1113" w:type="dxa"/>
            <w:tcBorders>
              <w:top w:val="nil"/>
              <w:left w:val="nil"/>
              <w:bottom w:val="single" w:sz="4" w:space="0" w:color="auto"/>
              <w:right w:val="single" w:sz="4" w:space="0" w:color="auto"/>
            </w:tcBorders>
            <w:vAlign w:val="center"/>
          </w:tcPr>
          <w:p w:rsidR="002B3E3C" w:rsidRPr="002B3E3C" w:rsidRDefault="002B3E3C" w:rsidP="00537689">
            <w:pPr>
              <w:jc w:val="center"/>
              <w:rPr>
                <w:b/>
              </w:rPr>
            </w:pPr>
            <w:r w:rsidRPr="002B3E3C">
              <w:rPr>
                <w:b/>
              </w:rPr>
              <w:t>$2.</w:t>
            </w:r>
            <w:r w:rsidR="00993FF0">
              <w:rPr>
                <w:b/>
              </w:rPr>
              <w:t>6</w:t>
            </w:r>
            <w:r w:rsidR="00993FF0" w:rsidRPr="002B3E3C">
              <w:rPr>
                <w:b/>
              </w:rPr>
              <w:t>0</w:t>
            </w:r>
          </w:p>
        </w:tc>
      </w:tr>
      <w:tr w:rsidR="00537689" w:rsidRPr="000773A9" w:rsidTr="007A419F">
        <w:tblPrEx>
          <w:tblCellMar>
            <w:left w:w="108" w:type="dxa"/>
            <w:right w:w="108" w:type="dxa"/>
          </w:tblCellMar>
        </w:tblPrEx>
        <w:trPr>
          <w:trHeight w:val="251"/>
          <w:jc w:val="center"/>
        </w:trPr>
        <w:tc>
          <w:tcPr>
            <w:tcW w:w="9274" w:type="dxa"/>
            <w:gridSpan w:val="7"/>
          </w:tcPr>
          <w:p w:rsidR="00913842" w:rsidRDefault="00913842" w:rsidP="00537689">
            <w:pPr>
              <w:ind w:left="720" w:hanging="720"/>
              <w:rPr>
                <w:bCs/>
              </w:rPr>
            </w:pPr>
            <w:r>
              <w:rPr>
                <w:b/>
                <w:bCs/>
              </w:rPr>
              <w:t>Notes:</w:t>
            </w:r>
          </w:p>
          <w:p w:rsidR="00913842" w:rsidRPr="00913842" w:rsidRDefault="00913842" w:rsidP="00913842">
            <w:pPr>
              <w:rPr>
                <w:bCs/>
              </w:rPr>
            </w:pPr>
            <w:r>
              <w:rPr>
                <w:bCs/>
              </w:rPr>
              <w:t xml:space="preserve">The rule requires the </w:t>
            </w:r>
            <w:r w:rsidR="00940102">
              <w:rPr>
                <w:bCs/>
              </w:rPr>
              <w:t>firms performing renovations</w:t>
            </w:r>
            <w:r>
              <w:rPr>
                <w:bCs/>
              </w:rPr>
              <w:t xml:space="preserve"> to prepare and distribute pamphlets to the owner of the affected property.  In addition, the </w:t>
            </w:r>
            <w:r w:rsidR="00940102">
              <w:rPr>
                <w:bCs/>
              </w:rPr>
              <w:t>firm performing renovations</w:t>
            </w:r>
            <w:r>
              <w:rPr>
                <w:bCs/>
              </w:rPr>
              <w:t xml:space="preserve"> is required to distribute pamphlets to the tenant</w:t>
            </w:r>
            <w:r w:rsidR="00EF1039">
              <w:rPr>
                <w:bCs/>
              </w:rPr>
              <w:t>s</w:t>
            </w:r>
            <w:r>
              <w:rPr>
                <w:bCs/>
              </w:rPr>
              <w:t xml:space="preserve"> of </w:t>
            </w:r>
            <w:r w:rsidR="00EF53BC">
              <w:rPr>
                <w:bCs/>
              </w:rPr>
              <w:t xml:space="preserve">the </w:t>
            </w:r>
            <w:r>
              <w:rPr>
                <w:bCs/>
              </w:rPr>
              <w:t>rental propert</w:t>
            </w:r>
            <w:r w:rsidR="00EF1039">
              <w:rPr>
                <w:bCs/>
              </w:rPr>
              <w:t>ies</w:t>
            </w:r>
            <w:r>
              <w:rPr>
                <w:bCs/>
              </w:rPr>
              <w:t xml:space="preserve"> (if occupied), or post a pamphlet </w:t>
            </w:r>
            <w:r w:rsidR="00EF53BC">
              <w:rPr>
                <w:bCs/>
              </w:rPr>
              <w:t xml:space="preserve">and job-specific information sheet </w:t>
            </w:r>
            <w:r>
              <w:rPr>
                <w:bCs/>
              </w:rPr>
              <w:t xml:space="preserve">in the case of common area rental events.  </w:t>
            </w:r>
            <w:r w:rsidR="00FD5AE0">
              <w:rPr>
                <w:bCs/>
              </w:rPr>
              <w:t xml:space="preserve">It is assumed that the </w:t>
            </w:r>
            <w:r w:rsidR="00940102">
              <w:rPr>
                <w:bCs/>
              </w:rPr>
              <w:t>firm performing renovations</w:t>
            </w:r>
            <w:r w:rsidR="00FD5AE0">
              <w:rPr>
                <w:bCs/>
              </w:rPr>
              <w:t xml:space="preserve"> will make two copies of each acknowledgement sheet.  </w:t>
            </w:r>
            <w:r>
              <w:rPr>
                <w:bCs/>
              </w:rPr>
              <w:t xml:space="preserve">This analysis may overestimate the </w:t>
            </w:r>
            <w:r w:rsidR="00EF53BC">
              <w:rPr>
                <w:bCs/>
              </w:rPr>
              <w:t>cost</w:t>
            </w:r>
            <w:r>
              <w:rPr>
                <w:bCs/>
              </w:rPr>
              <w:t xml:space="preserve"> for vacant, single-unit rental events, as it assumes a sign will be posted in these cases.</w:t>
            </w:r>
          </w:p>
          <w:p w:rsidR="00537689" w:rsidRPr="000773A9" w:rsidRDefault="00537689" w:rsidP="00537689">
            <w:pPr>
              <w:ind w:left="720" w:hanging="720"/>
              <w:rPr>
                <w:i/>
                <w:iCs/>
                <w:color w:val="000000"/>
              </w:rPr>
            </w:pPr>
            <w:r w:rsidRPr="000773A9">
              <w:rPr>
                <w:b/>
                <w:bCs/>
              </w:rPr>
              <w:t xml:space="preserve">Sources: </w:t>
            </w:r>
            <w:r w:rsidRPr="000773A9">
              <w:rPr>
                <w:i/>
                <w:iCs/>
                <w:color w:val="000000"/>
              </w:rPr>
              <w:t>Personal communication with Staples, September 9, 2010</w:t>
            </w:r>
          </w:p>
        </w:tc>
      </w:tr>
    </w:tbl>
    <w:p w:rsidR="00F67650" w:rsidRPr="000773A9" w:rsidRDefault="00F67650" w:rsidP="00537689">
      <w:pPr>
        <w:ind w:firstLine="720"/>
        <w:rPr>
          <w:sz w:val="24"/>
          <w:szCs w:val="24"/>
        </w:rPr>
      </w:pPr>
    </w:p>
    <w:p w:rsidR="00537689" w:rsidRPr="000773A9" w:rsidRDefault="00D10507" w:rsidP="00537689">
      <w:pPr>
        <w:ind w:firstLine="720"/>
        <w:rPr>
          <w:sz w:val="24"/>
          <w:szCs w:val="24"/>
        </w:rPr>
      </w:pPr>
      <w:r w:rsidRPr="000773A9">
        <w:rPr>
          <w:sz w:val="24"/>
          <w:szCs w:val="24"/>
        </w:rPr>
        <w:fldChar w:fldCharType="begin"/>
      </w:r>
      <w:r w:rsidRPr="000773A9">
        <w:rPr>
          <w:sz w:val="24"/>
          <w:szCs w:val="24"/>
        </w:rPr>
        <w:instrText xml:space="preserve"> REF _Ref269986998 \h  \* MERGEFORMAT </w:instrText>
      </w:r>
      <w:r w:rsidRPr="000773A9">
        <w:rPr>
          <w:sz w:val="24"/>
          <w:szCs w:val="24"/>
        </w:rPr>
      </w:r>
      <w:r w:rsidRPr="000773A9">
        <w:rPr>
          <w:sz w:val="24"/>
          <w:szCs w:val="24"/>
        </w:rPr>
        <w:fldChar w:fldCharType="separate"/>
      </w:r>
      <w:r w:rsidR="00D067A1" w:rsidRPr="00D067A1">
        <w:rPr>
          <w:sz w:val="24"/>
          <w:szCs w:val="24"/>
        </w:rPr>
        <w:t>Exhibit 6.16</w:t>
      </w:r>
      <w:r w:rsidRPr="000773A9">
        <w:rPr>
          <w:sz w:val="24"/>
          <w:szCs w:val="24"/>
        </w:rPr>
        <w:fldChar w:fldCharType="end"/>
      </w:r>
      <w:r w:rsidR="00537689" w:rsidRPr="000773A9">
        <w:rPr>
          <w:sz w:val="24"/>
          <w:szCs w:val="24"/>
        </w:rPr>
        <w:t xml:space="preserve"> presents the estimated total costs of pre-renovation education to contractors and property managers performing work in target housing.  Contractors and landlords will incur time burden and material costs, presented in </w:t>
      </w:r>
      <w:r w:rsidR="00537689" w:rsidRPr="000773A9">
        <w:rPr>
          <w:sz w:val="24"/>
          <w:szCs w:val="24"/>
        </w:rPr>
        <w:fldChar w:fldCharType="begin"/>
      </w:r>
      <w:r w:rsidR="00537689" w:rsidRPr="000773A9">
        <w:rPr>
          <w:sz w:val="24"/>
          <w:szCs w:val="24"/>
        </w:rPr>
        <w:instrText xml:space="preserve"> REF _Ref269986796 \h  \* MERGEFORMAT </w:instrText>
      </w:r>
      <w:r w:rsidR="00537689" w:rsidRPr="000773A9">
        <w:rPr>
          <w:sz w:val="24"/>
          <w:szCs w:val="24"/>
        </w:rPr>
      </w:r>
      <w:r w:rsidR="00537689" w:rsidRPr="000773A9">
        <w:rPr>
          <w:sz w:val="24"/>
          <w:szCs w:val="24"/>
        </w:rPr>
        <w:fldChar w:fldCharType="separate"/>
      </w:r>
      <w:r w:rsidR="00D067A1" w:rsidRPr="00D067A1">
        <w:rPr>
          <w:sz w:val="24"/>
          <w:szCs w:val="24"/>
        </w:rPr>
        <w:t>Exhibit 6.10</w:t>
      </w:r>
      <w:r w:rsidR="00537689" w:rsidRPr="000773A9">
        <w:rPr>
          <w:sz w:val="24"/>
          <w:szCs w:val="24"/>
        </w:rPr>
        <w:fldChar w:fldCharType="end"/>
      </w:r>
      <w:r w:rsidR="00537689" w:rsidRPr="000773A9">
        <w:rPr>
          <w:sz w:val="24"/>
          <w:szCs w:val="24"/>
        </w:rPr>
        <w:t xml:space="preserve"> and </w:t>
      </w:r>
      <w:r w:rsidR="00537689" w:rsidRPr="000773A9">
        <w:rPr>
          <w:sz w:val="24"/>
          <w:szCs w:val="24"/>
        </w:rPr>
        <w:fldChar w:fldCharType="begin"/>
      </w:r>
      <w:r w:rsidR="00537689" w:rsidRPr="000773A9">
        <w:rPr>
          <w:sz w:val="24"/>
          <w:szCs w:val="24"/>
        </w:rPr>
        <w:instrText xml:space="preserve"> REF _Ref269986933 \h  \* MERGEFORMAT </w:instrText>
      </w:r>
      <w:r w:rsidR="00537689" w:rsidRPr="000773A9">
        <w:rPr>
          <w:sz w:val="24"/>
          <w:szCs w:val="24"/>
        </w:rPr>
      </w:r>
      <w:r w:rsidR="00537689" w:rsidRPr="000773A9">
        <w:rPr>
          <w:sz w:val="24"/>
          <w:szCs w:val="24"/>
        </w:rPr>
        <w:fldChar w:fldCharType="separate"/>
      </w:r>
      <w:r w:rsidR="00D067A1" w:rsidRPr="00D067A1">
        <w:rPr>
          <w:sz w:val="24"/>
          <w:szCs w:val="24"/>
        </w:rPr>
        <w:t>Exhibit 6.15</w:t>
      </w:r>
      <w:r w:rsidR="00537689" w:rsidRPr="000773A9">
        <w:rPr>
          <w:sz w:val="24"/>
          <w:szCs w:val="24"/>
        </w:rPr>
        <w:fldChar w:fldCharType="end"/>
      </w:r>
      <w:r w:rsidR="00537689" w:rsidRPr="000773A9">
        <w:rPr>
          <w:sz w:val="24"/>
          <w:szCs w:val="24"/>
        </w:rPr>
        <w:t xml:space="preserve">, respectively.  To estimate total labor costs associated with pre-renovation education, the total burden estimates in </w:t>
      </w:r>
      <w:r w:rsidR="00537689" w:rsidRPr="000773A9">
        <w:rPr>
          <w:sz w:val="24"/>
          <w:szCs w:val="24"/>
        </w:rPr>
        <w:fldChar w:fldCharType="begin"/>
      </w:r>
      <w:r w:rsidR="00537689" w:rsidRPr="000773A9">
        <w:rPr>
          <w:sz w:val="24"/>
          <w:szCs w:val="24"/>
        </w:rPr>
        <w:instrText xml:space="preserve"> REF _Ref269986821 \h  \* MERGEFORMAT </w:instrText>
      </w:r>
      <w:r w:rsidR="00537689" w:rsidRPr="000773A9">
        <w:rPr>
          <w:sz w:val="24"/>
          <w:szCs w:val="24"/>
        </w:rPr>
      </w:r>
      <w:r w:rsidR="00537689" w:rsidRPr="000773A9">
        <w:rPr>
          <w:sz w:val="24"/>
          <w:szCs w:val="24"/>
        </w:rPr>
        <w:fldChar w:fldCharType="separate"/>
      </w:r>
      <w:r w:rsidR="00D067A1" w:rsidRPr="00D067A1">
        <w:rPr>
          <w:sz w:val="24"/>
          <w:szCs w:val="24"/>
        </w:rPr>
        <w:t>Exhibit 6.11</w:t>
      </w:r>
      <w:r w:rsidR="00537689" w:rsidRPr="000773A9">
        <w:rPr>
          <w:sz w:val="24"/>
          <w:szCs w:val="24"/>
        </w:rPr>
        <w:fldChar w:fldCharType="end"/>
      </w:r>
      <w:r w:rsidR="00537689" w:rsidRPr="000773A9">
        <w:rPr>
          <w:sz w:val="24"/>
          <w:szCs w:val="24"/>
        </w:rPr>
        <w:t xml:space="preserve"> were multiplied by the loaded wage rate for renovation firms ($</w:t>
      </w:r>
      <w:r w:rsidR="00DF426E">
        <w:rPr>
          <w:sz w:val="24"/>
          <w:szCs w:val="24"/>
        </w:rPr>
        <w:t>45.81</w:t>
      </w:r>
      <w:r w:rsidR="00537689" w:rsidRPr="000773A9">
        <w:rPr>
          <w:sz w:val="24"/>
          <w:szCs w:val="24"/>
        </w:rPr>
        <w:t xml:space="preserve"> per hour).  Total pamphlet costs were estimated by multiplying the numbers of events in </w:t>
      </w:r>
      <w:r w:rsidR="00537689" w:rsidRPr="000773A9">
        <w:rPr>
          <w:sz w:val="24"/>
          <w:szCs w:val="24"/>
        </w:rPr>
        <w:fldChar w:fldCharType="begin"/>
      </w:r>
      <w:r w:rsidR="00537689" w:rsidRPr="000773A9">
        <w:rPr>
          <w:sz w:val="24"/>
          <w:szCs w:val="24"/>
        </w:rPr>
        <w:instrText xml:space="preserve"> REF _Ref269986821 \h  \* MERGEFORMAT </w:instrText>
      </w:r>
      <w:r w:rsidR="00537689" w:rsidRPr="000773A9">
        <w:rPr>
          <w:sz w:val="24"/>
          <w:szCs w:val="24"/>
        </w:rPr>
      </w:r>
      <w:r w:rsidR="00537689" w:rsidRPr="000773A9">
        <w:rPr>
          <w:sz w:val="24"/>
          <w:szCs w:val="24"/>
        </w:rPr>
        <w:fldChar w:fldCharType="separate"/>
      </w:r>
      <w:r w:rsidR="00D067A1" w:rsidRPr="00D067A1">
        <w:rPr>
          <w:sz w:val="24"/>
          <w:szCs w:val="24"/>
        </w:rPr>
        <w:t>Exhibit 6.11</w:t>
      </w:r>
      <w:r w:rsidR="00537689" w:rsidRPr="000773A9">
        <w:rPr>
          <w:sz w:val="24"/>
          <w:szCs w:val="24"/>
        </w:rPr>
        <w:fldChar w:fldCharType="end"/>
      </w:r>
      <w:r w:rsidR="00537689" w:rsidRPr="000773A9">
        <w:rPr>
          <w:sz w:val="24"/>
          <w:szCs w:val="24"/>
        </w:rPr>
        <w:t xml:space="preserve"> by the corresponding per-event pamphlet cost estimates in </w:t>
      </w:r>
      <w:r w:rsidR="00537689" w:rsidRPr="000773A9">
        <w:rPr>
          <w:sz w:val="24"/>
          <w:szCs w:val="24"/>
        </w:rPr>
        <w:fldChar w:fldCharType="begin"/>
      </w:r>
      <w:r w:rsidR="00537689" w:rsidRPr="000773A9">
        <w:rPr>
          <w:sz w:val="24"/>
          <w:szCs w:val="24"/>
        </w:rPr>
        <w:instrText xml:space="preserve"> REF _Ref269986933 \h  \* MERGEFORMAT </w:instrText>
      </w:r>
      <w:r w:rsidR="00537689" w:rsidRPr="000773A9">
        <w:rPr>
          <w:sz w:val="24"/>
          <w:szCs w:val="24"/>
        </w:rPr>
      </w:r>
      <w:r w:rsidR="00537689" w:rsidRPr="000773A9">
        <w:rPr>
          <w:sz w:val="24"/>
          <w:szCs w:val="24"/>
        </w:rPr>
        <w:fldChar w:fldCharType="separate"/>
      </w:r>
      <w:r w:rsidR="00D067A1" w:rsidRPr="00D067A1">
        <w:rPr>
          <w:sz w:val="24"/>
          <w:szCs w:val="24"/>
        </w:rPr>
        <w:t>Exhibit 6.15</w:t>
      </w:r>
      <w:r w:rsidR="00537689" w:rsidRPr="000773A9">
        <w:rPr>
          <w:sz w:val="24"/>
          <w:szCs w:val="24"/>
        </w:rPr>
        <w:fldChar w:fldCharType="end"/>
      </w:r>
      <w:r w:rsidR="00537689" w:rsidRPr="000773A9">
        <w:rPr>
          <w:sz w:val="24"/>
          <w:szCs w:val="24"/>
        </w:rPr>
        <w:t>.  The average cost of the rule for target housing events over the three years of this ICR is estimated to be $</w:t>
      </w:r>
      <w:r w:rsidR="001A4A2B">
        <w:rPr>
          <w:sz w:val="24"/>
          <w:szCs w:val="24"/>
        </w:rPr>
        <w:t>138</w:t>
      </w:r>
      <w:r w:rsidR="001A4A2B" w:rsidRPr="000773A9">
        <w:rPr>
          <w:sz w:val="24"/>
          <w:szCs w:val="24"/>
        </w:rPr>
        <w:t xml:space="preserve"> </w:t>
      </w:r>
      <w:r w:rsidR="00537689" w:rsidRPr="000773A9">
        <w:rPr>
          <w:sz w:val="24"/>
          <w:szCs w:val="24"/>
        </w:rPr>
        <w:t>million</w:t>
      </w:r>
      <w:r w:rsidR="00DB43BF" w:rsidRPr="000773A9">
        <w:rPr>
          <w:sz w:val="24"/>
          <w:szCs w:val="24"/>
        </w:rPr>
        <w:t xml:space="preserve"> per year</w:t>
      </w:r>
      <w:r w:rsidR="00537689" w:rsidRPr="000773A9">
        <w:rPr>
          <w:sz w:val="24"/>
          <w:szCs w:val="24"/>
        </w:rPr>
        <w:t>.</w:t>
      </w:r>
    </w:p>
    <w:p w:rsidR="00537689" w:rsidRPr="000773A9" w:rsidRDefault="00537689" w:rsidP="00537689">
      <w:pPr>
        <w:pStyle w:val="BodyText"/>
        <w:rPr>
          <w:sz w:val="24"/>
        </w:rPr>
      </w:pPr>
    </w:p>
    <w:tbl>
      <w:tblPr>
        <w:tblW w:w="8942" w:type="dxa"/>
        <w:jc w:val="center"/>
        <w:tblLayout w:type="fixed"/>
        <w:tblCellMar>
          <w:left w:w="0" w:type="dxa"/>
          <w:right w:w="0" w:type="dxa"/>
        </w:tblCellMar>
        <w:tblLook w:val="0000" w:firstRow="0" w:lastRow="0" w:firstColumn="0" w:lastColumn="0" w:noHBand="0" w:noVBand="0"/>
      </w:tblPr>
      <w:tblGrid>
        <w:gridCol w:w="3480"/>
        <w:gridCol w:w="1365"/>
        <w:gridCol w:w="1366"/>
        <w:gridCol w:w="1365"/>
        <w:gridCol w:w="1366"/>
      </w:tblGrid>
      <w:tr w:rsidR="00537689" w:rsidRPr="000773A9" w:rsidTr="00FA28EE">
        <w:trPr>
          <w:trHeight w:val="255"/>
          <w:jc w:val="center"/>
        </w:trPr>
        <w:tc>
          <w:tcPr>
            <w:tcW w:w="8942" w:type="dxa"/>
            <w:gridSpan w:val="5"/>
            <w:tcBorders>
              <w:bottom w:val="single" w:sz="4" w:space="0" w:color="000000"/>
            </w:tcBorders>
            <w:noWrap/>
            <w:vAlign w:val="bottom"/>
          </w:tcPr>
          <w:p w:rsidR="00537689" w:rsidRPr="000773A9" w:rsidRDefault="00537689" w:rsidP="00537689">
            <w:pPr>
              <w:keepNext/>
              <w:jc w:val="center"/>
              <w:rPr>
                <w:b/>
                <w:bCs/>
                <w:szCs w:val="16"/>
              </w:rPr>
            </w:pPr>
            <w:bookmarkStart w:id="18" w:name="_Ref269986998"/>
            <w:r w:rsidRPr="000773A9">
              <w:rPr>
                <w:rFonts w:eastAsia="Arial Unicode MS"/>
                <w:b/>
                <w:bCs/>
                <w:szCs w:val="16"/>
              </w:rPr>
              <w:lastRenderedPageBreak/>
              <w:t>Exhibit 6.</w:t>
            </w:r>
            <w:r w:rsidRPr="000773A9">
              <w:rPr>
                <w:rFonts w:eastAsia="Arial Unicode MS"/>
                <w:b/>
                <w:bCs/>
                <w:szCs w:val="16"/>
              </w:rPr>
              <w:fldChar w:fldCharType="begin"/>
            </w:r>
            <w:r w:rsidRPr="000773A9">
              <w:rPr>
                <w:rFonts w:eastAsia="Arial Unicode MS"/>
                <w:b/>
                <w:bCs/>
                <w:szCs w:val="16"/>
              </w:rPr>
              <w:instrText xml:space="preserve"> SEQ Exhibit_6. \* ARABIC </w:instrText>
            </w:r>
            <w:r w:rsidRPr="000773A9">
              <w:rPr>
                <w:rFonts w:eastAsia="Arial Unicode MS"/>
                <w:b/>
                <w:bCs/>
                <w:szCs w:val="16"/>
              </w:rPr>
              <w:fldChar w:fldCharType="separate"/>
            </w:r>
            <w:r w:rsidR="00D067A1">
              <w:rPr>
                <w:rFonts w:eastAsia="Arial Unicode MS"/>
                <w:b/>
                <w:bCs/>
                <w:noProof/>
                <w:szCs w:val="16"/>
              </w:rPr>
              <w:t>16</w:t>
            </w:r>
            <w:r w:rsidRPr="000773A9">
              <w:rPr>
                <w:rFonts w:eastAsia="Arial Unicode MS"/>
                <w:b/>
                <w:bCs/>
                <w:szCs w:val="16"/>
              </w:rPr>
              <w:fldChar w:fldCharType="end"/>
            </w:r>
            <w:bookmarkEnd w:id="18"/>
            <w:r w:rsidRPr="000773A9">
              <w:rPr>
                <w:b/>
                <w:bCs/>
              </w:rPr>
              <w:t>:</w:t>
            </w:r>
            <w:r w:rsidRPr="000773A9">
              <w:t xml:space="preserve"> </w:t>
            </w:r>
            <w:r w:rsidRPr="000773A9">
              <w:rPr>
                <w:b/>
                <w:bCs/>
                <w:szCs w:val="16"/>
              </w:rPr>
              <w:t xml:space="preserve">Pre-Renovation Education Costs </w:t>
            </w:r>
            <w:r w:rsidR="00DB43BF" w:rsidRPr="000773A9">
              <w:rPr>
                <w:b/>
                <w:bCs/>
                <w:szCs w:val="16"/>
              </w:rPr>
              <w:t>for Renovations in Target Housing</w:t>
            </w:r>
          </w:p>
          <w:p w:rsidR="00537689" w:rsidRPr="000773A9" w:rsidRDefault="00537689" w:rsidP="00537689">
            <w:pPr>
              <w:keepNext/>
              <w:jc w:val="center"/>
              <w:rPr>
                <w:b/>
                <w:bCs/>
                <w:szCs w:val="16"/>
              </w:rPr>
            </w:pPr>
          </w:p>
        </w:tc>
      </w:tr>
      <w:tr w:rsidR="00257A33" w:rsidRPr="000773A9" w:rsidTr="00FA28EE">
        <w:trPr>
          <w:trHeight w:val="255"/>
          <w:jc w:val="center"/>
        </w:trPr>
        <w:tc>
          <w:tcPr>
            <w:tcW w:w="3480" w:type="dxa"/>
            <w:tcBorders>
              <w:top w:val="single" w:sz="4" w:space="0" w:color="000000"/>
              <w:left w:val="single" w:sz="4" w:space="0" w:color="auto"/>
              <w:bottom w:val="single" w:sz="4" w:space="0" w:color="auto"/>
              <w:right w:val="single" w:sz="4" w:space="0" w:color="auto"/>
            </w:tcBorders>
            <w:noWrap/>
            <w:vAlign w:val="bottom"/>
          </w:tcPr>
          <w:p w:rsidR="00257A33" w:rsidRPr="000773A9" w:rsidRDefault="00257A33" w:rsidP="00537689">
            <w:pPr>
              <w:keepNext/>
              <w:rPr>
                <w:rFonts w:eastAsia="Arial Unicode MS"/>
                <w:b/>
                <w:bCs/>
                <w:szCs w:val="16"/>
              </w:rPr>
            </w:pPr>
            <w:r w:rsidRPr="000773A9">
              <w:rPr>
                <w:b/>
                <w:bCs/>
                <w:szCs w:val="16"/>
              </w:rPr>
              <w:t> </w:t>
            </w:r>
          </w:p>
        </w:tc>
        <w:tc>
          <w:tcPr>
            <w:tcW w:w="1365" w:type="dxa"/>
            <w:tcBorders>
              <w:top w:val="single" w:sz="4" w:space="0" w:color="000000"/>
              <w:left w:val="nil"/>
              <w:bottom w:val="single" w:sz="4" w:space="0" w:color="auto"/>
              <w:right w:val="single" w:sz="4" w:space="0" w:color="auto"/>
            </w:tcBorders>
            <w:noWrap/>
            <w:vAlign w:val="bottom"/>
          </w:tcPr>
          <w:p w:rsidR="00257A33" w:rsidRPr="000773A9" w:rsidRDefault="00257A33" w:rsidP="00537689">
            <w:pPr>
              <w:keepNext/>
              <w:jc w:val="center"/>
              <w:rPr>
                <w:rFonts w:eastAsia="Arial Unicode MS"/>
                <w:b/>
                <w:szCs w:val="16"/>
              </w:rPr>
            </w:pPr>
            <w:r w:rsidRPr="000773A9">
              <w:rPr>
                <w:b/>
                <w:szCs w:val="16"/>
              </w:rPr>
              <w:t>Year 1</w:t>
            </w:r>
          </w:p>
        </w:tc>
        <w:tc>
          <w:tcPr>
            <w:tcW w:w="1366" w:type="dxa"/>
            <w:tcBorders>
              <w:top w:val="single" w:sz="4" w:space="0" w:color="000000"/>
              <w:left w:val="nil"/>
              <w:bottom w:val="single" w:sz="4" w:space="0" w:color="auto"/>
              <w:right w:val="single" w:sz="4" w:space="0" w:color="auto"/>
            </w:tcBorders>
            <w:noWrap/>
            <w:vAlign w:val="bottom"/>
          </w:tcPr>
          <w:p w:rsidR="00257A33" w:rsidRPr="000773A9" w:rsidRDefault="00257A33" w:rsidP="00537689">
            <w:pPr>
              <w:keepNext/>
              <w:jc w:val="center"/>
              <w:rPr>
                <w:rFonts w:eastAsia="Arial Unicode MS"/>
                <w:b/>
                <w:szCs w:val="16"/>
              </w:rPr>
            </w:pPr>
            <w:r w:rsidRPr="000773A9">
              <w:rPr>
                <w:b/>
                <w:szCs w:val="16"/>
              </w:rPr>
              <w:t>Year 2</w:t>
            </w:r>
          </w:p>
        </w:tc>
        <w:tc>
          <w:tcPr>
            <w:tcW w:w="1365" w:type="dxa"/>
            <w:tcBorders>
              <w:top w:val="single" w:sz="4" w:space="0" w:color="000000"/>
              <w:left w:val="nil"/>
              <w:bottom w:val="single" w:sz="4" w:space="0" w:color="auto"/>
              <w:right w:val="single" w:sz="4" w:space="0" w:color="auto"/>
            </w:tcBorders>
            <w:noWrap/>
            <w:vAlign w:val="bottom"/>
          </w:tcPr>
          <w:p w:rsidR="00257A33" w:rsidRPr="000773A9" w:rsidRDefault="00257A33" w:rsidP="00537689">
            <w:pPr>
              <w:keepNext/>
              <w:jc w:val="center"/>
              <w:rPr>
                <w:rFonts w:eastAsia="Arial Unicode MS"/>
                <w:b/>
                <w:szCs w:val="16"/>
              </w:rPr>
            </w:pPr>
            <w:r w:rsidRPr="000773A9">
              <w:rPr>
                <w:b/>
                <w:szCs w:val="16"/>
              </w:rPr>
              <w:t>Year 3</w:t>
            </w:r>
          </w:p>
        </w:tc>
        <w:tc>
          <w:tcPr>
            <w:tcW w:w="1366" w:type="dxa"/>
            <w:tcBorders>
              <w:top w:val="single" w:sz="4" w:space="0" w:color="000000"/>
              <w:left w:val="nil"/>
              <w:bottom w:val="single" w:sz="4" w:space="0" w:color="auto"/>
              <w:right w:val="single" w:sz="4" w:space="0" w:color="auto"/>
            </w:tcBorders>
            <w:vAlign w:val="bottom"/>
          </w:tcPr>
          <w:p w:rsidR="00257A33" w:rsidRPr="000773A9" w:rsidRDefault="00257A33" w:rsidP="00537689">
            <w:pPr>
              <w:keepNext/>
              <w:jc w:val="center"/>
              <w:rPr>
                <w:rFonts w:eastAsia="Arial Unicode MS"/>
                <w:b/>
                <w:szCs w:val="16"/>
              </w:rPr>
            </w:pPr>
            <w:r w:rsidRPr="000773A9">
              <w:rPr>
                <w:rFonts w:eastAsia="Arial Unicode MS"/>
                <w:b/>
                <w:szCs w:val="16"/>
              </w:rPr>
              <w:t>Average</w:t>
            </w:r>
          </w:p>
        </w:tc>
      </w:tr>
      <w:tr w:rsidR="00257A33" w:rsidRPr="000773A9" w:rsidTr="00FA28EE">
        <w:trPr>
          <w:trHeight w:val="77"/>
          <w:jc w:val="center"/>
        </w:trPr>
        <w:tc>
          <w:tcPr>
            <w:tcW w:w="8942" w:type="dxa"/>
            <w:gridSpan w:val="5"/>
            <w:tcBorders>
              <w:top w:val="nil"/>
              <w:left w:val="single" w:sz="4" w:space="0" w:color="auto"/>
              <w:bottom w:val="single" w:sz="4" w:space="0" w:color="auto"/>
              <w:right w:val="single" w:sz="4" w:space="0" w:color="auto"/>
            </w:tcBorders>
            <w:noWrap/>
            <w:vAlign w:val="bottom"/>
          </w:tcPr>
          <w:p w:rsidR="00257A33" w:rsidRPr="000773A9" w:rsidRDefault="00257A33" w:rsidP="00257A33">
            <w:pPr>
              <w:keepNext/>
              <w:jc w:val="center"/>
              <w:rPr>
                <w:i/>
                <w:iCs/>
              </w:rPr>
            </w:pPr>
            <w:r w:rsidRPr="000773A9">
              <w:rPr>
                <w:i/>
                <w:iCs/>
              </w:rPr>
              <w:t>Total Labor Cost</w:t>
            </w:r>
          </w:p>
        </w:tc>
      </w:tr>
      <w:tr w:rsidR="00DF426E" w:rsidRPr="000773A9" w:rsidTr="00EA705B">
        <w:trPr>
          <w:trHeight w:val="77"/>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537689">
            <w:pPr>
              <w:keepNext/>
              <w:rPr>
                <w:rFonts w:eastAsia="Arial Unicode MS"/>
                <w:szCs w:val="16"/>
              </w:rPr>
            </w:pPr>
            <w:r w:rsidRPr="000773A9">
              <w:rPr>
                <w:rFonts w:eastAsia="Arial Unicode MS"/>
                <w:szCs w:val="16"/>
              </w:rPr>
              <w:t xml:space="preserve">Owner-Occupied </w:t>
            </w:r>
            <w:r>
              <w:rPr>
                <w:rFonts w:eastAsia="Arial Unicode MS"/>
                <w:szCs w:val="16"/>
              </w:rPr>
              <w:t>Units</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$44,952,620</w:t>
            </w:r>
          </w:p>
        </w:tc>
        <w:tc>
          <w:tcPr>
            <w:tcW w:w="1366"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$44,768,326</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$44,584,766</w:t>
            </w:r>
          </w:p>
        </w:tc>
        <w:tc>
          <w:tcPr>
            <w:tcW w:w="1366" w:type="dxa"/>
            <w:tcBorders>
              <w:top w:val="nil"/>
              <w:left w:val="nil"/>
              <w:bottom w:val="single" w:sz="4" w:space="0" w:color="auto"/>
              <w:right w:val="single" w:sz="4" w:space="0" w:color="auto"/>
            </w:tcBorders>
            <w:vAlign w:val="center"/>
          </w:tcPr>
          <w:p w:rsidR="00DF426E" w:rsidRPr="000773A9" w:rsidRDefault="00DF426E" w:rsidP="00F67650">
            <w:pPr>
              <w:ind w:right="165"/>
              <w:jc w:val="right"/>
            </w:pPr>
            <w:r>
              <w:t>$44,768,555</w:t>
            </w:r>
          </w:p>
        </w:tc>
      </w:tr>
      <w:tr w:rsidR="00DF426E" w:rsidRPr="000773A9" w:rsidTr="00EA705B">
        <w:trPr>
          <w:trHeight w:val="89"/>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537689">
            <w:pPr>
              <w:keepNext/>
              <w:rPr>
                <w:rFonts w:eastAsia="Arial Unicode MS"/>
                <w:szCs w:val="16"/>
              </w:rPr>
            </w:pPr>
            <w:r w:rsidRPr="00E54898">
              <w:rPr>
                <w:iCs/>
              </w:rPr>
              <w:t xml:space="preserve">Rental </w:t>
            </w:r>
            <w:r>
              <w:rPr>
                <w:iCs/>
              </w:rPr>
              <w:t>– O</w:t>
            </w:r>
            <w:r w:rsidRPr="00E54898">
              <w:rPr>
                <w:iCs/>
              </w:rPr>
              <w:t xml:space="preserve">ccupied </w:t>
            </w:r>
            <w:r>
              <w:rPr>
                <w:iCs/>
              </w:rPr>
              <w:t>Units</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$18,708,071</w:t>
            </w:r>
          </w:p>
        </w:tc>
        <w:tc>
          <w:tcPr>
            <w:tcW w:w="1366"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$18,631,385</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$18,554,974</w:t>
            </w:r>
          </w:p>
        </w:tc>
        <w:tc>
          <w:tcPr>
            <w:tcW w:w="1366" w:type="dxa"/>
            <w:tcBorders>
              <w:top w:val="nil"/>
              <w:left w:val="nil"/>
              <w:bottom w:val="single" w:sz="4" w:space="0" w:color="auto"/>
              <w:right w:val="single" w:sz="4" w:space="0" w:color="auto"/>
            </w:tcBorders>
            <w:vAlign w:val="center"/>
          </w:tcPr>
          <w:p w:rsidR="00DF426E" w:rsidRPr="000773A9" w:rsidRDefault="00DF426E" w:rsidP="00F67650">
            <w:pPr>
              <w:ind w:right="165"/>
              <w:jc w:val="right"/>
            </w:pPr>
            <w:r>
              <w:t>$18,631,477</w:t>
            </w:r>
          </w:p>
        </w:tc>
      </w:tr>
      <w:tr w:rsidR="00DF426E" w:rsidRPr="000773A9" w:rsidTr="00EA705B">
        <w:trPr>
          <w:trHeight w:val="89"/>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537689">
            <w:pPr>
              <w:keepNext/>
              <w:rPr>
                <w:rFonts w:eastAsia="Arial Unicode MS"/>
                <w:szCs w:val="16"/>
              </w:rPr>
            </w:pPr>
            <w:r w:rsidRPr="00E54898">
              <w:rPr>
                <w:iCs/>
              </w:rPr>
              <w:t xml:space="preserve">Rental </w:t>
            </w:r>
            <w:r>
              <w:rPr>
                <w:iCs/>
              </w:rPr>
              <w:t xml:space="preserve">– </w:t>
            </w:r>
            <w:r>
              <w:rPr>
                <w:rFonts w:eastAsia="Arial Unicode MS"/>
                <w:szCs w:val="16"/>
              </w:rPr>
              <w:t xml:space="preserve">Vacant Units and </w:t>
            </w:r>
            <w:r w:rsidRPr="00281325">
              <w:rPr>
                <w:rFonts w:eastAsia="Arial Unicode MS"/>
                <w:szCs w:val="16"/>
              </w:rPr>
              <w:t>Common</w:t>
            </w:r>
            <w:r w:rsidRPr="000773A9">
              <w:rPr>
                <w:rFonts w:eastAsia="Arial Unicode MS"/>
                <w:szCs w:val="16"/>
              </w:rPr>
              <w:t xml:space="preserve"> Areas</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$52,928,553</w:t>
            </w:r>
          </w:p>
        </w:tc>
        <w:tc>
          <w:tcPr>
            <w:tcW w:w="1366"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$52,711,506</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$52,495,420</w:t>
            </w:r>
          </w:p>
        </w:tc>
        <w:tc>
          <w:tcPr>
            <w:tcW w:w="1366" w:type="dxa"/>
            <w:tcBorders>
              <w:top w:val="nil"/>
              <w:left w:val="nil"/>
              <w:bottom w:val="single" w:sz="4" w:space="0" w:color="auto"/>
              <w:right w:val="single" w:sz="4" w:space="0" w:color="auto"/>
            </w:tcBorders>
            <w:vAlign w:val="center"/>
          </w:tcPr>
          <w:p w:rsidR="00DF426E" w:rsidRPr="000773A9" w:rsidRDefault="00DF426E" w:rsidP="00F67650">
            <w:pPr>
              <w:ind w:right="165"/>
              <w:jc w:val="right"/>
            </w:pPr>
            <w:r>
              <w:t>$52,711,826</w:t>
            </w:r>
          </w:p>
        </w:tc>
      </w:tr>
      <w:tr w:rsidR="00DF426E" w:rsidRPr="000773A9" w:rsidTr="00EA705B">
        <w:trPr>
          <w:trHeight w:val="89"/>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537689">
            <w:pPr>
              <w:keepNext/>
              <w:rPr>
                <w:rFonts w:eastAsia="Arial Unicode MS"/>
                <w:i/>
                <w:szCs w:val="16"/>
              </w:rPr>
            </w:pPr>
            <w:r w:rsidRPr="000773A9">
              <w:rPr>
                <w:rFonts w:eastAsia="Arial Unicode MS"/>
                <w:i/>
                <w:szCs w:val="16"/>
              </w:rPr>
              <w:t>Subtotal – Labor Cost</w:t>
            </w:r>
          </w:p>
        </w:tc>
        <w:tc>
          <w:tcPr>
            <w:tcW w:w="1365" w:type="dxa"/>
            <w:tcBorders>
              <w:top w:val="nil"/>
              <w:left w:val="nil"/>
              <w:bottom w:val="single" w:sz="4" w:space="0" w:color="auto"/>
              <w:right w:val="single" w:sz="4" w:space="0" w:color="auto"/>
            </w:tcBorders>
            <w:noWrap/>
            <w:vAlign w:val="center"/>
          </w:tcPr>
          <w:p w:rsidR="00DF426E" w:rsidRPr="00EA705B" w:rsidRDefault="00DF426E" w:rsidP="00F67650">
            <w:pPr>
              <w:ind w:right="165"/>
              <w:jc w:val="right"/>
              <w:rPr>
                <w:i/>
              </w:rPr>
            </w:pPr>
            <w:r>
              <w:rPr>
                <w:i/>
                <w:iCs/>
              </w:rPr>
              <w:t>$116,589,244</w:t>
            </w:r>
          </w:p>
        </w:tc>
        <w:tc>
          <w:tcPr>
            <w:tcW w:w="1366" w:type="dxa"/>
            <w:tcBorders>
              <w:top w:val="nil"/>
              <w:left w:val="nil"/>
              <w:bottom w:val="single" w:sz="4" w:space="0" w:color="auto"/>
              <w:right w:val="single" w:sz="4" w:space="0" w:color="auto"/>
            </w:tcBorders>
            <w:noWrap/>
            <w:vAlign w:val="center"/>
          </w:tcPr>
          <w:p w:rsidR="00DF426E" w:rsidRPr="00EA705B" w:rsidRDefault="00DF426E" w:rsidP="00F67650">
            <w:pPr>
              <w:ind w:right="165"/>
              <w:jc w:val="right"/>
              <w:rPr>
                <w:i/>
              </w:rPr>
            </w:pPr>
            <w:r>
              <w:rPr>
                <w:i/>
                <w:iCs/>
              </w:rPr>
              <w:t>$116,111,217</w:t>
            </w:r>
          </w:p>
        </w:tc>
        <w:tc>
          <w:tcPr>
            <w:tcW w:w="1365" w:type="dxa"/>
            <w:tcBorders>
              <w:top w:val="nil"/>
              <w:left w:val="nil"/>
              <w:bottom w:val="single" w:sz="4" w:space="0" w:color="auto"/>
              <w:right w:val="single" w:sz="4" w:space="0" w:color="auto"/>
            </w:tcBorders>
            <w:noWrap/>
            <w:vAlign w:val="center"/>
          </w:tcPr>
          <w:p w:rsidR="00DF426E" w:rsidRPr="00EA705B" w:rsidRDefault="00DF426E" w:rsidP="00F67650">
            <w:pPr>
              <w:ind w:right="165"/>
              <w:jc w:val="right"/>
              <w:rPr>
                <w:i/>
              </w:rPr>
            </w:pPr>
            <w:r>
              <w:rPr>
                <w:i/>
                <w:iCs/>
              </w:rPr>
              <w:t>$115,635,160</w:t>
            </w:r>
          </w:p>
        </w:tc>
        <w:tc>
          <w:tcPr>
            <w:tcW w:w="1366" w:type="dxa"/>
            <w:tcBorders>
              <w:top w:val="nil"/>
              <w:left w:val="nil"/>
              <w:bottom w:val="single" w:sz="4" w:space="0" w:color="auto"/>
              <w:right w:val="single" w:sz="4" w:space="0" w:color="auto"/>
            </w:tcBorders>
            <w:vAlign w:val="center"/>
          </w:tcPr>
          <w:p w:rsidR="00DF426E" w:rsidRPr="00EA705B" w:rsidRDefault="00DF426E" w:rsidP="00F67650">
            <w:pPr>
              <w:ind w:right="165"/>
              <w:jc w:val="right"/>
              <w:rPr>
                <w:i/>
              </w:rPr>
            </w:pPr>
            <w:r>
              <w:rPr>
                <w:i/>
                <w:iCs/>
              </w:rPr>
              <w:t>$116,111,858</w:t>
            </w:r>
          </w:p>
        </w:tc>
      </w:tr>
      <w:tr w:rsidR="003016E3" w:rsidRPr="000773A9" w:rsidTr="00FA28EE">
        <w:trPr>
          <w:trHeight w:val="77"/>
          <w:jc w:val="center"/>
        </w:trPr>
        <w:tc>
          <w:tcPr>
            <w:tcW w:w="8942" w:type="dxa"/>
            <w:gridSpan w:val="5"/>
            <w:tcBorders>
              <w:top w:val="nil"/>
              <w:left w:val="single" w:sz="4" w:space="0" w:color="auto"/>
              <w:bottom w:val="single" w:sz="4" w:space="0" w:color="auto"/>
              <w:right w:val="single" w:sz="4" w:space="0" w:color="auto"/>
            </w:tcBorders>
            <w:noWrap/>
            <w:vAlign w:val="bottom"/>
          </w:tcPr>
          <w:p w:rsidR="003016E3" w:rsidRPr="000773A9" w:rsidRDefault="003016E3" w:rsidP="00257A33">
            <w:pPr>
              <w:keepNext/>
              <w:jc w:val="center"/>
              <w:rPr>
                <w:i/>
                <w:iCs/>
              </w:rPr>
            </w:pPr>
            <w:r w:rsidRPr="000773A9">
              <w:rPr>
                <w:i/>
                <w:iCs/>
              </w:rPr>
              <w:t>Total Material Cost</w:t>
            </w:r>
          </w:p>
        </w:tc>
      </w:tr>
      <w:tr w:rsidR="00DF426E" w:rsidRPr="000773A9" w:rsidTr="00EA705B">
        <w:trPr>
          <w:trHeight w:val="77"/>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764FFE">
            <w:pPr>
              <w:keepNext/>
              <w:rPr>
                <w:rFonts w:eastAsia="Arial Unicode MS"/>
                <w:szCs w:val="16"/>
              </w:rPr>
            </w:pPr>
            <w:r w:rsidRPr="000773A9">
              <w:rPr>
                <w:rFonts w:eastAsia="Arial Unicode MS"/>
                <w:szCs w:val="16"/>
              </w:rPr>
              <w:t xml:space="preserve">Owner-Occupied </w:t>
            </w:r>
            <w:r>
              <w:rPr>
                <w:rFonts w:eastAsia="Arial Unicode MS"/>
                <w:szCs w:val="16"/>
              </w:rPr>
              <w:t>Units</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$7,009,172</w:t>
            </w:r>
          </w:p>
        </w:tc>
        <w:tc>
          <w:tcPr>
            <w:tcW w:w="1366"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$6,980,436</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$6,951,815</w:t>
            </w:r>
          </w:p>
        </w:tc>
        <w:tc>
          <w:tcPr>
            <w:tcW w:w="1366" w:type="dxa"/>
            <w:tcBorders>
              <w:top w:val="nil"/>
              <w:left w:val="nil"/>
              <w:bottom w:val="single" w:sz="4" w:space="0" w:color="auto"/>
              <w:right w:val="single" w:sz="4" w:space="0" w:color="auto"/>
            </w:tcBorders>
            <w:vAlign w:val="center"/>
          </w:tcPr>
          <w:p w:rsidR="00DF426E" w:rsidRPr="000773A9" w:rsidRDefault="00DF426E" w:rsidP="00F67650">
            <w:pPr>
              <w:ind w:right="165"/>
              <w:jc w:val="right"/>
            </w:pPr>
            <w:r>
              <w:t>$6,980,475</w:t>
            </w:r>
          </w:p>
        </w:tc>
      </w:tr>
      <w:tr w:rsidR="00DF426E" w:rsidRPr="000773A9" w:rsidTr="00EA705B">
        <w:trPr>
          <w:trHeight w:val="89"/>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764FFE">
            <w:pPr>
              <w:keepNext/>
              <w:rPr>
                <w:rFonts w:eastAsia="Arial Unicode MS"/>
                <w:szCs w:val="16"/>
              </w:rPr>
            </w:pPr>
            <w:r w:rsidRPr="00E54898">
              <w:rPr>
                <w:iCs/>
              </w:rPr>
              <w:t xml:space="preserve">Rental </w:t>
            </w:r>
            <w:r>
              <w:rPr>
                <w:iCs/>
              </w:rPr>
              <w:t>– O</w:t>
            </w:r>
            <w:r w:rsidRPr="00E54898">
              <w:rPr>
                <w:iCs/>
              </w:rPr>
              <w:t xml:space="preserve">ccupied </w:t>
            </w:r>
            <w:r>
              <w:rPr>
                <w:iCs/>
              </w:rPr>
              <w:t>Units</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$3,778,642</w:t>
            </w:r>
          </w:p>
        </w:tc>
        <w:tc>
          <w:tcPr>
            <w:tcW w:w="1366"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$3,763,152</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$3,747,721</w:t>
            </w:r>
          </w:p>
        </w:tc>
        <w:tc>
          <w:tcPr>
            <w:tcW w:w="1366" w:type="dxa"/>
            <w:tcBorders>
              <w:top w:val="nil"/>
              <w:left w:val="nil"/>
              <w:bottom w:val="single" w:sz="4" w:space="0" w:color="auto"/>
              <w:right w:val="single" w:sz="4" w:space="0" w:color="auto"/>
            </w:tcBorders>
            <w:vAlign w:val="center"/>
          </w:tcPr>
          <w:p w:rsidR="00DF426E" w:rsidRPr="000773A9" w:rsidRDefault="00DF426E" w:rsidP="00F67650">
            <w:pPr>
              <w:ind w:right="165"/>
              <w:jc w:val="right"/>
            </w:pPr>
            <w:r>
              <w:t>$3,763,172</w:t>
            </w:r>
          </w:p>
        </w:tc>
      </w:tr>
      <w:tr w:rsidR="00DF426E" w:rsidRPr="000773A9" w:rsidTr="00EA705B">
        <w:trPr>
          <w:trHeight w:val="89"/>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764FFE">
            <w:pPr>
              <w:keepNext/>
              <w:rPr>
                <w:rFonts w:eastAsia="Arial Unicode MS"/>
                <w:szCs w:val="16"/>
              </w:rPr>
            </w:pPr>
            <w:r w:rsidRPr="00E54898">
              <w:rPr>
                <w:iCs/>
              </w:rPr>
              <w:t xml:space="preserve">Rental </w:t>
            </w:r>
            <w:r>
              <w:rPr>
                <w:iCs/>
              </w:rPr>
              <w:t xml:space="preserve">– </w:t>
            </w:r>
            <w:r>
              <w:rPr>
                <w:rFonts w:eastAsia="Arial Unicode MS"/>
                <w:szCs w:val="16"/>
              </w:rPr>
              <w:t xml:space="preserve">Vacant Units and </w:t>
            </w:r>
            <w:r w:rsidRPr="00281325">
              <w:rPr>
                <w:rFonts w:eastAsia="Arial Unicode MS"/>
                <w:szCs w:val="16"/>
              </w:rPr>
              <w:t>Common</w:t>
            </w:r>
            <w:r w:rsidRPr="000773A9">
              <w:rPr>
                <w:rFonts w:eastAsia="Arial Unicode MS"/>
                <w:szCs w:val="16"/>
              </w:rPr>
              <w:t xml:space="preserve"> Areas</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$11,335,927</w:t>
            </w:r>
          </w:p>
        </w:tc>
        <w:tc>
          <w:tcPr>
            <w:tcW w:w="1366"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$11,289,450</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$11,243,164</w:t>
            </w:r>
          </w:p>
        </w:tc>
        <w:tc>
          <w:tcPr>
            <w:tcW w:w="1366" w:type="dxa"/>
            <w:tcBorders>
              <w:top w:val="nil"/>
              <w:left w:val="nil"/>
              <w:bottom w:val="single" w:sz="4" w:space="0" w:color="auto"/>
              <w:right w:val="single" w:sz="4" w:space="0" w:color="auto"/>
            </w:tcBorders>
            <w:vAlign w:val="center"/>
          </w:tcPr>
          <w:p w:rsidR="00DF426E" w:rsidRPr="000773A9" w:rsidRDefault="00DF426E" w:rsidP="00F67650">
            <w:pPr>
              <w:ind w:right="165"/>
              <w:jc w:val="right"/>
            </w:pPr>
            <w:r>
              <w:t>$11,289,515</w:t>
            </w:r>
          </w:p>
        </w:tc>
      </w:tr>
      <w:tr w:rsidR="00DF426E" w:rsidRPr="000773A9" w:rsidTr="00EA705B">
        <w:trPr>
          <w:trHeight w:val="89"/>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537689">
            <w:pPr>
              <w:keepNext/>
              <w:rPr>
                <w:rFonts w:eastAsia="Arial Unicode MS"/>
                <w:i/>
                <w:szCs w:val="16"/>
              </w:rPr>
            </w:pPr>
            <w:r w:rsidRPr="000773A9">
              <w:rPr>
                <w:rFonts w:eastAsia="Arial Unicode MS"/>
                <w:i/>
                <w:szCs w:val="16"/>
              </w:rPr>
              <w:t>Subtotal – Material Cost</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rPr>
                <w:i/>
                <w:iCs/>
              </w:rPr>
            </w:pPr>
            <w:r>
              <w:rPr>
                <w:i/>
                <w:iCs/>
              </w:rPr>
              <w:t>$22,123,742</w:t>
            </w:r>
          </w:p>
        </w:tc>
        <w:tc>
          <w:tcPr>
            <w:tcW w:w="1366"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rPr>
                <w:i/>
                <w:iCs/>
              </w:rPr>
            </w:pPr>
            <w:r>
              <w:rPr>
                <w:i/>
                <w:iCs/>
              </w:rPr>
              <w:t>$22,033,037</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rPr>
                <w:i/>
                <w:iCs/>
              </w:rPr>
            </w:pPr>
            <w:r>
              <w:rPr>
                <w:i/>
                <w:iCs/>
              </w:rPr>
              <w:t>$21,942,700</w:t>
            </w:r>
          </w:p>
        </w:tc>
        <w:tc>
          <w:tcPr>
            <w:tcW w:w="1366" w:type="dxa"/>
            <w:tcBorders>
              <w:top w:val="nil"/>
              <w:left w:val="nil"/>
              <w:bottom w:val="single" w:sz="4" w:space="0" w:color="auto"/>
              <w:right w:val="single" w:sz="4" w:space="0" w:color="auto"/>
            </w:tcBorders>
            <w:vAlign w:val="center"/>
          </w:tcPr>
          <w:p w:rsidR="00DF426E" w:rsidRPr="000773A9" w:rsidRDefault="00DF426E" w:rsidP="00F67650">
            <w:pPr>
              <w:ind w:right="165"/>
              <w:jc w:val="right"/>
              <w:rPr>
                <w:i/>
                <w:iCs/>
              </w:rPr>
            </w:pPr>
            <w:r>
              <w:rPr>
                <w:i/>
                <w:iCs/>
              </w:rPr>
              <w:t>$22,033,162</w:t>
            </w:r>
          </w:p>
        </w:tc>
      </w:tr>
      <w:tr w:rsidR="00257A33" w:rsidRPr="000773A9" w:rsidTr="00FA28EE">
        <w:trPr>
          <w:trHeight w:val="77"/>
          <w:jc w:val="center"/>
        </w:trPr>
        <w:tc>
          <w:tcPr>
            <w:tcW w:w="8942" w:type="dxa"/>
            <w:gridSpan w:val="5"/>
            <w:tcBorders>
              <w:top w:val="nil"/>
              <w:left w:val="single" w:sz="4" w:space="0" w:color="auto"/>
              <w:bottom w:val="single" w:sz="4" w:space="0" w:color="auto"/>
              <w:right w:val="single" w:sz="4" w:space="0" w:color="auto"/>
            </w:tcBorders>
            <w:noWrap/>
            <w:vAlign w:val="bottom"/>
          </w:tcPr>
          <w:p w:rsidR="00257A33" w:rsidRPr="000773A9" w:rsidRDefault="00257A33" w:rsidP="00257A33">
            <w:pPr>
              <w:keepNext/>
              <w:jc w:val="center"/>
              <w:rPr>
                <w:i/>
                <w:iCs/>
              </w:rPr>
            </w:pPr>
            <w:r w:rsidRPr="000773A9">
              <w:rPr>
                <w:i/>
                <w:iCs/>
              </w:rPr>
              <w:t>Total Cost</w:t>
            </w:r>
          </w:p>
        </w:tc>
      </w:tr>
      <w:tr w:rsidR="00DF426E" w:rsidRPr="000773A9" w:rsidTr="00EA705B">
        <w:trPr>
          <w:trHeight w:val="77"/>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764FFE">
            <w:pPr>
              <w:keepNext/>
              <w:rPr>
                <w:rFonts w:eastAsia="Arial Unicode MS"/>
                <w:szCs w:val="16"/>
              </w:rPr>
            </w:pPr>
            <w:r w:rsidRPr="000773A9">
              <w:rPr>
                <w:rFonts w:eastAsia="Arial Unicode MS"/>
                <w:szCs w:val="16"/>
              </w:rPr>
              <w:t xml:space="preserve">Owner-Occupied </w:t>
            </w:r>
            <w:r>
              <w:rPr>
                <w:rFonts w:eastAsia="Arial Unicode MS"/>
                <w:szCs w:val="16"/>
              </w:rPr>
              <w:t>Units</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$51,961,792</w:t>
            </w:r>
          </w:p>
        </w:tc>
        <w:tc>
          <w:tcPr>
            <w:tcW w:w="1366"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$51,748,762</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$51,536,581</w:t>
            </w:r>
          </w:p>
        </w:tc>
        <w:tc>
          <w:tcPr>
            <w:tcW w:w="1366" w:type="dxa"/>
            <w:tcBorders>
              <w:top w:val="nil"/>
              <w:left w:val="nil"/>
              <w:bottom w:val="single" w:sz="4" w:space="0" w:color="auto"/>
              <w:right w:val="single" w:sz="4" w:space="0" w:color="auto"/>
            </w:tcBorders>
            <w:vAlign w:val="center"/>
          </w:tcPr>
          <w:p w:rsidR="00DF426E" w:rsidRPr="000773A9" w:rsidRDefault="00DF426E" w:rsidP="00F67650">
            <w:pPr>
              <w:ind w:right="165"/>
              <w:jc w:val="right"/>
            </w:pPr>
            <w:r>
              <w:t>$51,749,030</w:t>
            </w:r>
          </w:p>
        </w:tc>
      </w:tr>
      <w:tr w:rsidR="00DF426E" w:rsidRPr="000773A9" w:rsidTr="00EA705B">
        <w:trPr>
          <w:trHeight w:val="89"/>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764FFE">
            <w:pPr>
              <w:keepNext/>
              <w:rPr>
                <w:rFonts w:eastAsia="Arial Unicode MS"/>
                <w:szCs w:val="16"/>
              </w:rPr>
            </w:pPr>
            <w:r w:rsidRPr="00E54898">
              <w:rPr>
                <w:iCs/>
              </w:rPr>
              <w:t xml:space="preserve">Rental </w:t>
            </w:r>
            <w:r>
              <w:rPr>
                <w:iCs/>
              </w:rPr>
              <w:t>– O</w:t>
            </w:r>
            <w:r w:rsidRPr="00E54898">
              <w:rPr>
                <w:iCs/>
              </w:rPr>
              <w:t xml:space="preserve">ccupied </w:t>
            </w:r>
            <w:r>
              <w:rPr>
                <w:iCs/>
              </w:rPr>
              <w:t>Units</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$22,486,713</w:t>
            </w:r>
          </w:p>
        </w:tc>
        <w:tc>
          <w:tcPr>
            <w:tcW w:w="1366"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$22,394,537</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$22,302,695</w:t>
            </w:r>
          </w:p>
        </w:tc>
        <w:tc>
          <w:tcPr>
            <w:tcW w:w="1366" w:type="dxa"/>
            <w:tcBorders>
              <w:top w:val="nil"/>
              <w:left w:val="nil"/>
              <w:bottom w:val="single" w:sz="4" w:space="0" w:color="auto"/>
              <w:right w:val="single" w:sz="4" w:space="0" w:color="auto"/>
            </w:tcBorders>
            <w:vAlign w:val="center"/>
          </w:tcPr>
          <w:p w:rsidR="00DF426E" w:rsidRPr="000773A9" w:rsidRDefault="00DF426E" w:rsidP="00F67650">
            <w:pPr>
              <w:ind w:right="165"/>
              <w:jc w:val="right"/>
            </w:pPr>
            <w:r>
              <w:t>$22,394,649</w:t>
            </w:r>
          </w:p>
        </w:tc>
      </w:tr>
      <w:tr w:rsidR="00DF426E" w:rsidRPr="000773A9" w:rsidTr="00EA705B">
        <w:trPr>
          <w:trHeight w:val="89"/>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764FFE">
            <w:pPr>
              <w:keepNext/>
              <w:rPr>
                <w:rFonts w:eastAsia="Arial Unicode MS"/>
                <w:szCs w:val="16"/>
              </w:rPr>
            </w:pPr>
            <w:r w:rsidRPr="00E54898">
              <w:rPr>
                <w:iCs/>
              </w:rPr>
              <w:t xml:space="preserve">Rental </w:t>
            </w:r>
            <w:r>
              <w:rPr>
                <w:iCs/>
              </w:rPr>
              <w:t xml:space="preserve">– </w:t>
            </w:r>
            <w:r>
              <w:rPr>
                <w:rFonts w:eastAsia="Arial Unicode MS"/>
                <w:szCs w:val="16"/>
              </w:rPr>
              <w:t xml:space="preserve">Vacant Units and </w:t>
            </w:r>
            <w:r w:rsidRPr="00281325">
              <w:rPr>
                <w:rFonts w:eastAsia="Arial Unicode MS"/>
                <w:szCs w:val="16"/>
              </w:rPr>
              <w:t>Common</w:t>
            </w:r>
            <w:r w:rsidRPr="000773A9">
              <w:rPr>
                <w:rFonts w:eastAsia="Arial Unicode MS"/>
                <w:szCs w:val="16"/>
              </w:rPr>
              <w:t xml:space="preserve"> Areas</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$64,264,481</w:t>
            </w:r>
          </w:p>
        </w:tc>
        <w:tc>
          <w:tcPr>
            <w:tcW w:w="1366"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$64,000,955</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pPr>
            <w:r>
              <w:t>$63,738,584</w:t>
            </w:r>
          </w:p>
        </w:tc>
        <w:tc>
          <w:tcPr>
            <w:tcW w:w="1366" w:type="dxa"/>
            <w:tcBorders>
              <w:top w:val="nil"/>
              <w:left w:val="nil"/>
              <w:bottom w:val="single" w:sz="4" w:space="0" w:color="auto"/>
              <w:right w:val="single" w:sz="4" w:space="0" w:color="auto"/>
            </w:tcBorders>
            <w:vAlign w:val="center"/>
          </w:tcPr>
          <w:p w:rsidR="00DF426E" w:rsidRPr="000773A9" w:rsidRDefault="00DF426E" w:rsidP="00F67650">
            <w:pPr>
              <w:ind w:right="165"/>
              <w:jc w:val="right"/>
            </w:pPr>
            <w:r>
              <w:t>$64,001,341</w:t>
            </w:r>
          </w:p>
        </w:tc>
      </w:tr>
      <w:tr w:rsidR="00DF426E" w:rsidRPr="000773A9" w:rsidTr="00EA705B">
        <w:trPr>
          <w:trHeight w:val="89"/>
          <w:jc w:val="center"/>
        </w:trPr>
        <w:tc>
          <w:tcPr>
            <w:tcW w:w="3480" w:type="dxa"/>
            <w:tcBorders>
              <w:top w:val="nil"/>
              <w:left w:val="single" w:sz="4" w:space="0" w:color="auto"/>
              <w:bottom w:val="single" w:sz="4" w:space="0" w:color="auto"/>
              <w:right w:val="single" w:sz="4" w:space="0" w:color="auto"/>
            </w:tcBorders>
            <w:vAlign w:val="bottom"/>
          </w:tcPr>
          <w:p w:rsidR="00DF426E" w:rsidRPr="000773A9" w:rsidRDefault="00DF426E" w:rsidP="00537689">
            <w:pPr>
              <w:keepNext/>
              <w:rPr>
                <w:rFonts w:eastAsia="Arial Unicode MS"/>
                <w:b/>
                <w:szCs w:val="16"/>
              </w:rPr>
            </w:pPr>
            <w:r w:rsidRPr="000773A9">
              <w:rPr>
                <w:rFonts w:eastAsia="Arial Unicode MS"/>
                <w:b/>
                <w:szCs w:val="16"/>
              </w:rPr>
              <w:t>Total Cost</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rPr>
                <w:b/>
                <w:bCs/>
              </w:rPr>
            </w:pPr>
            <w:r>
              <w:rPr>
                <w:b/>
                <w:bCs/>
              </w:rPr>
              <w:t>$138,712,986</w:t>
            </w:r>
          </w:p>
        </w:tc>
        <w:tc>
          <w:tcPr>
            <w:tcW w:w="1366"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rPr>
                <w:b/>
                <w:bCs/>
              </w:rPr>
            </w:pPr>
            <w:r>
              <w:rPr>
                <w:b/>
                <w:bCs/>
              </w:rPr>
              <w:t>$138,144,254</w:t>
            </w:r>
          </w:p>
        </w:tc>
        <w:tc>
          <w:tcPr>
            <w:tcW w:w="1365" w:type="dxa"/>
            <w:tcBorders>
              <w:top w:val="nil"/>
              <w:left w:val="nil"/>
              <w:bottom w:val="single" w:sz="4" w:space="0" w:color="auto"/>
              <w:right w:val="single" w:sz="4" w:space="0" w:color="auto"/>
            </w:tcBorders>
            <w:noWrap/>
            <w:vAlign w:val="center"/>
          </w:tcPr>
          <w:p w:rsidR="00DF426E" w:rsidRPr="000773A9" w:rsidRDefault="00DF426E" w:rsidP="00F67650">
            <w:pPr>
              <w:ind w:right="165"/>
              <w:jc w:val="right"/>
              <w:rPr>
                <w:b/>
                <w:bCs/>
              </w:rPr>
            </w:pPr>
            <w:r>
              <w:rPr>
                <w:b/>
                <w:bCs/>
              </w:rPr>
              <w:t>$137,577,860</w:t>
            </w:r>
          </w:p>
        </w:tc>
        <w:tc>
          <w:tcPr>
            <w:tcW w:w="1366" w:type="dxa"/>
            <w:tcBorders>
              <w:top w:val="nil"/>
              <w:left w:val="nil"/>
              <w:bottom w:val="single" w:sz="4" w:space="0" w:color="auto"/>
              <w:right w:val="single" w:sz="4" w:space="0" w:color="auto"/>
            </w:tcBorders>
            <w:vAlign w:val="center"/>
          </w:tcPr>
          <w:p w:rsidR="00DF426E" w:rsidRPr="000773A9" w:rsidRDefault="00DF426E" w:rsidP="00F67650">
            <w:pPr>
              <w:ind w:right="165"/>
              <w:jc w:val="right"/>
              <w:rPr>
                <w:b/>
                <w:bCs/>
              </w:rPr>
            </w:pPr>
            <w:r>
              <w:rPr>
                <w:b/>
                <w:bCs/>
              </w:rPr>
              <w:t>$138,145,020</w:t>
            </w:r>
          </w:p>
        </w:tc>
      </w:tr>
    </w:tbl>
    <w:p w:rsidR="005E7080" w:rsidRPr="005E7080" w:rsidRDefault="005E7080" w:rsidP="005E7080">
      <w:pPr>
        <w:keepNext/>
        <w:rPr>
          <w:sz w:val="24"/>
          <w:szCs w:val="24"/>
        </w:rPr>
      </w:pPr>
    </w:p>
    <w:p w:rsidR="00537689" w:rsidRPr="000773A9" w:rsidRDefault="00537689" w:rsidP="005E7080">
      <w:pPr>
        <w:keepNext/>
        <w:numPr>
          <w:ilvl w:val="0"/>
          <w:numId w:val="38"/>
        </w:numPr>
        <w:rPr>
          <w:sz w:val="24"/>
          <w:szCs w:val="24"/>
        </w:rPr>
      </w:pPr>
      <w:r w:rsidRPr="000773A9">
        <w:rPr>
          <w:i/>
          <w:sz w:val="24"/>
          <w:szCs w:val="24"/>
        </w:rPr>
        <w:t>Public or Commercial Building COF Event Costs</w:t>
      </w:r>
    </w:p>
    <w:p w:rsidR="00537689" w:rsidRPr="000773A9" w:rsidRDefault="00537689" w:rsidP="00537689">
      <w:pPr>
        <w:keepNext/>
        <w:rPr>
          <w:sz w:val="24"/>
          <w:szCs w:val="24"/>
        </w:rPr>
      </w:pPr>
    </w:p>
    <w:p w:rsidR="00537689" w:rsidRPr="000773A9" w:rsidRDefault="00537689" w:rsidP="00537689">
      <w:pPr>
        <w:keepNext/>
        <w:ind w:firstLine="720"/>
        <w:rPr>
          <w:sz w:val="24"/>
          <w:szCs w:val="24"/>
        </w:rPr>
      </w:pPr>
      <w:r w:rsidRPr="000773A9">
        <w:rPr>
          <w:sz w:val="24"/>
          <w:szCs w:val="24"/>
        </w:rPr>
        <w:t>Landlords, as well as contractors working in COFs that own their own space, will need to prepare one set of acknowledgement and certification forms, distribute the pamphlet to the COF owner, and obtain proof that the pamphlet was provided to the COF owner.  Contractors working in COFs that are renting space will need to prepare two sets of acknowledgement and certification forms (one for the building owner, and the other for the COF owner), distribute the pamphlet to both individuals, and obtain proof that both individuals have received the pamphlet.</w:t>
      </w:r>
    </w:p>
    <w:p w:rsidR="00537689" w:rsidRPr="000773A9" w:rsidRDefault="00537689" w:rsidP="00537689">
      <w:pPr>
        <w:ind w:firstLine="720"/>
        <w:rPr>
          <w:sz w:val="24"/>
          <w:szCs w:val="24"/>
        </w:rPr>
      </w:pPr>
    </w:p>
    <w:p w:rsidR="00537689" w:rsidRPr="000773A9" w:rsidRDefault="00537689" w:rsidP="00537689">
      <w:pPr>
        <w:ind w:firstLine="720"/>
        <w:rPr>
          <w:sz w:val="24"/>
          <w:szCs w:val="24"/>
        </w:rPr>
      </w:pPr>
      <w:r w:rsidRPr="000773A9">
        <w:rPr>
          <w:sz w:val="24"/>
          <w:szCs w:val="24"/>
        </w:rPr>
        <w:t>In addition to the time needed to prepare acknowledgement forms and distribute the pamphlet, contractors and landlords will also incur the costs of either photocopying or purchasing the renovation-specific lead safety pamphlets.  Based on per-page photocopy costs reported by Staples, EPA estimates that a single pamphlet costs $</w:t>
      </w:r>
      <w:r w:rsidR="002B3E3C">
        <w:rPr>
          <w:sz w:val="24"/>
          <w:szCs w:val="24"/>
        </w:rPr>
        <w:t>1</w:t>
      </w:r>
      <w:r w:rsidRPr="000773A9">
        <w:rPr>
          <w:sz w:val="24"/>
          <w:szCs w:val="24"/>
        </w:rPr>
        <w:t>.</w:t>
      </w:r>
      <w:r w:rsidR="002B3E3C">
        <w:rPr>
          <w:sz w:val="24"/>
          <w:szCs w:val="24"/>
        </w:rPr>
        <w:t>1</w:t>
      </w:r>
      <w:r w:rsidR="002B3E3C" w:rsidRPr="000773A9">
        <w:rPr>
          <w:sz w:val="24"/>
          <w:szCs w:val="24"/>
        </w:rPr>
        <w:t xml:space="preserve">0 </w:t>
      </w:r>
      <w:r w:rsidRPr="000773A9">
        <w:rPr>
          <w:sz w:val="24"/>
          <w:szCs w:val="24"/>
        </w:rPr>
        <w:t xml:space="preserve">to photocopy.  </w:t>
      </w:r>
    </w:p>
    <w:p w:rsidR="00537689" w:rsidRPr="000773A9" w:rsidRDefault="00537689" w:rsidP="00537689">
      <w:pPr>
        <w:ind w:firstLine="720"/>
        <w:rPr>
          <w:sz w:val="24"/>
          <w:szCs w:val="24"/>
        </w:rPr>
      </w:pPr>
    </w:p>
    <w:p w:rsidR="00537689" w:rsidRPr="000773A9" w:rsidRDefault="00537689" w:rsidP="00537689">
      <w:pPr>
        <w:ind w:firstLine="720"/>
        <w:rPr>
          <w:sz w:val="24"/>
          <w:szCs w:val="24"/>
        </w:rPr>
      </w:pPr>
      <w:r w:rsidRPr="000773A9">
        <w:rPr>
          <w:sz w:val="24"/>
          <w:szCs w:val="24"/>
        </w:rPr>
        <w:t xml:space="preserve">It is assumed that for every renovation event there is one copy of the written acknowledgment.  </w:t>
      </w:r>
      <w:r w:rsidR="00940102">
        <w:rPr>
          <w:sz w:val="24"/>
          <w:szCs w:val="24"/>
        </w:rPr>
        <w:t>Firms performing renovation</w:t>
      </w:r>
      <w:r w:rsidRPr="000773A9">
        <w:rPr>
          <w:sz w:val="24"/>
          <w:szCs w:val="24"/>
        </w:rPr>
        <w:t xml:space="preserve">s are assumed to generate two document sets (one for the </w:t>
      </w:r>
      <w:r w:rsidR="00940102">
        <w:rPr>
          <w:sz w:val="24"/>
          <w:szCs w:val="24"/>
        </w:rPr>
        <w:t>firm performing renovations</w:t>
      </w:r>
      <w:r w:rsidRPr="000773A9">
        <w:rPr>
          <w:sz w:val="24"/>
          <w:szCs w:val="24"/>
        </w:rPr>
        <w:t xml:space="preserve"> and one for the occupant or owner), for a total of two copies, at approximately $0.10 each page. </w:t>
      </w:r>
      <w:r w:rsidR="00EA705B">
        <w:rPr>
          <w:sz w:val="24"/>
          <w:szCs w:val="24"/>
        </w:rPr>
        <w:t xml:space="preserve">It is assumed </w:t>
      </w:r>
      <w:r w:rsidR="00940102">
        <w:rPr>
          <w:sz w:val="24"/>
          <w:szCs w:val="24"/>
        </w:rPr>
        <w:t>firms performing renovations</w:t>
      </w:r>
      <w:r w:rsidR="00EA705B">
        <w:rPr>
          <w:sz w:val="24"/>
          <w:szCs w:val="24"/>
        </w:rPr>
        <w:t xml:space="preserve"> will make one copy of the statement describing the steps taken to notify parents and guardians of the renovation.  </w:t>
      </w:r>
      <w:r w:rsidRPr="000773A9">
        <w:rPr>
          <w:sz w:val="24"/>
          <w:szCs w:val="24"/>
        </w:rPr>
        <w:fldChar w:fldCharType="begin"/>
      </w:r>
      <w:r w:rsidRPr="000773A9">
        <w:rPr>
          <w:sz w:val="24"/>
          <w:szCs w:val="24"/>
        </w:rPr>
        <w:instrText xml:space="preserve"> REF _Ref271805494 \h  \* MERGEFORMAT </w:instrText>
      </w:r>
      <w:r w:rsidRPr="000773A9">
        <w:rPr>
          <w:sz w:val="24"/>
          <w:szCs w:val="24"/>
        </w:rPr>
      </w:r>
      <w:r w:rsidRPr="000773A9">
        <w:rPr>
          <w:sz w:val="24"/>
          <w:szCs w:val="24"/>
        </w:rPr>
        <w:fldChar w:fldCharType="separate"/>
      </w:r>
      <w:r w:rsidR="00D067A1" w:rsidRPr="00D067A1">
        <w:rPr>
          <w:sz w:val="24"/>
          <w:szCs w:val="24"/>
        </w:rPr>
        <w:t>Exhibit 6.17</w:t>
      </w:r>
      <w:r w:rsidRPr="000773A9">
        <w:rPr>
          <w:sz w:val="24"/>
          <w:szCs w:val="24"/>
        </w:rPr>
        <w:fldChar w:fldCharType="end"/>
      </w:r>
      <w:r w:rsidRPr="000773A9">
        <w:rPr>
          <w:sz w:val="24"/>
          <w:szCs w:val="24"/>
        </w:rPr>
        <w:t xml:space="preserve"> presents resulting per-event pamphlet costs for COF events.</w:t>
      </w:r>
    </w:p>
    <w:p w:rsidR="00537689" w:rsidRPr="000773A9" w:rsidRDefault="00537689" w:rsidP="00537689">
      <w:pPr>
        <w:rPr>
          <w:sz w:val="24"/>
          <w:szCs w:val="24"/>
        </w:rPr>
      </w:pPr>
    </w:p>
    <w:tbl>
      <w:tblPr>
        <w:tblW w:w="9287" w:type="dxa"/>
        <w:jc w:val="center"/>
        <w:tblLayout w:type="fixed"/>
        <w:tblCellMar>
          <w:left w:w="0" w:type="dxa"/>
          <w:right w:w="0" w:type="dxa"/>
        </w:tblCellMar>
        <w:tblLook w:val="0000" w:firstRow="0" w:lastRow="0" w:firstColumn="0" w:lastColumn="0" w:noHBand="0" w:noVBand="0"/>
      </w:tblPr>
      <w:tblGrid>
        <w:gridCol w:w="2640"/>
        <w:gridCol w:w="1107"/>
        <w:gridCol w:w="1108"/>
        <w:gridCol w:w="1108"/>
        <w:gridCol w:w="1108"/>
        <w:gridCol w:w="1108"/>
        <w:gridCol w:w="1108"/>
      </w:tblGrid>
      <w:tr w:rsidR="00537689" w:rsidRPr="000773A9" w:rsidTr="00EF53BC">
        <w:trPr>
          <w:trHeight w:val="255"/>
          <w:jc w:val="center"/>
        </w:trPr>
        <w:tc>
          <w:tcPr>
            <w:tcW w:w="9287" w:type="dxa"/>
            <w:gridSpan w:val="7"/>
            <w:tcBorders>
              <w:bottom w:val="single" w:sz="4" w:space="0" w:color="auto"/>
            </w:tcBorders>
            <w:noWrap/>
            <w:vAlign w:val="bottom"/>
          </w:tcPr>
          <w:p w:rsidR="00537689" w:rsidRPr="000773A9" w:rsidRDefault="00537689" w:rsidP="0029732B">
            <w:pPr>
              <w:keepNext/>
              <w:jc w:val="center"/>
              <w:rPr>
                <w:b/>
                <w:bCs/>
                <w:szCs w:val="16"/>
              </w:rPr>
            </w:pPr>
            <w:bookmarkStart w:id="19" w:name="_Ref271805494"/>
            <w:r w:rsidRPr="000773A9">
              <w:rPr>
                <w:rFonts w:eastAsia="Arial Unicode MS"/>
                <w:b/>
                <w:bCs/>
                <w:szCs w:val="16"/>
              </w:rPr>
              <w:lastRenderedPageBreak/>
              <w:t>Exhibit 6.</w:t>
            </w:r>
            <w:r w:rsidRPr="000773A9">
              <w:rPr>
                <w:rFonts w:eastAsia="Arial Unicode MS"/>
                <w:b/>
                <w:bCs/>
                <w:szCs w:val="16"/>
              </w:rPr>
              <w:fldChar w:fldCharType="begin"/>
            </w:r>
            <w:r w:rsidRPr="000773A9">
              <w:rPr>
                <w:rFonts w:eastAsia="Arial Unicode MS"/>
                <w:b/>
                <w:bCs/>
                <w:szCs w:val="16"/>
              </w:rPr>
              <w:instrText xml:space="preserve"> SEQ Exhibit_6. \* ARABIC </w:instrText>
            </w:r>
            <w:r w:rsidRPr="000773A9">
              <w:rPr>
                <w:rFonts w:eastAsia="Arial Unicode MS"/>
                <w:b/>
                <w:bCs/>
                <w:szCs w:val="16"/>
              </w:rPr>
              <w:fldChar w:fldCharType="separate"/>
            </w:r>
            <w:r w:rsidR="00D067A1">
              <w:rPr>
                <w:rFonts w:eastAsia="Arial Unicode MS"/>
                <w:b/>
                <w:bCs/>
                <w:noProof/>
                <w:szCs w:val="16"/>
              </w:rPr>
              <w:t>17</w:t>
            </w:r>
            <w:r w:rsidRPr="000773A9">
              <w:rPr>
                <w:rFonts w:eastAsia="Arial Unicode MS"/>
                <w:b/>
                <w:bCs/>
                <w:szCs w:val="16"/>
              </w:rPr>
              <w:fldChar w:fldCharType="end"/>
            </w:r>
            <w:bookmarkEnd w:id="19"/>
            <w:r w:rsidRPr="000773A9">
              <w:rPr>
                <w:b/>
                <w:bCs/>
              </w:rPr>
              <w:t>:</w:t>
            </w:r>
            <w:r w:rsidRPr="000773A9">
              <w:t xml:space="preserve"> </w:t>
            </w:r>
            <w:r w:rsidRPr="000773A9">
              <w:rPr>
                <w:b/>
                <w:bCs/>
                <w:szCs w:val="16"/>
              </w:rPr>
              <w:t xml:space="preserve">Per-Event </w:t>
            </w:r>
            <w:r w:rsidR="009F6B34" w:rsidRPr="000773A9">
              <w:rPr>
                <w:b/>
                <w:bCs/>
                <w:szCs w:val="16"/>
              </w:rPr>
              <w:t xml:space="preserve">Materials Cost </w:t>
            </w:r>
            <w:r w:rsidR="00DB43BF" w:rsidRPr="000773A9">
              <w:rPr>
                <w:b/>
                <w:bCs/>
                <w:szCs w:val="16"/>
              </w:rPr>
              <w:t xml:space="preserve">for Renovations in Public or </w:t>
            </w:r>
            <w:smartTag w:uri="urn:schemas-microsoft-com:office:smarttags" w:element="place">
              <w:smartTag w:uri="urn:schemas-microsoft-com:office:smarttags" w:element="PlaceName">
                <w:r w:rsidR="00DB43BF" w:rsidRPr="000773A9">
                  <w:rPr>
                    <w:b/>
                    <w:bCs/>
                    <w:szCs w:val="16"/>
                  </w:rPr>
                  <w:t>Commercial</w:t>
                </w:r>
              </w:smartTag>
              <w:r w:rsidR="00DB43BF" w:rsidRPr="000773A9">
                <w:rPr>
                  <w:b/>
                  <w:bCs/>
                  <w:szCs w:val="16"/>
                </w:rPr>
                <w:t xml:space="preserve"> </w:t>
              </w:r>
              <w:smartTag w:uri="urn:schemas-microsoft-com:office:smarttags" w:element="PlaceType">
                <w:r w:rsidR="00DB43BF" w:rsidRPr="000773A9">
                  <w:rPr>
                    <w:b/>
                    <w:bCs/>
                    <w:szCs w:val="16"/>
                  </w:rPr>
                  <w:t>Building</w:t>
                </w:r>
              </w:smartTag>
            </w:smartTag>
            <w:r w:rsidR="00DB43BF" w:rsidRPr="000773A9">
              <w:rPr>
                <w:b/>
                <w:bCs/>
                <w:szCs w:val="16"/>
              </w:rPr>
              <w:t xml:space="preserve"> COFs</w:t>
            </w:r>
          </w:p>
          <w:p w:rsidR="00537689" w:rsidRPr="000773A9" w:rsidRDefault="00537689" w:rsidP="0029732B">
            <w:pPr>
              <w:keepNext/>
              <w:jc w:val="center"/>
              <w:rPr>
                <w:rFonts w:eastAsia="Arial Unicode MS"/>
                <w:b/>
                <w:bCs/>
                <w:szCs w:val="16"/>
              </w:rPr>
            </w:pPr>
          </w:p>
        </w:tc>
      </w:tr>
      <w:tr w:rsidR="00537689" w:rsidRPr="000773A9" w:rsidTr="00EF53BC">
        <w:trPr>
          <w:trHeight w:val="255"/>
          <w:jc w:val="center"/>
        </w:trPr>
        <w:tc>
          <w:tcPr>
            <w:tcW w:w="2640" w:type="dxa"/>
            <w:vMerge w:val="restart"/>
            <w:tcBorders>
              <w:top w:val="nil"/>
              <w:left w:val="single" w:sz="4" w:space="0" w:color="auto"/>
              <w:bottom w:val="single" w:sz="4" w:space="0" w:color="000000"/>
              <w:right w:val="nil"/>
            </w:tcBorders>
            <w:noWrap/>
            <w:vAlign w:val="bottom"/>
          </w:tcPr>
          <w:p w:rsidR="00537689" w:rsidRPr="000773A9" w:rsidRDefault="00537689" w:rsidP="0029732B">
            <w:pPr>
              <w:keepNext/>
              <w:jc w:val="center"/>
              <w:rPr>
                <w:rFonts w:eastAsia="Arial Unicode MS"/>
                <w:b/>
                <w:szCs w:val="16"/>
              </w:rPr>
            </w:pPr>
            <w:r w:rsidRPr="000773A9">
              <w:rPr>
                <w:b/>
                <w:szCs w:val="16"/>
              </w:rPr>
              <w:t>Activity</w:t>
            </w:r>
          </w:p>
        </w:tc>
        <w:tc>
          <w:tcPr>
            <w:tcW w:w="6647" w:type="dxa"/>
            <w:gridSpan w:val="6"/>
            <w:tcBorders>
              <w:top w:val="single" w:sz="4" w:space="0" w:color="auto"/>
              <w:left w:val="single" w:sz="4" w:space="0" w:color="auto"/>
              <w:bottom w:val="single" w:sz="4" w:space="0" w:color="auto"/>
              <w:right w:val="single" w:sz="4" w:space="0" w:color="auto"/>
            </w:tcBorders>
            <w:noWrap/>
            <w:vAlign w:val="bottom"/>
          </w:tcPr>
          <w:p w:rsidR="00537689" w:rsidRPr="000773A9" w:rsidRDefault="00FA28EE" w:rsidP="0029732B">
            <w:pPr>
              <w:keepNext/>
              <w:jc w:val="center"/>
              <w:rPr>
                <w:rFonts w:eastAsia="Arial Unicode MS"/>
                <w:b/>
                <w:szCs w:val="16"/>
              </w:rPr>
            </w:pPr>
            <w:r>
              <w:rPr>
                <w:rFonts w:eastAsia="Arial Unicode MS"/>
                <w:b/>
                <w:szCs w:val="16"/>
              </w:rPr>
              <w:t>Materials Cost</w:t>
            </w:r>
            <w:r w:rsidR="00544F42">
              <w:rPr>
                <w:rFonts w:eastAsia="Arial Unicode MS"/>
                <w:b/>
                <w:szCs w:val="16"/>
              </w:rPr>
              <w:t xml:space="preserve"> by Type of Event</w:t>
            </w:r>
          </w:p>
        </w:tc>
      </w:tr>
      <w:tr w:rsidR="00537689" w:rsidRPr="000773A9" w:rsidTr="00EF53BC">
        <w:trPr>
          <w:trHeight w:val="647"/>
          <w:jc w:val="center"/>
        </w:trPr>
        <w:tc>
          <w:tcPr>
            <w:tcW w:w="2640" w:type="dxa"/>
            <w:vMerge/>
            <w:tcBorders>
              <w:top w:val="nil"/>
              <w:left w:val="single" w:sz="4" w:space="0" w:color="auto"/>
              <w:bottom w:val="single" w:sz="4" w:space="0" w:color="000000"/>
              <w:right w:val="nil"/>
            </w:tcBorders>
            <w:vAlign w:val="center"/>
          </w:tcPr>
          <w:p w:rsidR="00537689" w:rsidRPr="000773A9" w:rsidRDefault="00537689" w:rsidP="0029732B">
            <w:pPr>
              <w:keepNext/>
              <w:rPr>
                <w:rFonts w:eastAsia="Arial Unicode MS"/>
                <w:b/>
                <w:bCs/>
                <w:szCs w:val="16"/>
              </w:rPr>
            </w:pPr>
          </w:p>
        </w:tc>
        <w:tc>
          <w:tcPr>
            <w:tcW w:w="2215" w:type="dxa"/>
            <w:gridSpan w:val="2"/>
            <w:tcBorders>
              <w:top w:val="nil"/>
              <w:left w:val="single" w:sz="4" w:space="0" w:color="auto"/>
              <w:bottom w:val="single" w:sz="4" w:space="0" w:color="auto"/>
              <w:right w:val="single" w:sz="4" w:space="0" w:color="auto"/>
            </w:tcBorders>
            <w:vAlign w:val="center"/>
          </w:tcPr>
          <w:p w:rsidR="00537689" w:rsidRPr="000773A9" w:rsidRDefault="00537689" w:rsidP="0029732B">
            <w:pPr>
              <w:keepNext/>
              <w:jc w:val="center"/>
              <w:rPr>
                <w:b/>
                <w:bCs/>
              </w:rPr>
            </w:pPr>
            <w:r w:rsidRPr="000773A9">
              <w:rPr>
                <w:b/>
                <w:bCs/>
              </w:rPr>
              <w:t>Contractor Owner-Occupied COF Events</w:t>
            </w:r>
          </w:p>
        </w:tc>
        <w:tc>
          <w:tcPr>
            <w:tcW w:w="2216" w:type="dxa"/>
            <w:gridSpan w:val="2"/>
            <w:tcBorders>
              <w:top w:val="nil"/>
              <w:left w:val="single" w:sz="4" w:space="0" w:color="auto"/>
              <w:bottom w:val="single" w:sz="4" w:space="0" w:color="auto"/>
              <w:right w:val="single" w:sz="4" w:space="0" w:color="auto"/>
            </w:tcBorders>
            <w:vAlign w:val="center"/>
          </w:tcPr>
          <w:p w:rsidR="00537689" w:rsidRPr="000773A9" w:rsidRDefault="00537689" w:rsidP="0029732B">
            <w:pPr>
              <w:keepNext/>
              <w:jc w:val="center"/>
              <w:rPr>
                <w:b/>
                <w:bCs/>
              </w:rPr>
            </w:pPr>
            <w:r w:rsidRPr="000773A9">
              <w:rPr>
                <w:b/>
                <w:bCs/>
              </w:rPr>
              <w:t>Contractor Rental COF Events</w:t>
            </w:r>
          </w:p>
        </w:tc>
        <w:tc>
          <w:tcPr>
            <w:tcW w:w="2216" w:type="dxa"/>
            <w:gridSpan w:val="2"/>
            <w:tcBorders>
              <w:top w:val="nil"/>
              <w:left w:val="nil"/>
              <w:bottom w:val="single" w:sz="4" w:space="0" w:color="auto"/>
              <w:right w:val="single" w:sz="4" w:space="0" w:color="auto"/>
            </w:tcBorders>
            <w:vAlign w:val="center"/>
          </w:tcPr>
          <w:p w:rsidR="00537689" w:rsidRPr="000773A9" w:rsidRDefault="00537689" w:rsidP="0029732B">
            <w:pPr>
              <w:keepNext/>
              <w:jc w:val="center"/>
              <w:rPr>
                <w:b/>
                <w:bCs/>
              </w:rPr>
            </w:pPr>
            <w:r w:rsidRPr="000773A9">
              <w:rPr>
                <w:b/>
                <w:bCs/>
              </w:rPr>
              <w:t>In-House COF Events</w:t>
            </w:r>
          </w:p>
        </w:tc>
      </w:tr>
      <w:tr w:rsidR="00FD5AE0" w:rsidRPr="000773A9" w:rsidTr="00EF53BC">
        <w:trPr>
          <w:trHeight w:val="255"/>
          <w:jc w:val="center"/>
        </w:trPr>
        <w:tc>
          <w:tcPr>
            <w:tcW w:w="2640" w:type="dxa"/>
            <w:tcBorders>
              <w:top w:val="nil"/>
              <w:left w:val="single" w:sz="4" w:space="0" w:color="auto"/>
              <w:bottom w:val="single" w:sz="4" w:space="0" w:color="auto"/>
              <w:right w:val="single" w:sz="4" w:space="0" w:color="auto"/>
            </w:tcBorders>
            <w:vAlign w:val="bottom"/>
          </w:tcPr>
          <w:p w:rsidR="00FD5AE0" w:rsidRPr="000773A9" w:rsidRDefault="00FD5AE0" w:rsidP="0029732B">
            <w:pPr>
              <w:keepNext/>
            </w:pPr>
          </w:p>
        </w:tc>
        <w:tc>
          <w:tcPr>
            <w:tcW w:w="1107" w:type="dxa"/>
            <w:tcBorders>
              <w:top w:val="nil"/>
              <w:left w:val="nil"/>
              <w:bottom w:val="single" w:sz="4" w:space="0" w:color="auto"/>
              <w:right w:val="single" w:sz="4" w:space="0" w:color="auto"/>
            </w:tcBorders>
            <w:noWrap/>
            <w:vAlign w:val="center"/>
          </w:tcPr>
          <w:p w:rsidR="00FD5AE0" w:rsidRPr="000773A9" w:rsidRDefault="00FD5AE0" w:rsidP="0029732B">
            <w:pPr>
              <w:keepNext/>
              <w:jc w:val="center"/>
            </w:pPr>
            <w:r>
              <w:t>Number of Copies</w:t>
            </w:r>
          </w:p>
        </w:tc>
        <w:tc>
          <w:tcPr>
            <w:tcW w:w="1108" w:type="dxa"/>
            <w:tcBorders>
              <w:top w:val="nil"/>
              <w:left w:val="nil"/>
              <w:bottom w:val="single" w:sz="4" w:space="0" w:color="auto"/>
              <w:right w:val="single" w:sz="4" w:space="0" w:color="auto"/>
            </w:tcBorders>
            <w:vAlign w:val="center"/>
          </w:tcPr>
          <w:p w:rsidR="00FD5AE0" w:rsidRPr="000773A9" w:rsidRDefault="00FD5AE0" w:rsidP="0029732B">
            <w:pPr>
              <w:keepNext/>
              <w:jc w:val="center"/>
            </w:pPr>
            <w:r>
              <w:t>Cost</w:t>
            </w:r>
          </w:p>
        </w:tc>
        <w:tc>
          <w:tcPr>
            <w:tcW w:w="1108" w:type="dxa"/>
            <w:tcBorders>
              <w:top w:val="nil"/>
              <w:left w:val="nil"/>
              <w:bottom w:val="single" w:sz="4" w:space="0" w:color="auto"/>
              <w:right w:val="single" w:sz="4" w:space="0" w:color="auto"/>
            </w:tcBorders>
            <w:vAlign w:val="center"/>
          </w:tcPr>
          <w:p w:rsidR="00FD5AE0" w:rsidRPr="000773A9" w:rsidRDefault="00FD5AE0" w:rsidP="0029732B">
            <w:pPr>
              <w:keepNext/>
              <w:jc w:val="center"/>
            </w:pPr>
            <w:r>
              <w:t>Number of Copies</w:t>
            </w:r>
          </w:p>
        </w:tc>
        <w:tc>
          <w:tcPr>
            <w:tcW w:w="1108" w:type="dxa"/>
            <w:tcBorders>
              <w:top w:val="nil"/>
              <w:left w:val="nil"/>
              <w:bottom w:val="single" w:sz="4" w:space="0" w:color="auto"/>
              <w:right w:val="single" w:sz="4" w:space="0" w:color="auto"/>
            </w:tcBorders>
            <w:vAlign w:val="center"/>
          </w:tcPr>
          <w:p w:rsidR="00FD5AE0" w:rsidRPr="000773A9" w:rsidRDefault="00FD5AE0" w:rsidP="0029732B">
            <w:pPr>
              <w:keepNext/>
              <w:jc w:val="center"/>
            </w:pPr>
            <w:r>
              <w:t>Cost</w:t>
            </w:r>
          </w:p>
        </w:tc>
        <w:tc>
          <w:tcPr>
            <w:tcW w:w="1108" w:type="dxa"/>
            <w:tcBorders>
              <w:top w:val="nil"/>
              <w:left w:val="nil"/>
              <w:bottom w:val="single" w:sz="4" w:space="0" w:color="auto"/>
              <w:right w:val="single" w:sz="4" w:space="0" w:color="auto"/>
            </w:tcBorders>
            <w:noWrap/>
            <w:vAlign w:val="center"/>
          </w:tcPr>
          <w:p w:rsidR="00FD5AE0" w:rsidRPr="000773A9" w:rsidRDefault="00FD5AE0" w:rsidP="0029732B">
            <w:pPr>
              <w:keepNext/>
              <w:jc w:val="center"/>
            </w:pPr>
            <w:r>
              <w:t>Number of Copies</w:t>
            </w:r>
          </w:p>
        </w:tc>
        <w:tc>
          <w:tcPr>
            <w:tcW w:w="1108" w:type="dxa"/>
            <w:tcBorders>
              <w:top w:val="nil"/>
              <w:left w:val="nil"/>
              <w:bottom w:val="single" w:sz="4" w:space="0" w:color="auto"/>
              <w:right w:val="single" w:sz="4" w:space="0" w:color="auto"/>
            </w:tcBorders>
            <w:vAlign w:val="center"/>
          </w:tcPr>
          <w:p w:rsidR="00FD5AE0" w:rsidRPr="000773A9" w:rsidRDefault="00FD5AE0" w:rsidP="0029732B">
            <w:pPr>
              <w:keepNext/>
              <w:jc w:val="center"/>
            </w:pPr>
            <w:r>
              <w:t>Cost</w:t>
            </w:r>
          </w:p>
        </w:tc>
      </w:tr>
      <w:tr w:rsidR="002B3E3C" w:rsidRPr="000773A9" w:rsidTr="000474AA">
        <w:trPr>
          <w:trHeight w:val="255"/>
          <w:jc w:val="center"/>
        </w:trPr>
        <w:tc>
          <w:tcPr>
            <w:tcW w:w="2640" w:type="dxa"/>
            <w:tcBorders>
              <w:top w:val="nil"/>
              <w:left w:val="single" w:sz="4" w:space="0" w:color="auto"/>
              <w:bottom w:val="single" w:sz="4" w:space="0" w:color="auto"/>
              <w:right w:val="single" w:sz="4" w:space="0" w:color="auto"/>
            </w:tcBorders>
            <w:vAlign w:val="bottom"/>
          </w:tcPr>
          <w:p w:rsidR="002B3E3C" w:rsidRPr="000773A9" w:rsidRDefault="002B3E3C" w:rsidP="0029732B">
            <w:pPr>
              <w:keepNext/>
            </w:pPr>
            <w:r w:rsidRPr="000773A9">
              <w:t>Lead Hazard Pamphlet</w:t>
            </w:r>
          </w:p>
        </w:tc>
        <w:tc>
          <w:tcPr>
            <w:tcW w:w="1107" w:type="dxa"/>
            <w:tcBorders>
              <w:top w:val="nil"/>
              <w:left w:val="nil"/>
              <w:bottom w:val="single" w:sz="4" w:space="0" w:color="auto"/>
              <w:right w:val="single" w:sz="4" w:space="0" w:color="auto"/>
            </w:tcBorders>
            <w:noWrap/>
            <w:vAlign w:val="bottom"/>
          </w:tcPr>
          <w:p w:rsidR="002B3E3C" w:rsidRPr="000773A9" w:rsidRDefault="002B3E3C" w:rsidP="0029732B">
            <w:pPr>
              <w:keepNext/>
              <w:jc w:val="center"/>
            </w:pPr>
            <w:r w:rsidRPr="00EB0830">
              <w:t>2</w:t>
            </w:r>
          </w:p>
        </w:tc>
        <w:tc>
          <w:tcPr>
            <w:tcW w:w="1108" w:type="dxa"/>
            <w:tcBorders>
              <w:top w:val="nil"/>
              <w:left w:val="nil"/>
              <w:bottom w:val="single" w:sz="4" w:space="0" w:color="auto"/>
              <w:right w:val="single" w:sz="4" w:space="0" w:color="auto"/>
            </w:tcBorders>
            <w:vAlign w:val="center"/>
          </w:tcPr>
          <w:p w:rsidR="002B3E3C" w:rsidRPr="000773A9" w:rsidRDefault="002B3E3C" w:rsidP="0029732B">
            <w:pPr>
              <w:keepNext/>
              <w:jc w:val="center"/>
            </w:pPr>
            <w:r w:rsidRPr="002B3E3C">
              <w:t>$2.20</w:t>
            </w:r>
          </w:p>
        </w:tc>
        <w:tc>
          <w:tcPr>
            <w:tcW w:w="1108" w:type="dxa"/>
            <w:tcBorders>
              <w:top w:val="nil"/>
              <w:left w:val="nil"/>
              <w:bottom w:val="single" w:sz="4" w:space="0" w:color="auto"/>
              <w:right w:val="single" w:sz="4" w:space="0" w:color="auto"/>
            </w:tcBorders>
            <w:vAlign w:val="bottom"/>
          </w:tcPr>
          <w:p w:rsidR="002B3E3C" w:rsidRPr="000773A9" w:rsidRDefault="002B3E3C" w:rsidP="0029732B">
            <w:pPr>
              <w:keepNext/>
              <w:jc w:val="center"/>
            </w:pPr>
            <w:r w:rsidRPr="002B3E3C">
              <w:t>3</w:t>
            </w:r>
          </w:p>
        </w:tc>
        <w:tc>
          <w:tcPr>
            <w:tcW w:w="1108" w:type="dxa"/>
            <w:tcBorders>
              <w:top w:val="nil"/>
              <w:left w:val="nil"/>
              <w:bottom w:val="single" w:sz="4" w:space="0" w:color="auto"/>
              <w:right w:val="single" w:sz="4" w:space="0" w:color="auto"/>
            </w:tcBorders>
            <w:vAlign w:val="center"/>
          </w:tcPr>
          <w:p w:rsidR="002B3E3C" w:rsidRPr="000773A9" w:rsidRDefault="002B3E3C" w:rsidP="0029732B">
            <w:pPr>
              <w:keepNext/>
              <w:jc w:val="center"/>
            </w:pPr>
            <w:r w:rsidRPr="002B3E3C">
              <w:t>$3.30</w:t>
            </w:r>
          </w:p>
        </w:tc>
        <w:tc>
          <w:tcPr>
            <w:tcW w:w="1108" w:type="dxa"/>
            <w:tcBorders>
              <w:top w:val="nil"/>
              <w:left w:val="nil"/>
              <w:bottom w:val="single" w:sz="4" w:space="0" w:color="auto"/>
              <w:right w:val="single" w:sz="4" w:space="0" w:color="auto"/>
            </w:tcBorders>
            <w:noWrap/>
            <w:vAlign w:val="bottom"/>
          </w:tcPr>
          <w:p w:rsidR="002B3E3C" w:rsidRPr="000773A9" w:rsidRDefault="002B3E3C" w:rsidP="0029732B">
            <w:pPr>
              <w:keepNext/>
              <w:jc w:val="center"/>
            </w:pPr>
            <w:r w:rsidRPr="002B3E3C">
              <w:t>1</w:t>
            </w:r>
          </w:p>
        </w:tc>
        <w:tc>
          <w:tcPr>
            <w:tcW w:w="1108" w:type="dxa"/>
            <w:tcBorders>
              <w:top w:val="nil"/>
              <w:left w:val="nil"/>
              <w:bottom w:val="single" w:sz="4" w:space="0" w:color="auto"/>
              <w:right w:val="single" w:sz="4" w:space="0" w:color="auto"/>
            </w:tcBorders>
            <w:vAlign w:val="center"/>
          </w:tcPr>
          <w:p w:rsidR="002B3E3C" w:rsidRPr="000773A9" w:rsidRDefault="002B3E3C" w:rsidP="0029732B">
            <w:pPr>
              <w:keepNext/>
              <w:jc w:val="center"/>
            </w:pPr>
            <w:r w:rsidRPr="002B3E3C">
              <w:t>$1.10</w:t>
            </w:r>
          </w:p>
        </w:tc>
      </w:tr>
      <w:tr w:rsidR="002B3E3C" w:rsidRPr="000773A9" w:rsidTr="000474AA">
        <w:trPr>
          <w:trHeight w:val="255"/>
          <w:jc w:val="center"/>
        </w:trPr>
        <w:tc>
          <w:tcPr>
            <w:tcW w:w="2640" w:type="dxa"/>
            <w:tcBorders>
              <w:top w:val="nil"/>
              <w:left w:val="single" w:sz="4" w:space="0" w:color="auto"/>
              <w:bottom w:val="single" w:sz="4" w:space="0" w:color="auto"/>
              <w:right w:val="single" w:sz="4" w:space="0" w:color="auto"/>
            </w:tcBorders>
            <w:vAlign w:val="bottom"/>
          </w:tcPr>
          <w:p w:rsidR="002B3E3C" w:rsidRPr="000773A9" w:rsidRDefault="002B3E3C" w:rsidP="0029732B">
            <w:pPr>
              <w:keepNext/>
            </w:pPr>
            <w:r w:rsidRPr="000773A9">
              <w:t>Acknowledgement Sheet</w:t>
            </w:r>
          </w:p>
        </w:tc>
        <w:tc>
          <w:tcPr>
            <w:tcW w:w="1107" w:type="dxa"/>
            <w:tcBorders>
              <w:top w:val="nil"/>
              <w:left w:val="nil"/>
              <w:bottom w:val="single" w:sz="4" w:space="0" w:color="auto"/>
              <w:right w:val="single" w:sz="4" w:space="0" w:color="auto"/>
            </w:tcBorders>
            <w:noWrap/>
            <w:vAlign w:val="bottom"/>
          </w:tcPr>
          <w:p w:rsidR="002B3E3C" w:rsidRPr="000773A9" w:rsidRDefault="002B3E3C" w:rsidP="0029732B">
            <w:pPr>
              <w:keepNext/>
              <w:jc w:val="center"/>
            </w:pPr>
            <w:r w:rsidRPr="00EB0830">
              <w:t>2</w:t>
            </w:r>
          </w:p>
        </w:tc>
        <w:tc>
          <w:tcPr>
            <w:tcW w:w="1108" w:type="dxa"/>
            <w:tcBorders>
              <w:top w:val="nil"/>
              <w:left w:val="nil"/>
              <w:bottom w:val="single" w:sz="4" w:space="0" w:color="auto"/>
              <w:right w:val="single" w:sz="4" w:space="0" w:color="auto"/>
            </w:tcBorders>
            <w:vAlign w:val="center"/>
          </w:tcPr>
          <w:p w:rsidR="002B3E3C" w:rsidRPr="000773A9" w:rsidRDefault="002B3E3C" w:rsidP="0029732B">
            <w:pPr>
              <w:keepNext/>
              <w:jc w:val="center"/>
            </w:pPr>
            <w:r w:rsidRPr="002B3E3C">
              <w:t>$0.20</w:t>
            </w:r>
          </w:p>
        </w:tc>
        <w:tc>
          <w:tcPr>
            <w:tcW w:w="1108" w:type="dxa"/>
            <w:tcBorders>
              <w:top w:val="nil"/>
              <w:left w:val="nil"/>
              <w:bottom w:val="single" w:sz="4" w:space="0" w:color="auto"/>
              <w:right w:val="single" w:sz="4" w:space="0" w:color="auto"/>
            </w:tcBorders>
            <w:vAlign w:val="bottom"/>
          </w:tcPr>
          <w:p w:rsidR="002B3E3C" w:rsidRPr="000773A9" w:rsidRDefault="002B3E3C" w:rsidP="0029732B">
            <w:pPr>
              <w:keepNext/>
              <w:jc w:val="center"/>
            </w:pPr>
            <w:r w:rsidRPr="002B3E3C">
              <w:t>4</w:t>
            </w:r>
          </w:p>
        </w:tc>
        <w:tc>
          <w:tcPr>
            <w:tcW w:w="1108" w:type="dxa"/>
            <w:tcBorders>
              <w:top w:val="nil"/>
              <w:left w:val="nil"/>
              <w:bottom w:val="single" w:sz="4" w:space="0" w:color="auto"/>
              <w:right w:val="single" w:sz="4" w:space="0" w:color="auto"/>
            </w:tcBorders>
            <w:vAlign w:val="center"/>
          </w:tcPr>
          <w:p w:rsidR="002B3E3C" w:rsidRPr="000773A9" w:rsidRDefault="002B3E3C" w:rsidP="0029732B">
            <w:pPr>
              <w:keepNext/>
              <w:jc w:val="center"/>
            </w:pPr>
            <w:r w:rsidRPr="002B3E3C">
              <w:t>$0.40</w:t>
            </w:r>
          </w:p>
        </w:tc>
        <w:tc>
          <w:tcPr>
            <w:tcW w:w="1108" w:type="dxa"/>
            <w:tcBorders>
              <w:top w:val="nil"/>
              <w:left w:val="nil"/>
              <w:bottom w:val="single" w:sz="4" w:space="0" w:color="auto"/>
              <w:right w:val="single" w:sz="4" w:space="0" w:color="auto"/>
            </w:tcBorders>
            <w:noWrap/>
            <w:vAlign w:val="center"/>
          </w:tcPr>
          <w:p w:rsidR="002B3E3C" w:rsidRPr="000773A9" w:rsidRDefault="002B3E3C" w:rsidP="0029732B">
            <w:pPr>
              <w:keepNext/>
              <w:jc w:val="center"/>
            </w:pPr>
            <w:r w:rsidRPr="000773A9">
              <w:t>-</w:t>
            </w:r>
          </w:p>
        </w:tc>
        <w:tc>
          <w:tcPr>
            <w:tcW w:w="1108" w:type="dxa"/>
            <w:tcBorders>
              <w:top w:val="nil"/>
              <w:left w:val="nil"/>
              <w:bottom w:val="single" w:sz="4" w:space="0" w:color="auto"/>
              <w:right w:val="single" w:sz="4" w:space="0" w:color="auto"/>
            </w:tcBorders>
            <w:vAlign w:val="center"/>
          </w:tcPr>
          <w:p w:rsidR="002B3E3C" w:rsidRPr="000773A9" w:rsidRDefault="002B3E3C" w:rsidP="0029732B">
            <w:pPr>
              <w:keepNext/>
              <w:jc w:val="center"/>
            </w:pPr>
            <w:r w:rsidRPr="000773A9">
              <w:t>-</w:t>
            </w:r>
          </w:p>
        </w:tc>
      </w:tr>
      <w:tr w:rsidR="00AA35CE" w:rsidRPr="000773A9" w:rsidTr="00EB2350">
        <w:trPr>
          <w:trHeight w:val="255"/>
          <w:jc w:val="center"/>
        </w:trPr>
        <w:tc>
          <w:tcPr>
            <w:tcW w:w="9287" w:type="dxa"/>
            <w:gridSpan w:val="7"/>
            <w:tcBorders>
              <w:top w:val="nil"/>
              <w:left w:val="single" w:sz="4" w:space="0" w:color="auto"/>
              <w:bottom w:val="single" w:sz="4" w:space="0" w:color="auto"/>
              <w:right w:val="single" w:sz="4" w:space="0" w:color="auto"/>
            </w:tcBorders>
            <w:vAlign w:val="bottom"/>
          </w:tcPr>
          <w:p w:rsidR="00AA35CE" w:rsidRPr="002B3E3C" w:rsidRDefault="00AA35CE" w:rsidP="0029732B">
            <w:pPr>
              <w:keepNext/>
              <w:jc w:val="center"/>
            </w:pPr>
            <w:r>
              <w:t xml:space="preserve">Other Materials </w:t>
            </w:r>
            <w:r w:rsidR="0029732B">
              <w:t>when</w:t>
            </w:r>
            <w:r>
              <w:t xml:space="preserve"> Notify</w:t>
            </w:r>
            <w:r w:rsidR="0029732B">
              <w:t>ing</w:t>
            </w:r>
            <w:r>
              <w:t xml:space="preserve"> Parents/Guardians</w:t>
            </w:r>
          </w:p>
        </w:tc>
      </w:tr>
      <w:tr w:rsidR="002B3E3C" w:rsidRPr="000773A9" w:rsidTr="000474AA">
        <w:trPr>
          <w:trHeight w:val="255"/>
          <w:jc w:val="center"/>
        </w:trPr>
        <w:tc>
          <w:tcPr>
            <w:tcW w:w="2640" w:type="dxa"/>
            <w:tcBorders>
              <w:top w:val="nil"/>
              <w:left w:val="single" w:sz="4" w:space="0" w:color="auto"/>
              <w:bottom w:val="single" w:sz="4" w:space="0" w:color="auto"/>
              <w:right w:val="single" w:sz="4" w:space="0" w:color="auto"/>
            </w:tcBorders>
            <w:vAlign w:val="bottom"/>
          </w:tcPr>
          <w:p w:rsidR="002B3E3C" w:rsidRPr="000773A9" w:rsidRDefault="002B3E3C" w:rsidP="0029732B">
            <w:pPr>
              <w:keepNext/>
            </w:pPr>
            <w:r w:rsidRPr="000773A9">
              <w:t>Job-Specific Information Sheet</w:t>
            </w:r>
          </w:p>
        </w:tc>
        <w:tc>
          <w:tcPr>
            <w:tcW w:w="1107" w:type="dxa"/>
            <w:tcBorders>
              <w:top w:val="nil"/>
              <w:left w:val="nil"/>
              <w:bottom w:val="single" w:sz="4" w:space="0" w:color="auto"/>
              <w:right w:val="single" w:sz="4" w:space="0" w:color="auto"/>
            </w:tcBorders>
            <w:noWrap/>
            <w:vAlign w:val="bottom"/>
          </w:tcPr>
          <w:p w:rsidR="002B3E3C" w:rsidRPr="000773A9" w:rsidRDefault="002B3E3C" w:rsidP="0029732B">
            <w:pPr>
              <w:keepNext/>
              <w:jc w:val="center"/>
            </w:pPr>
            <w:r w:rsidRPr="00EB0830">
              <w:t>1</w:t>
            </w:r>
          </w:p>
        </w:tc>
        <w:tc>
          <w:tcPr>
            <w:tcW w:w="1108" w:type="dxa"/>
            <w:tcBorders>
              <w:top w:val="nil"/>
              <w:left w:val="nil"/>
              <w:bottom w:val="single" w:sz="4" w:space="0" w:color="auto"/>
              <w:right w:val="single" w:sz="4" w:space="0" w:color="auto"/>
            </w:tcBorders>
            <w:vAlign w:val="center"/>
          </w:tcPr>
          <w:p w:rsidR="002B3E3C" w:rsidRPr="000773A9" w:rsidRDefault="002B3E3C" w:rsidP="0029732B">
            <w:pPr>
              <w:keepNext/>
              <w:jc w:val="center"/>
            </w:pPr>
            <w:r w:rsidRPr="002B3E3C">
              <w:t>$0.10</w:t>
            </w:r>
          </w:p>
        </w:tc>
        <w:tc>
          <w:tcPr>
            <w:tcW w:w="1108" w:type="dxa"/>
            <w:tcBorders>
              <w:top w:val="nil"/>
              <w:left w:val="nil"/>
              <w:bottom w:val="single" w:sz="4" w:space="0" w:color="auto"/>
              <w:right w:val="single" w:sz="4" w:space="0" w:color="auto"/>
            </w:tcBorders>
            <w:vAlign w:val="bottom"/>
          </w:tcPr>
          <w:p w:rsidR="002B3E3C" w:rsidRPr="000773A9" w:rsidRDefault="002B3E3C" w:rsidP="0029732B">
            <w:pPr>
              <w:keepNext/>
              <w:jc w:val="center"/>
            </w:pPr>
            <w:r w:rsidRPr="002B3E3C">
              <w:t>1</w:t>
            </w:r>
          </w:p>
        </w:tc>
        <w:tc>
          <w:tcPr>
            <w:tcW w:w="1108" w:type="dxa"/>
            <w:tcBorders>
              <w:top w:val="nil"/>
              <w:left w:val="nil"/>
              <w:bottom w:val="single" w:sz="4" w:space="0" w:color="auto"/>
              <w:right w:val="single" w:sz="4" w:space="0" w:color="auto"/>
            </w:tcBorders>
            <w:vAlign w:val="center"/>
          </w:tcPr>
          <w:p w:rsidR="002B3E3C" w:rsidRPr="000773A9" w:rsidRDefault="002B3E3C" w:rsidP="0029732B">
            <w:pPr>
              <w:keepNext/>
              <w:jc w:val="center"/>
            </w:pPr>
            <w:r w:rsidRPr="002B3E3C">
              <w:t>$0.10</w:t>
            </w:r>
          </w:p>
        </w:tc>
        <w:tc>
          <w:tcPr>
            <w:tcW w:w="1108" w:type="dxa"/>
            <w:tcBorders>
              <w:top w:val="nil"/>
              <w:left w:val="nil"/>
              <w:bottom w:val="single" w:sz="4" w:space="0" w:color="auto"/>
              <w:right w:val="single" w:sz="4" w:space="0" w:color="auto"/>
            </w:tcBorders>
            <w:noWrap/>
            <w:vAlign w:val="bottom"/>
          </w:tcPr>
          <w:p w:rsidR="002B3E3C" w:rsidRPr="000773A9" w:rsidRDefault="002B3E3C" w:rsidP="0029732B">
            <w:pPr>
              <w:keepNext/>
              <w:jc w:val="center"/>
            </w:pPr>
            <w:r w:rsidRPr="002B3E3C">
              <w:t>1</w:t>
            </w:r>
          </w:p>
        </w:tc>
        <w:tc>
          <w:tcPr>
            <w:tcW w:w="1108" w:type="dxa"/>
            <w:tcBorders>
              <w:top w:val="nil"/>
              <w:left w:val="nil"/>
              <w:bottom w:val="single" w:sz="4" w:space="0" w:color="auto"/>
              <w:right w:val="single" w:sz="4" w:space="0" w:color="auto"/>
            </w:tcBorders>
            <w:vAlign w:val="center"/>
          </w:tcPr>
          <w:p w:rsidR="002B3E3C" w:rsidRPr="000773A9" w:rsidRDefault="002B3E3C" w:rsidP="0029732B">
            <w:pPr>
              <w:keepNext/>
              <w:jc w:val="center"/>
            </w:pPr>
            <w:r w:rsidRPr="002B3E3C">
              <w:t>$0.10</w:t>
            </w:r>
          </w:p>
        </w:tc>
      </w:tr>
      <w:tr w:rsidR="00EA705B" w:rsidRPr="000773A9" w:rsidTr="00EA705B">
        <w:trPr>
          <w:trHeight w:val="255"/>
          <w:jc w:val="center"/>
        </w:trPr>
        <w:tc>
          <w:tcPr>
            <w:tcW w:w="2640" w:type="dxa"/>
            <w:tcBorders>
              <w:top w:val="nil"/>
              <w:left w:val="single" w:sz="4" w:space="0" w:color="auto"/>
              <w:bottom w:val="single" w:sz="4" w:space="0" w:color="auto"/>
              <w:right w:val="single" w:sz="4" w:space="0" w:color="auto"/>
            </w:tcBorders>
            <w:noWrap/>
            <w:vAlign w:val="bottom"/>
          </w:tcPr>
          <w:p w:rsidR="00EA705B" w:rsidRPr="00EA705B" w:rsidRDefault="00E92315" w:rsidP="0029732B">
            <w:pPr>
              <w:keepNext/>
              <w:rPr>
                <w:color w:val="0000FF"/>
              </w:rPr>
            </w:pPr>
            <w:r>
              <w:t xml:space="preserve">Description of </w:t>
            </w:r>
            <w:r w:rsidR="00AA35CE">
              <w:t>Notification Process (Sign Posting)</w:t>
            </w:r>
          </w:p>
        </w:tc>
        <w:tc>
          <w:tcPr>
            <w:tcW w:w="1107" w:type="dxa"/>
            <w:tcBorders>
              <w:top w:val="nil"/>
              <w:left w:val="nil"/>
              <w:bottom w:val="single" w:sz="4" w:space="0" w:color="auto"/>
              <w:right w:val="single" w:sz="4" w:space="0" w:color="auto"/>
            </w:tcBorders>
            <w:noWrap/>
            <w:vAlign w:val="center"/>
          </w:tcPr>
          <w:p w:rsidR="00EA705B" w:rsidRPr="00E5755D" w:rsidRDefault="00EA705B" w:rsidP="0029732B">
            <w:pPr>
              <w:keepNext/>
              <w:jc w:val="center"/>
              <w:rPr>
                <w:b/>
              </w:rPr>
            </w:pPr>
            <w:r>
              <w:t>1</w:t>
            </w:r>
          </w:p>
        </w:tc>
        <w:tc>
          <w:tcPr>
            <w:tcW w:w="1108" w:type="dxa"/>
            <w:tcBorders>
              <w:top w:val="nil"/>
              <w:left w:val="nil"/>
              <w:bottom w:val="single" w:sz="4" w:space="0" w:color="auto"/>
              <w:right w:val="single" w:sz="4" w:space="0" w:color="auto"/>
            </w:tcBorders>
            <w:vAlign w:val="center"/>
          </w:tcPr>
          <w:p w:rsidR="00EA705B" w:rsidRPr="002B3E3C" w:rsidRDefault="00EA705B" w:rsidP="0029732B">
            <w:pPr>
              <w:keepNext/>
              <w:jc w:val="center"/>
              <w:rPr>
                <w:b/>
              </w:rPr>
            </w:pPr>
            <w:r>
              <w:t>$0.10</w:t>
            </w:r>
          </w:p>
        </w:tc>
        <w:tc>
          <w:tcPr>
            <w:tcW w:w="1108" w:type="dxa"/>
            <w:tcBorders>
              <w:top w:val="nil"/>
              <w:left w:val="nil"/>
              <w:bottom w:val="single" w:sz="4" w:space="0" w:color="auto"/>
              <w:right w:val="single" w:sz="4" w:space="0" w:color="auto"/>
            </w:tcBorders>
            <w:vAlign w:val="center"/>
          </w:tcPr>
          <w:p w:rsidR="00EA705B" w:rsidRPr="002B3E3C" w:rsidRDefault="00EA705B" w:rsidP="0029732B">
            <w:pPr>
              <w:keepNext/>
              <w:jc w:val="center"/>
              <w:rPr>
                <w:b/>
              </w:rPr>
            </w:pPr>
            <w:r>
              <w:t>1</w:t>
            </w:r>
          </w:p>
        </w:tc>
        <w:tc>
          <w:tcPr>
            <w:tcW w:w="1108" w:type="dxa"/>
            <w:tcBorders>
              <w:top w:val="nil"/>
              <w:left w:val="nil"/>
              <w:bottom w:val="single" w:sz="4" w:space="0" w:color="auto"/>
              <w:right w:val="single" w:sz="4" w:space="0" w:color="auto"/>
            </w:tcBorders>
            <w:vAlign w:val="center"/>
          </w:tcPr>
          <w:p w:rsidR="00EA705B" w:rsidRPr="002B3E3C" w:rsidRDefault="00EA705B" w:rsidP="0029732B">
            <w:pPr>
              <w:keepNext/>
              <w:jc w:val="center"/>
              <w:rPr>
                <w:b/>
              </w:rPr>
            </w:pPr>
            <w:r>
              <w:t>$0.10</w:t>
            </w:r>
          </w:p>
        </w:tc>
        <w:tc>
          <w:tcPr>
            <w:tcW w:w="1108" w:type="dxa"/>
            <w:tcBorders>
              <w:top w:val="nil"/>
              <w:left w:val="nil"/>
              <w:bottom w:val="single" w:sz="4" w:space="0" w:color="auto"/>
              <w:right w:val="single" w:sz="4" w:space="0" w:color="auto"/>
            </w:tcBorders>
            <w:noWrap/>
            <w:vAlign w:val="center"/>
          </w:tcPr>
          <w:p w:rsidR="00EA705B" w:rsidRPr="002B3E3C" w:rsidRDefault="00EA705B" w:rsidP="0029732B">
            <w:pPr>
              <w:keepNext/>
              <w:jc w:val="center"/>
              <w:rPr>
                <w:b/>
              </w:rPr>
            </w:pPr>
            <w:r>
              <w:t>1</w:t>
            </w:r>
          </w:p>
        </w:tc>
        <w:tc>
          <w:tcPr>
            <w:tcW w:w="1108" w:type="dxa"/>
            <w:tcBorders>
              <w:top w:val="nil"/>
              <w:left w:val="nil"/>
              <w:bottom w:val="single" w:sz="4" w:space="0" w:color="auto"/>
              <w:right w:val="single" w:sz="4" w:space="0" w:color="auto"/>
            </w:tcBorders>
            <w:vAlign w:val="center"/>
          </w:tcPr>
          <w:p w:rsidR="00EA705B" w:rsidRPr="002B3E3C" w:rsidRDefault="00EA705B" w:rsidP="0029732B">
            <w:pPr>
              <w:keepNext/>
              <w:jc w:val="center"/>
              <w:rPr>
                <w:b/>
              </w:rPr>
            </w:pPr>
            <w:r>
              <w:t>$0.10</w:t>
            </w:r>
          </w:p>
        </w:tc>
      </w:tr>
      <w:tr w:rsidR="00EA705B" w:rsidRPr="000773A9" w:rsidTr="00EA705B">
        <w:trPr>
          <w:trHeight w:val="255"/>
          <w:jc w:val="center"/>
        </w:trPr>
        <w:tc>
          <w:tcPr>
            <w:tcW w:w="2640" w:type="dxa"/>
            <w:tcBorders>
              <w:top w:val="nil"/>
              <w:left w:val="single" w:sz="4" w:space="0" w:color="auto"/>
              <w:bottom w:val="single" w:sz="4" w:space="0" w:color="auto"/>
              <w:right w:val="single" w:sz="4" w:space="0" w:color="auto"/>
            </w:tcBorders>
            <w:noWrap/>
            <w:vAlign w:val="bottom"/>
          </w:tcPr>
          <w:p w:rsidR="00EA705B" w:rsidRPr="00E5755D" w:rsidRDefault="00EA705B" w:rsidP="0029732B">
            <w:pPr>
              <w:keepNext/>
              <w:rPr>
                <w:b/>
                <w:bCs/>
              </w:rPr>
            </w:pPr>
            <w:r w:rsidRPr="00E5755D">
              <w:rPr>
                <w:b/>
                <w:bCs/>
              </w:rPr>
              <w:t>Total</w:t>
            </w:r>
          </w:p>
        </w:tc>
        <w:tc>
          <w:tcPr>
            <w:tcW w:w="1107" w:type="dxa"/>
            <w:tcBorders>
              <w:top w:val="nil"/>
              <w:left w:val="nil"/>
              <w:bottom w:val="single" w:sz="4" w:space="0" w:color="auto"/>
              <w:right w:val="single" w:sz="4" w:space="0" w:color="auto"/>
            </w:tcBorders>
            <w:noWrap/>
            <w:vAlign w:val="center"/>
          </w:tcPr>
          <w:p w:rsidR="00EA705B" w:rsidRPr="00E5755D" w:rsidRDefault="00EA705B" w:rsidP="0029732B">
            <w:pPr>
              <w:keepNext/>
              <w:jc w:val="center"/>
              <w:rPr>
                <w:b/>
              </w:rPr>
            </w:pPr>
          </w:p>
        </w:tc>
        <w:tc>
          <w:tcPr>
            <w:tcW w:w="1108" w:type="dxa"/>
            <w:tcBorders>
              <w:top w:val="nil"/>
              <w:left w:val="nil"/>
              <w:bottom w:val="single" w:sz="4" w:space="0" w:color="auto"/>
              <w:right w:val="single" w:sz="4" w:space="0" w:color="auto"/>
            </w:tcBorders>
            <w:vAlign w:val="center"/>
          </w:tcPr>
          <w:p w:rsidR="00EA705B" w:rsidRPr="002B3E3C" w:rsidRDefault="00EA705B" w:rsidP="0029732B">
            <w:pPr>
              <w:keepNext/>
              <w:jc w:val="center"/>
              <w:rPr>
                <w:b/>
              </w:rPr>
            </w:pPr>
            <w:r>
              <w:rPr>
                <w:b/>
                <w:bCs/>
              </w:rPr>
              <w:t>$2.60</w:t>
            </w:r>
          </w:p>
        </w:tc>
        <w:tc>
          <w:tcPr>
            <w:tcW w:w="1108" w:type="dxa"/>
            <w:tcBorders>
              <w:top w:val="nil"/>
              <w:left w:val="nil"/>
              <w:bottom w:val="single" w:sz="4" w:space="0" w:color="auto"/>
              <w:right w:val="single" w:sz="4" w:space="0" w:color="auto"/>
            </w:tcBorders>
            <w:vAlign w:val="center"/>
          </w:tcPr>
          <w:p w:rsidR="00EA705B" w:rsidRPr="002B3E3C" w:rsidRDefault="00EA705B" w:rsidP="0029732B">
            <w:pPr>
              <w:keepNext/>
              <w:jc w:val="center"/>
              <w:rPr>
                <w:b/>
              </w:rPr>
            </w:pPr>
          </w:p>
        </w:tc>
        <w:tc>
          <w:tcPr>
            <w:tcW w:w="1108" w:type="dxa"/>
            <w:tcBorders>
              <w:top w:val="nil"/>
              <w:left w:val="nil"/>
              <w:bottom w:val="single" w:sz="4" w:space="0" w:color="auto"/>
              <w:right w:val="single" w:sz="4" w:space="0" w:color="auto"/>
            </w:tcBorders>
            <w:vAlign w:val="center"/>
          </w:tcPr>
          <w:p w:rsidR="00EA705B" w:rsidRPr="002B3E3C" w:rsidRDefault="00EA705B" w:rsidP="0029732B">
            <w:pPr>
              <w:keepNext/>
              <w:jc w:val="center"/>
              <w:rPr>
                <w:b/>
              </w:rPr>
            </w:pPr>
            <w:r>
              <w:rPr>
                <w:b/>
                <w:bCs/>
              </w:rPr>
              <w:t>$3.90</w:t>
            </w:r>
          </w:p>
        </w:tc>
        <w:tc>
          <w:tcPr>
            <w:tcW w:w="1108" w:type="dxa"/>
            <w:tcBorders>
              <w:top w:val="nil"/>
              <w:left w:val="nil"/>
              <w:bottom w:val="single" w:sz="4" w:space="0" w:color="auto"/>
              <w:right w:val="single" w:sz="4" w:space="0" w:color="auto"/>
            </w:tcBorders>
            <w:noWrap/>
            <w:vAlign w:val="center"/>
          </w:tcPr>
          <w:p w:rsidR="00EA705B" w:rsidRPr="002B3E3C" w:rsidRDefault="00EA705B" w:rsidP="0029732B">
            <w:pPr>
              <w:keepNext/>
              <w:jc w:val="center"/>
              <w:rPr>
                <w:b/>
              </w:rPr>
            </w:pPr>
          </w:p>
        </w:tc>
        <w:tc>
          <w:tcPr>
            <w:tcW w:w="1108" w:type="dxa"/>
            <w:tcBorders>
              <w:top w:val="nil"/>
              <w:left w:val="nil"/>
              <w:bottom w:val="single" w:sz="4" w:space="0" w:color="auto"/>
              <w:right w:val="single" w:sz="4" w:space="0" w:color="auto"/>
            </w:tcBorders>
            <w:vAlign w:val="center"/>
          </w:tcPr>
          <w:p w:rsidR="00EA705B" w:rsidRPr="002B3E3C" w:rsidRDefault="00EA705B" w:rsidP="0029732B">
            <w:pPr>
              <w:keepNext/>
              <w:jc w:val="center"/>
              <w:rPr>
                <w:b/>
              </w:rPr>
            </w:pPr>
            <w:r>
              <w:rPr>
                <w:b/>
                <w:bCs/>
              </w:rPr>
              <w:t>$1.30</w:t>
            </w:r>
          </w:p>
        </w:tc>
      </w:tr>
      <w:tr w:rsidR="00EB0830" w:rsidRPr="000773A9" w:rsidTr="00EF53BC">
        <w:tblPrEx>
          <w:tblCellMar>
            <w:left w:w="108" w:type="dxa"/>
            <w:right w:w="108" w:type="dxa"/>
          </w:tblCellMar>
        </w:tblPrEx>
        <w:trPr>
          <w:trHeight w:val="323"/>
          <w:jc w:val="center"/>
        </w:trPr>
        <w:tc>
          <w:tcPr>
            <w:tcW w:w="9287" w:type="dxa"/>
            <w:gridSpan w:val="7"/>
          </w:tcPr>
          <w:p w:rsidR="00EB0830" w:rsidRDefault="00EB0830" w:rsidP="0029732B">
            <w:pPr>
              <w:keepNext/>
              <w:ind w:left="720" w:hanging="720"/>
              <w:rPr>
                <w:b/>
                <w:bCs/>
              </w:rPr>
            </w:pPr>
            <w:r>
              <w:rPr>
                <w:b/>
                <w:bCs/>
              </w:rPr>
              <w:t>Notes:</w:t>
            </w:r>
          </w:p>
          <w:p w:rsidR="00EB0830" w:rsidRPr="00EF53BC" w:rsidRDefault="00EB0830" w:rsidP="0029732B">
            <w:pPr>
              <w:keepNext/>
              <w:rPr>
                <w:b/>
                <w:bCs/>
              </w:rPr>
            </w:pPr>
            <w:r>
              <w:rPr>
                <w:bCs/>
              </w:rPr>
              <w:t xml:space="preserve">The rule requires the </w:t>
            </w:r>
            <w:r w:rsidR="00940102">
              <w:rPr>
                <w:bCs/>
              </w:rPr>
              <w:t>firms performing renovations</w:t>
            </w:r>
            <w:r>
              <w:rPr>
                <w:bCs/>
              </w:rPr>
              <w:t xml:space="preserve"> to prepare and distribute pamphlets to the owner of the affected property.  In addition, the </w:t>
            </w:r>
            <w:r w:rsidR="00940102">
              <w:rPr>
                <w:bCs/>
              </w:rPr>
              <w:t>firm performing renovations</w:t>
            </w:r>
            <w:r>
              <w:rPr>
                <w:bCs/>
              </w:rPr>
              <w:t xml:space="preserve"> is required to distribute pamphlets to the tenant</w:t>
            </w:r>
            <w:r w:rsidR="00EF1039">
              <w:rPr>
                <w:bCs/>
              </w:rPr>
              <w:t>s</w:t>
            </w:r>
            <w:r>
              <w:rPr>
                <w:bCs/>
              </w:rPr>
              <w:t xml:space="preserve"> of the rental propert</w:t>
            </w:r>
            <w:r w:rsidR="00EF1039">
              <w:rPr>
                <w:bCs/>
              </w:rPr>
              <w:t>ies</w:t>
            </w:r>
            <w:r>
              <w:rPr>
                <w:bCs/>
              </w:rPr>
              <w:t xml:space="preserve">.  It is assumed that the </w:t>
            </w:r>
            <w:r w:rsidR="00940102">
              <w:rPr>
                <w:bCs/>
              </w:rPr>
              <w:t>firm performing renovations</w:t>
            </w:r>
            <w:r>
              <w:rPr>
                <w:bCs/>
              </w:rPr>
              <w:t xml:space="preserve"> will make two copies of each acknowledgement sheet.  In all cases, </w:t>
            </w:r>
            <w:r w:rsidR="00EF1039">
              <w:rPr>
                <w:bCs/>
              </w:rPr>
              <w:t xml:space="preserve">the </w:t>
            </w:r>
            <w:r w:rsidR="00940102">
              <w:rPr>
                <w:bCs/>
              </w:rPr>
              <w:t>firm performing renovations</w:t>
            </w:r>
            <w:r w:rsidR="00EF1039">
              <w:rPr>
                <w:bCs/>
              </w:rPr>
              <w:t xml:space="preserve"> is assumed to post a pamphlet</w:t>
            </w:r>
            <w:r>
              <w:rPr>
                <w:bCs/>
              </w:rPr>
              <w:t xml:space="preserve"> and job-specific information sheet in the affected </w:t>
            </w:r>
            <w:r w:rsidR="00AD0BB5">
              <w:rPr>
                <w:bCs/>
              </w:rPr>
              <w:t>COF</w:t>
            </w:r>
            <w:r>
              <w:rPr>
                <w:bCs/>
              </w:rPr>
              <w:t>.</w:t>
            </w:r>
          </w:p>
          <w:p w:rsidR="00EB0830" w:rsidRPr="000773A9" w:rsidRDefault="00EB0830" w:rsidP="0029732B">
            <w:pPr>
              <w:keepNext/>
              <w:ind w:left="720" w:hanging="720"/>
              <w:rPr>
                <w:i/>
                <w:iCs/>
                <w:color w:val="000000"/>
              </w:rPr>
            </w:pPr>
            <w:r w:rsidRPr="000773A9">
              <w:rPr>
                <w:b/>
                <w:bCs/>
              </w:rPr>
              <w:t xml:space="preserve">Sources: </w:t>
            </w:r>
            <w:r w:rsidRPr="000773A9">
              <w:rPr>
                <w:i/>
                <w:iCs/>
                <w:color w:val="000000"/>
              </w:rPr>
              <w:t>Personal communication with Staples, September 9, 2010</w:t>
            </w:r>
          </w:p>
        </w:tc>
      </w:tr>
    </w:tbl>
    <w:p w:rsidR="00A63128" w:rsidRPr="000773A9" w:rsidRDefault="00A63128" w:rsidP="00537689">
      <w:pPr>
        <w:ind w:firstLine="720"/>
        <w:rPr>
          <w:sz w:val="24"/>
          <w:szCs w:val="24"/>
        </w:rPr>
      </w:pPr>
    </w:p>
    <w:p w:rsidR="0085358D" w:rsidRPr="0085358D" w:rsidRDefault="00537689" w:rsidP="0085358D">
      <w:pPr>
        <w:rPr>
          <w:sz w:val="24"/>
          <w:szCs w:val="24"/>
        </w:rPr>
      </w:pPr>
      <w:r w:rsidRPr="000773A9">
        <w:rPr>
          <w:sz w:val="24"/>
          <w:szCs w:val="24"/>
        </w:rPr>
        <w:fldChar w:fldCharType="begin"/>
      </w:r>
      <w:r w:rsidRPr="000773A9">
        <w:rPr>
          <w:sz w:val="24"/>
          <w:szCs w:val="24"/>
        </w:rPr>
        <w:instrText xml:space="preserve"> REF _Ref271805639 \h  \* MERGEFORMAT </w:instrText>
      </w:r>
      <w:r w:rsidRPr="000773A9">
        <w:rPr>
          <w:sz w:val="24"/>
          <w:szCs w:val="24"/>
        </w:rPr>
      </w:r>
      <w:r w:rsidRPr="000773A9">
        <w:rPr>
          <w:sz w:val="24"/>
          <w:szCs w:val="24"/>
        </w:rPr>
        <w:fldChar w:fldCharType="separate"/>
      </w:r>
      <w:r w:rsidR="00D067A1" w:rsidRPr="00D067A1">
        <w:rPr>
          <w:sz w:val="24"/>
          <w:szCs w:val="24"/>
        </w:rPr>
        <w:t>Exhibit 6.18</w:t>
      </w:r>
      <w:r w:rsidRPr="000773A9">
        <w:rPr>
          <w:sz w:val="24"/>
          <w:szCs w:val="24"/>
        </w:rPr>
        <w:fldChar w:fldCharType="end"/>
      </w:r>
      <w:r w:rsidRPr="000773A9">
        <w:rPr>
          <w:sz w:val="24"/>
          <w:szCs w:val="24"/>
        </w:rPr>
        <w:t xml:space="preserve"> presents the estimated total costs of pre-renovation education to contractors, property managers, and in-house staff performing work in </w:t>
      </w:r>
      <w:r w:rsidR="00A9661B">
        <w:rPr>
          <w:sz w:val="24"/>
          <w:szCs w:val="24"/>
        </w:rPr>
        <w:t>COFs</w:t>
      </w:r>
      <w:r w:rsidRPr="000773A9">
        <w:rPr>
          <w:sz w:val="24"/>
          <w:szCs w:val="24"/>
        </w:rPr>
        <w:t xml:space="preserve">.  Contractors, landlords, and in-house staff will incur time burden and material costs, presented in </w:t>
      </w:r>
      <w:r w:rsidRPr="000773A9">
        <w:rPr>
          <w:sz w:val="24"/>
          <w:szCs w:val="24"/>
        </w:rPr>
        <w:fldChar w:fldCharType="begin"/>
      </w:r>
      <w:r w:rsidRPr="000773A9">
        <w:rPr>
          <w:sz w:val="24"/>
          <w:szCs w:val="24"/>
        </w:rPr>
        <w:instrText xml:space="preserve"> REF _Ref271725815 \h  \* MERGEFORMAT </w:instrText>
      </w:r>
      <w:r w:rsidRPr="000773A9">
        <w:rPr>
          <w:sz w:val="24"/>
          <w:szCs w:val="24"/>
        </w:rPr>
      </w:r>
      <w:r w:rsidRPr="000773A9">
        <w:rPr>
          <w:sz w:val="24"/>
          <w:szCs w:val="24"/>
        </w:rPr>
        <w:fldChar w:fldCharType="separate"/>
      </w:r>
      <w:r w:rsidR="00D067A1" w:rsidRPr="00D067A1">
        <w:rPr>
          <w:sz w:val="24"/>
          <w:szCs w:val="24"/>
        </w:rPr>
        <w:t>Exhibit 6.12</w:t>
      </w:r>
      <w:r w:rsidRPr="000773A9">
        <w:rPr>
          <w:sz w:val="24"/>
          <w:szCs w:val="24"/>
        </w:rPr>
        <w:fldChar w:fldCharType="end"/>
      </w:r>
      <w:r w:rsidRPr="000773A9">
        <w:rPr>
          <w:sz w:val="24"/>
          <w:szCs w:val="24"/>
        </w:rPr>
        <w:t xml:space="preserve"> and </w:t>
      </w:r>
      <w:r w:rsidRPr="000773A9">
        <w:rPr>
          <w:sz w:val="24"/>
          <w:szCs w:val="24"/>
        </w:rPr>
        <w:fldChar w:fldCharType="begin"/>
      </w:r>
      <w:r w:rsidRPr="000773A9">
        <w:rPr>
          <w:sz w:val="24"/>
          <w:szCs w:val="24"/>
        </w:rPr>
        <w:instrText xml:space="preserve"> REF _Ref271805494 \h  \* MERGEFORMAT </w:instrText>
      </w:r>
      <w:r w:rsidRPr="000773A9">
        <w:rPr>
          <w:sz w:val="24"/>
          <w:szCs w:val="24"/>
        </w:rPr>
      </w:r>
      <w:r w:rsidRPr="000773A9">
        <w:rPr>
          <w:sz w:val="24"/>
          <w:szCs w:val="24"/>
        </w:rPr>
        <w:fldChar w:fldCharType="separate"/>
      </w:r>
      <w:r w:rsidR="00D067A1" w:rsidRPr="00D067A1">
        <w:rPr>
          <w:sz w:val="24"/>
          <w:szCs w:val="24"/>
        </w:rPr>
        <w:t>Exhibit 6.17</w:t>
      </w:r>
      <w:r w:rsidRPr="000773A9">
        <w:rPr>
          <w:sz w:val="24"/>
          <w:szCs w:val="24"/>
        </w:rPr>
        <w:fldChar w:fldCharType="end"/>
      </w:r>
      <w:r w:rsidRPr="000773A9">
        <w:rPr>
          <w:sz w:val="24"/>
          <w:szCs w:val="24"/>
        </w:rPr>
        <w:t xml:space="preserve">, respectively.  To estimate total labor costs associated with pre-renovation education, the total burden estimates in </w:t>
      </w:r>
      <w:r w:rsidR="0085358D">
        <w:rPr>
          <w:sz w:val="24"/>
          <w:szCs w:val="24"/>
        </w:rPr>
        <w:t xml:space="preserve">Exhibit 6.13 were multiplied by the loaded wage rate for renovation firms </w:t>
      </w:r>
    </w:p>
    <w:p w:rsidR="0085358D" w:rsidRPr="0085358D" w:rsidRDefault="0085358D" w:rsidP="0085358D">
      <w:pPr>
        <w:rPr>
          <w:sz w:val="24"/>
          <w:szCs w:val="24"/>
        </w:rPr>
      </w:pPr>
      <w:r w:rsidRPr="0085358D">
        <w:rPr>
          <w:sz w:val="24"/>
          <w:szCs w:val="24"/>
        </w:rPr>
        <w:t xml:space="preserve">($45.81 per hour).  Total pamphlet costs were estimated by multiplying the numbers of events in </w:t>
      </w:r>
    </w:p>
    <w:p w:rsidR="00537689" w:rsidRPr="000773A9" w:rsidRDefault="0085358D" w:rsidP="0085358D">
      <w:pPr>
        <w:rPr>
          <w:sz w:val="24"/>
          <w:szCs w:val="24"/>
        </w:rPr>
      </w:pPr>
      <w:r w:rsidRPr="0085358D">
        <w:rPr>
          <w:sz w:val="24"/>
          <w:szCs w:val="24"/>
        </w:rPr>
        <w:t>Exhibit 6.13 by the corresponding per-event pamphlet cost estimates in Exhibit 6.17. The average cost of the rule for COF events over the three years of this ICR is estimated to be $2.4 million per year.</w:t>
      </w:r>
    </w:p>
    <w:p w:rsidR="00537689" w:rsidRPr="000773A9" w:rsidRDefault="00537689" w:rsidP="00537689">
      <w:pPr>
        <w:pStyle w:val="BodyText"/>
        <w:rPr>
          <w:sz w:val="24"/>
        </w:rPr>
      </w:pPr>
    </w:p>
    <w:tbl>
      <w:tblPr>
        <w:tblW w:w="8765" w:type="dxa"/>
        <w:jc w:val="center"/>
        <w:tblLayout w:type="fixed"/>
        <w:tblCellMar>
          <w:left w:w="0" w:type="dxa"/>
          <w:right w:w="0" w:type="dxa"/>
        </w:tblCellMar>
        <w:tblLook w:val="0000" w:firstRow="0" w:lastRow="0" w:firstColumn="0" w:lastColumn="0" w:noHBand="0" w:noVBand="0"/>
      </w:tblPr>
      <w:tblGrid>
        <w:gridCol w:w="3543"/>
        <w:gridCol w:w="1305"/>
        <w:gridCol w:w="1306"/>
        <w:gridCol w:w="1305"/>
        <w:gridCol w:w="1306"/>
      </w:tblGrid>
      <w:tr w:rsidR="00537689" w:rsidRPr="000773A9" w:rsidTr="00537689">
        <w:trPr>
          <w:trHeight w:val="255"/>
          <w:jc w:val="center"/>
        </w:trPr>
        <w:tc>
          <w:tcPr>
            <w:tcW w:w="8765" w:type="dxa"/>
            <w:gridSpan w:val="5"/>
            <w:tcBorders>
              <w:bottom w:val="single" w:sz="4" w:space="0" w:color="000000"/>
            </w:tcBorders>
            <w:noWrap/>
            <w:vAlign w:val="bottom"/>
          </w:tcPr>
          <w:p w:rsidR="00537689" w:rsidRPr="000773A9" w:rsidRDefault="00537689" w:rsidP="00537689">
            <w:pPr>
              <w:keepNext/>
              <w:jc w:val="center"/>
              <w:rPr>
                <w:b/>
                <w:bCs/>
                <w:szCs w:val="16"/>
              </w:rPr>
            </w:pPr>
            <w:bookmarkStart w:id="20" w:name="_Ref271805639"/>
            <w:r w:rsidRPr="000773A9">
              <w:rPr>
                <w:rFonts w:eastAsia="Arial Unicode MS"/>
                <w:b/>
                <w:bCs/>
                <w:szCs w:val="16"/>
              </w:rPr>
              <w:lastRenderedPageBreak/>
              <w:t>Exhibit 6.</w:t>
            </w:r>
            <w:r w:rsidRPr="000773A9">
              <w:rPr>
                <w:rFonts w:eastAsia="Arial Unicode MS"/>
                <w:b/>
                <w:bCs/>
                <w:szCs w:val="16"/>
              </w:rPr>
              <w:fldChar w:fldCharType="begin"/>
            </w:r>
            <w:r w:rsidRPr="000773A9">
              <w:rPr>
                <w:rFonts w:eastAsia="Arial Unicode MS"/>
                <w:b/>
                <w:bCs/>
                <w:szCs w:val="16"/>
              </w:rPr>
              <w:instrText xml:space="preserve"> SEQ Exhibit_6. \* ARABIC </w:instrText>
            </w:r>
            <w:r w:rsidRPr="000773A9">
              <w:rPr>
                <w:rFonts w:eastAsia="Arial Unicode MS"/>
                <w:b/>
                <w:bCs/>
                <w:szCs w:val="16"/>
              </w:rPr>
              <w:fldChar w:fldCharType="separate"/>
            </w:r>
            <w:r w:rsidR="00D067A1">
              <w:rPr>
                <w:rFonts w:eastAsia="Arial Unicode MS"/>
                <w:b/>
                <w:bCs/>
                <w:noProof/>
                <w:szCs w:val="16"/>
              </w:rPr>
              <w:t>18</w:t>
            </w:r>
            <w:r w:rsidRPr="000773A9">
              <w:rPr>
                <w:rFonts w:eastAsia="Arial Unicode MS"/>
                <w:b/>
                <w:bCs/>
                <w:szCs w:val="16"/>
              </w:rPr>
              <w:fldChar w:fldCharType="end"/>
            </w:r>
            <w:bookmarkEnd w:id="20"/>
            <w:r w:rsidRPr="000773A9">
              <w:rPr>
                <w:b/>
                <w:bCs/>
              </w:rPr>
              <w:t>:</w:t>
            </w:r>
            <w:r w:rsidRPr="000773A9">
              <w:t xml:space="preserve"> </w:t>
            </w:r>
            <w:r w:rsidRPr="000773A9">
              <w:rPr>
                <w:b/>
                <w:bCs/>
                <w:szCs w:val="16"/>
              </w:rPr>
              <w:t xml:space="preserve">Pre-Renovation Education Costs </w:t>
            </w:r>
            <w:r w:rsidR="00AA7C94" w:rsidRPr="000773A9">
              <w:rPr>
                <w:b/>
                <w:bCs/>
                <w:szCs w:val="16"/>
              </w:rPr>
              <w:t>for Renovations in Child</w:t>
            </w:r>
            <w:r w:rsidR="002D3B1A">
              <w:rPr>
                <w:b/>
                <w:bCs/>
                <w:szCs w:val="16"/>
              </w:rPr>
              <w:t>-</w:t>
            </w:r>
            <w:r w:rsidR="00AA7C94" w:rsidRPr="000773A9">
              <w:rPr>
                <w:b/>
                <w:bCs/>
                <w:szCs w:val="16"/>
              </w:rPr>
              <w:t>Occupied Facilities</w:t>
            </w:r>
          </w:p>
          <w:p w:rsidR="00537689" w:rsidRPr="000773A9" w:rsidRDefault="00537689" w:rsidP="00537689">
            <w:pPr>
              <w:keepNext/>
              <w:jc w:val="center"/>
              <w:rPr>
                <w:b/>
                <w:bCs/>
                <w:szCs w:val="16"/>
              </w:rPr>
            </w:pPr>
          </w:p>
        </w:tc>
      </w:tr>
      <w:tr w:rsidR="00EB0045" w:rsidRPr="000773A9" w:rsidTr="00EB0045">
        <w:trPr>
          <w:trHeight w:val="255"/>
          <w:jc w:val="center"/>
        </w:trPr>
        <w:tc>
          <w:tcPr>
            <w:tcW w:w="3543" w:type="dxa"/>
            <w:tcBorders>
              <w:top w:val="single" w:sz="4" w:space="0" w:color="000000"/>
              <w:left w:val="single" w:sz="4" w:space="0" w:color="auto"/>
              <w:bottom w:val="single" w:sz="4" w:space="0" w:color="auto"/>
              <w:right w:val="single" w:sz="4" w:space="0" w:color="auto"/>
            </w:tcBorders>
            <w:noWrap/>
            <w:vAlign w:val="bottom"/>
          </w:tcPr>
          <w:p w:rsidR="00EB0045" w:rsidRPr="000773A9" w:rsidRDefault="00EB0045" w:rsidP="00537689">
            <w:pPr>
              <w:keepNext/>
              <w:rPr>
                <w:rFonts w:eastAsia="Arial Unicode MS"/>
                <w:b/>
                <w:bCs/>
                <w:szCs w:val="16"/>
              </w:rPr>
            </w:pPr>
            <w:r w:rsidRPr="000773A9">
              <w:rPr>
                <w:b/>
                <w:bCs/>
                <w:szCs w:val="16"/>
              </w:rPr>
              <w:t> </w:t>
            </w:r>
          </w:p>
        </w:tc>
        <w:tc>
          <w:tcPr>
            <w:tcW w:w="1305" w:type="dxa"/>
            <w:tcBorders>
              <w:top w:val="single" w:sz="4" w:space="0" w:color="000000"/>
              <w:left w:val="nil"/>
              <w:bottom w:val="single" w:sz="4" w:space="0" w:color="auto"/>
              <w:right w:val="single" w:sz="4" w:space="0" w:color="auto"/>
            </w:tcBorders>
            <w:noWrap/>
            <w:vAlign w:val="bottom"/>
          </w:tcPr>
          <w:p w:rsidR="00EB0045" w:rsidRPr="000773A9" w:rsidRDefault="00EB0045" w:rsidP="00537689">
            <w:pPr>
              <w:keepNext/>
              <w:jc w:val="center"/>
              <w:rPr>
                <w:rFonts w:eastAsia="Arial Unicode MS"/>
                <w:b/>
                <w:szCs w:val="16"/>
              </w:rPr>
            </w:pPr>
            <w:r w:rsidRPr="000773A9">
              <w:rPr>
                <w:b/>
                <w:szCs w:val="16"/>
              </w:rPr>
              <w:t>Year 1</w:t>
            </w:r>
          </w:p>
        </w:tc>
        <w:tc>
          <w:tcPr>
            <w:tcW w:w="1306" w:type="dxa"/>
            <w:tcBorders>
              <w:top w:val="single" w:sz="4" w:space="0" w:color="000000"/>
              <w:left w:val="nil"/>
              <w:bottom w:val="single" w:sz="4" w:space="0" w:color="auto"/>
              <w:right w:val="single" w:sz="4" w:space="0" w:color="auto"/>
            </w:tcBorders>
            <w:noWrap/>
            <w:vAlign w:val="bottom"/>
          </w:tcPr>
          <w:p w:rsidR="00EB0045" w:rsidRPr="000773A9" w:rsidRDefault="00EB0045" w:rsidP="00537689">
            <w:pPr>
              <w:keepNext/>
              <w:jc w:val="center"/>
              <w:rPr>
                <w:rFonts w:eastAsia="Arial Unicode MS"/>
                <w:b/>
                <w:szCs w:val="16"/>
              </w:rPr>
            </w:pPr>
            <w:r w:rsidRPr="000773A9">
              <w:rPr>
                <w:b/>
                <w:szCs w:val="16"/>
              </w:rPr>
              <w:t>Year 2</w:t>
            </w:r>
          </w:p>
        </w:tc>
        <w:tc>
          <w:tcPr>
            <w:tcW w:w="1305" w:type="dxa"/>
            <w:tcBorders>
              <w:top w:val="single" w:sz="4" w:space="0" w:color="000000"/>
              <w:left w:val="nil"/>
              <w:bottom w:val="single" w:sz="4" w:space="0" w:color="auto"/>
              <w:right w:val="single" w:sz="4" w:space="0" w:color="auto"/>
            </w:tcBorders>
            <w:noWrap/>
            <w:vAlign w:val="bottom"/>
          </w:tcPr>
          <w:p w:rsidR="00EB0045" w:rsidRPr="000773A9" w:rsidRDefault="00EB0045" w:rsidP="00537689">
            <w:pPr>
              <w:keepNext/>
              <w:jc w:val="center"/>
              <w:rPr>
                <w:rFonts w:eastAsia="Arial Unicode MS"/>
                <w:b/>
                <w:szCs w:val="16"/>
              </w:rPr>
            </w:pPr>
            <w:r w:rsidRPr="000773A9">
              <w:rPr>
                <w:b/>
                <w:szCs w:val="16"/>
              </w:rPr>
              <w:t>Year 3</w:t>
            </w:r>
          </w:p>
        </w:tc>
        <w:tc>
          <w:tcPr>
            <w:tcW w:w="1306" w:type="dxa"/>
            <w:tcBorders>
              <w:top w:val="single" w:sz="4" w:space="0" w:color="000000"/>
              <w:left w:val="nil"/>
              <w:bottom w:val="single" w:sz="4" w:space="0" w:color="auto"/>
              <w:right w:val="single" w:sz="4" w:space="0" w:color="auto"/>
            </w:tcBorders>
            <w:vAlign w:val="bottom"/>
          </w:tcPr>
          <w:p w:rsidR="00EB0045" w:rsidRPr="000773A9" w:rsidRDefault="00EB0045" w:rsidP="00EB0045">
            <w:pPr>
              <w:keepNext/>
              <w:jc w:val="center"/>
              <w:rPr>
                <w:rFonts w:eastAsia="Arial Unicode MS"/>
                <w:b/>
                <w:szCs w:val="16"/>
              </w:rPr>
            </w:pPr>
            <w:r w:rsidRPr="000773A9">
              <w:rPr>
                <w:rFonts w:eastAsia="Arial Unicode MS"/>
                <w:b/>
                <w:szCs w:val="16"/>
              </w:rPr>
              <w:t>Average</w:t>
            </w:r>
          </w:p>
        </w:tc>
      </w:tr>
      <w:tr w:rsidR="00EB0045" w:rsidRPr="000773A9" w:rsidTr="00503F60">
        <w:trPr>
          <w:trHeight w:val="77"/>
          <w:jc w:val="center"/>
        </w:trPr>
        <w:tc>
          <w:tcPr>
            <w:tcW w:w="8765" w:type="dxa"/>
            <w:gridSpan w:val="5"/>
            <w:tcBorders>
              <w:top w:val="nil"/>
              <w:left w:val="single" w:sz="4" w:space="0" w:color="auto"/>
              <w:bottom w:val="single" w:sz="4" w:space="0" w:color="auto"/>
              <w:right w:val="single" w:sz="4" w:space="0" w:color="auto"/>
            </w:tcBorders>
            <w:noWrap/>
            <w:vAlign w:val="bottom"/>
          </w:tcPr>
          <w:p w:rsidR="00EB0045" w:rsidRPr="000773A9" w:rsidRDefault="00EB0045" w:rsidP="00EB0045">
            <w:pPr>
              <w:keepNext/>
              <w:jc w:val="center"/>
              <w:rPr>
                <w:i/>
                <w:iCs/>
              </w:rPr>
            </w:pPr>
            <w:r w:rsidRPr="000773A9">
              <w:rPr>
                <w:i/>
                <w:iCs/>
              </w:rPr>
              <w:t>Total Labor Cost</w:t>
            </w:r>
          </w:p>
        </w:tc>
      </w:tr>
      <w:tr w:rsidR="00477B11" w:rsidRPr="000773A9" w:rsidTr="008F5E63">
        <w:trPr>
          <w:trHeight w:val="77"/>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r w:rsidRPr="000773A9">
              <w:rPr>
                <w:rFonts w:eastAsia="Arial Unicode MS"/>
                <w:szCs w:val="16"/>
              </w:rPr>
              <w:t>Landlords</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$52,911</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$52,682</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$52,498</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$52,682</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r w:rsidRPr="000773A9">
              <w:rPr>
                <w:rFonts w:eastAsia="Arial Unicode MS"/>
                <w:szCs w:val="16"/>
              </w:rPr>
              <w:t>Contractors in Rental Units</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$104,080</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$103,622</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$103,210</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$103,622</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r w:rsidRPr="000773A9">
              <w:rPr>
                <w:rFonts w:eastAsia="Arial Unicode MS"/>
                <w:szCs w:val="16"/>
              </w:rPr>
              <w:t>Contractors in Owner-Occupied Units</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$1,334,812</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$1,329,360</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$1,323,909</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$1,329,360</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smartTag w:uri="urn:schemas-microsoft-com:office:smarttags" w:element="place">
              <w:smartTag w:uri="urn:schemas-microsoft-com:office:smarttags" w:element="PlaceName">
                <w:r w:rsidRPr="000773A9">
                  <w:rPr>
                    <w:rFonts w:eastAsia="Arial Unicode MS"/>
                    <w:szCs w:val="16"/>
                  </w:rPr>
                  <w:t>Daycare</w:t>
                </w:r>
              </w:smartTag>
              <w:r w:rsidRPr="000773A9">
                <w:rPr>
                  <w:rFonts w:eastAsia="Arial Unicode MS"/>
                  <w:szCs w:val="16"/>
                </w:rPr>
                <w:t xml:space="preserve"> </w:t>
              </w:r>
              <w:smartTag w:uri="urn:schemas-microsoft-com:office:smarttags" w:element="PlaceType">
                <w:r w:rsidRPr="000773A9">
                  <w:rPr>
                    <w:rFonts w:eastAsia="Arial Unicode MS"/>
                    <w:szCs w:val="16"/>
                  </w:rPr>
                  <w:t>Centers</w:t>
                </w:r>
              </w:smartTag>
            </w:smartTag>
            <w:r w:rsidRPr="000773A9">
              <w:rPr>
                <w:rFonts w:eastAsia="Arial Unicode MS"/>
                <w:szCs w:val="16"/>
              </w:rPr>
              <w:t xml:space="preserve"> and Schools, In-House</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$469,553</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$467,628</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$465,704</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$467,628</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i/>
                <w:szCs w:val="16"/>
              </w:rPr>
            </w:pPr>
            <w:r w:rsidRPr="000773A9">
              <w:rPr>
                <w:rFonts w:eastAsia="Arial Unicode MS"/>
                <w:i/>
                <w:szCs w:val="16"/>
              </w:rPr>
              <w:t>Subtotal – Labor Cost</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rPr>
                <w:i/>
                <w:iCs/>
              </w:rPr>
            </w:pPr>
            <w:r>
              <w:rPr>
                <w:i/>
                <w:iCs/>
              </w:rPr>
              <w:t>$1,961,355</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rPr>
                <w:i/>
                <w:iCs/>
              </w:rPr>
            </w:pPr>
            <w:r>
              <w:rPr>
                <w:i/>
                <w:iCs/>
              </w:rPr>
              <w:t>$1,953,293</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rPr>
                <w:i/>
                <w:iCs/>
              </w:rPr>
            </w:pPr>
            <w:r>
              <w:rPr>
                <w:i/>
                <w:iCs/>
              </w:rPr>
              <w:t>$1,945,322</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rPr>
                <w:i/>
                <w:iCs/>
              </w:rPr>
            </w:pPr>
            <w:r>
              <w:rPr>
                <w:i/>
                <w:iCs/>
              </w:rPr>
              <w:t>$1,953,293</w:t>
            </w:r>
          </w:p>
        </w:tc>
      </w:tr>
      <w:tr w:rsidR="00EB0045" w:rsidRPr="000773A9" w:rsidTr="00503F60">
        <w:trPr>
          <w:trHeight w:val="77"/>
          <w:jc w:val="center"/>
        </w:trPr>
        <w:tc>
          <w:tcPr>
            <w:tcW w:w="8765" w:type="dxa"/>
            <w:gridSpan w:val="5"/>
            <w:tcBorders>
              <w:top w:val="nil"/>
              <w:left w:val="single" w:sz="4" w:space="0" w:color="auto"/>
              <w:bottom w:val="single" w:sz="4" w:space="0" w:color="auto"/>
              <w:right w:val="single" w:sz="4" w:space="0" w:color="auto"/>
            </w:tcBorders>
            <w:noWrap/>
            <w:vAlign w:val="bottom"/>
          </w:tcPr>
          <w:p w:rsidR="00EB0045" w:rsidRPr="000773A9" w:rsidRDefault="00EB0045" w:rsidP="00EB0045">
            <w:pPr>
              <w:keepNext/>
              <w:jc w:val="center"/>
              <w:rPr>
                <w:i/>
                <w:iCs/>
              </w:rPr>
            </w:pPr>
            <w:r w:rsidRPr="000773A9">
              <w:rPr>
                <w:i/>
                <w:iCs/>
              </w:rPr>
              <w:t>Total Material Cost</w:t>
            </w:r>
          </w:p>
        </w:tc>
      </w:tr>
      <w:tr w:rsidR="00477B11" w:rsidRPr="000773A9" w:rsidTr="008F5E63">
        <w:trPr>
          <w:trHeight w:val="77"/>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r w:rsidRPr="000773A9">
              <w:rPr>
                <w:rFonts w:eastAsia="Arial Unicode MS"/>
                <w:szCs w:val="16"/>
              </w:rPr>
              <w:t>Landlords</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$11,333</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$11,287</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$11,240</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$11,287</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r w:rsidRPr="000773A9">
              <w:rPr>
                <w:rFonts w:eastAsia="Arial Unicode MS"/>
                <w:szCs w:val="16"/>
              </w:rPr>
              <w:t>Contractors in Rental Units</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$24,340</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$24,239</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$24,137</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$24,239</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r w:rsidRPr="000773A9">
              <w:rPr>
                <w:rFonts w:eastAsia="Arial Unicode MS"/>
                <w:szCs w:val="16"/>
              </w:rPr>
              <w:t>Contractors in Owner-Occupied Units</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$285,886</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$284,716</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$283,546</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$284,716</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smartTag w:uri="urn:schemas-microsoft-com:office:smarttags" w:element="place">
              <w:smartTag w:uri="urn:schemas-microsoft-com:office:smarttags" w:element="PlaceName">
                <w:r w:rsidRPr="000773A9">
                  <w:rPr>
                    <w:rFonts w:eastAsia="Arial Unicode MS"/>
                    <w:szCs w:val="16"/>
                  </w:rPr>
                  <w:t>Daycare</w:t>
                </w:r>
              </w:smartTag>
              <w:r w:rsidRPr="000773A9">
                <w:rPr>
                  <w:rFonts w:eastAsia="Arial Unicode MS"/>
                  <w:szCs w:val="16"/>
                </w:rPr>
                <w:t xml:space="preserve"> </w:t>
              </w:r>
              <w:smartTag w:uri="urn:schemas-microsoft-com:office:smarttags" w:element="PlaceType">
                <w:r w:rsidRPr="000773A9">
                  <w:rPr>
                    <w:rFonts w:eastAsia="Arial Unicode MS"/>
                    <w:szCs w:val="16"/>
                  </w:rPr>
                  <w:t>Centers</w:t>
                </w:r>
              </w:smartTag>
            </w:smartTag>
            <w:r w:rsidRPr="000773A9">
              <w:rPr>
                <w:rFonts w:eastAsia="Arial Unicode MS"/>
                <w:szCs w:val="16"/>
              </w:rPr>
              <w:t xml:space="preserve"> and Schools, In-House</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$80,271</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$79,942</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$79,613</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$79,942</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i/>
                <w:szCs w:val="16"/>
              </w:rPr>
            </w:pPr>
            <w:r w:rsidRPr="000773A9">
              <w:rPr>
                <w:rFonts w:eastAsia="Arial Unicode MS"/>
                <w:i/>
                <w:szCs w:val="16"/>
              </w:rPr>
              <w:t>Subtotal – Material Cost</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rPr>
                <w:i/>
                <w:iCs/>
              </w:rPr>
            </w:pPr>
            <w:r>
              <w:rPr>
                <w:i/>
                <w:iCs/>
              </w:rPr>
              <w:t>$401,830</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rPr>
                <w:i/>
                <w:iCs/>
              </w:rPr>
            </w:pPr>
            <w:r>
              <w:rPr>
                <w:i/>
                <w:iCs/>
              </w:rPr>
              <w:t>$400,183</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rPr>
                <w:i/>
                <w:iCs/>
              </w:rPr>
            </w:pPr>
            <w:r>
              <w:rPr>
                <w:i/>
                <w:iCs/>
              </w:rPr>
              <w:t>$398,536</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rPr>
                <w:i/>
                <w:iCs/>
              </w:rPr>
            </w:pPr>
            <w:r>
              <w:rPr>
                <w:i/>
                <w:iCs/>
              </w:rPr>
              <w:t>$400,183</w:t>
            </w:r>
          </w:p>
        </w:tc>
      </w:tr>
      <w:tr w:rsidR="00EB0045" w:rsidRPr="000773A9" w:rsidTr="00503F60">
        <w:trPr>
          <w:trHeight w:val="77"/>
          <w:jc w:val="center"/>
        </w:trPr>
        <w:tc>
          <w:tcPr>
            <w:tcW w:w="8765" w:type="dxa"/>
            <w:gridSpan w:val="5"/>
            <w:tcBorders>
              <w:top w:val="nil"/>
              <w:left w:val="single" w:sz="4" w:space="0" w:color="auto"/>
              <w:bottom w:val="single" w:sz="4" w:space="0" w:color="auto"/>
              <w:right w:val="single" w:sz="4" w:space="0" w:color="auto"/>
            </w:tcBorders>
            <w:noWrap/>
            <w:vAlign w:val="bottom"/>
          </w:tcPr>
          <w:p w:rsidR="00EB0045" w:rsidRPr="000773A9" w:rsidRDefault="00EB0045" w:rsidP="00EB0045">
            <w:pPr>
              <w:keepNext/>
              <w:jc w:val="center"/>
              <w:rPr>
                <w:i/>
                <w:iCs/>
              </w:rPr>
            </w:pPr>
            <w:r w:rsidRPr="000773A9">
              <w:rPr>
                <w:i/>
                <w:iCs/>
              </w:rPr>
              <w:t>Total Cost</w:t>
            </w:r>
          </w:p>
        </w:tc>
      </w:tr>
      <w:tr w:rsidR="00477B11" w:rsidRPr="000773A9" w:rsidTr="008F5E63">
        <w:trPr>
          <w:trHeight w:val="77"/>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r w:rsidRPr="000773A9">
              <w:rPr>
                <w:rFonts w:eastAsia="Arial Unicode MS"/>
                <w:szCs w:val="16"/>
              </w:rPr>
              <w:t>Landlords</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$64,244</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$63,968</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$63,738</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$63,968</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r w:rsidRPr="000773A9">
              <w:rPr>
                <w:rFonts w:eastAsia="Arial Unicode MS"/>
                <w:szCs w:val="16"/>
              </w:rPr>
              <w:t>Contractors in Rental Units</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$128,420</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$127,861</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$127,347</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$127,861</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r w:rsidRPr="000773A9">
              <w:rPr>
                <w:rFonts w:eastAsia="Arial Unicode MS"/>
                <w:szCs w:val="16"/>
              </w:rPr>
              <w:t>Contractors in Owner-Occupied Units</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$1,620,697</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$1,614,076</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$1,607,455</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$1,614,076</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szCs w:val="16"/>
              </w:rPr>
            </w:pPr>
            <w:smartTag w:uri="urn:schemas-microsoft-com:office:smarttags" w:element="place">
              <w:smartTag w:uri="urn:schemas-microsoft-com:office:smarttags" w:element="PlaceName">
                <w:r w:rsidRPr="000773A9">
                  <w:rPr>
                    <w:rFonts w:eastAsia="Arial Unicode MS"/>
                    <w:szCs w:val="16"/>
                  </w:rPr>
                  <w:t>Daycare</w:t>
                </w:r>
              </w:smartTag>
              <w:r w:rsidRPr="000773A9">
                <w:rPr>
                  <w:rFonts w:eastAsia="Arial Unicode MS"/>
                  <w:szCs w:val="16"/>
                </w:rPr>
                <w:t xml:space="preserve"> </w:t>
              </w:r>
              <w:smartTag w:uri="urn:schemas-microsoft-com:office:smarttags" w:element="PlaceType">
                <w:r w:rsidRPr="000773A9">
                  <w:rPr>
                    <w:rFonts w:eastAsia="Arial Unicode MS"/>
                    <w:szCs w:val="16"/>
                  </w:rPr>
                  <w:t>Centers</w:t>
                </w:r>
              </w:smartTag>
            </w:smartTag>
            <w:r w:rsidRPr="000773A9">
              <w:rPr>
                <w:rFonts w:eastAsia="Arial Unicode MS"/>
                <w:szCs w:val="16"/>
              </w:rPr>
              <w:t xml:space="preserve"> and Schools, In-House</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$549,824</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$547,571</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pPr>
            <w:r>
              <w:t>$545,318</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pPr>
            <w:r>
              <w:t>$547,571</w:t>
            </w:r>
          </w:p>
        </w:tc>
      </w:tr>
      <w:tr w:rsidR="00477B11" w:rsidRPr="000773A9" w:rsidTr="008F5E63">
        <w:trPr>
          <w:trHeight w:val="89"/>
          <w:jc w:val="center"/>
        </w:trPr>
        <w:tc>
          <w:tcPr>
            <w:tcW w:w="3543" w:type="dxa"/>
            <w:tcBorders>
              <w:top w:val="nil"/>
              <w:left w:val="single" w:sz="4" w:space="0" w:color="auto"/>
              <w:bottom w:val="single" w:sz="4" w:space="0" w:color="auto"/>
              <w:right w:val="single" w:sz="4" w:space="0" w:color="auto"/>
            </w:tcBorders>
            <w:vAlign w:val="bottom"/>
          </w:tcPr>
          <w:p w:rsidR="00477B11" w:rsidRPr="000773A9" w:rsidRDefault="00477B11" w:rsidP="00537689">
            <w:pPr>
              <w:keepNext/>
              <w:rPr>
                <w:rFonts w:eastAsia="Arial Unicode MS"/>
                <w:b/>
                <w:szCs w:val="16"/>
              </w:rPr>
            </w:pPr>
            <w:r w:rsidRPr="000773A9">
              <w:rPr>
                <w:rFonts w:eastAsia="Arial Unicode MS"/>
                <w:b/>
                <w:szCs w:val="16"/>
              </w:rPr>
              <w:t>Total Cost</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rPr>
                <w:b/>
                <w:bCs/>
              </w:rPr>
            </w:pPr>
            <w:r>
              <w:rPr>
                <w:b/>
                <w:bCs/>
              </w:rPr>
              <w:t>$2,363,185</w:t>
            </w:r>
          </w:p>
        </w:tc>
        <w:tc>
          <w:tcPr>
            <w:tcW w:w="1306"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rPr>
                <w:b/>
                <w:bCs/>
              </w:rPr>
            </w:pPr>
            <w:r>
              <w:rPr>
                <w:b/>
                <w:bCs/>
              </w:rPr>
              <w:t>$2,353,475</w:t>
            </w:r>
          </w:p>
        </w:tc>
        <w:tc>
          <w:tcPr>
            <w:tcW w:w="1305" w:type="dxa"/>
            <w:tcBorders>
              <w:top w:val="nil"/>
              <w:left w:val="nil"/>
              <w:bottom w:val="single" w:sz="4" w:space="0" w:color="auto"/>
              <w:right w:val="single" w:sz="4" w:space="0" w:color="auto"/>
            </w:tcBorders>
            <w:noWrap/>
            <w:vAlign w:val="center"/>
          </w:tcPr>
          <w:p w:rsidR="00477B11" w:rsidRPr="000773A9" w:rsidRDefault="00477B11" w:rsidP="00A63128">
            <w:pPr>
              <w:ind w:right="225"/>
              <w:jc w:val="right"/>
              <w:rPr>
                <w:b/>
                <w:bCs/>
              </w:rPr>
            </w:pPr>
            <w:r>
              <w:rPr>
                <w:b/>
                <w:bCs/>
              </w:rPr>
              <w:t>$2,343,857</w:t>
            </w:r>
          </w:p>
        </w:tc>
        <w:tc>
          <w:tcPr>
            <w:tcW w:w="1306" w:type="dxa"/>
            <w:tcBorders>
              <w:top w:val="nil"/>
              <w:left w:val="nil"/>
              <w:bottom w:val="single" w:sz="4" w:space="0" w:color="auto"/>
              <w:right w:val="single" w:sz="4" w:space="0" w:color="auto"/>
            </w:tcBorders>
            <w:vAlign w:val="center"/>
          </w:tcPr>
          <w:p w:rsidR="00477B11" w:rsidRPr="000773A9" w:rsidRDefault="00477B11" w:rsidP="00A63128">
            <w:pPr>
              <w:ind w:right="225"/>
              <w:jc w:val="right"/>
              <w:rPr>
                <w:b/>
                <w:bCs/>
              </w:rPr>
            </w:pPr>
            <w:r>
              <w:rPr>
                <w:b/>
                <w:bCs/>
              </w:rPr>
              <w:t>$2,353,475</w:t>
            </w:r>
          </w:p>
        </w:tc>
      </w:tr>
    </w:tbl>
    <w:p w:rsidR="00537689" w:rsidRPr="000773A9" w:rsidRDefault="00537689" w:rsidP="00537689">
      <w:pPr>
        <w:rPr>
          <w:sz w:val="24"/>
          <w:szCs w:val="24"/>
        </w:rPr>
      </w:pPr>
    </w:p>
    <w:p w:rsidR="00537689" w:rsidRPr="000773A9" w:rsidRDefault="00537689" w:rsidP="00537689">
      <w:pPr>
        <w:rPr>
          <w:b/>
          <w:bCs/>
          <w:sz w:val="24"/>
          <w:szCs w:val="24"/>
        </w:rPr>
      </w:pPr>
      <w:r w:rsidRPr="000773A9">
        <w:rPr>
          <w:sz w:val="24"/>
          <w:szCs w:val="24"/>
        </w:rPr>
        <w:tab/>
      </w:r>
      <w:r w:rsidR="00FA28EE">
        <w:rPr>
          <w:b/>
          <w:bCs/>
          <w:sz w:val="24"/>
          <w:szCs w:val="24"/>
        </w:rPr>
        <w:t>6(c</w:t>
      </w:r>
      <w:r w:rsidRPr="000773A9">
        <w:rPr>
          <w:b/>
          <w:bCs/>
          <w:sz w:val="24"/>
          <w:szCs w:val="24"/>
        </w:rPr>
        <w:t>)</w:t>
      </w:r>
      <w:r w:rsidRPr="000773A9">
        <w:rPr>
          <w:b/>
          <w:bCs/>
          <w:sz w:val="24"/>
          <w:szCs w:val="24"/>
        </w:rPr>
        <w:tab/>
        <w:t>Estimating Agency Burden and Cost</w:t>
      </w:r>
    </w:p>
    <w:p w:rsidR="00537689" w:rsidRPr="000773A9" w:rsidRDefault="00537689" w:rsidP="00537689">
      <w:pPr>
        <w:rPr>
          <w:sz w:val="24"/>
          <w:szCs w:val="24"/>
        </w:rPr>
      </w:pPr>
    </w:p>
    <w:p w:rsidR="00537689" w:rsidRPr="000773A9" w:rsidRDefault="00537689" w:rsidP="00537689">
      <w:pPr>
        <w:rPr>
          <w:sz w:val="24"/>
          <w:szCs w:val="24"/>
        </w:rPr>
      </w:pPr>
      <w:r w:rsidRPr="000773A9">
        <w:rPr>
          <w:sz w:val="24"/>
          <w:szCs w:val="24"/>
        </w:rPr>
        <w:tab/>
        <w:t>Not applicable.  This is a third party notification rule.</w:t>
      </w:r>
    </w:p>
    <w:p w:rsidR="00537689" w:rsidRPr="000773A9" w:rsidRDefault="00537689" w:rsidP="00537689">
      <w:pPr>
        <w:rPr>
          <w:sz w:val="24"/>
          <w:szCs w:val="24"/>
        </w:rPr>
      </w:pPr>
    </w:p>
    <w:p w:rsidR="00537689" w:rsidRPr="000773A9" w:rsidRDefault="00537689" w:rsidP="00537689">
      <w:pPr>
        <w:rPr>
          <w:b/>
          <w:bCs/>
          <w:sz w:val="24"/>
          <w:szCs w:val="24"/>
        </w:rPr>
      </w:pPr>
      <w:r w:rsidRPr="000773A9">
        <w:rPr>
          <w:sz w:val="24"/>
          <w:szCs w:val="24"/>
        </w:rPr>
        <w:tab/>
      </w:r>
      <w:r w:rsidR="00FA28EE">
        <w:rPr>
          <w:b/>
          <w:bCs/>
          <w:sz w:val="24"/>
          <w:szCs w:val="24"/>
        </w:rPr>
        <w:t>6(d</w:t>
      </w:r>
      <w:r w:rsidRPr="000773A9">
        <w:rPr>
          <w:b/>
          <w:bCs/>
          <w:sz w:val="24"/>
          <w:szCs w:val="24"/>
        </w:rPr>
        <w:t>)</w:t>
      </w:r>
      <w:r w:rsidRPr="000773A9">
        <w:rPr>
          <w:b/>
          <w:bCs/>
          <w:sz w:val="24"/>
          <w:szCs w:val="24"/>
        </w:rPr>
        <w:tab/>
        <w:t>Bottom Line Burden Hours and Costs/Master Table</w:t>
      </w:r>
    </w:p>
    <w:p w:rsidR="00537689" w:rsidRPr="000773A9" w:rsidRDefault="00537689" w:rsidP="00537689">
      <w:pPr>
        <w:rPr>
          <w:sz w:val="24"/>
          <w:szCs w:val="24"/>
        </w:rPr>
      </w:pPr>
    </w:p>
    <w:p w:rsidR="00537689" w:rsidRPr="000773A9" w:rsidRDefault="00537689" w:rsidP="00537689">
      <w:pPr>
        <w:rPr>
          <w:sz w:val="24"/>
          <w:szCs w:val="24"/>
        </w:rPr>
      </w:pPr>
      <w:r w:rsidRPr="000773A9">
        <w:rPr>
          <w:sz w:val="24"/>
          <w:szCs w:val="24"/>
        </w:rPr>
        <w:tab/>
      </w:r>
      <w:r w:rsidRPr="000773A9">
        <w:rPr>
          <w:sz w:val="24"/>
          <w:szCs w:val="24"/>
        </w:rPr>
        <w:fldChar w:fldCharType="begin"/>
      </w:r>
      <w:r w:rsidRPr="000773A9">
        <w:rPr>
          <w:sz w:val="24"/>
          <w:szCs w:val="24"/>
        </w:rPr>
        <w:instrText xml:space="preserve"> REF _Ref269986974 \h  \* MERGEFORMAT </w:instrText>
      </w:r>
      <w:r w:rsidRPr="000773A9">
        <w:rPr>
          <w:sz w:val="24"/>
          <w:szCs w:val="24"/>
        </w:rPr>
      </w:r>
      <w:r w:rsidRPr="000773A9">
        <w:rPr>
          <w:sz w:val="24"/>
          <w:szCs w:val="24"/>
        </w:rPr>
        <w:fldChar w:fldCharType="separate"/>
      </w:r>
      <w:r w:rsidR="00D067A1" w:rsidRPr="00D067A1">
        <w:rPr>
          <w:sz w:val="24"/>
          <w:szCs w:val="24"/>
        </w:rPr>
        <w:t>Exhibit 6.19</w:t>
      </w:r>
      <w:r w:rsidRPr="000773A9">
        <w:rPr>
          <w:sz w:val="24"/>
          <w:szCs w:val="24"/>
        </w:rPr>
        <w:fldChar w:fldCharType="end"/>
      </w:r>
      <w:r w:rsidRPr="000773A9">
        <w:rPr>
          <w:sz w:val="24"/>
          <w:szCs w:val="24"/>
        </w:rPr>
        <w:t xml:space="preserve"> presents the total bottom line numbers for the ICR renewal.  </w:t>
      </w:r>
      <w:r w:rsidR="00B74F25" w:rsidRPr="000773A9">
        <w:rPr>
          <w:sz w:val="24"/>
          <w:szCs w:val="24"/>
        </w:rPr>
        <w:fldChar w:fldCharType="begin"/>
      </w:r>
      <w:r w:rsidR="00B74F25" w:rsidRPr="000773A9">
        <w:rPr>
          <w:sz w:val="24"/>
          <w:szCs w:val="24"/>
        </w:rPr>
        <w:instrText xml:space="preserve"> REF _Ref271805915 \h  \* MERGEFORMAT </w:instrText>
      </w:r>
      <w:r w:rsidR="00B74F25" w:rsidRPr="000773A9">
        <w:rPr>
          <w:sz w:val="24"/>
          <w:szCs w:val="24"/>
        </w:rPr>
      </w:r>
      <w:r w:rsidR="00B74F25" w:rsidRPr="000773A9">
        <w:rPr>
          <w:sz w:val="24"/>
          <w:szCs w:val="24"/>
        </w:rPr>
        <w:fldChar w:fldCharType="separate"/>
      </w:r>
      <w:r w:rsidR="00D067A1" w:rsidRPr="00D067A1">
        <w:rPr>
          <w:sz w:val="24"/>
          <w:szCs w:val="24"/>
        </w:rPr>
        <w:t>Exhibit 6.20</w:t>
      </w:r>
      <w:r w:rsidR="00B74F25" w:rsidRPr="000773A9">
        <w:rPr>
          <w:sz w:val="24"/>
          <w:szCs w:val="24"/>
        </w:rPr>
        <w:fldChar w:fldCharType="end"/>
      </w:r>
      <w:r w:rsidRPr="000773A9">
        <w:rPr>
          <w:sz w:val="24"/>
          <w:szCs w:val="24"/>
        </w:rPr>
        <w:t xml:space="preserve"> presents three-year averages</w:t>
      </w:r>
      <w:r w:rsidR="00281325">
        <w:rPr>
          <w:sz w:val="24"/>
          <w:szCs w:val="24"/>
        </w:rPr>
        <w:t xml:space="preserve"> by type of respondent</w:t>
      </w:r>
      <w:r w:rsidRPr="000773A9">
        <w:rPr>
          <w:sz w:val="24"/>
          <w:szCs w:val="24"/>
        </w:rPr>
        <w:t>.</w:t>
      </w:r>
      <w:r w:rsidR="00281325">
        <w:rPr>
          <w:sz w:val="24"/>
          <w:szCs w:val="24"/>
        </w:rPr>
        <w:t xml:space="preserve">  </w:t>
      </w:r>
      <w:r w:rsidR="00281325" w:rsidRPr="000773A9">
        <w:rPr>
          <w:sz w:val="24"/>
          <w:szCs w:val="24"/>
        </w:rPr>
        <w:t xml:space="preserve">The total annual burden for this ICR is therefore </w:t>
      </w:r>
      <w:r w:rsidR="00477B11">
        <w:rPr>
          <w:sz w:val="24"/>
          <w:szCs w:val="24"/>
        </w:rPr>
        <w:t>2,577,280</w:t>
      </w:r>
      <w:r w:rsidR="00281325" w:rsidRPr="000773A9">
        <w:rPr>
          <w:sz w:val="24"/>
          <w:szCs w:val="24"/>
        </w:rPr>
        <w:t xml:space="preserve"> hours</w:t>
      </w:r>
      <w:r w:rsidR="00281325">
        <w:rPr>
          <w:sz w:val="24"/>
          <w:szCs w:val="24"/>
        </w:rPr>
        <w:t xml:space="preserve"> and t</w:t>
      </w:r>
      <w:r w:rsidR="00281325" w:rsidRPr="000773A9">
        <w:rPr>
          <w:sz w:val="24"/>
          <w:szCs w:val="24"/>
        </w:rPr>
        <w:t xml:space="preserve">he total annual cost is </w:t>
      </w:r>
      <w:r w:rsidR="007A419F">
        <w:rPr>
          <w:sz w:val="24"/>
          <w:szCs w:val="24"/>
        </w:rPr>
        <w:t xml:space="preserve">an </w:t>
      </w:r>
      <w:r w:rsidR="00281325" w:rsidRPr="000773A9">
        <w:rPr>
          <w:sz w:val="24"/>
          <w:szCs w:val="24"/>
        </w:rPr>
        <w:t>estimated $</w:t>
      </w:r>
      <w:r w:rsidR="00477B11">
        <w:rPr>
          <w:sz w:val="24"/>
          <w:szCs w:val="24"/>
        </w:rPr>
        <w:t>140,498,539</w:t>
      </w:r>
      <w:r w:rsidR="00281325" w:rsidRPr="000773A9">
        <w:rPr>
          <w:sz w:val="24"/>
          <w:szCs w:val="24"/>
        </w:rPr>
        <w:t xml:space="preserve">.  </w:t>
      </w:r>
    </w:p>
    <w:p w:rsidR="00537689" w:rsidRPr="000773A9" w:rsidRDefault="00537689" w:rsidP="00537689">
      <w:pPr>
        <w:rPr>
          <w:sz w:val="24"/>
          <w:szCs w:val="24"/>
        </w:rPr>
      </w:pPr>
    </w:p>
    <w:tbl>
      <w:tblPr>
        <w:tblW w:w="8765" w:type="dxa"/>
        <w:jc w:val="center"/>
        <w:tblLayout w:type="fixed"/>
        <w:tblCellMar>
          <w:left w:w="0" w:type="dxa"/>
          <w:right w:w="0" w:type="dxa"/>
        </w:tblCellMar>
        <w:tblLook w:val="0000" w:firstRow="0" w:lastRow="0" w:firstColumn="0" w:lastColumn="0" w:noHBand="0" w:noVBand="0"/>
      </w:tblPr>
      <w:tblGrid>
        <w:gridCol w:w="2943"/>
        <w:gridCol w:w="1455"/>
        <w:gridCol w:w="1456"/>
        <w:gridCol w:w="1455"/>
        <w:gridCol w:w="1456"/>
      </w:tblGrid>
      <w:tr w:rsidR="00537689" w:rsidRPr="000773A9" w:rsidTr="00537689">
        <w:trPr>
          <w:trHeight w:val="255"/>
          <w:jc w:val="center"/>
        </w:trPr>
        <w:tc>
          <w:tcPr>
            <w:tcW w:w="8765" w:type="dxa"/>
            <w:gridSpan w:val="5"/>
            <w:tcBorders>
              <w:bottom w:val="single" w:sz="4" w:space="0" w:color="000000"/>
            </w:tcBorders>
            <w:noWrap/>
            <w:vAlign w:val="bottom"/>
          </w:tcPr>
          <w:p w:rsidR="00537689" w:rsidRPr="000773A9" w:rsidRDefault="00537689" w:rsidP="00537689">
            <w:pPr>
              <w:keepNext/>
              <w:jc w:val="center"/>
              <w:rPr>
                <w:b/>
                <w:bCs/>
                <w:szCs w:val="16"/>
              </w:rPr>
            </w:pPr>
            <w:bookmarkStart w:id="21" w:name="_Ref269986974"/>
            <w:r w:rsidRPr="000773A9">
              <w:rPr>
                <w:rFonts w:eastAsia="Arial Unicode MS"/>
                <w:b/>
                <w:bCs/>
                <w:szCs w:val="16"/>
              </w:rPr>
              <w:t>Exhibit 6.</w:t>
            </w:r>
            <w:r w:rsidRPr="000773A9">
              <w:rPr>
                <w:rFonts w:eastAsia="Arial Unicode MS"/>
                <w:b/>
                <w:bCs/>
                <w:szCs w:val="16"/>
              </w:rPr>
              <w:fldChar w:fldCharType="begin"/>
            </w:r>
            <w:r w:rsidRPr="000773A9">
              <w:rPr>
                <w:rFonts w:eastAsia="Arial Unicode MS"/>
                <w:b/>
                <w:bCs/>
                <w:szCs w:val="16"/>
              </w:rPr>
              <w:instrText xml:space="preserve"> SEQ Exhibit_6. \* ARABIC </w:instrText>
            </w:r>
            <w:r w:rsidRPr="000773A9">
              <w:rPr>
                <w:rFonts w:eastAsia="Arial Unicode MS"/>
                <w:b/>
                <w:bCs/>
                <w:szCs w:val="16"/>
              </w:rPr>
              <w:fldChar w:fldCharType="separate"/>
            </w:r>
            <w:r w:rsidR="00D067A1">
              <w:rPr>
                <w:rFonts w:eastAsia="Arial Unicode MS"/>
                <w:b/>
                <w:bCs/>
                <w:noProof/>
                <w:szCs w:val="16"/>
              </w:rPr>
              <w:t>19</w:t>
            </w:r>
            <w:r w:rsidRPr="000773A9">
              <w:rPr>
                <w:rFonts w:eastAsia="Arial Unicode MS"/>
                <w:b/>
                <w:bCs/>
                <w:szCs w:val="16"/>
              </w:rPr>
              <w:fldChar w:fldCharType="end"/>
            </w:r>
            <w:bookmarkEnd w:id="21"/>
            <w:r w:rsidRPr="000773A9">
              <w:rPr>
                <w:b/>
                <w:bCs/>
              </w:rPr>
              <w:t>:</w:t>
            </w:r>
            <w:r w:rsidRPr="000773A9">
              <w:t xml:space="preserve"> </w:t>
            </w:r>
            <w:r w:rsidRPr="000773A9">
              <w:rPr>
                <w:b/>
                <w:bCs/>
                <w:szCs w:val="16"/>
              </w:rPr>
              <w:t>Bottom Line Burden and Costs</w:t>
            </w:r>
          </w:p>
          <w:p w:rsidR="00537689" w:rsidRPr="000773A9" w:rsidRDefault="00537689" w:rsidP="00537689">
            <w:pPr>
              <w:keepNext/>
              <w:jc w:val="center"/>
              <w:rPr>
                <w:b/>
                <w:bCs/>
                <w:szCs w:val="16"/>
              </w:rPr>
            </w:pPr>
          </w:p>
        </w:tc>
      </w:tr>
      <w:tr w:rsidR="00537689" w:rsidRPr="000773A9" w:rsidTr="00537689">
        <w:trPr>
          <w:trHeight w:val="255"/>
          <w:jc w:val="center"/>
        </w:trPr>
        <w:tc>
          <w:tcPr>
            <w:tcW w:w="2943" w:type="dxa"/>
            <w:tcBorders>
              <w:top w:val="single" w:sz="4" w:space="0" w:color="000000"/>
              <w:left w:val="single" w:sz="4" w:space="0" w:color="auto"/>
              <w:bottom w:val="single" w:sz="4" w:space="0" w:color="auto"/>
              <w:right w:val="single" w:sz="4" w:space="0" w:color="auto"/>
            </w:tcBorders>
            <w:noWrap/>
            <w:vAlign w:val="bottom"/>
          </w:tcPr>
          <w:p w:rsidR="00537689" w:rsidRPr="000773A9" w:rsidRDefault="00537689" w:rsidP="00537689">
            <w:pPr>
              <w:keepNext/>
              <w:rPr>
                <w:rFonts w:eastAsia="Arial Unicode MS"/>
                <w:b/>
                <w:bCs/>
                <w:szCs w:val="16"/>
              </w:rPr>
            </w:pPr>
            <w:r w:rsidRPr="000773A9">
              <w:rPr>
                <w:b/>
                <w:bCs/>
                <w:szCs w:val="16"/>
              </w:rPr>
              <w:t> </w:t>
            </w:r>
          </w:p>
        </w:tc>
        <w:tc>
          <w:tcPr>
            <w:tcW w:w="1455" w:type="dxa"/>
            <w:tcBorders>
              <w:top w:val="single" w:sz="4" w:space="0" w:color="000000"/>
              <w:left w:val="nil"/>
              <w:bottom w:val="single" w:sz="4" w:space="0" w:color="auto"/>
              <w:right w:val="single" w:sz="4" w:space="0" w:color="auto"/>
            </w:tcBorders>
            <w:noWrap/>
            <w:vAlign w:val="bottom"/>
          </w:tcPr>
          <w:p w:rsidR="00537689" w:rsidRPr="000773A9" w:rsidRDefault="00537689" w:rsidP="00537689">
            <w:pPr>
              <w:keepNext/>
              <w:jc w:val="center"/>
              <w:rPr>
                <w:rFonts w:eastAsia="Arial Unicode MS"/>
                <w:b/>
                <w:szCs w:val="16"/>
              </w:rPr>
            </w:pPr>
            <w:r w:rsidRPr="000773A9">
              <w:rPr>
                <w:b/>
                <w:szCs w:val="16"/>
              </w:rPr>
              <w:t>Year 1</w:t>
            </w:r>
          </w:p>
        </w:tc>
        <w:tc>
          <w:tcPr>
            <w:tcW w:w="1456" w:type="dxa"/>
            <w:tcBorders>
              <w:top w:val="single" w:sz="4" w:space="0" w:color="000000"/>
              <w:left w:val="nil"/>
              <w:bottom w:val="single" w:sz="4" w:space="0" w:color="auto"/>
              <w:right w:val="single" w:sz="4" w:space="0" w:color="auto"/>
            </w:tcBorders>
            <w:noWrap/>
            <w:vAlign w:val="bottom"/>
          </w:tcPr>
          <w:p w:rsidR="00537689" w:rsidRPr="000773A9" w:rsidRDefault="00537689" w:rsidP="00537689">
            <w:pPr>
              <w:keepNext/>
              <w:jc w:val="center"/>
              <w:rPr>
                <w:rFonts w:eastAsia="Arial Unicode MS"/>
                <w:b/>
                <w:szCs w:val="16"/>
              </w:rPr>
            </w:pPr>
            <w:r w:rsidRPr="000773A9">
              <w:rPr>
                <w:b/>
                <w:szCs w:val="16"/>
              </w:rPr>
              <w:t>Year 2</w:t>
            </w:r>
          </w:p>
        </w:tc>
        <w:tc>
          <w:tcPr>
            <w:tcW w:w="1455" w:type="dxa"/>
            <w:tcBorders>
              <w:top w:val="single" w:sz="4" w:space="0" w:color="000000"/>
              <w:left w:val="nil"/>
              <w:bottom w:val="single" w:sz="4" w:space="0" w:color="auto"/>
              <w:right w:val="single" w:sz="4" w:space="0" w:color="auto"/>
            </w:tcBorders>
            <w:noWrap/>
            <w:vAlign w:val="bottom"/>
          </w:tcPr>
          <w:p w:rsidR="00537689" w:rsidRPr="000773A9" w:rsidRDefault="00537689" w:rsidP="00537689">
            <w:pPr>
              <w:keepNext/>
              <w:jc w:val="center"/>
              <w:rPr>
                <w:rFonts w:eastAsia="Arial Unicode MS"/>
                <w:b/>
                <w:szCs w:val="16"/>
              </w:rPr>
            </w:pPr>
            <w:r w:rsidRPr="000773A9">
              <w:rPr>
                <w:b/>
                <w:szCs w:val="16"/>
              </w:rPr>
              <w:t>Year 3</w:t>
            </w:r>
          </w:p>
        </w:tc>
        <w:tc>
          <w:tcPr>
            <w:tcW w:w="1456" w:type="dxa"/>
            <w:tcBorders>
              <w:top w:val="single" w:sz="4" w:space="0" w:color="000000"/>
              <w:left w:val="nil"/>
              <w:bottom w:val="single" w:sz="4" w:space="0" w:color="auto"/>
              <w:right w:val="single" w:sz="4" w:space="0" w:color="auto"/>
            </w:tcBorders>
            <w:vAlign w:val="bottom"/>
          </w:tcPr>
          <w:p w:rsidR="00537689" w:rsidRPr="000773A9" w:rsidRDefault="00537689" w:rsidP="00537689">
            <w:pPr>
              <w:keepNext/>
              <w:jc w:val="center"/>
              <w:rPr>
                <w:rFonts w:eastAsia="Arial Unicode MS"/>
                <w:b/>
                <w:szCs w:val="16"/>
              </w:rPr>
            </w:pPr>
            <w:r w:rsidRPr="000773A9">
              <w:rPr>
                <w:rFonts w:eastAsia="Arial Unicode MS"/>
                <w:b/>
                <w:szCs w:val="16"/>
              </w:rPr>
              <w:t>Average</w:t>
            </w:r>
          </w:p>
        </w:tc>
      </w:tr>
      <w:tr w:rsidR="00477B11" w:rsidRPr="000773A9" w:rsidTr="00537689">
        <w:trPr>
          <w:trHeight w:val="77"/>
          <w:jc w:val="center"/>
        </w:trPr>
        <w:tc>
          <w:tcPr>
            <w:tcW w:w="2943" w:type="dxa"/>
            <w:tcBorders>
              <w:top w:val="nil"/>
              <w:left w:val="single" w:sz="4" w:space="0" w:color="auto"/>
              <w:bottom w:val="single" w:sz="4" w:space="0" w:color="auto"/>
              <w:right w:val="single" w:sz="4" w:space="0" w:color="auto"/>
            </w:tcBorders>
            <w:vAlign w:val="bottom"/>
          </w:tcPr>
          <w:p w:rsidR="00477B11" w:rsidRPr="000773A9" w:rsidRDefault="00477B11" w:rsidP="00537689">
            <w:r w:rsidRPr="000773A9">
              <w:t>Number of Respondents</w:t>
            </w:r>
          </w:p>
        </w:tc>
        <w:tc>
          <w:tcPr>
            <w:tcW w:w="1455" w:type="dxa"/>
            <w:tcBorders>
              <w:top w:val="nil"/>
              <w:left w:val="nil"/>
              <w:bottom w:val="single" w:sz="4" w:space="0" w:color="auto"/>
              <w:right w:val="single" w:sz="4" w:space="0" w:color="auto"/>
            </w:tcBorders>
            <w:noWrap/>
            <w:vAlign w:val="bottom"/>
          </w:tcPr>
          <w:p w:rsidR="00477B11" w:rsidRPr="000773A9" w:rsidRDefault="00477B11" w:rsidP="00A63128">
            <w:pPr>
              <w:ind w:right="255"/>
              <w:jc w:val="right"/>
            </w:pPr>
            <w:r>
              <w:t>321,823</w:t>
            </w:r>
          </w:p>
        </w:tc>
        <w:tc>
          <w:tcPr>
            <w:tcW w:w="1456" w:type="dxa"/>
            <w:tcBorders>
              <w:top w:val="nil"/>
              <w:left w:val="nil"/>
              <w:bottom w:val="single" w:sz="4" w:space="0" w:color="auto"/>
              <w:right w:val="single" w:sz="4" w:space="0" w:color="auto"/>
            </w:tcBorders>
            <w:noWrap/>
            <w:vAlign w:val="bottom"/>
          </w:tcPr>
          <w:p w:rsidR="00477B11" w:rsidRPr="000773A9" w:rsidRDefault="00477B11" w:rsidP="00A63128">
            <w:pPr>
              <w:ind w:right="255"/>
              <w:jc w:val="right"/>
            </w:pPr>
            <w:r>
              <w:t>320,503</w:t>
            </w:r>
          </w:p>
        </w:tc>
        <w:tc>
          <w:tcPr>
            <w:tcW w:w="1455" w:type="dxa"/>
            <w:tcBorders>
              <w:top w:val="nil"/>
              <w:left w:val="nil"/>
              <w:bottom w:val="single" w:sz="4" w:space="0" w:color="auto"/>
              <w:right w:val="single" w:sz="4" w:space="0" w:color="auto"/>
            </w:tcBorders>
            <w:noWrap/>
            <w:vAlign w:val="bottom"/>
          </w:tcPr>
          <w:p w:rsidR="00477B11" w:rsidRPr="000773A9" w:rsidRDefault="00477B11" w:rsidP="00A63128">
            <w:pPr>
              <w:ind w:right="255"/>
              <w:jc w:val="right"/>
            </w:pPr>
            <w:r>
              <w:t>319,187</w:t>
            </w:r>
          </w:p>
        </w:tc>
        <w:tc>
          <w:tcPr>
            <w:tcW w:w="1456" w:type="dxa"/>
            <w:tcBorders>
              <w:top w:val="nil"/>
              <w:left w:val="nil"/>
              <w:bottom w:val="single" w:sz="4" w:space="0" w:color="auto"/>
              <w:right w:val="single" w:sz="4" w:space="0" w:color="auto"/>
            </w:tcBorders>
            <w:vAlign w:val="bottom"/>
          </w:tcPr>
          <w:p w:rsidR="00477B11" w:rsidRPr="000773A9" w:rsidRDefault="00477B11" w:rsidP="00A63128">
            <w:pPr>
              <w:ind w:right="255"/>
              <w:jc w:val="right"/>
            </w:pPr>
            <w:r>
              <w:t>320,504</w:t>
            </w:r>
          </w:p>
        </w:tc>
      </w:tr>
      <w:tr w:rsidR="00477B11" w:rsidRPr="000773A9" w:rsidTr="00537689">
        <w:trPr>
          <w:trHeight w:val="89"/>
          <w:jc w:val="center"/>
        </w:trPr>
        <w:tc>
          <w:tcPr>
            <w:tcW w:w="2943" w:type="dxa"/>
            <w:tcBorders>
              <w:top w:val="nil"/>
              <w:left w:val="single" w:sz="4" w:space="0" w:color="auto"/>
              <w:bottom w:val="single" w:sz="4" w:space="0" w:color="auto"/>
              <w:right w:val="single" w:sz="4" w:space="0" w:color="auto"/>
            </w:tcBorders>
            <w:vAlign w:val="bottom"/>
          </w:tcPr>
          <w:p w:rsidR="00477B11" w:rsidRPr="000773A9" w:rsidRDefault="00477B11" w:rsidP="00537689">
            <w:r w:rsidRPr="000773A9">
              <w:t>Number of Responses</w:t>
            </w:r>
          </w:p>
        </w:tc>
        <w:tc>
          <w:tcPr>
            <w:tcW w:w="1455" w:type="dxa"/>
            <w:tcBorders>
              <w:top w:val="nil"/>
              <w:left w:val="nil"/>
              <w:bottom w:val="single" w:sz="4" w:space="0" w:color="auto"/>
              <w:right w:val="single" w:sz="4" w:space="0" w:color="auto"/>
            </w:tcBorders>
            <w:noWrap/>
            <w:vAlign w:val="bottom"/>
          </w:tcPr>
          <w:p w:rsidR="00477B11" w:rsidRPr="000773A9" w:rsidRDefault="00477B11" w:rsidP="00A63128">
            <w:pPr>
              <w:ind w:right="255"/>
              <w:jc w:val="right"/>
            </w:pPr>
            <w:r>
              <w:t>11,387,270</w:t>
            </w:r>
          </w:p>
        </w:tc>
        <w:tc>
          <w:tcPr>
            <w:tcW w:w="1456" w:type="dxa"/>
            <w:tcBorders>
              <w:top w:val="nil"/>
              <w:left w:val="nil"/>
              <w:bottom w:val="single" w:sz="4" w:space="0" w:color="auto"/>
              <w:right w:val="single" w:sz="4" w:space="0" w:color="auto"/>
            </w:tcBorders>
            <w:noWrap/>
            <w:vAlign w:val="bottom"/>
          </w:tcPr>
          <w:p w:rsidR="00477B11" w:rsidRPr="000773A9" w:rsidRDefault="00477B11" w:rsidP="00A63128">
            <w:pPr>
              <w:ind w:right="255"/>
              <w:jc w:val="right"/>
            </w:pPr>
            <w:r>
              <w:t>11,340,584</w:t>
            </w:r>
          </w:p>
        </w:tc>
        <w:tc>
          <w:tcPr>
            <w:tcW w:w="1455" w:type="dxa"/>
            <w:tcBorders>
              <w:top w:val="nil"/>
              <w:left w:val="nil"/>
              <w:bottom w:val="single" w:sz="4" w:space="0" w:color="auto"/>
              <w:right w:val="single" w:sz="4" w:space="0" w:color="auto"/>
            </w:tcBorders>
            <w:noWrap/>
            <w:vAlign w:val="bottom"/>
          </w:tcPr>
          <w:p w:rsidR="00477B11" w:rsidRPr="000773A9" w:rsidRDefault="00477B11" w:rsidP="00A63128">
            <w:pPr>
              <w:ind w:right="255"/>
              <w:jc w:val="right"/>
            </w:pPr>
            <w:r>
              <w:t>11,294,084</w:t>
            </w:r>
          </w:p>
        </w:tc>
        <w:tc>
          <w:tcPr>
            <w:tcW w:w="1456" w:type="dxa"/>
            <w:tcBorders>
              <w:top w:val="nil"/>
              <w:left w:val="nil"/>
              <w:bottom w:val="single" w:sz="4" w:space="0" w:color="auto"/>
              <w:right w:val="single" w:sz="4" w:space="0" w:color="auto"/>
            </w:tcBorders>
            <w:vAlign w:val="bottom"/>
          </w:tcPr>
          <w:p w:rsidR="00477B11" w:rsidRPr="000773A9" w:rsidRDefault="00477B11" w:rsidP="00A63128">
            <w:pPr>
              <w:ind w:right="255"/>
              <w:jc w:val="right"/>
            </w:pPr>
            <w:r>
              <w:t>11,340,646</w:t>
            </w:r>
          </w:p>
        </w:tc>
      </w:tr>
      <w:tr w:rsidR="00477B11" w:rsidRPr="000773A9" w:rsidTr="00537689">
        <w:trPr>
          <w:trHeight w:val="89"/>
          <w:jc w:val="center"/>
        </w:trPr>
        <w:tc>
          <w:tcPr>
            <w:tcW w:w="2943" w:type="dxa"/>
            <w:tcBorders>
              <w:top w:val="nil"/>
              <w:left w:val="single" w:sz="4" w:space="0" w:color="auto"/>
              <w:bottom w:val="single" w:sz="4" w:space="0" w:color="auto"/>
              <w:right w:val="single" w:sz="4" w:space="0" w:color="auto"/>
            </w:tcBorders>
            <w:vAlign w:val="bottom"/>
          </w:tcPr>
          <w:p w:rsidR="00477B11" w:rsidRPr="000773A9" w:rsidRDefault="00477B11" w:rsidP="00537689">
            <w:r w:rsidRPr="000773A9">
              <w:t>Total Burden Hours</w:t>
            </w:r>
          </w:p>
        </w:tc>
        <w:tc>
          <w:tcPr>
            <w:tcW w:w="1455" w:type="dxa"/>
            <w:tcBorders>
              <w:top w:val="nil"/>
              <w:left w:val="nil"/>
              <w:bottom w:val="single" w:sz="4" w:space="0" w:color="auto"/>
              <w:right w:val="single" w:sz="4" w:space="0" w:color="auto"/>
            </w:tcBorders>
            <w:noWrap/>
            <w:vAlign w:val="bottom"/>
          </w:tcPr>
          <w:p w:rsidR="00477B11" w:rsidRPr="000773A9" w:rsidRDefault="00477B11" w:rsidP="00A63128">
            <w:pPr>
              <w:ind w:right="255"/>
              <w:jc w:val="right"/>
            </w:pPr>
            <w:r>
              <w:t>2,587,876</w:t>
            </w:r>
          </w:p>
        </w:tc>
        <w:tc>
          <w:tcPr>
            <w:tcW w:w="1456" w:type="dxa"/>
            <w:tcBorders>
              <w:top w:val="nil"/>
              <w:left w:val="nil"/>
              <w:bottom w:val="single" w:sz="4" w:space="0" w:color="auto"/>
              <w:right w:val="single" w:sz="4" w:space="0" w:color="auto"/>
            </w:tcBorders>
            <w:noWrap/>
            <w:vAlign w:val="bottom"/>
          </w:tcPr>
          <w:p w:rsidR="00477B11" w:rsidRPr="000773A9" w:rsidRDefault="00477B11" w:rsidP="00A63128">
            <w:pPr>
              <w:ind w:right="255"/>
              <w:jc w:val="right"/>
            </w:pPr>
            <w:r>
              <w:t>2,577,265</w:t>
            </w:r>
          </w:p>
        </w:tc>
        <w:tc>
          <w:tcPr>
            <w:tcW w:w="1455" w:type="dxa"/>
            <w:tcBorders>
              <w:top w:val="nil"/>
              <w:left w:val="nil"/>
              <w:bottom w:val="single" w:sz="4" w:space="0" w:color="auto"/>
              <w:right w:val="single" w:sz="4" w:space="0" w:color="auto"/>
            </w:tcBorders>
            <w:noWrap/>
            <w:vAlign w:val="bottom"/>
          </w:tcPr>
          <w:p w:rsidR="00477B11" w:rsidRPr="000773A9" w:rsidRDefault="00477B11" w:rsidP="00A63128">
            <w:pPr>
              <w:ind w:right="255"/>
              <w:jc w:val="right"/>
            </w:pPr>
            <w:r>
              <w:t>2,566,699</w:t>
            </w:r>
          </w:p>
        </w:tc>
        <w:tc>
          <w:tcPr>
            <w:tcW w:w="1456" w:type="dxa"/>
            <w:tcBorders>
              <w:top w:val="nil"/>
              <w:left w:val="nil"/>
              <w:bottom w:val="single" w:sz="4" w:space="0" w:color="auto"/>
              <w:right w:val="single" w:sz="4" w:space="0" w:color="auto"/>
            </w:tcBorders>
            <w:vAlign w:val="bottom"/>
          </w:tcPr>
          <w:p w:rsidR="00477B11" w:rsidRPr="000773A9" w:rsidRDefault="00477B11" w:rsidP="00A63128">
            <w:pPr>
              <w:ind w:right="255"/>
              <w:jc w:val="right"/>
            </w:pPr>
            <w:r>
              <w:t>2,577,280</w:t>
            </w:r>
          </w:p>
        </w:tc>
      </w:tr>
      <w:tr w:rsidR="00477B11" w:rsidRPr="000773A9" w:rsidTr="00537689">
        <w:trPr>
          <w:trHeight w:val="89"/>
          <w:jc w:val="center"/>
        </w:trPr>
        <w:tc>
          <w:tcPr>
            <w:tcW w:w="2943" w:type="dxa"/>
            <w:tcBorders>
              <w:top w:val="nil"/>
              <w:left w:val="single" w:sz="4" w:space="0" w:color="auto"/>
              <w:bottom w:val="single" w:sz="4" w:space="0" w:color="auto"/>
              <w:right w:val="single" w:sz="4" w:space="0" w:color="auto"/>
            </w:tcBorders>
            <w:vAlign w:val="bottom"/>
          </w:tcPr>
          <w:p w:rsidR="00477B11" w:rsidRPr="000773A9" w:rsidRDefault="00477B11" w:rsidP="00537689">
            <w:pPr>
              <w:rPr>
                <w:b/>
              </w:rPr>
            </w:pPr>
            <w:r w:rsidRPr="000773A9">
              <w:rPr>
                <w:b/>
              </w:rPr>
              <w:t>Total Cost</w:t>
            </w:r>
          </w:p>
        </w:tc>
        <w:tc>
          <w:tcPr>
            <w:tcW w:w="1455" w:type="dxa"/>
            <w:tcBorders>
              <w:top w:val="nil"/>
              <w:left w:val="nil"/>
              <w:bottom w:val="single" w:sz="4" w:space="0" w:color="auto"/>
              <w:right w:val="single" w:sz="4" w:space="0" w:color="auto"/>
            </w:tcBorders>
            <w:noWrap/>
            <w:vAlign w:val="bottom"/>
          </w:tcPr>
          <w:p w:rsidR="00477B11" w:rsidRPr="000773A9" w:rsidRDefault="00477B11" w:rsidP="00A63128">
            <w:pPr>
              <w:ind w:right="255"/>
              <w:jc w:val="right"/>
              <w:rPr>
                <w:b/>
                <w:bCs/>
              </w:rPr>
            </w:pPr>
            <w:r>
              <w:rPr>
                <w:b/>
                <w:bCs/>
              </w:rPr>
              <w:t>$141,076,171</w:t>
            </w:r>
          </w:p>
        </w:tc>
        <w:tc>
          <w:tcPr>
            <w:tcW w:w="1456" w:type="dxa"/>
            <w:tcBorders>
              <w:top w:val="nil"/>
              <w:left w:val="nil"/>
              <w:bottom w:val="single" w:sz="4" w:space="0" w:color="auto"/>
              <w:right w:val="single" w:sz="4" w:space="0" w:color="auto"/>
            </w:tcBorders>
            <w:noWrap/>
            <w:vAlign w:val="bottom"/>
          </w:tcPr>
          <w:p w:rsidR="00477B11" w:rsidRPr="000773A9" w:rsidRDefault="00477B11" w:rsidP="00A4227D">
            <w:pPr>
              <w:ind w:right="255"/>
              <w:jc w:val="right"/>
              <w:rPr>
                <w:b/>
                <w:bCs/>
              </w:rPr>
            </w:pPr>
            <w:r>
              <w:rPr>
                <w:b/>
                <w:bCs/>
              </w:rPr>
              <w:t>$140,497,</w:t>
            </w:r>
            <w:r w:rsidR="00A4227D">
              <w:rPr>
                <w:b/>
                <w:bCs/>
              </w:rPr>
              <w:t>729</w:t>
            </w:r>
          </w:p>
        </w:tc>
        <w:tc>
          <w:tcPr>
            <w:tcW w:w="1455" w:type="dxa"/>
            <w:tcBorders>
              <w:top w:val="nil"/>
              <w:left w:val="nil"/>
              <w:bottom w:val="single" w:sz="4" w:space="0" w:color="auto"/>
              <w:right w:val="single" w:sz="4" w:space="0" w:color="auto"/>
            </w:tcBorders>
            <w:noWrap/>
            <w:vAlign w:val="bottom"/>
          </w:tcPr>
          <w:p w:rsidR="00477B11" w:rsidRPr="000773A9" w:rsidRDefault="00477B11" w:rsidP="00A63128">
            <w:pPr>
              <w:ind w:right="255"/>
              <w:jc w:val="right"/>
              <w:rPr>
                <w:b/>
                <w:bCs/>
              </w:rPr>
            </w:pPr>
            <w:r>
              <w:rPr>
                <w:b/>
                <w:bCs/>
              </w:rPr>
              <w:t>$139,921,717</w:t>
            </w:r>
          </w:p>
        </w:tc>
        <w:tc>
          <w:tcPr>
            <w:tcW w:w="1456" w:type="dxa"/>
            <w:tcBorders>
              <w:top w:val="nil"/>
              <w:left w:val="nil"/>
              <w:bottom w:val="single" w:sz="4" w:space="0" w:color="auto"/>
              <w:right w:val="single" w:sz="4" w:space="0" w:color="auto"/>
            </w:tcBorders>
            <w:vAlign w:val="bottom"/>
          </w:tcPr>
          <w:p w:rsidR="00477B11" w:rsidRPr="000773A9" w:rsidRDefault="00477B11" w:rsidP="00A63128">
            <w:pPr>
              <w:ind w:right="255"/>
              <w:jc w:val="right"/>
              <w:rPr>
                <w:b/>
                <w:bCs/>
              </w:rPr>
            </w:pPr>
            <w:r>
              <w:rPr>
                <w:b/>
                <w:bCs/>
              </w:rPr>
              <w:t>$140,498,539</w:t>
            </w:r>
          </w:p>
        </w:tc>
      </w:tr>
    </w:tbl>
    <w:p w:rsidR="00537689" w:rsidRPr="000773A9" w:rsidRDefault="00537689" w:rsidP="00537689">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1492"/>
        <w:gridCol w:w="1409"/>
        <w:gridCol w:w="1513"/>
        <w:gridCol w:w="1216"/>
        <w:gridCol w:w="990"/>
      </w:tblGrid>
      <w:tr w:rsidR="00537689" w:rsidRPr="000773A9" w:rsidTr="00DF24BA">
        <w:trPr>
          <w:jc w:val="center"/>
        </w:trPr>
        <w:tc>
          <w:tcPr>
            <w:tcW w:w="9774" w:type="dxa"/>
            <w:gridSpan w:val="6"/>
            <w:tcBorders>
              <w:top w:val="nil"/>
              <w:left w:val="nil"/>
              <w:right w:val="nil"/>
            </w:tcBorders>
          </w:tcPr>
          <w:p w:rsidR="00537689" w:rsidRPr="000773A9" w:rsidRDefault="00537689" w:rsidP="00537689">
            <w:pPr>
              <w:keepNext/>
              <w:ind w:firstLine="720"/>
              <w:jc w:val="center"/>
              <w:rPr>
                <w:b/>
                <w:bCs/>
              </w:rPr>
            </w:pPr>
            <w:bookmarkStart w:id="22" w:name="_Ref271805915"/>
            <w:r w:rsidRPr="000773A9">
              <w:rPr>
                <w:b/>
                <w:bCs/>
              </w:rPr>
              <w:lastRenderedPageBreak/>
              <w:t>Exhibit 6.</w:t>
            </w:r>
            <w:r w:rsidRPr="000773A9">
              <w:rPr>
                <w:b/>
                <w:bCs/>
              </w:rPr>
              <w:fldChar w:fldCharType="begin"/>
            </w:r>
            <w:r w:rsidRPr="000773A9">
              <w:rPr>
                <w:b/>
                <w:bCs/>
              </w:rPr>
              <w:instrText xml:space="preserve"> SEQ Exhibit_6. \* ARABIC </w:instrText>
            </w:r>
            <w:r w:rsidRPr="000773A9">
              <w:rPr>
                <w:b/>
                <w:bCs/>
              </w:rPr>
              <w:fldChar w:fldCharType="separate"/>
            </w:r>
            <w:r w:rsidR="00D067A1">
              <w:rPr>
                <w:b/>
                <w:bCs/>
                <w:noProof/>
              </w:rPr>
              <w:t>20</w:t>
            </w:r>
            <w:r w:rsidRPr="000773A9">
              <w:rPr>
                <w:b/>
                <w:bCs/>
              </w:rPr>
              <w:fldChar w:fldCharType="end"/>
            </w:r>
            <w:bookmarkEnd w:id="22"/>
            <w:r w:rsidRPr="000773A9">
              <w:rPr>
                <w:b/>
                <w:bCs/>
              </w:rPr>
              <w:t>: Respondent Summary, Three-Year Average</w:t>
            </w:r>
          </w:p>
          <w:p w:rsidR="00537689" w:rsidRPr="000773A9" w:rsidRDefault="00537689" w:rsidP="00537689">
            <w:pPr>
              <w:keepNext/>
              <w:ind w:firstLine="720"/>
              <w:rPr>
                <w:b/>
                <w:bCs/>
              </w:rPr>
            </w:pPr>
          </w:p>
        </w:tc>
      </w:tr>
      <w:tr w:rsidR="00537689" w:rsidRPr="000773A9" w:rsidTr="00605909">
        <w:trPr>
          <w:jc w:val="center"/>
        </w:trPr>
        <w:tc>
          <w:tcPr>
            <w:tcW w:w="3013" w:type="dxa"/>
          </w:tcPr>
          <w:p w:rsidR="00537689" w:rsidRPr="000773A9" w:rsidRDefault="00627164" w:rsidP="00537689">
            <w:pPr>
              <w:keepNext/>
              <w:ind w:firstLine="125"/>
              <w:rPr>
                <w:b/>
                <w:szCs w:val="16"/>
              </w:rPr>
            </w:pPr>
            <w:r w:rsidRPr="000773A9">
              <w:rPr>
                <w:b/>
                <w:szCs w:val="16"/>
              </w:rPr>
              <w:t>Type of Respondent</w:t>
            </w:r>
          </w:p>
        </w:tc>
        <w:tc>
          <w:tcPr>
            <w:tcW w:w="1526" w:type="dxa"/>
          </w:tcPr>
          <w:p w:rsidR="00537689" w:rsidRPr="000773A9" w:rsidRDefault="00537689" w:rsidP="00537689">
            <w:pPr>
              <w:keepNext/>
              <w:ind w:left="12"/>
              <w:jc w:val="center"/>
              <w:rPr>
                <w:b/>
                <w:szCs w:val="16"/>
              </w:rPr>
            </w:pPr>
            <w:r w:rsidRPr="000773A9">
              <w:rPr>
                <w:b/>
                <w:szCs w:val="16"/>
              </w:rPr>
              <w:t>Number of Small Respondents</w:t>
            </w:r>
            <w:r w:rsidR="00DF24BA">
              <w:rPr>
                <w:b/>
                <w:szCs w:val="16"/>
              </w:rPr>
              <w:t xml:space="preserve"> </w:t>
            </w:r>
            <w:r w:rsidR="00DF24BA" w:rsidRPr="00DF24BA">
              <w:rPr>
                <w:b/>
                <w:szCs w:val="16"/>
                <w:vertAlign w:val="superscript"/>
              </w:rPr>
              <w:t>a</w:t>
            </w:r>
          </w:p>
        </w:tc>
        <w:tc>
          <w:tcPr>
            <w:tcW w:w="1427" w:type="dxa"/>
          </w:tcPr>
          <w:p w:rsidR="00537689" w:rsidRPr="000773A9" w:rsidRDefault="00537689" w:rsidP="00537689">
            <w:pPr>
              <w:keepNext/>
              <w:ind w:left="12"/>
              <w:jc w:val="center"/>
              <w:rPr>
                <w:b/>
                <w:szCs w:val="16"/>
              </w:rPr>
            </w:pPr>
            <w:r w:rsidRPr="000773A9">
              <w:rPr>
                <w:b/>
                <w:szCs w:val="16"/>
              </w:rPr>
              <w:t>Number of Respondents</w:t>
            </w:r>
            <w:r w:rsidR="00DF24BA" w:rsidRPr="00DF24BA">
              <w:rPr>
                <w:b/>
                <w:szCs w:val="16"/>
                <w:vertAlign w:val="superscript"/>
              </w:rPr>
              <w:t xml:space="preserve"> a</w:t>
            </w:r>
          </w:p>
        </w:tc>
        <w:tc>
          <w:tcPr>
            <w:tcW w:w="1566" w:type="dxa"/>
          </w:tcPr>
          <w:p w:rsidR="00537689" w:rsidRPr="000773A9" w:rsidRDefault="00537689" w:rsidP="00537689">
            <w:pPr>
              <w:keepNext/>
              <w:ind w:left="12"/>
              <w:jc w:val="center"/>
              <w:rPr>
                <w:b/>
                <w:szCs w:val="16"/>
              </w:rPr>
            </w:pPr>
            <w:r w:rsidRPr="000773A9">
              <w:rPr>
                <w:b/>
                <w:szCs w:val="16"/>
              </w:rPr>
              <w:t>Responses per Respondent</w:t>
            </w:r>
          </w:p>
        </w:tc>
        <w:tc>
          <w:tcPr>
            <w:tcW w:w="1252" w:type="dxa"/>
          </w:tcPr>
          <w:p w:rsidR="00537689" w:rsidRPr="000773A9" w:rsidRDefault="00537689" w:rsidP="00537689">
            <w:pPr>
              <w:keepNext/>
              <w:ind w:left="12"/>
              <w:jc w:val="center"/>
              <w:rPr>
                <w:b/>
                <w:szCs w:val="16"/>
              </w:rPr>
            </w:pPr>
            <w:r w:rsidRPr="000773A9">
              <w:rPr>
                <w:b/>
                <w:szCs w:val="16"/>
              </w:rPr>
              <w:t>Burden per Response (hours)</w:t>
            </w:r>
          </w:p>
        </w:tc>
        <w:tc>
          <w:tcPr>
            <w:tcW w:w="990" w:type="dxa"/>
          </w:tcPr>
          <w:p w:rsidR="00537689" w:rsidRPr="000773A9" w:rsidRDefault="00537689" w:rsidP="00537689">
            <w:pPr>
              <w:keepNext/>
              <w:ind w:left="12"/>
              <w:jc w:val="center"/>
              <w:rPr>
                <w:b/>
                <w:szCs w:val="16"/>
              </w:rPr>
            </w:pPr>
            <w:r w:rsidRPr="000773A9">
              <w:rPr>
                <w:b/>
                <w:szCs w:val="16"/>
              </w:rPr>
              <w:t>Annual Burden</w:t>
            </w:r>
          </w:p>
        </w:tc>
      </w:tr>
      <w:tr w:rsidR="003063A3" w:rsidRPr="000773A9" w:rsidTr="00605909">
        <w:trPr>
          <w:jc w:val="center"/>
        </w:trPr>
        <w:tc>
          <w:tcPr>
            <w:tcW w:w="3013" w:type="dxa"/>
            <w:vAlign w:val="bottom"/>
          </w:tcPr>
          <w:p w:rsidR="003063A3" w:rsidRPr="000773A9" w:rsidRDefault="003063A3" w:rsidP="00262D85">
            <w:pPr>
              <w:keepNext/>
              <w:rPr>
                <w:szCs w:val="16"/>
              </w:rPr>
            </w:pPr>
            <w:r w:rsidRPr="000773A9">
              <w:rPr>
                <w:szCs w:val="16"/>
              </w:rPr>
              <w:t xml:space="preserve">1. </w:t>
            </w:r>
            <w:r w:rsidRPr="00DF24BA">
              <w:t xml:space="preserve">Contractors Working in </w:t>
            </w:r>
            <w:r w:rsidR="00262D85">
              <w:t>Owner-</w:t>
            </w:r>
            <w:r w:rsidRPr="00DF24BA">
              <w:t>Occupied Target Housing</w:t>
            </w:r>
            <w:r w:rsidRPr="000773A9">
              <w:rPr>
                <w:szCs w:val="16"/>
              </w:rPr>
              <w:t xml:space="preserve"> </w:t>
            </w:r>
            <w:r>
              <w:rPr>
                <w:szCs w:val="16"/>
              </w:rPr>
              <w:t xml:space="preserve"> (</w:t>
            </w:r>
            <w:r w:rsidRPr="00DF24BA">
              <w:rPr>
                <w:i/>
                <w:szCs w:val="16"/>
              </w:rPr>
              <w:t>Private Firms</w:t>
            </w:r>
            <w:r>
              <w:rPr>
                <w:szCs w:val="16"/>
              </w:rPr>
              <w:t>)</w:t>
            </w:r>
          </w:p>
        </w:tc>
        <w:tc>
          <w:tcPr>
            <w:tcW w:w="1526" w:type="dxa"/>
            <w:tcMar>
              <w:left w:w="14" w:type="dxa"/>
              <w:right w:w="173" w:type="dxa"/>
            </w:tcMar>
            <w:vAlign w:val="bottom"/>
          </w:tcPr>
          <w:p w:rsidR="003063A3" w:rsidRPr="000773A9" w:rsidRDefault="003063A3" w:rsidP="00A63128">
            <w:pPr>
              <w:keepNext/>
              <w:ind w:right="299"/>
              <w:jc w:val="right"/>
            </w:pPr>
            <w:r>
              <w:t>276,119</w:t>
            </w:r>
          </w:p>
        </w:tc>
        <w:tc>
          <w:tcPr>
            <w:tcW w:w="1427" w:type="dxa"/>
            <w:tcMar>
              <w:left w:w="14" w:type="dxa"/>
              <w:right w:w="173" w:type="dxa"/>
            </w:tcMar>
            <w:vAlign w:val="bottom"/>
          </w:tcPr>
          <w:p w:rsidR="003063A3" w:rsidRPr="000773A9" w:rsidRDefault="003063A3" w:rsidP="00A63128">
            <w:pPr>
              <w:keepNext/>
              <w:ind w:right="299"/>
              <w:jc w:val="right"/>
            </w:pPr>
            <w:r>
              <w:t>278,183</w:t>
            </w:r>
          </w:p>
        </w:tc>
        <w:tc>
          <w:tcPr>
            <w:tcW w:w="1566" w:type="dxa"/>
            <w:vAlign w:val="bottom"/>
          </w:tcPr>
          <w:p w:rsidR="003063A3" w:rsidRPr="000773A9" w:rsidRDefault="003063A3" w:rsidP="00537689">
            <w:pPr>
              <w:keepNext/>
              <w:jc w:val="center"/>
            </w:pPr>
            <w:r>
              <w:t>19.30239</w:t>
            </w:r>
          </w:p>
        </w:tc>
        <w:tc>
          <w:tcPr>
            <w:tcW w:w="1252" w:type="dxa"/>
            <w:shd w:val="clear" w:color="auto" w:fill="auto"/>
            <w:vAlign w:val="bottom"/>
          </w:tcPr>
          <w:p w:rsidR="003063A3" w:rsidRPr="000773A9" w:rsidRDefault="003063A3" w:rsidP="00537689">
            <w:pPr>
              <w:keepNext/>
              <w:jc w:val="center"/>
            </w:pPr>
            <w:r>
              <w:t>0.182</w:t>
            </w:r>
          </w:p>
        </w:tc>
        <w:tc>
          <w:tcPr>
            <w:tcW w:w="990" w:type="dxa"/>
            <w:shd w:val="clear" w:color="auto" w:fill="auto"/>
            <w:tcMar>
              <w:left w:w="14" w:type="dxa"/>
              <w:right w:w="173" w:type="dxa"/>
            </w:tcMar>
            <w:vAlign w:val="bottom"/>
          </w:tcPr>
          <w:p w:rsidR="003063A3" w:rsidRPr="000773A9" w:rsidRDefault="003063A3" w:rsidP="00A63128">
            <w:pPr>
              <w:keepNext/>
              <w:jc w:val="right"/>
            </w:pPr>
            <w:r>
              <w:t>977,267</w:t>
            </w:r>
          </w:p>
        </w:tc>
      </w:tr>
      <w:tr w:rsidR="003063A3" w:rsidRPr="000773A9" w:rsidTr="00605909">
        <w:trPr>
          <w:jc w:val="center"/>
        </w:trPr>
        <w:tc>
          <w:tcPr>
            <w:tcW w:w="3013" w:type="dxa"/>
            <w:vAlign w:val="bottom"/>
          </w:tcPr>
          <w:p w:rsidR="003063A3" w:rsidRPr="000773A9" w:rsidRDefault="003063A3" w:rsidP="00FB309F">
            <w:pPr>
              <w:keepNext/>
              <w:rPr>
                <w:szCs w:val="16"/>
              </w:rPr>
            </w:pPr>
            <w:r w:rsidRPr="000773A9">
              <w:rPr>
                <w:szCs w:val="16"/>
              </w:rPr>
              <w:t>2.</w:t>
            </w:r>
            <w:r w:rsidRPr="00DF24BA">
              <w:t xml:space="preserve"> Contractors Working in </w:t>
            </w:r>
            <w:r>
              <w:t xml:space="preserve">Occupied </w:t>
            </w:r>
            <w:r w:rsidRPr="00DF24BA">
              <w:t>Target Housing</w:t>
            </w:r>
            <w:r>
              <w:t xml:space="preserve"> Rental </w:t>
            </w:r>
            <w:r w:rsidRPr="00DF24BA">
              <w:t>Unit</w:t>
            </w:r>
            <w:r>
              <w:t xml:space="preserve">s </w:t>
            </w:r>
            <w:r>
              <w:rPr>
                <w:szCs w:val="16"/>
              </w:rPr>
              <w:t>(</w:t>
            </w:r>
            <w:r w:rsidRPr="00DF24BA">
              <w:rPr>
                <w:i/>
                <w:szCs w:val="16"/>
              </w:rPr>
              <w:t>Private Firms</w:t>
            </w:r>
            <w:r>
              <w:rPr>
                <w:szCs w:val="16"/>
              </w:rPr>
              <w:t>)</w:t>
            </w:r>
          </w:p>
        </w:tc>
        <w:tc>
          <w:tcPr>
            <w:tcW w:w="1526" w:type="dxa"/>
            <w:tcMar>
              <w:left w:w="14" w:type="dxa"/>
              <w:right w:w="173" w:type="dxa"/>
            </w:tcMar>
            <w:vAlign w:val="bottom"/>
          </w:tcPr>
          <w:p w:rsidR="003063A3" w:rsidRPr="000773A9" w:rsidRDefault="003063A3" w:rsidP="00A63128">
            <w:pPr>
              <w:keepNext/>
              <w:ind w:right="299"/>
              <w:jc w:val="right"/>
            </w:pPr>
            <w:r>
              <w:t>276,119</w:t>
            </w:r>
          </w:p>
        </w:tc>
        <w:tc>
          <w:tcPr>
            <w:tcW w:w="1427" w:type="dxa"/>
            <w:tcMar>
              <w:left w:w="14" w:type="dxa"/>
              <w:right w:w="173" w:type="dxa"/>
            </w:tcMar>
            <w:vAlign w:val="bottom"/>
          </w:tcPr>
          <w:p w:rsidR="003063A3" w:rsidRPr="000773A9" w:rsidRDefault="003063A3" w:rsidP="00A63128">
            <w:pPr>
              <w:keepNext/>
              <w:ind w:right="299"/>
              <w:jc w:val="right"/>
            </w:pPr>
            <w:r>
              <w:t>278,183</w:t>
            </w:r>
          </w:p>
        </w:tc>
        <w:tc>
          <w:tcPr>
            <w:tcW w:w="1566" w:type="dxa"/>
            <w:vAlign w:val="bottom"/>
          </w:tcPr>
          <w:p w:rsidR="003063A3" w:rsidRPr="000773A9" w:rsidRDefault="003063A3" w:rsidP="00537689">
            <w:pPr>
              <w:keepNext/>
              <w:jc w:val="center"/>
            </w:pPr>
            <w:r>
              <w:t>5.20296</w:t>
            </w:r>
          </w:p>
        </w:tc>
        <w:tc>
          <w:tcPr>
            <w:tcW w:w="1252" w:type="dxa"/>
            <w:shd w:val="clear" w:color="auto" w:fill="auto"/>
            <w:vAlign w:val="bottom"/>
          </w:tcPr>
          <w:p w:rsidR="003063A3" w:rsidRPr="000773A9" w:rsidRDefault="003063A3" w:rsidP="00537689">
            <w:pPr>
              <w:keepNext/>
              <w:jc w:val="center"/>
            </w:pPr>
            <w:r>
              <w:t>0.281</w:t>
            </w:r>
          </w:p>
        </w:tc>
        <w:tc>
          <w:tcPr>
            <w:tcW w:w="990" w:type="dxa"/>
            <w:shd w:val="clear" w:color="auto" w:fill="auto"/>
            <w:tcMar>
              <w:left w:w="14" w:type="dxa"/>
              <w:right w:w="173" w:type="dxa"/>
            </w:tcMar>
            <w:vAlign w:val="bottom"/>
          </w:tcPr>
          <w:p w:rsidR="003063A3" w:rsidRPr="000773A9" w:rsidRDefault="003063A3" w:rsidP="00A63128">
            <w:pPr>
              <w:keepNext/>
              <w:jc w:val="right"/>
            </w:pPr>
            <w:r>
              <w:t>406,712</w:t>
            </w:r>
          </w:p>
        </w:tc>
      </w:tr>
      <w:tr w:rsidR="003063A3" w:rsidRPr="000773A9" w:rsidTr="00605909">
        <w:trPr>
          <w:jc w:val="center"/>
        </w:trPr>
        <w:tc>
          <w:tcPr>
            <w:tcW w:w="3013" w:type="dxa"/>
            <w:vAlign w:val="bottom"/>
          </w:tcPr>
          <w:p w:rsidR="003063A3" w:rsidRPr="000773A9" w:rsidRDefault="003063A3" w:rsidP="00627164">
            <w:pPr>
              <w:keepNext/>
              <w:rPr>
                <w:szCs w:val="16"/>
              </w:rPr>
            </w:pPr>
            <w:r w:rsidRPr="000773A9">
              <w:rPr>
                <w:szCs w:val="16"/>
              </w:rPr>
              <w:t xml:space="preserve">3. </w:t>
            </w:r>
            <w:r w:rsidRPr="00DF24BA">
              <w:t xml:space="preserve">Contractors Working in </w:t>
            </w:r>
            <w:r>
              <w:t xml:space="preserve">Vacant </w:t>
            </w:r>
            <w:r w:rsidRPr="00DF24BA">
              <w:t>Target Housing</w:t>
            </w:r>
            <w:r>
              <w:t xml:space="preserve"> </w:t>
            </w:r>
            <w:r w:rsidRPr="00DF24BA">
              <w:t>Rental Unit</w:t>
            </w:r>
            <w:r>
              <w:t>s</w:t>
            </w:r>
            <w:r w:rsidRPr="00DF24BA">
              <w:t xml:space="preserve"> </w:t>
            </w:r>
            <w:r>
              <w:t xml:space="preserve">and </w:t>
            </w:r>
            <w:r w:rsidRPr="00281325">
              <w:t>Common</w:t>
            </w:r>
            <w:r w:rsidRPr="00DF24BA">
              <w:t xml:space="preserve"> Areas</w:t>
            </w:r>
            <w:r>
              <w:rPr>
                <w:i/>
              </w:rPr>
              <w:t xml:space="preserve"> </w:t>
            </w:r>
            <w:r>
              <w:rPr>
                <w:szCs w:val="16"/>
              </w:rPr>
              <w:t>(</w:t>
            </w:r>
            <w:r w:rsidRPr="00DF24BA">
              <w:rPr>
                <w:i/>
                <w:szCs w:val="16"/>
              </w:rPr>
              <w:t>Private Firms</w:t>
            </w:r>
            <w:r>
              <w:rPr>
                <w:szCs w:val="16"/>
              </w:rPr>
              <w:t>)</w:t>
            </w:r>
          </w:p>
        </w:tc>
        <w:tc>
          <w:tcPr>
            <w:tcW w:w="1526" w:type="dxa"/>
            <w:tcMar>
              <w:left w:w="14" w:type="dxa"/>
              <w:right w:w="173" w:type="dxa"/>
            </w:tcMar>
            <w:vAlign w:val="bottom"/>
          </w:tcPr>
          <w:p w:rsidR="003063A3" w:rsidRPr="000773A9" w:rsidRDefault="003063A3" w:rsidP="00A63128">
            <w:pPr>
              <w:keepNext/>
              <w:ind w:right="299"/>
              <w:jc w:val="right"/>
            </w:pPr>
            <w:r>
              <w:t>276,119</w:t>
            </w:r>
          </w:p>
        </w:tc>
        <w:tc>
          <w:tcPr>
            <w:tcW w:w="1427" w:type="dxa"/>
            <w:tcMar>
              <w:left w:w="14" w:type="dxa"/>
              <w:right w:w="173" w:type="dxa"/>
            </w:tcMar>
            <w:vAlign w:val="bottom"/>
          </w:tcPr>
          <w:p w:rsidR="003063A3" w:rsidRPr="000773A9" w:rsidRDefault="003063A3" w:rsidP="00A63128">
            <w:pPr>
              <w:keepNext/>
              <w:ind w:right="299"/>
              <w:jc w:val="right"/>
            </w:pPr>
            <w:r>
              <w:t>278,183</w:t>
            </w:r>
          </w:p>
        </w:tc>
        <w:tc>
          <w:tcPr>
            <w:tcW w:w="1566" w:type="dxa"/>
            <w:vAlign w:val="bottom"/>
          </w:tcPr>
          <w:p w:rsidR="003063A3" w:rsidRPr="000773A9" w:rsidRDefault="003063A3" w:rsidP="00537689">
            <w:pPr>
              <w:keepNext/>
              <w:jc w:val="center"/>
            </w:pPr>
            <w:r>
              <w:t>15.608870</w:t>
            </w:r>
          </w:p>
        </w:tc>
        <w:tc>
          <w:tcPr>
            <w:tcW w:w="1252" w:type="dxa"/>
            <w:shd w:val="clear" w:color="auto" w:fill="auto"/>
            <w:vAlign w:val="bottom"/>
          </w:tcPr>
          <w:p w:rsidR="003063A3" w:rsidRPr="000773A9" w:rsidRDefault="003063A3" w:rsidP="00537689">
            <w:pPr>
              <w:keepNext/>
              <w:jc w:val="center"/>
            </w:pPr>
            <w:r>
              <w:t>0.265</w:t>
            </w:r>
          </w:p>
        </w:tc>
        <w:tc>
          <w:tcPr>
            <w:tcW w:w="990" w:type="dxa"/>
            <w:shd w:val="clear" w:color="auto" w:fill="auto"/>
            <w:tcMar>
              <w:left w:w="14" w:type="dxa"/>
              <w:right w:w="173" w:type="dxa"/>
            </w:tcMar>
            <w:vAlign w:val="bottom"/>
          </w:tcPr>
          <w:p w:rsidR="003063A3" w:rsidRPr="000773A9" w:rsidRDefault="003063A3" w:rsidP="00A63128">
            <w:pPr>
              <w:keepNext/>
              <w:jc w:val="right"/>
            </w:pPr>
            <w:r>
              <w:t>1,150,662</w:t>
            </w:r>
          </w:p>
        </w:tc>
      </w:tr>
      <w:tr w:rsidR="003063A3" w:rsidRPr="000773A9" w:rsidTr="00605909">
        <w:trPr>
          <w:jc w:val="center"/>
        </w:trPr>
        <w:tc>
          <w:tcPr>
            <w:tcW w:w="3013" w:type="dxa"/>
            <w:vAlign w:val="bottom"/>
          </w:tcPr>
          <w:p w:rsidR="003063A3" w:rsidRPr="000773A9" w:rsidRDefault="003063A3" w:rsidP="00627164">
            <w:pPr>
              <w:keepNext/>
              <w:rPr>
                <w:szCs w:val="16"/>
              </w:rPr>
            </w:pPr>
            <w:r w:rsidRPr="000773A9">
              <w:rPr>
                <w:szCs w:val="16"/>
              </w:rPr>
              <w:t xml:space="preserve">4. </w:t>
            </w:r>
            <w:r w:rsidRPr="00DF24BA">
              <w:t>Contractor</w:t>
            </w:r>
            <w:r w:rsidR="00641E84">
              <w:t>s</w:t>
            </w:r>
            <w:r w:rsidRPr="00DF24BA">
              <w:t xml:space="preserve"> Working in Owner-Occupied COFs or Landlord</w:t>
            </w:r>
            <w:r w:rsidR="00262D85">
              <w:t>s</w:t>
            </w:r>
            <w:r w:rsidRPr="00DF24BA">
              <w:t xml:space="preserve"> Working in Rental COFs </w:t>
            </w:r>
            <w:r>
              <w:rPr>
                <w:szCs w:val="16"/>
              </w:rPr>
              <w:t>(</w:t>
            </w:r>
            <w:r w:rsidRPr="00DF24BA">
              <w:rPr>
                <w:i/>
                <w:szCs w:val="16"/>
              </w:rPr>
              <w:t>Private Firms</w:t>
            </w:r>
            <w:r>
              <w:rPr>
                <w:szCs w:val="16"/>
              </w:rPr>
              <w:t>)</w:t>
            </w:r>
          </w:p>
        </w:tc>
        <w:tc>
          <w:tcPr>
            <w:tcW w:w="1526" w:type="dxa"/>
            <w:tcMar>
              <w:left w:w="14" w:type="dxa"/>
              <w:right w:w="173" w:type="dxa"/>
            </w:tcMar>
            <w:vAlign w:val="bottom"/>
          </w:tcPr>
          <w:p w:rsidR="003063A3" w:rsidRPr="000773A9" w:rsidRDefault="003063A3" w:rsidP="00A63128">
            <w:pPr>
              <w:ind w:right="299"/>
              <w:jc w:val="right"/>
            </w:pPr>
            <w:r>
              <w:t>15,242</w:t>
            </w:r>
          </w:p>
        </w:tc>
        <w:tc>
          <w:tcPr>
            <w:tcW w:w="1427" w:type="dxa"/>
            <w:tcMar>
              <w:left w:w="14" w:type="dxa"/>
              <w:right w:w="173" w:type="dxa"/>
            </w:tcMar>
            <w:vAlign w:val="bottom"/>
          </w:tcPr>
          <w:p w:rsidR="003063A3" w:rsidRPr="000773A9" w:rsidRDefault="003063A3" w:rsidP="00A63128">
            <w:pPr>
              <w:ind w:right="299"/>
              <w:jc w:val="right"/>
            </w:pPr>
            <w:r>
              <w:t>16,367</w:t>
            </w:r>
          </w:p>
        </w:tc>
        <w:tc>
          <w:tcPr>
            <w:tcW w:w="1566" w:type="dxa"/>
            <w:vAlign w:val="bottom"/>
          </w:tcPr>
          <w:p w:rsidR="003063A3" w:rsidRPr="000773A9" w:rsidRDefault="003063A3" w:rsidP="00537689">
            <w:pPr>
              <w:jc w:val="center"/>
            </w:pPr>
            <w:r>
              <w:t>6.95589</w:t>
            </w:r>
          </w:p>
        </w:tc>
        <w:tc>
          <w:tcPr>
            <w:tcW w:w="1252" w:type="dxa"/>
            <w:shd w:val="clear" w:color="auto" w:fill="auto"/>
            <w:vAlign w:val="bottom"/>
          </w:tcPr>
          <w:p w:rsidR="003063A3" w:rsidRPr="000773A9" w:rsidRDefault="003063A3" w:rsidP="00537689">
            <w:pPr>
              <w:jc w:val="center"/>
            </w:pPr>
            <w:r>
              <w:t>0.265</w:t>
            </w:r>
          </w:p>
        </w:tc>
        <w:tc>
          <w:tcPr>
            <w:tcW w:w="990" w:type="dxa"/>
            <w:shd w:val="clear" w:color="auto" w:fill="auto"/>
            <w:tcMar>
              <w:left w:w="14" w:type="dxa"/>
              <w:right w:w="173" w:type="dxa"/>
            </w:tcMar>
            <w:vAlign w:val="bottom"/>
          </w:tcPr>
          <w:p w:rsidR="003063A3" w:rsidRPr="000773A9" w:rsidRDefault="003063A3" w:rsidP="00A63128">
            <w:pPr>
              <w:jc w:val="right"/>
            </w:pPr>
            <w:r>
              <w:t>30,169</w:t>
            </w:r>
          </w:p>
        </w:tc>
      </w:tr>
      <w:tr w:rsidR="003063A3" w:rsidRPr="000773A9" w:rsidTr="00605909">
        <w:trPr>
          <w:jc w:val="center"/>
        </w:trPr>
        <w:tc>
          <w:tcPr>
            <w:tcW w:w="3013" w:type="dxa"/>
            <w:vAlign w:val="bottom"/>
          </w:tcPr>
          <w:p w:rsidR="003063A3" w:rsidRPr="000773A9" w:rsidRDefault="003063A3" w:rsidP="00627164">
            <w:pPr>
              <w:keepNext/>
              <w:rPr>
                <w:szCs w:val="16"/>
              </w:rPr>
            </w:pPr>
            <w:r w:rsidRPr="000773A9">
              <w:rPr>
                <w:szCs w:val="16"/>
              </w:rPr>
              <w:t xml:space="preserve">5. </w:t>
            </w:r>
            <w:r w:rsidRPr="00DF24BA">
              <w:t>Contractor</w:t>
            </w:r>
            <w:r w:rsidR="00641E84">
              <w:t>s</w:t>
            </w:r>
            <w:r w:rsidRPr="00DF24BA">
              <w:t xml:space="preserve"> Working in Rental COFs</w:t>
            </w:r>
            <w:r>
              <w:t xml:space="preserve"> </w:t>
            </w:r>
            <w:r>
              <w:rPr>
                <w:szCs w:val="16"/>
              </w:rPr>
              <w:t>(</w:t>
            </w:r>
            <w:r w:rsidRPr="00DF24BA">
              <w:rPr>
                <w:i/>
                <w:szCs w:val="16"/>
              </w:rPr>
              <w:t>Private Firms</w:t>
            </w:r>
            <w:r>
              <w:rPr>
                <w:szCs w:val="16"/>
              </w:rPr>
              <w:t>)</w:t>
            </w:r>
          </w:p>
        </w:tc>
        <w:tc>
          <w:tcPr>
            <w:tcW w:w="1526" w:type="dxa"/>
            <w:tcMar>
              <w:left w:w="14" w:type="dxa"/>
              <w:right w:w="173" w:type="dxa"/>
            </w:tcMar>
            <w:vAlign w:val="bottom"/>
          </w:tcPr>
          <w:p w:rsidR="003063A3" w:rsidRPr="000773A9" w:rsidRDefault="003063A3" w:rsidP="00A63128">
            <w:pPr>
              <w:ind w:right="299"/>
              <w:jc w:val="right"/>
            </w:pPr>
            <w:r>
              <w:t>3,137</w:t>
            </w:r>
          </w:p>
        </w:tc>
        <w:tc>
          <w:tcPr>
            <w:tcW w:w="1427" w:type="dxa"/>
            <w:tcMar>
              <w:left w:w="14" w:type="dxa"/>
              <w:right w:w="173" w:type="dxa"/>
            </w:tcMar>
            <w:vAlign w:val="bottom"/>
          </w:tcPr>
          <w:p w:rsidR="003063A3" w:rsidRPr="000773A9" w:rsidRDefault="003063A3" w:rsidP="00A63128">
            <w:pPr>
              <w:ind w:right="299"/>
              <w:jc w:val="right"/>
            </w:pPr>
            <w:r>
              <w:t>3,197</w:t>
            </w:r>
          </w:p>
        </w:tc>
        <w:tc>
          <w:tcPr>
            <w:tcW w:w="1566" w:type="dxa"/>
            <w:vAlign w:val="bottom"/>
          </w:tcPr>
          <w:p w:rsidR="003063A3" w:rsidRPr="000773A9" w:rsidRDefault="003063A3" w:rsidP="00537689">
            <w:pPr>
              <w:jc w:val="center"/>
            </w:pPr>
            <w:r>
              <w:t>1.944010</w:t>
            </w:r>
          </w:p>
        </w:tc>
        <w:tc>
          <w:tcPr>
            <w:tcW w:w="1252" w:type="dxa"/>
            <w:shd w:val="clear" w:color="auto" w:fill="auto"/>
            <w:vAlign w:val="bottom"/>
          </w:tcPr>
          <w:p w:rsidR="003063A3" w:rsidRPr="000773A9" w:rsidRDefault="003063A3" w:rsidP="00537689">
            <w:pPr>
              <w:jc w:val="center"/>
            </w:pPr>
            <w:r>
              <w:t>0.364</w:t>
            </w:r>
          </w:p>
        </w:tc>
        <w:tc>
          <w:tcPr>
            <w:tcW w:w="990" w:type="dxa"/>
            <w:shd w:val="clear" w:color="auto" w:fill="auto"/>
            <w:tcMar>
              <w:left w:w="14" w:type="dxa"/>
              <w:right w:w="173" w:type="dxa"/>
            </w:tcMar>
            <w:vAlign w:val="bottom"/>
          </w:tcPr>
          <w:p w:rsidR="003063A3" w:rsidRPr="000773A9" w:rsidRDefault="003063A3" w:rsidP="00A63128">
            <w:pPr>
              <w:jc w:val="right"/>
            </w:pPr>
            <w:r>
              <w:t>2,262</w:t>
            </w:r>
          </w:p>
        </w:tc>
      </w:tr>
      <w:tr w:rsidR="003063A3" w:rsidRPr="000773A9" w:rsidTr="00605909">
        <w:trPr>
          <w:jc w:val="center"/>
        </w:trPr>
        <w:tc>
          <w:tcPr>
            <w:tcW w:w="3013" w:type="dxa"/>
            <w:vAlign w:val="bottom"/>
          </w:tcPr>
          <w:p w:rsidR="003063A3" w:rsidRPr="00DF24BA" w:rsidRDefault="003063A3" w:rsidP="00430C2C">
            <w:pPr>
              <w:keepNext/>
              <w:rPr>
                <w:szCs w:val="16"/>
              </w:rPr>
            </w:pPr>
            <w:r w:rsidRPr="000773A9">
              <w:rPr>
                <w:szCs w:val="16"/>
              </w:rPr>
              <w:t>6. </w:t>
            </w:r>
            <w:r w:rsidRPr="00DF24BA">
              <w:t>In-House COF Events</w:t>
            </w:r>
            <w:r w:rsidRPr="000773A9">
              <w:rPr>
                <w:szCs w:val="16"/>
              </w:rPr>
              <w:t xml:space="preserve"> </w:t>
            </w:r>
            <w:r>
              <w:rPr>
                <w:szCs w:val="16"/>
              </w:rPr>
              <w:t>(</w:t>
            </w:r>
            <w:r w:rsidRPr="00DF24BA">
              <w:rPr>
                <w:i/>
                <w:szCs w:val="16"/>
              </w:rPr>
              <w:t xml:space="preserve">Private Firms – Schools </w:t>
            </w:r>
            <w:r w:rsidR="00430C2C">
              <w:rPr>
                <w:i/>
                <w:szCs w:val="16"/>
              </w:rPr>
              <w:t>and</w:t>
            </w:r>
            <w:r w:rsidRPr="00DF24BA">
              <w:rPr>
                <w:i/>
                <w:szCs w:val="16"/>
              </w:rPr>
              <w:t xml:space="preserve"> Daycare Centers</w:t>
            </w:r>
            <w:r>
              <w:rPr>
                <w:szCs w:val="16"/>
              </w:rPr>
              <w:t>)</w:t>
            </w:r>
          </w:p>
        </w:tc>
        <w:tc>
          <w:tcPr>
            <w:tcW w:w="1526" w:type="dxa"/>
            <w:tcMar>
              <w:left w:w="14" w:type="dxa"/>
              <w:right w:w="173" w:type="dxa"/>
            </w:tcMar>
            <w:vAlign w:val="bottom"/>
          </w:tcPr>
          <w:p w:rsidR="003063A3" w:rsidRPr="000773A9" w:rsidRDefault="003063A3" w:rsidP="00A63128">
            <w:pPr>
              <w:ind w:right="299"/>
              <w:jc w:val="right"/>
            </w:pPr>
            <w:r>
              <w:t>18,236</w:t>
            </w:r>
          </w:p>
        </w:tc>
        <w:tc>
          <w:tcPr>
            <w:tcW w:w="1427" w:type="dxa"/>
            <w:tcMar>
              <w:left w:w="14" w:type="dxa"/>
              <w:right w:w="173" w:type="dxa"/>
            </w:tcMar>
            <w:vAlign w:val="bottom"/>
          </w:tcPr>
          <w:p w:rsidR="003063A3" w:rsidRPr="000773A9" w:rsidRDefault="003063A3" w:rsidP="00A63128">
            <w:pPr>
              <w:ind w:right="299"/>
              <w:jc w:val="right"/>
            </w:pPr>
            <w:r>
              <w:t>18,236</w:t>
            </w:r>
          </w:p>
        </w:tc>
        <w:tc>
          <w:tcPr>
            <w:tcW w:w="1566" w:type="dxa"/>
            <w:vAlign w:val="bottom"/>
          </w:tcPr>
          <w:p w:rsidR="003063A3" w:rsidRPr="000773A9" w:rsidRDefault="003063A3" w:rsidP="00537689">
            <w:pPr>
              <w:jc w:val="center"/>
            </w:pPr>
            <w:r>
              <w:t>1.38255</w:t>
            </w:r>
          </w:p>
        </w:tc>
        <w:tc>
          <w:tcPr>
            <w:tcW w:w="1252" w:type="dxa"/>
            <w:shd w:val="clear" w:color="auto" w:fill="auto"/>
            <w:vAlign w:val="bottom"/>
          </w:tcPr>
          <w:p w:rsidR="003063A3" w:rsidRPr="000773A9" w:rsidRDefault="003063A3" w:rsidP="00537689">
            <w:pPr>
              <w:jc w:val="center"/>
            </w:pPr>
            <w:r>
              <w:t>0.166</w:t>
            </w:r>
          </w:p>
        </w:tc>
        <w:tc>
          <w:tcPr>
            <w:tcW w:w="990" w:type="dxa"/>
            <w:shd w:val="clear" w:color="auto" w:fill="auto"/>
            <w:tcMar>
              <w:left w:w="14" w:type="dxa"/>
              <w:right w:w="173" w:type="dxa"/>
            </w:tcMar>
            <w:vAlign w:val="bottom"/>
          </w:tcPr>
          <w:p w:rsidR="003063A3" w:rsidRPr="000773A9" w:rsidRDefault="003063A3" w:rsidP="00A63128">
            <w:pPr>
              <w:jc w:val="right"/>
            </w:pPr>
            <w:r>
              <w:t>4,185</w:t>
            </w:r>
          </w:p>
        </w:tc>
      </w:tr>
      <w:tr w:rsidR="003063A3" w:rsidRPr="000773A9" w:rsidTr="00605909">
        <w:trPr>
          <w:jc w:val="center"/>
        </w:trPr>
        <w:tc>
          <w:tcPr>
            <w:tcW w:w="3013" w:type="dxa"/>
            <w:vAlign w:val="bottom"/>
          </w:tcPr>
          <w:p w:rsidR="003063A3" w:rsidRDefault="003063A3" w:rsidP="00627164">
            <w:pPr>
              <w:keepNext/>
              <w:rPr>
                <w:szCs w:val="16"/>
              </w:rPr>
            </w:pPr>
            <w:r w:rsidRPr="000773A9">
              <w:rPr>
                <w:szCs w:val="16"/>
              </w:rPr>
              <w:t>7. </w:t>
            </w:r>
            <w:r w:rsidRPr="00DF24BA">
              <w:t>In-House COF Events</w:t>
            </w:r>
            <w:r w:rsidRPr="000773A9">
              <w:rPr>
                <w:szCs w:val="16"/>
              </w:rPr>
              <w:t xml:space="preserve"> </w:t>
            </w:r>
          </w:p>
          <w:p w:rsidR="003063A3" w:rsidRPr="000773A9" w:rsidRDefault="003063A3" w:rsidP="00627164">
            <w:pPr>
              <w:keepNext/>
              <w:rPr>
                <w:szCs w:val="16"/>
              </w:rPr>
            </w:pPr>
            <w:r>
              <w:rPr>
                <w:szCs w:val="16"/>
              </w:rPr>
              <w:t>(</w:t>
            </w:r>
            <w:r w:rsidRPr="00DF24BA">
              <w:rPr>
                <w:i/>
                <w:szCs w:val="16"/>
              </w:rPr>
              <w:t>Local Governments – Schools</w:t>
            </w:r>
            <w:r>
              <w:rPr>
                <w:szCs w:val="16"/>
              </w:rPr>
              <w:t>)</w:t>
            </w:r>
          </w:p>
        </w:tc>
        <w:tc>
          <w:tcPr>
            <w:tcW w:w="1526" w:type="dxa"/>
            <w:tcMar>
              <w:left w:w="14" w:type="dxa"/>
              <w:right w:w="173" w:type="dxa"/>
            </w:tcMar>
            <w:vAlign w:val="bottom"/>
          </w:tcPr>
          <w:p w:rsidR="003063A3" w:rsidRPr="000773A9" w:rsidRDefault="003063A3" w:rsidP="00A63128">
            <w:pPr>
              <w:ind w:right="299"/>
              <w:jc w:val="right"/>
            </w:pPr>
            <w:r>
              <w:t>7,138</w:t>
            </w:r>
          </w:p>
        </w:tc>
        <w:tc>
          <w:tcPr>
            <w:tcW w:w="1427" w:type="dxa"/>
            <w:tcMar>
              <w:left w:w="14" w:type="dxa"/>
              <w:right w:w="173" w:type="dxa"/>
            </w:tcMar>
            <w:vAlign w:val="bottom"/>
          </w:tcPr>
          <w:p w:rsidR="003063A3" w:rsidRPr="000773A9" w:rsidRDefault="003063A3" w:rsidP="00A63128">
            <w:pPr>
              <w:ind w:right="299"/>
              <w:jc w:val="right"/>
            </w:pPr>
            <w:r>
              <w:t>7,718</w:t>
            </w:r>
          </w:p>
        </w:tc>
        <w:tc>
          <w:tcPr>
            <w:tcW w:w="1566" w:type="dxa"/>
            <w:vAlign w:val="bottom"/>
          </w:tcPr>
          <w:p w:rsidR="003063A3" w:rsidRPr="000773A9" w:rsidRDefault="003063A3" w:rsidP="00537689">
            <w:pPr>
              <w:jc w:val="center"/>
            </w:pPr>
            <w:r>
              <w:t>4.70093</w:t>
            </w:r>
          </w:p>
        </w:tc>
        <w:tc>
          <w:tcPr>
            <w:tcW w:w="1252" w:type="dxa"/>
            <w:shd w:val="clear" w:color="auto" w:fill="auto"/>
            <w:vAlign w:val="bottom"/>
          </w:tcPr>
          <w:p w:rsidR="003063A3" w:rsidRPr="000773A9" w:rsidRDefault="003063A3" w:rsidP="00537689">
            <w:pPr>
              <w:jc w:val="center"/>
            </w:pPr>
            <w:r>
              <w:t>0.166</w:t>
            </w:r>
          </w:p>
        </w:tc>
        <w:tc>
          <w:tcPr>
            <w:tcW w:w="990" w:type="dxa"/>
            <w:shd w:val="clear" w:color="auto" w:fill="auto"/>
            <w:tcMar>
              <w:left w:w="14" w:type="dxa"/>
              <w:right w:w="173" w:type="dxa"/>
            </w:tcMar>
            <w:vAlign w:val="bottom"/>
          </w:tcPr>
          <w:p w:rsidR="003063A3" w:rsidRPr="000773A9" w:rsidRDefault="003063A3" w:rsidP="00A63128">
            <w:pPr>
              <w:jc w:val="right"/>
            </w:pPr>
            <w:r>
              <w:t>6,023</w:t>
            </w:r>
          </w:p>
        </w:tc>
      </w:tr>
      <w:tr w:rsidR="003063A3" w:rsidRPr="000773A9" w:rsidTr="00605909">
        <w:trPr>
          <w:jc w:val="center"/>
        </w:trPr>
        <w:tc>
          <w:tcPr>
            <w:tcW w:w="3013" w:type="dxa"/>
            <w:vAlign w:val="bottom"/>
          </w:tcPr>
          <w:p w:rsidR="003063A3" w:rsidRPr="000773A9" w:rsidRDefault="003063A3" w:rsidP="005F3F7C">
            <w:pPr>
              <w:keepNext/>
              <w:rPr>
                <w:b/>
                <w:szCs w:val="16"/>
              </w:rPr>
            </w:pPr>
            <w:r w:rsidRPr="000773A9">
              <w:rPr>
                <w:b/>
                <w:szCs w:val="16"/>
              </w:rPr>
              <w:t>Total</w:t>
            </w:r>
          </w:p>
        </w:tc>
        <w:tc>
          <w:tcPr>
            <w:tcW w:w="1526" w:type="dxa"/>
            <w:tcMar>
              <w:left w:w="14" w:type="dxa"/>
              <w:right w:w="173" w:type="dxa"/>
            </w:tcMar>
            <w:vAlign w:val="bottom"/>
          </w:tcPr>
          <w:p w:rsidR="003063A3" w:rsidRPr="000D7582" w:rsidRDefault="003063A3" w:rsidP="00A63128">
            <w:pPr>
              <w:ind w:right="299"/>
              <w:jc w:val="right"/>
              <w:rPr>
                <w:b/>
              </w:rPr>
            </w:pPr>
            <w:r>
              <w:rPr>
                <w:b/>
                <w:bCs/>
              </w:rPr>
              <w:t>316,735</w:t>
            </w:r>
          </w:p>
        </w:tc>
        <w:tc>
          <w:tcPr>
            <w:tcW w:w="1427" w:type="dxa"/>
            <w:tcMar>
              <w:left w:w="14" w:type="dxa"/>
              <w:right w:w="173" w:type="dxa"/>
            </w:tcMar>
            <w:vAlign w:val="bottom"/>
          </w:tcPr>
          <w:p w:rsidR="003063A3" w:rsidRPr="000D7582" w:rsidRDefault="003063A3" w:rsidP="00A63128">
            <w:pPr>
              <w:ind w:right="299"/>
              <w:jc w:val="right"/>
              <w:rPr>
                <w:b/>
              </w:rPr>
            </w:pPr>
            <w:r>
              <w:rPr>
                <w:b/>
                <w:bCs/>
              </w:rPr>
              <w:t>320,504</w:t>
            </w:r>
          </w:p>
        </w:tc>
        <w:tc>
          <w:tcPr>
            <w:tcW w:w="1566" w:type="dxa"/>
            <w:vAlign w:val="bottom"/>
          </w:tcPr>
          <w:p w:rsidR="003063A3" w:rsidRPr="000773A9" w:rsidRDefault="003063A3" w:rsidP="00537689">
            <w:pPr>
              <w:jc w:val="center"/>
              <w:rPr>
                <w:b/>
              </w:rPr>
            </w:pPr>
            <w:r>
              <w:rPr>
                <w:b/>
                <w:bCs/>
              </w:rPr>
              <w:t> </w:t>
            </w:r>
          </w:p>
        </w:tc>
        <w:tc>
          <w:tcPr>
            <w:tcW w:w="1252" w:type="dxa"/>
            <w:shd w:val="clear" w:color="auto" w:fill="auto"/>
            <w:vAlign w:val="bottom"/>
          </w:tcPr>
          <w:p w:rsidR="003063A3" w:rsidRPr="000773A9" w:rsidRDefault="003063A3" w:rsidP="00537689">
            <w:pPr>
              <w:jc w:val="center"/>
              <w:rPr>
                <w:b/>
              </w:rPr>
            </w:pPr>
            <w:r>
              <w:rPr>
                <w:b/>
                <w:bCs/>
              </w:rPr>
              <w:t> </w:t>
            </w:r>
          </w:p>
        </w:tc>
        <w:tc>
          <w:tcPr>
            <w:tcW w:w="990" w:type="dxa"/>
            <w:shd w:val="clear" w:color="auto" w:fill="auto"/>
            <w:tcMar>
              <w:left w:w="14" w:type="dxa"/>
              <w:right w:w="173" w:type="dxa"/>
            </w:tcMar>
            <w:vAlign w:val="bottom"/>
          </w:tcPr>
          <w:p w:rsidR="003063A3" w:rsidRPr="000773A9" w:rsidRDefault="003063A3" w:rsidP="00A63128">
            <w:pPr>
              <w:jc w:val="right"/>
              <w:rPr>
                <w:b/>
              </w:rPr>
            </w:pPr>
            <w:r>
              <w:rPr>
                <w:b/>
                <w:bCs/>
              </w:rPr>
              <w:t>2,577,280</w:t>
            </w:r>
          </w:p>
        </w:tc>
      </w:tr>
      <w:tr w:rsidR="00627164" w:rsidRPr="000773A9" w:rsidTr="00DF24BA">
        <w:trPr>
          <w:jc w:val="center"/>
        </w:trPr>
        <w:tc>
          <w:tcPr>
            <w:tcW w:w="9774" w:type="dxa"/>
            <w:gridSpan w:val="6"/>
            <w:vAlign w:val="bottom"/>
          </w:tcPr>
          <w:p w:rsidR="00627164" w:rsidRPr="000773A9" w:rsidRDefault="00605909" w:rsidP="00963301">
            <w:proofErr w:type="spellStart"/>
            <w:r w:rsidRPr="00605909">
              <w:rPr>
                <w:vertAlign w:val="superscript"/>
              </w:rPr>
              <w:t>a</w:t>
            </w:r>
            <w:proofErr w:type="spellEnd"/>
            <w:r w:rsidR="00B3355D" w:rsidRPr="000773A9">
              <w:t xml:space="preserve"> The total number of </w:t>
            </w:r>
            <w:r w:rsidR="009C13A7">
              <w:t xml:space="preserve">respondents and small </w:t>
            </w:r>
            <w:r w:rsidR="00B3355D" w:rsidRPr="000773A9">
              <w:t>respondents</w:t>
            </w:r>
            <w:r w:rsidR="00CE6022" w:rsidRPr="000773A9">
              <w:t xml:space="preserve"> is the sum of rows numbered 1, 4, 6, and 7, since the same cont</w:t>
            </w:r>
            <w:r w:rsidR="00477B11">
              <w:t>r</w:t>
            </w:r>
            <w:r w:rsidR="00CE6022" w:rsidRPr="000773A9">
              <w:t xml:space="preserve">actors from these rows are included in other rows (e.g., the same </w:t>
            </w:r>
            <w:r w:rsidR="00811FD5">
              <w:t>276,119</w:t>
            </w:r>
            <w:r w:rsidR="00CE6022" w:rsidRPr="000773A9">
              <w:t xml:space="preserve"> contractors are included in rows numbered 1, 2, and 3).  </w:t>
            </w:r>
          </w:p>
        </w:tc>
      </w:tr>
    </w:tbl>
    <w:p w:rsidR="00537689" w:rsidRPr="000773A9" w:rsidRDefault="00537689" w:rsidP="00537689">
      <w:pPr>
        <w:rPr>
          <w:sz w:val="24"/>
          <w:szCs w:val="24"/>
        </w:rPr>
      </w:pPr>
    </w:p>
    <w:p w:rsidR="00537689" w:rsidRPr="000773A9" w:rsidRDefault="00537689" w:rsidP="00537689">
      <w:pPr>
        <w:keepNext/>
        <w:tabs>
          <w:tab w:val="left" w:pos="720"/>
          <w:tab w:val="left" w:pos="1440"/>
        </w:tabs>
        <w:ind w:left="1440" w:hanging="1440"/>
        <w:rPr>
          <w:sz w:val="24"/>
          <w:szCs w:val="24"/>
        </w:rPr>
      </w:pPr>
      <w:r w:rsidRPr="000773A9">
        <w:rPr>
          <w:sz w:val="24"/>
          <w:szCs w:val="24"/>
        </w:rPr>
        <w:tab/>
      </w:r>
      <w:r w:rsidR="00DF24BA">
        <w:rPr>
          <w:b/>
          <w:bCs/>
          <w:sz w:val="24"/>
          <w:szCs w:val="24"/>
        </w:rPr>
        <w:t>6(e</w:t>
      </w:r>
      <w:r w:rsidRPr="000773A9">
        <w:rPr>
          <w:b/>
          <w:bCs/>
          <w:sz w:val="24"/>
          <w:szCs w:val="24"/>
        </w:rPr>
        <w:t>)</w:t>
      </w:r>
      <w:r w:rsidRPr="000773A9">
        <w:rPr>
          <w:b/>
          <w:bCs/>
          <w:sz w:val="24"/>
          <w:szCs w:val="24"/>
        </w:rPr>
        <w:tab/>
        <w:t>Reasons for Changes in Burden</w:t>
      </w:r>
    </w:p>
    <w:p w:rsidR="00537689" w:rsidRPr="000773A9" w:rsidRDefault="00537689" w:rsidP="00537689">
      <w:pPr>
        <w:keepNext/>
        <w:rPr>
          <w:sz w:val="24"/>
          <w:szCs w:val="24"/>
        </w:rPr>
      </w:pPr>
    </w:p>
    <w:p w:rsidR="00537689" w:rsidRPr="000773A9" w:rsidRDefault="00537689" w:rsidP="00EF3753">
      <w:r w:rsidRPr="000773A9">
        <w:rPr>
          <w:sz w:val="24"/>
          <w:szCs w:val="24"/>
        </w:rPr>
        <w:tab/>
        <w:t xml:space="preserve">This request reflects a net </w:t>
      </w:r>
      <w:r w:rsidR="00494C1F" w:rsidRPr="000773A9">
        <w:rPr>
          <w:sz w:val="24"/>
          <w:szCs w:val="24"/>
        </w:rPr>
        <w:t>de</w:t>
      </w:r>
      <w:r w:rsidRPr="000773A9">
        <w:rPr>
          <w:sz w:val="24"/>
          <w:szCs w:val="24"/>
        </w:rPr>
        <w:t xml:space="preserve">crease of </w:t>
      </w:r>
      <w:r w:rsidR="00477B11">
        <w:rPr>
          <w:sz w:val="24"/>
          <w:szCs w:val="24"/>
        </w:rPr>
        <w:t>545,206</w:t>
      </w:r>
      <w:r w:rsidR="00435B7A" w:rsidRPr="000773A9">
        <w:t xml:space="preserve"> </w:t>
      </w:r>
      <w:r w:rsidRPr="000773A9">
        <w:rPr>
          <w:sz w:val="24"/>
          <w:szCs w:val="24"/>
        </w:rPr>
        <w:t>hours (from 3,</w:t>
      </w:r>
      <w:r w:rsidR="00494C1F" w:rsidRPr="000773A9">
        <w:rPr>
          <w:sz w:val="24"/>
          <w:szCs w:val="24"/>
        </w:rPr>
        <w:t>122</w:t>
      </w:r>
      <w:r w:rsidRPr="000773A9">
        <w:rPr>
          <w:sz w:val="24"/>
          <w:szCs w:val="24"/>
        </w:rPr>
        <w:t>,</w:t>
      </w:r>
      <w:r w:rsidR="00494C1F" w:rsidRPr="000773A9">
        <w:rPr>
          <w:sz w:val="24"/>
          <w:szCs w:val="24"/>
        </w:rPr>
        <w:t>486</w:t>
      </w:r>
      <w:r w:rsidRPr="000773A9">
        <w:rPr>
          <w:sz w:val="24"/>
          <w:szCs w:val="24"/>
        </w:rPr>
        <w:t xml:space="preserve"> hours to </w:t>
      </w:r>
      <w:r w:rsidR="000D7582">
        <w:rPr>
          <w:sz w:val="24"/>
          <w:szCs w:val="24"/>
        </w:rPr>
        <w:t>2,577,</w:t>
      </w:r>
      <w:r w:rsidR="00477B11">
        <w:rPr>
          <w:sz w:val="24"/>
          <w:szCs w:val="24"/>
        </w:rPr>
        <w:t>280</w:t>
      </w:r>
      <w:r w:rsidR="00477B11" w:rsidRPr="000773A9">
        <w:rPr>
          <w:sz w:val="24"/>
          <w:szCs w:val="24"/>
        </w:rPr>
        <w:t xml:space="preserve"> </w:t>
      </w:r>
      <w:r w:rsidRPr="000773A9">
        <w:rPr>
          <w:sz w:val="24"/>
          <w:szCs w:val="24"/>
        </w:rPr>
        <w:t xml:space="preserve">hours) from </w:t>
      </w:r>
      <w:r w:rsidR="00605909" w:rsidRPr="000773A9">
        <w:rPr>
          <w:sz w:val="24"/>
          <w:szCs w:val="24"/>
        </w:rPr>
        <w:t xml:space="preserve">the total respondent burden </w:t>
      </w:r>
      <w:r w:rsidRPr="000773A9">
        <w:rPr>
          <w:sz w:val="24"/>
          <w:szCs w:val="24"/>
        </w:rPr>
        <w:t xml:space="preserve">currently in the OMB inventory.  The primary reason for the decrease is a </w:t>
      </w:r>
      <w:r w:rsidR="00494C1F" w:rsidRPr="000773A9">
        <w:rPr>
          <w:sz w:val="24"/>
          <w:szCs w:val="24"/>
        </w:rPr>
        <w:t xml:space="preserve">change in methodology </w:t>
      </w:r>
      <w:r w:rsidR="003F06AF" w:rsidRPr="000773A9">
        <w:rPr>
          <w:sz w:val="24"/>
          <w:szCs w:val="24"/>
        </w:rPr>
        <w:t xml:space="preserve">for calculating the number of target housing renovation events </w:t>
      </w:r>
      <w:r w:rsidR="00494C1F" w:rsidRPr="000773A9">
        <w:rPr>
          <w:sz w:val="24"/>
          <w:szCs w:val="24"/>
        </w:rPr>
        <w:t xml:space="preserve">to that used in the </w:t>
      </w:r>
      <w:r w:rsidR="0061048C" w:rsidRPr="000773A9">
        <w:rPr>
          <w:sz w:val="24"/>
          <w:szCs w:val="24"/>
        </w:rPr>
        <w:t>2008 RRP rule</w:t>
      </w:r>
      <w:r w:rsidR="00494C1F" w:rsidRPr="000773A9">
        <w:rPr>
          <w:sz w:val="24"/>
          <w:szCs w:val="24"/>
        </w:rPr>
        <w:t xml:space="preserve"> analysis.  </w:t>
      </w:r>
      <w:r w:rsidRPr="000773A9">
        <w:rPr>
          <w:sz w:val="24"/>
          <w:szCs w:val="24"/>
        </w:rPr>
        <w:t>This change reflects an adjustment rather than a program change.</w:t>
      </w:r>
      <w:r w:rsidR="003F06AF" w:rsidRPr="000773A9">
        <w:rPr>
          <w:sz w:val="24"/>
          <w:szCs w:val="24"/>
        </w:rPr>
        <w:t xml:space="preserve">  EPA estimates there will be </w:t>
      </w:r>
      <w:r w:rsidR="00730914" w:rsidRPr="000773A9">
        <w:rPr>
          <w:sz w:val="24"/>
          <w:szCs w:val="24"/>
        </w:rPr>
        <w:t xml:space="preserve">an average of </w:t>
      </w:r>
      <w:r w:rsidR="00811FD5">
        <w:rPr>
          <w:sz w:val="24"/>
          <w:szCs w:val="24"/>
        </w:rPr>
        <w:t>11,340,646</w:t>
      </w:r>
      <w:r w:rsidR="003F06AF" w:rsidRPr="000773A9">
        <w:rPr>
          <w:sz w:val="24"/>
          <w:szCs w:val="24"/>
        </w:rPr>
        <w:t xml:space="preserve"> responses </w:t>
      </w:r>
      <w:r w:rsidR="00730914" w:rsidRPr="000773A9">
        <w:rPr>
          <w:sz w:val="24"/>
          <w:szCs w:val="24"/>
        </w:rPr>
        <w:t xml:space="preserve">per year </w:t>
      </w:r>
      <w:r w:rsidR="003F06AF" w:rsidRPr="000773A9">
        <w:rPr>
          <w:sz w:val="24"/>
          <w:szCs w:val="24"/>
        </w:rPr>
        <w:t>under this renewal ICR.</w:t>
      </w:r>
    </w:p>
    <w:p w:rsidR="003F06AF" w:rsidRDefault="003F06AF" w:rsidP="00537689">
      <w:pPr>
        <w:keepNext/>
        <w:rPr>
          <w:sz w:val="24"/>
          <w:szCs w:val="24"/>
        </w:rPr>
      </w:pPr>
    </w:p>
    <w:p w:rsidR="007415CB" w:rsidRDefault="007415CB" w:rsidP="007415CB">
      <w:pPr>
        <w:keepNext/>
        <w:ind w:firstLine="720"/>
        <w:rPr>
          <w:sz w:val="24"/>
          <w:szCs w:val="24"/>
        </w:rPr>
      </w:pPr>
      <w:r>
        <w:rPr>
          <w:sz w:val="24"/>
          <w:szCs w:val="24"/>
        </w:rPr>
        <w:t xml:space="preserve">This ICR renewal also incorporates changes to the per-activity burden assumptions.  These changes all reflect adjustments rather than program changes. </w:t>
      </w:r>
    </w:p>
    <w:p w:rsidR="007415CB" w:rsidRPr="000773A9" w:rsidRDefault="007415CB" w:rsidP="00537689">
      <w:pPr>
        <w:keepNext/>
        <w:rPr>
          <w:sz w:val="24"/>
          <w:szCs w:val="24"/>
        </w:rPr>
      </w:pPr>
    </w:p>
    <w:p w:rsidR="007415CB" w:rsidRDefault="003F06AF" w:rsidP="00C65171">
      <w:pPr>
        <w:keepNext/>
        <w:rPr>
          <w:sz w:val="24"/>
          <w:szCs w:val="24"/>
        </w:rPr>
      </w:pPr>
      <w:r w:rsidRPr="000773A9">
        <w:rPr>
          <w:sz w:val="24"/>
          <w:szCs w:val="24"/>
        </w:rPr>
        <w:tab/>
      </w:r>
      <w:r w:rsidR="007415CB">
        <w:rPr>
          <w:sz w:val="24"/>
          <w:szCs w:val="24"/>
        </w:rPr>
        <w:t>Finally</w:t>
      </w:r>
      <w:r w:rsidRPr="000773A9">
        <w:rPr>
          <w:sz w:val="24"/>
          <w:szCs w:val="24"/>
        </w:rPr>
        <w:t xml:space="preserve">, this ICR includes burden and material cost estimates related to renovations taking place in public or commercial building </w:t>
      </w:r>
      <w:r w:rsidR="00A9661B">
        <w:rPr>
          <w:sz w:val="24"/>
          <w:szCs w:val="24"/>
        </w:rPr>
        <w:t>COFs</w:t>
      </w:r>
      <w:r w:rsidRPr="000773A9">
        <w:rPr>
          <w:sz w:val="24"/>
          <w:szCs w:val="24"/>
        </w:rPr>
        <w:t xml:space="preserve">.  The </w:t>
      </w:r>
      <w:r w:rsidR="00445105" w:rsidRPr="000773A9">
        <w:rPr>
          <w:sz w:val="24"/>
          <w:szCs w:val="24"/>
        </w:rPr>
        <w:t>burden estimates</w:t>
      </w:r>
      <w:r w:rsidRPr="000773A9">
        <w:rPr>
          <w:sz w:val="24"/>
          <w:szCs w:val="24"/>
        </w:rPr>
        <w:t xml:space="preserve"> </w:t>
      </w:r>
      <w:r w:rsidR="00445105" w:rsidRPr="000773A9">
        <w:rPr>
          <w:sz w:val="24"/>
          <w:szCs w:val="24"/>
        </w:rPr>
        <w:t>for</w:t>
      </w:r>
      <w:r w:rsidRPr="000773A9">
        <w:rPr>
          <w:sz w:val="24"/>
          <w:szCs w:val="24"/>
        </w:rPr>
        <w:t xml:space="preserve"> these entities relating to the pre-renovation education requirements of the </w:t>
      </w:r>
      <w:r w:rsidR="0061048C" w:rsidRPr="000773A9">
        <w:rPr>
          <w:sz w:val="24"/>
          <w:szCs w:val="24"/>
        </w:rPr>
        <w:t>2008 RRP rule</w:t>
      </w:r>
      <w:r w:rsidRPr="000773A9">
        <w:rPr>
          <w:sz w:val="24"/>
          <w:szCs w:val="24"/>
        </w:rPr>
        <w:t xml:space="preserve"> were prev</w:t>
      </w:r>
      <w:r w:rsidR="00281325">
        <w:rPr>
          <w:sz w:val="24"/>
          <w:szCs w:val="24"/>
        </w:rPr>
        <w:t>iously included in ICR 1715.10.  This is also an adjustment rather than a program change.</w:t>
      </w:r>
    </w:p>
    <w:p w:rsidR="007415CB" w:rsidRPr="000773A9" w:rsidRDefault="007415CB" w:rsidP="00537689">
      <w:pPr>
        <w:rPr>
          <w:sz w:val="24"/>
          <w:szCs w:val="24"/>
        </w:rPr>
      </w:pPr>
    </w:p>
    <w:p w:rsidR="00944A7E" w:rsidRDefault="00537689" w:rsidP="00537689">
      <w:pPr>
        <w:tabs>
          <w:tab w:val="left" w:pos="720"/>
          <w:tab w:val="left" w:pos="1440"/>
        </w:tabs>
        <w:ind w:left="1440" w:hanging="1440"/>
        <w:rPr>
          <w:sz w:val="24"/>
          <w:szCs w:val="24"/>
        </w:rPr>
      </w:pPr>
      <w:r w:rsidRPr="000773A9">
        <w:rPr>
          <w:sz w:val="24"/>
          <w:szCs w:val="24"/>
        </w:rPr>
        <w:tab/>
      </w:r>
    </w:p>
    <w:p w:rsidR="00944A7E" w:rsidRDefault="00944A7E">
      <w:pPr>
        <w:autoSpaceDE/>
        <w:autoSpaceDN/>
        <w:adjustRightInd/>
        <w:rPr>
          <w:sz w:val="24"/>
          <w:szCs w:val="24"/>
        </w:rPr>
      </w:pPr>
      <w:r>
        <w:rPr>
          <w:sz w:val="24"/>
          <w:szCs w:val="24"/>
        </w:rPr>
        <w:br w:type="page"/>
      </w:r>
    </w:p>
    <w:p w:rsidR="00537689" w:rsidRPr="000773A9" w:rsidRDefault="00DF24BA" w:rsidP="00537689">
      <w:pPr>
        <w:tabs>
          <w:tab w:val="left" w:pos="720"/>
          <w:tab w:val="left" w:pos="1440"/>
        </w:tabs>
        <w:ind w:left="1440" w:hanging="1440"/>
        <w:rPr>
          <w:sz w:val="24"/>
          <w:szCs w:val="24"/>
        </w:rPr>
      </w:pPr>
      <w:r>
        <w:rPr>
          <w:b/>
          <w:bCs/>
          <w:sz w:val="24"/>
          <w:szCs w:val="24"/>
        </w:rPr>
        <w:lastRenderedPageBreak/>
        <w:t>6(f</w:t>
      </w:r>
      <w:r w:rsidR="00537689" w:rsidRPr="000773A9">
        <w:rPr>
          <w:b/>
          <w:bCs/>
          <w:sz w:val="24"/>
          <w:szCs w:val="24"/>
        </w:rPr>
        <w:t>)</w:t>
      </w:r>
      <w:r w:rsidR="00537689" w:rsidRPr="000773A9">
        <w:rPr>
          <w:b/>
          <w:bCs/>
          <w:sz w:val="24"/>
          <w:szCs w:val="24"/>
        </w:rPr>
        <w:tab/>
        <w:t>Burden Statement</w:t>
      </w:r>
    </w:p>
    <w:p w:rsidR="00537689" w:rsidRPr="000773A9" w:rsidRDefault="00537689" w:rsidP="00537689">
      <w:pPr>
        <w:rPr>
          <w:sz w:val="24"/>
          <w:szCs w:val="24"/>
        </w:rPr>
      </w:pPr>
    </w:p>
    <w:p w:rsidR="00EF1B3D" w:rsidRPr="000773A9" w:rsidRDefault="00537689" w:rsidP="00EF1B3D">
      <w:pPr>
        <w:rPr>
          <w:sz w:val="24"/>
          <w:szCs w:val="24"/>
        </w:rPr>
      </w:pPr>
      <w:r w:rsidRPr="000773A9">
        <w:rPr>
          <w:sz w:val="24"/>
          <w:szCs w:val="24"/>
        </w:rPr>
        <w:tab/>
        <w:t>The annual public burden for this collection of information, which is approved under OMB Control No. 2070-0158, is estimated to be 0.</w:t>
      </w:r>
      <w:r w:rsidR="00A6411F">
        <w:rPr>
          <w:sz w:val="24"/>
          <w:szCs w:val="24"/>
        </w:rPr>
        <w:t>23</w:t>
      </w:r>
      <w:r w:rsidRPr="000773A9">
        <w:rPr>
          <w:sz w:val="24"/>
          <w:szCs w:val="24"/>
        </w:rPr>
        <w:t xml:space="preserve"> hours per response</w:t>
      </w:r>
      <w:r w:rsidR="00CC2AB5">
        <w:rPr>
          <w:sz w:val="24"/>
          <w:szCs w:val="24"/>
        </w:rPr>
        <w:t>.</w:t>
      </w:r>
      <w:r w:rsidRPr="000773A9">
        <w:rPr>
          <w:sz w:val="24"/>
          <w:szCs w:val="24"/>
        </w:rPr>
        <w:t xml:space="preserve"> </w:t>
      </w:r>
      <w:r w:rsidR="00CC2AB5" w:rsidRPr="00CC2AB5">
        <w:rPr>
          <w:sz w:val="24"/>
          <w:szCs w:val="24"/>
        </w:rPr>
        <w:t xml:space="preserve">Burden is defined in 5 CFR 1320.3(b).  </w:t>
      </w:r>
      <w:r w:rsidRPr="000773A9">
        <w:rPr>
          <w:sz w:val="24"/>
          <w:szCs w:val="24"/>
        </w:rPr>
        <w:t>An agency may not conduct or sponsor, and a person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w:t>
      </w:r>
      <w:r w:rsidR="00EF1B3D" w:rsidRPr="000773A9">
        <w:rPr>
          <w:sz w:val="24"/>
          <w:szCs w:val="24"/>
        </w:rPr>
        <w:t>trument or form, if applicable.</w:t>
      </w:r>
    </w:p>
    <w:p w:rsidR="00EF1B3D" w:rsidRPr="000773A9" w:rsidRDefault="00EF1B3D" w:rsidP="00EF1B3D">
      <w:pPr>
        <w:ind w:firstLine="720"/>
        <w:rPr>
          <w:sz w:val="24"/>
          <w:szCs w:val="24"/>
        </w:rPr>
      </w:pPr>
    </w:p>
    <w:p w:rsidR="00EF1B3D" w:rsidRPr="000773A9" w:rsidRDefault="00EF1B3D" w:rsidP="00EF1B3D">
      <w:pPr>
        <w:ind w:firstLine="720"/>
        <w:rPr>
          <w:sz w:val="24"/>
          <w:szCs w:val="24"/>
        </w:rPr>
      </w:pPr>
      <w:r w:rsidRPr="000773A9">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CD069D">
        <w:rPr>
          <w:sz w:val="24"/>
          <w:szCs w:val="24"/>
        </w:rPr>
        <w:t>Docket ID No. EPA-HQ-OPPT-</w:t>
      </w:r>
      <w:r w:rsidR="00CD069D">
        <w:rPr>
          <w:sz w:val="24"/>
          <w:szCs w:val="24"/>
        </w:rPr>
        <w:t>201</w:t>
      </w:r>
      <w:r w:rsidR="00944A7E">
        <w:rPr>
          <w:sz w:val="24"/>
          <w:szCs w:val="24"/>
        </w:rPr>
        <w:t>4</w:t>
      </w:r>
      <w:r w:rsidR="00CD069D">
        <w:rPr>
          <w:sz w:val="24"/>
          <w:szCs w:val="24"/>
        </w:rPr>
        <w:t>-0</w:t>
      </w:r>
      <w:r w:rsidR="00944A7E">
        <w:rPr>
          <w:sz w:val="24"/>
          <w:szCs w:val="24"/>
        </w:rPr>
        <w:t>486</w:t>
      </w:r>
      <w:r w:rsidRPr="000773A9">
        <w:rPr>
          <w:sz w:val="24"/>
          <w:szCs w:val="24"/>
        </w:rPr>
        <w:t xml:space="preserve">.  The docket is available for public viewing at the Pollution Prevention and Toxics Docket in the </w:t>
      </w:r>
      <w:smartTag w:uri="urn:schemas-microsoft-com:office:smarttags" w:element="place">
        <w:smartTag w:uri="urn:schemas-microsoft-com:office:smarttags" w:element="PlaceName">
          <w:r w:rsidRPr="000773A9">
            <w:rPr>
              <w:sz w:val="24"/>
              <w:szCs w:val="24"/>
            </w:rPr>
            <w:t>EPA</w:t>
          </w:r>
        </w:smartTag>
        <w:r w:rsidRPr="000773A9">
          <w:rPr>
            <w:sz w:val="24"/>
            <w:szCs w:val="24"/>
          </w:rPr>
          <w:t xml:space="preserve"> </w:t>
        </w:r>
        <w:smartTag w:uri="urn:schemas-microsoft-com:office:smarttags" w:element="PlaceName">
          <w:r w:rsidRPr="000773A9">
            <w:rPr>
              <w:sz w:val="24"/>
              <w:szCs w:val="24"/>
            </w:rPr>
            <w:t>Docket</w:t>
          </w:r>
        </w:smartTag>
        <w:r w:rsidRPr="000773A9">
          <w:rPr>
            <w:sz w:val="24"/>
            <w:szCs w:val="24"/>
          </w:rPr>
          <w:t xml:space="preserve"> </w:t>
        </w:r>
        <w:smartTag w:uri="urn:schemas-microsoft-com:office:smarttags" w:element="PlaceType">
          <w:r w:rsidRPr="000773A9">
            <w:rPr>
              <w:sz w:val="24"/>
              <w:szCs w:val="24"/>
            </w:rPr>
            <w:t>Center</w:t>
          </w:r>
        </w:smartTag>
      </w:smartTag>
      <w:r w:rsidRPr="000773A9">
        <w:rPr>
          <w:sz w:val="24"/>
          <w:szCs w:val="24"/>
        </w:rPr>
        <w:t xml:space="preserve"> (EPA/DC).  The EPA/DC Public Reading Room is located in the </w:t>
      </w:r>
      <w:smartTag w:uri="urn:schemas-microsoft-com:office:smarttags" w:element="PlaceName">
        <w:r w:rsidRPr="000773A9">
          <w:rPr>
            <w:sz w:val="24"/>
            <w:szCs w:val="24"/>
          </w:rPr>
          <w:t>EPA</w:t>
        </w:r>
      </w:smartTag>
      <w:r w:rsidRPr="000773A9">
        <w:rPr>
          <w:sz w:val="24"/>
          <w:szCs w:val="24"/>
        </w:rPr>
        <w:t xml:space="preserve"> </w:t>
      </w:r>
      <w:smartTag w:uri="urn:schemas-microsoft-com:office:smarttags" w:element="PlaceName">
        <w:r w:rsidRPr="000773A9">
          <w:rPr>
            <w:sz w:val="24"/>
            <w:szCs w:val="24"/>
          </w:rPr>
          <w:t>West</w:t>
        </w:r>
      </w:smartTag>
      <w:r w:rsidRPr="000773A9">
        <w:rPr>
          <w:sz w:val="24"/>
          <w:szCs w:val="24"/>
        </w:rPr>
        <w:t xml:space="preserve"> </w:t>
      </w:r>
      <w:smartTag w:uri="urn:schemas-microsoft-com:office:smarttags" w:element="PlaceType">
        <w:r w:rsidRPr="000773A9">
          <w:rPr>
            <w:sz w:val="24"/>
            <w:szCs w:val="24"/>
          </w:rPr>
          <w:t>Building</w:t>
        </w:r>
      </w:smartTag>
      <w:r w:rsidRPr="000773A9">
        <w:rPr>
          <w:sz w:val="24"/>
          <w:szCs w:val="24"/>
        </w:rPr>
        <w:t xml:space="preserve">, Room 3334, </w:t>
      </w:r>
      <w:smartTag w:uri="urn:schemas-microsoft-com:office:smarttags" w:element="Street">
        <w:smartTag w:uri="urn:schemas-microsoft-com:office:smarttags" w:element="address">
          <w:r w:rsidRPr="000773A9">
            <w:rPr>
              <w:sz w:val="24"/>
              <w:szCs w:val="24"/>
            </w:rPr>
            <w:t>1301 Constitution Ave.</w:t>
          </w:r>
        </w:smartTag>
      </w:smartTag>
      <w:r w:rsidRPr="000773A9">
        <w:rPr>
          <w:sz w:val="24"/>
          <w:szCs w:val="24"/>
        </w:rPr>
        <w:t xml:space="preserve">, NW., </w:t>
      </w:r>
      <w:smartTag w:uri="urn:schemas-microsoft-com:office:smarttags" w:element="place">
        <w:smartTag w:uri="urn:schemas-microsoft-com:office:smarttags" w:element="City">
          <w:r w:rsidRPr="000773A9">
            <w:rPr>
              <w:sz w:val="24"/>
              <w:szCs w:val="24"/>
            </w:rPr>
            <w:t>Washington</w:t>
          </w:r>
        </w:smartTag>
        <w:r w:rsidRPr="000773A9">
          <w:rPr>
            <w:sz w:val="24"/>
            <w:szCs w:val="24"/>
          </w:rPr>
          <w:t xml:space="preserve">, </w:t>
        </w:r>
        <w:smartTag w:uri="urn:schemas-microsoft-com:office:smarttags" w:element="State">
          <w:r w:rsidRPr="000773A9">
            <w:rPr>
              <w:sz w:val="24"/>
              <w:szCs w:val="24"/>
            </w:rPr>
            <w:t>DC</w:t>
          </w:r>
        </w:smartTag>
      </w:smartTag>
      <w:r w:rsidRPr="000773A9">
        <w:rPr>
          <w:sz w:val="24"/>
          <w:szCs w:val="24"/>
        </w:rPr>
        <w:t xml:space="preserve">.  The EPA/DC Public Reading Room is open from 8:30 a.m. to 4:30 p.m., Monday through Friday, excluding legal holidays.  The telephone number for the EPA/DC Public Reading Room is (202) 566-1744, and the telephone number for the Pollution Prevention and Toxics Docket is (202) 566-0280.  An electronic version of the public docket is available through the Federal Docket Management System (FDMS) at </w:t>
      </w:r>
      <w:hyperlink r:id="rId12" w:history="1">
        <w:r w:rsidR="008853AF" w:rsidRPr="008853AF">
          <w:rPr>
            <w:rStyle w:val="Hyperlink"/>
            <w:sz w:val="24"/>
            <w:szCs w:val="24"/>
          </w:rPr>
          <w:t>http://www.regulations.gov</w:t>
        </w:r>
      </w:hyperlink>
      <w:r w:rsidRPr="000773A9">
        <w:rPr>
          <w:sz w:val="24"/>
          <w:szCs w:val="24"/>
        </w:rPr>
        <w:t xml:space="preserve">.  Use FDMS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0773A9">
            <w:rPr>
              <w:sz w:val="24"/>
              <w:szCs w:val="24"/>
            </w:rPr>
            <w:t>725 17th Street, NW</w:t>
          </w:r>
        </w:smartTag>
        <w:r w:rsidRPr="000773A9">
          <w:rPr>
            <w:sz w:val="24"/>
            <w:szCs w:val="24"/>
          </w:rPr>
          <w:t xml:space="preserve">, </w:t>
        </w:r>
        <w:smartTag w:uri="urn:schemas-microsoft-com:office:smarttags" w:element="City">
          <w:r w:rsidRPr="000773A9">
            <w:rPr>
              <w:sz w:val="24"/>
              <w:szCs w:val="24"/>
            </w:rPr>
            <w:t>Washington</w:t>
          </w:r>
        </w:smartTag>
        <w:r w:rsidRPr="000773A9">
          <w:rPr>
            <w:sz w:val="24"/>
            <w:szCs w:val="24"/>
          </w:rPr>
          <w:t xml:space="preserve">, </w:t>
        </w:r>
        <w:smartTag w:uri="urn:schemas-microsoft-com:office:smarttags" w:element="State">
          <w:r w:rsidRPr="000773A9">
            <w:rPr>
              <w:sz w:val="24"/>
              <w:szCs w:val="24"/>
            </w:rPr>
            <w:t>DC</w:t>
          </w:r>
        </w:smartTag>
        <w:r w:rsidRPr="000773A9">
          <w:rPr>
            <w:sz w:val="24"/>
            <w:szCs w:val="24"/>
          </w:rPr>
          <w:t xml:space="preserve"> </w:t>
        </w:r>
        <w:smartTag w:uri="urn:schemas-microsoft-com:office:smarttags" w:element="PostalCode">
          <w:r w:rsidRPr="000773A9">
            <w:rPr>
              <w:sz w:val="24"/>
              <w:szCs w:val="24"/>
            </w:rPr>
            <w:t>20503</w:t>
          </w:r>
        </w:smartTag>
      </w:smartTag>
      <w:r w:rsidRPr="000773A9">
        <w:rPr>
          <w:sz w:val="24"/>
          <w:szCs w:val="24"/>
        </w:rPr>
        <w:t xml:space="preserve">, Attention: Desk Office for EPA.  Please include the </w:t>
      </w:r>
      <w:r w:rsidRPr="00CD069D">
        <w:rPr>
          <w:sz w:val="24"/>
          <w:szCs w:val="24"/>
        </w:rPr>
        <w:t xml:space="preserve">EPA Docket ID No. </w:t>
      </w:r>
      <w:r w:rsidR="00CD069D" w:rsidRPr="00CD069D">
        <w:rPr>
          <w:sz w:val="24"/>
          <w:szCs w:val="24"/>
        </w:rPr>
        <w:t>EPA-HQ-OPPT-</w:t>
      </w:r>
      <w:r w:rsidR="00CD069D">
        <w:rPr>
          <w:sz w:val="24"/>
          <w:szCs w:val="24"/>
        </w:rPr>
        <w:t>201</w:t>
      </w:r>
      <w:r w:rsidR="00944A7E">
        <w:rPr>
          <w:sz w:val="24"/>
          <w:szCs w:val="24"/>
        </w:rPr>
        <w:t>4</w:t>
      </w:r>
      <w:r w:rsidR="00CD069D">
        <w:rPr>
          <w:sz w:val="24"/>
          <w:szCs w:val="24"/>
        </w:rPr>
        <w:t>-0</w:t>
      </w:r>
      <w:r w:rsidR="00944A7E">
        <w:rPr>
          <w:sz w:val="24"/>
          <w:szCs w:val="24"/>
        </w:rPr>
        <w:t>486</w:t>
      </w:r>
      <w:r w:rsidR="00F90081">
        <w:rPr>
          <w:sz w:val="24"/>
          <w:szCs w:val="24"/>
        </w:rPr>
        <w:t>and OMB C</w:t>
      </w:r>
      <w:r w:rsidRPr="000773A9">
        <w:rPr>
          <w:sz w:val="24"/>
          <w:szCs w:val="24"/>
        </w:rPr>
        <w:t xml:space="preserve">ontrol </w:t>
      </w:r>
      <w:r w:rsidR="00F90081">
        <w:rPr>
          <w:sz w:val="24"/>
          <w:szCs w:val="24"/>
        </w:rPr>
        <w:t>No.</w:t>
      </w:r>
      <w:r w:rsidRPr="000773A9">
        <w:rPr>
          <w:sz w:val="24"/>
          <w:szCs w:val="24"/>
        </w:rPr>
        <w:t xml:space="preserve"> 2070-0158 in any correspondence.</w:t>
      </w:r>
    </w:p>
    <w:p w:rsidR="00537689" w:rsidRPr="000773A9" w:rsidRDefault="00537689" w:rsidP="00EF1B3D">
      <w:pPr>
        <w:rPr>
          <w:sz w:val="24"/>
          <w:szCs w:val="24"/>
        </w:rPr>
      </w:pPr>
      <w:r w:rsidRPr="000773A9">
        <w:rPr>
          <w:sz w:val="24"/>
          <w:szCs w:val="24"/>
        </w:rPr>
        <w:tab/>
      </w:r>
    </w:p>
    <w:p w:rsidR="00537689" w:rsidRPr="000773A9" w:rsidRDefault="00537689" w:rsidP="00EF1B3D">
      <w:pPr>
        <w:rPr>
          <w:b/>
          <w:sz w:val="24"/>
          <w:szCs w:val="24"/>
        </w:rPr>
      </w:pPr>
      <w:r w:rsidRPr="000773A9">
        <w:rPr>
          <w:sz w:val="24"/>
          <w:szCs w:val="24"/>
        </w:rPr>
        <w:br w:type="page"/>
      </w:r>
      <w:r w:rsidRPr="000773A9">
        <w:rPr>
          <w:b/>
          <w:sz w:val="24"/>
          <w:szCs w:val="24"/>
        </w:rPr>
        <w:lastRenderedPageBreak/>
        <w:t>ATTACHMENTS TO THE SUPPORTING STATEMENT</w:t>
      </w:r>
    </w:p>
    <w:p w:rsidR="00537689" w:rsidRPr="000773A9" w:rsidRDefault="00537689" w:rsidP="00537689">
      <w:pPr>
        <w:widowControl w:val="0"/>
        <w:autoSpaceDE/>
        <w:autoSpaceDN/>
        <w:adjustRightInd/>
        <w:rPr>
          <w:sz w:val="24"/>
          <w:szCs w:val="24"/>
        </w:rPr>
      </w:pPr>
    </w:p>
    <w:p w:rsidR="00537689" w:rsidRPr="000773A9" w:rsidRDefault="00537689" w:rsidP="00014355">
      <w:pPr>
        <w:widowControl w:val="0"/>
        <w:autoSpaceDE/>
        <w:autoSpaceDN/>
        <w:adjustRightInd/>
        <w:ind w:firstLine="720"/>
        <w:rPr>
          <w:sz w:val="24"/>
          <w:szCs w:val="24"/>
        </w:rPr>
      </w:pPr>
      <w:r w:rsidRPr="000773A9">
        <w:rPr>
          <w:sz w:val="24"/>
          <w:szCs w:val="24"/>
        </w:rPr>
        <w:t xml:space="preserve">Attachments to the supporting statement are available in the public docket established for this ICR under docket identification number </w:t>
      </w:r>
      <w:r w:rsidR="00CD069D" w:rsidRPr="00CD069D">
        <w:rPr>
          <w:sz w:val="24"/>
          <w:szCs w:val="24"/>
        </w:rPr>
        <w:t>EPA-HQ-OPPT-</w:t>
      </w:r>
      <w:r w:rsidR="00CD069D">
        <w:rPr>
          <w:sz w:val="24"/>
          <w:szCs w:val="24"/>
        </w:rPr>
        <w:t>201</w:t>
      </w:r>
      <w:r w:rsidR="00E431EC">
        <w:rPr>
          <w:sz w:val="24"/>
          <w:szCs w:val="24"/>
        </w:rPr>
        <w:t>4</w:t>
      </w:r>
      <w:r w:rsidR="00CD069D">
        <w:rPr>
          <w:sz w:val="24"/>
          <w:szCs w:val="24"/>
        </w:rPr>
        <w:t>-0</w:t>
      </w:r>
      <w:r w:rsidR="00E431EC">
        <w:rPr>
          <w:sz w:val="24"/>
          <w:szCs w:val="24"/>
        </w:rPr>
        <w:t>486</w:t>
      </w:r>
      <w:r w:rsidRPr="000773A9">
        <w:rPr>
          <w:sz w:val="24"/>
          <w:szCs w:val="24"/>
        </w:rPr>
        <w:t xml:space="preserve">.  These attachments are available for online viewing at </w:t>
      </w:r>
      <w:hyperlink r:id="rId13" w:history="1">
        <w:r w:rsidR="008853AF" w:rsidRPr="008853AF">
          <w:rPr>
            <w:rStyle w:val="Hyperlink"/>
            <w:sz w:val="24"/>
            <w:szCs w:val="24"/>
          </w:rPr>
          <w:t>http://www.regulations.gov</w:t>
        </w:r>
      </w:hyperlink>
      <w:r w:rsidRPr="000773A9">
        <w:rPr>
          <w:sz w:val="24"/>
          <w:szCs w:val="24"/>
        </w:rPr>
        <w:t xml:space="preserve"> or otherwise accessed as described in section 6(f) of the supporting statement.</w:t>
      </w:r>
    </w:p>
    <w:p w:rsidR="00537689" w:rsidRPr="000773A9" w:rsidRDefault="00537689" w:rsidP="0053768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tbl>
      <w:tblPr>
        <w:tblW w:w="0" w:type="auto"/>
        <w:tblLook w:val="01E0" w:firstRow="1" w:lastRow="1" w:firstColumn="1" w:lastColumn="1" w:noHBand="0" w:noVBand="0"/>
      </w:tblPr>
      <w:tblGrid>
        <w:gridCol w:w="1809"/>
        <w:gridCol w:w="7488"/>
      </w:tblGrid>
      <w:tr w:rsidR="00E431EC" w:rsidRPr="00E431EC" w:rsidTr="00EF2B93">
        <w:tc>
          <w:tcPr>
            <w:tcW w:w="1809" w:type="dxa"/>
          </w:tcPr>
          <w:p w:rsidR="00E431EC" w:rsidRPr="00E431EC" w:rsidRDefault="00E431EC" w:rsidP="00E431EC">
            <w:pPr>
              <w:rPr>
                <w:b/>
                <w:bCs/>
                <w:sz w:val="24"/>
                <w:szCs w:val="24"/>
              </w:rPr>
            </w:pPr>
            <w:r w:rsidRPr="00E431EC">
              <w:rPr>
                <w:b/>
                <w:bCs/>
                <w:sz w:val="24"/>
                <w:szCs w:val="24"/>
              </w:rPr>
              <w:t>Attachment 1:</w:t>
            </w:r>
          </w:p>
        </w:tc>
        <w:tc>
          <w:tcPr>
            <w:tcW w:w="7488" w:type="dxa"/>
          </w:tcPr>
          <w:p w:rsidR="00E431EC" w:rsidRPr="00E431EC" w:rsidRDefault="00E431EC" w:rsidP="00E431EC">
            <w:pPr>
              <w:rPr>
                <w:b/>
                <w:bCs/>
                <w:sz w:val="24"/>
                <w:szCs w:val="24"/>
              </w:rPr>
            </w:pPr>
            <w:r w:rsidRPr="00E431EC">
              <w:rPr>
                <w:b/>
                <w:bCs/>
                <w:sz w:val="24"/>
                <w:szCs w:val="24"/>
              </w:rPr>
              <w:t xml:space="preserve">15 U.S.C. 2686 - Section 406 of the Toxic Substances Control Act. </w:t>
            </w:r>
          </w:p>
          <w:p w:rsidR="00E431EC" w:rsidRPr="00E431EC" w:rsidRDefault="00E431EC" w:rsidP="00E431EC">
            <w:pPr>
              <w:rPr>
                <w:b/>
                <w:bCs/>
                <w:sz w:val="24"/>
                <w:szCs w:val="24"/>
              </w:rPr>
            </w:pPr>
          </w:p>
        </w:tc>
      </w:tr>
      <w:tr w:rsidR="00E431EC" w:rsidRPr="00662B77" w:rsidTr="00E431EC">
        <w:tc>
          <w:tcPr>
            <w:tcW w:w="1809" w:type="dxa"/>
          </w:tcPr>
          <w:p w:rsidR="00E431EC" w:rsidRPr="00662B77" w:rsidRDefault="00E431EC" w:rsidP="00E431EC">
            <w:pPr>
              <w:rPr>
                <w:b/>
                <w:bCs/>
                <w:sz w:val="24"/>
                <w:szCs w:val="24"/>
              </w:rPr>
            </w:pPr>
            <w:r w:rsidRPr="00662B77">
              <w:rPr>
                <w:b/>
                <w:bCs/>
                <w:sz w:val="24"/>
                <w:szCs w:val="24"/>
              </w:rPr>
              <w:t>Attachment 2:</w:t>
            </w:r>
          </w:p>
        </w:tc>
        <w:tc>
          <w:tcPr>
            <w:tcW w:w="7488" w:type="dxa"/>
          </w:tcPr>
          <w:p w:rsidR="00E431EC" w:rsidRPr="00E431EC" w:rsidRDefault="00E431EC" w:rsidP="00EF2B93">
            <w:pPr>
              <w:rPr>
                <w:b/>
                <w:bCs/>
                <w:sz w:val="24"/>
                <w:szCs w:val="24"/>
              </w:rPr>
            </w:pPr>
            <w:r w:rsidRPr="00E431EC">
              <w:rPr>
                <w:b/>
                <w:bCs/>
                <w:sz w:val="24"/>
                <w:szCs w:val="24"/>
              </w:rPr>
              <w:t xml:space="preserve">40 CFR part 745, Subpart </w:t>
            </w:r>
            <w:r w:rsidRPr="00662B77">
              <w:rPr>
                <w:b/>
                <w:bCs/>
                <w:sz w:val="24"/>
                <w:szCs w:val="24"/>
              </w:rPr>
              <w:t>E - Residential Property Renovation</w:t>
            </w:r>
            <w:r w:rsidRPr="00E431EC">
              <w:rPr>
                <w:b/>
                <w:bCs/>
                <w:sz w:val="24"/>
                <w:szCs w:val="24"/>
              </w:rPr>
              <w:t xml:space="preserve">. </w:t>
            </w:r>
          </w:p>
          <w:p w:rsidR="00E431EC" w:rsidRPr="00E431EC" w:rsidRDefault="00E431EC" w:rsidP="00E431EC">
            <w:pPr>
              <w:rPr>
                <w:b/>
                <w:bCs/>
                <w:sz w:val="24"/>
                <w:szCs w:val="24"/>
              </w:rPr>
            </w:pPr>
          </w:p>
        </w:tc>
      </w:tr>
      <w:tr w:rsidR="00E431EC" w:rsidRPr="00662B77" w:rsidTr="00E431EC">
        <w:tc>
          <w:tcPr>
            <w:tcW w:w="1809" w:type="dxa"/>
          </w:tcPr>
          <w:p w:rsidR="00E431EC" w:rsidRPr="00662B77" w:rsidRDefault="00E431EC" w:rsidP="00E431EC">
            <w:pPr>
              <w:rPr>
                <w:b/>
                <w:bCs/>
                <w:sz w:val="24"/>
                <w:szCs w:val="24"/>
              </w:rPr>
            </w:pPr>
            <w:r w:rsidRPr="00662B77">
              <w:rPr>
                <w:b/>
                <w:bCs/>
                <w:sz w:val="24"/>
                <w:szCs w:val="24"/>
              </w:rPr>
              <w:t>Attachment 3:</w:t>
            </w:r>
          </w:p>
        </w:tc>
        <w:tc>
          <w:tcPr>
            <w:tcW w:w="7488" w:type="dxa"/>
          </w:tcPr>
          <w:p w:rsidR="00E431EC" w:rsidRPr="00E431EC" w:rsidRDefault="00E431EC" w:rsidP="00E431EC">
            <w:pPr>
              <w:rPr>
                <w:b/>
                <w:bCs/>
                <w:sz w:val="24"/>
                <w:szCs w:val="24"/>
              </w:rPr>
            </w:pPr>
            <w:r w:rsidRPr="00662B77">
              <w:rPr>
                <w:b/>
                <w:bCs/>
                <w:sz w:val="24"/>
                <w:szCs w:val="24"/>
              </w:rPr>
              <w:t>Lead Hazard Information Pamphlet (“</w:t>
            </w:r>
            <w:r>
              <w:rPr>
                <w:b/>
                <w:bCs/>
                <w:sz w:val="24"/>
                <w:szCs w:val="24"/>
              </w:rPr>
              <w:t>Renovate Right</w:t>
            </w:r>
            <w:r w:rsidRPr="00662B77">
              <w:rPr>
                <w:b/>
                <w:bCs/>
                <w:sz w:val="24"/>
                <w:szCs w:val="24"/>
              </w:rPr>
              <w:t>”)</w:t>
            </w:r>
            <w:r w:rsidRPr="00E431EC">
              <w:rPr>
                <w:b/>
                <w:bCs/>
                <w:sz w:val="24"/>
                <w:szCs w:val="24"/>
              </w:rPr>
              <w:t>.</w:t>
            </w:r>
          </w:p>
        </w:tc>
      </w:tr>
      <w:tr w:rsidR="00E431EC" w:rsidRPr="00E431EC" w:rsidTr="00EF2B93">
        <w:tc>
          <w:tcPr>
            <w:tcW w:w="1809" w:type="dxa"/>
          </w:tcPr>
          <w:p w:rsidR="00E431EC" w:rsidRPr="00E431EC" w:rsidRDefault="00E431EC" w:rsidP="00E431EC">
            <w:pPr>
              <w:rPr>
                <w:b/>
                <w:bCs/>
                <w:sz w:val="24"/>
                <w:szCs w:val="24"/>
              </w:rPr>
            </w:pPr>
          </w:p>
          <w:p w:rsidR="00E431EC" w:rsidRPr="00E431EC" w:rsidRDefault="00E431EC" w:rsidP="00E431EC">
            <w:pPr>
              <w:rPr>
                <w:b/>
                <w:bCs/>
                <w:sz w:val="24"/>
                <w:szCs w:val="24"/>
              </w:rPr>
            </w:pPr>
            <w:r w:rsidRPr="00E431EC">
              <w:rPr>
                <w:b/>
                <w:bCs/>
                <w:sz w:val="24"/>
                <w:szCs w:val="24"/>
              </w:rPr>
              <w:t>Attachment 4:</w:t>
            </w:r>
          </w:p>
        </w:tc>
        <w:tc>
          <w:tcPr>
            <w:tcW w:w="7488" w:type="dxa"/>
          </w:tcPr>
          <w:p w:rsidR="00E431EC" w:rsidRPr="00E431EC" w:rsidRDefault="00E431EC" w:rsidP="00E431EC">
            <w:pPr>
              <w:rPr>
                <w:b/>
                <w:bCs/>
                <w:sz w:val="24"/>
                <w:szCs w:val="24"/>
              </w:rPr>
            </w:pPr>
          </w:p>
          <w:p w:rsidR="00E431EC" w:rsidRPr="00E431EC" w:rsidRDefault="00E431EC" w:rsidP="00E431EC">
            <w:pPr>
              <w:rPr>
                <w:b/>
                <w:bCs/>
                <w:sz w:val="24"/>
                <w:szCs w:val="24"/>
              </w:rPr>
            </w:pPr>
            <w:r w:rsidRPr="00E431EC">
              <w:rPr>
                <w:b/>
                <w:bCs/>
                <w:sz w:val="24"/>
                <w:szCs w:val="24"/>
              </w:rPr>
              <w:t xml:space="preserve">Record of Consultations with Potential ICR Respondents. </w:t>
            </w:r>
          </w:p>
          <w:p w:rsidR="00E431EC" w:rsidRPr="00E431EC" w:rsidRDefault="00E431EC" w:rsidP="00E431EC">
            <w:pPr>
              <w:rPr>
                <w:b/>
                <w:bCs/>
                <w:sz w:val="24"/>
                <w:szCs w:val="24"/>
              </w:rPr>
            </w:pPr>
          </w:p>
        </w:tc>
      </w:tr>
    </w:tbl>
    <w:p w:rsidR="00280004" w:rsidRDefault="00280004" w:rsidP="000809F1">
      <w:pP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280004" w:rsidRDefault="00280004" w:rsidP="00A5398A">
      <w:pPr>
        <w:jc w:val="center"/>
        <w:rPr>
          <w:b/>
          <w:bCs/>
          <w:sz w:val="24"/>
          <w:szCs w:val="24"/>
        </w:rPr>
      </w:pPr>
    </w:p>
    <w:p w:rsidR="00427E5C" w:rsidRDefault="00427E5C" w:rsidP="00A5398A">
      <w:pPr>
        <w:jc w:val="center"/>
        <w:rPr>
          <w:b/>
          <w:bCs/>
          <w:sz w:val="24"/>
          <w:szCs w:val="24"/>
        </w:rPr>
      </w:pPr>
    </w:p>
    <w:p w:rsidR="00427E5C" w:rsidRDefault="00427E5C" w:rsidP="00A5398A">
      <w:pPr>
        <w:jc w:val="center"/>
        <w:rPr>
          <w:b/>
          <w:bCs/>
          <w:sz w:val="24"/>
          <w:szCs w:val="24"/>
        </w:rPr>
      </w:pPr>
    </w:p>
    <w:p w:rsidR="00280004" w:rsidRDefault="00280004" w:rsidP="00A5398A">
      <w:pPr>
        <w:jc w:val="center"/>
        <w:rPr>
          <w:b/>
          <w:bCs/>
          <w:sz w:val="24"/>
          <w:szCs w:val="24"/>
        </w:rPr>
      </w:pPr>
    </w:p>
    <w:p w:rsidR="00D25519" w:rsidRDefault="00D25519">
      <w:pPr>
        <w:autoSpaceDE/>
        <w:autoSpaceDN/>
        <w:adjustRightInd/>
        <w:rPr>
          <w:b/>
          <w:bCs/>
          <w:sz w:val="24"/>
          <w:szCs w:val="24"/>
        </w:rPr>
      </w:pPr>
    </w:p>
    <w:sectPr w:rsidR="00D25519" w:rsidSect="008853AF">
      <w:type w:val="continuous"/>
      <w:pgSz w:w="12240" w:h="15840"/>
      <w:pgMar w:top="1440" w:right="1440" w:bottom="1260" w:left="1440" w:header="900" w:footer="85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CDE" w:rsidRDefault="00FE7CDE">
      <w:r>
        <w:separator/>
      </w:r>
    </w:p>
  </w:endnote>
  <w:endnote w:type="continuationSeparator" w:id="0">
    <w:p w:rsidR="00FE7CDE" w:rsidRDefault="00FE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DE" w:rsidRPr="003E0E3C" w:rsidRDefault="00FE7CDE" w:rsidP="00537689">
    <w:pPr>
      <w:jc w:val="right"/>
    </w:pPr>
    <w:r w:rsidRPr="003E0E3C">
      <w:t xml:space="preserve">Page </w:t>
    </w:r>
    <w:r w:rsidRPr="003E0E3C">
      <w:fldChar w:fldCharType="begin"/>
    </w:r>
    <w:r w:rsidRPr="003E0E3C">
      <w:instrText xml:space="preserve"> PAGE </w:instrText>
    </w:r>
    <w:r w:rsidRPr="003E0E3C">
      <w:fldChar w:fldCharType="separate"/>
    </w:r>
    <w:r w:rsidR="00C048D2">
      <w:rPr>
        <w:noProof/>
      </w:rPr>
      <w:t>21</w:t>
    </w:r>
    <w:r w:rsidRPr="003E0E3C">
      <w:fldChar w:fldCharType="end"/>
    </w:r>
    <w:r w:rsidRPr="003E0E3C">
      <w:t xml:space="preserve"> of </w:t>
    </w:r>
    <w:r w:rsidR="00C048D2">
      <w:fldChar w:fldCharType="begin"/>
    </w:r>
    <w:r w:rsidR="00C048D2">
      <w:instrText xml:space="preserve"> NUMPAGES </w:instrText>
    </w:r>
    <w:r w:rsidR="00C048D2">
      <w:fldChar w:fldCharType="separate"/>
    </w:r>
    <w:r w:rsidR="00C048D2">
      <w:rPr>
        <w:noProof/>
      </w:rPr>
      <w:t>32</w:t>
    </w:r>
    <w:r w:rsidR="00C048D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CDE" w:rsidRDefault="00FE7CDE">
      <w:r>
        <w:separator/>
      </w:r>
    </w:p>
  </w:footnote>
  <w:footnote w:type="continuationSeparator" w:id="0">
    <w:p w:rsidR="00FE7CDE" w:rsidRDefault="00FE7CDE">
      <w:r>
        <w:continuationSeparator/>
      </w:r>
    </w:p>
  </w:footnote>
  <w:footnote w:id="1">
    <w:p w:rsidR="00FE7CDE" w:rsidRDefault="00FE7CDE" w:rsidP="00D13DBA">
      <w:pPr>
        <w:pStyle w:val="FootnoteText"/>
      </w:pPr>
      <w:r w:rsidRPr="00BD757F">
        <w:rPr>
          <w:rStyle w:val="FootnoteReference"/>
          <w:rFonts w:ascii="Arial" w:hAnsi="Arial" w:cs="Arial"/>
        </w:rPr>
        <w:footnoteRef/>
      </w:r>
      <w:r w:rsidRPr="00BD757F">
        <w:rPr>
          <w:rFonts w:ascii="Arial" w:hAnsi="Arial" w:cs="Arial"/>
          <w:vertAlign w:val="superscript"/>
        </w:rPr>
        <w:t xml:space="preserve"> </w:t>
      </w:r>
      <w:hyperlink r:id="rId1" w:history="1">
        <w:r w:rsidRPr="007B075C">
          <w:rPr>
            <w:rStyle w:val="Hyperlink"/>
            <w:rFonts w:ascii="Arial" w:hAnsi="Arial" w:cs="Arial"/>
          </w:rPr>
          <w:t xml:space="preserve">44 USC 3501 </w:t>
        </w:r>
        <w:proofErr w:type="gramStart"/>
        <w:r w:rsidRPr="007B075C">
          <w:rPr>
            <w:rStyle w:val="Hyperlink"/>
            <w:rFonts w:ascii="Arial" w:hAnsi="Arial" w:cs="Arial"/>
            <w:i/>
            <w:iCs/>
          </w:rPr>
          <w:t>et</w:t>
        </w:r>
        <w:proofErr w:type="gramEnd"/>
        <w:r w:rsidRPr="007B075C">
          <w:rPr>
            <w:rStyle w:val="Hyperlink"/>
            <w:rFonts w:ascii="Arial" w:hAnsi="Arial" w:cs="Arial"/>
            <w:i/>
            <w:iCs/>
          </w:rPr>
          <w:t xml:space="preserve"> seq</w:t>
        </w:r>
      </w:hyperlink>
      <w:r w:rsidRPr="003C148D">
        <w:rPr>
          <w:rFonts w:ascii="Arial" w:hAnsi="Arial" w:cs="Arial"/>
        </w:rPr>
        <w:t>.</w:t>
      </w:r>
    </w:p>
  </w:footnote>
  <w:footnote w:id="2">
    <w:p w:rsidR="00FE7CDE" w:rsidRDefault="00FE7CDE">
      <w:pPr>
        <w:pStyle w:val="FootnoteText"/>
      </w:pPr>
      <w:r>
        <w:rPr>
          <w:rStyle w:val="FootnoteReference"/>
        </w:rPr>
        <w:footnoteRef/>
      </w:r>
      <w:r>
        <w:t xml:space="preserve"> </w:t>
      </w:r>
      <w:r w:rsidRPr="00A9661B">
        <w:t>Common areas are portions of a building generally accessible to all occupants, including – but not limited to – hallways, stairways, laundry rooms, recreational rooms, playgrounds, and community centers.</w:t>
      </w:r>
    </w:p>
  </w:footnote>
  <w:footnote w:id="3">
    <w:p w:rsidR="00FE7CDE" w:rsidRDefault="00FE7CDE">
      <w:pPr>
        <w:pStyle w:val="FootnoteText"/>
      </w:pPr>
      <w:r>
        <w:rPr>
          <w:rStyle w:val="FootnoteReference"/>
        </w:rPr>
        <w:footnoteRef/>
      </w:r>
      <w:r>
        <w:t xml:space="preserve"> </w:t>
      </w:r>
      <w:r w:rsidRPr="00CC1A88">
        <w:rPr>
          <w:i/>
        </w:rPr>
        <w:t>Regulatory Impact Analysis of Lead-Based Paint Hazard Disclosure Regulation for Residential Renovation</w:t>
      </w:r>
      <w:r>
        <w:t xml:space="preserve">, </w:t>
      </w:r>
      <w:smartTag w:uri="urn:schemas-microsoft-com:office:smarttags" w:element="place">
        <w:smartTag w:uri="urn:schemas-microsoft-com:office:smarttags" w:element="country-region">
          <w:r>
            <w:t>U.S.</w:t>
          </w:r>
        </w:smartTag>
      </w:smartTag>
      <w:r>
        <w:t xml:space="preserve"> Environmental Protection Agency, April 1998.</w:t>
      </w:r>
    </w:p>
  </w:footnote>
  <w:footnote w:id="4">
    <w:p w:rsidR="00FE7CDE" w:rsidRDefault="00FE7CDE" w:rsidP="00537689">
      <w:pPr>
        <w:pStyle w:val="FootnoteText"/>
      </w:pPr>
      <w:r>
        <w:rPr>
          <w:rStyle w:val="FootnoteReference"/>
        </w:rPr>
        <w:footnoteRef/>
      </w:r>
      <w:r>
        <w:t>As discussed in detail in s</w:t>
      </w:r>
      <w:r w:rsidRPr="00361A13">
        <w:t>ection 4.4 of the Economic</w:t>
      </w:r>
      <w:r>
        <w:t xml:space="preserve"> Analysis for the RRP rule </w:t>
      </w:r>
      <w:smartTag w:uri="isiresearchsoft-com/cwyw" w:element="citation">
        <w:r>
          <w:t>(EPA 2008)</w:t>
        </w:r>
      </w:smartTag>
      <w:r>
        <w:t>, public schools, private schools with more than 100 students, landlords that rent space to daycare centers in public or commercial buildings, and daycare centers in religious or other non-profit establishments are expected to perform all of their own painting and window/door proje</w:t>
      </w:r>
      <w:r w:rsidRPr="000C7B8E">
        <w:t>cts, as well as one unscheduled maintenance event per building every year.   Contractors</w:t>
      </w:r>
      <w:r>
        <w:t xml:space="preserve"> are expected to perform all electric and plumbing/HVAC, as well as all remaining unscheduled maintenance projects in these COFs.  Furthermore, contractors are expected to perform all RRP projects in private schools with less than 100 students, and in daycare centers that own their buildings.</w:t>
      </w:r>
    </w:p>
  </w:footnote>
  <w:footnote w:id="5">
    <w:p w:rsidR="00FE7CDE" w:rsidRDefault="00FE7CDE">
      <w:pPr>
        <w:pStyle w:val="FootnoteText"/>
      </w:pPr>
      <w:r>
        <w:rPr>
          <w:rStyle w:val="FootnoteReference"/>
        </w:rPr>
        <w:footnoteRef/>
      </w:r>
      <w:r>
        <w:t xml:space="preserve"> The previous ICR estimated that there would be 17,754,180 renovation events per year subject to 406</w:t>
      </w:r>
      <w:smartTag w:uri="isiresearchsoft-com/cwyw" w:element="citation">
        <w:r>
          <w:t>(b)</w:t>
        </w:r>
      </w:smartTag>
      <w:r>
        <w:t xml:space="preserve"> requirements.</w:t>
      </w:r>
    </w:p>
  </w:footnote>
  <w:footnote w:id="6">
    <w:p w:rsidR="00FE7CDE" w:rsidRPr="00E20295" w:rsidRDefault="00FE7CDE">
      <w:pPr>
        <w:pStyle w:val="FootnoteText"/>
      </w:pPr>
      <w:r>
        <w:rPr>
          <w:rStyle w:val="FootnoteReference"/>
        </w:rPr>
        <w:footnoteRef/>
      </w:r>
      <w:r>
        <w:t xml:space="preserve"> </w:t>
      </w:r>
      <w:r>
        <w:rPr>
          <w:i/>
        </w:rPr>
        <w:t>Economic Analysis for the TSCA Lead Renovation, Repair, and Painting Program Final Rule for Target Housing and Child-Occupied Facilities</w:t>
      </w:r>
      <w:r>
        <w:t xml:space="preserve">, </w:t>
      </w:r>
      <w:smartTag w:uri="urn:schemas-microsoft-com:office:smarttags" w:element="place">
        <w:smartTag w:uri="urn:schemas-microsoft-com:office:smarttags" w:element="country-region">
          <w:r>
            <w:t>U.S.</w:t>
          </w:r>
        </w:smartTag>
      </w:smartTag>
      <w:r>
        <w:t xml:space="preserve"> Environmental Protection Agency, March 2008.</w:t>
      </w:r>
    </w:p>
  </w:footnote>
  <w:footnote w:id="7">
    <w:p w:rsidR="00FE7CDE" w:rsidRDefault="00FE7CDE" w:rsidP="006C6567">
      <w:pPr>
        <w:pStyle w:val="FootnoteText"/>
      </w:pPr>
      <w:r>
        <w:rPr>
          <w:rStyle w:val="FootnoteReference"/>
        </w:rPr>
        <w:footnoteRef/>
      </w:r>
      <w:r>
        <w:t xml:space="preserve"> </w:t>
      </w:r>
      <w:r w:rsidRPr="008B647D">
        <w:t xml:space="preserve">Certified renovators’ unloaded wage </w:t>
      </w:r>
      <w:smartTag w:uri="isiresearchsoft-com/cwyw" w:element="citation">
        <w:r w:rsidRPr="008B647D">
          <w:t>($29.</w:t>
        </w:r>
        <w:r>
          <w:t>94</w:t>
        </w:r>
        <w:r w:rsidRPr="008B647D">
          <w:t>/hour)</w:t>
        </w:r>
      </w:smartTag>
      <w:r w:rsidRPr="008B647D">
        <w:t xml:space="preserve"> </w:t>
      </w:r>
      <w:r>
        <w:t>is</w:t>
      </w:r>
      <w:r w:rsidRPr="00815A86">
        <w:t xml:space="preserve"> drawn from the 2009 full-time mean hourly earnings annual data</w:t>
      </w:r>
      <w:r>
        <w:t xml:space="preserve"> for First-line </w:t>
      </w:r>
      <w:r w:rsidRPr="00815A86">
        <w:t xml:space="preserve">Supervisors/managers of construction trades and extraction workers in the Bureau of Labor Statistics </w:t>
      </w:r>
      <w:smartTag w:uri="isiresearchsoft-com/cwyw" w:element="citation">
        <w:r w:rsidRPr="00815A86">
          <w:t>(BLS)</w:t>
        </w:r>
      </w:smartTag>
      <w:r w:rsidRPr="00815A86">
        <w:t xml:space="preserve"> National Compensation Survey: Occupational Wages in the United States, June 2010, Table 2-2 </w:t>
      </w:r>
      <w:smartTag w:uri="isiresearchsoft-com/cwyw" w:element="citation">
        <w:r w:rsidRPr="00815A86">
          <w:t>(Private industry, selected occupations, mean hourly earnings)</w:t>
        </w:r>
      </w:smartTag>
      <w:r w:rsidRPr="00815A86">
        <w:t>.</w:t>
      </w:r>
      <w:r>
        <w:t xml:space="preserve"> </w:t>
      </w:r>
      <w:r w:rsidRPr="00FD6220">
        <w:t>According to 2009 BLS data for employer costs for employee compensation</w:t>
      </w:r>
      <w:r>
        <w:t>,</w:t>
      </w:r>
      <w:r w:rsidRPr="00FD6220">
        <w:t xml:space="preserve"> </w:t>
      </w:r>
      <w:r>
        <w:t>w</w:t>
      </w:r>
      <w:r w:rsidRPr="00FD6220">
        <w:t>ages and salaries accounted for 69.2% of employee compensation, implying a wage multiplier of 1.445</w:t>
      </w:r>
      <w:r>
        <w:t xml:space="preserve"> for fringe benefits</w:t>
      </w:r>
      <w:r w:rsidRPr="00097CFD">
        <w:t xml:space="preserve">.  </w:t>
      </w:r>
      <w:r>
        <w:t>A</w:t>
      </w:r>
      <w:r w:rsidRPr="00097CFD">
        <w:t xml:space="preserve">n additional 8.3% was added to the </w:t>
      </w:r>
      <w:r>
        <w:t>employer cost</w:t>
      </w:r>
      <w:r w:rsidRPr="00097CFD">
        <w:t xml:space="preserve"> multiplier </w:t>
      </w:r>
      <w:r>
        <w:t xml:space="preserve">to account for </w:t>
      </w:r>
      <w:r w:rsidRPr="00097CFD">
        <w:t>overhead</w:t>
      </w:r>
      <w:r>
        <w:t xml:space="preserve">. </w:t>
      </w:r>
      <w:r w:rsidRPr="00097CFD">
        <w:t xml:space="preserve"> </w:t>
      </w:r>
      <w:r>
        <w:t>This is b</w:t>
      </w:r>
      <w:r w:rsidRPr="00097CFD">
        <w:t xml:space="preserve">ased on </w:t>
      </w:r>
      <w:r w:rsidRPr="00097CFD" w:rsidDel="00597146">
        <w:t xml:space="preserve">the </w:t>
      </w:r>
      <w:r w:rsidRPr="00097CFD">
        <w:t xml:space="preserve">Appendix I of the National Association of Home Builders' 2010 Cost of Doing Business Study, </w:t>
      </w:r>
      <w:r>
        <w:t xml:space="preserve">which reported a factor of 3.5% of sales price for indirect construction costs, and 4% for general and administrative costs.  (The sum of 3.5% and 4% is 7.5%.  Subtracting out the 10% that NAHB reports for profit, direct and indirect costs are 90% of sales price.  Taking 7.5% of 90% yields a labor overhead rate of 8.3% of wages and salaries.)  </w:t>
      </w:r>
      <w:proofErr w:type="gramStart"/>
      <w:r w:rsidRPr="00097CFD" w:rsidDel="00597146">
        <w:t>an</w:t>
      </w:r>
      <w:proofErr w:type="gramEnd"/>
      <w:r w:rsidRPr="00097CFD" w:rsidDel="00597146">
        <w:t xml:space="preserve"> additional </w:t>
      </w:r>
      <w:r>
        <w:t xml:space="preserve">Adding an </w:t>
      </w:r>
      <w:r w:rsidRPr="00097CFD">
        <w:t xml:space="preserve">8.3% </w:t>
      </w:r>
      <w:r>
        <w:t xml:space="preserve">overhead factor to the 44.5 % fringe benefits factor results in </w:t>
      </w:r>
      <w:r w:rsidRPr="00097CFD" w:rsidDel="00597146">
        <w:t xml:space="preserve">was added to the </w:t>
      </w:r>
      <w:r w:rsidDel="00597146">
        <w:t>employer cost</w:t>
      </w:r>
      <w:r w:rsidRPr="00097CFD" w:rsidDel="00597146">
        <w:t xml:space="preserve"> multiplier for overhead to estimate </w:t>
      </w:r>
      <w:r w:rsidRPr="00097CFD">
        <w:t>a multiplier of 1.53 for fully loading wages.</w:t>
      </w:r>
      <w:r>
        <w:t xml:space="preserve">  </w:t>
      </w:r>
      <w:r w:rsidRPr="00FD6220">
        <w:t>.</w:t>
      </w:r>
    </w:p>
  </w:footnote>
  <w:footnote w:id="8">
    <w:p w:rsidR="00FE7CDE" w:rsidRDefault="00FE7CDE" w:rsidP="00537689">
      <w:pPr>
        <w:pStyle w:val="FootnoteText"/>
      </w:pPr>
      <w:r>
        <w:rPr>
          <w:rStyle w:val="FootnoteReference"/>
        </w:rPr>
        <w:footnoteRef/>
      </w:r>
      <w:r>
        <w:t xml:space="preserve"> Represents a cost of $0.10 per page to email file for printing </w:t>
      </w:r>
      <w:smartTag w:uri="isiresearchsoft-com/cwyw" w:element="citation">
        <w:r>
          <w:t>(personal communication with Staples, September 9, 2010)</w:t>
        </w:r>
      </w:smartTag>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DD675D8"/>
    <w:lvl w:ilvl="0">
      <w:numFmt w:val="bullet"/>
      <w:lvlText w:val="*"/>
      <w:lvlJc w:val="left"/>
    </w:lvl>
  </w:abstractNum>
  <w:abstractNum w:abstractNumId="1">
    <w:nsid w:val="00CB20CC"/>
    <w:multiLevelType w:val="hybridMultilevel"/>
    <w:tmpl w:val="92C079AC"/>
    <w:lvl w:ilvl="0" w:tplc="830CC3AE">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CE0DAE"/>
    <w:multiLevelType w:val="hybridMultilevel"/>
    <w:tmpl w:val="360AAD28"/>
    <w:lvl w:ilvl="0" w:tplc="E3B071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F57E9B"/>
    <w:multiLevelType w:val="multilevel"/>
    <w:tmpl w:val="D6A28718"/>
    <w:lvl w:ilvl="0">
      <w:start w:val="5"/>
      <w:numFmt w:val="bullet"/>
      <w:lvlText w:val=""/>
      <w:lvlJc w:val="left"/>
      <w:pPr>
        <w:tabs>
          <w:tab w:val="num" w:pos="660"/>
        </w:tabs>
        <w:ind w:left="660" w:hanging="360"/>
      </w:pPr>
      <w:rPr>
        <w:rFonts w:ascii="WP IconicSymbolsA" w:eastAsia="Times New Roman" w:hAnsi="WP IconicSymbolsA" w:cs="WP IconicSymbolsA"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5">
    <w:nsid w:val="0BB00A4D"/>
    <w:multiLevelType w:val="multilevel"/>
    <w:tmpl w:val="5B5C4102"/>
    <w:lvl w:ilvl="0">
      <w:numFmt w:val="bullet"/>
      <w:lvlText w:val=""/>
      <w:lvlJc w:val="left"/>
      <w:pPr>
        <w:tabs>
          <w:tab w:val="num" w:pos="1440"/>
        </w:tabs>
        <w:ind w:left="1440" w:hanging="720"/>
      </w:pPr>
      <w:rPr>
        <w:rFonts w:ascii="WP MathA" w:eastAsia="Times New Roman" w:hAnsi="WP MathA" w:cs="WP Math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EA87B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802964"/>
    <w:multiLevelType w:val="hybridMultilevel"/>
    <w:tmpl w:val="597A2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8460A4"/>
    <w:multiLevelType w:val="hybridMultilevel"/>
    <w:tmpl w:val="DCDEEF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331DAA"/>
    <w:multiLevelType w:val="hybridMultilevel"/>
    <w:tmpl w:val="41605E84"/>
    <w:lvl w:ilvl="0" w:tplc="FFFFFFFF">
      <w:start w:val="1"/>
      <w:numFmt w:val="bullet"/>
      <w:lvlText w:val=""/>
      <w:lvlJc w:val="left"/>
      <w:pPr>
        <w:tabs>
          <w:tab w:val="num" w:pos="1440"/>
        </w:tabs>
        <w:ind w:left="1440" w:hanging="720"/>
      </w:pPr>
      <w:rPr>
        <w:rFonts w:ascii="WP MathA" w:eastAsia="Times New Roman" w:hAnsi="WP MathA" w:cs="WP MathA" w:hint="default"/>
      </w:rPr>
    </w:lvl>
    <w:lvl w:ilvl="1" w:tplc="5846D1C4">
      <w:numFmt w:val="bullet"/>
      <w:lvlText w:val=""/>
      <w:lvlJc w:val="left"/>
      <w:pPr>
        <w:tabs>
          <w:tab w:val="num" w:pos="1800"/>
        </w:tabs>
        <w:ind w:left="1800" w:hanging="360"/>
      </w:pPr>
      <w:rPr>
        <w:rFonts w:ascii="Wingdings" w:eastAsia="Times New Roman" w:hAnsi="Wingdings"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29864161"/>
    <w:multiLevelType w:val="hybridMultilevel"/>
    <w:tmpl w:val="F6DC02A2"/>
    <w:lvl w:ilvl="0" w:tplc="720E16F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2E602C"/>
    <w:multiLevelType w:val="hybridMultilevel"/>
    <w:tmpl w:val="774C25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A07B18"/>
    <w:multiLevelType w:val="hybridMultilevel"/>
    <w:tmpl w:val="EA4867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E15007"/>
    <w:multiLevelType w:val="hybridMultilevel"/>
    <w:tmpl w:val="3FD2A8B8"/>
    <w:lvl w:ilvl="0" w:tplc="04545ED8">
      <w:numFmt w:val="bullet"/>
      <w:lvlText w:val=""/>
      <w:lvlJc w:val="left"/>
      <w:pPr>
        <w:tabs>
          <w:tab w:val="num" w:pos="1080"/>
        </w:tabs>
        <w:ind w:left="1080" w:hanging="360"/>
      </w:pPr>
      <w:rPr>
        <w:rFonts w:ascii="WP MathA" w:eastAsia="Times New Roman" w:hAnsi="WP MathA" w:cs="WP MathA" w:hint="default"/>
      </w:rPr>
    </w:lvl>
    <w:lvl w:ilvl="1" w:tplc="2988C350">
      <w:numFmt w:val="bullet"/>
      <w:lvlText w:val=""/>
      <w:lvlJc w:val="left"/>
      <w:pPr>
        <w:tabs>
          <w:tab w:val="num" w:pos="1800"/>
        </w:tabs>
        <w:ind w:left="1800" w:hanging="360"/>
      </w:pPr>
      <w:rPr>
        <w:rFonts w:ascii="Wingdings" w:eastAsia="Times New Roman" w:hAnsi="Wingding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24D6C49"/>
    <w:multiLevelType w:val="hybridMultilevel"/>
    <w:tmpl w:val="37A2B67A"/>
    <w:lvl w:ilvl="0" w:tplc="EA7E7C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A04473"/>
    <w:multiLevelType w:val="hybridMultilevel"/>
    <w:tmpl w:val="5B5C4102"/>
    <w:lvl w:ilvl="0" w:tplc="633443FA">
      <w:numFmt w:val="bullet"/>
      <w:lvlText w:val=""/>
      <w:lvlJc w:val="left"/>
      <w:pPr>
        <w:tabs>
          <w:tab w:val="num" w:pos="1440"/>
        </w:tabs>
        <w:ind w:left="1440" w:hanging="720"/>
      </w:pPr>
      <w:rPr>
        <w:rFonts w:ascii="WP MathA" w:eastAsia="Times New Roman" w:hAnsi="WP MathA" w:cs="WP Math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670464"/>
    <w:multiLevelType w:val="hybridMultilevel"/>
    <w:tmpl w:val="8FEE41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E37A9"/>
    <w:multiLevelType w:val="singleLevel"/>
    <w:tmpl w:val="0409000F"/>
    <w:lvl w:ilvl="0">
      <w:start w:val="1"/>
      <w:numFmt w:val="decimal"/>
      <w:lvlText w:val="%1."/>
      <w:lvlJc w:val="left"/>
      <w:pPr>
        <w:tabs>
          <w:tab w:val="num" w:pos="360"/>
        </w:tabs>
        <w:ind w:left="360" w:hanging="360"/>
      </w:pPr>
    </w:lvl>
  </w:abstractNum>
  <w:abstractNum w:abstractNumId="22">
    <w:nsid w:val="432D48F6"/>
    <w:multiLevelType w:val="singleLevel"/>
    <w:tmpl w:val="0409000F"/>
    <w:lvl w:ilvl="0">
      <w:start w:val="1"/>
      <w:numFmt w:val="decimal"/>
      <w:lvlText w:val="%1."/>
      <w:lvlJc w:val="left"/>
      <w:pPr>
        <w:tabs>
          <w:tab w:val="num" w:pos="360"/>
        </w:tabs>
        <w:ind w:left="360" w:hanging="360"/>
      </w:pPr>
    </w:lvl>
  </w:abstractNum>
  <w:abstractNum w:abstractNumId="23">
    <w:nsid w:val="437C2E0E"/>
    <w:multiLevelType w:val="hybridMultilevel"/>
    <w:tmpl w:val="091E391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AC5F6F"/>
    <w:multiLevelType w:val="singleLevel"/>
    <w:tmpl w:val="E84C50BA"/>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5">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7F3A27"/>
    <w:multiLevelType w:val="hybridMultilevel"/>
    <w:tmpl w:val="1D6C155E"/>
    <w:lvl w:ilvl="0" w:tplc="633443FA">
      <w:numFmt w:val="bullet"/>
      <w:lvlText w:val=""/>
      <w:lvlJc w:val="left"/>
      <w:pPr>
        <w:tabs>
          <w:tab w:val="num" w:pos="1440"/>
        </w:tabs>
        <w:ind w:left="1440" w:hanging="720"/>
      </w:pPr>
      <w:rPr>
        <w:rFonts w:ascii="WP MathA" w:eastAsia="Times New Roman" w:hAnsi="WP MathA" w:cs="WP Math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82F42EC"/>
    <w:multiLevelType w:val="hybridMultilevel"/>
    <w:tmpl w:val="7736F5B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A27E99"/>
    <w:multiLevelType w:val="hybridMultilevel"/>
    <w:tmpl w:val="04B87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C34394"/>
    <w:multiLevelType w:val="hybridMultilevel"/>
    <w:tmpl w:val="1E8A17FE"/>
    <w:lvl w:ilvl="0" w:tplc="C9D22E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DC7FFB"/>
    <w:multiLevelType w:val="hybridMultilevel"/>
    <w:tmpl w:val="8B500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6619DE"/>
    <w:multiLevelType w:val="hybridMultilevel"/>
    <w:tmpl w:val="D6A28718"/>
    <w:lvl w:ilvl="0" w:tplc="7FBE2262">
      <w:start w:val="5"/>
      <w:numFmt w:val="bullet"/>
      <w:lvlText w:val=""/>
      <w:lvlJc w:val="left"/>
      <w:pPr>
        <w:tabs>
          <w:tab w:val="num" w:pos="660"/>
        </w:tabs>
        <w:ind w:left="660" w:hanging="360"/>
      </w:pPr>
      <w:rPr>
        <w:rFonts w:ascii="WP IconicSymbolsA" w:eastAsia="Times New Roman" w:hAnsi="WP IconicSymbolsA" w:cs="WP IconicSymbolsA"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2">
    <w:nsid w:val="648622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4A55530"/>
    <w:multiLevelType w:val="hybridMultilevel"/>
    <w:tmpl w:val="D5D031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4">
    <w:nsid w:val="674350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990610"/>
    <w:multiLevelType w:val="hybridMultilevel"/>
    <w:tmpl w:val="AB788C86"/>
    <w:lvl w:ilvl="0" w:tplc="905E0AC2">
      <w:numFmt w:val="decimal"/>
      <w:lvlText w:val="(%1)"/>
      <w:lvlJc w:val="left"/>
      <w:pPr>
        <w:tabs>
          <w:tab w:val="num" w:pos="1080"/>
        </w:tabs>
        <w:ind w:left="1080" w:hanging="360"/>
      </w:pPr>
      <w:rPr>
        <w:rFonts w:ascii="Times New Roman" w:eastAsia="Times New Roman"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35A1AD3"/>
    <w:multiLevelType w:val="hybridMultilevel"/>
    <w:tmpl w:val="311C4A1A"/>
    <w:lvl w:ilvl="0" w:tplc="FFFFFFFF">
      <w:start w:val="3"/>
      <w:numFmt w:val="bullet"/>
      <w:lvlText w:val=""/>
      <w:lvlJc w:val="left"/>
      <w:pPr>
        <w:tabs>
          <w:tab w:val="num" w:pos="1440"/>
        </w:tabs>
        <w:ind w:left="1440" w:hanging="720"/>
      </w:pPr>
      <w:rPr>
        <w:rFonts w:ascii="WP MathA" w:eastAsia="Times New Roman" w:hAnsi="WP MathA" w:cs="WP MathA"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37"/>
  </w:num>
  <w:num w:numId="4">
    <w:abstractNumId w:val="10"/>
  </w:num>
  <w:num w:numId="5">
    <w:abstractNumId w:val="31"/>
  </w:num>
  <w:num w:numId="6">
    <w:abstractNumId w:val="21"/>
  </w:num>
  <w:num w:numId="7">
    <w:abstractNumId w:val="6"/>
  </w:num>
  <w:num w:numId="8">
    <w:abstractNumId w:val="34"/>
  </w:num>
  <w:num w:numId="9">
    <w:abstractNumId w:val="22"/>
  </w:num>
  <w:num w:numId="10">
    <w:abstractNumId w:val="32"/>
  </w:num>
  <w:num w:numId="11">
    <w:abstractNumId w:val="29"/>
  </w:num>
  <w:num w:numId="12">
    <w:abstractNumId w:val="30"/>
  </w:num>
  <w:num w:numId="13">
    <w:abstractNumId w:val="14"/>
  </w:num>
  <w:num w:numId="14">
    <w:abstractNumId w:val="13"/>
  </w:num>
  <w:num w:numId="15">
    <w:abstractNumId w:val="28"/>
  </w:num>
  <w:num w:numId="16">
    <w:abstractNumId w:val="9"/>
  </w:num>
  <w:num w:numId="17">
    <w:abstractNumId w:val="23"/>
  </w:num>
  <w:num w:numId="18">
    <w:abstractNumId w:val="4"/>
  </w:num>
  <w:num w:numId="19">
    <w:abstractNumId w:val="33"/>
  </w:num>
  <w:num w:numId="20">
    <w:abstractNumId w:val="3"/>
  </w:num>
  <w:num w:numId="21">
    <w:abstractNumId w:val="12"/>
  </w:num>
  <w:num w:numId="22">
    <w:abstractNumId w:val="35"/>
  </w:num>
  <w:num w:numId="23">
    <w:abstractNumId w:val="20"/>
  </w:num>
  <w:num w:numId="24">
    <w:abstractNumId w:val="25"/>
  </w:num>
  <w:num w:numId="25">
    <w:abstractNumId w:val="15"/>
  </w:num>
  <w:num w:numId="26">
    <w:abstractNumId w:val="17"/>
  </w:num>
  <w:num w:numId="27">
    <w:abstractNumId w:val="26"/>
  </w:num>
  <w:num w:numId="28">
    <w:abstractNumId w:val="18"/>
  </w:num>
  <w:num w:numId="29">
    <w:abstractNumId w:val="5"/>
  </w:num>
  <w:num w:numId="30">
    <w:abstractNumId w:val="27"/>
  </w:num>
  <w:num w:numId="31">
    <w:abstractNumId w:val="8"/>
  </w:num>
  <w:num w:numId="32">
    <w:abstractNumId w:val="7"/>
  </w:num>
  <w:num w:numId="33">
    <w:abstractNumId w:val="36"/>
  </w:num>
  <w:num w:numId="34">
    <w:abstractNumId w:val="2"/>
  </w:num>
  <w:num w:numId="35">
    <w:abstractNumId w:val="19"/>
  </w:num>
  <w:num w:numId="36">
    <w:abstractNumId w:val="11"/>
  </w:num>
  <w:num w:numId="37">
    <w:abstractNumId w:val="1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89"/>
    <w:rsid w:val="00011B9A"/>
    <w:rsid w:val="00014355"/>
    <w:rsid w:val="000203B0"/>
    <w:rsid w:val="0002293E"/>
    <w:rsid w:val="00026D45"/>
    <w:rsid w:val="00037815"/>
    <w:rsid w:val="00037E33"/>
    <w:rsid w:val="0004187A"/>
    <w:rsid w:val="000444EF"/>
    <w:rsid w:val="0004665D"/>
    <w:rsid w:val="000474AA"/>
    <w:rsid w:val="0005468E"/>
    <w:rsid w:val="00055366"/>
    <w:rsid w:val="000570D8"/>
    <w:rsid w:val="00061213"/>
    <w:rsid w:val="00062EBB"/>
    <w:rsid w:val="0006454E"/>
    <w:rsid w:val="000679FD"/>
    <w:rsid w:val="000714A6"/>
    <w:rsid w:val="000773A9"/>
    <w:rsid w:val="000809F1"/>
    <w:rsid w:val="00082C07"/>
    <w:rsid w:val="00085D37"/>
    <w:rsid w:val="00091AA0"/>
    <w:rsid w:val="00092D16"/>
    <w:rsid w:val="00094E1C"/>
    <w:rsid w:val="000A41ED"/>
    <w:rsid w:val="000B078B"/>
    <w:rsid w:val="000B2FE1"/>
    <w:rsid w:val="000B312A"/>
    <w:rsid w:val="000B6D3D"/>
    <w:rsid w:val="000C29EB"/>
    <w:rsid w:val="000C44B0"/>
    <w:rsid w:val="000D4881"/>
    <w:rsid w:val="000D63F8"/>
    <w:rsid w:val="000D7582"/>
    <w:rsid w:val="000E1C31"/>
    <w:rsid w:val="000E3C90"/>
    <w:rsid w:val="000E3F9F"/>
    <w:rsid w:val="000F4F71"/>
    <w:rsid w:val="000F50FE"/>
    <w:rsid w:val="000F56C2"/>
    <w:rsid w:val="000F6E9D"/>
    <w:rsid w:val="001156D1"/>
    <w:rsid w:val="001215EC"/>
    <w:rsid w:val="00125987"/>
    <w:rsid w:val="00134FF9"/>
    <w:rsid w:val="00135783"/>
    <w:rsid w:val="001549DF"/>
    <w:rsid w:val="001551D6"/>
    <w:rsid w:val="0015522C"/>
    <w:rsid w:val="00157B4C"/>
    <w:rsid w:val="00160C32"/>
    <w:rsid w:val="00160DAA"/>
    <w:rsid w:val="00164172"/>
    <w:rsid w:val="001651E7"/>
    <w:rsid w:val="0016598E"/>
    <w:rsid w:val="00171B7D"/>
    <w:rsid w:val="001732A2"/>
    <w:rsid w:val="00180C25"/>
    <w:rsid w:val="0018260C"/>
    <w:rsid w:val="001A4A2B"/>
    <w:rsid w:val="001C4282"/>
    <w:rsid w:val="001D074B"/>
    <w:rsid w:val="001D2075"/>
    <w:rsid w:val="001D297E"/>
    <w:rsid w:val="001E5517"/>
    <w:rsid w:val="001F348D"/>
    <w:rsid w:val="002164A8"/>
    <w:rsid w:val="002213C1"/>
    <w:rsid w:val="00222D74"/>
    <w:rsid w:val="0023123A"/>
    <w:rsid w:val="002319F0"/>
    <w:rsid w:val="00234F27"/>
    <w:rsid w:val="00241E16"/>
    <w:rsid w:val="00244E8A"/>
    <w:rsid w:val="00250FF4"/>
    <w:rsid w:val="00256E1A"/>
    <w:rsid w:val="00257A33"/>
    <w:rsid w:val="00262D85"/>
    <w:rsid w:val="00266699"/>
    <w:rsid w:val="002706F6"/>
    <w:rsid w:val="002737A2"/>
    <w:rsid w:val="0027431C"/>
    <w:rsid w:val="00280004"/>
    <w:rsid w:val="00281325"/>
    <w:rsid w:val="00281430"/>
    <w:rsid w:val="002829D1"/>
    <w:rsid w:val="00293224"/>
    <w:rsid w:val="00293B34"/>
    <w:rsid w:val="0029732B"/>
    <w:rsid w:val="002B071F"/>
    <w:rsid w:val="002B343B"/>
    <w:rsid w:val="002B3E3C"/>
    <w:rsid w:val="002B4D77"/>
    <w:rsid w:val="002C159F"/>
    <w:rsid w:val="002C4FF6"/>
    <w:rsid w:val="002D3B1A"/>
    <w:rsid w:val="002D70A0"/>
    <w:rsid w:val="002D781F"/>
    <w:rsid w:val="002E0461"/>
    <w:rsid w:val="002E1D79"/>
    <w:rsid w:val="002F185E"/>
    <w:rsid w:val="002F6E31"/>
    <w:rsid w:val="003016E3"/>
    <w:rsid w:val="003045F9"/>
    <w:rsid w:val="003063A3"/>
    <w:rsid w:val="00312578"/>
    <w:rsid w:val="00312DD3"/>
    <w:rsid w:val="003146CF"/>
    <w:rsid w:val="00315930"/>
    <w:rsid w:val="0032235D"/>
    <w:rsid w:val="003224A0"/>
    <w:rsid w:val="00324F6F"/>
    <w:rsid w:val="0032686C"/>
    <w:rsid w:val="00326FCA"/>
    <w:rsid w:val="00332F18"/>
    <w:rsid w:val="003335A1"/>
    <w:rsid w:val="00335FAB"/>
    <w:rsid w:val="00340574"/>
    <w:rsid w:val="00345812"/>
    <w:rsid w:val="00347F10"/>
    <w:rsid w:val="00354663"/>
    <w:rsid w:val="00360864"/>
    <w:rsid w:val="00363A91"/>
    <w:rsid w:val="00364C85"/>
    <w:rsid w:val="00370BC0"/>
    <w:rsid w:val="00373177"/>
    <w:rsid w:val="003747DE"/>
    <w:rsid w:val="00376919"/>
    <w:rsid w:val="00377D5A"/>
    <w:rsid w:val="00392817"/>
    <w:rsid w:val="00392A0B"/>
    <w:rsid w:val="00396179"/>
    <w:rsid w:val="003A60A1"/>
    <w:rsid w:val="003B09FB"/>
    <w:rsid w:val="003B2378"/>
    <w:rsid w:val="003B2CB4"/>
    <w:rsid w:val="003B4E69"/>
    <w:rsid w:val="003B5FD2"/>
    <w:rsid w:val="003B6A7D"/>
    <w:rsid w:val="003C2D2C"/>
    <w:rsid w:val="003C3F22"/>
    <w:rsid w:val="003C52D4"/>
    <w:rsid w:val="003C6FFC"/>
    <w:rsid w:val="003D23F7"/>
    <w:rsid w:val="003D55F0"/>
    <w:rsid w:val="003D664F"/>
    <w:rsid w:val="003E4841"/>
    <w:rsid w:val="003F0545"/>
    <w:rsid w:val="003F06AF"/>
    <w:rsid w:val="003F180C"/>
    <w:rsid w:val="0040404E"/>
    <w:rsid w:val="0040601C"/>
    <w:rsid w:val="00406EAC"/>
    <w:rsid w:val="004119A3"/>
    <w:rsid w:val="00424376"/>
    <w:rsid w:val="00424929"/>
    <w:rsid w:val="00425131"/>
    <w:rsid w:val="004275CA"/>
    <w:rsid w:val="00427E5C"/>
    <w:rsid w:val="00430C2C"/>
    <w:rsid w:val="004324C3"/>
    <w:rsid w:val="00435B7A"/>
    <w:rsid w:val="00445105"/>
    <w:rsid w:val="00445F83"/>
    <w:rsid w:val="004511AD"/>
    <w:rsid w:val="00465997"/>
    <w:rsid w:val="00466D5E"/>
    <w:rsid w:val="00472FC8"/>
    <w:rsid w:val="00474C8F"/>
    <w:rsid w:val="00474D13"/>
    <w:rsid w:val="00475A81"/>
    <w:rsid w:val="00477B11"/>
    <w:rsid w:val="00483C40"/>
    <w:rsid w:val="004859AA"/>
    <w:rsid w:val="00491921"/>
    <w:rsid w:val="00493225"/>
    <w:rsid w:val="00494C1F"/>
    <w:rsid w:val="00495094"/>
    <w:rsid w:val="004A11FB"/>
    <w:rsid w:val="004A5CB8"/>
    <w:rsid w:val="004A7A09"/>
    <w:rsid w:val="004B3E80"/>
    <w:rsid w:val="004B4065"/>
    <w:rsid w:val="004C0EBE"/>
    <w:rsid w:val="004C13DB"/>
    <w:rsid w:val="004C19D6"/>
    <w:rsid w:val="004D3366"/>
    <w:rsid w:val="004D46B9"/>
    <w:rsid w:val="004D59BE"/>
    <w:rsid w:val="004D6CE9"/>
    <w:rsid w:val="004E07A4"/>
    <w:rsid w:val="004E0CC7"/>
    <w:rsid w:val="004E1088"/>
    <w:rsid w:val="004E20AE"/>
    <w:rsid w:val="004E6EF3"/>
    <w:rsid w:val="004F20DA"/>
    <w:rsid w:val="00502AEE"/>
    <w:rsid w:val="00503F60"/>
    <w:rsid w:val="00510510"/>
    <w:rsid w:val="005155C0"/>
    <w:rsid w:val="00520576"/>
    <w:rsid w:val="00523E57"/>
    <w:rsid w:val="00525F1A"/>
    <w:rsid w:val="00533E2F"/>
    <w:rsid w:val="00537689"/>
    <w:rsid w:val="00541526"/>
    <w:rsid w:val="00544F42"/>
    <w:rsid w:val="005509F5"/>
    <w:rsid w:val="0055799B"/>
    <w:rsid w:val="005605CC"/>
    <w:rsid w:val="00565331"/>
    <w:rsid w:val="005705A7"/>
    <w:rsid w:val="005739BC"/>
    <w:rsid w:val="00580C84"/>
    <w:rsid w:val="00582F98"/>
    <w:rsid w:val="00584EA0"/>
    <w:rsid w:val="0058699A"/>
    <w:rsid w:val="00587D48"/>
    <w:rsid w:val="00595434"/>
    <w:rsid w:val="00595DCA"/>
    <w:rsid w:val="00596F32"/>
    <w:rsid w:val="005A00DE"/>
    <w:rsid w:val="005A3E66"/>
    <w:rsid w:val="005A4FFF"/>
    <w:rsid w:val="005B49E1"/>
    <w:rsid w:val="005B60E6"/>
    <w:rsid w:val="005C1339"/>
    <w:rsid w:val="005C3509"/>
    <w:rsid w:val="005C4324"/>
    <w:rsid w:val="005C5392"/>
    <w:rsid w:val="005E6A31"/>
    <w:rsid w:val="005E7080"/>
    <w:rsid w:val="005F0697"/>
    <w:rsid w:val="005F3F7C"/>
    <w:rsid w:val="00605909"/>
    <w:rsid w:val="00607696"/>
    <w:rsid w:val="00607714"/>
    <w:rsid w:val="0061048C"/>
    <w:rsid w:val="0061609C"/>
    <w:rsid w:val="0062266D"/>
    <w:rsid w:val="00623887"/>
    <w:rsid w:val="0062520E"/>
    <w:rsid w:val="00627164"/>
    <w:rsid w:val="00627903"/>
    <w:rsid w:val="00630167"/>
    <w:rsid w:val="0063149E"/>
    <w:rsid w:val="0063511D"/>
    <w:rsid w:val="00637D22"/>
    <w:rsid w:val="00641E84"/>
    <w:rsid w:val="00655DAF"/>
    <w:rsid w:val="00662B77"/>
    <w:rsid w:val="006648B8"/>
    <w:rsid w:val="00665EAE"/>
    <w:rsid w:val="00672263"/>
    <w:rsid w:val="00674D36"/>
    <w:rsid w:val="00675F4C"/>
    <w:rsid w:val="006770B4"/>
    <w:rsid w:val="00691317"/>
    <w:rsid w:val="006916B8"/>
    <w:rsid w:val="00696A04"/>
    <w:rsid w:val="006A6D22"/>
    <w:rsid w:val="006B1DF9"/>
    <w:rsid w:val="006C338B"/>
    <w:rsid w:val="006C5D40"/>
    <w:rsid w:val="006C6567"/>
    <w:rsid w:val="006E30AE"/>
    <w:rsid w:val="006E6EB2"/>
    <w:rsid w:val="006F3CB1"/>
    <w:rsid w:val="00714511"/>
    <w:rsid w:val="0071476F"/>
    <w:rsid w:val="00715759"/>
    <w:rsid w:val="00730914"/>
    <w:rsid w:val="007314EE"/>
    <w:rsid w:val="00734466"/>
    <w:rsid w:val="00740619"/>
    <w:rsid w:val="007415CB"/>
    <w:rsid w:val="00745925"/>
    <w:rsid w:val="00751C57"/>
    <w:rsid w:val="00753197"/>
    <w:rsid w:val="00756767"/>
    <w:rsid w:val="0076380C"/>
    <w:rsid w:val="00764FFE"/>
    <w:rsid w:val="0077499B"/>
    <w:rsid w:val="0078157C"/>
    <w:rsid w:val="00783928"/>
    <w:rsid w:val="00787ECF"/>
    <w:rsid w:val="00795D0F"/>
    <w:rsid w:val="007A419F"/>
    <w:rsid w:val="007B2756"/>
    <w:rsid w:val="007C4DBC"/>
    <w:rsid w:val="007D191E"/>
    <w:rsid w:val="007D2FC1"/>
    <w:rsid w:val="007D4D58"/>
    <w:rsid w:val="007F455A"/>
    <w:rsid w:val="007F6D99"/>
    <w:rsid w:val="00802843"/>
    <w:rsid w:val="0080426E"/>
    <w:rsid w:val="0080435E"/>
    <w:rsid w:val="00805221"/>
    <w:rsid w:val="00811FD5"/>
    <w:rsid w:val="00815A86"/>
    <w:rsid w:val="008161D1"/>
    <w:rsid w:val="00821495"/>
    <w:rsid w:val="00833BC3"/>
    <w:rsid w:val="00835FA5"/>
    <w:rsid w:val="00846045"/>
    <w:rsid w:val="00847DF4"/>
    <w:rsid w:val="0085358D"/>
    <w:rsid w:val="008576A6"/>
    <w:rsid w:val="00870639"/>
    <w:rsid w:val="00873241"/>
    <w:rsid w:val="008766AC"/>
    <w:rsid w:val="00877946"/>
    <w:rsid w:val="00884564"/>
    <w:rsid w:val="008853AF"/>
    <w:rsid w:val="008905E0"/>
    <w:rsid w:val="00897D5C"/>
    <w:rsid w:val="008A3EF3"/>
    <w:rsid w:val="008B0690"/>
    <w:rsid w:val="008B5C46"/>
    <w:rsid w:val="008B73C7"/>
    <w:rsid w:val="008C060B"/>
    <w:rsid w:val="008C6D26"/>
    <w:rsid w:val="008D338F"/>
    <w:rsid w:val="008D50F6"/>
    <w:rsid w:val="008D5F60"/>
    <w:rsid w:val="008D7FAC"/>
    <w:rsid w:val="008E3C1B"/>
    <w:rsid w:val="008E792E"/>
    <w:rsid w:val="008E7C0A"/>
    <w:rsid w:val="008F19E1"/>
    <w:rsid w:val="008F5E63"/>
    <w:rsid w:val="00900A2C"/>
    <w:rsid w:val="009055D6"/>
    <w:rsid w:val="00913842"/>
    <w:rsid w:val="009163A6"/>
    <w:rsid w:val="00920E74"/>
    <w:rsid w:val="0092190C"/>
    <w:rsid w:val="009254D7"/>
    <w:rsid w:val="009259CA"/>
    <w:rsid w:val="00926F5F"/>
    <w:rsid w:val="009309DC"/>
    <w:rsid w:val="00931ECB"/>
    <w:rsid w:val="00935E37"/>
    <w:rsid w:val="00937F8E"/>
    <w:rsid w:val="00940102"/>
    <w:rsid w:val="009408F6"/>
    <w:rsid w:val="00942920"/>
    <w:rsid w:val="00944A7E"/>
    <w:rsid w:val="00950250"/>
    <w:rsid w:val="009522FB"/>
    <w:rsid w:val="009543FF"/>
    <w:rsid w:val="009562D1"/>
    <w:rsid w:val="009605B9"/>
    <w:rsid w:val="00963301"/>
    <w:rsid w:val="009666A6"/>
    <w:rsid w:val="00971440"/>
    <w:rsid w:val="00982D0E"/>
    <w:rsid w:val="00983CFF"/>
    <w:rsid w:val="00984287"/>
    <w:rsid w:val="00987917"/>
    <w:rsid w:val="00993FF0"/>
    <w:rsid w:val="009957DC"/>
    <w:rsid w:val="009A6BEC"/>
    <w:rsid w:val="009B30D5"/>
    <w:rsid w:val="009B3C93"/>
    <w:rsid w:val="009C13A7"/>
    <w:rsid w:val="009D0258"/>
    <w:rsid w:val="009D35D1"/>
    <w:rsid w:val="009D429B"/>
    <w:rsid w:val="009D6B4D"/>
    <w:rsid w:val="009E1B72"/>
    <w:rsid w:val="009E203E"/>
    <w:rsid w:val="009E2E19"/>
    <w:rsid w:val="009F1072"/>
    <w:rsid w:val="009F5D0A"/>
    <w:rsid w:val="009F6B34"/>
    <w:rsid w:val="00A0074C"/>
    <w:rsid w:val="00A05424"/>
    <w:rsid w:val="00A15098"/>
    <w:rsid w:val="00A3088C"/>
    <w:rsid w:val="00A31213"/>
    <w:rsid w:val="00A33810"/>
    <w:rsid w:val="00A3530D"/>
    <w:rsid w:val="00A411A9"/>
    <w:rsid w:val="00A41D56"/>
    <w:rsid w:val="00A4227D"/>
    <w:rsid w:val="00A45032"/>
    <w:rsid w:val="00A52B7A"/>
    <w:rsid w:val="00A5398A"/>
    <w:rsid w:val="00A53C25"/>
    <w:rsid w:val="00A55451"/>
    <w:rsid w:val="00A560E4"/>
    <w:rsid w:val="00A60EF4"/>
    <w:rsid w:val="00A63128"/>
    <w:rsid w:val="00A6363F"/>
    <w:rsid w:val="00A6411F"/>
    <w:rsid w:val="00A6582D"/>
    <w:rsid w:val="00A6689F"/>
    <w:rsid w:val="00A709A3"/>
    <w:rsid w:val="00A71E04"/>
    <w:rsid w:val="00A779D8"/>
    <w:rsid w:val="00A9095E"/>
    <w:rsid w:val="00A9661B"/>
    <w:rsid w:val="00A97ED1"/>
    <w:rsid w:val="00AA2851"/>
    <w:rsid w:val="00AA35CE"/>
    <w:rsid w:val="00AA7600"/>
    <w:rsid w:val="00AA7C94"/>
    <w:rsid w:val="00AC673B"/>
    <w:rsid w:val="00AD0BB5"/>
    <w:rsid w:val="00AE410A"/>
    <w:rsid w:val="00AE5314"/>
    <w:rsid w:val="00AF31F4"/>
    <w:rsid w:val="00AF329E"/>
    <w:rsid w:val="00B01100"/>
    <w:rsid w:val="00B028F7"/>
    <w:rsid w:val="00B030B6"/>
    <w:rsid w:val="00B05DE5"/>
    <w:rsid w:val="00B06931"/>
    <w:rsid w:val="00B101F2"/>
    <w:rsid w:val="00B1679E"/>
    <w:rsid w:val="00B22072"/>
    <w:rsid w:val="00B222F0"/>
    <w:rsid w:val="00B3355D"/>
    <w:rsid w:val="00B3596D"/>
    <w:rsid w:val="00B3610D"/>
    <w:rsid w:val="00B37677"/>
    <w:rsid w:val="00B4518A"/>
    <w:rsid w:val="00B62438"/>
    <w:rsid w:val="00B6325B"/>
    <w:rsid w:val="00B63D6F"/>
    <w:rsid w:val="00B673C5"/>
    <w:rsid w:val="00B677FC"/>
    <w:rsid w:val="00B70BAE"/>
    <w:rsid w:val="00B71DE1"/>
    <w:rsid w:val="00B74F25"/>
    <w:rsid w:val="00B804EC"/>
    <w:rsid w:val="00B8277A"/>
    <w:rsid w:val="00B8524A"/>
    <w:rsid w:val="00B87ECA"/>
    <w:rsid w:val="00B9364C"/>
    <w:rsid w:val="00BA6144"/>
    <w:rsid w:val="00BB5DFE"/>
    <w:rsid w:val="00BC23CC"/>
    <w:rsid w:val="00BC5587"/>
    <w:rsid w:val="00BD0253"/>
    <w:rsid w:val="00BD0F7B"/>
    <w:rsid w:val="00BD571E"/>
    <w:rsid w:val="00BE5A7C"/>
    <w:rsid w:val="00BE751C"/>
    <w:rsid w:val="00BE7A8A"/>
    <w:rsid w:val="00BF5067"/>
    <w:rsid w:val="00BF70A0"/>
    <w:rsid w:val="00C048D2"/>
    <w:rsid w:val="00C14D76"/>
    <w:rsid w:val="00C22264"/>
    <w:rsid w:val="00C23608"/>
    <w:rsid w:val="00C253F1"/>
    <w:rsid w:val="00C31F2F"/>
    <w:rsid w:val="00C347E3"/>
    <w:rsid w:val="00C36F8C"/>
    <w:rsid w:val="00C375D0"/>
    <w:rsid w:val="00C45019"/>
    <w:rsid w:val="00C452EE"/>
    <w:rsid w:val="00C45847"/>
    <w:rsid w:val="00C520DF"/>
    <w:rsid w:val="00C6103B"/>
    <w:rsid w:val="00C62089"/>
    <w:rsid w:val="00C65171"/>
    <w:rsid w:val="00C96089"/>
    <w:rsid w:val="00C9718B"/>
    <w:rsid w:val="00CA347C"/>
    <w:rsid w:val="00CA47E0"/>
    <w:rsid w:val="00CC19AA"/>
    <w:rsid w:val="00CC1A88"/>
    <w:rsid w:val="00CC2AB5"/>
    <w:rsid w:val="00CC65FE"/>
    <w:rsid w:val="00CD0165"/>
    <w:rsid w:val="00CD069D"/>
    <w:rsid w:val="00CD0924"/>
    <w:rsid w:val="00CD0A7A"/>
    <w:rsid w:val="00CD0B9E"/>
    <w:rsid w:val="00CD6590"/>
    <w:rsid w:val="00CE2052"/>
    <w:rsid w:val="00CE6022"/>
    <w:rsid w:val="00CF21E2"/>
    <w:rsid w:val="00CF4323"/>
    <w:rsid w:val="00CF5C17"/>
    <w:rsid w:val="00D041FD"/>
    <w:rsid w:val="00D067A1"/>
    <w:rsid w:val="00D10507"/>
    <w:rsid w:val="00D13DBA"/>
    <w:rsid w:val="00D15A78"/>
    <w:rsid w:val="00D16EBB"/>
    <w:rsid w:val="00D25519"/>
    <w:rsid w:val="00D26E9D"/>
    <w:rsid w:val="00D27D37"/>
    <w:rsid w:val="00D31215"/>
    <w:rsid w:val="00D34722"/>
    <w:rsid w:val="00D36412"/>
    <w:rsid w:val="00D42A2C"/>
    <w:rsid w:val="00D430FD"/>
    <w:rsid w:val="00D4396D"/>
    <w:rsid w:val="00D44468"/>
    <w:rsid w:val="00D453E6"/>
    <w:rsid w:val="00D46561"/>
    <w:rsid w:val="00D50159"/>
    <w:rsid w:val="00D66D44"/>
    <w:rsid w:val="00D7605E"/>
    <w:rsid w:val="00D767AE"/>
    <w:rsid w:val="00D81153"/>
    <w:rsid w:val="00D82CE4"/>
    <w:rsid w:val="00D82CEF"/>
    <w:rsid w:val="00D834A2"/>
    <w:rsid w:val="00D84042"/>
    <w:rsid w:val="00D840F4"/>
    <w:rsid w:val="00D84B8D"/>
    <w:rsid w:val="00D85B8D"/>
    <w:rsid w:val="00D90600"/>
    <w:rsid w:val="00D932C5"/>
    <w:rsid w:val="00D93752"/>
    <w:rsid w:val="00D95DEF"/>
    <w:rsid w:val="00D97BEF"/>
    <w:rsid w:val="00DA0E12"/>
    <w:rsid w:val="00DA3953"/>
    <w:rsid w:val="00DA3E12"/>
    <w:rsid w:val="00DB43BF"/>
    <w:rsid w:val="00DC137B"/>
    <w:rsid w:val="00DC352A"/>
    <w:rsid w:val="00DC75C1"/>
    <w:rsid w:val="00DD0249"/>
    <w:rsid w:val="00DD5AAC"/>
    <w:rsid w:val="00DE4217"/>
    <w:rsid w:val="00DF24BA"/>
    <w:rsid w:val="00DF426E"/>
    <w:rsid w:val="00DF439A"/>
    <w:rsid w:val="00E0741A"/>
    <w:rsid w:val="00E10A68"/>
    <w:rsid w:val="00E135B2"/>
    <w:rsid w:val="00E1772B"/>
    <w:rsid w:val="00E20295"/>
    <w:rsid w:val="00E21D75"/>
    <w:rsid w:val="00E27ACC"/>
    <w:rsid w:val="00E33B71"/>
    <w:rsid w:val="00E41B55"/>
    <w:rsid w:val="00E431EC"/>
    <w:rsid w:val="00E43296"/>
    <w:rsid w:val="00E54898"/>
    <w:rsid w:val="00E55283"/>
    <w:rsid w:val="00E5710D"/>
    <w:rsid w:val="00E5755D"/>
    <w:rsid w:val="00E66F95"/>
    <w:rsid w:val="00E744ED"/>
    <w:rsid w:val="00E80ABB"/>
    <w:rsid w:val="00E837A2"/>
    <w:rsid w:val="00E85019"/>
    <w:rsid w:val="00E87322"/>
    <w:rsid w:val="00E910EC"/>
    <w:rsid w:val="00E92315"/>
    <w:rsid w:val="00EA2C0C"/>
    <w:rsid w:val="00EA705B"/>
    <w:rsid w:val="00EB0045"/>
    <w:rsid w:val="00EB0830"/>
    <w:rsid w:val="00EB1907"/>
    <w:rsid w:val="00EB2350"/>
    <w:rsid w:val="00EB2D7F"/>
    <w:rsid w:val="00EB65D3"/>
    <w:rsid w:val="00EC6F62"/>
    <w:rsid w:val="00ED0128"/>
    <w:rsid w:val="00ED0A40"/>
    <w:rsid w:val="00ED3BC6"/>
    <w:rsid w:val="00EE5628"/>
    <w:rsid w:val="00EE6E3D"/>
    <w:rsid w:val="00EE767D"/>
    <w:rsid w:val="00EF0DAA"/>
    <w:rsid w:val="00EF1039"/>
    <w:rsid w:val="00EF1B3D"/>
    <w:rsid w:val="00EF23A5"/>
    <w:rsid w:val="00EF262E"/>
    <w:rsid w:val="00EF2B93"/>
    <w:rsid w:val="00EF3753"/>
    <w:rsid w:val="00EF3AB3"/>
    <w:rsid w:val="00EF53BC"/>
    <w:rsid w:val="00F052B6"/>
    <w:rsid w:val="00F07891"/>
    <w:rsid w:val="00F15CE9"/>
    <w:rsid w:val="00F16194"/>
    <w:rsid w:val="00F221B0"/>
    <w:rsid w:val="00F37633"/>
    <w:rsid w:val="00F41016"/>
    <w:rsid w:val="00F427C3"/>
    <w:rsid w:val="00F469A3"/>
    <w:rsid w:val="00F47372"/>
    <w:rsid w:val="00F5484A"/>
    <w:rsid w:val="00F605FF"/>
    <w:rsid w:val="00F60E73"/>
    <w:rsid w:val="00F63407"/>
    <w:rsid w:val="00F67650"/>
    <w:rsid w:val="00F7038F"/>
    <w:rsid w:val="00F720B4"/>
    <w:rsid w:val="00F84561"/>
    <w:rsid w:val="00F90081"/>
    <w:rsid w:val="00F91006"/>
    <w:rsid w:val="00F939C9"/>
    <w:rsid w:val="00F95528"/>
    <w:rsid w:val="00FA28EE"/>
    <w:rsid w:val="00FA776C"/>
    <w:rsid w:val="00FB309F"/>
    <w:rsid w:val="00FC5816"/>
    <w:rsid w:val="00FD5AE0"/>
    <w:rsid w:val="00FD6220"/>
    <w:rsid w:val="00FE3063"/>
    <w:rsid w:val="00FE5505"/>
    <w:rsid w:val="00FE7CDE"/>
    <w:rsid w:val="00FF44B8"/>
    <w:rsid w:val="00FF5CB4"/>
    <w:rsid w:val="00FF5D17"/>
    <w:rsid w:val="00FF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isiresearchsoft-com/cwyw" w:name="citation"/>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689"/>
    <w:pPr>
      <w:autoSpaceDE w:val="0"/>
      <w:autoSpaceDN w:val="0"/>
      <w:adjustRightInd w:val="0"/>
    </w:pPr>
  </w:style>
  <w:style w:type="paragraph" w:styleId="Heading1">
    <w:name w:val="heading 1"/>
    <w:basedOn w:val="Normal"/>
    <w:next w:val="Normal"/>
    <w:qFormat/>
    <w:rsid w:val="00537689"/>
    <w:pPr>
      <w:keepNext/>
      <w:autoSpaceDE/>
      <w:autoSpaceDN/>
      <w:adjustRightInd/>
      <w:outlineLvl w:val="0"/>
    </w:pPr>
    <w:rPr>
      <w:b/>
      <w:sz w:val="24"/>
    </w:rPr>
  </w:style>
  <w:style w:type="paragraph" w:styleId="Heading2">
    <w:name w:val="heading 2"/>
    <w:basedOn w:val="Normal"/>
    <w:next w:val="Normal"/>
    <w:qFormat/>
    <w:rsid w:val="0053768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7689"/>
    <w:pPr>
      <w:keepNext/>
      <w:spacing w:before="240" w:after="60"/>
      <w:outlineLvl w:val="2"/>
    </w:pPr>
    <w:rPr>
      <w:rFonts w:ascii="Arial" w:hAnsi="Arial" w:cs="Arial"/>
      <w:b/>
      <w:bCs/>
      <w:sz w:val="26"/>
      <w:szCs w:val="26"/>
    </w:rPr>
  </w:style>
  <w:style w:type="paragraph" w:styleId="Heading4">
    <w:name w:val="heading 4"/>
    <w:basedOn w:val="Normal"/>
    <w:next w:val="Normal"/>
    <w:qFormat/>
    <w:rsid w:val="00537689"/>
    <w:pPr>
      <w:keepNext/>
      <w:spacing w:before="240" w:after="60"/>
      <w:outlineLvl w:val="3"/>
    </w:pPr>
    <w:rPr>
      <w:b/>
      <w:bCs/>
      <w:sz w:val="28"/>
      <w:szCs w:val="28"/>
    </w:rPr>
  </w:style>
  <w:style w:type="paragraph" w:styleId="Heading5">
    <w:name w:val="heading 5"/>
    <w:basedOn w:val="Normal"/>
    <w:next w:val="Normal"/>
    <w:qFormat/>
    <w:rsid w:val="00537689"/>
    <w:pPr>
      <w:spacing w:before="240" w:after="60"/>
      <w:outlineLvl w:val="4"/>
    </w:pPr>
    <w:rPr>
      <w:b/>
      <w:bCs/>
      <w:i/>
      <w:iCs/>
      <w:sz w:val="26"/>
      <w:szCs w:val="26"/>
    </w:rPr>
  </w:style>
  <w:style w:type="paragraph" w:styleId="Heading7">
    <w:name w:val="heading 7"/>
    <w:basedOn w:val="Normal"/>
    <w:next w:val="Normal"/>
    <w:qFormat/>
    <w:rsid w:val="0053768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537689"/>
    <w:pPr>
      <w:autoSpaceDE w:val="0"/>
      <w:autoSpaceDN w:val="0"/>
      <w:adjustRightInd w:val="0"/>
      <w:ind w:left="720"/>
    </w:pPr>
    <w:rPr>
      <w:sz w:val="24"/>
      <w:szCs w:val="24"/>
    </w:rPr>
  </w:style>
  <w:style w:type="paragraph" w:customStyle="1" w:styleId="a">
    <w:name w:val=""/>
    <w:rsid w:val="00537689"/>
    <w:pPr>
      <w:autoSpaceDE w:val="0"/>
      <w:autoSpaceDN w:val="0"/>
      <w:adjustRightInd w:val="0"/>
      <w:ind w:left="-1440"/>
    </w:pPr>
    <w:rPr>
      <w:sz w:val="24"/>
      <w:szCs w:val="24"/>
    </w:rPr>
  </w:style>
  <w:style w:type="character" w:customStyle="1" w:styleId="SYSHYPERTEXT">
    <w:name w:val="SYS_HYPERTEXT"/>
    <w:rsid w:val="00537689"/>
    <w:rPr>
      <w:color w:val="0000FF"/>
      <w:u w:val="single"/>
    </w:rPr>
  </w:style>
  <w:style w:type="table" w:styleId="TableGrid">
    <w:name w:val="Table Grid"/>
    <w:basedOn w:val="TableNormal"/>
    <w:rsid w:val="0053768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37689"/>
    <w:rPr>
      <w:color w:val="0000FF"/>
      <w:u w:val="single"/>
    </w:rPr>
  </w:style>
  <w:style w:type="character" w:customStyle="1" w:styleId="GPOInlineP">
    <w:name w:val="GPO InlineP"/>
    <w:rsid w:val="00537689"/>
    <w:rPr>
      <w:rFonts w:ascii="Times New Roman" w:hAnsi="Times New Roman"/>
      <w:sz w:val="20"/>
    </w:rPr>
  </w:style>
  <w:style w:type="paragraph" w:customStyle="1" w:styleId="Level3">
    <w:name w:val="Level 3"/>
    <w:basedOn w:val="Normal"/>
    <w:rsid w:val="00537689"/>
    <w:pPr>
      <w:widowControl w:val="0"/>
      <w:autoSpaceDE/>
      <w:autoSpaceDN/>
      <w:adjustRightInd/>
      <w:ind w:left="2160" w:hanging="720"/>
      <w:outlineLvl w:val="2"/>
    </w:pPr>
    <w:rPr>
      <w:snapToGrid w:val="0"/>
      <w:sz w:val="24"/>
    </w:rPr>
  </w:style>
  <w:style w:type="paragraph" w:styleId="Header">
    <w:name w:val="header"/>
    <w:basedOn w:val="Normal"/>
    <w:rsid w:val="00537689"/>
    <w:pPr>
      <w:tabs>
        <w:tab w:val="center" w:pos="4320"/>
        <w:tab w:val="right" w:pos="8640"/>
      </w:tabs>
    </w:pPr>
  </w:style>
  <w:style w:type="paragraph" w:styleId="Footer">
    <w:name w:val="footer"/>
    <w:basedOn w:val="Normal"/>
    <w:rsid w:val="00537689"/>
    <w:pPr>
      <w:tabs>
        <w:tab w:val="center" w:pos="4320"/>
        <w:tab w:val="right" w:pos="8640"/>
      </w:tabs>
    </w:pPr>
  </w:style>
  <w:style w:type="character" w:styleId="PageNumber">
    <w:name w:val="page number"/>
    <w:basedOn w:val="DefaultParagraphFont"/>
    <w:rsid w:val="00537689"/>
  </w:style>
  <w:style w:type="table" w:customStyle="1" w:styleId="TableGrid1">
    <w:name w:val="Table Grid1"/>
    <w:basedOn w:val="TableNormal"/>
    <w:next w:val="TableGrid"/>
    <w:rsid w:val="00537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537689"/>
    <w:rPr>
      <w:color w:val="800080"/>
      <w:u w:val="single"/>
    </w:rPr>
  </w:style>
  <w:style w:type="paragraph" w:styleId="BodyText">
    <w:name w:val="Body Text"/>
    <w:basedOn w:val="Normal"/>
    <w:rsid w:val="00537689"/>
    <w:pPr>
      <w:autoSpaceDE/>
      <w:autoSpaceDN/>
      <w:adjustRightInd/>
    </w:pPr>
    <w:rPr>
      <w:sz w:val="22"/>
      <w:szCs w:val="24"/>
    </w:rPr>
  </w:style>
  <w:style w:type="paragraph" w:styleId="Caption">
    <w:name w:val="caption"/>
    <w:basedOn w:val="Normal"/>
    <w:next w:val="Normal"/>
    <w:qFormat/>
    <w:rsid w:val="00537689"/>
    <w:rPr>
      <w:b/>
      <w:bCs/>
    </w:rPr>
  </w:style>
  <w:style w:type="paragraph" w:styleId="FootnoteText">
    <w:name w:val="footnote text"/>
    <w:basedOn w:val="Normal"/>
    <w:link w:val="FootnoteTextChar"/>
    <w:uiPriority w:val="99"/>
    <w:semiHidden/>
    <w:rsid w:val="00537689"/>
    <w:pPr>
      <w:autoSpaceDE/>
      <w:autoSpaceDN/>
      <w:adjustRightInd/>
    </w:pPr>
  </w:style>
  <w:style w:type="character" w:styleId="FootnoteReference">
    <w:name w:val="footnote reference"/>
    <w:uiPriority w:val="99"/>
    <w:rsid w:val="00537689"/>
    <w:rPr>
      <w:vertAlign w:val="superscript"/>
    </w:rPr>
  </w:style>
  <w:style w:type="paragraph" w:customStyle="1" w:styleId="footnotetex">
    <w:name w:val="footnote tex"/>
    <w:basedOn w:val="Normal"/>
    <w:rsid w:val="00537689"/>
    <w:pPr>
      <w:widowControl w:val="0"/>
    </w:pPr>
    <w:rPr>
      <w:sz w:val="24"/>
      <w:szCs w:val="24"/>
    </w:rPr>
  </w:style>
  <w:style w:type="paragraph" w:styleId="BodyTextIndent">
    <w:name w:val="Body Text Indent"/>
    <w:basedOn w:val="Normal"/>
    <w:rsid w:val="00537689"/>
    <w:pPr>
      <w:spacing w:after="120"/>
      <w:ind w:left="360"/>
    </w:pPr>
  </w:style>
  <w:style w:type="character" w:styleId="CommentReference">
    <w:name w:val="annotation reference"/>
    <w:semiHidden/>
    <w:rsid w:val="00085D37"/>
    <w:rPr>
      <w:sz w:val="16"/>
      <w:szCs w:val="16"/>
    </w:rPr>
  </w:style>
  <w:style w:type="paragraph" w:styleId="CommentText">
    <w:name w:val="annotation text"/>
    <w:basedOn w:val="Normal"/>
    <w:semiHidden/>
    <w:rsid w:val="00085D37"/>
  </w:style>
  <w:style w:type="paragraph" w:styleId="CommentSubject">
    <w:name w:val="annotation subject"/>
    <w:basedOn w:val="CommentText"/>
    <w:next w:val="CommentText"/>
    <w:semiHidden/>
    <w:rsid w:val="00085D37"/>
    <w:rPr>
      <w:b/>
      <w:bCs/>
    </w:rPr>
  </w:style>
  <w:style w:type="paragraph" w:styleId="BalloonText">
    <w:name w:val="Balloon Text"/>
    <w:basedOn w:val="Normal"/>
    <w:semiHidden/>
    <w:rsid w:val="00085D37"/>
    <w:rPr>
      <w:rFonts w:ascii="Tahoma" w:hAnsi="Tahoma" w:cs="Tahoma"/>
      <w:sz w:val="16"/>
      <w:szCs w:val="16"/>
    </w:rPr>
  </w:style>
  <w:style w:type="paragraph" w:styleId="PlainText">
    <w:name w:val="Plain Text"/>
    <w:basedOn w:val="Normal"/>
    <w:link w:val="PlainTextChar"/>
    <w:rsid w:val="00B70BAE"/>
    <w:pPr>
      <w:autoSpaceDE/>
      <w:autoSpaceDN/>
      <w:adjustRightInd/>
    </w:pPr>
    <w:rPr>
      <w:rFonts w:ascii="Courier New" w:hAnsi="Courier New" w:cs="Courier New"/>
    </w:rPr>
  </w:style>
  <w:style w:type="paragraph" w:styleId="NormalWeb">
    <w:name w:val="Normal (Web)"/>
    <w:basedOn w:val="Normal"/>
    <w:uiPriority w:val="99"/>
    <w:rsid w:val="00B673C5"/>
    <w:pPr>
      <w:autoSpaceDE/>
      <w:autoSpaceDN/>
      <w:adjustRightInd/>
      <w:spacing w:before="100" w:beforeAutospacing="1" w:after="100" w:afterAutospacing="1"/>
    </w:pPr>
    <w:rPr>
      <w:sz w:val="24"/>
      <w:szCs w:val="24"/>
    </w:rPr>
  </w:style>
  <w:style w:type="character" w:customStyle="1" w:styleId="PlainTextChar">
    <w:name w:val="Plain Text Char"/>
    <w:link w:val="PlainText"/>
    <w:rsid w:val="00D85B8D"/>
    <w:rPr>
      <w:rFonts w:ascii="Courier New" w:hAnsi="Courier New" w:cs="Courier New"/>
    </w:rPr>
  </w:style>
  <w:style w:type="character" w:customStyle="1" w:styleId="FootnoteTextChar">
    <w:name w:val="Footnote Text Char"/>
    <w:link w:val="FootnoteText"/>
    <w:uiPriority w:val="99"/>
    <w:semiHidden/>
    <w:rsid w:val="00D13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9">
      <w:bodyDiv w:val="1"/>
      <w:marLeft w:val="0"/>
      <w:marRight w:val="0"/>
      <w:marTop w:val="0"/>
      <w:marBottom w:val="0"/>
      <w:divBdr>
        <w:top w:val="none" w:sz="0" w:space="0" w:color="auto"/>
        <w:left w:val="none" w:sz="0" w:space="0" w:color="auto"/>
        <w:bottom w:val="none" w:sz="0" w:space="0" w:color="auto"/>
        <w:right w:val="none" w:sz="0" w:space="0" w:color="auto"/>
      </w:divBdr>
    </w:div>
    <w:div w:id="52705988">
      <w:bodyDiv w:val="1"/>
      <w:marLeft w:val="0"/>
      <w:marRight w:val="0"/>
      <w:marTop w:val="0"/>
      <w:marBottom w:val="0"/>
      <w:divBdr>
        <w:top w:val="none" w:sz="0" w:space="0" w:color="auto"/>
        <w:left w:val="none" w:sz="0" w:space="0" w:color="auto"/>
        <w:bottom w:val="none" w:sz="0" w:space="0" w:color="auto"/>
        <w:right w:val="none" w:sz="0" w:space="0" w:color="auto"/>
      </w:divBdr>
    </w:div>
    <w:div w:id="74015257">
      <w:bodyDiv w:val="1"/>
      <w:marLeft w:val="0"/>
      <w:marRight w:val="0"/>
      <w:marTop w:val="0"/>
      <w:marBottom w:val="0"/>
      <w:divBdr>
        <w:top w:val="none" w:sz="0" w:space="0" w:color="auto"/>
        <w:left w:val="none" w:sz="0" w:space="0" w:color="auto"/>
        <w:bottom w:val="none" w:sz="0" w:space="0" w:color="auto"/>
        <w:right w:val="none" w:sz="0" w:space="0" w:color="auto"/>
      </w:divBdr>
    </w:div>
    <w:div w:id="117797433">
      <w:bodyDiv w:val="1"/>
      <w:marLeft w:val="0"/>
      <w:marRight w:val="0"/>
      <w:marTop w:val="0"/>
      <w:marBottom w:val="0"/>
      <w:divBdr>
        <w:top w:val="none" w:sz="0" w:space="0" w:color="auto"/>
        <w:left w:val="none" w:sz="0" w:space="0" w:color="auto"/>
        <w:bottom w:val="none" w:sz="0" w:space="0" w:color="auto"/>
        <w:right w:val="none" w:sz="0" w:space="0" w:color="auto"/>
      </w:divBdr>
    </w:div>
    <w:div w:id="134109750">
      <w:bodyDiv w:val="1"/>
      <w:marLeft w:val="0"/>
      <w:marRight w:val="0"/>
      <w:marTop w:val="0"/>
      <w:marBottom w:val="0"/>
      <w:divBdr>
        <w:top w:val="none" w:sz="0" w:space="0" w:color="auto"/>
        <w:left w:val="none" w:sz="0" w:space="0" w:color="auto"/>
        <w:bottom w:val="none" w:sz="0" w:space="0" w:color="auto"/>
        <w:right w:val="none" w:sz="0" w:space="0" w:color="auto"/>
      </w:divBdr>
    </w:div>
    <w:div w:id="135881894">
      <w:bodyDiv w:val="1"/>
      <w:marLeft w:val="0"/>
      <w:marRight w:val="0"/>
      <w:marTop w:val="0"/>
      <w:marBottom w:val="0"/>
      <w:divBdr>
        <w:top w:val="none" w:sz="0" w:space="0" w:color="auto"/>
        <w:left w:val="none" w:sz="0" w:space="0" w:color="auto"/>
        <w:bottom w:val="none" w:sz="0" w:space="0" w:color="auto"/>
        <w:right w:val="none" w:sz="0" w:space="0" w:color="auto"/>
      </w:divBdr>
    </w:div>
    <w:div w:id="246350480">
      <w:bodyDiv w:val="1"/>
      <w:marLeft w:val="0"/>
      <w:marRight w:val="0"/>
      <w:marTop w:val="0"/>
      <w:marBottom w:val="0"/>
      <w:divBdr>
        <w:top w:val="none" w:sz="0" w:space="0" w:color="auto"/>
        <w:left w:val="none" w:sz="0" w:space="0" w:color="auto"/>
        <w:bottom w:val="none" w:sz="0" w:space="0" w:color="auto"/>
        <w:right w:val="none" w:sz="0" w:space="0" w:color="auto"/>
      </w:divBdr>
    </w:div>
    <w:div w:id="279412603">
      <w:bodyDiv w:val="1"/>
      <w:marLeft w:val="0"/>
      <w:marRight w:val="0"/>
      <w:marTop w:val="0"/>
      <w:marBottom w:val="0"/>
      <w:divBdr>
        <w:top w:val="none" w:sz="0" w:space="0" w:color="auto"/>
        <w:left w:val="none" w:sz="0" w:space="0" w:color="auto"/>
        <w:bottom w:val="none" w:sz="0" w:space="0" w:color="auto"/>
        <w:right w:val="none" w:sz="0" w:space="0" w:color="auto"/>
      </w:divBdr>
    </w:div>
    <w:div w:id="460268666">
      <w:bodyDiv w:val="1"/>
      <w:marLeft w:val="0"/>
      <w:marRight w:val="0"/>
      <w:marTop w:val="0"/>
      <w:marBottom w:val="0"/>
      <w:divBdr>
        <w:top w:val="none" w:sz="0" w:space="0" w:color="auto"/>
        <w:left w:val="none" w:sz="0" w:space="0" w:color="auto"/>
        <w:bottom w:val="none" w:sz="0" w:space="0" w:color="auto"/>
        <w:right w:val="none" w:sz="0" w:space="0" w:color="auto"/>
      </w:divBdr>
    </w:div>
    <w:div w:id="572736785">
      <w:bodyDiv w:val="1"/>
      <w:marLeft w:val="0"/>
      <w:marRight w:val="0"/>
      <w:marTop w:val="0"/>
      <w:marBottom w:val="0"/>
      <w:divBdr>
        <w:top w:val="none" w:sz="0" w:space="0" w:color="auto"/>
        <w:left w:val="none" w:sz="0" w:space="0" w:color="auto"/>
        <w:bottom w:val="none" w:sz="0" w:space="0" w:color="auto"/>
        <w:right w:val="none" w:sz="0" w:space="0" w:color="auto"/>
      </w:divBdr>
    </w:div>
    <w:div w:id="591013361">
      <w:bodyDiv w:val="1"/>
      <w:marLeft w:val="0"/>
      <w:marRight w:val="0"/>
      <w:marTop w:val="0"/>
      <w:marBottom w:val="0"/>
      <w:divBdr>
        <w:top w:val="none" w:sz="0" w:space="0" w:color="auto"/>
        <w:left w:val="none" w:sz="0" w:space="0" w:color="auto"/>
        <w:bottom w:val="none" w:sz="0" w:space="0" w:color="auto"/>
        <w:right w:val="none" w:sz="0" w:space="0" w:color="auto"/>
      </w:divBdr>
    </w:div>
    <w:div w:id="595793789">
      <w:bodyDiv w:val="1"/>
      <w:marLeft w:val="0"/>
      <w:marRight w:val="0"/>
      <w:marTop w:val="0"/>
      <w:marBottom w:val="0"/>
      <w:divBdr>
        <w:top w:val="none" w:sz="0" w:space="0" w:color="auto"/>
        <w:left w:val="none" w:sz="0" w:space="0" w:color="auto"/>
        <w:bottom w:val="none" w:sz="0" w:space="0" w:color="auto"/>
        <w:right w:val="none" w:sz="0" w:space="0" w:color="auto"/>
      </w:divBdr>
    </w:div>
    <w:div w:id="691959287">
      <w:bodyDiv w:val="1"/>
      <w:marLeft w:val="0"/>
      <w:marRight w:val="0"/>
      <w:marTop w:val="0"/>
      <w:marBottom w:val="0"/>
      <w:divBdr>
        <w:top w:val="none" w:sz="0" w:space="0" w:color="auto"/>
        <w:left w:val="none" w:sz="0" w:space="0" w:color="auto"/>
        <w:bottom w:val="none" w:sz="0" w:space="0" w:color="auto"/>
        <w:right w:val="none" w:sz="0" w:space="0" w:color="auto"/>
      </w:divBdr>
    </w:div>
    <w:div w:id="745690212">
      <w:bodyDiv w:val="1"/>
      <w:marLeft w:val="0"/>
      <w:marRight w:val="0"/>
      <w:marTop w:val="0"/>
      <w:marBottom w:val="0"/>
      <w:divBdr>
        <w:top w:val="none" w:sz="0" w:space="0" w:color="auto"/>
        <w:left w:val="none" w:sz="0" w:space="0" w:color="auto"/>
        <w:bottom w:val="none" w:sz="0" w:space="0" w:color="auto"/>
        <w:right w:val="none" w:sz="0" w:space="0" w:color="auto"/>
      </w:divBdr>
    </w:div>
    <w:div w:id="814227264">
      <w:bodyDiv w:val="1"/>
      <w:marLeft w:val="0"/>
      <w:marRight w:val="0"/>
      <w:marTop w:val="0"/>
      <w:marBottom w:val="0"/>
      <w:divBdr>
        <w:top w:val="none" w:sz="0" w:space="0" w:color="auto"/>
        <w:left w:val="none" w:sz="0" w:space="0" w:color="auto"/>
        <w:bottom w:val="none" w:sz="0" w:space="0" w:color="auto"/>
        <w:right w:val="none" w:sz="0" w:space="0" w:color="auto"/>
      </w:divBdr>
    </w:div>
    <w:div w:id="821822033">
      <w:bodyDiv w:val="1"/>
      <w:marLeft w:val="0"/>
      <w:marRight w:val="0"/>
      <w:marTop w:val="0"/>
      <w:marBottom w:val="0"/>
      <w:divBdr>
        <w:top w:val="none" w:sz="0" w:space="0" w:color="auto"/>
        <w:left w:val="none" w:sz="0" w:space="0" w:color="auto"/>
        <w:bottom w:val="none" w:sz="0" w:space="0" w:color="auto"/>
        <w:right w:val="none" w:sz="0" w:space="0" w:color="auto"/>
      </w:divBdr>
    </w:div>
    <w:div w:id="830097686">
      <w:bodyDiv w:val="1"/>
      <w:marLeft w:val="0"/>
      <w:marRight w:val="0"/>
      <w:marTop w:val="0"/>
      <w:marBottom w:val="0"/>
      <w:divBdr>
        <w:top w:val="none" w:sz="0" w:space="0" w:color="auto"/>
        <w:left w:val="none" w:sz="0" w:space="0" w:color="auto"/>
        <w:bottom w:val="none" w:sz="0" w:space="0" w:color="auto"/>
        <w:right w:val="none" w:sz="0" w:space="0" w:color="auto"/>
      </w:divBdr>
    </w:div>
    <w:div w:id="873276215">
      <w:bodyDiv w:val="1"/>
      <w:marLeft w:val="0"/>
      <w:marRight w:val="0"/>
      <w:marTop w:val="0"/>
      <w:marBottom w:val="0"/>
      <w:divBdr>
        <w:top w:val="none" w:sz="0" w:space="0" w:color="auto"/>
        <w:left w:val="none" w:sz="0" w:space="0" w:color="auto"/>
        <w:bottom w:val="none" w:sz="0" w:space="0" w:color="auto"/>
        <w:right w:val="none" w:sz="0" w:space="0" w:color="auto"/>
      </w:divBdr>
    </w:div>
    <w:div w:id="981278116">
      <w:bodyDiv w:val="1"/>
      <w:marLeft w:val="0"/>
      <w:marRight w:val="0"/>
      <w:marTop w:val="0"/>
      <w:marBottom w:val="0"/>
      <w:divBdr>
        <w:top w:val="none" w:sz="0" w:space="0" w:color="auto"/>
        <w:left w:val="none" w:sz="0" w:space="0" w:color="auto"/>
        <w:bottom w:val="none" w:sz="0" w:space="0" w:color="auto"/>
        <w:right w:val="none" w:sz="0" w:space="0" w:color="auto"/>
      </w:divBdr>
    </w:div>
    <w:div w:id="1008824689">
      <w:bodyDiv w:val="1"/>
      <w:marLeft w:val="0"/>
      <w:marRight w:val="0"/>
      <w:marTop w:val="0"/>
      <w:marBottom w:val="0"/>
      <w:divBdr>
        <w:top w:val="none" w:sz="0" w:space="0" w:color="auto"/>
        <w:left w:val="none" w:sz="0" w:space="0" w:color="auto"/>
        <w:bottom w:val="none" w:sz="0" w:space="0" w:color="auto"/>
        <w:right w:val="none" w:sz="0" w:space="0" w:color="auto"/>
      </w:divBdr>
    </w:div>
    <w:div w:id="1236161013">
      <w:bodyDiv w:val="1"/>
      <w:marLeft w:val="0"/>
      <w:marRight w:val="0"/>
      <w:marTop w:val="0"/>
      <w:marBottom w:val="0"/>
      <w:divBdr>
        <w:top w:val="none" w:sz="0" w:space="0" w:color="auto"/>
        <w:left w:val="none" w:sz="0" w:space="0" w:color="auto"/>
        <w:bottom w:val="none" w:sz="0" w:space="0" w:color="auto"/>
        <w:right w:val="none" w:sz="0" w:space="0" w:color="auto"/>
      </w:divBdr>
    </w:div>
    <w:div w:id="1273980598">
      <w:bodyDiv w:val="1"/>
      <w:marLeft w:val="0"/>
      <w:marRight w:val="0"/>
      <w:marTop w:val="0"/>
      <w:marBottom w:val="0"/>
      <w:divBdr>
        <w:top w:val="none" w:sz="0" w:space="0" w:color="auto"/>
        <w:left w:val="none" w:sz="0" w:space="0" w:color="auto"/>
        <w:bottom w:val="none" w:sz="0" w:space="0" w:color="auto"/>
        <w:right w:val="none" w:sz="0" w:space="0" w:color="auto"/>
      </w:divBdr>
    </w:div>
    <w:div w:id="1332030534">
      <w:bodyDiv w:val="1"/>
      <w:marLeft w:val="0"/>
      <w:marRight w:val="0"/>
      <w:marTop w:val="0"/>
      <w:marBottom w:val="0"/>
      <w:divBdr>
        <w:top w:val="none" w:sz="0" w:space="0" w:color="auto"/>
        <w:left w:val="none" w:sz="0" w:space="0" w:color="auto"/>
        <w:bottom w:val="none" w:sz="0" w:space="0" w:color="auto"/>
        <w:right w:val="none" w:sz="0" w:space="0" w:color="auto"/>
      </w:divBdr>
    </w:div>
    <w:div w:id="1364751507">
      <w:bodyDiv w:val="1"/>
      <w:marLeft w:val="0"/>
      <w:marRight w:val="0"/>
      <w:marTop w:val="0"/>
      <w:marBottom w:val="0"/>
      <w:divBdr>
        <w:top w:val="none" w:sz="0" w:space="0" w:color="auto"/>
        <w:left w:val="none" w:sz="0" w:space="0" w:color="auto"/>
        <w:bottom w:val="none" w:sz="0" w:space="0" w:color="auto"/>
        <w:right w:val="none" w:sz="0" w:space="0" w:color="auto"/>
      </w:divBdr>
    </w:div>
    <w:div w:id="1481534602">
      <w:bodyDiv w:val="1"/>
      <w:marLeft w:val="0"/>
      <w:marRight w:val="0"/>
      <w:marTop w:val="0"/>
      <w:marBottom w:val="0"/>
      <w:divBdr>
        <w:top w:val="none" w:sz="0" w:space="0" w:color="auto"/>
        <w:left w:val="none" w:sz="0" w:space="0" w:color="auto"/>
        <w:bottom w:val="none" w:sz="0" w:space="0" w:color="auto"/>
        <w:right w:val="none" w:sz="0" w:space="0" w:color="auto"/>
      </w:divBdr>
    </w:div>
    <w:div w:id="1502742710">
      <w:bodyDiv w:val="1"/>
      <w:marLeft w:val="0"/>
      <w:marRight w:val="0"/>
      <w:marTop w:val="0"/>
      <w:marBottom w:val="0"/>
      <w:divBdr>
        <w:top w:val="none" w:sz="0" w:space="0" w:color="auto"/>
        <w:left w:val="none" w:sz="0" w:space="0" w:color="auto"/>
        <w:bottom w:val="none" w:sz="0" w:space="0" w:color="auto"/>
        <w:right w:val="none" w:sz="0" w:space="0" w:color="auto"/>
      </w:divBdr>
    </w:div>
    <w:div w:id="1626278234">
      <w:bodyDiv w:val="1"/>
      <w:marLeft w:val="0"/>
      <w:marRight w:val="0"/>
      <w:marTop w:val="0"/>
      <w:marBottom w:val="0"/>
      <w:divBdr>
        <w:top w:val="none" w:sz="0" w:space="0" w:color="auto"/>
        <w:left w:val="none" w:sz="0" w:space="0" w:color="auto"/>
        <w:bottom w:val="none" w:sz="0" w:space="0" w:color="auto"/>
        <w:right w:val="none" w:sz="0" w:space="0" w:color="auto"/>
      </w:divBdr>
    </w:div>
    <w:div w:id="1718773073">
      <w:bodyDiv w:val="1"/>
      <w:marLeft w:val="0"/>
      <w:marRight w:val="0"/>
      <w:marTop w:val="0"/>
      <w:marBottom w:val="0"/>
      <w:divBdr>
        <w:top w:val="none" w:sz="0" w:space="0" w:color="auto"/>
        <w:left w:val="none" w:sz="0" w:space="0" w:color="auto"/>
        <w:bottom w:val="none" w:sz="0" w:space="0" w:color="auto"/>
        <w:right w:val="none" w:sz="0" w:space="0" w:color="auto"/>
      </w:divBdr>
    </w:div>
    <w:div w:id="1994143888">
      <w:bodyDiv w:val="1"/>
      <w:marLeft w:val="0"/>
      <w:marRight w:val="0"/>
      <w:marTop w:val="0"/>
      <w:marBottom w:val="0"/>
      <w:divBdr>
        <w:top w:val="none" w:sz="0" w:space="0" w:color="auto"/>
        <w:left w:val="none" w:sz="0" w:space="0" w:color="auto"/>
        <w:bottom w:val="none" w:sz="0" w:space="0" w:color="auto"/>
        <w:right w:val="none" w:sz="0" w:space="0" w:color="auto"/>
      </w:divBdr>
    </w:div>
    <w:div w:id="2007245068">
      <w:bodyDiv w:val="1"/>
      <w:marLeft w:val="0"/>
      <w:marRight w:val="0"/>
      <w:marTop w:val="0"/>
      <w:marBottom w:val="0"/>
      <w:divBdr>
        <w:top w:val="none" w:sz="0" w:space="0" w:color="auto"/>
        <w:left w:val="none" w:sz="0" w:space="0" w:color="auto"/>
        <w:bottom w:val="none" w:sz="0" w:space="0" w:color="auto"/>
        <w:right w:val="none" w:sz="0" w:space="0" w:color="auto"/>
      </w:divBdr>
      <w:divsChild>
        <w:div w:id="278997802">
          <w:marLeft w:val="0"/>
          <w:marRight w:val="0"/>
          <w:marTop w:val="0"/>
          <w:marBottom w:val="0"/>
          <w:divBdr>
            <w:top w:val="none" w:sz="0" w:space="0" w:color="auto"/>
            <w:left w:val="none" w:sz="0" w:space="0" w:color="auto"/>
            <w:bottom w:val="none" w:sz="0" w:space="0" w:color="auto"/>
            <w:right w:val="none" w:sz="0" w:space="0" w:color="auto"/>
          </w:divBdr>
        </w:div>
      </w:divsChild>
    </w:div>
    <w:div w:id="2046367678">
      <w:bodyDiv w:val="1"/>
      <w:marLeft w:val="0"/>
      <w:marRight w:val="0"/>
      <w:marTop w:val="0"/>
      <w:marBottom w:val="0"/>
      <w:divBdr>
        <w:top w:val="none" w:sz="0" w:space="0" w:color="auto"/>
        <w:left w:val="none" w:sz="0" w:space="0" w:color="auto"/>
        <w:bottom w:val="none" w:sz="0" w:space="0" w:color="auto"/>
        <w:right w:val="none" w:sz="0" w:space="0" w:color="auto"/>
      </w:divBdr>
    </w:div>
    <w:div w:id="2112892582">
      <w:bodyDiv w:val="1"/>
      <w:marLeft w:val="0"/>
      <w:marRight w:val="0"/>
      <w:marTop w:val="0"/>
      <w:marBottom w:val="0"/>
      <w:divBdr>
        <w:top w:val="none" w:sz="0" w:space="0" w:color="auto"/>
        <w:left w:val="none" w:sz="0" w:space="0" w:color="auto"/>
        <w:bottom w:val="none" w:sz="0" w:space="0" w:color="auto"/>
        <w:right w:val="none" w:sz="0" w:space="0" w:color="auto"/>
      </w:divBdr>
    </w:div>
    <w:div w:id="21466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bh@houseofhanbur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ke@mawChicago.com" TargetMode="External"/><Relationship Id="rId4" Type="http://schemas.openxmlformats.org/officeDocument/2006/relationships/settings" Target="settings.xml"/><Relationship Id="rId9" Type="http://schemas.openxmlformats.org/officeDocument/2006/relationships/hyperlink" Target="mailto:steve@portlandremode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pa.gov/lawsregs/laws/pr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EC1A6-61FF-4279-A9BA-25096FE2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11566</Words>
  <Characters>68430</Characters>
  <Application>Microsoft Office Word</Application>
  <DocSecurity>0</DocSecurity>
  <Lines>570</Lines>
  <Paragraphs>159</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Manager/>
  <Company/>
  <LinksUpToDate>false</LinksUpToDate>
  <CharactersWithSpaces>79837</CharactersWithSpaces>
  <SharedDoc>false</SharedDoc>
  <HLinks>
    <vt:vector size="66" baseType="variant">
      <vt:variant>
        <vt:i4>8323196</vt:i4>
      </vt:variant>
      <vt:variant>
        <vt:i4>177</vt:i4>
      </vt:variant>
      <vt:variant>
        <vt:i4>0</vt:i4>
      </vt:variant>
      <vt:variant>
        <vt:i4>5</vt:i4>
      </vt:variant>
      <vt:variant>
        <vt:lpwstr>http://epa.gov/lead/pubs/renovaterightbrochurejuly2011.pdf</vt:lpwstr>
      </vt:variant>
      <vt:variant>
        <vt:lpwstr/>
      </vt:variant>
      <vt:variant>
        <vt:i4>2818151</vt:i4>
      </vt:variant>
      <vt:variant>
        <vt:i4>174</vt:i4>
      </vt:variant>
      <vt:variant>
        <vt:i4>0</vt:i4>
      </vt:variant>
      <vt:variant>
        <vt:i4>5</vt:i4>
      </vt:variant>
      <vt:variant>
        <vt:lpwstr>http://www.regulations.gov/</vt:lpwstr>
      </vt:variant>
      <vt:variant>
        <vt:lpwstr/>
      </vt:variant>
      <vt:variant>
        <vt:i4>2818151</vt:i4>
      </vt:variant>
      <vt:variant>
        <vt:i4>171</vt:i4>
      </vt:variant>
      <vt:variant>
        <vt:i4>0</vt:i4>
      </vt:variant>
      <vt:variant>
        <vt:i4>5</vt:i4>
      </vt:variant>
      <vt:variant>
        <vt:lpwstr>http://www.regulations.gov/</vt:lpwstr>
      </vt:variant>
      <vt:variant>
        <vt:lpwstr/>
      </vt:variant>
      <vt:variant>
        <vt:i4>4456489</vt:i4>
      </vt:variant>
      <vt:variant>
        <vt:i4>22</vt:i4>
      </vt:variant>
      <vt:variant>
        <vt:i4>0</vt:i4>
      </vt:variant>
      <vt:variant>
        <vt:i4>5</vt:i4>
      </vt:variant>
      <vt:variant>
        <vt:lpwstr>mailto:bbyrd@qx2.net</vt:lpwstr>
      </vt:variant>
      <vt:variant>
        <vt:lpwstr/>
      </vt:variant>
      <vt:variant>
        <vt:i4>8192065</vt:i4>
      </vt:variant>
      <vt:variant>
        <vt:i4>19</vt:i4>
      </vt:variant>
      <vt:variant>
        <vt:i4>0</vt:i4>
      </vt:variant>
      <vt:variant>
        <vt:i4>5</vt:i4>
      </vt:variant>
      <vt:variant>
        <vt:lpwstr>mailto:bobhanbury@aol.com</vt:lpwstr>
      </vt:variant>
      <vt:variant>
        <vt:lpwstr/>
      </vt:variant>
      <vt:variant>
        <vt:i4>5177457</vt:i4>
      </vt:variant>
      <vt:variant>
        <vt:i4>16</vt:i4>
      </vt:variant>
      <vt:variant>
        <vt:i4>0</vt:i4>
      </vt:variant>
      <vt:variant>
        <vt:i4>5</vt:i4>
      </vt:variant>
      <vt:variant>
        <vt:lpwstr>mailto:mike@mawChicago.com</vt:lpwstr>
      </vt:variant>
      <vt:variant>
        <vt:lpwstr/>
      </vt:variant>
      <vt:variant>
        <vt:i4>524344</vt:i4>
      </vt:variant>
      <vt:variant>
        <vt:i4>13</vt:i4>
      </vt:variant>
      <vt:variant>
        <vt:i4>0</vt:i4>
      </vt:variant>
      <vt:variant>
        <vt:i4>5</vt:i4>
      </vt:variant>
      <vt:variant>
        <vt:lpwstr>mailto:steve@portlandremodel.com</vt:lpwstr>
      </vt:variant>
      <vt:variant>
        <vt:lpwstr/>
      </vt:variant>
      <vt:variant>
        <vt:i4>2424845</vt:i4>
      </vt:variant>
      <vt:variant>
        <vt:i4>10</vt:i4>
      </vt:variant>
      <vt:variant>
        <vt:i4>0</vt:i4>
      </vt:variant>
      <vt:variant>
        <vt:i4>5</vt:i4>
      </vt:variant>
      <vt:variant>
        <vt:lpwstr>mailto:joe@modernyankee.com</vt:lpwstr>
      </vt:variant>
      <vt:variant>
        <vt:lpwstr/>
      </vt:variant>
      <vt:variant>
        <vt:i4>6946905</vt:i4>
      </vt:variant>
      <vt:variant>
        <vt:i4>7</vt:i4>
      </vt:variant>
      <vt:variant>
        <vt:i4>0</vt:i4>
      </vt:variant>
      <vt:variant>
        <vt:i4>5</vt:i4>
      </vt:variant>
      <vt:variant>
        <vt:lpwstr>mailto:karen@ziebabuilders.com</vt:lpwstr>
      </vt:variant>
      <vt:variant>
        <vt:lpwstr/>
      </vt:variant>
      <vt:variant>
        <vt:i4>6881349</vt:i4>
      </vt:variant>
      <vt:variant>
        <vt:i4>4</vt:i4>
      </vt:variant>
      <vt:variant>
        <vt:i4>0</vt:i4>
      </vt:variant>
      <vt:variant>
        <vt:i4>5</vt:i4>
      </vt:variant>
      <vt:variant>
        <vt:lpwstr>mailto:catiesloan@comcast.net</vt:lpwstr>
      </vt:variant>
      <vt:variant>
        <vt:lpwstr/>
      </vt:variant>
      <vt:variant>
        <vt:i4>1638486</vt:i4>
      </vt:variant>
      <vt:variant>
        <vt:i4>0</vt:i4>
      </vt:variant>
      <vt:variant>
        <vt:i4>0</vt:i4>
      </vt:variant>
      <vt:variant>
        <vt:i4>5</vt:i4>
      </vt:variant>
      <vt:variant>
        <vt:lpwstr>http://www.epa.gov/lawsregs/laws/pra.html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
  <cp:keywords/>
  <dc:description/>
  <cp:lastModifiedBy/>
  <cp:revision>1</cp:revision>
  <cp:lastPrinted>2010-12-07T15:49:00Z</cp:lastPrinted>
  <dcterms:created xsi:type="dcterms:W3CDTF">2015-02-24T20:29:00Z</dcterms:created>
  <dcterms:modified xsi:type="dcterms:W3CDTF">2015-02-27T21:01:00Z</dcterms:modified>
</cp:coreProperties>
</file>