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803" w:rsidRDefault="00CB3803" w:rsidP="00CB3803">
      <w:pPr>
        <w:numPr>
          <w:ilvl w:val="12"/>
          <w:numId w:val="0"/>
        </w:numPr>
        <w:jc w:val="center"/>
      </w:pPr>
      <w:r>
        <w:rPr>
          <w:b/>
          <w:bCs/>
        </w:rPr>
        <w:t>EPA ICR No. 1715.1</w:t>
      </w:r>
      <w:r w:rsidR="00270A39">
        <w:rPr>
          <w:b/>
          <w:bCs/>
        </w:rPr>
        <w:t>4</w:t>
      </w:r>
      <w:bookmarkStart w:id="0" w:name="_GoBack"/>
      <w:bookmarkEnd w:id="0"/>
      <w:r>
        <w:rPr>
          <w:b/>
          <w:bCs/>
        </w:rPr>
        <w:t>; OMB Control No. 2070-0155</w:t>
      </w: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r>
        <w:rPr>
          <w:b/>
          <w:bCs/>
        </w:rPr>
        <w:t>ATTACHMENT 1</w:t>
      </w: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r>
        <w:rPr>
          <w:b/>
          <w:bCs/>
        </w:rPr>
        <w:t>Toxic Substances Control Act Sections 402 and 404</w:t>
      </w:r>
    </w:p>
    <w:p w:rsidR="00CB3803" w:rsidRDefault="00CB3803" w:rsidP="00CB3803">
      <w:pPr>
        <w:numPr>
          <w:ilvl w:val="12"/>
          <w:numId w:val="0"/>
        </w:numPr>
        <w:rPr>
          <w:b/>
          <w:bCs/>
        </w:rPr>
      </w:pPr>
    </w:p>
    <w:p w:rsidR="00CB3803" w:rsidRPr="008864F6" w:rsidRDefault="00CB3803" w:rsidP="00CB3803">
      <w:pPr>
        <w:jc w:val="center"/>
        <w:rPr>
          <w:sz w:val="22"/>
          <w:szCs w:val="22"/>
        </w:rPr>
      </w:pPr>
      <w:r>
        <w:rPr>
          <w:b/>
          <w:bCs/>
        </w:rPr>
        <w:t>15 U.S.C. 2682, 2684</w:t>
      </w: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Default="00CB3803" w:rsidP="00CB3803">
      <w:pPr>
        <w:numPr>
          <w:ilvl w:val="12"/>
          <w:numId w:val="0"/>
        </w:numPr>
        <w:jc w:val="center"/>
        <w:rPr>
          <w:b/>
          <w:bCs/>
        </w:rPr>
      </w:pPr>
    </w:p>
    <w:p w:rsidR="00CB3803" w:rsidRPr="005636A0" w:rsidRDefault="00CB3803" w:rsidP="00CB3803">
      <w:pPr>
        <w:numPr>
          <w:ilvl w:val="12"/>
          <w:numId w:val="0"/>
        </w:numPr>
        <w:rPr>
          <w:sz w:val="22"/>
          <w:szCs w:val="22"/>
        </w:rPr>
      </w:pPr>
      <w:r>
        <w:rPr>
          <w:sz w:val="22"/>
          <w:szCs w:val="22"/>
        </w:rPr>
        <w:br w:type="page"/>
      </w:r>
      <w:r w:rsidRPr="005636A0">
        <w:rPr>
          <w:sz w:val="22"/>
          <w:szCs w:val="22"/>
        </w:rPr>
        <w:lastRenderedPageBreak/>
        <w:t>Sec. 2682. Lead-based paint activities training and certification</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 xml:space="preserve">     (a) Regulations</w:t>
      </w:r>
    </w:p>
    <w:p w:rsidR="00CB3803" w:rsidRPr="005636A0" w:rsidRDefault="00CB3803" w:rsidP="00CB3803">
      <w:pPr>
        <w:numPr>
          <w:ilvl w:val="12"/>
          <w:numId w:val="0"/>
        </w:numPr>
        <w:ind w:left="720"/>
        <w:rPr>
          <w:sz w:val="22"/>
          <w:szCs w:val="22"/>
        </w:rPr>
      </w:pPr>
      <w:r w:rsidRPr="005636A0">
        <w:rPr>
          <w:sz w:val="22"/>
          <w:szCs w:val="22"/>
        </w:rPr>
        <w:t xml:space="preserve">(1) In general </w:t>
      </w:r>
    </w:p>
    <w:p w:rsidR="00CB3803" w:rsidRPr="005636A0" w:rsidRDefault="00CB3803" w:rsidP="00CB3803">
      <w:pPr>
        <w:numPr>
          <w:ilvl w:val="12"/>
          <w:numId w:val="0"/>
        </w:numPr>
        <w:ind w:left="720"/>
        <w:rPr>
          <w:sz w:val="22"/>
          <w:szCs w:val="22"/>
        </w:rPr>
      </w:pPr>
      <w:r w:rsidRPr="005636A0">
        <w:rPr>
          <w:sz w:val="22"/>
          <w:szCs w:val="22"/>
        </w:rPr>
        <w:t xml:space="preserve">Not later than 18 months after October 28, 1992, the Administrator shall, in consultation with the Secretary of Labor, the Secretary of Housing and Urban Development, and the Secretary of Health and Human Services (acting through the Director of the National Institute for Occupational Safety and Health), promulgate final regulations governing lead-based paint activities to ensure that individuals engaged in such activities are properly trained; that training programs are accredited; and that contractors engaged in such activities are certified. Such regulations shall contain standards for performing lead-based paint activities, taking into account reliability, effectiveness, and safety. Such regulations shall require that all risk assessment, inspection, and abatement activities performed in target housing shall be performed by certified contractors, as such term is defined in section 4851b of title 42. The provisions of this section shall supersede the provisions set forth under the heading ‘’Lead Abatement Training and Certification’‘ and under the heading ‘’Training Grants’‘ in title III of the Act entitled ‘’An Act making appropriations for the Departments of Veterans Affairs and Housing and Urban Development, and for sundry independent agencies, commissions, corporations, and offices for the fiscal year ending September 30, 1992, and for other purposes’‘, Public Law 102-139 (105 Stat. 765, 42 U.S.C. 4822 note), and upon October 28, 1992, the provisions set forth in such public law under such headings shall cease to have any force and effect. </w:t>
      </w:r>
    </w:p>
    <w:p w:rsidR="00CB3803" w:rsidRPr="005636A0" w:rsidRDefault="00CB3803" w:rsidP="00CB3803">
      <w:pPr>
        <w:numPr>
          <w:ilvl w:val="12"/>
          <w:numId w:val="0"/>
        </w:numPr>
        <w:rPr>
          <w:sz w:val="22"/>
          <w:szCs w:val="22"/>
        </w:rPr>
      </w:pPr>
      <w:r w:rsidRPr="005636A0">
        <w:rPr>
          <w:sz w:val="22"/>
          <w:szCs w:val="22"/>
        </w:rPr>
        <w:tab/>
        <w:t xml:space="preserve">(2) Accreditation of training programs </w:t>
      </w:r>
    </w:p>
    <w:p w:rsidR="00CB3803" w:rsidRPr="005636A0" w:rsidRDefault="00CB3803" w:rsidP="00CB3803">
      <w:pPr>
        <w:numPr>
          <w:ilvl w:val="12"/>
          <w:numId w:val="0"/>
        </w:numPr>
        <w:ind w:left="720"/>
        <w:rPr>
          <w:sz w:val="22"/>
          <w:szCs w:val="22"/>
        </w:rPr>
      </w:pPr>
      <w:r w:rsidRPr="005636A0">
        <w:rPr>
          <w:sz w:val="22"/>
          <w:szCs w:val="22"/>
        </w:rPr>
        <w:t xml:space="preserve">Final regulations promulgated under paragraph (1) shall contain specific requirements for the accreditation of lead-based paint activities training programs for workers, supervisors, inspectors and planners, and other individuals involved in lead-based paint activities, including, but not limited to, each of the following: </w:t>
      </w:r>
    </w:p>
    <w:p w:rsidR="00CB3803" w:rsidRPr="005636A0" w:rsidRDefault="00CB3803" w:rsidP="00CB3803">
      <w:pPr>
        <w:numPr>
          <w:ilvl w:val="12"/>
          <w:numId w:val="0"/>
        </w:numPr>
        <w:rPr>
          <w:sz w:val="22"/>
          <w:szCs w:val="22"/>
        </w:rPr>
      </w:pPr>
      <w:r w:rsidRPr="005636A0">
        <w:rPr>
          <w:sz w:val="22"/>
          <w:szCs w:val="22"/>
        </w:rPr>
        <w:t xml:space="preserve">               (A) Minimum requirements for the accreditation of training providers. </w:t>
      </w:r>
    </w:p>
    <w:p w:rsidR="00CB3803" w:rsidRPr="005636A0" w:rsidRDefault="00CB3803" w:rsidP="00CB3803">
      <w:pPr>
        <w:numPr>
          <w:ilvl w:val="12"/>
          <w:numId w:val="0"/>
        </w:numPr>
        <w:rPr>
          <w:sz w:val="22"/>
          <w:szCs w:val="22"/>
        </w:rPr>
      </w:pPr>
      <w:r w:rsidRPr="005636A0">
        <w:rPr>
          <w:sz w:val="22"/>
          <w:szCs w:val="22"/>
        </w:rPr>
        <w:t xml:space="preserve">               (B) Minimum training curriculum requirements. </w:t>
      </w:r>
    </w:p>
    <w:p w:rsidR="00CB3803" w:rsidRPr="005636A0" w:rsidRDefault="00CB3803" w:rsidP="00CB3803">
      <w:pPr>
        <w:numPr>
          <w:ilvl w:val="12"/>
          <w:numId w:val="0"/>
        </w:numPr>
        <w:rPr>
          <w:sz w:val="22"/>
          <w:szCs w:val="22"/>
        </w:rPr>
      </w:pPr>
      <w:r w:rsidRPr="005636A0">
        <w:rPr>
          <w:sz w:val="22"/>
          <w:szCs w:val="22"/>
        </w:rPr>
        <w:t xml:space="preserve">               (C) Minimum training hour requirements. </w:t>
      </w:r>
    </w:p>
    <w:p w:rsidR="00CB3803" w:rsidRPr="005636A0" w:rsidRDefault="00CB3803" w:rsidP="00CB3803">
      <w:pPr>
        <w:numPr>
          <w:ilvl w:val="12"/>
          <w:numId w:val="0"/>
        </w:numPr>
        <w:rPr>
          <w:sz w:val="22"/>
          <w:szCs w:val="22"/>
        </w:rPr>
      </w:pPr>
      <w:r w:rsidRPr="005636A0">
        <w:rPr>
          <w:sz w:val="22"/>
          <w:szCs w:val="22"/>
        </w:rPr>
        <w:t xml:space="preserve">               (D) Minimum hands-on training requirements. </w:t>
      </w:r>
    </w:p>
    <w:p w:rsidR="00CB3803" w:rsidRPr="005636A0" w:rsidRDefault="00CB3803" w:rsidP="00CB3803">
      <w:pPr>
        <w:numPr>
          <w:ilvl w:val="12"/>
          <w:numId w:val="0"/>
        </w:numPr>
        <w:rPr>
          <w:sz w:val="22"/>
          <w:szCs w:val="22"/>
        </w:rPr>
      </w:pPr>
      <w:r w:rsidRPr="005636A0">
        <w:rPr>
          <w:sz w:val="22"/>
          <w:szCs w:val="22"/>
        </w:rPr>
        <w:t xml:space="preserve">               (E) Minimum trainee competency and proficiency requirements. </w:t>
      </w:r>
    </w:p>
    <w:p w:rsidR="00CB3803" w:rsidRPr="005636A0" w:rsidRDefault="00CB3803" w:rsidP="00CB3803">
      <w:pPr>
        <w:numPr>
          <w:ilvl w:val="12"/>
          <w:numId w:val="0"/>
        </w:numPr>
        <w:rPr>
          <w:sz w:val="22"/>
          <w:szCs w:val="22"/>
        </w:rPr>
      </w:pPr>
      <w:r w:rsidRPr="005636A0">
        <w:rPr>
          <w:sz w:val="22"/>
          <w:szCs w:val="22"/>
        </w:rPr>
        <w:t xml:space="preserve">               (F) Minimum requirements for training program quality control.</w:t>
      </w:r>
    </w:p>
    <w:p w:rsidR="00CB3803" w:rsidRPr="005636A0" w:rsidRDefault="00CB3803" w:rsidP="00CB3803">
      <w:pPr>
        <w:numPr>
          <w:ilvl w:val="12"/>
          <w:numId w:val="0"/>
        </w:numPr>
        <w:rPr>
          <w:sz w:val="22"/>
          <w:szCs w:val="22"/>
        </w:rPr>
      </w:pPr>
      <w:r w:rsidRPr="005636A0">
        <w:rPr>
          <w:sz w:val="22"/>
          <w:szCs w:val="22"/>
        </w:rPr>
        <w:tab/>
        <w:t xml:space="preserve">(3) Accreditation and certification fees </w:t>
      </w:r>
    </w:p>
    <w:p w:rsidR="00CB3803" w:rsidRPr="005636A0" w:rsidRDefault="00CB3803" w:rsidP="00CB3803">
      <w:pPr>
        <w:numPr>
          <w:ilvl w:val="12"/>
          <w:numId w:val="0"/>
        </w:numPr>
        <w:ind w:left="720"/>
        <w:rPr>
          <w:sz w:val="22"/>
          <w:szCs w:val="22"/>
        </w:rPr>
      </w:pPr>
      <w:r w:rsidRPr="005636A0">
        <w:rPr>
          <w:sz w:val="22"/>
          <w:szCs w:val="22"/>
        </w:rPr>
        <w:t xml:space="preserve">The Administrator (or the State in the case of an authorized State program) shall impose a fee on - </w:t>
      </w:r>
    </w:p>
    <w:p w:rsidR="00CB3803" w:rsidRPr="005636A0" w:rsidRDefault="00CB3803" w:rsidP="00CB3803">
      <w:pPr>
        <w:numPr>
          <w:ilvl w:val="12"/>
          <w:numId w:val="0"/>
        </w:numPr>
        <w:rPr>
          <w:sz w:val="22"/>
          <w:szCs w:val="22"/>
        </w:rPr>
      </w:pPr>
      <w:r w:rsidRPr="005636A0">
        <w:rPr>
          <w:sz w:val="22"/>
          <w:szCs w:val="22"/>
        </w:rPr>
        <w:t xml:space="preserve">               (A) </w:t>
      </w:r>
      <w:proofErr w:type="gramStart"/>
      <w:r w:rsidRPr="005636A0">
        <w:rPr>
          <w:sz w:val="22"/>
          <w:szCs w:val="22"/>
        </w:rPr>
        <w:t>persons</w:t>
      </w:r>
      <w:proofErr w:type="gramEnd"/>
      <w:r w:rsidRPr="005636A0">
        <w:rPr>
          <w:sz w:val="22"/>
          <w:szCs w:val="22"/>
        </w:rPr>
        <w:t xml:space="preserve"> operating training programs accredited under this subchapter; and </w:t>
      </w:r>
    </w:p>
    <w:p w:rsidR="00CB3803" w:rsidRPr="005636A0" w:rsidRDefault="00CB3803" w:rsidP="00CB3803">
      <w:pPr>
        <w:numPr>
          <w:ilvl w:val="12"/>
          <w:numId w:val="0"/>
        </w:numPr>
        <w:rPr>
          <w:sz w:val="22"/>
          <w:szCs w:val="22"/>
        </w:rPr>
      </w:pPr>
      <w:r w:rsidRPr="005636A0">
        <w:rPr>
          <w:sz w:val="22"/>
          <w:szCs w:val="22"/>
        </w:rPr>
        <w:t xml:space="preserve">               (B) lead-based paint activities contractors certified in accordance with paragraph (1). </w:t>
      </w:r>
    </w:p>
    <w:p w:rsidR="00CB3803" w:rsidRPr="005636A0" w:rsidRDefault="00CB3803" w:rsidP="00CB3803">
      <w:pPr>
        <w:numPr>
          <w:ilvl w:val="12"/>
          <w:numId w:val="0"/>
        </w:numPr>
        <w:ind w:left="720"/>
        <w:rPr>
          <w:sz w:val="22"/>
          <w:szCs w:val="22"/>
        </w:rPr>
      </w:pPr>
      <w:r w:rsidRPr="005636A0">
        <w:rPr>
          <w:sz w:val="22"/>
          <w:szCs w:val="22"/>
        </w:rPr>
        <w:t>The fees shall be established at such level as is necessary to cover the costs of administering and enforcing the standards and regulations under this section which are applicable to such programs and contractors. The fee shall not be imposed on any State, local government, or nonprofit training program. The Administrator (or the State in the case of an authorized State program) may waive the fee for lead-based paint activities contractors under subparagraph (A) for the purpose of training their own employees.</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 xml:space="preserve">     (b) Lead-based paint activities </w:t>
      </w:r>
    </w:p>
    <w:p w:rsidR="00CB3803" w:rsidRPr="005636A0" w:rsidRDefault="00CB3803" w:rsidP="00CB3803">
      <w:pPr>
        <w:numPr>
          <w:ilvl w:val="12"/>
          <w:numId w:val="0"/>
        </w:numPr>
        <w:ind w:left="720"/>
        <w:rPr>
          <w:sz w:val="22"/>
          <w:szCs w:val="22"/>
        </w:rPr>
      </w:pPr>
      <w:r w:rsidRPr="005636A0">
        <w:rPr>
          <w:sz w:val="22"/>
          <w:szCs w:val="22"/>
        </w:rPr>
        <w:t xml:space="preserve">For purposes of this subchapter, the term ‘’lead-based paint </w:t>
      </w:r>
      <w:proofErr w:type="gramStart"/>
      <w:r w:rsidRPr="005636A0">
        <w:rPr>
          <w:sz w:val="22"/>
          <w:szCs w:val="22"/>
        </w:rPr>
        <w:t>activities’‘ means</w:t>
      </w:r>
      <w:proofErr w:type="gramEnd"/>
      <w:r w:rsidRPr="005636A0">
        <w:rPr>
          <w:sz w:val="22"/>
          <w:szCs w:val="22"/>
        </w:rPr>
        <w:t xml:space="preserve"> - </w:t>
      </w:r>
    </w:p>
    <w:p w:rsidR="00CB3803" w:rsidRPr="005636A0" w:rsidRDefault="00CB3803" w:rsidP="00CB3803">
      <w:pPr>
        <w:numPr>
          <w:ilvl w:val="12"/>
          <w:numId w:val="0"/>
        </w:numPr>
        <w:ind w:left="720"/>
        <w:rPr>
          <w:sz w:val="22"/>
          <w:szCs w:val="22"/>
        </w:rPr>
      </w:pPr>
      <w:r w:rsidRPr="005636A0">
        <w:rPr>
          <w:sz w:val="22"/>
          <w:szCs w:val="22"/>
        </w:rPr>
        <w:t xml:space="preserve">(1) </w:t>
      </w:r>
      <w:proofErr w:type="gramStart"/>
      <w:r w:rsidRPr="005636A0">
        <w:rPr>
          <w:sz w:val="22"/>
          <w:szCs w:val="22"/>
        </w:rPr>
        <w:t>in</w:t>
      </w:r>
      <w:proofErr w:type="gramEnd"/>
      <w:r w:rsidRPr="005636A0">
        <w:rPr>
          <w:sz w:val="22"/>
          <w:szCs w:val="22"/>
        </w:rPr>
        <w:t xml:space="preserve"> the case of target housing, risk assessment, inspection,  and abatement; and </w:t>
      </w:r>
    </w:p>
    <w:p w:rsidR="00CB3803" w:rsidRPr="005636A0" w:rsidRDefault="00CB3803" w:rsidP="00CB3803">
      <w:pPr>
        <w:numPr>
          <w:ilvl w:val="12"/>
          <w:numId w:val="0"/>
        </w:numPr>
        <w:ind w:left="720"/>
        <w:rPr>
          <w:sz w:val="22"/>
          <w:szCs w:val="22"/>
        </w:rPr>
      </w:pPr>
      <w:r w:rsidRPr="005636A0">
        <w:rPr>
          <w:sz w:val="22"/>
          <w:szCs w:val="22"/>
        </w:rPr>
        <w:t xml:space="preserve">(2) in the case of any public building constructed before 1978, commercial building, bridge, or other structure or superstructure, identification of lead-based paint and materials containing lead-based paint, </w:t>
      </w:r>
      <w:proofErr w:type="spellStart"/>
      <w:r w:rsidRPr="005636A0">
        <w:rPr>
          <w:sz w:val="22"/>
          <w:szCs w:val="22"/>
        </w:rPr>
        <w:t>deleading</w:t>
      </w:r>
      <w:proofErr w:type="spellEnd"/>
      <w:r w:rsidRPr="005636A0">
        <w:rPr>
          <w:sz w:val="22"/>
          <w:szCs w:val="22"/>
        </w:rPr>
        <w:t>, removal of lead from bridges, and demolition. For purposes of paragraph (2), the term ‘’</w:t>
      </w:r>
      <w:proofErr w:type="spellStart"/>
      <w:r w:rsidRPr="005636A0">
        <w:rPr>
          <w:sz w:val="22"/>
          <w:szCs w:val="22"/>
        </w:rPr>
        <w:t>deleading</w:t>
      </w:r>
      <w:proofErr w:type="spellEnd"/>
      <w:r w:rsidRPr="005636A0">
        <w:rPr>
          <w:sz w:val="22"/>
          <w:szCs w:val="22"/>
        </w:rPr>
        <w:t xml:space="preserve">’‘ means activities conducted by a person who offers to eliminate lead-based paint or lead-based paint hazards or to plan such activities.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 xml:space="preserve">     (c) Renovation and remodeling </w:t>
      </w:r>
    </w:p>
    <w:p w:rsidR="00CB3803" w:rsidRPr="005636A0" w:rsidRDefault="00CB3803" w:rsidP="00CB3803">
      <w:pPr>
        <w:numPr>
          <w:ilvl w:val="12"/>
          <w:numId w:val="0"/>
        </w:numPr>
        <w:rPr>
          <w:sz w:val="22"/>
          <w:szCs w:val="22"/>
        </w:rPr>
      </w:pPr>
      <w:r w:rsidRPr="005636A0">
        <w:rPr>
          <w:sz w:val="22"/>
          <w:szCs w:val="22"/>
        </w:rPr>
        <w:tab/>
        <w:t xml:space="preserve">(1) Guidelines </w:t>
      </w:r>
    </w:p>
    <w:p w:rsidR="00CB3803" w:rsidRPr="005636A0" w:rsidRDefault="00CB3803" w:rsidP="00CB3803">
      <w:pPr>
        <w:numPr>
          <w:ilvl w:val="12"/>
          <w:numId w:val="0"/>
        </w:numPr>
        <w:ind w:left="720"/>
        <w:rPr>
          <w:sz w:val="22"/>
          <w:szCs w:val="22"/>
        </w:rPr>
      </w:pPr>
      <w:r w:rsidRPr="005636A0">
        <w:rPr>
          <w:sz w:val="22"/>
          <w:szCs w:val="22"/>
        </w:rPr>
        <w:t xml:space="preserve">In order to reduce the risk of exposure to lead in connection with renovation and remodeling of target housing, public buildings constructed before 1978, and commercial buildings, the Administrator shall, within 18 months after October 28, 1992, promulgate guidelines for the conduct of such renovation and remodeling activities which may create a risk of exposure to dangerous levels of lead. The Administrator shall disseminate such guidelines to persons engaged in such renovation and remodeling through hardware and paint stores, employee organizations, trade groups, State and local agencies, and through other appropriate means. </w:t>
      </w:r>
    </w:p>
    <w:p w:rsidR="00CB3803" w:rsidRPr="005636A0" w:rsidRDefault="00CB3803" w:rsidP="00CB3803">
      <w:pPr>
        <w:numPr>
          <w:ilvl w:val="12"/>
          <w:numId w:val="0"/>
        </w:numPr>
        <w:ind w:left="720"/>
        <w:rPr>
          <w:sz w:val="22"/>
          <w:szCs w:val="22"/>
        </w:rPr>
      </w:pPr>
      <w:r w:rsidRPr="005636A0">
        <w:rPr>
          <w:sz w:val="22"/>
          <w:szCs w:val="22"/>
        </w:rPr>
        <w:t xml:space="preserve">(2) Study of certification </w:t>
      </w:r>
    </w:p>
    <w:p w:rsidR="00CB3803" w:rsidRPr="005636A0" w:rsidRDefault="00CB3803" w:rsidP="00CB3803">
      <w:pPr>
        <w:numPr>
          <w:ilvl w:val="12"/>
          <w:numId w:val="0"/>
        </w:numPr>
        <w:ind w:left="720"/>
        <w:rPr>
          <w:sz w:val="22"/>
          <w:szCs w:val="22"/>
        </w:rPr>
      </w:pPr>
      <w:r w:rsidRPr="005636A0">
        <w:rPr>
          <w:sz w:val="22"/>
          <w:szCs w:val="22"/>
        </w:rPr>
        <w:t xml:space="preserve">The Administrator shall conduct a study of the extent to which persons engaged in various types of renovation and remodeling activities in target housing, public buildings constructed before 1978, and commercial buildings are exposed to lead in the conduct of such activities or disturb lead and create a lead-based paint hazard on a regular or occasional basis. The Administrator shall complete such study and publish the results thereof within 30 months after October 28, 1992. </w:t>
      </w:r>
    </w:p>
    <w:p w:rsidR="00CB3803" w:rsidRPr="005636A0" w:rsidRDefault="00CB3803" w:rsidP="00CB3803">
      <w:pPr>
        <w:numPr>
          <w:ilvl w:val="12"/>
          <w:numId w:val="0"/>
        </w:numPr>
        <w:rPr>
          <w:sz w:val="22"/>
          <w:szCs w:val="22"/>
        </w:rPr>
      </w:pPr>
      <w:r w:rsidRPr="005636A0">
        <w:rPr>
          <w:sz w:val="22"/>
          <w:szCs w:val="22"/>
        </w:rPr>
        <w:tab/>
        <w:t xml:space="preserve">(3) Certification determination </w:t>
      </w:r>
    </w:p>
    <w:p w:rsidR="00CB3803" w:rsidRPr="005636A0" w:rsidRDefault="00CB3803" w:rsidP="00CB3803">
      <w:pPr>
        <w:numPr>
          <w:ilvl w:val="12"/>
          <w:numId w:val="0"/>
        </w:numPr>
        <w:ind w:left="720"/>
        <w:rPr>
          <w:sz w:val="22"/>
          <w:szCs w:val="22"/>
        </w:rPr>
      </w:pPr>
      <w:r w:rsidRPr="005636A0">
        <w:rPr>
          <w:sz w:val="22"/>
          <w:szCs w:val="22"/>
        </w:rPr>
        <w:t xml:space="preserve">Within 4 years after October 28, 1992, the Administrator shall revise the regulations under subsection (a) of this section to apply the regulations to renovation or remodeling activities in target housing, public buildings constructed before 1978, and commercial buildings that create lead-based paint hazards. In determining which contractors are engaged in such activities, the Administrator shall utilize the results of the study under paragraph (2) and consult with the representatives of labor organizations, lead-based paint activities contractors, persons engaged in remodeling and renovation, experts in lead health effects, and others. If the Administrator determines that any category of contractors engaged in renovation or remodeling does not require certification, the Administrator shall publish an explanation of the basis for that determination.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br w:type="page"/>
      </w:r>
      <w:r w:rsidRPr="005636A0">
        <w:rPr>
          <w:sz w:val="22"/>
          <w:szCs w:val="22"/>
        </w:rPr>
        <w:lastRenderedPageBreak/>
        <w:t xml:space="preserve">Sec. 2684. Authorized State programs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ab/>
        <w:t xml:space="preserve">(a) Approval </w:t>
      </w:r>
    </w:p>
    <w:p w:rsidR="00CB3803" w:rsidRPr="005636A0" w:rsidRDefault="00CB3803" w:rsidP="00CB3803">
      <w:pPr>
        <w:numPr>
          <w:ilvl w:val="12"/>
          <w:numId w:val="0"/>
        </w:numPr>
        <w:ind w:left="720"/>
        <w:rPr>
          <w:sz w:val="22"/>
          <w:szCs w:val="22"/>
        </w:rPr>
      </w:pPr>
      <w:r w:rsidRPr="005636A0">
        <w:rPr>
          <w:sz w:val="22"/>
          <w:szCs w:val="22"/>
        </w:rPr>
        <w:t xml:space="preserve">Any State which seeks to administer and enforce the standards, regulations, or other requirements established under section 2682 or 2686 of this title, or both, may, after notice and opportunity for public hearing, develop and submit to the Administrator an application, in such form as the Administrator shall require, for authorization of such a State program. Any such State may also certify to the Administrator at the time of submitting such program that the State program meets the requirements of paragraphs (1) and (2) of subsection (b) of this section. Upon submission of such certification, the State program shall be deemed to be authorized under this section, and shall apply in such State in lieu of the corresponding Federal program under section 2682 or 2686 of this title, or both, as the case may be, until such time as the Administrator disapproves the program or withdraws the authorization.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ab/>
        <w:t xml:space="preserve">(b) Approval or disapproval </w:t>
      </w:r>
    </w:p>
    <w:p w:rsidR="00CB3803" w:rsidRPr="005636A0" w:rsidRDefault="00CB3803" w:rsidP="00CB3803">
      <w:pPr>
        <w:numPr>
          <w:ilvl w:val="12"/>
          <w:numId w:val="0"/>
        </w:numPr>
        <w:ind w:left="720"/>
        <w:rPr>
          <w:sz w:val="22"/>
          <w:szCs w:val="22"/>
        </w:rPr>
      </w:pPr>
      <w:r w:rsidRPr="005636A0">
        <w:rPr>
          <w:sz w:val="22"/>
          <w:szCs w:val="22"/>
        </w:rPr>
        <w:t xml:space="preserve">Within 180 days following submission of an application under subsection (a) of this section, the Administrator shall approve or disapprove the application. The Administrator may approve the application only if, after notice and after opportunity for public hearing, the Administrator finds that - </w:t>
      </w:r>
    </w:p>
    <w:p w:rsidR="00CB3803" w:rsidRPr="005636A0" w:rsidRDefault="00CB3803" w:rsidP="00CB3803">
      <w:pPr>
        <w:numPr>
          <w:ilvl w:val="12"/>
          <w:numId w:val="0"/>
        </w:numPr>
        <w:ind w:left="1440"/>
        <w:rPr>
          <w:sz w:val="22"/>
          <w:szCs w:val="22"/>
        </w:rPr>
      </w:pPr>
      <w:r w:rsidRPr="005636A0">
        <w:rPr>
          <w:sz w:val="22"/>
          <w:szCs w:val="22"/>
        </w:rPr>
        <w:t xml:space="preserve">(1) the State program is at least as protective of human health and the environment as the Federal program under section 2682 or 2686 of this title, or both, as the case may be, and </w:t>
      </w:r>
    </w:p>
    <w:p w:rsidR="00CB3803" w:rsidRPr="005636A0" w:rsidRDefault="00CB3803" w:rsidP="00CB3803">
      <w:pPr>
        <w:numPr>
          <w:ilvl w:val="12"/>
          <w:numId w:val="0"/>
        </w:numPr>
        <w:ind w:left="1440"/>
        <w:rPr>
          <w:sz w:val="22"/>
          <w:szCs w:val="22"/>
        </w:rPr>
      </w:pPr>
      <w:r w:rsidRPr="005636A0">
        <w:rPr>
          <w:sz w:val="22"/>
          <w:szCs w:val="22"/>
        </w:rPr>
        <w:t xml:space="preserve">(2) </w:t>
      </w:r>
      <w:proofErr w:type="gramStart"/>
      <w:r w:rsidRPr="005636A0">
        <w:rPr>
          <w:sz w:val="22"/>
          <w:szCs w:val="22"/>
        </w:rPr>
        <w:t>such</w:t>
      </w:r>
      <w:proofErr w:type="gramEnd"/>
      <w:r w:rsidRPr="005636A0">
        <w:rPr>
          <w:sz w:val="22"/>
          <w:szCs w:val="22"/>
        </w:rPr>
        <w:t xml:space="preserve"> State program provides adequate enforcement. Upon authorization of a State program under this section, it shall be unlawful for any person to violate or fail or refuse to comply with any requirement of such program.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ab/>
        <w:t xml:space="preserve">(c) Withdrawal of authorization </w:t>
      </w:r>
    </w:p>
    <w:p w:rsidR="00CB3803" w:rsidRPr="005636A0" w:rsidRDefault="00CB3803" w:rsidP="00CB3803">
      <w:pPr>
        <w:numPr>
          <w:ilvl w:val="12"/>
          <w:numId w:val="0"/>
        </w:numPr>
        <w:ind w:left="720"/>
        <w:rPr>
          <w:sz w:val="22"/>
          <w:szCs w:val="22"/>
        </w:rPr>
      </w:pPr>
      <w:r w:rsidRPr="005636A0">
        <w:rPr>
          <w:sz w:val="22"/>
          <w:szCs w:val="22"/>
        </w:rPr>
        <w:t xml:space="preserve">If a State is not administering and enforcing a program authorized under this section in compliance with standards, regulations, and other requirements of this subchapter, the Administrator shall so notify the State and, if corrective action is not completed within a reasonable time, not to exceed 180 days, the Administrator shall withdraw authorization of such program and establish a Federal program pursuant to this subchapter.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ab/>
        <w:t xml:space="preserve">(d) </w:t>
      </w:r>
      <w:smartTag w:uri="urn:schemas-microsoft-com:office:smarttags" w:element="place">
        <w:smartTag w:uri="urn:schemas-microsoft-com:office:smarttags" w:element="PlaceName">
          <w:r w:rsidRPr="005636A0">
            <w:rPr>
              <w:sz w:val="22"/>
              <w:szCs w:val="22"/>
            </w:rPr>
            <w:t>Model</w:t>
          </w:r>
        </w:smartTag>
        <w:r w:rsidRPr="005636A0">
          <w:rPr>
            <w:sz w:val="22"/>
            <w:szCs w:val="22"/>
          </w:rPr>
          <w:t xml:space="preserve"> </w:t>
        </w:r>
        <w:smartTag w:uri="urn:schemas-microsoft-com:office:smarttags" w:element="PlaceType">
          <w:r w:rsidRPr="005636A0">
            <w:rPr>
              <w:sz w:val="22"/>
              <w:szCs w:val="22"/>
            </w:rPr>
            <w:t>State</w:t>
          </w:r>
        </w:smartTag>
      </w:smartTag>
      <w:r w:rsidRPr="005636A0">
        <w:rPr>
          <w:sz w:val="22"/>
          <w:szCs w:val="22"/>
        </w:rPr>
        <w:t xml:space="preserve"> program </w:t>
      </w:r>
    </w:p>
    <w:p w:rsidR="00CB3803" w:rsidRPr="005636A0" w:rsidRDefault="00CB3803" w:rsidP="00CB3803">
      <w:pPr>
        <w:numPr>
          <w:ilvl w:val="12"/>
          <w:numId w:val="0"/>
        </w:numPr>
        <w:ind w:left="720"/>
        <w:rPr>
          <w:sz w:val="22"/>
          <w:szCs w:val="22"/>
        </w:rPr>
      </w:pPr>
      <w:r w:rsidRPr="005636A0">
        <w:rPr>
          <w:sz w:val="22"/>
          <w:szCs w:val="22"/>
        </w:rPr>
        <w:t xml:space="preserve">Within 18 months after October 28, 1992, the Administrator shall promulgate a model State program which may be adopted by any State which seeks to administer and enforce a State program under this subchapter. Such model program shall, to the extent practicable, encourage States to utilize existing State and local certification and accreditation programs and procedures. Such program shall encourage reciprocity among the States with respect to the certification under section 2682 of this title.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ab/>
        <w:t xml:space="preserve">(e) Other State requirements </w:t>
      </w:r>
    </w:p>
    <w:p w:rsidR="00CB3803" w:rsidRPr="005636A0" w:rsidRDefault="00CB3803" w:rsidP="00CB3803">
      <w:pPr>
        <w:numPr>
          <w:ilvl w:val="12"/>
          <w:numId w:val="0"/>
        </w:numPr>
        <w:ind w:left="720"/>
        <w:rPr>
          <w:sz w:val="22"/>
          <w:szCs w:val="22"/>
        </w:rPr>
      </w:pPr>
      <w:r w:rsidRPr="005636A0">
        <w:rPr>
          <w:sz w:val="22"/>
          <w:szCs w:val="22"/>
        </w:rPr>
        <w:t xml:space="preserve">Nothing in this subchapter shall be construed to prohibit any State or political subdivision thereof from imposing any requirements which are more stringent than those imposed by this subchapter.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tab/>
        <w:t xml:space="preserve">(f) State and local certification </w:t>
      </w:r>
    </w:p>
    <w:p w:rsidR="00CB3803" w:rsidRPr="005636A0" w:rsidRDefault="00CB3803" w:rsidP="00CB3803">
      <w:pPr>
        <w:numPr>
          <w:ilvl w:val="12"/>
          <w:numId w:val="0"/>
        </w:numPr>
        <w:ind w:left="720"/>
        <w:rPr>
          <w:sz w:val="22"/>
          <w:szCs w:val="22"/>
        </w:rPr>
      </w:pPr>
      <w:r w:rsidRPr="005636A0">
        <w:rPr>
          <w:sz w:val="22"/>
          <w:szCs w:val="22"/>
        </w:rPr>
        <w:t xml:space="preserve">The regulations under this subchapter shall, to the extent appropriate, encourage States to seek program authorization and to use existing State and local certification and accreditation procedures, except that a State or local government shall not require more than 1 certification under this section for any lead-based paint activities contractor to carry out lead-based paint activities in the State or political subdivision thereof.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rPr>
          <w:sz w:val="22"/>
          <w:szCs w:val="22"/>
        </w:rPr>
      </w:pPr>
      <w:r w:rsidRPr="005636A0">
        <w:rPr>
          <w:sz w:val="22"/>
          <w:szCs w:val="22"/>
        </w:rPr>
        <w:lastRenderedPageBreak/>
        <w:tab/>
        <w:t xml:space="preserve">(g) Grants to States </w:t>
      </w:r>
    </w:p>
    <w:p w:rsidR="00CB3803" w:rsidRPr="005636A0" w:rsidRDefault="00CB3803" w:rsidP="00CB3803">
      <w:pPr>
        <w:numPr>
          <w:ilvl w:val="12"/>
          <w:numId w:val="0"/>
        </w:numPr>
        <w:ind w:left="720"/>
        <w:rPr>
          <w:sz w:val="22"/>
          <w:szCs w:val="22"/>
        </w:rPr>
      </w:pPr>
      <w:r w:rsidRPr="005636A0">
        <w:rPr>
          <w:sz w:val="22"/>
          <w:szCs w:val="22"/>
        </w:rPr>
        <w:t xml:space="preserve">The Administrator is authorized to make grants to States to develop and carry out authorized State programs under this section. The grants shall be subject to such terms and conditions as the Administrator may establish to further the purposes of this subchapter. </w:t>
      </w:r>
    </w:p>
    <w:p w:rsidR="00CB3803" w:rsidRPr="005636A0" w:rsidRDefault="00CB3803" w:rsidP="00CB3803">
      <w:pPr>
        <w:numPr>
          <w:ilvl w:val="12"/>
          <w:numId w:val="0"/>
        </w:numPr>
        <w:rPr>
          <w:sz w:val="22"/>
          <w:szCs w:val="22"/>
        </w:rPr>
      </w:pPr>
    </w:p>
    <w:p w:rsidR="00CB3803" w:rsidRPr="005636A0" w:rsidRDefault="00CB3803" w:rsidP="00CB3803">
      <w:pPr>
        <w:numPr>
          <w:ilvl w:val="12"/>
          <w:numId w:val="0"/>
        </w:numPr>
        <w:ind w:left="720"/>
        <w:rPr>
          <w:sz w:val="22"/>
          <w:szCs w:val="22"/>
        </w:rPr>
      </w:pPr>
      <w:r w:rsidRPr="005636A0">
        <w:rPr>
          <w:sz w:val="22"/>
          <w:szCs w:val="22"/>
        </w:rPr>
        <w:t xml:space="preserve">(h) Enforcement by Administrator </w:t>
      </w:r>
    </w:p>
    <w:p w:rsidR="00CB3803" w:rsidRPr="005636A0" w:rsidRDefault="00CB3803" w:rsidP="00CB3803">
      <w:pPr>
        <w:numPr>
          <w:ilvl w:val="12"/>
          <w:numId w:val="0"/>
        </w:numPr>
        <w:ind w:left="720"/>
        <w:rPr>
          <w:sz w:val="22"/>
          <w:szCs w:val="22"/>
        </w:rPr>
      </w:pPr>
      <w:r w:rsidRPr="005636A0">
        <w:rPr>
          <w:sz w:val="22"/>
          <w:szCs w:val="22"/>
        </w:rPr>
        <w:t>If a State does not have a State program authorized under this section and in effect by the date which is 2 years after promulgation of the regulations under section 2682 or 2686 of this title, the Administrator shall, by such date, establish a Federal program for section 2682 or 2686 of this title (as the case may be) for such State and administer and enforce such program in such State.</w:t>
      </w:r>
    </w:p>
    <w:p w:rsidR="00091083" w:rsidRDefault="00091083"/>
    <w:sectPr w:rsidR="00091083" w:rsidSect="004478E5">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803"/>
    <w:rsid w:val="00034FDA"/>
    <w:rsid w:val="00077F82"/>
    <w:rsid w:val="00091083"/>
    <w:rsid w:val="000D6D40"/>
    <w:rsid w:val="000D7F61"/>
    <w:rsid w:val="0013520D"/>
    <w:rsid w:val="00145565"/>
    <w:rsid w:val="00151962"/>
    <w:rsid w:val="00166308"/>
    <w:rsid w:val="00186448"/>
    <w:rsid w:val="00191202"/>
    <w:rsid w:val="00192B34"/>
    <w:rsid w:val="001E0C36"/>
    <w:rsid w:val="00210748"/>
    <w:rsid w:val="00212BA9"/>
    <w:rsid w:val="00262C6C"/>
    <w:rsid w:val="002700F7"/>
    <w:rsid w:val="00270A39"/>
    <w:rsid w:val="002D3C44"/>
    <w:rsid w:val="003267DC"/>
    <w:rsid w:val="003426DD"/>
    <w:rsid w:val="003444F6"/>
    <w:rsid w:val="00362D4A"/>
    <w:rsid w:val="003C4295"/>
    <w:rsid w:val="003D60D9"/>
    <w:rsid w:val="004478E5"/>
    <w:rsid w:val="004704A8"/>
    <w:rsid w:val="00471197"/>
    <w:rsid w:val="00484754"/>
    <w:rsid w:val="00486924"/>
    <w:rsid w:val="004C7DA3"/>
    <w:rsid w:val="004D0990"/>
    <w:rsid w:val="004D4152"/>
    <w:rsid w:val="00507942"/>
    <w:rsid w:val="00584EF6"/>
    <w:rsid w:val="006554D9"/>
    <w:rsid w:val="00657519"/>
    <w:rsid w:val="00676411"/>
    <w:rsid w:val="00692C3A"/>
    <w:rsid w:val="006B016A"/>
    <w:rsid w:val="006D2DD2"/>
    <w:rsid w:val="00714EFA"/>
    <w:rsid w:val="007459CB"/>
    <w:rsid w:val="007763FC"/>
    <w:rsid w:val="007A2FA3"/>
    <w:rsid w:val="007C573D"/>
    <w:rsid w:val="00803815"/>
    <w:rsid w:val="00841167"/>
    <w:rsid w:val="008941A9"/>
    <w:rsid w:val="00894452"/>
    <w:rsid w:val="008A5367"/>
    <w:rsid w:val="008C28E3"/>
    <w:rsid w:val="009142CF"/>
    <w:rsid w:val="00972678"/>
    <w:rsid w:val="009777F6"/>
    <w:rsid w:val="00990B20"/>
    <w:rsid w:val="00A16C4E"/>
    <w:rsid w:val="00A4025F"/>
    <w:rsid w:val="00A457F9"/>
    <w:rsid w:val="00A64DB4"/>
    <w:rsid w:val="00A82E37"/>
    <w:rsid w:val="00B02952"/>
    <w:rsid w:val="00B2441D"/>
    <w:rsid w:val="00BB3657"/>
    <w:rsid w:val="00BC301B"/>
    <w:rsid w:val="00BC4F1E"/>
    <w:rsid w:val="00C00139"/>
    <w:rsid w:val="00C52D68"/>
    <w:rsid w:val="00C55666"/>
    <w:rsid w:val="00C55B14"/>
    <w:rsid w:val="00C82A49"/>
    <w:rsid w:val="00C95D67"/>
    <w:rsid w:val="00CB3803"/>
    <w:rsid w:val="00D17DC0"/>
    <w:rsid w:val="00D21E9C"/>
    <w:rsid w:val="00DF004F"/>
    <w:rsid w:val="00E000C6"/>
    <w:rsid w:val="00E0471B"/>
    <w:rsid w:val="00E164A1"/>
    <w:rsid w:val="00E41A23"/>
    <w:rsid w:val="00E948C5"/>
    <w:rsid w:val="00F02E4F"/>
    <w:rsid w:val="00F63CBA"/>
    <w:rsid w:val="00F740B2"/>
    <w:rsid w:val="00FA51A2"/>
    <w:rsid w:val="00FF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D5DCE7D-E258-4A76-8EF8-80B6B167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80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Carlson, Ron</cp:lastModifiedBy>
  <cp:revision>2</cp:revision>
  <dcterms:created xsi:type="dcterms:W3CDTF">2015-02-25T13:44:00Z</dcterms:created>
  <dcterms:modified xsi:type="dcterms:W3CDTF">2015-02-25T13:44:00Z</dcterms:modified>
</cp:coreProperties>
</file>