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FDF0D" w14:textId="77777777" w:rsidR="00991192" w:rsidRDefault="00991192" w:rsidP="00EF45A5">
      <w:pPr>
        <w:jc w:val="center"/>
        <w:rPr>
          <w:b/>
        </w:rPr>
      </w:pPr>
      <w:permStart w:id="1234070703" w:edGrp="everyone"/>
      <w:permEnd w:id="1234070703"/>
      <w:r>
        <w:rPr>
          <w:b/>
        </w:rPr>
        <w:t>Supporting Statement</w:t>
      </w:r>
    </w:p>
    <w:p w14:paraId="292CAE98" w14:textId="73EA0209" w:rsidR="00F84F18" w:rsidRPr="008F6371" w:rsidRDefault="008F6371" w:rsidP="00EF45A5">
      <w:pPr>
        <w:jc w:val="center"/>
        <w:rPr>
          <w:b/>
        </w:rPr>
      </w:pPr>
      <w:r w:rsidRPr="008F6371">
        <w:rPr>
          <w:b/>
        </w:rPr>
        <w:t xml:space="preserve">Senior Corps </w:t>
      </w:r>
      <w:r w:rsidR="00991192">
        <w:rPr>
          <w:b/>
        </w:rPr>
        <w:t>Longitudinal</w:t>
      </w:r>
      <w:r w:rsidR="00DF2A0C">
        <w:rPr>
          <w:b/>
        </w:rPr>
        <w:t xml:space="preserve"> </w:t>
      </w:r>
      <w:r w:rsidRPr="008F6371">
        <w:rPr>
          <w:b/>
        </w:rPr>
        <w:t xml:space="preserve">Evaluation </w:t>
      </w:r>
    </w:p>
    <w:p w14:paraId="3232D1E4" w14:textId="77777777" w:rsidR="00A3225C" w:rsidRPr="00ED7B53" w:rsidRDefault="00991192" w:rsidP="000D62F1">
      <w:pPr>
        <w:spacing w:after="240"/>
        <w:rPr>
          <w:b/>
        </w:rPr>
      </w:pPr>
      <w:r w:rsidRPr="00ED7B53">
        <w:rPr>
          <w:b/>
        </w:rPr>
        <w:t>Introduction</w:t>
      </w:r>
    </w:p>
    <w:p w14:paraId="4EBBF032" w14:textId="735D1AD0" w:rsidR="006765B6" w:rsidRDefault="004D6812" w:rsidP="00ED7B53">
      <w:pPr>
        <w:spacing w:after="240"/>
      </w:pPr>
      <w:r>
        <w:rPr>
          <w:bCs/>
        </w:rPr>
        <w:t xml:space="preserve">The </w:t>
      </w:r>
      <w:r w:rsidRPr="000D100E">
        <w:rPr>
          <w:bCs/>
        </w:rPr>
        <w:t>Corporation for National and Community Service</w:t>
      </w:r>
      <w:r>
        <w:t xml:space="preserve"> (CNCS) requests approval to conduct a longitudinal evaluation of the Foster Grandparent Program </w:t>
      </w:r>
      <w:r w:rsidR="009168C6">
        <w:t xml:space="preserve">(FGP) </w:t>
      </w:r>
      <w:r>
        <w:t>and the Senior Companion Program</w:t>
      </w:r>
      <w:r w:rsidR="009168C6">
        <w:t xml:space="preserve"> (SCP)</w:t>
      </w:r>
      <w:r>
        <w:t xml:space="preserve">. The Senior Corps longitudinal evaluation will consist of two studies. One study will focus on the Foster Grandparent and Senior Companion volunteers. The second study will focus on caregivers receiving respite </w:t>
      </w:r>
      <w:r w:rsidR="00FA68F9">
        <w:t>services</w:t>
      </w:r>
      <w:r>
        <w:t xml:space="preserve">. </w:t>
      </w:r>
    </w:p>
    <w:p w14:paraId="1AFA88E8" w14:textId="09C780CA" w:rsidR="004D6812" w:rsidRDefault="004D6812" w:rsidP="00ED7B53">
      <w:pPr>
        <w:spacing w:after="240"/>
      </w:pPr>
      <w:r>
        <w:t xml:space="preserve">The Volunteer Study will enroll new volunteers and will have three rounds of data collection: a baseline and two follow-ups. </w:t>
      </w:r>
      <w:r w:rsidR="006765B6">
        <w:t>Th</w:t>
      </w:r>
      <w:r w:rsidR="009168C6">
        <w:t>is</w:t>
      </w:r>
      <w:r w:rsidR="006765B6">
        <w:t xml:space="preserve"> </w:t>
      </w:r>
      <w:r w:rsidR="009168C6">
        <w:t>study</w:t>
      </w:r>
      <w:r w:rsidR="006765B6">
        <w:t xml:space="preserve"> will </w:t>
      </w:r>
      <w:r w:rsidR="00FA68F9">
        <w:t xml:space="preserve">also </w:t>
      </w:r>
      <w:r w:rsidR="00E81E57">
        <w:t xml:space="preserve">use </w:t>
      </w:r>
      <w:r w:rsidR="000D62F1">
        <w:t xml:space="preserve">a quasi-experimental design to </w:t>
      </w:r>
      <w:r w:rsidR="006765B6">
        <w:t xml:space="preserve">measure the </w:t>
      </w:r>
      <w:r w:rsidR="00BF529B">
        <w:t xml:space="preserve">effects </w:t>
      </w:r>
      <w:r w:rsidR="006765B6">
        <w:t xml:space="preserve">of national service on volunteers </w:t>
      </w:r>
      <w:r w:rsidR="00CD26B5">
        <w:t xml:space="preserve">experience, satisfaction, </w:t>
      </w:r>
      <w:r w:rsidR="007B422D">
        <w:t xml:space="preserve">self-reported health, </w:t>
      </w:r>
      <w:r w:rsidR="006765B6">
        <w:t xml:space="preserve">symptoms of depression </w:t>
      </w:r>
      <w:r w:rsidR="00CD26B5">
        <w:t xml:space="preserve">and </w:t>
      </w:r>
      <w:r w:rsidR="006765B6">
        <w:t>loneliness. The study will also examine volunteer retention and satisfaction</w:t>
      </w:r>
      <w:r w:rsidR="00FA68F9">
        <w:t xml:space="preserve"> with the volunteer experience</w:t>
      </w:r>
      <w:r w:rsidR="006765B6">
        <w:t xml:space="preserve">. The planned analyses include descriptive analysis, multiple regression analysis and propensity score matching to compare the </w:t>
      </w:r>
      <w:r w:rsidR="00DF3BC2">
        <w:t xml:space="preserve">Senior Corps </w:t>
      </w:r>
      <w:r w:rsidR="006765B6">
        <w:t>volunteers to participants in the University of Michigan’s Health and Retirement Study</w:t>
      </w:r>
      <w:r w:rsidR="009168C6">
        <w:t xml:space="preserve"> (HRS)</w:t>
      </w:r>
      <w:r w:rsidR="006765B6">
        <w:t xml:space="preserve">. </w:t>
      </w:r>
    </w:p>
    <w:p w14:paraId="1862DE7C" w14:textId="73B5CE3E" w:rsidR="004D6812" w:rsidRDefault="004D6812" w:rsidP="00ED7B53">
      <w:pPr>
        <w:spacing w:after="240"/>
      </w:pPr>
      <w:r>
        <w:t xml:space="preserve">The Caregiver Study will enroll new caregivers </w:t>
      </w:r>
      <w:r w:rsidR="006765B6">
        <w:t xml:space="preserve">receiving respite </w:t>
      </w:r>
      <w:r w:rsidR="00FA68F9">
        <w:t>services</w:t>
      </w:r>
      <w:r w:rsidR="006765B6">
        <w:t>. Th</w:t>
      </w:r>
      <w:r w:rsidR="009168C6">
        <w:t>is s</w:t>
      </w:r>
      <w:r w:rsidR="006765B6">
        <w:t xml:space="preserve">tudy </w:t>
      </w:r>
      <w:r w:rsidR="00FA68F9">
        <w:t xml:space="preserve">uses </w:t>
      </w:r>
      <w:r w:rsidR="006765B6">
        <w:t xml:space="preserve">a pre/post design with a baseline and one follow-up. </w:t>
      </w:r>
      <w:r w:rsidR="00147985">
        <w:t xml:space="preserve">The planned analyses include descriptive analysis and regression analysis to measure </w:t>
      </w:r>
      <w:r w:rsidR="006765B6">
        <w:t xml:space="preserve">change in caregivers’ </w:t>
      </w:r>
      <w:r w:rsidR="00FA68F9">
        <w:t xml:space="preserve">satisfaction, </w:t>
      </w:r>
      <w:r w:rsidR="006765B6">
        <w:t>self-reported</w:t>
      </w:r>
      <w:r>
        <w:t xml:space="preserve"> health </w:t>
      </w:r>
      <w:r w:rsidR="00FA68F9">
        <w:t xml:space="preserve">and </w:t>
      </w:r>
      <w:r w:rsidR="009168C6">
        <w:t xml:space="preserve">self-assessment of </w:t>
      </w:r>
      <w:r>
        <w:t xml:space="preserve">symptoms of depression. </w:t>
      </w:r>
    </w:p>
    <w:p w14:paraId="1253FEB3" w14:textId="784B1162" w:rsidR="000D62F1" w:rsidRDefault="000D62F1" w:rsidP="000D62F1">
      <w:pPr>
        <w:autoSpaceDE w:val="0"/>
        <w:autoSpaceDN w:val="0"/>
        <w:adjustRightInd w:val="0"/>
        <w:spacing w:after="200"/>
        <w:rPr>
          <w:rFonts w:eastAsiaTheme="minorHAnsi"/>
        </w:rPr>
      </w:pPr>
      <w:r>
        <w:t xml:space="preserve">In the research literature, the social benefits of volunteering are well documented. Preliminary findings indicate that compared to populations of demographically-similar non-volunteers, there is an association between volunteerism and lower mortality rates, greater functional ability, and lower </w:t>
      </w:r>
      <w:r w:rsidR="00FA68F9">
        <w:t xml:space="preserve">rates of </w:t>
      </w:r>
      <w:r>
        <w:t>depressi</w:t>
      </w:r>
      <w:r w:rsidR="00FA68F9">
        <w:t xml:space="preserve">ve symptoms </w:t>
      </w:r>
      <w:r>
        <w:t xml:space="preserve">in later life. However, the psychological outcomes such as </w:t>
      </w:r>
      <w:r w:rsidR="00FA68F9">
        <w:t xml:space="preserve">satisfaction with volunteering, life satisfaction, </w:t>
      </w:r>
      <w:r>
        <w:t xml:space="preserve">self-assessment of symptoms of depression </w:t>
      </w:r>
      <w:r w:rsidR="00FA68F9">
        <w:t xml:space="preserve">and </w:t>
      </w:r>
      <w:r>
        <w:t xml:space="preserve">loneliness are not well understood. The proposed data collection will contribute to this emergent research on how volunteering is associated with </w:t>
      </w:r>
      <w:r w:rsidR="00FA68F9">
        <w:t xml:space="preserve">satisfaction, </w:t>
      </w:r>
      <w:r>
        <w:t>symptoms of depression</w:t>
      </w:r>
      <w:r w:rsidR="00FA68F9">
        <w:t xml:space="preserve"> and</w:t>
      </w:r>
      <w:r>
        <w:t xml:space="preserve"> loneliness</w:t>
      </w:r>
      <w:r w:rsidR="0054616F">
        <w:t>.</w:t>
      </w:r>
      <w:r w:rsidR="005B7FC3">
        <w:t xml:space="preserve">  Importantly, this research will also </w:t>
      </w:r>
      <w:r w:rsidR="00147985">
        <w:t>provide new information on volunteer satisfaction and retention</w:t>
      </w:r>
      <w:r>
        <w:t xml:space="preserve"> </w:t>
      </w:r>
      <w:r w:rsidR="00147985">
        <w:t>which will</w:t>
      </w:r>
      <w:r>
        <w:t xml:space="preserve"> </w:t>
      </w:r>
      <w:r w:rsidR="00147985">
        <w:t xml:space="preserve">be useful in strengthening </w:t>
      </w:r>
      <w:r>
        <w:t>CNCS-funded National Service program.</w:t>
      </w:r>
    </w:p>
    <w:p w14:paraId="63B96E0D" w14:textId="77777777" w:rsidR="00991192" w:rsidRPr="00806AAF" w:rsidRDefault="00991192" w:rsidP="00991192">
      <w:pPr>
        <w:pStyle w:val="ListParagraph"/>
        <w:numPr>
          <w:ilvl w:val="0"/>
          <w:numId w:val="22"/>
        </w:numPr>
        <w:tabs>
          <w:tab w:val="left" w:pos="360"/>
        </w:tabs>
        <w:spacing w:after="200" w:line="276" w:lineRule="auto"/>
        <w:ind w:hanging="720"/>
        <w:rPr>
          <w:b/>
        </w:rPr>
      </w:pPr>
      <w:r w:rsidRPr="00806AAF">
        <w:rPr>
          <w:b/>
        </w:rPr>
        <w:t>Justification</w:t>
      </w:r>
    </w:p>
    <w:p w14:paraId="5BBFD6F1" w14:textId="77777777" w:rsidR="00991192" w:rsidRPr="00B94D41" w:rsidRDefault="00991192" w:rsidP="00991192">
      <w:pPr>
        <w:tabs>
          <w:tab w:val="left" w:pos="360"/>
        </w:tabs>
        <w:autoSpaceDE w:val="0"/>
        <w:autoSpaceDN w:val="0"/>
        <w:adjustRightInd w:val="0"/>
        <w:ind w:left="360" w:hanging="360"/>
        <w:rPr>
          <w:b/>
        </w:rPr>
      </w:pPr>
      <w:r w:rsidRPr="00E2131C">
        <w:rPr>
          <w:b/>
        </w:rPr>
        <w:t>1</w:t>
      </w:r>
      <w:r w:rsidRPr="00B94D41">
        <w:rPr>
          <w:b/>
        </w:rPr>
        <w:t>.</w:t>
      </w:r>
      <w:r>
        <w:rPr>
          <w:b/>
        </w:rPr>
        <w:tab/>
      </w:r>
      <w:r w:rsidRPr="00B94D41">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6492233" w14:textId="6108AE5D" w:rsidR="004D6812" w:rsidRDefault="004D6812" w:rsidP="000D62F1">
      <w:pPr>
        <w:spacing w:before="200" w:after="200"/>
      </w:pPr>
      <w:r>
        <w:t xml:space="preserve">The goal of </w:t>
      </w:r>
      <w:r w:rsidR="002227C0">
        <w:t>both</w:t>
      </w:r>
      <w:r w:rsidR="009168C6">
        <w:t xml:space="preserve"> </w:t>
      </w:r>
      <w:r>
        <w:t xml:space="preserve">studies is to assess how national service participation </w:t>
      </w:r>
      <w:r w:rsidR="002227C0">
        <w:t xml:space="preserve">is associated with </w:t>
      </w:r>
      <w:r>
        <w:t>volunteers</w:t>
      </w:r>
      <w:r w:rsidR="00AF077D">
        <w:t>’</w:t>
      </w:r>
      <w:r>
        <w:t xml:space="preserve"> and caregivers</w:t>
      </w:r>
      <w:r w:rsidR="00010EFF">
        <w:t>’</w:t>
      </w:r>
      <w:r w:rsidR="009168C6">
        <w:t xml:space="preserve"> psychosocial outcomes including </w:t>
      </w:r>
      <w:r w:rsidR="002227C0">
        <w:t xml:space="preserve">satisfaction, </w:t>
      </w:r>
      <w:r w:rsidR="009168C6">
        <w:t xml:space="preserve">self-rated health, </w:t>
      </w:r>
      <w:r w:rsidR="005B7FC3">
        <w:t xml:space="preserve">and </w:t>
      </w:r>
      <w:r w:rsidR="009168C6">
        <w:t>symptoms of depression</w:t>
      </w:r>
      <w:r>
        <w:t xml:space="preserve">. Both studies are </w:t>
      </w:r>
      <w:r w:rsidR="009168C6">
        <w:t xml:space="preserve">designed </w:t>
      </w:r>
      <w:r>
        <w:t xml:space="preserve">to contribute to CNCS’s ability to report on </w:t>
      </w:r>
      <w:r w:rsidR="000D62F1">
        <w:t xml:space="preserve">its </w:t>
      </w:r>
      <w:r>
        <w:t xml:space="preserve">progress </w:t>
      </w:r>
      <w:r w:rsidR="000D62F1">
        <w:t xml:space="preserve">in </w:t>
      </w:r>
      <w:r>
        <w:t>increas</w:t>
      </w:r>
      <w:r w:rsidR="000D62F1">
        <w:t>ing</w:t>
      </w:r>
      <w:r>
        <w:t xml:space="preserve"> the impact of national service on participants as well as strengthen</w:t>
      </w:r>
      <w:r w:rsidR="000D62F1">
        <w:t>ing</w:t>
      </w:r>
      <w:r>
        <w:t xml:space="preserve"> national service programs.</w:t>
      </w:r>
    </w:p>
    <w:p w14:paraId="0EB1BF92" w14:textId="6F09BF62" w:rsidR="005A2278" w:rsidRPr="00AE6B0A" w:rsidRDefault="005A2278" w:rsidP="005A2278">
      <w:pPr>
        <w:spacing w:after="240"/>
      </w:pPr>
      <w:r w:rsidRPr="00AE6B0A">
        <w:t xml:space="preserve">The longitudinal evaluation is the second national evaluation of the Senior Corps Program. The first </w:t>
      </w:r>
      <w:r>
        <w:t>evaluation</w:t>
      </w:r>
      <w:r w:rsidRPr="00AE6B0A">
        <w:t xml:space="preserve"> </w:t>
      </w:r>
      <w:r>
        <w:t>was a cross sectional data collection which collected i</w:t>
      </w:r>
      <w:r w:rsidRPr="00AE6B0A">
        <w:t xml:space="preserve">nformation on </w:t>
      </w:r>
      <w:r w:rsidRPr="00AE6B0A">
        <w:lastRenderedPageBreak/>
        <w:t xml:space="preserve">characteristics of volunteers, </w:t>
      </w:r>
      <w:r>
        <w:t xml:space="preserve">life satisfaction, self-efficacy and loneliness. The </w:t>
      </w:r>
      <w:r w:rsidR="000D62F1">
        <w:t>earlier study</w:t>
      </w:r>
      <w:r>
        <w:t xml:space="preserve"> did not </w:t>
      </w:r>
      <w:r w:rsidRPr="00AE6B0A">
        <w:t xml:space="preserve">gather information on caregivers’ characteristics. </w:t>
      </w:r>
      <w:r>
        <w:t xml:space="preserve">The proposed longitudinal evaluation will continue to build the evidence base of </w:t>
      </w:r>
      <w:r w:rsidR="009168C6">
        <w:t xml:space="preserve">the </w:t>
      </w:r>
      <w:r>
        <w:t xml:space="preserve">effectiveness of Senior Corps programs and is designed to </w:t>
      </w:r>
      <w:r w:rsidR="00DF3BC2">
        <w:t xml:space="preserve">provide </w:t>
      </w:r>
      <w:r>
        <w:t xml:space="preserve">information </w:t>
      </w:r>
      <w:r w:rsidR="00DF3BC2">
        <w:t>on</w:t>
      </w:r>
      <w:r w:rsidR="00633138">
        <w:t xml:space="preserve"> </w:t>
      </w:r>
      <w:r w:rsidR="009168C6">
        <w:t xml:space="preserve">how to </w:t>
      </w:r>
      <w:r>
        <w:t>strengthen the National Service program</w:t>
      </w:r>
      <w:r w:rsidR="00010EFF">
        <w:t xml:space="preserve"> by directly examining retention and satisfaction</w:t>
      </w:r>
      <w:r w:rsidR="002227C0">
        <w:t xml:space="preserve"> with volunteering</w:t>
      </w:r>
      <w:r>
        <w:t xml:space="preserve">. </w:t>
      </w:r>
      <w:r w:rsidRPr="00AE6B0A">
        <w:t xml:space="preserve">Each study focuses on increasing the levels of evidence </w:t>
      </w:r>
      <w:r w:rsidR="00DF3BC2">
        <w:t>for</w:t>
      </w:r>
      <w:r w:rsidR="00DF3BC2" w:rsidRPr="00AE6B0A">
        <w:t xml:space="preserve"> </w:t>
      </w:r>
      <w:r w:rsidRPr="00AE6B0A">
        <w:t xml:space="preserve">Senior Corps </w:t>
      </w:r>
      <w:r w:rsidR="00DF3BC2">
        <w:t xml:space="preserve">program and </w:t>
      </w:r>
      <w:r w:rsidRPr="00AE6B0A">
        <w:t xml:space="preserve">progress in meeting the goals of </w:t>
      </w:r>
      <w:r w:rsidR="009168C6">
        <w:t>CNCS’s</w:t>
      </w:r>
      <w:r w:rsidR="009168C6" w:rsidRPr="00AE6B0A">
        <w:t xml:space="preserve"> </w:t>
      </w:r>
      <w:r w:rsidRPr="00AE6B0A">
        <w:t xml:space="preserve">2011-2015 Strategic </w:t>
      </w:r>
      <w:proofErr w:type="gramStart"/>
      <w:r w:rsidRPr="00AE6B0A">
        <w:t>Plan</w:t>
      </w:r>
      <w:proofErr w:type="gramEnd"/>
      <w:r w:rsidRPr="00AE6B0A">
        <w:t xml:space="preserve">. The </w:t>
      </w:r>
      <w:r>
        <w:t>Caregiver Study</w:t>
      </w:r>
      <w:r w:rsidRPr="00AE6B0A">
        <w:t xml:space="preserve"> addresses Goal 1</w:t>
      </w:r>
      <w:r>
        <w:t xml:space="preserve"> of the Strategic Plan</w:t>
      </w:r>
      <w:r w:rsidRPr="00AE6B0A">
        <w:t xml:space="preserve">: Increasing the impact of national service on community needs. This is measured in the output of the number of caregivers receiving respite </w:t>
      </w:r>
      <w:r w:rsidR="002227C0">
        <w:t>services</w:t>
      </w:r>
      <w:r w:rsidRPr="00AE6B0A">
        <w:t xml:space="preserve">; and the outcome as measured by the </w:t>
      </w:r>
      <w:r w:rsidR="009168C6">
        <w:t>change in</w:t>
      </w:r>
      <w:r w:rsidR="009168C6" w:rsidRPr="00AE6B0A">
        <w:t xml:space="preserve"> </w:t>
      </w:r>
      <w:r w:rsidRPr="00AE6B0A">
        <w:t xml:space="preserve">caregivers’ </w:t>
      </w:r>
      <w:r w:rsidR="002227C0">
        <w:t xml:space="preserve">satisfaction </w:t>
      </w:r>
      <w:r w:rsidR="009168C6">
        <w:t xml:space="preserve">with respite </w:t>
      </w:r>
      <w:r w:rsidR="002227C0">
        <w:t>services</w:t>
      </w:r>
      <w:r w:rsidRPr="00AE6B0A">
        <w:t xml:space="preserve">. The </w:t>
      </w:r>
      <w:r>
        <w:t>Volunteer Study</w:t>
      </w:r>
      <w:r w:rsidRPr="00AE6B0A">
        <w:t xml:space="preserve"> addresses Goal 2</w:t>
      </w:r>
      <w:r>
        <w:t xml:space="preserve"> of the Strategic Plan</w:t>
      </w:r>
      <w:r w:rsidRPr="00AE6B0A">
        <w:t>: Increasing the number of adult national service volunteers, with the outcome measured by volunteer satisfaction and retention, self-rated health, symptoms of depression</w:t>
      </w:r>
      <w:r w:rsidR="002227C0">
        <w:t xml:space="preserve"> and</w:t>
      </w:r>
      <w:r w:rsidRPr="00AE6B0A">
        <w:t xml:space="preserve"> loneliness. </w:t>
      </w:r>
    </w:p>
    <w:p w14:paraId="540EEAA0" w14:textId="77777777" w:rsidR="00991192" w:rsidRPr="00806AAF" w:rsidRDefault="00991192" w:rsidP="009C76F6">
      <w:pPr>
        <w:pStyle w:val="ListParagraph"/>
        <w:tabs>
          <w:tab w:val="left" w:pos="360"/>
        </w:tabs>
        <w:autoSpaceDE w:val="0"/>
        <w:autoSpaceDN w:val="0"/>
        <w:adjustRightInd w:val="0"/>
        <w:ind w:left="90" w:hanging="90"/>
      </w:pPr>
      <w:r w:rsidRPr="00991192">
        <w:rPr>
          <w:rFonts w:cs="Arial"/>
          <w:b/>
          <w:szCs w:val="20"/>
        </w:rPr>
        <w:t>2.</w:t>
      </w:r>
      <w:r w:rsidRPr="00991192">
        <w:rPr>
          <w:rFonts w:cs="Arial"/>
          <w:b/>
          <w:szCs w:val="20"/>
        </w:rPr>
        <w:tab/>
      </w:r>
      <w:r w:rsidRPr="00991192">
        <w:rPr>
          <w:b/>
        </w:rPr>
        <w:t>Indicate how, by whom, and for what purpose the information is to be used. Except for a new collection, indicate the actual use the agency has made of the information received from the current collection.</w:t>
      </w:r>
      <w:r w:rsidRPr="006923E6">
        <w:t xml:space="preserve"> </w:t>
      </w:r>
    </w:p>
    <w:p w14:paraId="0A7E3253" w14:textId="09BAFCAA" w:rsidR="005A2278" w:rsidRDefault="00F8313D" w:rsidP="000D62F1">
      <w:pPr>
        <w:spacing w:before="200" w:after="200"/>
        <w:rPr>
          <w:sz w:val="21"/>
          <w:szCs w:val="21"/>
        </w:rPr>
      </w:pPr>
      <w:r>
        <w:rPr>
          <w:rFonts w:eastAsiaTheme="minorHAnsi"/>
        </w:rPr>
        <w:t xml:space="preserve">The </w:t>
      </w:r>
      <w:r w:rsidR="00C03298">
        <w:rPr>
          <w:rFonts w:eastAsiaTheme="minorHAnsi"/>
        </w:rPr>
        <w:t>data collection</w:t>
      </w:r>
      <w:r>
        <w:rPr>
          <w:rFonts w:eastAsiaTheme="minorHAnsi"/>
        </w:rPr>
        <w:t xml:space="preserve"> </w:t>
      </w:r>
      <w:r w:rsidR="00C03298">
        <w:rPr>
          <w:rFonts w:eastAsiaTheme="minorHAnsi"/>
        </w:rPr>
        <w:t>will</w:t>
      </w:r>
      <w:r>
        <w:rPr>
          <w:rFonts w:eastAsiaTheme="minorHAnsi"/>
        </w:rPr>
        <w:t xml:space="preserve"> be </w:t>
      </w:r>
      <w:r w:rsidR="005A2278">
        <w:rPr>
          <w:rFonts w:eastAsiaTheme="minorHAnsi"/>
        </w:rPr>
        <w:t>useful to CNCS</w:t>
      </w:r>
      <w:r w:rsidR="009168C6">
        <w:rPr>
          <w:rFonts w:eastAsiaTheme="minorHAnsi"/>
        </w:rPr>
        <w:t xml:space="preserve"> </w:t>
      </w:r>
      <w:r w:rsidR="00AD12D0">
        <w:rPr>
          <w:rFonts w:eastAsiaTheme="minorHAnsi"/>
        </w:rPr>
        <w:t xml:space="preserve">program staff </w:t>
      </w:r>
      <w:r w:rsidR="009168C6">
        <w:rPr>
          <w:rFonts w:eastAsiaTheme="minorHAnsi"/>
        </w:rPr>
        <w:t>and</w:t>
      </w:r>
      <w:r w:rsidR="005A2278">
        <w:rPr>
          <w:rFonts w:eastAsiaTheme="minorHAnsi"/>
        </w:rPr>
        <w:t xml:space="preserve"> the Senior Corps grantees </w:t>
      </w:r>
      <w:r w:rsidR="00DF3BC2">
        <w:rPr>
          <w:rFonts w:eastAsiaTheme="minorHAnsi"/>
        </w:rPr>
        <w:t xml:space="preserve">by providing </w:t>
      </w:r>
      <w:r w:rsidR="005A2278">
        <w:rPr>
          <w:rFonts w:eastAsiaTheme="minorHAnsi"/>
        </w:rPr>
        <w:t xml:space="preserve">evidence-based </w:t>
      </w:r>
      <w:r w:rsidR="009168C6">
        <w:rPr>
          <w:rFonts w:eastAsiaTheme="minorHAnsi"/>
        </w:rPr>
        <w:t xml:space="preserve">findings </w:t>
      </w:r>
      <w:r w:rsidR="005A2278">
        <w:rPr>
          <w:rFonts w:eastAsiaTheme="minorHAnsi"/>
        </w:rPr>
        <w:t xml:space="preserve">of the effectiveness of National Service. </w:t>
      </w:r>
      <w:r w:rsidR="00F24586">
        <w:rPr>
          <w:rFonts w:eastAsiaTheme="minorHAnsi"/>
        </w:rPr>
        <w:t xml:space="preserve">First, the data will be </w:t>
      </w:r>
      <w:r w:rsidR="009168C6">
        <w:rPr>
          <w:rFonts w:eastAsiaTheme="minorHAnsi"/>
        </w:rPr>
        <w:t xml:space="preserve">useful </w:t>
      </w:r>
      <w:r w:rsidR="00F24586">
        <w:rPr>
          <w:rFonts w:eastAsiaTheme="minorHAnsi"/>
        </w:rPr>
        <w:t xml:space="preserve">to assess the </w:t>
      </w:r>
      <w:r w:rsidR="009168C6">
        <w:rPr>
          <w:rFonts w:eastAsiaTheme="minorHAnsi"/>
        </w:rPr>
        <w:t xml:space="preserve">benefits </w:t>
      </w:r>
      <w:r w:rsidR="00F24586">
        <w:rPr>
          <w:rFonts w:eastAsiaTheme="minorHAnsi"/>
        </w:rPr>
        <w:t xml:space="preserve">of </w:t>
      </w:r>
      <w:r w:rsidR="00203BA9">
        <w:rPr>
          <w:rFonts w:eastAsiaTheme="minorHAnsi"/>
        </w:rPr>
        <w:t xml:space="preserve">National Service participation on </w:t>
      </w:r>
      <w:r w:rsidR="009168C6">
        <w:rPr>
          <w:rFonts w:eastAsiaTheme="minorHAnsi"/>
        </w:rPr>
        <w:t>the volunteers</w:t>
      </w:r>
      <w:r w:rsidR="00AF077D">
        <w:rPr>
          <w:rFonts w:eastAsiaTheme="minorHAnsi"/>
        </w:rPr>
        <w:t>’</w:t>
      </w:r>
      <w:r w:rsidR="009168C6">
        <w:rPr>
          <w:rFonts w:eastAsiaTheme="minorHAnsi"/>
        </w:rPr>
        <w:t xml:space="preserve"> and caregivers psychosocial outcomes</w:t>
      </w:r>
      <w:r w:rsidR="00203BA9">
        <w:rPr>
          <w:rFonts w:eastAsiaTheme="minorHAnsi"/>
        </w:rPr>
        <w:t xml:space="preserve">. </w:t>
      </w:r>
      <w:r w:rsidR="00F24586">
        <w:rPr>
          <w:rFonts w:eastAsiaTheme="minorHAnsi"/>
        </w:rPr>
        <w:t xml:space="preserve">Second, the data will </w:t>
      </w:r>
      <w:r w:rsidR="009168C6">
        <w:t>be useful to</w:t>
      </w:r>
      <w:r w:rsidR="009168C6" w:rsidRPr="00ED7B53">
        <w:t xml:space="preserve"> </w:t>
      </w:r>
      <w:r w:rsidR="0052195D" w:rsidRPr="00ED7B53">
        <w:t>CNCS in identifying</w:t>
      </w:r>
      <w:r w:rsidR="00633138">
        <w:t>: 1)</w:t>
      </w:r>
      <w:r w:rsidR="0052195D" w:rsidRPr="00ED7B53">
        <w:t xml:space="preserve"> best practices for recruitment and retention</w:t>
      </w:r>
      <w:r w:rsidR="009168C6">
        <w:t xml:space="preserve"> of volunteers and caregivers</w:t>
      </w:r>
      <w:r w:rsidR="0052195D" w:rsidRPr="00ED7B53">
        <w:t>,</w:t>
      </w:r>
      <w:r w:rsidR="00633138">
        <w:t xml:space="preserve"> 2)</w:t>
      </w:r>
      <w:r w:rsidR="0052195D" w:rsidRPr="00ED7B53">
        <w:t xml:space="preserve"> obstacles to </w:t>
      </w:r>
      <w:r w:rsidR="004A0FE0">
        <w:t xml:space="preserve">high </w:t>
      </w:r>
      <w:r w:rsidR="0052195D" w:rsidRPr="00ED7B53">
        <w:t>response rates</w:t>
      </w:r>
      <w:r w:rsidR="004A0FE0">
        <w:t>,</w:t>
      </w:r>
      <w:r w:rsidR="0052195D" w:rsidRPr="00ED7B53">
        <w:t xml:space="preserve"> and </w:t>
      </w:r>
      <w:r w:rsidR="00633138">
        <w:t xml:space="preserve">3) </w:t>
      </w:r>
      <w:r w:rsidR="0052195D" w:rsidRPr="00ED7B53">
        <w:t xml:space="preserve">assessments of the psychometric characteristics of the </w:t>
      </w:r>
      <w:r w:rsidR="008A5D12">
        <w:t>surveys</w:t>
      </w:r>
      <w:r w:rsidR="0052195D">
        <w:t xml:space="preserve"> to inform future research with this population</w:t>
      </w:r>
      <w:r w:rsidR="0052195D" w:rsidRPr="00ED7B53">
        <w:t>.</w:t>
      </w:r>
      <w:r w:rsidR="0052195D" w:rsidRPr="0059551B">
        <w:rPr>
          <w:sz w:val="21"/>
          <w:szCs w:val="21"/>
        </w:rPr>
        <w:t xml:space="preserve"> </w:t>
      </w:r>
    </w:p>
    <w:p w14:paraId="265D4E4E" w14:textId="55393315" w:rsidR="00503B53" w:rsidRDefault="0052195D" w:rsidP="00D2634C">
      <w:pPr>
        <w:spacing w:after="200"/>
      </w:pPr>
      <w:r>
        <w:rPr>
          <w:rFonts w:eastAsiaTheme="minorHAnsi"/>
        </w:rPr>
        <w:t xml:space="preserve">CNCS has a track record of </w:t>
      </w:r>
      <w:r w:rsidR="00D260E0">
        <w:rPr>
          <w:rFonts w:eastAsiaTheme="minorHAnsi"/>
        </w:rPr>
        <w:t xml:space="preserve">successfully </w:t>
      </w:r>
      <w:r>
        <w:rPr>
          <w:rFonts w:eastAsiaTheme="minorHAnsi"/>
        </w:rPr>
        <w:t xml:space="preserve">building on evaluation findings to improve programs and inform the development of further research. In particular, </w:t>
      </w:r>
      <w:r w:rsidR="00D260E0">
        <w:rPr>
          <w:rFonts w:eastAsiaTheme="minorHAnsi"/>
        </w:rPr>
        <w:t xml:space="preserve">the </w:t>
      </w:r>
      <w:r w:rsidR="008A5D12">
        <w:rPr>
          <w:rFonts w:eastAsiaTheme="minorHAnsi"/>
        </w:rPr>
        <w:t>survey</w:t>
      </w:r>
      <w:r w:rsidR="00D260E0">
        <w:rPr>
          <w:rFonts w:eastAsiaTheme="minorHAnsi"/>
        </w:rPr>
        <w:t xml:space="preserve">s for the longitudinal evaluation build upon the </w:t>
      </w:r>
      <w:r w:rsidR="008A5D12">
        <w:rPr>
          <w:rFonts w:eastAsiaTheme="minorHAnsi"/>
        </w:rPr>
        <w:t>survey</w:t>
      </w:r>
      <w:r w:rsidR="000D62F1">
        <w:rPr>
          <w:rFonts w:eastAsiaTheme="minorHAnsi"/>
        </w:rPr>
        <w:t>s</w:t>
      </w:r>
      <w:r w:rsidR="00D260E0">
        <w:rPr>
          <w:rFonts w:eastAsiaTheme="minorHAnsi"/>
        </w:rPr>
        <w:t xml:space="preserve"> previously tested </w:t>
      </w:r>
      <w:r w:rsidR="002508EF">
        <w:rPr>
          <w:rFonts w:eastAsiaTheme="minorHAnsi"/>
        </w:rPr>
        <w:t xml:space="preserve">and used </w:t>
      </w:r>
      <w:r w:rsidR="00D260E0">
        <w:rPr>
          <w:rFonts w:eastAsiaTheme="minorHAnsi"/>
        </w:rPr>
        <w:t xml:space="preserve">in the first evaluation of Senior Corps program. </w:t>
      </w:r>
      <w:r w:rsidR="00F8313D" w:rsidRPr="002F025F">
        <w:t xml:space="preserve">The </w:t>
      </w:r>
      <w:r w:rsidR="003749CD">
        <w:t>previous evaluation included two studies</w:t>
      </w:r>
      <w:r w:rsidR="00F8313D" w:rsidRPr="002F025F">
        <w:t xml:space="preserve"> </w:t>
      </w:r>
      <w:r w:rsidR="00E14795">
        <w:t xml:space="preserve">with </w:t>
      </w:r>
      <w:r w:rsidR="00F8313D" w:rsidRPr="002F025F">
        <w:t xml:space="preserve">new recipients </w:t>
      </w:r>
      <w:r w:rsidR="00B65AFA">
        <w:t xml:space="preserve">of </w:t>
      </w:r>
      <w:r w:rsidR="00D23353">
        <w:t>Senior Companion</w:t>
      </w:r>
      <w:r w:rsidR="00057822">
        <w:t xml:space="preserve"> services</w:t>
      </w:r>
      <w:r w:rsidR="00E14795">
        <w:t xml:space="preserve">. </w:t>
      </w:r>
      <w:r w:rsidR="009168C6">
        <w:t xml:space="preserve">One of the studies was a pre/post pilot </w:t>
      </w:r>
      <w:r w:rsidR="00E7039F">
        <w:t xml:space="preserve">data collection to look at the feasibility of </w:t>
      </w:r>
      <w:r w:rsidR="00914B19">
        <w:t>conducting multiple rounds of data collection among this population</w:t>
      </w:r>
      <w:r w:rsidR="003749CD">
        <w:t xml:space="preserve">. </w:t>
      </w:r>
      <w:r w:rsidR="00F8313D" w:rsidRPr="0074090C">
        <w:rPr>
          <w:color w:val="000000"/>
        </w:rPr>
        <w:t xml:space="preserve">The </w:t>
      </w:r>
      <w:r w:rsidR="003749CD" w:rsidRPr="00E0479B">
        <w:rPr>
          <w:color w:val="000000"/>
        </w:rPr>
        <w:t xml:space="preserve">findings from </w:t>
      </w:r>
      <w:r w:rsidR="009168C6">
        <w:rPr>
          <w:color w:val="000000"/>
        </w:rPr>
        <w:t>this pilot</w:t>
      </w:r>
      <w:r w:rsidR="003749CD" w:rsidRPr="00E0479B">
        <w:rPr>
          <w:color w:val="000000"/>
        </w:rPr>
        <w:t xml:space="preserve"> informed the design of the longitudinal data collection.</w:t>
      </w:r>
      <w:r w:rsidR="003749CD" w:rsidRPr="0074090C">
        <w:rPr>
          <w:color w:val="000000"/>
        </w:rPr>
        <w:t xml:space="preserve"> </w:t>
      </w:r>
      <w:r w:rsidR="00B56214">
        <w:rPr>
          <w:color w:val="000000"/>
        </w:rPr>
        <w:t>T</w:t>
      </w:r>
      <w:r w:rsidR="00194502" w:rsidRPr="0074090C">
        <w:rPr>
          <w:color w:val="000000"/>
        </w:rPr>
        <w:t xml:space="preserve">he first evaluation showed that </w:t>
      </w:r>
      <w:r w:rsidR="00194502" w:rsidRPr="00ED7B53">
        <w:t xml:space="preserve">respondents were more likely to participate when the sponsor and/or station contacted them. The </w:t>
      </w:r>
      <w:r w:rsidR="000D62F1">
        <w:t>earlier study</w:t>
      </w:r>
      <w:r w:rsidR="00194502" w:rsidRPr="00ED7B53">
        <w:t xml:space="preserve"> also </w:t>
      </w:r>
      <w:r w:rsidR="00194502" w:rsidRPr="00D2634C">
        <w:rPr>
          <w:rFonts w:eastAsiaTheme="minorHAnsi"/>
        </w:rPr>
        <w:t>showed</w:t>
      </w:r>
      <w:r w:rsidR="00194502" w:rsidRPr="00ED7B53">
        <w:t xml:space="preserve"> that that telephone surveys </w:t>
      </w:r>
      <w:r w:rsidR="00B56214">
        <w:t>were</w:t>
      </w:r>
      <w:r w:rsidR="00B56214" w:rsidRPr="00ED7B53">
        <w:t xml:space="preserve"> </w:t>
      </w:r>
      <w:r w:rsidR="00194502" w:rsidRPr="00ED7B53">
        <w:t xml:space="preserve">more effective when combined with a paper survey that the respondents received from their project/station. The </w:t>
      </w:r>
      <w:r w:rsidR="00194502" w:rsidRPr="0074090C">
        <w:rPr>
          <w:color w:val="000000"/>
        </w:rPr>
        <w:t>response rates increa</w:t>
      </w:r>
      <w:r w:rsidR="00194502" w:rsidRPr="00E0479B">
        <w:rPr>
          <w:color w:val="000000"/>
        </w:rPr>
        <w:t xml:space="preserve">sed when an additional mode was added </w:t>
      </w:r>
      <w:r w:rsidR="00194502" w:rsidRPr="00127C93">
        <w:rPr>
          <w:color w:val="000000"/>
        </w:rPr>
        <w:t>and when there was grantee involvem</w:t>
      </w:r>
      <w:r w:rsidR="00194502" w:rsidRPr="00784B33">
        <w:rPr>
          <w:color w:val="000000"/>
        </w:rPr>
        <w:t xml:space="preserve">ent in the process. </w:t>
      </w:r>
      <w:r w:rsidR="00194502" w:rsidRPr="00127C93">
        <w:t xml:space="preserve">The </w:t>
      </w:r>
      <w:r w:rsidR="00B56214">
        <w:t xml:space="preserve">pilot </w:t>
      </w:r>
      <w:r w:rsidR="000D62F1">
        <w:t>showed</w:t>
      </w:r>
      <w:r w:rsidR="00B56214">
        <w:t xml:space="preserve"> </w:t>
      </w:r>
      <w:r w:rsidR="00194502" w:rsidRPr="00127C93">
        <w:t xml:space="preserve">that seniors are cautious about answering phone calls from strangers, so volunteers and clients are reluctant to participate in phone surveys unless a trusted member of the program vouches for the research. </w:t>
      </w:r>
      <w:r w:rsidR="00B56214">
        <w:t>As further describe</w:t>
      </w:r>
      <w:r w:rsidR="00DF3BC2">
        <w:t>d</w:t>
      </w:r>
      <w:r w:rsidR="00B56214">
        <w:t xml:space="preserve"> below, b</w:t>
      </w:r>
      <w:r w:rsidR="00194502" w:rsidRPr="00127C93">
        <w:t>ased on these earlier findings</w:t>
      </w:r>
      <w:r w:rsidR="000D62F1">
        <w:t>,</w:t>
      </w:r>
      <w:r w:rsidR="00DF3BC2">
        <w:t xml:space="preserve"> </w:t>
      </w:r>
      <w:r w:rsidR="00194502" w:rsidRPr="00127C93">
        <w:t xml:space="preserve">the likelihood of success </w:t>
      </w:r>
      <w:r w:rsidR="00DF3BC2">
        <w:t xml:space="preserve">increases </w:t>
      </w:r>
      <w:r w:rsidR="00AD12D0">
        <w:t xml:space="preserve">by </w:t>
      </w:r>
      <w:r w:rsidR="00194502" w:rsidRPr="00127C93">
        <w:t>embed</w:t>
      </w:r>
      <w:r w:rsidR="00AD12D0">
        <w:t>ding</w:t>
      </w:r>
      <w:r w:rsidR="00194502" w:rsidRPr="00127C93">
        <w:t xml:space="preserve"> the enrollment in the grantee</w:t>
      </w:r>
      <w:r w:rsidR="00DF3BC2">
        <w:t>s’</w:t>
      </w:r>
      <w:r w:rsidR="00194502" w:rsidRPr="00127C93">
        <w:t xml:space="preserve"> intake and sign</w:t>
      </w:r>
      <w:r w:rsidR="00AD12D0">
        <w:t>-</w:t>
      </w:r>
      <w:r w:rsidR="00194502" w:rsidRPr="00127C93">
        <w:t xml:space="preserve">up procedures. </w:t>
      </w:r>
      <w:r w:rsidR="00DF3BC2">
        <w:t xml:space="preserve">This approach also minimizes burden to grantees and participants. </w:t>
      </w:r>
    </w:p>
    <w:p w14:paraId="6491C9FF" w14:textId="77777777" w:rsidR="00991192" w:rsidRPr="00991192" w:rsidRDefault="00991192" w:rsidP="009C76F6">
      <w:pPr>
        <w:pStyle w:val="ListParagraph"/>
        <w:tabs>
          <w:tab w:val="left" w:pos="360"/>
        </w:tabs>
        <w:autoSpaceDE w:val="0"/>
        <w:autoSpaceDN w:val="0"/>
        <w:adjustRightInd w:val="0"/>
        <w:ind w:left="0"/>
        <w:rPr>
          <w:rFonts w:cs="Arial"/>
          <w:b/>
          <w:szCs w:val="20"/>
        </w:rPr>
      </w:pPr>
      <w:r w:rsidRPr="00991192">
        <w:rPr>
          <w:rFonts w:cs="Arial"/>
          <w:b/>
          <w:szCs w:val="20"/>
        </w:rPr>
        <w:t>3.</w:t>
      </w:r>
      <w:r w:rsidRPr="00991192">
        <w:rPr>
          <w:rFonts w:cs="Arial"/>
          <w:b/>
          <w:szCs w:val="20"/>
        </w:rPr>
        <w:tab/>
      </w:r>
      <w:r w:rsidRPr="00991192">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991192">
        <w:rPr>
          <w:b/>
        </w:rPr>
        <w:lastRenderedPageBreak/>
        <w:t>the basis for the decision for adopting this means of collection. Also describe any consideration of using information technology to reduce burden.</w:t>
      </w:r>
      <w:r>
        <w:t xml:space="preserve"> </w:t>
      </w:r>
    </w:p>
    <w:p w14:paraId="20075992" w14:textId="6400120D" w:rsidR="00127C93" w:rsidRDefault="000D62F1" w:rsidP="000D62F1">
      <w:pPr>
        <w:spacing w:before="200" w:after="200"/>
        <w:rPr>
          <w:rFonts w:eastAsiaTheme="minorHAnsi"/>
        </w:rPr>
      </w:pPr>
      <w:r>
        <w:rPr>
          <w:rFonts w:eastAsiaTheme="minorHAnsi"/>
        </w:rPr>
        <w:t xml:space="preserve">Previous data collection experience with the first Senior Corps evaluation and consultation with Senior Corps grantees indicate that a mixed mode data collection is the best approach to achieve high response rates while minimizing burden and costs to the government. </w:t>
      </w:r>
      <w:r w:rsidR="00010EFF">
        <w:rPr>
          <w:rFonts w:eastAsiaTheme="minorHAnsi"/>
        </w:rPr>
        <w:t>A self-report paper survey is the primary mode for administering the surveys</w:t>
      </w:r>
      <w:r w:rsidR="007A6A04">
        <w:rPr>
          <w:rFonts w:eastAsiaTheme="minorHAnsi"/>
        </w:rPr>
        <w:t>;</w:t>
      </w:r>
      <w:r w:rsidR="00010EFF">
        <w:rPr>
          <w:rFonts w:eastAsiaTheme="minorHAnsi"/>
        </w:rPr>
        <w:t xml:space="preserve"> </w:t>
      </w:r>
      <w:r w:rsidR="004A0FE0">
        <w:rPr>
          <w:rFonts w:eastAsiaTheme="minorHAnsi"/>
        </w:rPr>
        <w:t xml:space="preserve">a </w:t>
      </w:r>
      <w:r w:rsidR="00F24586">
        <w:rPr>
          <w:rFonts w:eastAsiaTheme="minorHAnsi"/>
        </w:rPr>
        <w:t>telephone</w:t>
      </w:r>
      <w:r w:rsidR="00127C93">
        <w:rPr>
          <w:rFonts w:eastAsiaTheme="minorHAnsi"/>
        </w:rPr>
        <w:t xml:space="preserve"> survey </w:t>
      </w:r>
      <w:r w:rsidR="007A6A04">
        <w:rPr>
          <w:rFonts w:eastAsiaTheme="minorHAnsi"/>
        </w:rPr>
        <w:t xml:space="preserve">will be used to contact </w:t>
      </w:r>
      <w:proofErr w:type="spellStart"/>
      <w:r w:rsidR="00127C93">
        <w:rPr>
          <w:rFonts w:eastAsiaTheme="minorHAnsi"/>
        </w:rPr>
        <w:t>nonrespondents</w:t>
      </w:r>
      <w:proofErr w:type="spellEnd"/>
      <w:r w:rsidR="00A3225C">
        <w:rPr>
          <w:rFonts w:eastAsiaTheme="minorHAnsi"/>
        </w:rPr>
        <w:t xml:space="preserve">. </w:t>
      </w:r>
      <w:r w:rsidR="00127C93">
        <w:rPr>
          <w:rFonts w:eastAsiaTheme="minorHAnsi"/>
        </w:rPr>
        <w:t xml:space="preserve">Informed consent will be obtained during the </w:t>
      </w:r>
      <w:r w:rsidR="00127C93" w:rsidRPr="00D2634C">
        <w:rPr>
          <w:color w:val="000000"/>
        </w:rPr>
        <w:t>caregiver</w:t>
      </w:r>
      <w:r w:rsidR="00127C93">
        <w:rPr>
          <w:rFonts w:eastAsiaTheme="minorHAnsi"/>
        </w:rPr>
        <w:t xml:space="preserve"> intake and during volunteer orientation, both of which occur prior to the start of service. </w:t>
      </w:r>
      <w:r>
        <w:rPr>
          <w:rFonts w:eastAsiaTheme="minorHAnsi"/>
        </w:rPr>
        <w:t xml:space="preserve">Other paper forms are completed at intake and orientation which makes the proposed method for the data collection consistent with the grantees’ current process. </w:t>
      </w:r>
    </w:p>
    <w:p w14:paraId="55040876" w14:textId="47E2E005" w:rsidR="00FD5C07" w:rsidRPr="00784B33" w:rsidRDefault="00B56214" w:rsidP="00D2634C">
      <w:pPr>
        <w:spacing w:after="200"/>
      </w:pPr>
      <w:r>
        <w:rPr>
          <w:rFonts w:eastAsiaTheme="minorHAnsi"/>
        </w:rPr>
        <w:t>I</w:t>
      </w:r>
      <w:r w:rsidR="00127C93">
        <w:rPr>
          <w:rFonts w:eastAsiaTheme="minorHAnsi"/>
        </w:rPr>
        <w:t xml:space="preserve">t is important to administer the baseline survey prior to the start of </w:t>
      </w:r>
      <w:r w:rsidR="00FD5C07">
        <w:rPr>
          <w:rFonts w:eastAsiaTheme="minorHAnsi"/>
        </w:rPr>
        <w:t xml:space="preserve">caregiver respite </w:t>
      </w:r>
      <w:r w:rsidR="001C6DA2">
        <w:rPr>
          <w:rFonts w:eastAsiaTheme="minorHAnsi"/>
        </w:rPr>
        <w:t xml:space="preserve">services </w:t>
      </w:r>
      <w:r w:rsidR="00FD5C07">
        <w:rPr>
          <w:rFonts w:eastAsiaTheme="minorHAnsi"/>
        </w:rPr>
        <w:t>and before volunteers begin volunteering</w:t>
      </w:r>
      <w:r>
        <w:rPr>
          <w:rFonts w:eastAsiaTheme="minorHAnsi"/>
        </w:rPr>
        <w:t xml:space="preserve"> in order to isolate the </w:t>
      </w:r>
      <w:r w:rsidR="00010EFF">
        <w:rPr>
          <w:rFonts w:eastAsiaTheme="minorHAnsi"/>
        </w:rPr>
        <w:t xml:space="preserve">effects </w:t>
      </w:r>
      <w:r>
        <w:rPr>
          <w:rFonts w:eastAsiaTheme="minorHAnsi"/>
        </w:rPr>
        <w:t>of program participation</w:t>
      </w:r>
      <w:r w:rsidR="004A0FE0">
        <w:rPr>
          <w:rFonts w:eastAsiaTheme="minorHAnsi"/>
        </w:rPr>
        <w:t>.</w:t>
      </w:r>
      <w:r w:rsidR="00127C93">
        <w:rPr>
          <w:rFonts w:eastAsiaTheme="minorHAnsi"/>
        </w:rPr>
        <w:t xml:space="preserve"> Any gap between entry </w:t>
      </w:r>
      <w:r w:rsidR="00784B33">
        <w:rPr>
          <w:rFonts w:eastAsiaTheme="minorHAnsi"/>
        </w:rPr>
        <w:t>into</w:t>
      </w:r>
      <w:r w:rsidR="00127C93">
        <w:rPr>
          <w:rFonts w:eastAsiaTheme="minorHAnsi"/>
        </w:rPr>
        <w:t xml:space="preserve"> the</w:t>
      </w:r>
      <w:r w:rsidR="00784B33">
        <w:rPr>
          <w:rFonts w:eastAsiaTheme="minorHAnsi"/>
        </w:rPr>
        <w:t xml:space="preserve"> </w:t>
      </w:r>
      <w:r w:rsidR="00127C93">
        <w:rPr>
          <w:rFonts w:eastAsiaTheme="minorHAnsi"/>
        </w:rPr>
        <w:t>program and administration of the bas</w:t>
      </w:r>
      <w:r w:rsidR="00784B33">
        <w:rPr>
          <w:rFonts w:eastAsiaTheme="minorHAnsi"/>
        </w:rPr>
        <w:t>e</w:t>
      </w:r>
      <w:r w:rsidR="00127C93">
        <w:rPr>
          <w:rFonts w:eastAsiaTheme="minorHAnsi"/>
        </w:rPr>
        <w:t xml:space="preserve">line survey could </w:t>
      </w:r>
      <w:r w:rsidR="00FD5C07">
        <w:rPr>
          <w:rFonts w:eastAsiaTheme="minorHAnsi"/>
        </w:rPr>
        <w:t xml:space="preserve">mean that the respondent </w:t>
      </w:r>
      <w:r w:rsidR="00010EFF">
        <w:rPr>
          <w:rFonts w:eastAsiaTheme="minorHAnsi"/>
        </w:rPr>
        <w:t>has begun</w:t>
      </w:r>
      <w:r w:rsidR="00FD5C07">
        <w:rPr>
          <w:rFonts w:eastAsiaTheme="minorHAnsi"/>
        </w:rPr>
        <w:t xml:space="preserve"> </w:t>
      </w:r>
      <w:r w:rsidR="001C6DA2">
        <w:rPr>
          <w:rFonts w:eastAsiaTheme="minorHAnsi"/>
        </w:rPr>
        <w:t>to experience participation in national service</w:t>
      </w:r>
      <w:r w:rsidR="00FD5C07">
        <w:rPr>
          <w:rFonts w:eastAsiaTheme="minorHAnsi"/>
        </w:rPr>
        <w:t xml:space="preserve">. </w:t>
      </w:r>
      <w:r w:rsidR="00FD5C07" w:rsidRPr="00784B33">
        <w:rPr>
          <w:rFonts w:eastAsiaTheme="minorHAnsi"/>
        </w:rPr>
        <w:t xml:space="preserve">The timing of the baseline </w:t>
      </w:r>
      <w:r w:rsidR="00FD5C07" w:rsidRPr="00784B33">
        <w:t xml:space="preserve">data collection period is important to </w:t>
      </w:r>
      <w:r w:rsidR="00FD5C07" w:rsidRPr="00D2634C">
        <w:rPr>
          <w:rFonts w:eastAsiaTheme="minorHAnsi"/>
        </w:rPr>
        <w:t>documenting</w:t>
      </w:r>
      <w:r w:rsidR="00FD5C07" w:rsidRPr="00784B33">
        <w:t xml:space="preserve"> baseline stress, health</w:t>
      </w:r>
      <w:r w:rsidR="004A0FE0">
        <w:t>,</w:t>
      </w:r>
      <w:r w:rsidR="00FD5C07" w:rsidRPr="00784B33">
        <w:t xml:space="preserve"> symptoms of depression and loneliness prior to the start of any services. Administering the survey at intake would meet both the grantees’ goal and desire to start service as soon as possible, and the research objective to collect baseline data before the </w:t>
      </w:r>
      <w:r w:rsidR="00E62D98">
        <w:t>participants</w:t>
      </w:r>
      <w:r>
        <w:t>’</w:t>
      </w:r>
      <w:r w:rsidR="00E62D98">
        <w:t xml:space="preserve"> exposure to </w:t>
      </w:r>
      <w:r w:rsidR="001C6DA2">
        <w:t>participation in national service</w:t>
      </w:r>
      <w:r w:rsidR="00FD5C07" w:rsidRPr="00784B33">
        <w:t xml:space="preserve">. </w:t>
      </w:r>
    </w:p>
    <w:p w14:paraId="16C56937" w14:textId="35011AED" w:rsidR="005E2BDA" w:rsidRDefault="00127C93" w:rsidP="00D2634C">
      <w:pPr>
        <w:spacing w:after="200"/>
      </w:pPr>
      <w:r>
        <w:rPr>
          <w:rFonts w:eastAsiaTheme="minorHAnsi"/>
        </w:rPr>
        <w:t>On January 13 and 14, 2015, CNCS convened a wor</w:t>
      </w:r>
      <w:r w:rsidR="00FD5C07">
        <w:rPr>
          <w:rFonts w:eastAsiaTheme="minorHAnsi"/>
        </w:rPr>
        <w:t xml:space="preserve">king group panel consisting of </w:t>
      </w:r>
      <w:r>
        <w:rPr>
          <w:rFonts w:eastAsiaTheme="minorHAnsi"/>
        </w:rPr>
        <w:t xml:space="preserve">FGP and SCP project directors to </w:t>
      </w:r>
      <w:r w:rsidRPr="00784B33">
        <w:rPr>
          <w:rFonts w:eastAsiaTheme="minorHAnsi"/>
        </w:rPr>
        <w:t xml:space="preserve">explore </w:t>
      </w:r>
      <w:r w:rsidR="00FD5C07" w:rsidRPr="00784B33">
        <w:t xml:space="preserve">how to recruit </w:t>
      </w:r>
      <w:r w:rsidR="00B56214">
        <w:t xml:space="preserve">new </w:t>
      </w:r>
      <w:r w:rsidR="00FD5C07" w:rsidRPr="00784B33">
        <w:t>caregivers and new volunteers prior to the start of service, the feasibility of various data collection approaches (e.g</w:t>
      </w:r>
      <w:r w:rsidR="00B56214">
        <w:t xml:space="preserve">. </w:t>
      </w:r>
      <w:r w:rsidR="00FD5C07" w:rsidRPr="00784B33">
        <w:t>paper, phone</w:t>
      </w:r>
      <w:r w:rsidR="00B56214">
        <w:t xml:space="preserve">, </w:t>
      </w:r>
      <w:r w:rsidR="00B56214" w:rsidRPr="00784B33">
        <w:t>online</w:t>
      </w:r>
      <w:r w:rsidR="00FD5C07" w:rsidRPr="00784B33">
        <w:t xml:space="preserve">) as well as which mode should be </w:t>
      </w:r>
      <w:r w:rsidR="00CB51C9">
        <w:t xml:space="preserve">used </w:t>
      </w:r>
      <w:r w:rsidR="0076391A">
        <w:t xml:space="preserve">for the data collection </w:t>
      </w:r>
      <w:r w:rsidR="00FD5C07" w:rsidRPr="00784B33">
        <w:t>in order to minimize burden on FGP and SCP projects, stations and respondents. The working group recommended, and prior experience fielding the data collection for the first evaluation</w:t>
      </w:r>
      <w:r w:rsidR="00D03DFA">
        <w:t xml:space="preserve"> confirmed</w:t>
      </w:r>
      <w:r w:rsidR="00FD5C07" w:rsidRPr="00784B33">
        <w:t>, that a paper survey embedded during the projects</w:t>
      </w:r>
      <w:r w:rsidR="0076391A">
        <w:t>’ and</w:t>
      </w:r>
      <w:r w:rsidR="00FD5C07" w:rsidRPr="00784B33">
        <w:t>/stations’ intake and training processes will minimize burden for participants and is the best method to achieve the goal of collecting baseline data collection prior to the start of service</w:t>
      </w:r>
      <w:r w:rsidR="00AD12D0">
        <w:t>.</w:t>
      </w:r>
      <w:r w:rsidR="00FD5C07" w:rsidRPr="00784B33">
        <w:t xml:space="preserve"> </w:t>
      </w:r>
      <w:r w:rsidR="00AD12D0">
        <w:t>T</w:t>
      </w:r>
      <w:r w:rsidR="00FD5C07" w:rsidRPr="00784B33">
        <w:t>o achieve high response rate</w:t>
      </w:r>
      <w:r w:rsidR="00643632">
        <w:t>s</w:t>
      </w:r>
      <w:r w:rsidR="00AD12D0">
        <w:t>,</w:t>
      </w:r>
      <w:r w:rsidR="00B56214">
        <w:t xml:space="preserve"> </w:t>
      </w:r>
      <w:r w:rsidR="00784B33" w:rsidRPr="00784B33">
        <w:t xml:space="preserve">CNCS proposes </w:t>
      </w:r>
      <w:r w:rsidR="00B56214">
        <w:t xml:space="preserve">a telephone survey for non-respondents – these are the individuals </w:t>
      </w:r>
      <w:r w:rsidR="00784B33" w:rsidRPr="00784B33">
        <w:t xml:space="preserve">that consented to </w:t>
      </w:r>
      <w:r w:rsidR="00B56214">
        <w:t>be in the study</w:t>
      </w:r>
      <w:r w:rsidR="00B56214" w:rsidRPr="00784B33">
        <w:t xml:space="preserve"> </w:t>
      </w:r>
      <w:r w:rsidR="00784B33" w:rsidRPr="00784B33">
        <w:t>but d</w:t>
      </w:r>
      <w:r w:rsidR="00784B33">
        <w:t>id not return a completed survey</w:t>
      </w:r>
      <w:r w:rsidR="00784B33" w:rsidRPr="00784B33">
        <w:t xml:space="preserve"> following the completion of the intake process </w:t>
      </w:r>
      <w:r w:rsidR="00B56214">
        <w:t>or</w:t>
      </w:r>
      <w:r w:rsidR="00B56214" w:rsidRPr="00784B33">
        <w:t xml:space="preserve"> </w:t>
      </w:r>
      <w:r w:rsidR="00784B33" w:rsidRPr="00784B33">
        <w:t>volunteer orientation.</w:t>
      </w:r>
      <w:r w:rsidR="00784B33">
        <w:rPr>
          <w:sz w:val="21"/>
          <w:szCs w:val="21"/>
        </w:rPr>
        <w:t xml:space="preserve"> </w:t>
      </w:r>
      <w:r w:rsidR="002E4C3A">
        <w:t xml:space="preserve">CNCS’s </w:t>
      </w:r>
      <w:r w:rsidR="00541016">
        <w:t xml:space="preserve">approach to administer the </w:t>
      </w:r>
      <w:r w:rsidR="00010EFF">
        <w:t xml:space="preserve">survey </w:t>
      </w:r>
      <w:r w:rsidR="00541016">
        <w:t xml:space="preserve">is further described below. </w:t>
      </w:r>
      <w:r w:rsidR="00784B33">
        <w:t>For the telephone surveys, i</w:t>
      </w:r>
      <w:r w:rsidR="00E365CB">
        <w:t xml:space="preserve">nterviewers will enter the data directly into </w:t>
      </w:r>
      <w:r w:rsidR="00784B33">
        <w:t>computer-assisted telephone interviewing (</w:t>
      </w:r>
      <w:r w:rsidR="00784B33" w:rsidRPr="002F025F">
        <w:t>CATI</w:t>
      </w:r>
      <w:r w:rsidR="00784B33">
        <w:t xml:space="preserve">) </w:t>
      </w:r>
      <w:r w:rsidR="00E365CB">
        <w:t xml:space="preserve">system. </w:t>
      </w:r>
      <w:r w:rsidR="00B56214" w:rsidRPr="00784B33">
        <w:t xml:space="preserve">. </w:t>
      </w:r>
      <w:r w:rsidR="00B56214">
        <w:t>CN</w:t>
      </w:r>
      <w:r w:rsidR="00010EFF">
        <w:t>C</w:t>
      </w:r>
      <w:r w:rsidR="00B56214">
        <w:t xml:space="preserve">S proposes to use </w:t>
      </w:r>
      <w:r w:rsidR="00D03DFA">
        <w:t xml:space="preserve">a </w:t>
      </w:r>
      <w:proofErr w:type="spellStart"/>
      <w:r w:rsidR="00B56214">
        <w:t>scannable</w:t>
      </w:r>
      <w:proofErr w:type="spellEnd"/>
      <w:r w:rsidR="00B56214">
        <w:t xml:space="preserve"> paper survey form which will be coded electronically.</w:t>
      </w:r>
    </w:p>
    <w:p w14:paraId="2E622E5C" w14:textId="77777777" w:rsidR="00991192" w:rsidRPr="00ED7B53" w:rsidRDefault="00991192" w:rsidP="00ED7B53">
      <w:pPr>
        <w:tabs>
          <w:tab w:val="left" w:pos="360"/>
        </w:tabs>
        <w:autoSpaceDE w:val="0"/>
        <w:autoSpaceDN w:val="0"/>
        <w:adjustRightInd w:val="0"/>
        <w:rPr>
          <w:rFonts w:cs="Arial"/>
          <w:b/>
          <w:szCs w:val="20"/>
        </w:rPr>
      </w:pPr>
      <w:r w:rsidRPr="00ED7B53">
        <w:rPr>
          <w:rFonts w:cs="Arial"/>
          <w:b/>
          <w:szCs w:val="20"/>
        </w:rPr>
        <w:t>4.</w:t>
      </w:r>
      <w:r w:rsidRPr="00ED7B53">
        <w:rPr>
          <w:rFonts w:cs="Arial"/>
          <w:b/>
          <w:szCs w:val="20"/>
        </w:rPr>
        <w:tab/>
      </w:r>
      <w:r w:rsidRPr="00ED7B53">
        <w:rPr>
          <w:b/>
        </w:rPr>
        <w:t>Describe efforts to identify duplication. Show specifically why any similar information already available cannot be used or modified for use for the purposes described in Item 2 above.</w:t>
      </w:r>
      <w:r>
        <w:t xml:space="preserve"> </w:t>
      </w:r>
    </w:p>
    <w:p w14:paraId="1F7582DC" w14:textId="0F2DE3E0" w:rsidR="000847F1" w:rsidRDefault="0024076C" w:rsidP="000D62F1">
      <w:pPr>
        <w:autoSpaceDE w:val="0"/>
        <w:autoSpaceDN w:val="0"/>
        <w:adjustRightInd w:val="0"/>
        <w:spacing w:before="200" w:after="200"/>
        <w:rPr>
          <w:rFonts w:eastAsiaTheme="minorHAnsi"/>
        </w:rPr>
      </w:pPr>
      <w:r>
        <w:rPr>
          <w:rFonts w:eastAsiaTheme="minorHAnsi"/>
        </w:rPr>
        <w:t>The</w:t>
      </w:r>
      <w:r w:rsidR="008A5D12">
        <w:rPr>
          <w:rFonts w:eastAsiaTheme="minorHAnsi"/>
        </w:rPr>
        <w:t xml:space="preserve"> surveys</w:t>
      </w:r>
      <w:r>
        <w:rPr>
          <w:rFonts w:eastAsiaTheme="minorHAnsi"/>
        </w:rPr>
        <w:t xml:space="preserve"> </w:t>
      </w:r>
      <w:r w:rsidR="00532614">
        <w:rPr>
          <w:rFonts w:eastAsiaTheme="minorHAnsi"/>
        </w:rPr>
        <w:t xml:space="preserve">build upon </w:t>
      </w:r>
      <w:r w:rsidR="007E5F05">
        <w:rPr>
          <w:rFonts w:eastAsiaTheme="minorHAnsi"/>
        </w:rPr>
        <w:t xml:space="preserve">both </w:t>
      </w:r>
      <w:r w:rsidR="00532614">
        <w:rPr>
          <w:rFonts w:eastAsiaTheme="minorHAnsi"/>
        </w:rPr>
        <w:t xml:space="preserve">the </w:t>
      </w:r>
      <w:r>
        <w:rPr>
          <w:rFonts w:eastAsiaTheme="minorHAnsi"/>
        </w:rPr>
        <w:t xml:space="preserve">performance measures </w:t>
      </w:r>
      <w:r w:rsidR="00010EFF">
        <w:rPr>
          <w:rFonts w:eastAsiaTheme="minorHAnsi"/>
        </w:rPr>
        <w:t xml:space="preserve">CNCS </w:t>
      </w:r>
      <w:r>
        <w:rPr>
          <w:rFonts w:eastAsiaTheme="minorHAnsi"/>
        </w:rPr>
        <w:t>developed to gauge grantee</w:t>
      </w:r>
      <w:r w:rsidR="006C7C6B">
        <w:rPr>
          <w:rFonts w:eastAsiaTheme="minorHAnsi"/>
        </w:rPr>
        <w:t>s’ performance</w:t>
      </w:r>
      <w:r w:rsidR="00E91521">
        <w:rPr>
          <w:rFonts w:eastAsiaTheme="minorHAnsi"/>
        </w:rPr>
        <w:t xml:space="preserve"> </w:t>
      </w:r>
      <w:r w:rsidR="00532614">
        <w:rPr>
          <w:rFonts w:eastAsiaTheme="minorHAnsi"/>
        </w:rPr>
        <w:t xml:space="preserve">and </w:t>
      </w:r>
      <w:r w:rsidR="007E5F05">
        <w:rPr>
          <w:rFonts w:eastAsiaTheme="minorHAnsi"/>
        </w:rPr>
        <w:t xml:space="preserve">the </w:t>
      </w:r>
      <w:r w:rsidR="00532614">
        <w:rPr>
          <w:rFonts w:eastAsiaTheme="minorHAnsi"/>
        </w:rPr>
        <w:t xml:space="preserve">survey items tested in the first evaluation. </w:t>
      </w:r>
      <w:r w:rsidR="006C7C6B">
        <w:rPr>
          <w:rFonts w:eastAsiaTheme="minorHAnsi"/>
        </w:rPr>
        <w:t xml:space="preserve">The </w:t>
      </w:r>
      <w:r w:rsidR="00010EFF">
        <w:rPr>
          <w:rFonts w:eastAsiaTheme="minorHAnsi"/>
        </w:rPr>
        <w:t xml:space="preserve">surveys </w:t>
      </w:r>
      <w:r w:rsidR="006C7C6B">
        <w:rPr>
          <w:rFonts w:eastAsiaTheme="minorHAnsi"/>
        </w:rPr>
        <w:t xml:space="preserve">also include items taken from the </w:t>
      </w:r>
      <w:r w:rsidR="00532614">
        <w:rPr>
          <w:rFonts w:eastAsiaTheme="minorHAnsi"/>
        </w:rPr>
        <w:t>HRS</w:t>
      </w:r>
      <w:r w:rsidR="00E91521">
        <w:rPr>
          <w:rFonts w:eastAsiaTheme="minorHAnsi"/>
        </w:rPr>
        <w:t xml:space="preserve"> </w:t>
      </w:r>
      <w:r w:rsidR="00DF2A0C">
        <w:rPr>
          <w:rFonts w:eastAsiaTheme="minorHAnsi"/>
        </w:rPr>
        <w:t>questionnaire</w:t>
      </w:r>
      <w:r w:rsidR="001C4186">
        <w:rPr>
          <w:rFonts w:eastAsiaTheme="minorHAnsi"/>
        </w:rPr>
        <w:t xml:space="preserve"> </w:t>
      </w:r>
      <w:r w:rsidR="00B56214">
        <w:rPr>
          <w:rFonts w:eastAsiaTheme="minorHAnsi"/>
        </w:rPr>
        <w:t xml:space="preserve">which will </w:t>
      </w:r>
      <w:r w:rsidR="001C4186">
        <w:rPr>
          <w:rFonts w:eastAsiaTheme="minorHAnsi"/>
        </w:rPr>
        <w:t xml:space="preserve">be used in forming a </w:t>
      </w:r>
      <w:r w:rsidR="00F9663D">
        <w:rPr>
          <w:rFonts w:eastAsiaTheme="minorHAnsi"/>
        </w:rPr>
        <w:t>matched comparison</w:t>
      </w:r>
      <w:r w:rsidR="001C4186">
        <w:rPr>
          <w:rFonts w:eastAsiaTheme="minorHAnsi"/>
        </w:rPr>
        <w:t xml:space="preserve"> group</w:t>
      </w:r>
      <w:r w:rsidR="000847F1">
        <w:rPr>
          <w:rFonts w:eastAsiaTheme="minorHAnsi"/>
        </w:rPr>
        <w:t xml:space="preserve">. </w:t>
      </w:r>
      <w:r w:rsidR="00B56214">
        <w:rPr>
          <w:rFonts w:eastAsiaTheme="minorHAnsi"/>
        </w:rPr>
        <w:t>T</w:t>
      </w:r>
      <w:r w:rsidR="006C7C6B">
        <w:rPr>
          <w:rFonts w:eastAsiaTheme="minorHAnsi"/>
        </w:rPr>
        <w:t xml:space="preserve">he </w:t>
      </w:r>
      <w:r w:rsidR="00E91521">
        <w:rPr>
          <w:rFonts w:eastAsiaTheme="minorHAnsi"/>
        </w:rPr>
        <w:t>data collection</w:t>
      </w:r>
      <w:r w:rsidR="006C7C6B">
        <w:rPr>
          <w:rFonts w:eastAsiaTheme="minorHAnsi"/>
        </w:rPr>
        <w:t xml:space="preserve"> is not a duplication of the </w:t>
      </w:r>
      <w:r w:rsidR="00532614">
        <w:rPr>
          <w:rFonts w:eastAsiaTheme="minorHAnsi"/>
        </w:rPr>
        <w:t xml:space="preserve">first evaluation or the </w:t>
      </w:r>
      <w:r w:rsidR="006C7C6B">
        <w:rPr>
          <w:rFonts w:eastAsiaTheme="minorHAnsi"/>
        </w:rPr>
        <w:t xml:space="preserve">HRS </w:t>
      </w:r>
      <w:r w:rsidR="00E91521">
        <w:rPr>
          <w:rFonts w:eastAsiaTheme="minorHAnsi"/>
        </w:rPr>
        <w:t>data</w:t>
      </w:r>
      <w:r w:rsidR="00532614">
        <w:rPr>
          <w:rFonts w:eastAsiaTheme="minorHAnsi"/>
        </w:rPr>
        <w:t>.</w:t>
      </w:r>
      <w:r w:rsidR="006C7C6B">
        <w:rPr>
          <w:rFonts w:eastAsiaTheme="minorHAnsi"/>
        </w:rPr>
        <w:t xml:space="preserve"> </w:t>
      </w:r>
      <w:r w:rsidR="002E4C3A">
        <w:rPr>
          <w:rFonts w:eastAsiaTheme="minorHAnsi"/>
        </w:rPr>
        <w:t>T</w:t>
      </w:r>
      <w:r w:rsidR="00532614">
        <w:rPr>
          <w:rFonts w:eastAsiaTheme="minorHAnsi"/>
        </w:rPr>
        <w:t xml:space="preserve">he proposed longitudinal evaluation will measure </w:t>
      </w:r>
      <w:r w:rsidR="003E59F1">
        <w:rPr>
          <w:rFonts w:eastAsiaTheme="minorHAnsi"/>
        </w:rPr>
        <w:t xml:space="preserve">self-reported </w:t>
      </w:r>
      <w:r w:rsidR="0076391A">
        <w:rPr>
          <w:rFonts w:eastAsiaTheme="minorHAnsi"/>
        </w:rPr>
        <w:t>volunteer</w:t>
      </w:r>
      <w:r w:rsidR="00532614">
        <w:rPr>
          <w:rFonts w:eastAsiaTheme="minorHAnsi"/>
        </w:rPr>
        <w:t xml:space="preserve"> </w:t>
      </w:r>
      <w:r w:rsidR="00FA68F9">
        <w:rPr>
          <w:rFonts w:eastAsiaTheme="minorHAnsi"/>
        </w:rPr>
        <w:t xml:space="preserve">satisfaction, </w:t>
      </w:r>
      <w:r w:rsidR="00532614">
        <w:rPr>
          <w:rFonts w:eastAsiaTheme="minorHAnsi"/>
        </w:rPr>
        <w:t>symptoms of depression</w:t>
      </w:r>
      <w:r w:rsidR="00FA68F9">
        <w:rPr>
          <w:rFonts w:eastAsiaTheme="minorHAnsi"/>
        </w:rPr>
        <w:t xml:space="preserve"> and</w:t>
      </w:r>
      <w:r w:rsidR="00532614">
        <w:rPr>
          <w:rFonts w:eastAsiaTheme="minorHAnsi"/>
        </w:rPr>
        <w:t xml:space="preserve"> loneliness</w:t>
      </w:r>
      <w:r w:rsidR="003E59F1">
        <w:rPr>
          <w:rFonts w:eastAsiaTheme="minorHAnsi"/>
        </w:rPr>
        <w:t>. T</w:t>
      </w:r>
      <w:r w:rsidR="007E5F05">
        <w:rPr>
          <w:rFonts w:eastAsiaTheme="minorHAnsi"/>
        </w:rPr>
        <w:t xml:space="preserve">he first evaluation </w:t>
      </w:r>
      <w:r w:rsidR="002E4C3A">
        <w:rPr>
          <w:rFonts w:eastAsiaTheme="minorHAnsi"/>
        </w:rPr>
        <w:t xml:space="preserve">of volunteers measured basic demographic </w:t>
      </w:r>
      <w:r w:rsidR="002E4C3A">
        <w:rPr>
          <w:rFonts w:eastAsiaTheme="minorHAnsi"/>
        </w:rPr>
        <w:lastRenderedPageBreak/>
        <w:t xml:space="preserve">information, limited measures of self-efficacy, loneliness and life satisfaction, </w:t>
      </w:r>
      <w:r w:rsidR="003E59F1">
        <w:rPr>
          <w:rFonts w:eastAsiaTheme="minorHAnsi"/>
        </w:rPr>
        <w:t xml:space="preserve">while </w:t>
      </w:r>
      <w:r w:rsidR="002E4C3A">
        <w:rPr>
          <w:rFonts w:eastAsiaTheme="minorHAnsi"/>
        </w:rPr>
        <w:t>no information on caregivers’ characteristics</w:t>
      </w:r>
      <w:r w:rsidR="003E59F1">
        <w:rPr>
          <w:rFonts w:eastAsiaTheme="minorHAnsi"/>
        </w:rPr>
        <w:t xml:space="preserve"> was collected</w:t>
      </w:r>
      <w:r w:rsidR="002E4C3A">
        <w:rPr>
          <w:rFonts w:eastAsiaTheme="minorHAnsi"/>
        </w:rPr>
        <w:t>.</w:t>
      </w:r>
      <w:r w:rsidR="00532614">
        <w:rPr>
          <w:rFonts w:eastAsiaTheme="minorHAnsi"/>
        </w:rPr>
        <w:t xml:space="preserve"> The proposed data collection </w:t>
      </w:r>
      <w:r w:rsidR="00B16C36">
        <w:rPr>
          <w:rFonts w:eastAsiaTheme="minorHAnsi"/>
        </w:rPr>
        <w:t>also includes questions intended to</w:t>
      </w:r>
      <w:r w:rsidR="00532614">
        <w:rPr>
          <w:rFonts w:eastAsiaTheme="minorHAnsi"/>
        </w:rPr>
        <w:t xml:space="preserve"> inform </w:t>
      </w:r>
      <w:r w:rsidR="00AE6A8E">
        <w:rPr>
          <w:rFonts w:eastAsiaTheme="minorHAnsi"/>
        </w:rPr>
        <w:t xml:space="preserve">best practices for recruitment and retention of National Service participants. The data collection is not a duplicate of the HRS </w:t>
      </w:r>
      <w:r w:rsidR="006C7C6B">
        <w:rPr>
          <w:rFonts w:eastAsiaTheme="minorHAnsi"/>
        </w:rPr>
        <w:t xml:space="preserve">because it </w:t>
      </w:r>
      <w:r w:rsidR="00B16C36">
        <w:rPr>
          <w:rFonts w:eastAsiaTheme="minorHAnsi"/>
        </w:rPr>
        <w:t xml:space="preserve">consists of </w:t>
      </w:r>
      <w:r w:rsidR="006C7C6B">
        <w:rPr>
          <w:rFonts w:eastAsiaTheme="minorHAnsi"/>
        </w:rPr>
        <w:t xml:space="preserve">a sample of </w:t>
      </w:r>
      <w:r w:rsidR="00AE6A8E">
        <w:rPr>
          <w:rFonts w:eastAsiaTheme="minorHAnsi"/>
        </w:rPr>
        <w:t xml:space="preserve">caregivers receiving respite care and </w:t>
      </w:r>
      <w:r w:rsidR="00010EFF">
        <w:rPr>
          <w:rFonts w:eastAsiaTheme="minorHAnsi"/>
        </w:rPr>
        <w:t xml:space="preserve">of </w:t>
      </w:r>
      <w:r w:rsidR="00AE6A8E">
        <w:rPr>
          <w:rFonts w:eastAsiaTheme="minorHAnsi"/>
        </w:rPr>
        <w:t xml:space="preserve">adults as they </w:t>
      </w:r>
      <w:r w:rsidR="00B16C36">
        <w:rPr>
          <w:rFonts w:eastAsiaTheme="minorHAnsi"/>
        </w:rPr>
        <w:t xml:space="preserve">begin </w:t>
      </w:r>
      <w:r w:rsidR="00AE6A8E">
        <w:rPr>
          <w:rFonts w:eastAsiaTheme="minorHAnsi"/>
        </w:rPr>
        <w:t>National Service as Foster Grandparent or Senior Companion</w:t>
      </w:r>
      <w:r w:rsidR="00010EFF">
        <w:rPr>
          <w:rFonts w:eastAsiaTheme="minorHAnsi"/>
        </w:rPr>
        <w:t xml:space="preserve"> volunteers</w:t>
      </w:r>
      <w:r w:rsidR="00AE6A8E">
        <w:rPr>
          <w:rFonts w:eastAsiaTheme="minorHAnsi"/>
        </w:rPr>
        <w:t>.</w:t>
      </w:r>
      <w:r w:rsidR="006C7C6B">
        <w:rPr>
          <w:rFonts w:eastAsiaTheme="minorHAnsi"/>
        </w:rPr>
        <w:t xml:space="preserve"> </w:t>
      </w:r>
      <w:r w:rsidR="00010EFF">
        <w:rPr>
          <w:rFonts w:eastAsiaTheme="minorHAnsi"/>
        </w:rPr>
        <w:t>T</w:t>
      </w:r>
      <w:r w:rsidR="006C7C6B">
        <w:rPr>
          <w:rFonts w:eastAsiaTheme="minorHAnsi"/>
        </w:rPr>
        <w:t xml:space="preserve">he HRS </w:t>
      </w:r>
      <w:r w:rsidR="00AE6A8E">
        <w:rPr>
          <w:rFonts w:eastAsiaTheme="minorHAnsi"/>
        </w:rPr>
        <w:t xml:space="preserve">does not collect information that can identify </w:t>
      </w:r>
      <w:r w:rsidR="00B16C36">
        <w:rPr>
          <w:rFonts w:eastAsiaTheme="minorHAnsi"/>
        </w:rPr>
        <w:t xml:space="preserve">respite </w:t>
      </w:r>
      <w:r w:rsidR="00AE6A8E">
        <w:rPr>
          <w:rFonts w:eastAsiaTheme="minorHAnsi"/>
        </w:rPr>
        <w:t xml:space="preserve">caregivers. The HRS </w:t>
      </w:r>
      <w:r w:rsidR="006C7C6B">
        <w:rPr>
          <w:rFonts w:eastAsiaTheme="minorHAnsi"/>
        </w:rPr>
        <w:t xml:space="preserve">is a national representative sample of </w:t>
      </w:r>
      <w:r w:rsidR="00A13CDF">
        <w:rPr>
          <w:rFonts w:eastAsiaTheme="minorHAnsi"/>
        </w:rPr>
        <w:t xml:space="preserve">non-institutionalized </w:t>
      </w:r>
      <w:r w:rsidR="00CB38CE">
        <w:rPr>
          <w:rFonts w:eastAsiaTheme="minorHAnsi"/>
        </w:rPr>
        <w:t xml:space="preserve">adults </w:t>
      </w:r>
      <w:r w:rsidR="00DF2A0C">
        <w:rPr>
          <w:rFonts w:eastAsiaTheme="minorHAnsi"/>
        </w:rPr>
        <w:t xml:space="preserve">age </w:t>
      </w:r>
      <w:r w:rsidR="00A13CDF">
        <w:rPr>
          <w:rFonts w:eastAsiaTheme="minorHAnsi"/>
        </w:rPr>
        <w:t>50 and older</w:t>
      </w:r>
      <w:r w:rsidR="003C19F5">
        <w:rPr>
          <w:rFonts w:eastAsiaTheme="minorHAnsi"/>
        </w:rPr>
        <w:t>, and collects a diverse set of information</w:t>
      </w:r>
      <w:r w:rsidR="00A13CDF">
        <w:rPr>
          <w:rFonts w:eastAsiaTheme="minorHAnsi"/>
        </w:rPr>
        <w:t xml:space="preserve"> </w:t>
      </w:r>
      <w:r w:rsidR="003C19F5">
        <w:rPr>
          <w:rFonts w:eastAsiaTheme="minorHAnsi"/>
        </w:rPr>
        <w:t>on</w:t>
      </w:r>
      <w:r w:rsidR="00A13CDF">
        <w:rPr>
          <w:rFonts w:eastAsiaTheme="minorHAnsi"/>
        </w:rPr>
        <w:t xml:space="preserve"> health care, housing, assets, pensions, employment</w:t>
      </w:r>
      <w:r w:rsidR="00494D7A">
        <w:rPr>
          <w:rFonts w:eastAsiaTheme="minorHAnsi"/>
        </w:rPr>
        <w:t>,</w:t>
      </w:r>
      <w:r w:rsidR="00A13CDF">
        <w:rPr>
          <w:rFonts w:eastAsiaTheme="minorHAnsi"/>
        </w:rPr>
        <w:t xml:space="preserve"> disability</w:t>
      </w:r>
      <w:r w:rsidR="003C19F5">
        <w:rPr>
          <w:rFonts w:eastAsiaTheme="minorHAnsi"/>
        </w:rPr>
        <w:t xml:space="preserve">, </w:t>
      </w:r>
      <w:r w:rsidR="0076391A">
        <w:rPr>
          <w:rFonts w:eastAsiaTheme="minorHAnsi"/>
        </w:rPr>
        <w:t xml:space="preserve">and psychosocial well-being, </w:t>
      </w:r>
      <w:r w:rsidR="003C19F5">
        <w:rPr>
          <w:rFonts w:eastAsiaTheme="minorHAnsi"/>
        </w:rPr>
        <w:t>all which are intended to inform a broad discussion about retirement</w:t>
      </w:r>
      <w:r w:rsidR="00A13CDF">
        <w:rPr>
          <w:rFonts w:eastAsiaTheme="minorHAnsi"/>
        </w:rPr>
        <w:t xml:space="preserve">. </w:t>
      </w:r>
      <w:r w:rsidR="00541016">
        <w:rPr>
          <w:rFonts w:eastAsiaTheme="minorHAnsi"/>
        </w:rPr>
        <w:t xml:space="preserve">One of the objectives </w:t>
      </w:r>
      <w:r w:rsidR="00B67BA4">
        <w:rPr>
          <w:rFonts w:eastAsiaTheme="minorHAnsi"/>
        </w:rPr>
        <w:t xml:space="preserve">of the </w:t>
      </w:r>
      <w:r w:rsidR="00A13CDF">
        <w:rPr>
          <w:rFonts w:eastAsiaTheme="minorHAnsi"/>
        </w:rPr>
        <w:t xml:space="preserve">proposed data collection is to understand the </w:t>
      </w:r>
      <w:r w:rsidR="00B16C36">
        <w:rPr>
          <w:rFonts w:eastAsiaTheme="minorHAnsi"/>
        </w:rPr>
        <w:t xml:space="preserve">effects </w:t>
      </w:r>
      <w:r w:rsidR="00A13CDF">
        <w:rPr>
          <w:rFonts w:eastAsiaTheme="minorHAnsi"/>
        </w:rPr>
        <w:t xml:space="preserve">of </w:t>
      </w:r>
      <w:r w:rsidR="00D7463B">
        <w:rPr>
          <w:rFonts w:eastAsiaTheme="minorHAnsi"/>
        </w:rPr>
        <w:t>CNCS-funded services</w:t>
      </w:r>
      <w:r w:rsidR="00A13CDF">
        <w:rPr>
          <w:rFonts w:eastAsiaTheme="minorHAnsi"/>
        </w:rPr>
        <w:t xml:space="preserve"> on the </w:t>
      </w:r>
      <w:r w:rsidR="00B16C36">
        <w:rPr>
          <w:rFonts w:eastAsiaTheme="minorHAnsi"/>
        </w:rPr>
        <w:t xml:space="preserve">caregivers </w:t>
      </w:r>
      <w:r w:rsidR="00A13CDF">
        <w:rPr>
          <w:rFonts w:eastAsiaTheme="minorHAnsi"/>
        </w:rPr>
        <w:t>served by th</w:t>
      </w:r>
      <w:r w:rsidR="00B16C36">
        <w:rPr>
          <w:rFonts w:eastAsiaTheme="minorHAnsi"/>
        </w:rPr>
        <w:t>e SCP</w:t>
      </w:r>
      <w:r w:rsidR="00A13CDF">
        <w:rPr>
          <w:rFonts w:eastAsiaTheme="minorHAnsi"/>
        </w:rPr>
        <w:t xml:space="preserve"> </w:t>
      </w:r>
      <w:r w:rsidR="00B16C36">
        <w:rPr>
          <w:rFonts w:eastAsiaTheme="minorHAnsi"/>
        </w:rPr>
        <w:t>projects</w:t>
      </w:r>
      <w:r w:rsidR="00A13CDF">
        <w:rPr>
          <w:rFonts w:eastAsiaTheme="minorHAnsi"/>
        </w:rPr>
        <w:t xml:space="preserve">. The HRS </w:t>
      </w:r>
      <w:r w:rsidR="00FC29BC">
        <w:rPr>
          <w:rFonts w:eastAsiaTheme="minorHAnsi"/>
        </w:rPr>
        <w:t>does</w:t>
      </w:r>
      <w:r w:rsidR="00A13CDF">
        <w:rPr>
          <w:rFonts w:eastAsiaTheme="minorHAnsi"/>
        </w:rPr>
        <w:t xml:space="preserve"> collect information about </w:t>
      </w:r>
      <w:r w:rsidR="0076524B">
        <w:rPr>
          <w:rFonts w:eastAsiaTheme="minorHAnsi"/>
        </w:rPr>
        <w:t xml:space="preserve">volunteering among adults age 55 and older which will be used in forming a </w:t>
      </w:r>
      <w:r w:rsidR="00A13CDF">
        <w:rPr>
          <w:rFonts w:eastAsiaTheme="minorHAnsi"/>
        </w:rPr>
        <w:t>comparison group</w:t>
      </w:r>
      <w:r w:rsidR="0076524B">
        <w:rPr>
          <w:rFonts w:eastAsiaTheme="minorHAnsi"/>
        </w:rPr>
        <w:t>s of volunteers and non-volunteers</w:t>
      </w:r>
      <w:r w:rsidR="00A13CDF">
        <w:rPr>
          <w:rFonts w:eastAsiaTheme="minorHAnsi"/>
        </w:rPr>
        <w:t xml:space="preserve"> using propensity score matching methods </w:t>
      </w:r>
      <w:r w:rsidR="003C19F5">
        <w:rPr>
          <w:rFonts w:eastAsiaTheme="minorHAnsi"/>
        </w:rPr>
        <w:t xml:space="preserve">to compare to </w:t>
      </w:r>
      <w:r w:rsidR="0076524B">
        <w:rPr>
          <w:rFonts w:eastAsiaTheme="minorHAnsi"/>
        </w:rPr>
        <w:t>the FGP and SCP volunteers</w:t>
      </w:r>
      <w:r w:rsidR="00A13CDF">
        <w:rPr>
          <w:rFonts w:eastAsiaTheme="minorHAnsi"/>
        </w:rPr>
        <w:t xml:space="preserve">. </w:t>
      </w:r>
    </w:p>
    <w:p w14:paraId="2B507AB0" w14:textId="77777777" w:rsidR="00991192" w:rsidRPr="00ED7B53" w:rsidRDefault="00991192" w:rsidP="00ED7B53">
      <w:pPr>
        <w:tabs>
          <w:tab w:val="left" w:pos="360"/>
        </w:tabs>
        <w:autoSpaceDE w:val="0"/>
        <w:autoSpaceDN w:val="0"/>
        <w:adjustRightInd w:val="0"/>
        <w:rPr>
          <w:rFonts w:cs="Arial"/>
          <w:b/>
          <w:szCs w:val="20"/>
        </w:rPr>
      </w:pPr>
      <w:r w:rsidRPr="00ED7B53">
        <w:rPr>
          <w:rFonts w:cs="Arial"/>
          <w:b/>
          <w:szCs w:val="20"/>
        </w:rPr>
        <w:t>5.</w:t>
      </w:r>
      <w:r w:rsidRPr="00ED7B53">
        <w:rPr>
          <w:rFonts w:cs="Arial"/>
          <w:b/>
          <w:szCs w:val="20"/>
        </w:rPr>
        <w:tab/>
      </w:r>
      <w:r w:rsidRPr="00ED7B53">
        <w:rPr>
          <w:b/>
        </w:rPr>
        <w:t>If the collection of information impacts small businesses or other small entities, describe any methods used to minimize burden.</w:t>
      </w:r>
      <w:r>
        <w:t xml:space="preserve"> </w:t>
      </w:r>
    </w:p>
    <w:p w14:paraId="38B595EC" w14:textId="375C5FA4" w:rsidR="00503B53" w:rsidRPr="00D962E0" w:rsidRDefault="000E7054" w:rsidP="000D62F1">
      <w:pPr>
        <w:autoSpaceDE w:val="0"/>
        <w:autoSpaceDN w:val="0"/>
        <w:adjustRightInd w:val="0"/>
        <w:spacing w:before="200" w:after="200"/>
        <w:rPr>
          <w:rFonts w:eastAsiaTheme="minorHAnsi"/>
        </w:rPr>
      </w:pPr>
      <w:r w:rsidRPr="00B126A2">
        <w:rPr>
          <w:rFonts w:eastAsiaTheme="minorHAnsi"/>
        </w:rPr>
        <w:t xml:space="preserve">The proposed data collection will require input from </w:t>
      </w:r>
      <w:r w:rsidR="00086D10" w:rsidRPr="00B126A2">
        <w:rPr>
          <w:rFonts w:eastAsiaTheme="minorHAnsi"/>
        </w:rPr>
        <w:t xml:space="preserve">FGP and </w:t>
      </w:r>
      <w:r w:rsidR="00801296" w:rsidRPr="00B126A2">
        <w:rPr>
          <w:rFonts w:eastAsiaTheme="minorHAnsi"/>
        </w:rPr>
        <w:t>SCP</w:t>
      </w:r>
      <w:r w:rsidR="00725060" w:rsidRPr="00B126A2">
        <w:rPr>
          <w:rFonts w:eastAsiaTheme="minorHAnsi"/>
        </w:rPr>
        <w:t xml:space="preserve"> grantees</w:t>
      </w:r>
      <w:r w:rsidRPr="00B126A2">
        <w:rPr>
          <w:rFonts w:eastAsiaTheme="minorHAnsi"/>
        </w:rPr>
        <w:t xml:space="preserve"> </w:t>
      </w:r>
      <w:r w:rsidR="00144012" w:rsidRPr="00B126A2">
        <w:rPr>
          <w:rFonts w:eastAsiaTheme="minorHAnsi"/>
        </w:rPr>
        <w:t>that</w:t>
      </w:r>
      <w:r w:rsidRPr="00B126A2">
        <w:rPr>
          <w:rFonts w:eastAsiaTheme="minorHAnsi"/>
        </w:rPr>
        <w:t xml:space="preserve"> are non-profit entities</w:t>
      </w:r>
      <w:r w:rsidR="007A6A04">
        <w:rPr>
          <w:rFonts w:eastAsiaTheme="minorHAnsi"/>
        </w:rPr>
        <w:t>;</w:t>
      </w:r>
      <w:r w:rsidRPr="00B126A2">
        <w:rPr>
          <w:rFonts w:eastAsiaTheme="minorHAnsi"/>
        </w:rPr>
        <w:t xml:space="preserve"> </w:t>
      </w:r>
      <w:r w:rsidR="00010EFF">
        <w:rPr>
          <w:rFonts w:eastAsiaTheme="minorHAnsi"/>
        </w:rPr>
        <w:t>it</w:t>
      </w:r>
      <w:r w:rsidR="00010EFF" w:rsidRPr="00B126A2">
        <w:rPr>
          <w:rFonts w:eastAsiaTheme="minorHAnsi"/>
        </w:rPr>
        <w:t xml:space="preserve"> </w:t>
      </w:r>
      <w:r w:rsidRPr="00B126A2">
        <w:rPr>
          <w:rFonts w:eastAsiaTheme="minorHAnsi"/>
        </w:rPr>
        <w:t>will n</w:t>
      </w:r>
      <w:r w:rsidR="00725060" w:rsidRPr="00501336">
        <w:rPr>
          <w:rFonts w:eastAsiaTheme="minorHAnsi"/>
        </w:rPr>
        <w:t>ot impact</w:t>
      </w:r>
      <w:r w:rsidR="00725060" w:rsidRPr="00D962E0">
        <w:rPr>
          <w:rFonts w:eastAsiaTheme="minorHAnsi"/>
        </w:rPr>
        <w:t xml:space="preserve"> small businesses. </w:t>
      </w:r>
      <w:r w:rsidR="00086D10" w:rsidRPr="00D962E0">
        <w:rPr>
          <w:rFonts w:eastAsiaTheme="minorHAnsi"/>
        </w:rPr>
        <w:t xml:space="preserve">As mentioned above, </w:t>
      </w:r>
      <w:r w:rsidR="00086D10" w:rsidRPr="00B126A2">
        <w:t>to ensure that</w:t>
      </w:r>
      <w:r w:rsidR="00086D10" w:rsidRPr="00B126A2">
        <w:rPr>
          <w:b/>
        </w:rPr>
        <w:t xml:space="preserve"> </w:t>
      </w:r>
      <w:r w:rsidR="00086D10" w:rsidRPr="00B126A2">
        <w:t xml:space="preserve">the baseline data collection occurs before the start of service, CNCS proposes to embed the informed consent process, enrollment and data collection during the intake process when </w:t>
      </w:r>
      <w:r w:rsidR="00B126A2">
        <w:t xml:space="preserve">new caregivers </w:t>
      </w:r>
      <w:r w:rsidR="00086D10" w:rsidRPr="00B126A2">
        <w:t xml:space="preserve">apply for respite </w:t>
      </w:r>
      <w:r w:rsidR="00B126A2">
        <w:t>care</w:t>
      </w:r>
      <w:r w:rsidR="00B126A2" w:rsidRPr="00B126A2">
        <w:t xml:space="preserve"> </w:t>
      </w:r>
      <w:r w:rsidR="00086D10" w:rsidRPr="00B126A2">
        <w:t xml:space="preserve">and during orientation for new volunteers. </w:t>
      </w:r>
      <w:r w:rsidR="00725060" w:rsidRPr="00B126A2">
        <w:rPr>
          <w:rFonts w:eastAsiaTheme="minorHAnsi"/>
        </w:rPr>
        <w:t>The grantees will be asked to</w:t>
      </w:r>
      <w:r w:rsidR="00086D10" w:rsidRPr="00B126A2">
        <w:rPr>
          <w:rFonts w:eastAsiaTheme="minorHAnsi"/>
        </w:rPr>
        <w:t xml:space="preserve"> explain the study to potential participants, obtain informed consent, and provide the survey to the participants. To offset the modest burden associated with the data collection activities</w:t>
      </w:r>
      <w:r w:rsidR="00F677DE" w:rsidRPr="00B126A2">
        <w:rPr>
          <w:rFonts w:eastAsiaTheme="minorHAnsi"/>
        </w:rPr>
        <w:t xml:space="preserve">, CNCS proposes a $10 research reimbursement per respondent to </w:t>
      </w:r>
      <w:r w:rsidR="00010EFF">
        <w:rPr>
          <w:rFonts w:eastAsiaTheme="minorHAnsi"/>
        </w:rPr>
        <w:t xml:space="preserve">FGP and SCP </w:t>
      </w:r>
      <w:r w:rsidR="00F677DE" w:rsidRPr="00501336">
        <w:rPr>
          <w:rFonts w:eastAsiaTheme="minorHAnsi"/>
        </w:rPr>
        <w:t xml:space="preserve">projects for </w:t>
      </w:r>
      <w:r w:rsidR="00F677DE" w:rsidRPr="00D962E0">
        <w:t xml:space="preserve">costs </w:t>
      </w:r>
      <w:r w:rsidR="00DE5D6F" w:rsidRPr="00D962E0">
        <w:t xml:space="preserve">related to </w:t>
      </w:r>
      <w:r w:rsidR="00F677DE" w:rsidRPr="001D279D">
        <w:t xml:space="preserve">printing, phone use, and </w:t>
      </w:r>
      <w:r w:rsidR="00DE5D6F" w:rsidRPr="00607121">
        <w:t>transmitting</w:t>
      </w:r>
      <w:r w:rsidR="00F677DE" w:rsidRPr="006C5886">
        <w:t xml:space="preserve"> surveys</w:t>
      </w:r>
      <w:r w:rsidR="00DE5D6F" w:rsidRPr="006C5886">
        <w:t xml:space="preserve"> to the contractor</w:t>
      </w:r>
      <w:r w:rsidR="0076391A">
        <w:t>, JBS International</w:t>
      </w:r>
      <w:r w:rsidR="00F677DE" w:rsidRPr="006C5886">
        <w:t xml:space="preserve">. </w:t>
      </w:r>
      <w:r w:rsidR="00B126A2">
        <w:rPr>
          <w:rFonts w:eastAsiaTheme="minorHAnsi"/>
        </w:rPr>
        <w:t xml:space="preserve"> </w:t>
      </w:r>
      <w:r w:rsidR="002E4C3A">
        <w:rPr>
          <w:rFonts w:eastAsiaTheme="minorHAnsi"/>
        </w:rPr>
        <w:t xml:space="preserve">Research shows </w:t>
      </w:r>
      <w:r w:rsidR="00B658B1">
        <w:t>that</w:t>
      </w:r>
      <w:r w:rsidR="00E7656C" w:rsidRPr="00B126A2">
        <w:t xml:space="preserve"> indirect incentives to organizations increase cooperation</w:t>
      </w:r>
      <w:r w:rsidR="00E7656C" w:rsidRPr="00552963">
        <w:t xml:space="preserve"> rates (</w:t>
      </w:r>
      <w:proofErr w:type="spellStart"/>
      <w:r w:rsidR="00E7656C" w:rsidRPr="00552963">
        <w:t>Beckler</w:t>
      </w:r>
      <w:proofErr w:type="spellEnd"/>
      <w:r w:rsidR="00E7656C" w:rsidRPr="00552963">
        <w:t xml:space="preserve"> </w:t>
      </w:r>
      <w:r w:rsidR="00E7656C" w:rsidRPr="00501336">
        <w:t xml:space="preserve">&amp; </w:t>
      </w:r>
      <w:proofErr w:type="spellStart"/>
      <w:r w:rsidR="00E7656C" w:rsidRPr="00501336">
        <w:t>Ott</w:t>
      </w:r>
      <w:proofErr w:type="spellEnd"/>
      <w:r w:rsidR="00E7656C" w:rsidRPr="00501336">
        <w:t>, 2006)</w:t>
      </w:r>
      <w:r w:rsidR="002E4C3A">
        <w:t>, as is the case for incentives to individual respondents</w:t>
      </w:r>
      <w:r w:rsidR="00E7656C" w:rsidRPr="00501336">
        <w:t>.</w:t>
      </w:r>
    </w:p>
    <w:p w14:paraId="606FFE98" w14:textId="77777777" w:rsidR="00991192" w:rsidRPr="00ED7B53" w:rsidRDefault="00991192" w:rsidP="00ED7B53">
      <w:pPr>
        <w:tabs>
          <w:tab w:val="left" w:pos="360"/>
        </w:tabs>
        <w:autoSpaceDE w:val="0"/>
        <w:autoSpaceDN w:val="0"/>
        <w:adjustRightInd w:val="0"/>
        <w:rPr>
          <w:rFonts w:cs="Arial"/>
          <w:b/>
          <w:szCs w:val="20"/>
        </w:rPr>
      </w:pPr>
      <w:r w:rsidRPr="00ED7B53">
        <w:rPr>
          <w:rFonts w:cs="Arial"/>
          <w:b/>
          <w:szCs w:val="20"/>
        </w:rPr>
        <w:t>6.</w:t>
      </w:r>
      <w:r w:rsidRPr="00ED7B53">
        <w:rPr>
          <w:rFonts w:cs="Arial"/>
          <w:b/>
          <w:szCs w:val="20"/>
        </w:rPr>
        <w:tab/>
      </w:r>
      <w:r w:rsidRPr="00ED7B53">
        <w:rPr>
          <w:b/>
        </w:rPr>
        <w:t>Describe the consequence to Federal program or policy activities if the collection is not conducted or is conducted less frequently, as well as any technical or legal obstacles to reducing burden.</w:t>
      </w:r>
      <w:r>
        <w:t xml:space="preserve"> </w:t>
      </w:r>
    </w:p>
    <w:p w14:paraId="2DF58719" w14:textId="03BAB477" w:rsidR="001A2C0D" w:rsidRDefault="00AC2C94" w:rsidP="000D62F1">
      <w:pPr>
        <w:spacing w:before="200" w:after="200"/>
      </w:pPr>
      <w:r w:rsidRPr="00B703B3">
        <w:t>The Domestic Volunteer Service Act of 1973, as amended (Public Law 93-113), directs CNCS to assess the impact and</w:t>
      </w:r>
      <w:r w:rsidR="00B67BA4">
        <w:t xml:space="preserve"> effectiveness of Senior Corps P</w:t>
      </w:r>
      <w:r w:rsidRPr="00B703B3">
        <w:t>rograms at least once every three years. In addition, CNCS’</w:t>
      </w:r>
      <w:r w:rsidR="00BF1FFB">
        <w:t>s</w:t>
      </w:r>
      <w:r w:rsidRPr="00B703B3">
        <w:t xml:space="preserve"> 2011-2015 Strategic Plan outlines the agency’s commitment to building an evidence base that will allow for informed decision</w:t>
      </w:r>
      <w:r w:rsidR="00B67BA4">
        <w:t>s</w:t>
      </w:r>
      <w:r w:rsidRPr="00B703B3">
        <w:t xml:space="preserve"> and the allocation of resources. The proposed data collection is one of the acti</w:t>
      </w:r>
      <w:r w:rsidR="00B67BA4">
        <w:t xml:space="preserve">vities the agency is undertaking </w:t>
      </w:r>
      <w:r w:rsidRPr="00B703B3">
        <w:t xml:space="preserve">to build its capacity to contribute to this evidence base </w:t>
      </w:r>
      <w:r>
        <w:t xml:space="preserve">with data collected </w:t>
      </w:r>
      <w:r w:rsidRPr="00B703B3">
        <w:t>through uniform, outcome-based performance measures and studies with a comparison group.</w:t>
      </w:r>
      <w:r>
        <w:t xml:space="preserve"> </w:t>
      </w:r>
      <w:r w:rsidR="00725060">
        <w:t xml:space="preserve">The proposed data collection will provide information to CNCS </w:t>
      </w:r>
      <w:r w:rsidR="000C24D9">
        <w:t xml:space="preserve">on how to strengthen </w:t>
      </w:r>
      <w:r w:rsidR="000F19F2">
        <w:t xml:space="preserve">its </w:t>
      </w:r>
      <w:r w:rsidR="000C24D9">
        <w:t xml:space="preserve">national service </w:t>
      </w:r>
      <w:r w:rsidR="00BF1FFB">
        <w:t xml:space="preserve">programs </w:t>
      </w:r>
      <w:r w:rsidR="000C24D9">
        <w:t xml:space="preserve">so that </w:t>
      </w:r>
      <w:r w:rsidR="00CB16B1">
        <w:t xml:space="preserve">caregivers </w:t>
      </w:r>
      <w:r w:rsidR="000C24D9">
        <w:t xml:space="preserve">receiving CNCS-supported </w:t>
      </w:r>
      <w:r w:rsidR="00CB16B1">
        <w:t xml:space="preserve">respite </w:t>
      </w:r>
      <w:r w:rsidR="00B126A2">
        <w:t xml:space="preserve">care </w:t>
      </w:r>
      <w:r w:rsidR="00CB16B1">
        <w:t xml:space="preserve">and volunteers participating in National Service </w:t>
      </w:r>
      <w:r w:rsidR="000F19F2">
        <w:t>achieve stronger</w:t>
      </w:r>
      <w:r w:rsidR="000C24D9">
        <w:t xml:space="preserve"> </w:t>
      </w:r>
      <w:r w:rsidR="00CB16B1">
        <w:t xml:space="preserve">psychosocial </w:t>
      </w:r>
      <w:r w:rsidR="0076391A">
        <w:t>well-being</w:t>
      </w:r>
      <w:r w:rsidR="000C24D9">
        <w:t xml:space="preserve">. The </w:t>
      </w:r>
      <w:r w:rsidR="00552963">
        <w:t xml:space="preserve">FGP and SCP’s </w:t>
      </w:r>
      <w:r w:rsidR="000C24D9">
        <w:t xml:space="preserve">dual purpose is to engage individuals </w:t>
      </w:r>
      <w:r w:rsidR="001455D2">
        <w:t xml:space="preserve">age </w:t>
      </w:r>
      <w:r w:rsidR="000C24D9">
        <w:t>55 and older</w:t>
      </w:r>
      <w:r w:rsidR="003500AA">
        <w:t>, especially those with limited income</w:t>
      </w:r>
      <w:r w:rsidR="00BF1FFB">
        <w:t>,</w:t>
      </w:r>
      <w:r w:rsidR="003500AA">
        <w:t xml:space="preserve"> in volunteer service to meet community needs, and to provide </w:t>
      </w:r>
      <w:r w:rsidR="00B67BA4">
        <w:t xml:space="preserve">a </w:t>
      </w:r>
      <w:r w:rsidR="003500AA">
        <w:t>high quality experience</w:t>
      </w:r>
      <w:r w:rsidR="00B126A2">
        <w:t xml:space="preserve"> for the volunteers</w:t>
      </w:r>
      <w:r w:rsidR="003500AA">
        <w:t xml:space="preserve">. </w:t>
      </w:r>
      <w:r w:rsidR="00552963" w:rsidRPr="00D962E0">
        <w:t>The FGP’s p</w:t>
      </w:r>
      <w:r w:rsidR="00552963" w:rsidRPr="00713F27">
        <w:t>rogram</w:t>
      </w:r>
      <w:r w:rsidR="00552963" w:rsidRPr="00D962E0">
        <w:t xml:space="preserve"> </w:t>
      </w:r>
      <w:r w:rsidR="00552963" w:rsidRPr="00713F27">
        <w:t>funds</w:t>
      </w:r>
      <w:r w:rsidR="00552963" w:rsidRPr="00D962E0">
        <w:t xml:space="preserve"> </w:t>
      </w:r>
      <w:r w:rsidR="00552963" w:rsidRPr="00713F27">
        <w:t>are</w:t>
      </w:r>
      <w:r w:rsidR="00552963" w:rsidRPr="00D962E0">
        <w:t xml:space="preserve"> </w:t>
      </w:r>
      <w:r w:rsidR="00552963" w:rsidRPr="00713F27">
        <w:t>used</w:t>
      </w:r>
      <w:r w:rsidR="00552963" w:rsidRPr="00D962E0">
        <w:t xml:space="preserve"> </w:t>
      </w:r>
      <w:r w:rsidR="00552963" w:rsidRPr="00713F27">
        <w:t>to</w:t>
      </w:r>
      <w:r w:rsidR="00552963" w:rsidRPr="00D962E0">
        <w:t xml:space="preserve"> </w:t>
      </w:r>
      <w:r w:rsidR="00552963" w:rsidRPr="00713F27">
        <w:t>support</w:t>
      </w:r>
      <w:r w:rsidR="00552963" w:rsidRPr="00D962E0">
        <w:t xml:space="preserve"> </w:t>
      </w:r>
      <w:r w:rsidR="00552963" w:rsidRPr="00713F27">
        <w:t>Foster</w:t>
      </w:r>
      <w:r w:rsidR="00552963" w:rsidRPr="00D962E0">
        <w:t xml:space="preserve"> </w:t>
      </w:r>
      <w:r w:rsidR="00552963" w:rsidRPr="00713F27">
        <w:t>Grandparents</w:t>
      </w:r>
      <w:r w:rsidR="00552963" w:rsidRPr="00D962E0">
        <w:t xml:space="preserve"> </w:t>
      </w:r>
      <w:r w:rsidR="00552963" w:rsidRPr="00713F27">
        <w:t>in</w:t>
      </w:r>
      <w:r w:rsidR="00552963" w:rsidRPr="00D962E0">
        <w:t xml:space="preserve"> </w:t>
      </w:r>
      <w:r w:rsidR="00552963" w:rsidRPr="00713F27">
        <w:t>providing</w:t>
      </w:r>
      <w:r w:rsidR="00552963" w:rsidRPr="00D962E0">
        <w:t xml:space="preserve"> </w:t>
      </w:r>
      <w:r w:rsidR="00552963" w:rsidRPr="00713F27">
        <w:t>supportive</w:t>
      </w:r>
      <w:r w:rsidR="00552963" w:rsidRPr="00D962E0">
        <w:t xml:space="preserve"> </w:t>
      </w:r>
      <w:r w:rsidR="00552963" w:rsidRPr="00713F27">
        <w:t>services</w:t>
      </w:r>
      <w:r w:rsidR="00552963" w:rsidRPr="00D962E0">
        <w:t xml:space="preserve"> </w:t>
      </w:r>
      <w:r w:rsidR="00552963" w:rsidRPr="00713F27">
        <w:t>to</w:t>
      </w:r>
      <w:r w:rsidR="00552963" w:rsidRPr="00D962E0">
        <w:t xml:space="preserve"> </w:t>
      </w:r>
      <w:r w:rsidR="00552963" w:rsidRPr="00713F27">
        <w:t>children</w:t>
      </w:r>
      <w:r w:rsidR="00552963" w:rsidRPr="00D962E0">
        <w:t xml:space="preserve"> </w:t>
      </w:r>
      <w:r w:rsidR="00552963" w:rsidRPr="00713F27">
        <w:t>with</w:t>
      </w:r>
      <w:r w:rsidR="00552963" w:rsidRPr="00D962E0">
        <w:t xml:space="preserve"> </w:t>
      </w:r>
      <w:r w:rsidR="00552963" w:rsidRPr="00713F27">
        <w:t>exceptional</w:t>
      </w:r>
      <w:r w:rsidR="00552963" w:rsidRPr="00D962E0">
        <w:t xml:space="preserve"> </w:t>
      </w:r>
      <w:r w:rsidR="00552963" w:rsidRPr="00713F27">
        <w:t>or</w:t>
      </w:r>
      <w:r w:rsidR="00552963" w:rsidRPr="00D962E0">
        <w:t xml:space="preserve"> </w:t>
      </w:r>
      <w:r w:rsidR="00552963" w:rsidRPr="00713F27">
        <w:t>special</w:t>
      </w:r>
      <w:r w:rsidR="00552963" w:rsidRPr="00D962E0">
        <w:t xml:space="preserve"> </w:t>
      </w:r>
      <w:r w:rsidR="00552963" w:rsidRPr="00713F27">
        <w:t>needs.</w:t>
      </w:r>
      <w:r w:rsidR="00552963">
        <w:t xml:space="preserve"> </w:t>
      </w:r>
      <w:r w:rsidR="003500AA">
        <w:t xml:space="preserve">The </w:t>
      </w:r>
      <w:r w:rsidR="00552963">
        <w:t xml:space="preserve">SCP </w:t>
      </w:r>
      <w:r w:rsidR="003500AA">
        <w:t>program</w:t>
      </w:r>
      <w:r>
        <w:t>’s</w:t>
      </w:r>
      <w:r w:rsidR="003500AA">
        <w:t xml:space="preserve"> funds are u</w:t>
      </w:r>
      <w:r w:rsidR="00B67BA4">
        <w:t xml:space="preserve">sed to support Senior </w:t>
      </w:r>
      <w:r w:rsidR="00B67BA4">
        <w:lastRenderedPageBreak/>
        <w:t>Companion</w:t>
      </w:r>
      <w:r w:rsidR="003500AA">
        <w:t xml:space="preserve"> </w:t>
      </w:r>
      <w:r>
        <w:t xml:space="preserve">volunteers </w:t>
      </w:r>
      <w:r w:rsidR="003500AA">
        <w:t xml:space="preserve">in providing supportive, individualized services to </w:t>
      </w:r>
      <w:r w:rsidR="000F19F2">
        <w:t>help</w:t>
      </w:r>
      <w:r w:rsidR="003500AA">
        <w:t xml:space="preserve"> adults with special needs maintain independence. The </w:t>
      </w:r>
      <w:r>
        <w:t>data collection</w:t>
      </w:r>
      <w:r w:rsidR="003500AA">
        <w:t xml:space="preserve"> will form the basis for improving and strengthening these services </w:t>
      </w:r>
      <w:r w:rsidR="00CB16B1">
        <w:t xml:space="preserve">for </w:t>
      </w:r>
      <w:r w:rsidR="002E4C3A">
        <w:t xml:space="preserve">volunteers </w:t>
      </w:r>
      <w:r w:rsidR="00CB16B1">
        <w:t xml:space="preserve">and </w:t>
      </w:r>
      <w:r w:rsidR="007E5F05">
        <w:t xml:space="preserve">caregivers </w:t>
      </w:r>
      <w:r w:rsidR="002E4C3A">
        <w:t xml:space="preserve">in </w:t>
      </w:r>
      <w:r w:rsidR="00CB16B1">
        <w:t xml:space="preserve">National Service programs. </w:t>
      </w:r>
    </w:p>
    <w:p w14:paraId="79E8EA06" w14:textId="77777777" w:rsidR="00991192" w:rsidRPr="00ED7B53" w:rsidRDefault="00991192" w:rsidP="00ED7B53">
      <w:pPr>
        <w:tabs>
          <w:tab w:val="left" w:pos="360"/>
        </w:tabs>
        <w:autoSpaceDE w:val="0"/>
        <w:autoSpaceDN w:val="0"/>
        <w:adjustRightInd w:val="0"/>
        <w:rPr>
          <w:b/>
        </w:rPr>
      </w:pPr>
      <w:r w:rsidRPr="00ED7B53">
        <w:rPr>
          <w:rFonts w:cs="Arial"/>
          <w:b/>
          <w:szCs w:val="20"/>
        </w:rPr>
        <w:t>7</w:t>
      </w:r>
      <w:r w:rsidRPr="00ED7B53">
        <w:rPr>
          <w:b/>
        </w:rPr>
        <w:t>.</w:t>
      </w:r>
      <w:r w:rsidRPr="00ED7B53">
        <w:rPr>
          <w:b/>
        </w:rPr>
        <w:tab/>
        <w:t xml:space="preserve">Explain any special circumstances that would cause an information collection to be conducted in a manner inconsistent with the general information guidelines in 5 CFR 1320.5. </w:t>
      </w:r>
    </w:p>
    <w:p w14:paraId="41E8099B" w14:textId="77777777" w:rsidR="002E5A3D" w:rsidRPr="002E5A3D" w:rsidRDefault="002E5A3D" w:rsidP="000D62F1">
      <w:pPr>
        <w:autoSpaceDE w:val="0"/>
        <w:autoSpaceDN w:val="0"/>
        <w:adjustRightInd w:val="0"/>
        <w:spacing w:before="200" w:after="200"/>
        <w:rPr>
          <w:rFonts w:eastAsiaTheme="minorHAnsi"/>
        </w:rPr>
      </w:pPr>
      <w:r w:rsidRPr="002E5A3D">
        <w:rPr>
          <w:rFonts w:eastAsiaTheme="minorHAnsi"/>
        </w:rPr>
        <w:t>There are no special circumstances that would require the collection of information in any other ways specified.</w:t>
      </w:r>
      <w:r w:rsidR="00CB16B1">
        <w:rPr>
          <w:rFonts w:eastAsiaTheme="minorHAnsi"/>
        </w:rPr>
        <w:t xml:space="preserve"> This data collection is consistent with 5 CFR 1320.5.</w:t>
      </w:r>
    </w:p>
    <w:p w14:paraId="1932FEDF" w14:textId="77777777" w:rsidR="00991192" w:rsidRPr="00ED7B53" w:rsidRDefault="00991192" w:rsidP="00ED7B53">
      <w:pPr>
        <w:tabs>
          <w:tab w:val="left" w:pos="360"/>
        </w:tabs>
        <w:autoSpaceDE w:val="0"/>
        <w:autoSpaceDN w:val="0"/>
        <w:adjustRightInd w:val="0"/>
        <w:rPr>
          <w:rFonts w:cs="Arial"/>
          <w:b/>
          <w:szCs w:val="20"/>
        </w:rPr>
      </w:pPr>
      <w:r w:rsidRPr="00ED7B53">
        <w:rPr>
          <w:rFonts w:cs="Arial"/>
          <w:b/>
          <w:szCs w:val="20"/>
        </w:rPr>
        <w:t>8.</w:t>
      </w:r>
      <w:r w:rsidRPr="00ED7B53">
        <w:rPr>
          <w:rFonts w:cs="Arial"/>
          <w:b/>
          <w:szCs w:val="20"/>
        </w:rPr>
        <w:tab/>
        <w:t xml:space="preserve">If applicable, provide a copy and identify the date and page number of publication in the Federal Register of the agency's notice, required by 5 CFR 1320.8(d), soliciting </w:t>
      </w:r>
      <w:r w:rsidRPr="00ED7B53">
        <w:rPr>
          <w:b/>
        </w:rPr>
        <w:t>comments</w:t>
      </w:r>
      <w:r w:rsidRPr="00ED7B53">
        <w:rPr>
          <w:rFonts w:cs="Arial"/>
          <w:b/>
          <w:szCs w:val="20"/>
        </w:rPr>
        <w:t xml:space="preserve"> on the information collection prior to submission to OMB. Summarize public comments received in response to that notice and describe actions taken by the agency in response to these comments. Specifically address comments received on cost and hour burden. </w:t>
      </w:r>
    </w:p>
    <w:p w14:paraId="4805B17D" w14:textId="45D949F0" w:rsidR="005E2BDA" w:rsidRPr="002E4C3A" w:rsidRDefault="00F80EB2" w:rsidP="000D62F1">
      <w:pPr>
        <w:spacing w:before="200" w:after="200"/>
        <w:rPr>
          <w:rFonts w:eastAsiaTheme="minorHAnsi"/>
        </w:rPr>
      </w:pPr>
      <w:r w:rsidRPr="0095288F">
        <w:rPr>
          <w:rFonts w:eastAsiaTheme="minorHAnsi"/>
        </w:rPr>
        <w:t xml:space="preserve">An agency’s notice in the Federal Register was </w:t>
      </w:r>
      <w:r w:rsidR="00F50B6C" w:rsidRPr="0095288F">
        <w:rPr>
          <w:rFonts w:eastAsiaTheme="minorHAnsi"/>
        </w:rPr>
        <w:t>completed</w:t>
      </w:r>
      <w:r w:rsidR="00065491" w:rsidRPr="0095288F">
        <w:rPr>
          <w:rFonts w:eastAsiaTheme="minorHAnsi"/>
        </w:rPr>
        <w:t>.</w:t>
      </w:r>
      <w:r w:rsidR="00F50B6C" w:rsidRPr="0095288F">
        <w:rPr>
          <w:rFonts w:eastAsiaTheme="minorHAnsi"/>
        </w:rPr>
        <w:t xml:space="preserve"> </w:t>
      </w:r>
      <w:r w:rsidR="00A72AE2" w:rsidRPr="0095288F">
        <w:rPr>
          <w:rFonts w:eastAsiaTheme="minorHAnsi"/>
        </w:rPr>
        <w:t xml:space="preserve">The 60-day Federal Notice was published </w:t>
      </w:r>
      <w:r w:rsidR="007D1DE2" w:rsidRPr="0095288F">
        <w:rPr>
          <w:rFonts w:eastAsiaTheme="minorHAnsi"/>
        </w:rPr>
        <w:t xml:space="preserve">on </w:t>
      </w:r>
      <w:r w:rsidR="0095288F" w:rsidRPr="000D62F1">
        <w:rPr>
          <w:rFonts w:eastAsiaTheme="minorHAnsi"/>
        </w:rPr>
        <w:t>October 1, 2014</w:t>
      </w:r>
      <w:r w:rsidR="007D1DE2" w:rsidRPr="0095288F">
        <w:rPr>
          <w:rFonts w:eastAsiaTheme="minorHAnsi"/>
        </w:rPr>
        <w:t xml:space="preserve"> in the Federal Register, volume </w:t>
      </w:r>
      <w:r w:rsidR="0095288F" w:rsidRPr="000D62F1">
        <w:rPr>
          <w:rFonts w:eastAsiaTheme="minorHAnsi"/>
        </w:rPr>
        <w:t>79</w:t>
      </w:r>
      <w:r w:rsidR="007D1DE2" w:rsidRPr="0095288F">
        <w:rPr>
          <w:rFonts w:eastAsiaTheme="minorHAnsi"/>
        </w:rPr>
        <w:t xml:space="preserve">, number </w:t>
      </w:r>
      <w:r w:rsidR="0095288F" w:rsidRPr="000D62F1">
        <w:rPr>
          <w:rFonts w:eastAsiaTheme="minorHAnsi"/>
        </w:rPr>
        <w:t>190</w:t>
      </w:r>
      <w:r w:rsidR="007D1DE2" w:rsidRPr="0095288F">
        <w:rPr>
          <w:rFonts w:eastAsiaTheme="minorHAnsi"/>
        </w:rPr>
        <w:t xml:space="preserve">, </w:t>
      </w:r>
      <w:proofErr w:type="gramStart"/>
      <w:r w:rsidR="007D1DE2" w:rsidRPr="0095288F">
        <w:rPr>
          <w:rFonts w:eastAsiaTheme="minorHAnsi"/>
        </w:rPr>
        <w:t>pages</w:t>
      </w:r>
      <w:proofErr w:type="gramEnd"/>
      <w:r w:rsidR="007D1DE2" w:rsidRPr="0095288F">
        <w:rPr>
          <w:rFonts w:eastAsiaTheme="minorHAnsi"/>
        </w:rPr>
        <w:t xml:space="preserve"> </w:t>
      </w:r>
      <w:r w:rsidR="0095288F" w:rsidRPr="000D62F1">
        <w:rPr>
          <w:rFonts w:eastAsiaTheme="minorHAnsi"/>
        </w:rPr>
        <w:t>59254-59255</w:t>
      </w:r>
      <w:r w:rsidR="007D1DE2" w:rsidRPr="0095288F">
        <w:rPr>
          <w:rFonts w:eastAsiaTheme="minorHAnsi"/>
        </w:rPr>
        <w:t>.</w:t>
      </w:r>
    </w:p>
    <w:p w14:paraId="777324A8" w14:textId="77777777" w:rsidR="00991192" w:rsidRPr="00806AAF" w:rsidRDefault="00991192" w:rsidP="00991192">
      <w:pPr>
        <w:pStyle w:val="ListParagraph"/>
        <w:numPr>
          <w:ilvl w:val="0"/>
          <w:numId w:val="3"/>
        </w:numPr>
        <w:tabs>
          <w:tab w:val="left" w:pos="360"/>
        </w:tabs>
        <w:autoSpaceDE w:val="0"/>
        <w:autoSpaceDN w:val="0"/>
        <w:adjustRightInd w:val="0"/>
      </w:pPr>
      <w:r w:rsidRPr="00991192">
        <w:rPr>
          <w:b/>
          <w:bCs/>
        </w:rPr>
        <w:t xml:space="preserve">Describe efforts to consult with persons outside the agency to obtain their views on </w:t>
      </w:r>
      <w:r w:rsidRPr="00991192">
        <w:rPr>
          <w:b/>
          <w:szCs w:val="20"/>
        </w:rPr>
        <w:t>the</w:t>
      </w:r>
      <w:r w:rsidRPr="00991192">
        <w:rPr>
          <w:b/>
          <w:bCs/>
        </w:rPr>
        <w:t xml:space="preserve"> availability of data, frequency of collection, the clarity of instructions and record-keeping, disclosure, or reporting format (if any), and on the data elements to be recorded, disclosed, or reported.</w:t>
      </w:r>
    </w:p>
    <w:p w14:paraId="7A728129" w14:textId="5CA833DC" w:rsidR="009E7746" w:rsidRDefault="009E7746" w:rsidP="000D62F1">
      <w:pPr>
        <w:spacing w:before="200" w:after="200"/>
      </w:pPr>
      <w:r>
        <w:t>CNCS convened a Technical Working Group (</w:t>
      </w:r>
      <w:r w:rsidRPr="00E46DE1">
        <w:t>TWG</w:t>
      </w:r>
      <w:r>
        <w:t xml:space="preserve">) consisting of </w:t>
      </w:r>
      <w:r w:rsidR="002E4C3A">
        <w:t xml:space="preserve">seven </w:t>
      </w:r>
      <w:r>
        <w:t xml:space="preserve">researchers </w:t>
      </w:r>
      <w:r w:rsidRPr="00E46DE1">
        <w:t xml:space="preserve">with expertise in longitudinal surveys and evaluation designs, recruitment and retention strategies, </w:t>
      </w:r>
      <w:r w:rsidR="008A5D12">
        <w:t>survey</w:t>
      </w:r>
      <w:r w:rsidRPr="00E46DE1">
        <w:t xml:space="preserve"> design, psychometrics, and </w:t>
      </w:r>
      <w:r>
        <w:t>gerontology</w:t>
      </w:r>
      <w:r w:rsidRPr="00E46DE1">
        <w:t xml:space="preserve">. </w:t>
      </w:r>
      <w:r>
        <w:t xml:space="preserve">Two WebEx meetings were held on January 13 and 15, 2015. </w:t>
      </w:r>
      <w:r w:rsidRPr="00E46DE1">
        <w:t xml:space="preserve">CNCS </w:t>
      </w:r>
      <w:r>
        <w:t xml:space="preserve">sought recommendations </w:t>
      </w:r>
      <w:r w:rsidRPr="00E46DE1">
        <w:t xml:space="preserve">on effective recruitment and retention strategies, feedback and suggestions on the </w:t>
      </w:r>
      <w:r w:rsidR="008A5D12">
        <w:t>surveys</w:t>
      </w:r>
      <w:r>
        <w:t xml:space="preserve"> previously submitted with the</w:t>
      </w:r>
      <w:r w:rsidR="00731258">
        <w:t xml:space="preserve"> </w:t>
      </w:r>
      <w:r>
        <w:t>60-day Federal Notice</w:t>
      </w:r>
      <w:r w:rsidRPr="00E46DE1">
        <w:t xml:space="preserve">, and </w:t>
      </w:r>
      <w:r w:rsidR="00731258">
        <w:t xml:space="preserve">recommendations on </w:t>
      </w:r>
      <w:r w:rsidR="0076391A">
        <w:t xml:space="preserve">survey modality </w:t>
      </w:r>
      <w:r w:rsidR="00731258">
        <w:t xml:space="preserve">that would fill </w:t>
      </w:r>
      <w:r>
        <w:t xml:space="preserve">the knowledge gap on the health benefits of volunteering. Based on </w:t>
      </w:r>
      <w:r w:rsidRPr="00E46DE1">
        <w:t xml:space="preserve">the TWG’s </w:t>
      </w:r>
      <w:r>
        <w:t xml:space="preserve">discussion and </w:t>
      </w:r>
      <w:r w:rsidRPr="00E46DE1">
        <w:t xml:space="preserve">recommendations, </w:t>
      </w:r>
      <w:r>
        <w:t xml:space="preserve">CNCS revised several </w:t>
      </w:r>
      <w:r w:rsidRPr="00E46DE1">
        <w:t xml:space="preserve">questions, </w:t>
      </w:r>
      <w:r>
        <w:t xml:space="preserve">and added questions to </w:t>
      </w:r>
      <w:r w:rsidR="0076391A">
        <w:t xml:space="preserve">be able to </w:t>
      </w:r>
      <w:r>
        <w:t xml:space="preserve">measure loneliness, an area with </w:t>
      </w:r>
      <w:r w:rsidR="00E0541D">
        <w:t xml:space="preserve">a </w:t>
      </w:r>
      <w:r>
        <w:t xml:space="preserve">significant knowledge gap in the literature. </w:t>
      </w:r>
      <w:r w:rsidRPr="00E46DE1">
        <w:t xml:space="preserve">Additional sociocultural questions were included to permit </w:t>
      </w:r>
      <w:r w:rsidR="00731258">
        <w:t>CNCS</w:t>
      </w:r>
      <w:r w:rsidR="00731258" w:rsidRPr="00E46DE1">
        <w:t xml:space="preserve"> </w:t>
      </w:r>
      <w:r w:rsidRPr="00E46DE1">
        <w:t xml:space="preserve">to reliably and efficiently estimate the effect of volunteerism on the psychosocial outcomes. </w:t>
      </w:r>
    </w:p>
    <w:p w14:paraId="39460ED8" w14:textId="4537BD18" w:rsidR="00010EFF" w:rsidRDefault="00010EFF" w:rsidP="000D62F1">
      <w:pPr>
        <w:spacing w:before="200" w:after="200"/>
      </w:pPr>
      <w:r>
        <w:t xml:space="preserve">CNCS also held </w:t>
      </w:r>
      <w:r w:rsidR="0076391A">
        <w:t xml:space="preserve">a </w:t>
      </w:r>
      <w:r>
        <w:t xml:space="preserve">meeting with staff at the National Institute of Aging to discuss the research gap on the effects of volunteering on psychosocial well-being including measures of </w:t>
      </w:r>
      <w:r w:rsidR="00FA68F9">
        <w:t xml:space="preserve">satisfaction and </w:t>
      </w:r>
      <w:r>
        <w:t>loneliness and self-efficacy.</w:t>
      </w:r>
    </w:p>
    <w:p w14:paraId="33C714EB" w14:textId="77777777" w:rsidR="00991192" w:rsidRPr="00ED7B53" w:rsidRDefault="00991192" w:rsidP="00ED7B53">
      <w:pPr>
        <w:tabs>
          <w:tab w:val="left" w:pos="360"/>
        </w:tabs>
        <w:autoSpaceDE w:val="0"/>
        <w:autoSpaceDN w:val="0"/>
        <w:adjustRightInd w:val="0"/>
        <w:rPr>
          <w:rFonts w:cs="Arial"/>
          <w:b/>
          <w:szCs w:val="20"/>
        </w:rPr>
      </w:pPr>
      <w:r w:rsidRPr="00ED7B53">
        <w:rPr>
          <w:rFonts w:cs="Arial"/>
          <w:b/>
          <w:szCs w:val="20"/>
        </w:rPr>
        <w:t>9.</w:t>
      </w:r>
      <w:r w:rsidRPr="00ED7B53">
        <w:rPr>
          <w:rFonts w:cs="Arial"/>
          <w:b/>
          <w:szCs w:val="20"/>
        </w:rPr>
        <w:tab/>
      </w:r>
      <w:r w:rsidRPr="00ED7B53">
        <w:rPr>
          <w:b/>
        </w:rPr>
        <w:t>Explain any decision to provide any payment or gift to respondents, other than remuneration of contractors or grantees.</w:t>
      </w:r>
      <w:r>
        <w:t xml:space="preserve"> </w:t>
      </w:r>
    </w:p>
    <w:p w14:paraId="288BC82A" w14:textId="77777777" w:rsidR="00F80EB2" w:rsidRDefault="00991192" w:rsidP="000D62F1">
      <w:pPr>
        <w:spacing w:before="200" w:after="200"/>
        <w:rPr>
          <w:rFonts w:cs="Calibri"/>
          <w:color w:val="000000"/>
          <w:szCs w:val="22"/>
        </w:rPr>
      </w:pPr>
      <w:r>
        <w:t>Respondents will receive $20 for completing the baseline survey</w:t>
      </w:r>
      <w:r w:rsidR="00731258">
        <w:t xml:space="preserve"> and </w:t>
      </w:r>
      <w:r>
        <w:t xml:space="preserve">each follow-up survey. Respondents can choose to receive the payment as a check or a gift card. The payment will be mailed directly to the respondents upon returning the completed survey. </w:t>
      </w:r>
      <w:r w:rsidR="002D0B6A">
        <w:t xml:space="preserve">Research indicates that </w:t>
      </w:r>
      <w:r w:rsidR="00576D3D" w:rsidRPr="00E46DE1">
        <w:lastRenderedPageBreak/>
        <w:t xml:space="preserve">incentives </w:t>
      </w:r>
      <w:r w:rsidR="002D0B6A">
        <w:t>increase</w:t>
      </w:r>
      <w:r w:rsidR="00576D3D" w:rsidRPr="00E46DE1">
        <w:t xml:space="preserve"> </w:t>
      </w:r>
      <w:r w:rsidR="002D0B6A">
        <w:t xml:space="preserve">response rates and retention; </w:t>
      </w:r>
      <w:r w:rsidR="005663D7">
        <w:t xml:space="preserve">incentives can </w:t>
      </w:r>
      <w:r w:rsidR="00576D3D" w:rsidRPr="00E46DE1">
        <w:t xml:space="preserve">assist in locating respondents for </w:t>
      </w:r>
      <w:r w:rsidR="002D0B6A">
        <w:t xml:space="preserve">follow-ups </w:t>
      </w:r>
      <w:r w:rsidR="00576D3D" w:rsidRPr="00E46DE1">
        <w:rPr>
          <w:color w:val="000000"/>
        </w:rPr>
        <w:t xml:space="preserve">(Singer </w:t>
      </w:r>
      <w:r w:rsidR="002D0B6A">
        <w:rPr>
          <w:color w:val="000000"/>
        </w:rPr>
        <w:t>&amp;</w:t>
      </w:r>
      <w:r w:rsidR="00576D3D" w:rsidRPr="00E46DE1">
        <w:rPr>
          <w:color w:val="000000"/>
        </w:rPr>
        <w:t xml:space="preserve"> Ye</w:t>
      </w:r>
      <w:r w:rsidR="002D0B6A">
        <w:rPr>
          <w:color w:val="000000"/>
        </w:rPr>
        <w:t>,</w:t>
      </w:r>
      <w:r w:rsidR="00576D3D" w:rsidRPr="00E46DE1">
        <w:rPr>
          <w:color w:val="000000"/>
        </w:rPr>
        <w:t xml:space="preserve"> 2013)</w:t>
      </w:r>
      <w:r w:rsidR="005663D7">
        <w:rPr>
          <w:color w:val="000000"/>
        </w:rPr>
        <w:t xml:space="preserve"> which </w:t>
      </w:r>
      <w:r w:rsidR="00EA2141">
        <w:rPr>
          <w:color w:val="000000"/>
        </w:rPr>
        <w:t xml:space="preserve">has been shown to </w:t>
      </w:r>
      <w:r w:rsidR="005663D7">
        <w:rPr>
          <w:color w:val="000000"/>
        </w:rPr>
        <w:t xml:space="preserve">offset the costs of follow-up and recruitment of non-respondents </w:t>
      </w:r>
      <w:r w:rsidR="00576D3D" w:rsidRPr="00E46DE1">
        <w:t>(</w:t>
      </w:r>
      <w:proofErr w:type="spellStart"/>
      <w:r w:rsidR="00576D3D" w:rsidRPr="00E46DE1">
        <w:t>Jäckle</w:t>
      </w:r>
      <w:proofErr w:type="spellEnd"/>
      <w:r w:rsidR="00576D3D" w:rsidRPr="00E46DE1">
        <w:t xml:space="preserve"> </w:t>
      </w:r>
      <w:r w:rsidR="005663D7">
        <w:t>&amp;</w:t>
      </w:r>
      <w:r w:rsidR="00576D3D" w:rsidRPr="00E46DE1">
        <w:t xml:space="preserve"> Lynn 2008; Zhang</w:t>
      </w:r>
      <w:r w:rsidR="005663D7">
        <w:t>,</w:t>
      </w:r>
      <w:r w:rsidR="00576D3D" w:rsidRPr="00E46DE1">
        <w:t xml:space="preserve"> 2010).</w:t>
      </w:r>
      <w:r w:rsidR="008D4696">
        <w:rPr>
          <w:rFonts w:cs="Calibri"/>
          <w:color w:val="000000"/>
          <w:szCs w:val="22"/>
        </w:rPr>
        <w:t xml:space="preserve">  </w:t>
      </w:r>
    </w:p>
    <w:p w14:paraId="07CB96B1" w14:textId="77777777" w:rsidR="00965A81" w:rsidRPr="00ED7B53" w:rsidRDefault="00965A81" w:rsidP="00ED7B53">
      <w:pPr>
        <w:tabs>
          <w:tab w:val="left" w:pos="360"/>
        </w:tabs>
        <w:autoSpaceDE w:val="0"/>
        <w:autoSpaceDN w:val="0"/>
        <w:adjustRightInd w:val="0"/>
        <w:rPr>
          <w:rFonts w:cs="Arial"/>
          <w:b/>
          <w:szCs w:val="20"/>
        </w:rPr>
      </w:pPr>
      <w:r w:rsidRPr="00ED7B53">
        <w:rPr>
          <w:rFonts w:cs="Arial"/>
          <w:b/>
          <w:szCs w:val="20"/>
        </w:rPr>
        <w:t>10.</w:t>
      </w:r>
      <w:r w:rsidRPr="00ED7B53">
        <w:rPr>
          <w:rFonts w:cs="Arial"/>
          <w:b/>
          <w:szCs w:val="20"/>
        </w:rPr>
        <w:tab/>
      </w:r>
      <w:r w:rsidRPr="00ED7B53">
        <w:rPr>
          <w:b/>
        </w:rPr>
        <w:t>Describe any assurance of confidentiality provided to respondents and the basis for the assurance in statute, regulation, or agency policy.</w:t>
      </w:r>
    </w:p>
    <w:p w14:paraId="1FEA70D0" w14:textId="62F812C2" w:rsidR="005E2BDA" w:rsidRDefault="00B658B1" w:rsidP="000D62F1">
      <w:pPr>
        <w:spacing w:before="200" w:after="200"/>
        <w:rPr>
          <w:bCs/>
        </w:rPr>
      </w:pPr>
      <w:r>
        <w:t>The contractor, JBS International,</w:t>
      </w:r>
      <w:r w:rsidR="00EA2141">
        <w:t xml:space="preserve"> will provide training and technical assistance (T/TA) to participating grantees</w:t>
      </w:r>
      <w:r w:rsidR="0009599A">
        <w:t>/projects</w:t>
      </w:r>
      <w:r w:rsidR="00EA2141">
        <w:t xml:space="preserve"> on the enrollment protocol; and </w:t>
      </w:r>
      <w:r w:rsidR="0009599A">
        <w:t xml:space="preserve">JBS will provide T/TA to </w:t>
      </w:r>
      <w:r w:rsidR="00EA2141">
        <w:t xml:space="preserve">project staff on how to obtain informed consent. FGP and SCP </w:t>
      </w:r>
      <w:r w:rsidR="00C10A8F">
        <w:t xml:space="preserve">project staff </w:t>
      </w:r>
      <w:r w:rsidR="00A22AC2" w:rsidRPr="004A7A20">
        <w:t xml:space="preserve">will </w:t>
      </w:r>
      <w:r w:rsidR="00B4035E" w:rsidRPr="004A7A20">
        <w:t xml:space="preserve">explain the study </w:t>
      </w:r>
      <w:r w:rsidR="00EA2141">
        <w:t xml:space="preserve">to new caregivers and new volunteers when they sign </w:t>
      </w:r>
      <w:r w:rsidR="00E0541D">
        <w:t xml:space="preserve">up </w:t>
      </w:r>
      <w:r w:rsidR="00EA2141">
        <w:t xml:space="preserve">for services, </w:t>
      </w:r>
      <w:r w:rsidR="00A22AC2" w:rsidRPr="004A7A20">
        <w:t xml:space="preserve">provide information on </w:t>
      </w:r>
      <w:r w:rsidR="00B4035E" w:rsidRPr="004A7A20">
        <w:t xml:space="preserve">who is conducting the study and why the study is being conducted. </w:t>
      </w:r>
      <w:r w:rsidR="00C10A8F">
        <w:t>Project staff</w:t>
      </w:r>
      <w:r w:rsidR="00C10A8F" w:rsidRPr="004A7A20">
        <w:t xml:space="preserve"> </w:t>
      </w:r>
      <w:r w:rsidR="00B4035E" w:rsidRPr="004A7A20">
        <w:t xml:space="preserve">will describe the background, research activities, risks and benefits, and </w:t>
      </w:r>
      <w:r w:rsidR="00485CAE" w:rsidRPr="004A7A20">
        <w:t>provide assurance of</w:t>
      </w:r>
      <w:r w:rsidR="00B4035E" w:rsidRPr="004A7A20">
        <w:t xml:space="preserve"> confidentiality. Respondents will also receive information on whom to contact if they have questions. Respondents will be informed of the voluntary nature of the research and their right to end participation at any time</w:t>
      </w:r>
      <w:r w:rsidR="00C10A8F">
        <w:t xml:space="preserve"> at each round of data collection</w:t>
      </w:r>
      <w:r w:rsidR="00B4035E" w:rsidRPr="004A7A20">
        <w:t xml:space="preserve">. </w:t>
      </w:r>
      <w:r w:rsidR="005E20A7">
        <w:t>Respondents will be informed that their</w:t>
      </w:r>
      <w:r w:rsidR="003F4BFA" w:rsidRPr="004A7A20">
        <w:rPr>
          <w:bCs/>
        </w:rPr>
        <w:t xml:space="preserve"> responses will be </w:t>
      </w:r>
      <w:r w:rsidR="00B4035E" w:rsidRPr="004A7A20">
        <w:rPr>
          <w:bCs/>
        </w:rPr>
        <w:t>anonymous.</w:t>
      </w:r>
      <w:r w:rsidR="005E20A7">
        <w:rPr>
          <w:bCs/>
        </w:rPr>
        <w:t xml:space="preserve"> </w:t>
      </w:r>
      <w:r w:rsidR="000461EB">
        <w:rPr>
          <w:bCs/>
        </w:rPr>
        <w:t>Upon enrolling in the study, project staff will inform participants of the safeguards to protect their privacy.</w:t>
      </w:r>
      <w:r w:rsidR="00C10A8F">
        <w:rPr>
          <w:bCs/>
        </w:rPr>
        <w:t xml:space="preserve"> </w:t>
      </w:r>
    </w:p>
    <w:p w14:paraId="35860E82" w14:textId="536C24A7" w:rsidR="00392FBA" w:rsidRPr="00392FBA" w:rsidRDefault="00392FBA" w:rsidP="000D62F1">
      <w:pPr>
        <w:spacing w:after="200"/>
      </w:pPr>
      <w:r w:rsidRPr="00ED7B53">
        <w:rPr>
          <w:bCs/>
        </w:rPr>
        <w:t xml:space="preserve">The </w:t>
      </w:r>
      <w:r w:rsidR="000461EB">
        <w:rPr>
          <w:bCs/>
        </w:rPr>
        <w:t xml:space="preserve">data collection </w:t>
      </w:r>
      <w:r w:rsidRPr="00ED7B53">
        <w:rPr>
          <w:bCs/>
        </w:rPr>
        <w:t>contain</w:t>
      </w:r>
      <w:r w:rsidR="000461EB">
        <w:rPr>
          <w:bCs/>
        </w:rPr>
        <w:t>s</w:t>
      </w:r>
      <w:r w:rsidRPr="00ED7B53">
        <w:rPr>
          <w:bCs/>
        </w:rPr>
        <w:t xml:space="preserve"> limited, but important, PII. </w:t>
      </w:r>
      <w:r w:rsidRPr="00392FBA">
        <w:rPr>
          <w:bCs/>
        </w:rPr>
        <w:t>Per contractual agreement</w:t>
      </w:r>
      <w:r w:rsidR="00465895">
        <w:rPr>
          <w:bCs/>
        </w:rPr>
        <w:t xml:space="preserve"> with JBS</w:t>
      </w:r>
      <w:r w:rsidRPr="00392FBA">
        <w:rPr>
          <w:bCs/>
        </w:rPr>
        <w:t xml:space="preserve">, </w:t>
      </w:r>
      <w:r w:rsidR="000461EB">
        <w:rPr>
          <w:bCs/>
        </w:rPr>
        <w:t xml:space="preserve">CNCS has in place several safeguards to protect participants’ privacy. </w:t>
      </w:r>
      <w:r w:rsidRPr="00392FBA">
        <w:rPr>
          <w:bCs/>
        </w:rPr>
        <w:t xml:space="preserve">JBS </w:t>
      </w:r>
      <w:r w:rsidR="007D2CB1">
        <w:rPr>
          <w:bCs/>
        </w:rPr>
        <w:t xml:space="preserve">will </w:t>
      </w:r>
      <w:r w:rsidRPr="00392FBA">
        <w:rPr>
          <w:bCs/>
        </w:rPr>
        <w:t>comply</w:t>
      </w:r>
      <w:r w:rsidRPr="00ED7B53">
        <w:rPr>
          <w:bCs/>
        </w:rPr>
        <w:t xml:space="preserve"> </w:t>
      </w:r>
      <w:r w:rsidRPr="00392FBA">
        <w:rPr>
          <w:bCs/>
        </w:rPr>
        <w:t>with</w:t>
      </w:r>
      <w:r w:rsidRPr="00ED7B53">
        <w:rPr>
          <w:bCs/>
        </w:rPr>
        <w:t xml:space="preserve"> </w:t>
      </w:r>
      <w:r w:rsidRPr="00392FBA">
        <w:rPr>
          <w:bCs/>
        </w:rPr>
        <w:t>CNCS</w:t>
      </w:r>
      <w:r w:rsidRPr="00392FBA">
        <w:rPr>
          <w:spacing w:val="25"/>
        </w:rPr>
        <w:t xml:space="preserve"> </w:t>
      </w:r>
      <w:r w:rsidRPr="00392FBA">
        <w:t>privacy</w:t>
      </w:r>
      <w:r w:rsidRPr="00392FBA">
        <w:rPr>
          <w:spacing w:val="26"/>
        </w:rPr>
        <w:t xml:space="preserve"> </w:t>
      </w:r>
      <w:r w:rsidRPr="00392FBA">
        <w:t>policies</w:t>
      </w:r>
      <w:r w:rsidRPr="00392FBA">
        <w:rPr>
          <w:spacing w:val="30"/>
        </w:rPr>
        <w:t xml:space="preserve"> </w:t>
      </w:r>
      <w:r w:rsidRPr="00392FBA">
        <w:t>and</w:t>
      </w:r>
      <w:r w:rsidRPr="00392FBA">
        <w:rPr>
          <w:spacing w:val="27"/>
        </w:rPr>
        <w:t xml:space="preserve"> </w:t>
      </w:r>
      <w:r w:rsidRPr="00392FBA">
        <w:t>procedures,</w:t>
      </w:r>
      <w:r w:rsidRPr="00392FBA">
        <w:rPr>
          <w:w w:val="102"/>
        </w:rPr>
        <w:t xml:space="preserve"> </w:t>
      </w:r>
      <w:r w:rsidRPr="00392FBA">
        <w:t>adhere</w:t>
      </w:r>
      <w:r w:rsidRPr="00392FBA">
        <w:rPr>
          <w:spacing w:val="15"/>
        </w:rPr>
        <w:t xml:space="preserve"> </w:t>
      </w:r>
      <w:r w:rsidRPr="00392FBA">
        <w:t>to</w:t>
      </w:r>
      <w:r w:rsidRPr="00392FBA">
        <w:rPr>
          <w:spacing w:val="30"/>
        </w:rPr>
        <w:t xml:space="preserve"> </w:t>
      </w:r>
      <w:r w:rsidRPr="00392FBA">
        <w:t>CNCS</w:t>
      </w:r>
      <w:r w:rsidRPr="00392FBA">
        <w:rPr>
          <w:spacing w:val="25"/>
        </w:rPr>
        <w:t xml:space="preserve"> </w:t>
      </w:r>
      <w:r w:rsidRPr="00392FBA">
        <w:t>standards</w:t>
      </w:r>
      <w:r w:rsidRPr="00392FBA">
        <w:rPr>
          <w:spacing w:val="22"/>
        </w:rPr>
        <w:t xml:space="preserve"> </w:t>
      </w:r>
      <w:r w:rsidRPr="00392FBA">
        <w:t>for</w:t>
      </w:r>
      <w:r w:rsidRPr="00392FBA">
        <w:rPr>
          <w:spacing w:val="25"/>
        </w:rPr>
        <w:t xml:space="preserve"> </w:t>
      </w:r>
      <w:r w:rsidRPr="00392FBA">
        <w:t>the</w:t>
      </w:r>
      <w:r w:rsidRPr="00392FBA">
        <w:rPr>
          <w:spacing w:val="33"/>
        </w:rPr>
        <w:t xml:space="preserve"> </w:t>
      </w:r>
      <w:r w:rsidRPr="00392FBA">
        <w:t>protection</w:t>
      </w:r>
      <w:r w:rsidRPr="00392FBA">
        <w:rPr>
          <w:spacing w:val="26"/>
        </w:rPr>
        <w:t xml:space="preserve"> </w:t>
      </w:r>
      <w:r w:rsidRPr="00392FBA">
        <w:t>of</w:t>
      </w:r>
      <w:r w:rsidRPr="00392FBA">
        <w:rPr>
          <w:spacing w:val="21"/>
        </w:rPr>
        <w:t xml:space="preserve"> </w:t>
      </w:r>
      <w:r w:rsidRPr="00392FBA">
        <w:t>personally</w:t>
      </w:r>
      <w:r w:rsidRPr="00392FBA">
        <w:rPr>
          <w:spacing w:val="48"/>
        </w:rPr>
        <w:t xml:space="preserve"> </w:t>
      </w:r>
      <w:r w:rsidRPr="00392FBA">
        <w:rPr>
          <w:spacing w:val="-2"/>
        </w:rPr>
        <w:t>identifiable</w:t>
      </w:r>
      <w:r w:rsidRPr="00392FBA">
        <w:rPr>
          <w:spacing w:val="30"/>
          <w:w w:val="109"/>
        </w:rPr>
        <w:t xml:space="preserve"> </w:t>
      </w:r>
      <w:r w:rsidRPr="00392FBA">
        <w:t>information,</w:t>
      </w:r>
      <w:r w:rsidRPr="00392FBA">
        <w:rPr>
          <w:spacing w:val="30"/>
        </w:rPr>
        <w:t xml:space="preserve"> </w:t>
      </w:r>
      <w:r w:rsidRPr="00392FBA">
        <w:t>and</w:t>
      </w:r>
      <w:r w:rsidRPr="00392FBA">
        <w:rPr>
          <w:spacing w:val="33"/>
        </w:rPr>
        <w:t xml:space="preserve"> </w:t>
      </w:r>
      <w:r w:rsidRPr="00ED7B53">
        <w:t xml:space="preserve">staff working on the project will </w:t>
      </w:r>
      <w:r w:rsidRPr="00392FBA">
        <w:t>undergo</w:t>
      </w:r>
      <w:r w:rsidRPr="00ED7B53">
        <w:t xml:space="preserve"> </w:t>
      </w:r>
      <w:r w:rsidRPr="00392FBA">
        <w:t>CNCS</w:t>
      </w:r>
      <w:r w:rsidRPr="00ED7B53">
        <w:t xml:space="preserve"> </w:t>
      </w:r>
      <w:r w:rsidRPr="00392FBA">
        <w:t>privacy</w:t>
      </w:r>
      <w:r w:rsidRPr="00ED7B53">
        <w:t xml:space="preserve"> </w:t>
      </w:r>
      <w:r w:rsidRPr="00392FBA">
        <w:t>and</w:t>
      </w:r>
      <w:r w:rsidRPr="00ED7B53">
        <w:t xml:space="preserve"> </w:t>
      </w:r>
      <w:r w:rsidRPr="00392FBA">
        <w:t>network</w:t>
      </w:r>
      <w:r w:rsidRPr="00ED7B53">
        <w:t xml:space="preserve"> </w:t>
      </w:r>
      <w:r w:rsidRPr="00392FBA">
        <w:t>training</w:t>
      </w:r>
      <w:r>
        <w:t>.</w:t>
      </w:r>
      <w:r w:rsidRPr="00392FBA">
        <w:t xml:space="preserve"> </w:t>
      </w:r>
      <w:r>
        <w:t>JBS will</w:t>
      </w:r>
      <w:r w:rsidRPr="00ED7B53">
        <w:t xml:space="preserve"> </w:t>
      </w:r>
      <w:r w:rsidRPr="00392FBA">
        <w:t>mainta</w:t>
      </w:r>
      <w:r w:rsidRPr="00ED7B53">
        <w:t>i</w:t>
      </w:r>
      <w:r w:rsidRPr="00392FBA">
        <w:t>n</w:t>
      </w:r>
      <w:r w:rsidRPr="00ED7B53">
        <w:t xml:space="preserve"> </w:t>
      </w:r>
      <w:r w:rsidRPr="00392FBA">
        <w:t>information</w:t>
      </w:r>
      <w:r w:rsidRPr="00392FBA">
        <w:rPr>
          <w:spacing w:val="18"/>
        </w:rPr>
        <w:t xml:space="preserve"> </w:t>
      </w:r>
      <w:r w:rsidRPr="00392FBA">
        <w:t>that</w:t>
      </w:r>
      <w:r w:rsidRPr="00392FBA">
        <w:rPr>
          <w:spacing w:val="44"/>
        </w:rPr>
        <w:t xml:space="preserve"> </w:t>
      </w:r>
      <w:r w:rsidRPr="00392FBA">
        <w:t>identifies</w:t>
      </w:r>
      <w:r w:rsidRPr="00392FBA">
        <w:rPr>
          <w:spacing w:val="29"/>
        </w:rPr>
        <w:t xml:space="preserve"> </w:t>
      </w:r>
      <w:r w:rsidRPr="00392FBA">
        <w:t>persons</w:t>
      </w:r>
      <w:r w:rsidRPr="00392FBA">
        <w:rPr>
          <w:spacing w:val="26"/>
        </w:rPr>
        <w:t xml:space="preserve"> </w:t>
      </w:r>
      <w:r w:rsidRPr="00392FBA">
        <w:t>or</w:t>
      </w:r>
      <w:r w:rsidRPr="00392FBA">
        <w:rPr>
          <w:spacing w:val="31"/>
        </w:rPr>
        <w:t xml:space="preserve"> </w:t>
      </w:r>
      <w:r>
        <w:t>institutions</w:t>
      </w:r>
      <w:r w:rsidRPr="00392FBA">
        <w:rPr>
          <w:spacing w:val="34"/>
        </w:rPr>
        <w:t xml:space="preserve"> </w:t>
      </w:r>
      <w:r w:rsidRPr="00392FBA">
        <w:t>in</w:t>
      </w:r>
      <w:r w:rsidRPr="00392FBA">
        <w:rPr>
          <w:spacing w:val="-5"/>
        </w:rPr>
        <w:t xml:space="preserve"> </w:t>
      </w:r>
      <w:r w:rsidRPr="00392FBA">
        <w:rPr>
          <w:spacing w:val="-1"/>
        </w:rPr>
        <w:t>files</w:t>
      </w:r>
      <w:r w:rsidRPr="00392FBA">
        <w:rPr>
          <w:spacing w:val="5"/>
        </w:rPr>
        <w:t xml:space="preserve"> </w:t>
      </w:r>
      <w:r w:rsidRPr="00392FBA">
        <w:t>that</w:t>
      </w:r>
      <w:r w:rsidRPr="00392FBA">
        <w:rPr>
          <w:spacing w:val="36"/>
        </w:rPr>
        <w:t xml:space="preserve"> </w:t>
      </w:r>
      <w:r w:rsidRPr="00392FBA">
        <w:t>are</w:t>
      </w:r>
      <w:r>
        <w:t>:</w:t>
      </w:r>
      <w:r w:rsidRPr="00392FBA">
        <w:rPr>
          <w:spacing w:val="25"/>
        </w:rPr>
        <w:t xml:space="preserve"> </w:t>
      </w:r>
      <w:r w:rsidRPr="00392FBA">
        <w:t>physically</w:t>
      </w:r>
      <w:r w:rsidRPr="00392FBA">
        <w:rPr>
          <w:spacing w:val="21"/>
          <w:w w:val="102"/>
        </w:rPr>
        <w:t xml:space="preserve"> </w:t>
      </w:r>
      <w:r w:rsidRPr="00392FBA">
        <w:t>separate</w:t>
      </w:r>
      <w:r w:rsidRPr="00392FBA">
        <w:rPr>
          <w:spacing w:val="28"/>
        </w:rPr>
        <w:t xml:space="preserve"> </w:t>
      </w:r>
      <w:r w:rsidRPr="00392FBA">
        <w:t>from</w:t>
      </w:r>
      <w:r w:rsidRPr="00392FBA">
        <w:rPr>
          <w:spacing w:val="31"/>
        </w:rPr>
        <w:t xml:space="preserve"> </w:t>
      </w:r>
      <w:r w:rsidRPr="00392FBA">
        <w:t>other</w:t>
      </w:r>
      <w:r w:rsidRPr="00392FBA">
        <w:rPr>
          <w:spacing w:val="37"/>
        </w:rPr>
        <w:t xml:space="preserve"> </w:t>
      </w:r>
      <w:r w:rsidRPr="00392FBA">
        <w:t>research</w:t>
      </w:r>
      <w:r w:rsidRPr="00392FBA">
        <w:rPr>
          <w:spacing w:val="17"/>
        </w:rPr>
        <w:t xml:space="preserve"> </w:t>
      </w:r>
      <w:r w:rsidRPr="00392FBA">
        <w:t>data;</w:t>
      </w:r>
      <w:r w:rsidRPr="00392FBA">
        <w:rPr>
          <w:spacing w:val="19"/>
        </w:rPr>
        <w:t xml:space="preserve"> </w:t>
      </w:r>
      <w:r w:rsidRPr="00392FBA">
        <w:t>accessible</w:t>
      </w:r>
      <w:r w:rsidRPr="00392FBA">
        <w:rPr>
          <w:spacing w:val="29"/>
        </w:rPr>
        <w:t xml:space="preserve"> </w:t>
      </w:r>
      <w:r w:rsidRPr="00392FBA">
        <w:rPr>
          <w:spacing w:val="-3"/>
        </w:rPr>
        <w:t>only</w:t>
      </w:r>
      <w:r w:rsidRPr="00392FBA">
        <w:rPr>
          <w:spacing w:val="17"/>
        </w:rPr>
        <w:t xml:space="preserve"> </w:t>
      </w:r>
      <w:r w:rsidRPr="00392FBA">
        <w:t>to</w:t>
      </w:r>
      <w:r w:rsidRPr="00392FBA">
        <w:rPr>
          <w:spacing w:val="20"/>
        </w:rPr>
        <w:t xml:space="preserve"> </w:t>
      </w:r>
      <w:r w:rsidRPr="00392FBA">
        <w:t>authorized</w:t>
      </w:r>
      <w:r w:rsidRPr="00392FBA">
        <w:rPr>
          <w:spacing w:val="21"/>
          <w:w w:val="102"/>
        </w:rPr>
        <w:t xml:space="preserve"> </w:t>
      </w:r>
      <w:r w:rsidRPr="00392FBA">
        <w:t>CNCS</w:t>
      </w:r>
      <w:r w:rsidRPr="00392FBA">
        <w:rPr>
          <w:spacing w:val="26"/>
        </w:rPr>
        <w:t xml:space="preserve"> </w:t>
      </w:r>
      <w:r w:rsidRPr="00392FBA">
        <w:t>and</w:t>
      </w:r>
      <w:r w:rsidRPr="00392FBA">
        <w:rPr>
          <w:spacing w:val="17"/>
        </w:rPr>
        <w:t xml:space="preserve"> </w:t>
      </w:r>
      <w:r w:rsidR="007D2CB1">
        <w:t>JBS</w:t>
      </w:r>
      <w:r w:rsidRPr="00392FBA">
        <w:rPr>
          <w:spacing w:val="45"/>
        </w:rPr>
        <w:t xml:space="preserve"> </w:t>
      </w:r>
      <w:r w:rsidRPr="00392FBA">
        <w:t>personnel;</w:t>
      </w:r>
      <w:r w:rsidRPr="00392FBA">
        <w:rPr>
          <w:spacing w:val="29"/>
        </w:rPr>
        <w:t xml:space="preserve"> </w:t>
      </w:r>
      <w:r w:rsidRPr="00392FBA">
        <w:t>are</w:t>
      </w:r>
      <w:r w:rsidRPr="00392FBA">
        <w:rPr>
          <w:spacing w:val="25"/>
        </w:rPr>
        <w:t xml:space="preserve"> </w:t>
      </w:r>
      <w:r w:rsidRPr="00392FBA">
        <w:rPr>
          <w:spacing w:val="-1"/>
        </w:rPr>
        <w:t>maintained</w:t>
      </w:r>
      <w:r w:rsidRPr="00392FBA">
        <w:rPr>
          <w:spacing w:val="30"/>
        </w:rPr>
        <w:t xml:space="preserve"> </w:t>
      </w:r>
      <w:r w:rsidRPr="00392FBA">
        <w:rPr>
          <w:spacing w:val="-8"/>
        </w:rPr>
        <w:t>i</w:t>
      </w:r>
      <w:r w:rsidRPr="00392FBA">
        <w:rPr>
          <w:spacing w:val="-11"/>
        </w:rPr>
        <w:t>n</w:t>
      </w:r>
      <w:r w:rsidRPr="00392FBA">
        <w:rPr>
          <w:spacing w:val="2"/>
        </w:rPr>
        <w:t xml:space="preserve"> </w:t>
      </w:r>
      <w:r w:rsidRPr="00392FBA">
        <w:t>an</w:t>
      </w:r>
      <w:r w:rsidRPr="00392FBA">
        <w:rPr>
          <w:spacing w:val="34"/>
        </w:rPr>
        <w:t xml:space="preserve"> </w:t>
      </w:r>
      <w:r w:rsidRPr="00392FBA">
        <w:t>information</w:t>
      </w:r>
      <w:r w:rsidRPr="00392FBA">
        <w:rPr>
          <w:spacing w:val="24"/>
        </w:rPr>
        <w:t xml:space="preserve"> </w:t>
      </w:r>
      <w:r w:rsidRPr="00392FBA">
        <w:t>system</w:t>
      </w:r>
      <w:r w:rsidRPr="00392FBA">
        <w:rPr>
          <w:spacing w:val="35"/>
        </w:rPr>
        <w:t xml:space="preserve"> </w:t>
      </w:r>
      <w:r w:rsidRPr="00392FBA">
        <w:t>that</w:t>
      </w:r>
      <w:r w:rsidRPr="00392FBA">
        <w:rPr>
          <w:spacing w:val="24"/>
          <w:w w:val="101"/>
        </w:rPr>
        <w:t xml:space="preserve"> </w:t>
      </w:r>
      <w:r w:rsidRPr="00392FBA">
        <w:t>has security</w:t>
      </w:r>
      <w:r w:rsidRPr="00392FBA">
        <w:rPr>
          <w:spacing w:val="40"/>
        </w:rPr>
        <w:t xml:space="preserve"> </w:t>
      </w:r>
      <w:r w:rsidRPr="00392FBA">
        <w:t>controls</w:t>
      </w:r>
      <w:r w:rsidRPr="00392FBA">
        <w:rPr>
          <w:spacing w:val="31"/>
        </w:rPr>
        <w:t xml:space="preserve"> </w:t>
      </w:r>
      <w:r w:rsidRPr="00392FBA">
        <w:t>in</w:t>
      </w:r>
      <w:r w:rsidRPr="00392FBA">
        <w:rPr>
          <w:spacing w:val="10"/>
        </w:rPr>
        <w:t xml:space="preserve"> </w:t>
      </w:r>
      <w:r w:rsidRPr="00392FBA">
        <w:t>place</w:t>
      </w:r>
      <w:r w:rsidRPr="00392FBA">
        <w:rPr>
          <w:spacing w:val="19"/>
        </w:rPr>
        <w:t xml:space="preserve"> </w:t>
      </w:r>
      <w:r w:rsidRPr="00392FBA">
        <w:t>as</w:t>
      </w:r>
      <w:r w:rsidRPr="00392FBA">
        <w:rPr>
          <w:spacing w:val="4"/>
        </w:rPr>
        <w:t xml:space="preserve"> </w:t>
      </w:r>
      <w:r w:rsidRPr="00392FBA">
        <w:rPr>
          <w:spacing w:val="-1"/>
        </w:rPr>
        <w:t>specified</w:t>
      </w:r>
      <w:r w:rsidRPr="00392FBA">
        <w:rPr>
          <w:spacing w:val="30"/>
        </w:rPr>
        <w:t xml:space="preserve"> </w:t>
      </w:r>
      <w:r w:rsidRPr="00392FBA">
        <w:t>by</w:t>
      </w:r>
      <w:r w:rsidRPr="00392FBA">
        <w:rPr>
          <w:spacing w:val="4"/>
        </w:rPr>
        <w:t xml:space="preserve"> </w:t>
      </w:r>
      <w:r w:rsidRPr="00392FBA">
        <w:t>the</w:t>
      </w:r>
      <w:r w:rsidRPr="00392FBA">
        <w:rPr>
          <w:spacing w:val="37"/>
        </w:rPr>
        <w:t xml:space="preserve"> </w:t>
      </w:r>
      <w:r w:rsidRPr="00392FBA">
        <w:t>National</w:t>
      </w:r>
      <w:r w:rsidRPr="00392FBA">
        <w:rPr>
          <w:spacing w:val="36"/>
        </w:rPr>
        <w:t xml:space="preserve"> </w:t>
      </w:r>
      <w:r w:rsidRPr="00392FBA">
        <w:t>Institute</w:t>
      </w:r>
      <w:r w:rsidRPr="00392FBA">
        <w:rPr>
          <w:spacing w:val="22"/>
          <w:w w:val="102"/>
        </w:rPr>
        <w:t xml:space="preserve"> </w:t>
      </w:r>
      <w:r w:rsidRPr="00392FBA">
        <w:t>of</w:t>
      </w:r>
      <w:r w:rsidRPr="00392FBA">
        <w:rPr>
          <w:spacing w:val="16"/>
        </w:rPr>
        <w:t xml:space="preserve"> </w:t>
      </w:r>
      <w:r w:rsidRPr="00392FBA">
        <w:t>Standards</w:t>
      </w:r>
      <w:r w:rsidRPr="00392FBA">
        <w:rPr>
          <w:spacing w:val="23"/>
        </w:rPr>
        <w:t xml:space="preserve"> </w:t>
      </w:r>
      <w:r w:rsidRPr="00392FBA">
        <w:t>and</w:t>
      </w:r>
      <w:r w:rsidRPr="00392FBA">
        <w:rPr>
          <w:spacing w:val="13"/>
        </w:rPr>
        <w:t xml:space="preserve"> </w:t>
      </w:r>
      <w:r w:rsidRPr="00392FBA">
        <w:t>Technology (NIST)</w:t>
      </w:r>
      <w:r w:rsidRPr="00392FBA">
        <w:rPr>
          <w:spacing w:val="25"/>
        </w:rPr>
        <w:t xml:space="preserve"> </w:t>
      </w:r>
      <w:r w:rsidRPr="00392FBA">
        <w:t>Special</w:t>
      </w:r>
      <w:r w:rsidRPr="00392FBA">
        <w:rPr>
          <w:spacing w:val="33"/>
        </w:rPr>
        <w:t xml:space="preserve"> </w:t>
      </w:r>
      <w:r w:rsidRPr="00392FBA">
        <w:rPr>
          <w:spacing w:val="-1"/>
        </w:rPr>
        <w:t>Publication</w:t>
      </w:r>
      <w:r w:rsidRPr="00392FBA">
        <w:rPr>
          <w:spacing w:val="16"/>
        </w:rPr>
        <w:t xml:space="preserve"> </w:t>
      </w:r>
      <w:r w:rsidRPr="00392FBA">
        <w:t>800-53;</w:t>
      </w:r>
      <w:r w:rsidRPr="00392FBA">
        <w:rPr>
          <w:spacing w:val="37"/>
        </w:rPr>
        <w:t xml:space="preserve"> </w:t>
      </w:r>
      <w:r w:rsidRPr="00392FBA">
        <w:t>have</w:t>
      </w:r>
      <w:r w:rsidRPr="00392FBA">
        <w:rPr>
          <w:spacing w:val="19"/>
        </w:rPr>
        <w:t xml:space="preserve"> </w:t>
      </w:r>
      <w:r w:rsidRPr="00392FBA">
        <w:t>been</w:t>
      </w:r>
      <w:r w:rsidRPr="00392FBA">
        <w:rPr>
          <w:spacing w:val="25"/>
          <w:w w:val="104"/>
        </w:rPr>
        <w:t xml:space="preserve"> </w:t>
      </w:r>
      <w:r w:rsidRPr="00392FBA">
        <w:t>certified</w:t>
      </w:r>
      <w:r w:rsidRPr="00392FBA">
        <w:rPr>
          <w:spacing w:val="34"/>
        </w:rPr>
        <w:t xml:space="preserve"> </w:t>
      </w:r>
      <w:r w:rsidRPr="00392FBA">
        <w:t>and</w:t>
      </w:r>
      <w:r w:rsidRPr="00392FBA">
        <w:rPr>
          <w:spacing w:val="26"/>
        </w:rPr>
        <w:t xml:space="preserve"> </w:t>
      </w:r>
      <w:r w:rsidRPr="00392FBA">
        <w:t>accredited</w:t>
      </w:r>
      <w:r w:rsidRPr="00392FBA">
        <w:rPr>
          <w:spacing w:val="48"/>
        </w:rPr>
        <w:t xml:space="preserve"> </w:t>
      </w:r>
      <w:r w:rsidRPr="00392FBA">
        <w:t>in</w:t>
      </w:r>
      <w:r w:rsidRPr="00392FBA">
        <w:rPr>
          <w:spacing w:val="12"/>
        </w:rPr>
        <w:t xml:space="preserve"> </w:t>
      </w:r>
      <w:r w:rsidRPr="00392FBA">
        <w:t>accordance</w:t>
      </w:r>
      <w:r w:rsidRPr="00392FBA">
        <w:rPr>
          <w:spacing w:val="29"/>
        </w:rPr>
        <w:t xml:space="preserve"> </w:t>
      </w:r>
      <w:r w:rsidRPr="00392FBA">
        <w:t>with</w:t>
      </w:r>
      <w:r w:rsidRPr="00392FBA">
        <w:rPr>
          <w:spacing w:val="45"/>
        </w:rPr>
        <w:t xml:space="preserve"> </w:t>
      </w:r>
      <w:r w:rsidRPr="00392FBA">
        <w:rPr>
          <w:spacing w:val="-4"/>
        </w:rPr>
        <w:t>NIST</w:t>
      </w:r>
      <w:r w:rsidRPr="00392FBA">
        <w:rPr>
          <w:spacing w:val="10"/>
        </w:rPr>
        <w:t xml:space="preserve"> </w:t>
      </w:r>
      <w:r w:rsidRPr="00392FBA">
        <w:t>SP800-37;</w:t>
      </w:r>
      <w:r w:rsidRPr="00392FBA">
        <w:rPr>
          <w:spacing w:val="22"/>
        </w:rPr>
        <w:t xml:space="preserve"> </w:t>
      </w:r>
      <w:r w:rsidRPr="00392FBA">
        <w:t>and</w:t>
      </w:r>
      <w:r w:rsidRPr="00392FBA">
        <w:rPr>
          <w:spacing w:val="25"/>
        </w:rPr>
        <w:t xml:space="preserve"> </w:t>
      </w:r>
      <w:r w:rsidRPr="00392FBA">
        <w:t>is</w:t>
      </w:r>
      <w:r w:rsidRPr="00392FBA">
        <w:rPr>
          <w:spacing w:val="3"/>
        </w:rPr>
        <w:t xml:space="preserve"> </w:t>
      </w:r>
      <w:r w:rsidRPr="00392FBA">
        <w:t>compliant</w:t>
      </w:r>
      <w:r w:rsidRPr="00392FBA">
        <w:rPr>
          <w:spacing w:val="21"/>
          <w:w w:val="102"/>
        </w:rPr>
        <w:t xml:space="preserve"> </w:t>
      </w:r>
      <w:r w:rsidRPr="00392FBA">
        <w:t>with</w:t>
      </w:r>
      <w:r w:rsidRPr="00392FBA">
        <w:rPr>
          <w:spacing w:val="40"/>
        </w:rPr>
        <w:t xml:space="preserve"> </w:t>
      </w:r>
      <w:r>
        <w:rPr>
          <w:spacing w:val="-2"/>
        </w:rPr>
        <w:t xml:space="preserve">FISMA. Furthermore, JBS personnel involved with the data collection, storage cleaning, coding, preparation and analysis </w:t>
      </w:r>
      <w:r w:rsidR="00465895">
        <w:rPr>
          <w:spacing w:val="-2"/>
        </w:rPr>
        <w:t>has undergone</w:t>
      </w:r>
      <w:r>
        <w:rPr>
          <w:spacing w:val="-2"/>
        </w:rPr>
        <w:t xml:space="preserve"> criminal background clearance check</w:t>
      </w:r>
      <w:r w:rsidR="00EA2141">
        <w:rPr>
          <w:spacing w:val="-2"/>
        </w:rPr>
        <w:t>s</w:t>
      </w:r>
      <w:r>
        <w:rPr>
          <w:spacing w:val="-2"/>
        </w:rPr>
        <w:t xml:space="preserve"> including fingerprint</w:t>
      </w:r>
      <w:r w:rsidR="00465895">
        <w:rPr>
          <w:spacing w:val="-2"/>
        </w:rPr>
        <w:t>ing</w:t>
      </w:r>
      <w:r>
        <w:rPr>
          <w:spacing w:val="-2"/>
        </w:rPr>
        <w:t xml:space="preserve">. </w:t>
      </w:r>
    </w:p>
    <w:p w14:paraId="2F03EAE4" w14:textId="77777777" w:rsidR="00076C9C" w:rsidRPr="00ED7B53" w:rsidRDefault="00076C9C" w:rsidP="00ED7B53">
      <w:pPr>
        <w:tabs>
          <w:tab w:val="left" w:pos="360"/>
        </w:tabs>
        <w:autoSpaceDE w:val="0"/>
        <w:autoSpaceDN w:val="0"/>
        <w:adjustRightInd w:val="0"/>
        <w:rPr>
          <w:rFonts w:cs="Arial"/>
          <w:b/>
          <w:szCs w:val="20"/>
        </w:rPr>
      </w:pPr>
      <w:r w:rsidRPr="00ED7B53">
        <w:rPr>
          <w:rFonts w:cs="Arial"/>
          <w:b/>
          <w:szCs w:val="20"/>
        </w:rPr>
        <w:t>11.</w:t>
      </w:r>
      <w:r w:rsidRPr="00ED7B53">
        <w:rPr>
          <w:rFonts w:cs="Arial"/>
          <w:b/>
          <w:szCs w:val="20"/>
        </w:rPr>
        <w:tab/>
      </w:r>
      <w:r w:rsidRPr="00ED7B53">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 xml:space="preserve"> </w:t>
      </w:r>
    </w:p>
    <w:p w14:paraId="229EDD04" w14:textId="23A7CF66" w:rsidR="00032ECA" w:rsidRDefault="00224524" w:rsidP="000D62F1">
      <w:pPr>
        <w:autoSpaceDE w:val="0"/>
        <w:autoSpaceDN w:val="0"/>
        <w:adjustRightInd w:val="0"/>
        <w:spacing w:before="200" w:after="200"/>
      </w:pPr>
      <w:r>
        <w:t xml:space="preserve">Of the proposed questions, those on </w:t>
      </w:r>
      <w:r w:rsidR="00C21381">
        <w:t xml:space="preserve">self-assessment of </w:t>
      </w:r>
      <w:r>
        <w:t xml:space="preserve">symptoms of depression, </w:t>
      </w:r>
      <w:r w:rsidR="00C21381">
        <w:t xml:space="preserve">and </w:t>
      </w:r>
      <w:r>
        <w:t xml:space="preserve">loneliness are likely to be the most sensitive. The literature suggests that adults respond well to those questions and the data obtained are reliable, valid and of high quality. </w:t>
      </w:r>
      <w:r w:rsidR="000461EB">
        <w:t xml:space="preserve">CNCS proposes these questions because evidence-based research findings are needed to better understand how </w:t>
      </w:r>
      <w:r w:rsidR="000461EB" w:rsidRPr="00C16352">
        <w:t xml:space="preserve">volunteering is associated with these psychosocial outcomes. A rigorous analysis </w:t>
      </w:r>
      <w:r w:rsidR="00035873" w:rsidRPr="00C16352">
        <w:t>examining</w:t>
      </w:r>
      <w:r w:rsidR="000461EB" w:rsidRPr="00C16352">
        <w:t xml:space="preserve"> this association is important for CNCS</w:t>
      </w:r>
      <w:r w:rsidR="00784F69" w:rsidRPr="00C16352">
        <w:t xml:space="preserve"> to measure and report on progress in meeting its goal</w:t>
      </w:r>
      <w:r w:rsidR="000461EB" w:rsidRPr="00C16352">
        <w:t xml:space="preserve"> to </w:t>
      </w:r>
      <w:r w:rsidR="00784F69" w:rsidRPr="00C16352">
        <w:t xml:space="preserve">strengthen National Service. </w:t>
      </w:r>
      <w:r w:rsidR="001864E0" w:rsidRPr="000D62F1">
        <w:rPr>
          <w:rFonts w:eastAsiaTheme="minorHAnsi"/>
        </w:rPr>
        <w:t>Se</w:t>
      </w:r>
      <w:r w:rsidR="00010EFF">
        <w:rPr>
          <w:rFonts w:eastAsiaTheme="minorHAnsi"/>
        </w:rPr>
        <w:t xml:space="preserve">lf-report </w:t>
      </w:r>
      <w:r w:rsidR="00930322">
        <w:rPr>
          <w:rFonts w:eastAsiaTheme="minorHAnsi"/>
        </w:rPr>
        <w:t xml:space="preserve">of </w:t>
      </w:r>
      <w:r w:rsidR="00010EFF">
        <w:rPr>
          <w:rFonts w:eastAsiaTheme="minorHAnsi"/>
        </w:rPr>
        <w:t>depressive symptoms are</w:t>
      </w:r>
      <w:r w:rsidR="001864E0" w:rsidRPr="000D62F1">
        <w:rPr>
          <w:rFonts w:eastAsiaTheme="minorHAnsi"/>
        </w:rPr>
        <w:t xml:space="preserve"> </w:t>
      </w:r>
      <w:r w:rsidR="00032ECA">
        <w:rPr>
          <w:rFonts w:eastAsiaTheme="minorHAnsi"/>
        </w:rPr>
        <w:t>the</w:t>
      </w:r>
      <w:r w:rsidR="001864E0" w:rsidRPr="000D62F1">
        <w:rPr>
          <w:rFonts w:eastAsiaTheme="minorHAnsi"/>
        </w:rPr>
        <w:t xml:space="preserve"> 10-item </w:t>
      </w:r>
      <w:r w:rsidR="00032ECA">
        <w:rPr>
          <w:rFonts w:eastAsiaTheme="minorHAnsi"/>
        </w:rPr>
        <w:t xml:space="preserve">scale developed by the </w:t>
      </w:r>
      <w:r w:rsidR="001864E0" w:rsidRPr="000D62F1">
        <w:rPr>
          <w:rFonts w:eastAsiaTheme="minorHAnsi"/>
        </w:rPr>
        <w:t>Center for Epidemiological Studies Depression Scale (CES-D)</w:t>
      </w:r>
      <w:r w:rsidR="00032ECA">
        <w:rPr>
          <w:rFonts w:eastAsiaTheme="minorHAnsi"/>
        </w:rPr>
        <w:t xml:space="preserve">. This widely used scale in research has shown this scale to be </w:t>
      </w:r>
      <w:r w:rsidR="001864E0" w:rsidRPr="000D62F1">
        <w:rPr>
          <w:rFonts w:eastAsiaTheme="minorHAnsi"/>
        </w:rPr>
        <w:t xml:space="preserve">reliable and valid. </w:t>
      </w:r>
      <w:r w:rsidR="00C16352">
        <w:t xml:space="preserve">As part of the intake and sign </w:t>
      </w:r>
      <w:r w:rsidR="00032ECA">
        <w:t xml:space="preserve">up </w:t>
      </w:r>
      <w:r w:rsidR="00C16352">
        <w:t xml:space="preserve">process, </w:t>
      </w:r>
      <w:r w:rsidR="00C16352">
        <w:lastRenderedPageBreak/>
        <w:t xml:space="preserve">grantees already collect self-report information </w:t>
      </w:r>
      <w:r w:rsidR="00032ECA">
        <w:t>on</w:t>
      </w:r>
      <w:r w:rsidR="00C16352">
        <w:t xml:space="preserve"> health and medical conditions</w:t>
      </w:r>
      <w:r w:rsidR="00032ECA">
        <w:t xml:space="preserve"> from caregivers and volunteers</w:t>
      </w:r>
      <w:r w:rsidR="00C16352">
        <w:t xml:space="preserve">. The privacy assurances, as well as the rapport that exists between the grantees and the participants make these questions less intrusive. </w:t>
      </w:r>
      <w:r w:rsidR="003437DF">
        <w:t>Appendix A includes a copy of the consent form to be used at each round of data collection for both studies.</w:t>
      </w:r>
    </w:p>
    <w:p w14:paraId="5540D27D" w14:textId="4391AF54" w:rsidR="00224524" w:rsidRDefault="00224524" w:rsidP="000D62F1">
      <w:pPr>
        <w:autoSpaceDE w:val="0"/>
        <w:autoSpaceDN w:val="0"/>
        <w:adjustRightInd w:val="0"/>
        <w:spacing w:before="200" w:after="200"/>
      </w:pPr>
      <w:r w:rsidRPr="00C16352">
        <w:t>Information will be analyzed in aggregate form and survey</w:t>
      </w:r>
      <w:r>
        <w:t xml:space="preserve"> responses will be de-identified for analysis. Unless required by law, CNCS will hold all personal identifiers such as name and address in total confidence and will not release them. Upon conclusion of the data collection all personal identifiers will be destroyed.</w:t>
      </w:r>
    </w:p>
    <w:p w14:paraId="187BB21C" w14:textId="3105B75E" w:rsidR="006625AA" w:rsidRDefault="00465895" w:rsidP="00465895">
      <w:pPr>
        <w:spacing w:before="200" w:after="200"/>
      </w:pPr>
      <w:r w:rsidRPr="00784F69">
        <w:rPr>
          <w:b/>
        </w:rPr>
        <w:t>Survey</w:t>
      </w:r>
      <w:r>
        <w:rPr>
          <w:b/>
        </w:rPr>
        <w:t>s</w:t>
      </w:r>
      <w:r>
        <w:t xml:space="preserve">: The proposed surveys are attached as Appendices </w:t>
      </w:r>
      <w:r w:rsidR="00F04C36">
        <w:t>B</w:t>
      </w:r>
      <w:r>
        <w:t xml:space="preserve"> through </w:t>
      </w:r>
      <w:r w:rsidR="00F04C36">
        <w:t>G</w:t>
      </w:r>
      <w:r>
        <w:t xml:space="preserve">. There are two surveys for the Caregiver Study (baseline and one follow-up). There are </w:t>
      </w:r>
      <w:r w:rsidR="0081051A">
        <w:t xml:space="preserve">four </w:t>
      </w:r>
      <w:r>
        <w:t>surveys for the Volunteer Study (baseline and two follow-ups</w:t>
      </w:r>
      <w:r w:rsidR="006625AA">
        <w:t>). There are two versions of the second follow-up survey. P</w:t>
      </w:r>
      <w:r w:rsidR="0081051A">
        <w:t xml:space="preserve">articipants who left the </w:t>
      </w:r>
      <w:r w:rsidR="006625AA">
        <w:t xml:space="preserve">volunteer </w:t>
      </w:r>
      <w:r w:rsidR="0081051A">
        <w:t>program at the first follow-up survey</w:t>
      </w:r>
      <w:r w:rsidR="00831C51">
        <w:t xml:space="preserve"> will be asked to complete a shorter survey </w:t>
      </w:r>
      <w:r w:rsidR="00484428">
        <w:t xml:space="preserve">at </w:t>
      </w:r>
      <w:r w:rsidR="00831C51">
        <w:t>the second follow-up</w:t>
      </w:r>
      <w:r w:rsidR="00930322">
        <w:t xml:space="preserve"> survey</w:t>
      </w:r>
      <w:r>
        <w:t xml:space="preserve">. </w:t>
      </w:r>
    </w:p>
    <w:p w14:paraId="7B33D194" w14:textId="05B17DB5" w:rsidR="006625AA" w:rsidRDefault="00465895" w:rsidP="00465895">
      <w:pPr>
        <w:spacing w:before="200" w:after="200"/>
      </w:pPr>
      <w:r w:rsidRPr="006E39B9">
        <w:t xml:space="preserve">The </w:t>
      </w:r>
      <w:r>
        <w:t>Caregiver Surveys</w:t>
      </w:r>
      <w:r w:rsidRPr="006E39B9">
        <w:t xml:space="preserve"> </w:t>
      </w:r>
      <w:r>
        <w:t xml:space="preserve">collect information on how caregivers learned about the Senior Companion respite </w:t>
      </w:r>
      <w:r w:rsidR="00930322">
        <w:t>services</w:t>
      </w:r>
      <w:r>
        <w:t xml:space="preserve">, health </w:t>
      </w:r>
      <w:r w:rsidR="00930322">
        <w:t xml:space="preserve">characteristics, </w:t>
      </w:r>
      <w:r>
        <w:t xml:space="preserve">medical conditions, depressive symptoms, </w:t>
      </w:r>
      <w:r w:rsidR="00930322">
        <w:t xml:space="preserve">type and </w:t>
      </w:r>
      <w:r>
        <w:t xml:space="preserve">hours of respite </w:t>
      </w:r>
      <w:r w:rsidR="00930322">
        <w:t>services</w:t>
      </w:r>
      <w:r>
        <w:t xml:space="preserve">, </w:t>
      </w:r>
      <w:r w:rsidR="008F5BCC">
        <w:t xml:space="preserve">satisfaction with respite services, life satisfaction, </w:t>
      </w:r>
      <w:r>
        <w:t>self-report health</w:t>
      </w:r>
      <w:r w:rsidR="008F5BCC">
        <w:t xml:space="preserve">, </w:t>
      </w:r>
      <w:r w:rsidR="00930322">
        <w:t xml:space="preserve">and </w:t>
      </w:r>
      <w:r w:rsidR="008F5BCC">
        <w:t>loneliness</w:t>
      </w:r>
      <w:r>
        <w:t xml:space="preserve">. </w:t>
      </w:r>
      <w:r w:rsidR="006625AA">
        <w:t>The baseline Caregiver Survey also collects information about the relative or friend (e.g., the care recipient). The questions about the care recipient include their relationship to the caregiver, the care recipient</w:t>
      </w:r>
      <w:r w:rsidR="00930322">
        <w:t>’s</w:t>
      </w:r>
      <w:r w:rsidR="006625AA">
        <w:t xml:space="preserve"> health and functional status conditions, other support services the care recipient receiv</w:t>
      </w:r>
      <w:r w:rsidR="00012EC1">
        <w:t>es</w:t>
      </w:r>
      <w:r w:rsidR="006625AA">
        <w:t xml:space="preserve">. </w:t>
      </w:r>
      <w:r w:rsidR="00012EC1">
        <w:t>The Caregiver</w:t>
      </w:r>
      <w:r w:rsidR="006625AA">
        <w:t xml:space="preserve"> </w:t>
      </w:r>
      <w:r w:rsidR="00012EC1">
        <w:t>Survey</w:t>
      </w:r>
      <w:r w:rsidR="006625AA">
        <w:t xml:space="preserve"> include</w:t>
      </w:r>
      <w:r w:rsidR="00012EC1">
        <w:t>s</w:t>
      </w:r>
      <w:r w:rsidR="006625AA">
        <w:t xml:space="preserve"> demographics and background m</w:t>
      </w:r>
      <w:r w:rsidR="006625AA" w:rsidRPr="006E39B9">
        <w:t xml:space="preserve">easures </w:t>
      </w:r>
      <w:r w:rsidR="006625AA">
        <w:t>such as</w:t>
      </w:r>
      <w:r w:rsidR="006625AA" w:rsidRPr="006E39B9">
        <w:t xml:space="preserve"> age, gender, race/ethnicity, education</w:t>
      </w:r>
      <w:r w:rsidR="006625AA">
        <w:t>, marriage and veteran status</w:t>
      </w:r>
      <w:r w:rsidR="006625AA" w:rsidRPr="006E39B9">
        <w:t>.</w:t>
      </w:r>
    </w:p>
    <w:p w14:paraId="57512CBB" w14:textId="77CC501F" w:rsidR="00465895" w:rsidRPr="006E39B9" w:rsidRDefault="00465895" w:rsidP="00465895">
      <w:pPr>
        <w:spacing w:before="200" w:after="200"/>
      </w:pPr>
      <w:r>
        <w:t>The Volunteer Surveys collect information on participants’ decisions to volunteer and decision to continue volunteering, t</w:t>
      </w:r>
      <w:r w:rsidRPr="004D4A24">
        <w:t>ype of volunteer</w:t>
      </w:r>
      <w:r w:rsidR="00012EC1">
        <w:t>ing</w:t>
      </w:r>
      <w:r w:rsidRPr="004D4A24">
        <w:t xml:space="preserve"> activities</w:t>
      </w:r>
      <w:r>
        <w:t xml:space="preserve">, </w:t>
      </w:r>
      <w:r w:rsidR="0029700C">
        <w:t xml:space="preserve">number of hours volunteering with FGP or SCP, volunteer experience with other organizations and hours performing volunteer activities with other organization, </w:t>
      </w:r>
      <w:r>
        <w:t>satisfaction</w:t>
      </w:r>
      <w:r w:rsidR="0029700C">
        <w:t xml:space="preserve"> with FGP or SCP volunteer experience</w:t>
      </w:r>
      <w:r w:rsidRPr="004D4A24">
        <w:t xml:space="preserve">, </w:t>
      </w:r>
      <w:r w:rsidR="0029700C">
        <w:t xml:space="preserve">life satisfaction, </w:t>
      </w:r>
      <w:r>
        <w:t xml:space="preserve">self-report health and medical conditions, symptoms of depression, </w:t>
      </w:r>
      <w:r w:rsidR="0029700C">
        <w:t xml:space="preserve">and </w:t>
      </w:r>
      <w:r>
        <w:t xml:space="preserve">loneliness. The surveys also include questions on </w:t>
      </w:r>
      <w:r w:rsidRPr="006E39B9">
        <w:t>whether the volunteer</w:t>
      </w:r>
      <w:r>
        <w:t>s</w:t>
      </w:r>
      <w:r w:rsidRPr="006E39B9">
        <w:t xml:space="preserve"> feel that their skills align with </w:t>
      </w:r>
      <w:r>
        <w:t>t</w:t>
      </w:r>
      <w:r w:rsidRPr="006E39B9">
        <w:t>h</w:t>
      </w:r>
      <w:r>
        <w:t>e</w:t>
      </w:r>
      <w:r w:rsidRPr="006E39B9">
        <w:t xml:space="preserve">ir role as volunteer, </w:t>
      </w:r>
      <w:r>
        <w:t xml:space="preserve">and the </w:t>
      </w:r>
      <w:r w:rsidRPr="006E39B9">
        <w:t>support they received from the</w:t>
      </w:r>
      <w:r>
        <w:t>ir</w:t>
      </w:r>
      <w:r w:rsidRPr="006E39B9">
        <w:t xml:space="preserve"> </w:t>
      </w:r>
      <w:r>
        <w:t xml:space="preserve">project and station. </w:t>
      </w:r>
      <w:r w:rsidR="0081051A">
        <w:t xml:space="preserve">Given that they are multiple data collection points, the data can be used to </w:t>
      </w:r>
      <w:r w:rsidR="0029700C">
        <w:t>determin</w:t>
      </w:r>
      <w:r w:rsidR="00C21381">
        <w:t>e</w:t>
      </w:r>
      <w:r w:rsidR="0081051A">
        <w:t xml:space="preserve"> retention</w:t>
      </w:r>
      <w:r w:rsidR="0029700C">
        <w:t xml:space="preserve"> rate in the FGP or SCP program</w:t>
      </w:r>
      <w:r w:rsidR="00012EC1">
        <w:t xml:space="preserve"> and the reasons that volunteer leave national service</w:t>
      </w:r>
      <w:r w:rsidR="0081051A">
        <w:t xml:space="preserve">. </w:t>
      </w:r>
      <w:r>
        <w:t xml:space="preserve">The first follow-up Volunteer Survey </w:t>
      </w:r>
      <w:r w:rsidR="008F5BCC">
        <w:t xml:space="preserve">primarily will include questions </w:t>
      </w:r>
      <w:r>
        <w:t xml:space="preserve">to measure </w:t>
      </w:r>
      <w:r w:rsidR="008F5BCC">
        <w:t xml:space="preserve">the outcomes of interest: satisfaction with volunteer experience, </w:t>
      </w:r>
      <w:r w:rsidR="0081051A">
        <w:t xml:space="preserve">life </w:t>
      </w:r>
      <w:r>
        <w:t>satisfaction, retention</w:t>
      </w:r>
      <w:r w:rsidR="00012EC1">
        <w:t>,</w:t>
      </w:r>
      <w:r>
        <w:t xml:space="preserve"> </w:t>
      </w:r>
      <w:r w:rsidR="008F5BCC">
        <w:t>self-rated health, symptoms of depression, and loneliness</w:t>
      </w:r>
      <w:r>
        <w:t>.</w:t>
      </w:r>
      <w:r w:rsidR="006625AA">
        <w:t xml:space="preserve"> All surveys include demographics and background m</w:t>
      </w:r>
      <w:r w:rsidR="006625AA" w:rsidRPr="006E39B9">
        <w:t xml:space="preserve">easures </w:t>
      </w:r>
      <w:r w:rsidR="006625AA">
        <w:t>such as</w:t>
      </w:r>
      <w:r w:rsidR="006625AA" w:rsidRPr="006E39B9">
        <w:t xml:space="preserve"> age, gender, race/ethnicity, education</w:t>
      </w:r>
      <w:r w:rsidR="006625AA">
        <w:t>, marriage and veteran status</w:t>
      </w:r>
      <w:r w:rsidR="006625AA" w:rsidRPr="006E39B9">
        <w:t>.</w:t>
      </w:r>
    </w:p>
    <w:p w14:paraId="602DEC41" w14:textId="27CA9EB1" w:rsidR="00465895" w:rsidRDefault="00465895" w:rsidP="00465895">
      <w:pPr>
        <w:spacing w:after="200"/>
      </w:pPr>
      <w:r>
        <w:t xml:space="preserve">The baseline surveys and the first follow-up Volunteer Survey collect information for </w:t>
      </w:r>
      <w:r w:rsidR="00012EC1">
        <w:t xml:space="preserve">sending respondents </w:t>
      </w:r>
      <w:r>
        <w:t xml:space="preserve">the incentives and to aid in locating </w:t>
      </w:r>
      <w:r w:rsidR="00012EC1">
        <w:t xml:space="preserve">them </w:t>
      </w:r>
      <w:r>
        <w:t xml:space="preserve">for the follow-up data collection including name, address, telephone number and e-mail. The surveys also collect contact information for up to two relatives or friends to assist in locating respondents who might have changed address. As described previously, to safeguards the privacy of respondents, contact information will be kept </w:t>
      </w:r>
      <w:r w:rsidRPr="00392FBA">
        <w:t>physically</w:t>
      </w:r>
      <w:r w:rsidRPr="00392FBA">
        <w:rPr>
          <w:spacing w:val="21"/>
          <w:w w:val="102"/>
        </w:rPr>
        <w:t xml:space="preserve"> </w:t>
      </w:r>
      <w:r w:rsidRPr="00392FBA">
        <w:t>separate</w:t>
      </w:r>
      <w:r w:rsidRPr="00392FBA">
        <w:rPr>
          <w:spacing w:val="28"/>
        </w:rPr>
        <w:t xml:space="preserve"> </w:t>
      </w:r>
      <w:r w:rsidRPr="00392FBA">
        <w:t>from</w:t>
      </w:r>
      <w:r w:rsidRPr="00392FBA">
        <w:rPr>
          <w:spacing w:val="31"/>
        </w:rPr>
        <w:t xml:space="preserve"> </w:t>
      </w:r>
      <w:r>
        <w:t>the</w:t>
      </w:r>
      <w:r w:rsidRPr="00392FBA">
        <w:rPr>
          <w:spacing w:val="37"/>
        </w:rPr>
        <w:t xml:space="preserve"> </w:t>
      </w:r>
      <w:r w:rsidRPr="00392FBA">
        <w:t>research</w:t>
      </w:r>
      <w:r w:rsidRPr="00392FBA">
        <w:rPr>
          <w:spacing w:val="17"/>
        </w:rPr>
        <w:t xml:space="preserve"> </w:t>
      </w:r>
      <w:r>
        <w:t>data and will be</w:t>
      </w:r>
      <w:r w:rsidRPr="00392FBA">
        <w:rPr>
          <w:spacing w:val="19"/>
        </w:rPr>
        <w:t xml:space="preserve"> </w:t>
      </w:r>
      <w:r w:rsidRPr="00392FBA">
        <w:t>accessible</w:t>
      </w:r>
      <w:r w:rsidRPr="00392FBA">
        <w:rPr>
          <w:spacing w:val="29"/>
        </w:rPr>
        <w:t xml:space="preserve"> </w:t>
      </w:r>
      <w:r w:rsidRPr="00392FBA">
        <w:rPr>
          <w:spacing w:val="-3"/>
        </w:rPr>
        <w:t>only</w:t>
      </w:r>
      <w:r w:rsidRPr="00392FBA">
        <w:rPr>
          <w:spacing w:val="17"/>
        </w:rPr>
        <w:t xml:space="preserve"> </w:t>
      </w:r>
      <w:r w:rsidRPr="00392FBA">
        <w:t>to</w:t>
      </w:r>
      <w:r w:rsidRPr="00392FBA">
        <w:rPr>
          <w:spacing w:val="20"/>
        </w:rPr>
        <w:t xml:space="preserve"> </w:t>
      </w:r>
      <w:r w:rsidRPr="00392FBA">
        <w:t>authorized</w:t>
      </w:r>
      <w:r w:rsidRPr="00392FBA">
        <w:rPr>
          <w:spacing w:val="21"/>
          <w:w w:val="102"/>
        </w:rPr>
        <w:t xml:space="preserve"> </w:t>
      </w:r>
      <w:r w:rsidRPr="00ED7B53">
        <w:t xml:space="preserve">CNCS and </w:t>
      </w:r>
      <w:r>
        <w:t>JBS</w:t>
      </w:r>
      <w:r w:rsidRPr="00392FBA">
        <w:rPr>
          <w:spacing w:val="45"/>
        </w:rPr>
        <w:t xml:space="preserve"> </w:t>
      </w:r>
      <w:r w:rsidRPr="00392FBA">
        <w:t>personnel</w:t>
      </w:r>
      <w:r>
        <w:t xml:space="preserve"> who have undergone background clearance checks and CNCS security training.</w:t>
      </w:r>
    </w:p>
    <w:p w14:paraId="1F2C2575" w14:textId="77777777" w:rsidR="00076C9C" w:rsidRPr="00ED7B53" w:rsidRDefault="00076C9C" w:rsidP="00ED7B53">
      <w:pPr>
        <w:tabs>
          <w:tab w:val="left" w:pos="360"/>
        </w:tabs>
        <w:autoSpaceDE w:val="0"/>
        <w:autoSpaceDN w:val="0"/>
        <w:adjustRightInd w:val="0"/>
        <w:rPr>
          <w:rFonts w:cs="Arial"/>
          <w:b/>
          <w:szCs w:val="20"/>
        </w:rPr>
      </w:pPr>
      <w:r w:rsidRPr="00ED7B53">
        <w:rPr>
          <w:rFonts w:cs="Arial"/>
          <w:b/>
          <w:szCs w:val="20"/>
        </w:rPr>
        <w:lastRenderedPageBreak/>
        <w:t>12.</w:t>
      </w:r>
      <w:r w:rsidRPr="00ED7B53">
        <w:rPr>
          <w:rFonts w:cs="Arial"/>
          <w:b/>
          <w:szCs w:val="20"/>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 </w:t>
      </w:r>
    </w:p>
    <w:p w14:paraId="217641FE" w14:textId="0ECE69D1" w:rsidR="005F4EC4" w:rsidRDefault="00801296" w:rsidP="000D62F1">
      <w:pPr>
        <w:spacing w:before="200" w:after="200"/>
      </w:pPr>
      <w:r>
        <w:t xml:space="preserve">The burden hours for each </w:t>
      </w:r>
      <w:r w:rsidR="00EE70C3">
        <w:t>category</w:t>
      </w:r>
      <w:r>
        <w:t xml:space="preserve"> of </w:t>
      </w:r>
      <w:r w:rsidR="000A3AA7">
        <w:t>respondents</w:t>
      </w:r>
      <w:r w:rsidR="005F4EC4">
        <w:t xml:space="preserve"> subject to this clearance a</w:t>
      </w:r>
      <w:r>
        <w:t xml:space="preserve">re described in </w:t>
      </w:r>
      <w:r w:rsidR="00032ECA">
        <w:t>Table 1</w:t>
      </w:r>
      <w:r>
        <w:t>.</w:t>
      </w:r>
    </w:p>
    <w:p w14:paraId="18A77452" w14:textId="77777777" w:rsidR="00315F65" w:rsidRPr="00315F65" w:rsidRDefault="00315F65" w:rsidP="00315F65">
      <w:pPr>
        <w:autoSpaceDE w:val="0"/>
        <w:autoSpaceDN w:val="0"/>
        <w:adjustRightInd w:val="0"/>
        <w:ind w:left="360" w:hanging="360"/>
        <w:rPr>
          <w:rFonts w:eastAsiaTheme="minorHAnsi"/>
          <w:b/>
        </w:rPr>
      </w:pPr>
      <w:proofErr w:type="gramStart"/>
      <w:r w:rsidRPr="00315F65">
        <w:rPr>
          <w:rFonts w:eastAsiaTheme="minorHAnsi"/>
          <w:b/>
        </w:rPr>
        <w:t>Table 1.</w:t>
      </w:r>
      <w:proofErr w:type="gramEnd"/>
      <w:r w:rsidRPr="00315F65">
        <w:rPr>
          <w:rFonts w:eastAsiaTheme="minorHAnsi"/>
          <w:b/>
        </w:rPr>
        <w:t xml:space="preserve"> Burden Hours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440"/>
        <w:gridCol w:w="1530"/>
        <w:gridCol w:w="1350"/>
        <w:gridCol w:w="1440"/>
      </w:tblGrid>
      <w:tr w:rsidR="00FF3BDF" w:rsidRPr="00FF3BDF" w14:paraId="5431934F" w14:textId="77777777" w:rsidTr="00FF3BDF">
        <w:trPr>
          <w:trHeight w:val="274"/>
        </w:trPr>
        <w:tc>
          <w:tcPr>
            <w:tcW w:w="4068" w:type="dxa"/>
          </w:tcPr>
          <w:p w14:paraId="6B2630FF" w14:textId="3DD2E4D8" w:rsidR="00070933" w:rsidRPr="000D62F1" w:rsidRDefault="00C8447F" w:rsidP="00ED5933">
            <w:pPr>
              <w:rPr>
                <w:b/>
                <w:sz w:val="22"/>
                <w:szCs w:val="22"/>
              </w:rPr>
            </w:pPr>
            <w:r w:rsidRPr="000D62F1">
              <w:rPr>
                <w:b/>
                <w:sz w:val="22"/>
                <w:szCs w:val="22"/>
              </w:rPr>
              <w:t>Category of Respondent</w:t>
            </w:r>
            <w:r w:rsidR="00784F69" w:rsidRPr="000D62F1">
              <w:rPr>
                <w:b/>
                <w:sz w:val="22"/>
                <w:szCs w:val="22"/>
              </w:rPr>
              <w:t>s</w:t>
            </w:r>
          </w:p>
        </w:tc>
        <w:tc>
          <w:tcPr>
            <w:tcW w:w="1440" w:type="dxa"/>
          </w:tcPr>
          <w:p w14:paraId="3332A438" w14:textId="77777777" w:rsidR="00070933" w:rsidRPr="000D62F1" w:rsidRDefault="00070933" w:rsidP="00080042">
            <w:pPr>
              <w:jc w:val="center"/>
              <w:rPr>
                <w:b/>
                <w:sz w:val="22"/>
                <w:szCs w:val="22"/>
              </w:rPr>
            </w:pPr>
            <w:r w:rsidRPr="000D62F1">
              <w:rPr>
                <w:b/>
                <w:sz w:val="22"/>
                <w:szCs w:val="22"/>
              </w:rPr>
              <w:t>No. of Respondents</w:t>
            </w:r>
          </w:p>
        </w:tc>
        <w:tc>
          <w:tcPr>
            <w:tcW w:w="1530" w:type="dxa"/>
          </w:tcPr>
          <w:p w14:paraId="38D2BC4E" w14:textId="77777777" w:rsidR="00070933" w:rsidRPr="000D62F1" w:rsidRDefault="00070933" w:rsidP="00080042">
            <w:pPr>
              <w:jc w:val="center"/>
              <w:rPr>
                <w:b/>
                <w:sz w:val="22"/>
                <w:szCs w:val="22"/>
              </w:rPr>
            </w:pPr>
            <w:r w:rsidRPr="000D62F1">
              <w:rPr>
                <w:b/>
                <w:sz w:val="22"/>
                <w:szCs w:val="22"/>
              </w:rPr>
              <w:t>Participation Time (Minutes) per Respondent</w:t>
            </w:r>
          </w:p>
        </w:tc>
        <w:tc>
          <w:tcPr>
            <w:tcW w:w="1350" w:type="dxa"/>
          </w:tcPr>
          <w:p w14:paraId="078ECC83" w14:textId="77777777" w:rsidR="00070933" w:rsidRPr="000D62F1" w:rsidRDefault="00070933" w:rsidP="00080042">
            <w:pPr>
              <w:jc w:val="center"/>
              <w:rPr>
                <w:b/>
                <w:sz w:val="22"/>
                <w:szCs w:val="22"/>
              </w:rPr>
            </w:pPr>
            <w:r w:rsidRPr="000D62F1">
              <w:rPr>
                <w:b/>
                <w:sz w:val="22"/>
                <w:szCs w:val="22"/>
              </w:rPr>
              <w:t>Burden Hours per Respondent</w:t>
            </w:r>
          </w:p>
        </w:tc>
        <w:tc>
          <w:tcPr>
            <w:tcW w:w="1440" w:type="dxa"/>
          </w:tcPr>
          <w:p w14:paraId="0C487EB5" w14:textId="77777777" w:rsidR="00070933" w:rsidRPr="000D62F1" w:rsidRDefault="00070933" w:rsidP="00080042">
            <w:pPr>
              <w:jc w:val="center"/>
              <w:rPr>
                <w:b/>
                <w:sz w:val="22"/>
                <w:szCs w:val="22"/>
              </w:rPr>
            </w:pPr>
            <w:r w:rsidRPr="000D62F1">
              <w:rPr>
                <w:b/>
                <w:sz w:val="22"/>
                <w:szCs w:val="22"/>
              </w:rPr>
              <w:t>Burden Hours All Respondents</w:t>
            </w:r>
          </w:p>
        </w:tc>
      </w:tr>
      <w:tr w:rsidR="00FF3BDF" w:rsidRPr="00FF3BDF" w14:paraId="57226F04" w14:textId="77777777" w:rsidTr="00FF3BDF">
        <w:trPr>
          <w:trHeight w:val="274"/>
        </w:trPr>
        <w:tc>
          <w:tcPr>
            <w:tcW w:w="4068" w:type="dxa"/>
          </w:tcPr>
          <w:p w14:paraId="0CED2853" w14:textId="77777777" w:rsidR="00070933" w:rsidRPr="000D62F1" w:rsidRDefault="00B16BA9" w:rsidP="00801296">
            <w:pPr>
              <w:rPr>
                <w:sz w:val="22"/>
                <w:szCs w:val="22"/>
              </w:rPr>
            </w:pPr>
            <w:r w:rsidRPr="000D62F1">
              <w:rPr>
                <w:sz w:val="22"/>
                <w:szCs w:val="22"/>
              </w:rPr>
              <w:t>Caregiver Study</w:t>
            </w:r>
            <w:r w:rsidR="008E54E3" w:rsidRPr="000D62F1">
              <w:rPr>
                <w:sz w:val="22"/>
                <w:szCs w:val="22"/>
              </w:rPr>
              <w:t xml:space="preserve"> </w:t>
            </w:r>
          </w:p>
        </w:tc>
        <w:tc>
          <w:tcPr>
            <w:tcW w:w="1440" w:type="dxa"/>
          </w:tcPr>
          <w:p w14:paraId="0130BDD7" w14:textId="77777777" w:rsidR="00070933" w:rsidRPr="000D62F1" w:rsidRDefault="00070933" w:rsidP="00080042">
            <w:pPr>
              <w:jc w:val="center"/>
              <w:rPr>
                <w:sz w:val="22"/>
                <w:szCs w:val="22"/>
              </w:rPr>
            </w:pPr>
          </w:p>
        </w:tc>
        <w:tc>
          <w:tcPr>
            <w:tcW w:w="1530" w:type="dxa"/>
            <w:shd w:val="clear" w:color="auto" w:fill="auto"/>
          </w:tcPr>
          <w:p w14:paraId="45EF91BC" w14:textId="77777777" w:rsidR="00070933" w:rsidRPr="000D62F1" w:rsidRDefault="00070933" w:rsidP="00080042">
            <w:pPr>
              <w:jc w:val="center"/>
              <w:rPr>
                <w:sz w:val="22"/>
                <w:szCs w:val="22"/>
              </w:rPr>
            </w:pPr>
          </w:p>
        </w:tc>
        <w:tc>
          <w:tcPr>
            <w:tcW w:w="1350" w:type="dxa"/>
            <w:shd w:val="clear" w:color="auto" w:fill="auto"/>
          </w:tcPr>
          <w:p w14:paraId="12B6AEB8" w14:textId="77777777" w:rsidR="00070933" w:rsidRPr="000D62F1" w:rsidRDefault="00070933" w:rsidP="00080042">
            <w:pPr>
              <w:jc w:val="center"/>
              <w:rPr>
                <w:sz w:val="22"/>
                <w:szCs w:val="22"/>
              </w:rPr>
            </w:pPr>
          </w:p>
        </w:tc>
        <w:tc>
          <w:tcPr>
            <w:tcW w:w="1440" w:type="dxa"/>
            <w:shd w:val="clear" w:color="auto" w:fill="auto"/>
          </w:tcPr>
          <w:p w14:paraId="05598A7C" w14:textId="77777777" w:rsidR="00070933" w:rsidRPr="000D62F1" w:rsidRDefault="00070933" w:rsidP="00D70A89">
            <w:pPr>
              <w:rPr>
                <w:sz w:val="22"/>
                <w:szCs w:val="22"/>
              </w:rPr>
            </w:pPr>
          </w:p>
        </w:tc>
      </w:tr>
      <w:tr w:rsidR="00FF3BDF" w:rsidRPr="00FF3BDF" w14:paraId="1D37589A" w14:textId="77777777" w:rsidTr="00FF3BDF">
        <w:trPr>
          <w:trHeight w:val="289"/>
        </w:trPr>
        <w:tc>
          <w:tcPr>
            <w:tcW w:w="4068" w:type="dxa"/>
          </w:tcPr>
          <w:p w14:paraId="5F09E097" w14:textId="77777777" w:rsidR="00070933" w:rsidRPr="000D62F1" w:rsidRDefault="00B16BA9" w:rsidP="00315F65">
            <w:pPr>
              <w:ind w:left="180"/>
              <w:rPr>
                <w:sz w:val="22"/>
                <w:szCs w:val="22"/>
              </w:rPr>
            </w:pPr>
            <w:r w:rsidRPr="000D62F1">
              <w:rPr>
                <w:sz w:val="22"/>
                <w:szCs w:val="22"/>
              </w:rPr>
              <w:t>Baseline</w:t>
            </w:r>
            <w:r w:rsidR="008E54E3" w:rsidRPr="000D62F1">
              <w:rPr>
                <w:sz w:val="22"/>
                <w:szCs w:val="22"/>
              </w:rPr>
              <w:t xml:space="preserve"> </w:t>
            </w:r>
          </w:p>
        </w:tc>
        <w:tc>
          <w:tcPr>
            <w:tcW w:w="1440" w:type="dxa"/>
          </w:tcPr>
          <w:p w14:paraId="18F9EF87" w14:textId="4DF6192E" w:rsidR="00070933" w:rsidRPr="000D62F1" w:rsidRDefault="0049711E" w:rsidP="00080042">
            <w:pPr>
              <w:jc w:val="center"/>
              <w:rPr>
                <w:sz w:val="22"/>
                <w:szCs w:val="22"/>
              </w:rPr>
            </w:pPr>
            <w:r w:rsidRPr="000D62F1">
              <w:rPr>
                <w:sz w:val="22"/>
                <w:szCs w:val="22"/>
              </w:rPr>
              <w:t>926</w:t>
            </w:r>
          </w:p>
        </w:tc>
        <w:tc>
          <w:tcPr>
            <w:tcW w:w="1530" w:type="dxa"/>
            <w:shd w:val="clear" w:color="auto" w:fill="auto"/>
          </w:tcPr>
          <w:p w14:paraId="4766CC62" w14:textId="0C86F4AA" w:rsidR="00070933" w:rsidRPr="000D62F1" w:rsidRDefault="003C40F2" w:rsidP="00080042">
            <w:pPr>
              <w:jc w:val="center"/>
              <w:rPr>
                <w:sz w:val="22"/>
                <w:szCs w:val="22"/>
              </w:rPr>
            </w:pPr>
            <w:r w:rsidRPr="000D62F1">
              <w:rPr>
                <w:sz w:val="22"/>
                <w:szCs w:val="22"/>
              </w:rPr>
              <w:t>30</w:t>
            </w:r>
          </w:p>
        </w:tc>
        <w:tc>
          <w:tcPr>
            <w:tcW w:w="1350" w:type="dxa"/>
            <w:shd w:val="clear" w:color="auto" w:fill="auto"/>
          </w:tcPr>
          <w:p w14:paraId="4DBBAA3C" w14:textId="2737D459" w:rsidR="00070933" w:rsidRPr="000D62F1" w:rsidRDefault="003C40F2" w:rsidP="004476CA">
            <w:pPr>
              <w:jc w:val="center"/>
              <w:rPr>
                <w:sz w:val="22"/>
                <w:szCs w:val="22"/>
              </w:rPr>
            </w:pPr>
            <w:r w:rsidRPr="000D62F1">
              <w:rPr>
                <w:sz w:val="22"/>
                <w:szCs w:val="22"/>
              </w:rPr>
              <w:t>0.50</w:t>
            </w:r>
          </w:p>
        </w:tc>
        <w:tc>
          <w:tcPr>
            <w:tcW w:w="1440" w:type="dxa"/>
            <w:shd w:val="clear" w:color="auto" w:fill="auto"/>
          </w:tcPr>
          <w:p w14:paraId="337EA972" w14:textId="3DF714DC" w:rsidR="00070933" w:rsidRPr="000D62F1" w:rsidRDefault="003C40F2" w:rsidP="00080042">
            <w:pPr>
              <w:jc w:val="center"/>
              <w:rPr>
                <w:sz w:val="22"/>
                <w:szCs w:val="22"/>
              </w:rPr>
            </w:pPr>
            <w:r w:rsidRPr="000D62F1">
              <w:rPr>
                <w:sz w:val="22"/>
                <w:szCs w:val="22"/>
              </w:rPr>
              <w:t>463</w:t>
            </w:r>
          </w:p>
        </w:tc>
      </w:tr>
      <w:tr w:rsidR="00FF3BDF" w:rsidRPr="00FF3BDF" w14:paraId="7273EBD4" w14:textId="77777777" w:rsidTr="00FF3BDF">
        <w:trPr>
          <w:trHeight w:val="289"/>
        </w:trPr>
        <w:tc>
          <w:tcPr>
            <w:tcW w:w="4068" w:type="dxa"/>
          </w:tcPr>
          <w:p w14:paraId="6F4ECBC8" w14:textId="1FBE4228" w:rsidR="00B16BA9" w:rsidRPr="000D62F1" w:rsidRDefault="00B16BA9" w:rsidP="00784F69">
            <w:pPr>
              <w:ind w:left="180"/>
              <w:rPr>
                <w:sz w:val="22"/>
                <w:szCs w:val="22"/>
              </w:rPr>
            </w:pPr>
            <w:r w:rsidRPr="000D62F1">
              <w:rPr>
                <w:sz w:val="22"/>
                <w:szCs w:val="22"/>
              </w:rPr>
              <w:t xml:space="preserve">Follow-up </w:t>
            </w:r>
          </w:p>
        </w:tc>
        <w:tc>
          <w:tcPr>
            <w:tcW w:w="1440" w:type="dxa"/>
          </w:tcPr>
          <w:p w14:paraId="3CECAE91" w14:textId="7530CD8E" w:rsidR="00B16BA9" w:rsidRPr="000D62F1" w:rsidRDefault="0049711E" w:rsidP="00080042">
            <w:pPr>
              <w:jc w:val="center"/>
              <w:rPr>
                <w:sz w:val="22"/>
                <w:szCs w:val="22"/>
              </w:rPr>
            </w:pPr>
            <w:r w:rsidRPr="000D62F1">
              <w:rPr>
                <w:sz w:val="22"/>
                <w:szCs w:val="22"/>
              </w:rPr>
              <w:t>740</w:t>
            </w:r>
          </w:p>
        </w:tc>
        <w:tc>
          <w:tcPr>
            <w:tcW w:w="1530" w:type="dxa"/>
            <w:shd w:val="clear" w:color="auto" w:fill="auto"/>
          </w:tcPr>
          <w:p w14:paraId="5EF1D4B4" w14:textId="742AADD2" w:rsidR="00B16BA9" w:rsidRPr="000D62F1" w:rsidRDefault="00186C3F" w:rsidP="00080042">
            <w:pPr>
              <w:jc w:val="center"/>
              <w:rPr>
                <w:sz w:val="22"/>
                <w:szCs w:val="22"/>
              </w:rPr>
            </w:pPr>
            <w:r>
              <w:rPr>
                <w:sz w:val="22"/>
                <w:szCs w:val="22"/>
              </w:rPr>
              <w:t>2</w:t>
            </w:r>
            <w:r w:rsidR="003C40F2" w:rsidRPr="000D62F1">
              <w:rPr>
                <w:sz w:val="22"/>
                <w:szCs w:val="22"/>
              </w:rPr>
              <w:t>0</w:t>
            </w:r>
          </w:p>
        </w:tc>
        <w:tc>
          <w:tcPr>
            <w:tcW w:w="1350" w:type="dxa"/>
            <w:shd w:val="clear" w:color="auto" w:fill="auto"/>
          </w:tcPr>
          <w:p w14:paraId="7E79EA08" w14:textId="5A139167" w:rsidR="00B16BA9" w:rsidRPr="000D62F1" w:rsidRDefault="003C40F2" w:rsidP="00080042">
            <w:pPr>
              <w:jc w:val="center"/>
              <w:rPr>
                <w:sz w:val="22"/>
                <w:szCs w:val="22"/>
              </w:rPr>
            </w:pPr>
            <w:r w:rsidRPr="000D62F1">
              <w:rPr>
                <w:sz w:val="22"/>
                <w:szCs w:val="22"/>
              </w:rPr>
              <w:t>0.</w:t>
            </w:r>
            <w:r w:rsidR="00186C3F">
              <w:rPr>
                <w:sz w:val="22"/>
                <w:szCs w:val="22"/>
              </w:rPr>
              <w:t>33</w:t>
            </w:r>
          </w:p>
        </w:tc>
        <w:tc>
          <w:tcPr>
            <w:tcW w:w="1440" w:type="dxa"/>
            <w:shd w:val="clear" w:color="auto" w:fill="auto"/>
          </w:tcPr>
          <w:p w14:paraId="261443A6" w14:textId="0539D74B" w:rsidR="00B16BA9" w:rsidRPr="000D62F1" w:rsidRDefault="00186C3F" w:rsidP="00080042">
            <w:pPr>
              <w:jc w:val="center"/>
              <w:rPr>
                <w:sz w:val="22"/>
                <w:szCs w:val="22"/>
              </w:rPr>
            </w:pPr>
            <w:r>
              <w:rPr>
                <w:sz w:val="22"/>
                <w:szCs w:val="22"/>
              </w:rPr>
              <w:t>244.2</w:t>
            </w:r>
          </w:p>
        </w:tc>
      </w:tr>
      <w:tr w:rsidR="00FF3BDF" w:rsidRPr="00FF3BDF" w14:paraId="1CF1F7F1" w14:textId="77777777" w:rsidTr="00FF3BDF">
        <w:trPr>
          <w:trHeight w:val="289"/>
        </w:trPr>
        <w:tc>
          <w:tcPr>
            <w:tcW w:w="4068" w:type="dxa"/>
          </w:tcPr>
          <w:p w14:paraId="642B0A84" w14:textId="77777777" w:rsidR="00B16BA9" w:rsidRPr="000D62F1" w:rsidRDefault="00B16BA9" w:rsidP="00436F26">
            <w:pPr>
              <w:rPr>
                <w:sz w:val="22"/>
                <w:szCs w:val="22"/>
              </w:rPr>
            </w:pPr>
            <w:r w:rsidRPr="000D62F1">
              <w:rPr>
                <w:sz w:val="22"/>
                <w:szCs w:val="22"/>
              </w:rPr>
              <w:t>Volunteer Study</w:t>
            </w:r>
          </w:p>
        </w:tc>
        <w:tc>
          <w:tcPr>
            <w:tcW w:w="1440" w:type="dxa"/>
          </w:tcPr>
          <w:p w14:paraId="623F565F" w14:textId="77777777" w:rsidR="00B16BA9" w:rsidRPr="000D62F1" w:rsidRDefault="00B16BA9" w:rsidP="00080042">
            <w:pPr>
              <w:jc w:val="center"/>
              <w:rPr>
                <w:sz w:val="22"/>
                <w:szCs w:val="22"/>
              </w:rPr>
            </w:pPr>
          </w:p>
        </w:tc>
        <w:tc>
          <w:tcPr>
            <w:tcW w:w="1530" w:type="dxa"/>
            <w:shd w:val="clear" w:color="auto" w:fill="auto"/>
          </w:tcPr>
          <w:p w14:paraId="32E17459" w14:textId="77777777" w:rsidR="00B16BA9" w:rsidRPr="000D62F1" w:rsidRDefault="00B16BA9" w:rsidP="00080042">
            <w:pPr>
              <w:jc w:val="center"/>
              <w:rPr>
                <w:sz w:val="22"/>
                <w:szCs w:val="22"/>
              </w:rPr>
            </w:pPr>
          </w:p>
        </w:tc>
        <w:tc>
          <w:tcPr>
            <w:tcW w:w="1350" w:type="dxa"/>
            <w:shd w:val="clear" w:color="auto" w:fill="auto"/>
          </w:tcPr>
          <w:p w14:paraId="0E393B26" w14:textId="77777777" w:rsidR="00B16BA9" w:rsidRPr="000D62F1" w:rsidRDefault="00B16BA9" w:rsidP="00080042">
            <w:pPr>
              <w:jc w:val="center"/>
              <w:rPr>
                <w:sz w:val="22"/>
                <w:szCs w:val="22"/>
              </w:rPr>
            </w:pPr>
          </w:p>
        </w:tc>
        <w:tc>
          <w:tcPr>
            <w:tcW w:w="1440" w:type="dxa"/>
            <w:shd w:val="clear" w:color="auto" w:fill="auto"/>
          </w:tcPr>
          <w:p w14:paraId="449ED8DA" w14:textId="77777777" w:rsidR="00B16BA9" w:rsidRPr="000D62F1" w:rsidRDefault="00B16BA9" w:rsidP="00080042">
            <w:pPr>
              <w:jc w:val="center"/>
              <w:rPr>
                <w:sz w:val="22"/>
                <w:szCs w:val="22"/>
              </w:rPr>
            </w:pPr>
          </w:p>
        </w:tc>
      </w:tr>
      <w:tr w:rsidR="00FF3BDF" w:rsidRPr="00FF3BDF" w14:paraId="0D3603A0" w14:textId="77777777" w:rsidTr="00FF3BDF">
        <w:trPr>
          <w:trHeight w:val="289"/>
        </w:trPr>
        <w:tc>
          <w:tcPr>
            <w:tcW w:w="4068" w:type="dxa"/>
          </w:tcPr>
          <w:p w14:paraId="09C19CBD" w14:textId="77777777" w:rsidR="00B16BA9" w:rsidRPr="000D62F1" w:rsidRDefault="000D73A4" w:rsidP="00315F65">
            <w:pPr>
              <w:ind w:left="180"/>
              <w:rPr>
                <w:sz w:val="22"/>
                <w:szCs w:val="22"/>
              </w:rPr>
            </w:pPr>
            <w:r w:rsidRPr="000D62F1">
              <w:rPr>
                <w:sz w:val="22"/>
                <w:szCs w:val="22"/>
              </w:rPr>
              <w:t>Baseline</w:t>
            </w:r>
          </w:p>
        </w:tc>
        <w:tc>
          <w:tcPr>
            <w:tcW w:w="1440" w:type="dxa"/>
          </w:tcPr>
          <w:p w14:paraId="63A6BD60" w14:textId="6C4AA43D" w:rsidR="00B16BA9" w:rsidRPr="000D62F1" w:rsidRDefault="0049711E" w:rsidP="00080042">
            <w:pPr>
              <w:jc w:val="center"/>
              <w:rPr>
                <w:sz w:val="22"/>
                <w:szCs w:val="22"/>
              </w:rPr>
            </w:pPr>
            <w:r w:rsidRPr="000D62F1">
              <w:rPr>
                <w:sz w:val="22"/>
                <w:szCs w:val="22"/>
              </w:rPr>
              <w:t>1,224</w:t>
            </w:r>
          </w:p>
        </w:tc>
        <w:tc>
          <w:tcPr>
            <w:tcW w:w="1530" w:type="dxa"/>
            <w:shd w:val="clear" w:color="auto" w:fill="auto"/>
          </w:tcPr>
          <w:p w14:paraId="0EBBE6FE" w14:textId="1704FB64" w:rsidR="00B16BA9" w:rsidRPr="000D62F1" w:rsidRDefault="003C40F2" w:rsidP="00080042">
            <w:pPr>
              <w:jc w:val="center"/>
              <w:rPr>
                <w:sz w:val="22"/>
                <w:szCs w:val="22"/>
              </w:rPr>
            </w:pPr>
            <w:r w:rsidRPr="000D62F1">
              <w:rPr>
                <w:sz w:val="22"/>
                <w:szCs w:val="22"/>
              </w:rPr>
              <w:t>2</w:t>
            </w:r>
            <w:r w:rsidR="00186C3F">
              <w:rPr>
                <w:sz w:val="22"/>
                <w:szCs w:val="22"/>
              </w:rPr>
              <w:t>0</w:t>
            </w:r>
          </w:p>
        </w:tc>
        <w:tc>
          <w:tcPr>
            <w:tcW w:w="1350" w:type="dxa"/>
            <w:shd w:val="clear" w:color="auto" w:fill="auto"/>
          </w:tcPr>
          <w:p w14:paraId="59994CF4" w14:textId="168329F7" w:rsidR="00B16BA9" w:rsidRPr="000D62F1" w:rsidRDefault="003C40F2" w:rsidP="00080042">
            <w:pPr>
              <w:jc w:val="center"/>
              <w:rPr>
                <w:sz w:val="22"/>
                <w:szCs w:val="22"/>
              </w:rPr>
            </w:pPr>
            <w:r w:rsidRPr="000D62F1">
              <w:rPr>
                <w:sz w:val="22"/>
                <w:szCs w:val="22"/>
              </w:rPr>
              <w:t>0.</w:t>
            </w:r>
            <w:r w:rsidR="00186C3F">
              <w:rPr>
                <w:sz w:val="22"/>
                <w:szCs w:val="22"/>
              </w:rPr>
              <w:t>33</w:t>
            </w:r>
          </w:p>
        </w:tc>
        <w:tc>
          <w:tcPr>
            <w:tcW w:w="1440" w:type="dxa"/>
            <w:shd w:val="clear" w:color="auto" w:fill="auto"/>
          </w:tcPr>
          <w:p w14:paraId="692A0CB2" w14:textId="40EDB203" w:rsidR="00B16BA9" w:rsidRPr="000D62F1" w:rsidRDefault="00186C3F" w:rsidP="00080042">
            <w:pPr>
              <w:jc w:val="center"/>
              <w:rPr>
                <w:sz w:val="22"/>
                <w:szCs w:val="22"/>
              </w:rPr>
            </w:pPr>
            <w:r>
              <w:rPr>
                <w:sz w:val="22"/>
                <w:szCs w:val="22"/>
              </w:rPr>
              <w:t>403.92</w:t>
            </w:r>
          </w:p>
        </w:tc>
      </w:tr>
      <w:tr w:rsidR="00FF3BDF" w:rsidRPr="00FF3BDF" w14:paraId="3C440B51" w14:textId="77777777" w:rsidTr="00FF3BDF">
        <w:trPr>
          <w:trHeight w:val="289"/>
        </w:trPr>
        <w:tc>
          <w:tcPr>
            <w:tcW w:w="4068" w:type="dxa"/>
          </w:tcPr>
          <w:p w14:paraId="6C35C75F" w14:textId="60FCBA18" w:rsidR="00B16BA9" w:rsidRPr="000D62F1" w:rsidRDefault="000D73A4" w:rsidP="00784F69">
            <w:pPr>
              <w:ind w:left="180"/>
              <w:rPr>
                <w:sz w:val="22"/>
                <w:szCs w:val="22"/>
              </w:rPr>
            </w:pPr>
            <w:r w:rsidRPr="000D62F1">
              <w:rPr>
                <w:sz w:val="22"/>
                <w:szCs w:val="22"/>
              </w:rPr>
              <w:t xml:space="preserve">First follow-up </w:t>
            </w:r>
          </w:p>
        </w:tc>
        <w:tc>
          <w:tcPr>
            <w:tcW w:w="1440" w:type="dxa"/>
          </w:tcPr>
          <w:p w14:paraId="662E74D5" w14:textId="068BA855" w:rsidR="00B16BA9" w:rsidRPr="000D62F1" w:rsidRDefault="0049711E" w:rsidP="00080042">
            <w:pPr>
              <w:jc w:val="center"/>
              <w:rPr>
                <w:sz w:val="22"/>
                <w:szCs w:val="22"/>
              </w:rPr>
            </w:pPr>
            <w:r w:rsidRPr="000D62F1">
              <w:rPr>
                <w:sz w:val="22"/>
                <w:szCs w:val="22"/>
              </w:rPr>
              <w:t>979</w:t>
            </w:r>
          </w:p>
        </w:tc>
        <w:tc>
          <w:tcPr>
            <w:tcW w:w="1530" w:type="dxa"/>
            <w:shd w:val="clear" w:color="auto" w:fill="auto"/>
          </w:tcPr>
          <w:p w14:paraId="1F44E9D2" w14:textId="79D2E94A" w:rsidR="00B16BA9" w:rsidRPr="000D62F1" w:rsidRDefault="00826187" w:rsidP="00080042">
            <w:pPr>
              <w:jc w:val="center"/>
              <w:rPr>
                <w:sz w:val="22"/>
                <w:szCs w:val="22"/>
              </w:rPr>
            </w:pPr>
            <w:r>
              <w:rPr>
                <w:sz w:val="22"/>
                <w:szCs w:val="22"/>
              </w:rPr>
              <w:t>1</w:t>
            </w:r>
            <w:r w:rsidR="00186C3F">
              <w:rPr>
                <w:sz w:val="22"/>
                <w:szCs w:val="22"/>
              </w:rPr>
              <w:t>5</w:t>
            </w:r>
          </w:p>
        </w:tc>
        <w:tc>
          <w:tcPr>
            <w:tcW w:w="1350" w:type="dxa"/>
            <w:shd w:val="clear" w:color="auto" w:fill="auto"/>
          </w:tcPr>
          <w:p w14:paraId="31CAD9FB" w14:textId="3848DBA4" w:rsidR="00B16BA9" w:rsidRPr="000D62F1" w:rsidRDefault="003C40F2" w:rsidP="00080042">
            <w:pPr>
              <w:jc w:val="center"/>
              <w:rPr>
                <w:sz w:val="22"/>
                <w:szCs w:val="22"/>
              </w:rPr>
            </w:pPr>
            <w:r w:rsidRPr="000D62F1">
              <w:rPr>
                <w:sz w:val="22"/>
                <w:szCs w:val="22"/>
              </w:rPr>
              <w:t>0.</w:t>
            </w:r>
            <w:r w:rsidR="00186C3F">
              <w:rPr>
                <w:sz w:val="22"/>
                <w:szCs w:val="22"/>
              </w:rPr>
              <w:t>25</w:t>
            </w:r>
          </w:p>
        </w:tc>
        <w:tc>
          <w:tcPr>
            <w:tcW w:w="1440" w:type="dxa"/>
            <w:shd w:val="clear" w:color="auto" w:fill="auto"/>
          </w:tcPr>
          <w:p w14:paraId="4E1950F8" w14:textId="6AF3E960" w:rsidR="00B16BA9" w:rsidRPr="000D62F1" w:rsidRDefault="00186C3F" w:rsidP="00080042">
            <w:pPr>
              <w:jc w:val="center"/>
              <w:rPr>
                <w:sz w:val="22"/>
                <w:szCs w:val="22"/>
              </w:rPr>
            </w:pPr>
            <w:r>
              <w:rPr>
                <w:sz w:val="22"/>
                <w:szCs w:val="22"/>
              </w:rPr>
              <w:t>244.75</w:t>
            </w:r>
          </w:p>
        </w:tc>
      </w:tr>
      <w:tr w:rsidR="00FF3BDF" w:rsidRPr="00FF3BDF" w14:paraId="6383D8D2" w14:textId="77777777" w:rsidTr="00FF3BDF">
        <w:trPr>
          <w:trHeight w:val="289"/>
        </w:trPr>
        <w:tc>
          <w:tcPr>
            <w:tcW w:w="4068" w:type="dxa"/>
          </w:tcPr>
          <w:p w14:paraId="1972F85F" w14:textId="5A7C0215" w:rsidR="00B16BA9" w:rsidRPr="000D62F1" w:rsidRDefault="000D73A4" w:rsidP="00784F69">
            <w:pPr>
              <w:ind w:left="180"/>
              <w:rPr>
                <w:sz w:val="22"/>
                <w:szCs w:val="22"/>
              </w:rPr>
            </w:pPr>
            <w:r w:rsidRPr="000D62F1">
              <w:rPr>
                <w:sz w:val="22"/>
                <w:szCs w:val="22"/>
              </w:rPr>
              <w:t xml:space="preserve">Second follow-up </w:t>
            </w:r>
          </w:p>
        </w:tc>
        <w:tc>
          <w:tcPr>
            <w:tcW w:w="1440" w:type="dxa"/>
          </w:tcPr>
          <w:p w14:paraId="6AAF1519" w14:textId="36C57535" w:rsidR="00B16BA9" w:rsidRPr="000D62F1" w:rsidRDefault="0049711E" w:rsidP="00080042">
            <w:pPr>
              <w:jc w:val="center"/>
              <w:rPr>
                <w:sz w:val="22"/>
                <w:szCs w:val="22"/>
              </w:rPr>
            </w:pPr>
            <w:r w:rsidRPr="000D62F1">
              <w:rPr>
                <w:sz w:val="22"/>
                <w:szCs w:val="22"/>
              </w:rPr>
              <w:t>783</w:t>
            </w:r>
          </w:p>
        </w:tc>
        <w:tc>
          <w:tcPr>
            <w:tcW w:w="1530" w:type="dxa"/>
            <w:shd w:val="clear" w:color="auto" w:fill="auto"/>
          </w:tcPr>
          <w:p w14:paraId="59C94FF3" w14:textId="2A4CF0ED" w:rsidR="00B16BA9" w:rsidRPr="000D62F1" w:rsidRDefault="00186C3F" w:rsidP="00080042">
            <w:pPr>
              <w:jc w:val="center"/>
              <w:rPr>
                <w:sz w:val="22"/>
                <w:szCs w:val="22"/>
              </w:rPr>
            </w:pPr>
            <w:r>
              <w:rPr>
                <w:sz w:val="22"/>
                <w:szCs w:val="22"/>
              </w:rPr>
              <w:t>2</w:t>
            </w:r>
            <w:r w:rsidR="003C40F2" w:rsidRPr="000D62F1">
              <w:rPr>
                <w:sz w:val="22"/>
                <w:szCs w:val="22"/>
              </w:rPr>
              <w:t>0</w:t>
            </w:r>
          </w:p>
        </w:tc>
        <w:tc>
          <w:tcPr>
            <w:tcW w:w="1350" w:type="dxa"/>
            <w:shd w:val="clear" w:color="auto" w:fill="auto"/>
          </w:tcPr>
          <w:p w14:paraId="1B0CFE63" w14:textId="3B34D85D" w:rsidR="00B16BA9" w:rsidRPr="000D62F1" w:rsidRDefault="003C40F2" w:rsidP="00080042">
            <w:pPr>
              <w:jc w:val="center"/>
              <w:rPr>
                <w:sz w:val="22"/>
                <w:szCs w:val="22"/>
              </w:rPr>
            </w:pPr>
            <w:r w:rsidRPr="000D62F1">
              <w:rPr>
                <w:sz w:val="22"/>
                <w:szCs w:val="22"/>
              </w:rPr>
              <w:t>0.</w:t>
            </w:r>
            <w:r w:rsidR="00186C3F">
              <w:rPr>
                <w:sz w:val="22"/>
                <w:szCs w:val="22"/>
              </w:rPr>
              <w:t>33</w:t>
            </w:r>
          </w:p>
        </w:tc>
        <w:tc>
          <w:tcPr>
            <w:tcW w:w="1440" w:type="dxa"/>
            <w:shd w:val="clear" w:color="auto" w:fill="auto"/>
          </w:tcPr>
          <w:p w14:paraId="5C87DF06" w14:textId="755D3555" w:rsidR="00B16BA9" w:rsidRPr="000D62F1" w:rsidRDefault="00186C3F" w:rsidP="00080042">
            <w:pPr>
              <w:jc w:val="center"/>
              <w:rPr>
                <w:sz w:val="22"/>
                <w:szCs w:val="22"/>
              </w:rPr>
            </w:pPr>
            <w:r>
              <w:rPr>
                <w:sz w:val="22"/>
                <w:szCs w:val="22"/>
              </w:rPr>
              <w:t>258.39</w:t>
            </w:r>
          </w:p>
        </w:tc>
      </w:tr>
      <w:tr w:rsidR="00FF3BDF" w:rsidRPr="00FF3BDF" w14:paraId="285A506D" w14:textId="77777777" w:rsidTr="00FF3BDF">
        <w:trPr>
          <w:trHeight w:val="289"/>
        </w:trPr>
        <w:tc>
          <w:tcPr>
            <w:tcW w:w="4068" w:type="dxa"/>
          </w:tcPr>
          <w:p w14:paraId="5421E2DA" w14:textId="072FB3B5" w:rsidR="004A7A20" w:rsidRPr="000D62F1" w:rsidRDefault="004A7A20" w:rsidP="00784F69">
            <w:pPr>
              <w:rPr>
                <w:sz w:val="22"/>
                <w:szCs w:val="22"/>
              </w:rPr>
            </w:pPr>
            <w:r w:rsidRPr="000D62F1">
              <w:rPr>
                <w:sz w:val="22"/>
                <w:szCs w:val="22"/>
              </w:rPr>
              <w:t xml:space="preserve">SCP </w:t>
            </w:r>
            <w:r w:rsidR="000D73A4" w:rsidRPr="000D62F1">
              <w:rPr>
                <w:sz w:val="22"/>
                <w:szCs w:val="22"/>
              </w:rPr>
              <w:t>p</w:t>
            </w:r>
            <w:r w:rsidRPr="000D62F1">
              <w:rPr>
                <w:sz w:val="22"/>
                <w:szCs w:val="22"/>
              </w:rPr>
              <w:t xml:space="preserve">roject </w:t>
            </w:r>
            <w:r w:rsidR="00784F69" w:rsidRPr="000D62F1">
              <w:rPr>
                <w:sz w:val="22"/>
                <w:szCs w:val="22"/>
              </w:rPr>
              <w:t xml:space="preserve">staff </w:t>
            </w:r>
          </w:p>
        </w:tc>
        <w:tc>
          <w:tcPr>
            <w:tcW w:w="1440" w:type="dxa"/>
          </w:tcPr>
          <w:p w14:paraId="3308BAFC" w14:textId="77777777" w:rsidR="004A7A20" w:rsidRPr="000D62F1" w:rsidRDefault="004A7A20" w:rsidP="00080042">
            <w:pPr>
              <w:jc w:val="center"/>
              <w:rPr>
                <w:sz w:val="22"/>
                <w:szCs w:val="22"/>
              </w:rPr>
            </w:pPr>
          </w:p>
        </w:tc>
        <w:tc>
          <w:tcPr>
            <w:tcW w:w="1530" w:type="dxa"/>
            <w:shd w:val="clear" w:color="auto" w:fill="auto"/>
          </w:tcPr>
          <w:p w14:paraId="70FA1DB3" w14:textId="77777777" w:rsidR="004A7A20" w:rsidRPr="000D62F1" w:rsidRDefault="004A7A20" w:rsidP="00080042">
            <w:pPr>
              <w:jc w:val="center"/>
              <w:rPr>
                <w:sz w:val="22"/>
                <w:szCs w:val="22"/>
              </w:rPr>
            </w:pPr>
          </w:p>
        </w:tc>
        <w:tc>
          <w:tcPr>
            <w:tcW w:w="1350" w:type="dxa"/>
            <w:shd w:val="clear" w:color="auto" w:fill="auto"/>
          </w:tcPr>
          <w:p w14:paraId="46525928" w14:textId="77777777" w:rsidR="004A7A20" w:rsidRPr="000D62F1" w:rsidRDefault="004A7A20" w:rsidP="00080042">
            <w:pPr>
              <w:jc w:val="center"/>
              <w:rPr>
                <w:sz w:val="22"/>
                <w:szCs w:val="22"/>
              </w:rPr>
            </w:pPr>
          </w:p>
        </w:tc>
        <w:tc>
          <w:tcPr>
            <w:tcW w:w="1440" w:type="dxa"/>
            <w:shd w:val="clear" w:color="auto" w:fill="auto"/>
          </w:tcPr>
          <w:p w14:paraId="60333A8E" w14:textId="77777777" w:rsidR="004A7A20" w:rsidRPr="000D62F1" w:rsidRDefault="004A7A20" w:rsidP="00080042">
            <w:pPr>
              <w:jc w:val="center"/>
              <w:rPr>
                <w:sz w:val="22"/>
                <w:szCs w:val="22"/>
              </w:rPr>
            </w:pPr>
          </w:p>
        </w:tc>
      </w:tr>
      <w:tr w:rsidR="00FF3BDF" w:rsidRPr="00FF3BDF" w14:paraId="0A6A19AB" w14:textId="77777777" w:rsidTr="00FF3BDF">
        <w:trPr>
          <w:trHeight w:val="289"/>
        </w:trPr>
        <w:tc>
          <w:tcPr>
            <w:tcW w:w="4068" w:type="dxa"/>
          </w:tcPr>
          <w:p w14:paraId="2BCC1C39" w14:textId="77777777" w:rsidR="000D73A4" w:rsidRPr="000D62F1" w:rsidRDefault="000D73A4" w:rsidP="00315F65">
            <w:pPr>
              <w:ind w:left="180"/>
              <w:rPr>
                <w:sz w:val="22"/>
                <w:szCs w:val="22"/>
              </w:rPr>
            </w:pPr>
            <w:r w:rsidRPr="000D62F1">
              <w:rPr>
                <w:sz w:val="22"/>
                <w:szCs w:val="22"/>
              </w:rPr>
              <w:t>Caregiver Study</w:t>
            </w:r>
            <w:r w:rsidR="007078F2" w:rsidRPr="000D62F1">
              <w:rPr>
                <w:sz w:val="22"/>
                <w:szCs w:val="22"/>
                <w:vertAlign w:val="superscript"/>
              </w:rPr>
              <w:t>1</w:t>
            </w:r>
            <w:r w:rsidRPr="000D62F1">
              <w:rPr>
                <w:sz w:val="22"/>
                <w:szCs w:val="22"/>
              </w:rPr>
              <w:t>: Baseline and follow-up</w:t>
            </w:r>
          </w:p>
        </w:tc>
        <w:tc>
          <w:tcPr>
            <w:tcW w:w="1440" w:type="dxa"/>
          </w:tcPr>
          <w:p w14:paraId="50637A24" w14:textId="502E5229" w:rsidR="000D73A4" w:rsidRPr="000D62F1" w:rsidRDefault="0049711E" w:rsidP="00080042">
            <w:pPr>
              <w:jc w:val="center"/>
              <w:rPr>
                <w:sz w:val="22"/>
                <w:szCs w:val="22"/>
              </w:rPr>
            </w:pPr>
            <w:r w:rsidRPr="000D62F1">
              <w:rPr>
                <w:sz w:val="22"/>
                <w:szCs w:val="22"/>
              </w:rPr>
              <w:t>142</w:t>
            </w:r>
          </w:p>
        </w:tc>
        <w:tc>
          <w:tcPr>
            <w:tcW w:w="1530" w:type="dxa"/>
            <w:shd w:val="clear" w:color="auto" w:fill="auto"/>
          </w:tcPr>
          <w:p w14:paraId="1351A334" w14:textId="513C8969" w:rsidR="000D73A4" w:rsidRPr="000D62F1" w:rsidRDefault="003C40F2" w:rsidP="00080042">
            <w:pPr>
              <w:jc w:val="center"/>
              <w:rPr>
                <w:sz w:val="22"/>
                <w:szCs w:val="22"/>
              </w:rPr>
            </w:pPr>
            <w:r w:rsidRPr="000D62F1">
              <w:rPr>
                <w:sz w:val="22"/>
                <w:szCs w:val="22"/>
              </w:rPr>
              <w:t>90</w:t>
            </w:r>
          </w:p>
        </w:tc>
        <w:tc>
          <w:tcPr>
            <w:tcW w:w="1350" w:type="dxa"/>
            <w:shd w:val="clear" w:color="auto" w:fill="auto"/>
          </w:tcPr>
          <w:p w14:paraId="3DEEB97D" w14:textId="570E9713" w:rsidR="000D73A4" w:rsidRPr="000D62F1" w:rsidRDefault="003C40F2" w:rsidP="00080042">
            <w:pPr>
              <w:jc w:val="center"/>
              <w:rPr>
                <w:sz w:val="22"/>
                <w:szCs w:val="22"/>
              </w:rPr>
            </w:pPr>
            <w:r w:rsidRPr="000D62F1">
              <w:rPr>
                <w:sz w:val="22"/>
                <w:szCs w:val="22"/>
              </w:rPr>
              <w:t>1.50</w:t>
            </w:r>
          </w:p>
        </w:tc>
        <w:tc>
          <w:tcPr>
            <w:tcW w:w="1440" w:type="dxa"/>
            <w:shd w:val="clear" w:color="auto" w:fill="auto"/>
          </w:tcPr>
          <w:p w14:paraId="0A4EC1B6" w14:textId="4B658F62" w:rsidR="000D73A4" w:rsidRPr="000D62F1" w:rsidRDefault="003C40F2" w:rsidP="00080042">
            <w:pPr>
              <w:jc w:val="center"/>
              <w:rPr>
                <w:sz w:val="22"/>
                <w:szCs w:val="22"/>
              </w:rPr>
            </w:pPr>
            <w:r w:rsidRPr="000D62F1">
              <w:rPr>
                <w:sz w:val="22"/>
                <w:szCs w:val="22"/>
              </w:rPr>
              <w:t>213</w:t>
            </w:r>
          </w:p>
        </w:tc>
      </w:tr>
      <w:tr w:rsidR="00FF3BDF" w:rsidRPr="00FF3BDF" w14:paraId="75D5836B" w14:textId="77777777" w:rsidTr="00FF3BDF">
        <w:trPr>
          <w:trHeight w:val="289"/>
        </w:trPr>
        <w:tc>
          <w:tcPr>
            <w:tcW w:w="4068" w:type="dxa"/>
          </w:tcPr>
          <w:p w14:paraId="23677197" w14:textId="77777777" w:rsidR="000D73A4" w:rsidRPr="000D62F1" w:rsidRDefault="000D73A4" w:rsidP="00315F65">
            <w:pPr>
              <w:ind w:left="180"/>
              <w:rPr>
                <w:sz w:val="22"/>
                <w:szCs w:val="22"/>
              </w:rPr>
            </w:pPr>
            <w:r w:rsidRPr="000D62F1">
              <w:rPr>
                <w:sz w:val="22"/>
                <w:szCs w:val="22"/>
              </w:rPr>
              <w:t>Volunteer Study</w:t>
            </w:r>
            <w:r w:rsidR="007078F2" w:rsidRPr="000D62F1">
              <w:rPr>
                <w:sz w:val="22"/>
                <w:szCs w:val="22"/>
                <w:vertAlign w:val="superscript"/>
              </w:rPr>
              <w:t>2</w:t>
            </w:r>
            <w:r w:rsidRPr="000D62F1">
              <w:rPr>
                <w:sz w:val="22"/>
                <w:szCs w:val="22"/>
              </w:rPr>
              <w:t>: Baseline and two follow-ups</w:t>
            </w:r>
          </w:p>
        </w:tc>
        <w:tc>
          <w:tcPr>
            <w:tcW w:w="1440" w:type="dxa"/>
          </w:tcPr>
          <w:p w14:paraId="527D77BC" w14:textId="1C12DBEB" w:rsidR="000D73A4" w:rsidRPr="000D62F1" w:rsidRDefault="0049711E" w:rsidP="00080042">
            <w:pPr>
              <w:jc w:val="center"/>
              <w:rPr>
                <w:sz w:val="22"/>
                <w:szCs w:val="22"/>
              </w:rPr>
            </w:pPr>
            <w:r w:rsidRPr="000D62F1">
              <w:rPr>
                <w:sz w:val="22"/>
                <w:szCs w:val="22"/>
              </w:rPr>
              <w:t>170</w:t>
            </w:r>
          </w:p>
        </w:tc>
        <w:tc>
          <w:tcPr>
            <w:tcW w:w="1530" w:type="dxa"/>
            <w:shd w:val="clear" w:color="auto" w:fill="auto"/>
          </w:tcPr>
          <w:p w14:paraId="326744E2" w14:textId="3FA74C6F" w:rsidR="000D73A4" w:rsidRPr="000D62F1" w:rsidRDefault="003C40F2" w:rsidP="00080042">
            <w:pPr>
              <w:jc w:val="center"/>
              <w:rPr>
                <w:sz w:val="22"/>
                <w:szCs w:val="22"/>
              </w:rPr>
            </w:pPr>
            <w:r w:rsidRPr="000D62F1">
              <w:rPr>
                <w:sz w:val="22"/>
                <w:szCs w:val="22"/>
              </w:rPr>
              <w:t>120</w:t>
            </w:r>
          </w:p>
        </w:tc>
        <w:tc>
          <w:tcPr>
            <w:tcW w:w="1350" w:type="dxa"/>
            <w:shd w:val="clear" w:color="auto" w:fill="auto"/>
          </w:tcPr>
          <w:p w14:paraId="3ECA66EC" w14:textId="65C69CF3" w:rsidR="000D73A4" w:rsidRPr="000D62F1" w:rsidRDefault="003C40F2" w:rsidP="00080042">
            <w:pPr>
              <w:jc w:val="center"/>
              <w:rPr>
                <w:sz w:val="22"/>
                <w:szCs w:val="22"/>
              </w:rPr>
            </w:pPr>
            <w:r w:rsidRPr="000D62F1">
              <w:rPr>
                <w:sz w:val="22"/>
                <w:szCs w:val="22"/>
              </w:rPr>
              <w:t>2.00</w:t>
            </w:r>
          </w:p>
        </w:tc>
        <w:tc>
          <w:tcPr>
            <w:tcW w:w="1440" w:type="dxa"/>
            <w:shd w:val="clear" w:color="auto" w:fill="auto"/>
          </w:tcPr>
          <w:p w14:paraId="75DB36E2" w14:textId="123A71E1" w:rsidR="000D73A4" w:rsidRPr="000D62F1" w:rsidRDefault="003C40F2" w:rsidP="00080042">
            <w:pPr>
              <w:jc w:val="center"/>
              <w:rPr>
                <w:sz w:val="22"/>
                <w:szCs w:val="22"/>
              </w:rPr>
            </w:pPr>
            <w:r w:rsidRPr="000D62F1">
              <w:rPr>
                <w:sz w:val="22"/>
                <w:szCs w:val="22"/>
              </w:rPr>
              <w:t>340</w:t>
            </w:r>
          </w:p>
        </w:tc>
      </w:tr>
      <w:tr w:rsidR="00FF3BDF" w:rsidRPr="00FF3BDF" w14:paraId="235237B8" w14:textId="77777777" w:rsidTr="00FF3BDF">
        <w:trPr>
          <w:trHeight w:val="289"/>
        </w:trPr>
        <w:tc>
          <w:tcPr>
            <w:tcW w:w="4068" w:type="dxa"/>
          </w:tcPr>
          <w:p w14:paraId="1B1FA1E0" w14:textId="4C0DCD57" w:rsidR="000D73A4" w:rsidRPr="000D62F1" w:rsidRDefault="000D73A4" w:rsidP="00784F69">
            <w:pPr>
              <w:rPr>
                <w:sz w:val="22"/>
                <w:szCs w:val="22"/>
              </w:rPr>
            </w:pPr>
            <w:r w:rsidRPr="000D62F1">
              <w:rPr>
                <w:sz w:val="22"/>
                <w:szCs w:val="22"/>
              </w:rPr>
              <w:t xml:space="preserve">FGP project </w:t>
            </w:r>
            <w:r w:rsidR="00784F69" w:rsidRPr="000D62F1">
              <w:rPr>
                <w:sz w:val="22"/>
                <w:szCs w:val="22"/>
              </w:rPr>
              <w:t>staff</w:t>
            </w:r>
          </w:p>
        </w:tc>
        <w:tc>
          <w:tcPr>
            <w:tcW w:w="1440" w:type="dxa"/>
          </w:tcPr>
          <w:p w14:paraId="2791C78C" w14:textId="77777777" w:rsidR="000D73A4" w:rsidRPr="000D62F1" w:rsidRDefault="000D73A4" w:rsidP="00080042">
            <w:pPr>
              <w:jc w:val="center"/>
              <w:rPr>
                <w:sz w:val="22"/>
                <w:szCs w:val="22"/>
              </w:rPr>
            </w:pPr>
          </w:p>
        </w:tc>
        <w:tc>
          <w:tcPr>
            <w:tcW w:w="1530" w:type="dxa"/>
            <w:shd w:val="clear" w:color="auto" w:fill="auto"/>
          </w:tcPr>
          <w:p w14:paraId="1EA1100A" w14:textId="77777777" w:rsidR="000D73A4" w:rsidRPr="000D62F1" w:rsidRDefault="000D73A4" w:rsidP="00080042">
            <w:pPr>
              <w:jc w:val="center"/>
              <w:rPr>
                <w:sz w:val="22"/>
                <w:szCs w:val="22"/>
              </w:rPr>
            </w:pPr>
          </w:p>
        </w:tc>
        <w:tc>
          <w:tcPr>
            <w:tcW w:w="1350" w:type="dxa"/>
            <w:shd w:val="clear" w:color="auto" w:fill="auto"/>
          </w:tcPr>
          <w:p w14:paraId="23F122BB" w14:textId="77777777" w:rsidR="000D73A4" w:rsidRPr="000D62F1" w:rsidRDefault="000D73A4" w:rsidP="00080042">
            <w:pPr>
              <w:jc w:val="center"/>
              <w:rPr>
                <w:sz w:val="22"/>
                <w:szCs w:val="22"/>
              </w:rPr>
            </w:pPr>
          </w:p>
        </w:tc>
        <w:tc>
          <w:tcPr>
            <w:tcW w:w="1440" w:type="dxa"/>
            <w:shd w:val="clear" w:color="auto" w:fill="auto"/>
          </w:tcPr>
          <w:p w14:paraId="74CE2444" w14:textId="77777777" w:rsidR="000D73A4" w:rsidRPr="000D62F1" w:rsidRDefault="000D73A4" w:rsidP="00080042">
            <w:pPr>
              <w:jc w:val="center"/>
              <w:rPr>
                <w:sz w:val="22"/>
                <w:szCs w:val="22"/>
              </w:rPr>
            </w:pPr>
          </w:p>
        </w:tc>
      </w:tr>
      <w:tr w:rsidR="00FF3BDF" w:rsidRPr="00FF3BDF" w14:paraId="3BC8D484" w14:textId="77777777" w:rsidTr="00FF3BDF">
        <w:trPr>
          <w:trHeight w:val="289"/>
        </w:trPr>
        <w:tc>
          <w:tcPr>
            <w:tcW w:w="4068" w:type="dxa"/>
          </w:tcPr>
          <w:p w14:paraId="243060CB" w14:textId="77777777" w:rsidR="000D73A4" w:rsidRPr="000D62F1" w:rsidRDefault="000D73A4" w:rsidP="000D62F1">
            <w:pPr>
              <w:ind w:left="180"/>
              <w:rPr>
                <w:sz w:val="22"/>
                <w:szCs w:val="22"/>
              </w:rPr>
            </w:pPr>
            <w:r w:rsidRPr="000D62F1">
              <w:rPr>
                <w:sz w:val="22"/>
                <w:szCs w:val="22"/>
              </w:rPr>
              <w:t>Volunteer Study</w:t>
            </w:r>
            <w:r w:rsidR="007078F2" w:rsidRPr="000D62F1">
              <w:rPr>
                <w:sz w:val="22"/>
                <w:szCs w:val="22"/>
                <w:vertAlign w:val="superscript"/>
              </w:rPr>
              <w:t>2</w:t>
            </w:r>
            <w:r w:rsidRPr="000D62F1">
              <w:rPr>
                <w:sz w:val="22"/>
                <w:szCs w:val="22"/>
              </w:rPr>
              <w:t>: baseline and two follow-ups</w:t>
            </w:r>
          </w:p>
        </w:tc>
        <w:tc>
          <w:tcPr>
            <w:tcW w:w="1440" w:type="dxa"/>
          </w:tcPr>
          <w:p w14:paraId="6EFE0224" w14:textId="1A8B84DD" w:rsidR="000D73A4" w:rsidRPr="000D62F1" w:rsidRDefault="0049711E" w:rsidP="00080042">
            <w:pPr>
              <w:jc w:val="center"/>
              <w:rPr>
                <w:sz w:val="22"/>
                <w:szCs w:val="22"/>
              </w:rPr>
            </w:pPr>
            <w:r w:rsidRPr="000D62F1">
              <w:rPr>
                <w:sz w:val="22"/>
                <w:szCs w:val="22"/>
              </w:rPr>
              <w:t>309</w:t>
            </w:r>
          </w:p>
        </w:tc>
        <w:tc>
          <w:tcPr>
            <w:tcW w:w="1530" w:type="dxa"/>
            <w:shd w:val="clear" w:color="auto" w:fill="auto"/>
          </w:tcPr>
          <w:p w14:paraId="21A51A56" w14:textId="4062BEA0" w:rsidR="000D73A4" w:rsidRPr="000D62F1" w:rsidRDefault="003C40F2" w:rsidP="00080042">
            <w:pPr>
              <w:jc w:val="center"/>
              <w:rPr>
                <w:sz w:val="22"/>
                <w:szCs w:val="22"/>
              </w:rPr>
            </w:pPr>
            <w:r w:rsidRPr="000D62F1">
              <w:rPr>
                <w:sz w:val="22"/>
                <w:szCs w:val="22"/>
              </w:rPr>
              <w:t>120</w:t>
            </w:r>
          </w:p>
        </w:tc>
        <w:tc>
          <w:tcPr>
            <w:tcW w:w="1350" w:type="dxa"/>
            <w:shd w:val="clear" w:color="auto" w:fill="auto"/>
          </w:tcPr>
          <w:p w14:paraId="55F02770" w14:textId="0F800972" w:rsidR="000D73A4" w:rsidRPr="000D62F1" w:rsidRDefault="003C40F2" w:rsidP="00080042">
            <w:pPr>
              <w:jc w:val="center"/>
              <w:rPr>
                <w:sz w:val="22"/>
                <w:szCs w:val="22"/>
              </w:rPr>
            </w:pPr>
            <w:r w:rsidRPr="000D62F1">
              <w:rPr>
                <w:sz w:val="22"/>
                <w:szCs w:val="22"/>
              </w:rPr>
              <w:t>2.00</w:t>
            </w:r>
          </w:p>
        </w:tc>
        <w:tc>
          <w:tcPr>
            <w:tcW w:w="1440" w:type="dxa"/>
            <w:shd w:val="clear" w:color="auto" w:fill="auto"/>
          </w:tcPr>
          <w:p w14:paraId="7925D77D" w14:textId="672F7EF5" w:rsidR="000D73A4" w:rsidRPr="000D62F1" w:rsidRDefault="003C40F2" w:rsidP="00080042">
            <w:pPr>
              <w:jc w:val="center"/>
              <w:rPr>
                <w:sz w:val="22"/>
                <w:szCs w:val="22"/>
              </w:rPr>
            </w:pPr>
            <w:r w:rsidRPr="000D62F1">
              <w:rPr>
                <w:sz w:val="22"/>
                <w:szCs w:val="22"/>
              </w:rPr>
              <w:t>618</w:t>
            </w:r>
          </w:p>
        </w:tc>
      </w:tr>
    </w:tbl>
    <w:p w14:paraId="228D9A68" w14:textId="488B7159" w:rsidR="007078F2" w:rsidRPr="000D62F1" w:rsidRDefault="00990AF9" w:rsidP="00CA0DDB">
      <w:pPr>
        <w:autoSpaceDE w:val="0"/>
        <w:autoSpaceDN w:val="0"/>
        <w:adjustRightInd w:val="0"/>
        <w:ind w:left="180" w:hanging="180"/>
        <w:rPr>
          <w:sz w:val="20"/>
          <w:szCs w:val="20"/>
        </w:rPr>
      </w:pPr>
      <w:r w:rsidRPr="000D62F1">
        <w:rPr>
          <w:sz w:val="20"/>
          <w:szCs w:val="20"/>
          <w:vertAlign w:val="superscript"/>
        </w:rPr>
        <w:t>1</w:t>
      </w:r>
      <w:r w:rsidR="00CA0DDB" w:rsidRPr="000D62F1">
        <w:rPr>
          <w:sz w:val="20"/>
          <w:szCs w:val="20"/>
        </w:rPr>
        <w:t xml:space="preserve"> </w:t>
      </w:r>
      <w:r w:rsidRPr="000D62F1">
        <w:rPr>
          <w:sz w:val="20"/>
          <w:szCs w:val="20"/>
        </w:rPr>
        <w:t xml:space="preserve">In the Caregiver Study, it is projected that 142 SCP grantees will be eligible to participate. </w:t>
      </w:r>
    </w:p>
    <w:p w14:paraId="2D694214" w14:textId="77777777" w:rsidR="00ED5933" w:rsidRPr="000D62F1" w:rsidRDefault="007078F2" w:rsidP="00CA0DDB">
      <w:pPr>
        <w:autoSpaceDE w:val="0"/>
        <w:autoSpaceDN w:val="0"/>
        <w:adjustRightInd w:val="0"/>
        <w:ind w:left="180" w:hanging="180"/>
        <w:rPr>
          <w:rFonts w:eastAsiaTheme="minorHAnsi"/>
          <w:sz w:val="20"/>
          <w:szCs w:val="20"/>
        </w:rPr>
      </w:pPr>
      <w:r w:rsidRPr="000D62F1">
        <w:rPr>
          <w:sz w:val="20"/>
          <w:szCs w:val="20"/>
          <w:vertAlign w:val="superscript"/>
        </w:rPr>
        <w:t xml:space="preserve">2 </w:t>
      </w:r>
      <w:r w:rsidR="00990AF9" w:rsidRPr="000D62F1">
        <w:rPr>
          <w:sz w:val="20"/>
          <w:szCs w:val="20"/>
        </w:rPr>
        <w:t xml:space="preserve">In the Volunteer Study, it is projected that 170 SCP and 309 FGP grantees will participate. </w:t>
      </w:r>
    </w:p>
    <w:p w14:paraId="3E0AF64A" w14:textId="3BD449CF" w:rsidR="004672D4" w:rsidRDefault="004672D4" w:rsidP="002548EB">
      <w:pPr>
        <w:spacing w:before="200" w:after="200"/>
      </w:pPr>
      <w:r>
        <w:t xml:space="preserve">The time to complete each </w:t>
      </w:r>
      <w:r w:rsidR="008A5D12">
        <w:t>survey</w:t>
      </w:r>
      <w:r>
        <w:t xml:space="preserve"> </w:t>
      </w:r>
      <w:r w:rsidR="00012EC1">
        <w:t xml:space="preserve">will </w:t>
      </w:r>
      <w:r>
        <w:t>var</w:t>
      </w:r>
      <w:r w:rsidR="00012EC1">
        <w:t>y</w:t>
      </w:r>
      <w:r>
        <w:t xml:space="preserve"> and depend on the characteristics of those completing the </w:t>
      </w:r>
      <w:r w:rsidR="008A5D12">
        <w:t>survey</w:t>
      </w:r>
      <w:r>
        <w:t>. Based on the pretest results, JBS estimates that</w:t>
      </w:r>
      <w:r w:rsidR="003C40F2">
        <w:t xml:space="preserve"> </w:t>
      </w:r>
      <w:r>
        <w:t>respondent</w:t>
      </w:r>
      <w:r w:rsidR="003C40F2">
        <w:t>s</w:t>
      </w:r>
      <w:r>
        <w:t xml:space="preserve"> will take </w:t>
      </w:r>
      <w:r w:rsidR="003C40F2">
        <w:t xml:space="preserve">between </w:t>
      </w:r>
      <w:r w:rsidR="00186C3F">
        <w:t>20</w:t>
      </w:r>
      <w:r w:rsidR="003C40F2" w:rsidRPr="00B75660">
        <w:t xml:space="preserve"> to </w:t>
      </w:r>
      <w:r w:rsidR="00186C3F">
        <w:t>3</w:t>
      </w:r>
      <w:r w:rsidR="003C40F2" w:rsidRPr="00B75660">
        <w:t>0</w:t>
      </w:r>
      <w:r>
        <w:t xml:space="preserve"> minutes </w:t>
      </w:r>
      <w:r w:rsidR="003C40F2">
        <w:t xml:space="preserve">depending on the </w:t>
      </w:r>
      <w:r w:rsidR="00540F9D">
        <w:t>survey</w:t>
      </w:r>
      <w:r>
        <w:t xml:space="preserve">, with the exception of the </w:t>
      </w:r>
      <w:r w:rsidR="00007DA0">
        <w:t xml:space="preserve">shorter </w:t>
      </w:r>
      <w:r>
        <w:t xml:space="preserve">first follow-up Volunteer Survey which will take an average of </w:t>
      </w:r>
      <w:r w:rsidR="00186C3F">
        <w:t>15</w:t>
      </w:r>
      <w:r>
        <w:t xml:space="preserve"> minutes to complete.</w:t>
      </w:r>
    </w:p>
    <w:p w14:paraId="0CE9F36B" w14:textId="05792369" w:rsidR="0049711E" w:rsidRDefault="0049711E" w:rsidP="0049711E">
      <w:pPr>
        <w:pStyle w:val="ListParagraph"/>
        <w:numPr>
          <w:ilvl w:val="0"/>
          <w:numId w:val="3"/>
        </w:numPr>
        <w:ind w:left="180" w:hanging="180"/>
        <w:rPr>
          <w:rFonts w:eastAsiaTheme="minorHAnsi"/>
        </w:rPr>
      </w:pPr>
      <w:r>
        <w:rPr>
          <w:rFonts w:eastAsiaTheme="minorHAnsi"/>
        </w:rPr>
        <w:t xml:space="preserve">Caregivers: </w:t>
      </w:r>
      <w:r w:rsidR="005B2058">
        <w:rPr>
          <w:rFonts w:eastAsiaTheme="minorHAnsi"/>
        </w:rPr>
        <w:t>The estimated cost for caregivers is $</w:t>
      </w:r>
      <w:r w:rsidR="00186C3F">
        <w:rPr>
          <w:rFonts w:eastAsiaTheme="minorHAnsi"/>
        </w:rPr>
        <w:t>17,085.95</w:t>
      </w:r>
      <w:r w:rsidR="005B2058">
        <w:rPr>
          <w:rFonts w:eastAsiaTheme="minorHAnsi"/>
        </w:rPr>
        <w:t xml:space="preserve"> which is based on an estimated hourly wage rate of $24.16 and total burden hours of </w:t>
      </w:r>
      <w:r w:rsidR="00186C3F">
        <w:rPr>
          <w:rFonts w:eastAsiaTheme="minorHAnsi"/>
        </w:rPr>
        <w:t>707.2</w:t>
      </w:r>
      <w:r w:rsidR="005B2058">
        <w:rPr>
          <w:rFonts w:eastAsiaTheme="minorHAnsi"/>
        </w:rPr>
        <w:t xml:space="preserve"> for caregivers. Caregivers can be of any age, though some proportion of them might </w:t>
      </w:r>
      <w:proofErr w:type="gramStart"/>
      <w:r w:rsidR="005B2058">
        <w:rPr>
          <w:rFonts w:eastAsiaTheme="minorHAnsi"/>
        </w:rPr>
        <w:t>employed</w:t>
      </w:r>
      <w:proofErr w:type="gramEnd"/>
      <w:r w:rsidR="005B2058">
        <w:rPr>
          <w:rFonts w:eastAsiaTheme="minorHAnsi"/>
        </w:rPr>
        <w:t xml:space="preserve"> or retired. The hourly wage estimates are based on the average hourly earnings of all employees in the private sector. The estimates were taken from the Bureau of Labor Statists,</w:t>
      </w:r>
      <w:r w:rsidR="002D2506">
        <w:rPr>
          <w:rFonts w:eastAsiaTheme="minorHAnsi"/>
        </w:rPr>
        <w:t xml:space="preserve"> accessed at</w:t>
      </w:r>
      <w:r w:rsidR="005B2058">
        <w:rPr>
          <w:rFonts w:eastAsiaTheme="minorHAnsi"/>
        </w:rPr>
        <w:t xml:space="preserve"> </w:t>
      </w:r>
      <w:hyperlink r:id="rId9" w:history="1">
        <w:r>
          <w:rPr>
            <w:rStyle w:val="Hyperlink"/>
          </w:rPr>
          <w:t>http://www.bls.gov/web/empsit/compaehes.txt</w:t>
        </w:r>
      </w:hyperlink>
      <w:r w:rsidR="002D2506">
        <w:t>.</w:t>
      </w:r>
    </w:p>
    <w:p w14:paraId="24394EEB" w14:textId="2EBD2414" w:rsidR="0049711E" w:rsidRPr="00EB505C" w:rsidRDefault="0049711E" w:rsidP="0049711E">
      <w:pPr>
        <w:pStyle w:val="ListParagraph"/>
        <w:numPr>
          <w:ilvl w:val="0"/>
          <w:numId w:val="3"/>
        </w:numPr>
        <w:ind w:left="180" w:hanging="180"/>
        <w:rPr>
          <w:rFonts w:eastAsiaTheme="minorHAnsi"/>
        </w:rPr>
      </w:pPr>
      <w:r>
        <w:rPr>
          <w:rFonts w:eastAsiaTheme="minorHAnsi"/>
        </w:rPr>
        <w:t>V</w:t>
      </w:r>
      <w:r w:rsidRPr="00EB505C">
        <w:rPr>
          <w:rFonts w:eastAsiaTheme="minorHAnsi"/>
        </w:rPr>
        <w:t xml:space="preserve">olunteers: The estimated annualized cost for </w:t>
      </w:r>
      <w:r w:rsidR="005B2058">
        <w:rPr>
          <w:rFonts w:eastAsiaTheme="minorHAnsi"/>
        </w:rPr>
        <w:t>volunteers</w:t>
      </w:r>
      <w:r w:rsidRPr="00EB505C">
        <w:rPr>
          <w:rFonts w:eastAsiaTheme="minorHAnsi"/>
        </w:rPr>
        <w:t xml:space="preserve"> is $</w:t>
      </w:r>
      <w:r w:rsidR="00186C3F">
        <w:rPr>
          <w:rFonts w:eastAsiaTheme="minorHAnsi"/>
        </w:rPr>
        <w:t>8,607.99</w:t>
      </w:r>
      <w:r w:rsidRPr="00EB505C">
        <w:rPr>
          <w:rFonts w:eastAsiaTheme="minorHAnsi"/>
        </w:rPr>
        <w:t xml:space="preserve"> which is based on an </w:t>
      </w:r>
      <w:r w:rsidR="001E03E4">
        <w:rPr>
          <w:rFonts w:eastAsiaTheme="minorHAnsi"/>
        </w:rPr>
        <w:t>estimated hourly wage rate of $9</w:t>
      </w:r>
      <w:r w:rsidRPr="00EB505C">
        <w:rPr>
          <w:rFonts w:eastAsiaTheme="minorHAnsi"/>
        </w:rPr>
        <w:t>.</w:t>
      </w:r>
      <w:r w:rsidR="001E03E4">
        <w:rPr>
          <w:rFonts w:eastAsiaTheme="minorHAnsi"/>
        </w:rPr>
        <w:t>49</w:t>
      </w:r>
      <w:r w:rsidRPr="00EB505C">
        <w:rPr>
          <w:rFonts w:eastAsiaTheme="minorHAnsi"/>
        </w:rPr>
        <w:t xml:space="preserve"> and total burden hours of </w:t>
      </w:r>
      <w:r w:rsidR="00186C3F">
        <w:rPr>
          <w:rFonts w:eastAsiaTheme="minorHAnsi"/>
        </w:rPr>
        <w:t>907.06</w:t>
      </w:r>
      <w:r w:rsidR="001E03E4">
        <w:rPr>
          <w:rFonts w:eastAsiaTheme="minorHAnsi"/>
        </w:rPr>
        <w:t xml:space="preserve"> for volunteers</w:t>
      </w:r>
      <w:r w:rsidRPr="00EB505C">
        <w:rPr>
          <w:rFonts w:eastAsiaTheme="minorHAnsi"/>
        </w:rPr>
        <w:t xml:space="preserve">. </w:t>
      </w:r>
      <w:r w:rsidRPr="00EB505C">
        <w:t xml:space="preserve">Hourly wage estimates for elderly adults were based on average Social Security benefit for retired </w:t>
      </w:r>
      <w:r w:rsidRPr="00EB505C">
        <w:lastRenderedPageBreak/>
        <w:t>workers. The average monthly Social Security benefit</w:t>
      </w:r>
      <w:r w:rsidR="001E03E4">
        <w:t xml:space="preserve"> for a retired worker was $1,328</w:t>
      </w:r>
      <w:r w:rsidRPr="00EB505C">
        <w:t xml:space="preserve"> </w:t>
      </w:r>
      <w:r w:rsidR="001E03E4">
        <w:t>in January 2015</w:t>
      </w:r>
      <w:r w:rsidRPr="00EB505C">
        <w:t xml:space="preserve">. </w:t>
      </w:r>
      <w:r>
        <w:t>Assuming a 35-hour work week, the a</w:t>
      </w:r>
      <w:r w:rsidR="001E03E4">
        <w:t>verage monthly benefit yields $9.49</w:t>
      </w:r>
      <w:r>
        <w:t xml:space="preserve"> per hour. </w:t>
      </w:r>
      <w:r w:rsidRPr="00EB505C">
        <w:t>The estimates were obtained from</w:t>
      </w:r>
      <w:r w:rsidRPr="00EB505C">
        <w:rPr>
          <w:rFonts w:ascii="Arial" w:hAnsi="Arial" w:cs="Arial"/>
        </w:rPr>
        <w:t xml:space="preserve"> </w:t>
      </w:r>
      <w:r w:rsidRPr="00EB505C">
        <w:rPr>
          <w:bCs/>
          <w:color w:val="25383C"/>
          <w:kern w:val="36"/>
        </w:rPr>
        <w:t xml:space="preserve">“Average monthly Social Security benefit for a retired worker”, accessed at </w:t>
      </w:r>
      <w:hyperlink r:id="rId10" w:history="1">
        <w:r w:rsidR="001E03E4" w:rsidRPr="00FF3BDF">
          <w:rPr>
            <w:rStyle w:val="Hyperlink"/>
          </w:rPr>
          <w:t>https://faq.ssa.gov/ics/support/KBResult.asp?searchFor=average-monthly-social-security-benefit-for-a-retired-worker&amp;button=Search&amp;task=knowledge&amp;basicSearch=1&amp;page=1</w:t>
        </w:r>
      </w:hyperlink>
      <w:r w:rsidRPr="00EB505C">
        <w:rPr>
          <w:rFonts w:eastAsiaTheme="minorHAnsi"/>
        </w:rPr>
        <w:t>.</w:t>
      </w:r>
    </w:p>
    <w:p w14:paraId="459553A7" w14:textId="2EAA4FA2" w:rsidR="005B2058" w:rsidRDefault="00032ECA" w:rsidP="005B2058">
      <w:pPr>
        <w:pStyle w:val="ListParagraph"/>
        <w:numPr>
          <w:ilvl w:val="0"/>
          <w:numId w:val="3"/>
        </w:numPr>
        <w:ind w:left="180" w:hanging="180"/>
      </w:pPr>
      <w:r>
        <w:rPr>
          <w:rFonts w:eastAsiaTheme="minorHAnsi"/>
        </w:rPr>
        <w:t xml:space="preserve">FGP and SCP </w:t>
      </w:r>
      <w:r w:rsidR="0049711E" w:rsidRPr="00EB505C">
        <w:rPr>
          <w:rFonts w:eastAsiaTheme="minorHAnsi"/>
        </w:rPr>
        <w:t xml:space="preserve">Project </w:t>
      </w:r>
      <w:r w:rsidR="001E03E4">
        <w:t>staff</w:t>
      </w:r>
      <w:r w:rsidR="0049711E" w:rsidRPr="00EB505C">
        <w:rPr>
          <w:rFonts w:eastAsiaTheme="minorHAnsi"/>
        </w:rPr>
        <w:t>: The estimated annualized cost for grantee</w:t>
      </w:r>
      <w:r w:rsidR="001E03E4">
        <w:rPr>
          <w:rFonts w:eastAsiaTheme="minorHAnsi"/>
        </w:rPr>
        <w:t>s</w:t>
      </w:r>
      <w:r w:rsidR="0049711E" w:rsidRPr="00EB505C">
        <w:rPr>
          <w:rFonts w:eastAsiaTheme="minorHAnsi"/>
        </w:rPr>
        <w:t xml:space="preserve"> is $</w:t>
      </w:r>
      <w:r w:rsidR="005B2058" w:rsidRPr="00B75660">
        <w:rPr>
          <w:rFonts w:eastAsiaTheme="minorHAnsi"/>
        </w:rPr>
        <w:t>29,977.60</w:t>
      </w:r>
      <w:r w:rsidR="0049711E" w:rsidRPr="00EB505C">
        <w:rPr>
          <w:rFonts w:eastAsiaTheme="minorHAnsi"/>
        </w:rPr>
        <w:t xml:space="preserve"> which is based on an e</w:t>
      </w:r>
      <w:r w:rsidR="001E03E4">
        <w:rPr>
          <w:rFonts w:eastAsiaTheme="minorHAnsi"/>
        </w:rPr>
        <w:t>stimated hourly wage rate of $25.60</w:t>
      </w:r>
      <w:r w:rsidR="0049711E" w:rsidRPr="00EB505C">
        <w:rPr>
          <w:rFonts w:eastAsiaTheme="minorHAnsi"/>
        </w:rPr>
        <w:t xml:space="preserve"> and total burden hours of </w:t>
      </w:r>
      <w:r w:rsidR="005B2058" w:rsidRPr="00B75660">
        <w:rPr>
          <w:rFonts w:eastAsiaTheme="minorHAnsi"/>
        </w:rPr>
        <w:t>1,171</w:t>
      </w:r>
      <w:r w:rsidR="0049711E" w:rsidRPr="00EB505C">
        <w:rPr>
          <w:rFonts w:eastAsiaTheme="minorHAnsi"/>
        </w:rPr>
        <w:t xml:space="preserve">. Wage estimates </w:t>
      </w:r>
      <w:r w:rsidR="005B2058">
        <w:rPr>
          <w:rFonts w:eastAsiaTheme="minorHAnsi"/>
        </w:rPr>
        <w:t>are based on wage data for</w:t>
      </w:r>
      <w:r w:rsidR="0049711E" w:rsidRPr="00EB505C">
        <w:rPr>
          <w:rFonts w:eastAsiaTheme="minorHAnsi"/>
        </w:rPr>
        <w:t xml:space="preserve"> </w:t>
      </w:r>
      <w:r w:rsidR="0049711E" w:rsidRPr="00EB505C">
        <w:t>nonprofit</w:t>
      </w:r>
      <w:r w:rsidR="0049711E" w:rsidRPr="00EB505C">
        <w:rPr>
          <w:rFonts w:eastAsiaTheme="minorHAnsi"/>
        </w:rPr>
        <w:t xml:space="preserve"> </w:t>
      </w:r>
      <w:r w:rsidR="005B2058">
        <w:rPr>
          <w:rFonts w:eastAsiaTheme="minorHAnsi"/>
        </w:rPr>
        <w:t>private industry. These estimates</w:t>
      </w:r>
      <w:r w:rsidR="0049711E" w:rsidRPr="00EB505C">
        <w:rPr>
          <w:rFonts w:eastAsiaTheme="minorHAnsi"/>
        </w:rPr>
        <w:t xml:space="preserve"> were taken from </w:t>
      </w:r>
      <w:r w:rsidR="005B2058">
        <w:rPr>
          <w:rFonts w:eastAsiaTheme="minorHAnsi"/>
        </w:rPr>
        <w:t xml:space="preserve">the Bureau of Labor Statistics </w:t>
      </w:r>
      <w:r w:rsidR="0049711E" w:rsidRPr="00EB505C">
        <w:rPr>
          <w:kern w:val="36"/>
        </w:rPr>
        <w:t xml:space="preserve">accessed at </w:t>
      </w:r>
      <w:hyperlink r:id="rId11" w:history="1">
        <w:r w:rsidR="005B2058">
          <w:rPr>
            <w:rStyle w:val="Hyperlink"/>
          </w:rPr>
          <w:t>http://www.bls.gov/bdm/nonprofits/nonprofits.htm</w:t>
        </w:r>
      </w:hyperlink>
      <w:r w:rsidR="005B2058">
        <w:t>. For 2012, BLS estimated</w:t>
      </w:r>
      <w:r w:rsidR="005B2058" w:rsidRPr="00EB505C">
        <w:rPr>
          <w:kern w:val="36"/>
        </w:rPr>
        <w:t xml:space="preserve"> </w:t>
      </w:r>
      <w:r w:rsidR="005B2058">
        <w:rPr>
          <w:kern w:val="36"/>
        </w:rPr>
        <w:t xml:space="preserve">the average weekly wage in the nonprofit industry was $896. Assuming a 35-hour work week, the hourly wage in the nonprofit industry was estimated at $25.60. </w:t>
      </w:r>
    </w:p>
    <w:p w14:paraId="09C3F6A7" w14:textId="77777777" w:rsidR="00B75660" w:rsidRDefault="00B75660" w:rsidP="00ED7B53">
      <w:pPr>
        <w:tabs>
          <w:tab w:val="left" w:pos="360"/>
        </w:tabs>
        <w:autoSpaceDE w:val="0"/>
        <w:autoSpaceDN w:val="0"/>
        <w:adjustRightInd w:val="0"/>
        <w:rPr>
          <w:b/>
        </w:rPr>
      </w:pPr>
    </w:p>
    <w:p w14:paraId="1E81CC29" w14:textId="77777777" w:rsidR="00FA55C7" w:rsidRDefault="00FA55C7" w:rsidP="00ED7B53">
      <w:pPr>
        <w:tabs>
          <w:tab w:val="left" w:pos="360"/>
        </w:tabs>
        <w:autoSpaceDE w:val="0"/>
        <w:autoSpaceDN w:val="0"/>
        <w:adjustRightInd w:val="0"/>
      </w:pPr>
      <w:r w:rsidRPr="00ED7B53">
        <w:rPr>
          <w:b/>
        </w:rPr>
        <w:t>13.</w:t>
      </w:r>
      <w:r w:rsidRPr="00ED7B53">
        <w:rPr>
          <w:b/>
        </w:rPr>
        <w:tab/>
        <w:t xml:space="preserve">Provide </w:t>
      </w:r>
      <w:r w:rsidRPr="00ED7B53">
        <w:rPr>
          <w:rFonts w:cs="Arial"/>
          <w:b/>
          <w:szCs w:val="20"/>
        </w:rPr>
        <w:t>an</w:t>
      </w:r>
      <w:r w:rsidRPr="00ED7B53">
        <w:rPr>
          <w:b/>
        </w:rPr>
        <w:t xml:space="preserve"> estimate for the total annual cost burden to respondents or record keepers resulting from the collection of information.</w:t>
      </w:r>
      <w:r w:rsidRPr="00CE3C52">
        <w:t xml:space="preserve"> </w:t>
      </w:r>
    </w:p>
    <w:p w14:paraId="3CE9BFBF" w14:textId="0178055E" w:rsidR="005E2BDA" w:rsidRDefault="008B4D94" w:rsidP="000D62F1">
      <w:pPr>
        <w:autoSpaceDE w:val="0"/>
        <w:autoSpaceDN w:val="0"/>
        <w:adjustRightInd w:val="0"/>
        <w:spacing w:before="200" w:after="200"/>
        <w:rPr>
          <w:rFonts w:eastAsiaTheme="minorHAnsi"/>
        </w:rPr>
      </w:pPr>
      <w:r>
        <w:rPr>
          <w:rFonts w:eastAsiaTheme="minorHAnsi"/>
        </w:rPr>
        <w:t xml:space="preserve">The collection of this information does not have any capital </w:t>
      </w:r>
      <w:r w:rsidR="00007DA0">
        <w:rPr>
          <w:rFonts w:eastAsiaTheme="minorHAnsi"/>
        </w:rPr>
        <w:t xml:space="preserve">or </w:t>
      </w:r>
      <w:r>
        <w:rPr>
          <w:rFonts w:eastAsiaTheme="minorHAnsi"/>
        </w:rPr>
        <w:t>start-up cost</w:t>
      </w:r>
      <w:r w:rsidR="00007DA0">
        <w:rPr>
          <w:rFonts w:eastAsiaTheme="minorHAnsi"/>
        </w:rPr>
        <w:t>s</w:t>
      </w:r>
      <w:r>
        <w:rPr>
          <w:rFonts w:eastAsiaTheme="minorHAnsi"/>
        </w:rPr>
        <w:t>; and it does not have any operation and maintenance cost</w:t>
      </w:r>
      <w:r w:rsidR="00007DA0">
        <w:rPr>
          <w:rFonts w:eastAsiaTheme="minorHAnsi"/>
        </w:rPr>
        <w:t>s</w:t>
      </w:r>
      <w:r>
        <w:rPr>
          <w:rFonts w:eastAsiaTheme="minorHAnsi"/>
        </w:rPr>
        <w:t>.</w:t>
      </w:r>
    </w:p>
    <w:p w14:paraId="0830688A" w14:textId="77777777" w:rsidR="00FA55C7" w:rsidRPr="00ED7B53" w:rsidRDefault="00FA55C7" w:rsidP="00ED7B53">
      <w:pPr>
        <w:tabs>
          <w:tab w:val="left" w:pos="360"/>
        </w:tabs>
        <w:autoSpaceDE w:val="0"/>
        <w:autoSpaceDN w:val="0"/>
        <w:adjustRightInd w:val="0"/>
        <w:rPr>
          <w:b/>
        </w:rPr>
      </w:pPr>
      <w:r w:rsidRPr="00ED7B53">
        <w:rPr>
          <w:b/>
        </w:rPr>
        <w:t>14.</w:t>
      </w:r>
      <w:r w:rsidRPr="00ED7B53">
        <w:rPr>
          <w:b/>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 </w:t>
      </w:r>
    </w:p>
    <w:p w14:paraId="2C82A235" w14:textId="09BE358D" w:rsidR="00EA0970" w:rsidRDefault="00EA0970" w:rsidP="000D62F1">
      <w:pPr>
        <w:spacing w:before="200" w:after="200"/>
      </w:pPr>
      <w:r w:rsidRPr="000D62F1">
        <w:t xml:space="preserve">For </w:t>
      </w:r>
      <w:r w:rsidR="00240D50" w:rsidRPr="000D62F1">
        <w:t>the</w:t>
      </w:r>
      <w:r w:rsidRPr="000D62F1">
        <w:t xml:space="preserve"> survey design, </w:t>
      </w:r>
      <w:r w:rsidR="002F36E3" w:rsidRPr="000D62F1">
        <w:t>sampling, implementation</w:t>
      </w:r>
      <w:r w:rsidRPr="000D62F1">
        <w:t xml:space="preserve"> and </w:t>
      </w:r>
      <w:r w:rsidR="00240D50" w:rsidRPr="000D62F1">
        <w:t xml:space="preserve">analysis of the data collected </w:t>
      </w:r>
      <w:r w:rsidRPr="000D62F1">
        <w:t xml:space="preserve">the estimated annual cost to the Federal government is </w:t>
      </w:r>
      <w:r w:rsidR="002F36E3" w:rsidRPr="000D62F1">
        <w:t>$</w:t>
      </w:r>
      <w:r w:rsidR="00C81D82" w:rsidRPr="000D62F1">
        <w:rPr>
          <w:color w:val="000000"/>
        </w:rPr>
        <w:t>460,895.19</w:t>
      </w:r>
      <w:r w:rsidR="005E2BDA" w:rsidRPr="000D62F1">
        <w:t xml:space="preserve">. </w:t>
      </w:r>
      <w:r w:rsidR="002F36E3" w:rsidRPr="000D62F1">
        <w:t xml:space="preserve">This number is based on the portion of the contract with JBS International </w:t>
      </w:r>
      <w:r w:rsidR="00C81D82" w:rsidRPr="000D62F1">
        <w:t xml:space="preserve">for Fiscal Year 2015 </w:t>
      </w:r>
      <w:r w:rsidR="002F36E3" w:rsidRPr="000D62F1">
        <w:t>that is devoted to the design, sampling, implementation</w:t>
      </w:r>
      <w:r w:rsidR="009C50F1" w:rsidRPr="000D62F1">
        <w:t>,</w:t>
      </w:r>
      <w:r w:rsidR="002F36E3" w:rsidRPr="000D62F1">
        <w:t xml:space="preserve"> and analysis of </w:t>
      </w:r>
      <w:r w:rsidR="00485CAE" w:rsidRPr="000D62F1">
        <w:t>the data collection</w:t>
      </w:r>
      <w:r w:rsidR="002F36E3" w:rsidRPr="000D62F1">
        <w:t>.</w:t>
      </w:r>
    </w:p>
    <w:p w14:paraId="49FC9A9D" w14:textId="77777777" w:rsidR="00E3150C" w:rsidRPr="00ED7B53" w:rsidRDefault="00E3150C" w:rsidP="00ED7B53">
      <w:pPr>
        <w:tabs>
          <w:tab w:val="left" w:pos="360"/>
        </w:tabs>
        <w:autoSpaceDE w:val="0"/>
        <w:autoSpaceDN w:val="0"/>
        <w:adjustRightInd w:val="0"/>
        <w:rPr>
          <w:b/>
        </w:rPr>
      </w:pPr>
      <w:r w:rsidRPr="00ED7B53">
        <w:rPr>
          <w:b/>
        </w:rPr>
        <w:t>15.</w:t>
      </w:r>
      <w:r w:rsidRPr="00ED7B53">
        <w:rPr>
          <w:b/>
        </w:rPr>
        <w:tab/>
        <w:t>Explain the reasons for any program changes or adjustments reported on the burden worksheet.</w:t>
      </w:r>
      <w:r>
        <w:t xml:space="preserve"> </w:t>
      </w:r>
    </w:p>
    <w:p w14:paraId="5AA61649" w14:textId="77777777" w:rsidR="00963AD6" w:rsidRDefault="00963AD6" w:rsidP="000D62F1">
      <w:pPr>
        <w:autoSpaceDE w:val="0"/>
        <w:autoSpaceDN w:val="0"/>
        <w:adjustRightInd w:val="0"/>
        <w:spacing w:before="200" w:after="200"/>
        <w:ind w:left="360" w:hanging="360"/>
        <w:rPr>
          <w:rFonts w:eastAsiaTheme="minorHAnsi"/>
        </w:rPr>
      </w:pPr>
      <w:r>
        <w:rPr>
          <w:rFonts w:eastAsiaTheme="minorHAnsi"/>
        </w:rPr>
        <w:t>This is an application for new collection. There are no program changes.</w:t>
      </w:r>
    </w:p>
    <w:p w14:paraId="2FDEBD68" w14:textId="77777777" w:rsidR="00E3150C" w:rsidRDefault="00E3150C" w:rsidP="00ED7B53">
      <w:pPr>
        <w:tabs>
          <w:tab w:val="left" w:pos="360"/>
        </w:tabs>
        <w:autoSpaceDE w:val="0"/>
        <w:autoSpaceDN w:val="0"/>
        <w:adjustRightInd w:val="0"/>
      </w:pPr>
      <w:r w:rsidRPr="00ED7B53">
        <w:rPr>
          <w:b/>
        </w:rPr>
        <w:t>16.</w:t>
      </w:r>
      <w:r w:rsidRPr="00ED7B53">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14:paraId="768FDEC5" w14:textId="37CEA668" w:rsidR="00017422" w:rsidRPr="00017422" w:rsidRDefault="00017422" w:rsidP="000D62F1">
      <w:pPr>
        <w:pStyle w:val="ListParagraph"/>
        <w:numPr>
          <w:ilvl w:val="0"/>
          <w:numId w:val="3"/>
        </w:numPr>
        <w:spacing w:before="200" w:after="200"/>
        <w:rPr>
          <w:rFonts w:eastAsiaTheme="minorHAnsi"/>
        </w:rPr>
      </w:pPr>
      <w:r w:rsidRPr="00017422">
        <w:rPr>
          <w:rFonts w:eastAsiaTheme="minorHAnsi"/>
        </w:rPr>
        <w:t>Plans for Tabulation and Publication</w:t>
      </w:r>
    </w:p>
    <w:p w14:paraId="331FCE52" w14:textId="7472A1BD" w:rsidR="00240D50" w:rsidRDefault="00F863B5" w:rsidP="000D62F1">
      <w:pPr>
        <w:spacing w:after="200"/>
      </w:pPr>
      <w:r w:rsidRPr="002919CF">
        <w:t xml:space="preserve">JBS </w:t>
      </w:r>
      <w:r>
        <w:t>will analyze the data and</w:t>
      </w:r>
      <w:r w:rsidRPr="002919CF">
        <w:t xml:space="preserve"> provid</w:t>
      </w:r>
      <w:r>
        <w:t>e CNCS</w:t>
      </w:r>
      <w:r w:rsidRPr="002919CF">
        <w:t xml:space="preserve"> a report for each study at the end of each data collection period (baseline, first and second follow-up). The reports will </w:t>
      </w:r>
      <w:r w:rsidR="00017422">
        <w:t>describe the eval</w:t>
      </w:r>
      <w:r w:rsidR="001866AB">
        <w:t>uat</w:t>
      </w:r>
      <w:r w:rsidR="00017422">
        <w:t xml:space="preserve">ion findings for each </w:t>
      </w:r>
      <w:r w:rsidR="00FE2BF3">
        <w:t xml:space="preserve">round of </w:t>
      </w:r>
      <w:r w:rsidR="00017422">
        <w:t xml:space="preserve">data collection. </w:t>
      </w:r>
      <w:r w:rsidRPr="002919CF">
        <w:t>The reports may be in the form of manuscripts intended for academic peer-review journals. JBS will provide supporting material</w:t>
      </w:r>
      <w:r w:rsidR="00007DA0">
        <w:t>s</w:t>
      </w:r>
      <w:r w:rsidRPr="002919CF">
        <w:t xml:space="preserve"> that will include </w:t>
      </w:r>
      <w:r w:rsidR="00017422">
        <w:t>research</w:t>
      </w:r>
      <w:r w:rsidR="00017422" w:rsidRPr="002919CF">
        <w:t xml:space="preserve"> </w:t>
      </w:r>
      <w:r w:rsidRPr="002919CF">
        <w:t>data files and a user’s guide</w:t>
      </w:r>
      <w:r w:rsidR="00017422">
        <w:t xml:space="preserve"> for future research</w:t>
      </w:r>
      <w:r w:rsidRPr="002919CF">
        <w:t>.</w:t>
      </w:r>
      <w:r w:rsidR="00485CAE">
        <w:t xml:space="preserve"> </w:t>
      </w:r>
      <w:r w:rsidR="00F91E52">
        <w:t xml:space="preserve">CNCS will include </w:t>
      </w:r>
      <w:r w:rsidR="00C96EBA">
        <w:t xml:space="preserve">the evaluation </w:t>
      </w:r>
      <w:r w:rsidR="00F91E52">
        <w:t xml:space="preserve">results in </w:t>
      </w:r>
      <w:r w:rsidR="00FE2BF3">
        <w:t xml:space="preserve">its </w:t>
      </w:r>
      <w:r w:rsidR="00F91E52">
        <w:t xml:space="preserve">Performance and Accountability Reporting to Congress and in Congressional Budget Justification. </w:t>
      </w:r>
    </w:p>
    <w:p w14:paraId="78E83846" w14:textId="002CD9F7" w:rsidR="006E0800" w:rsidRPr="006E39B9" w:rsidRDefault="00017422" w:rsidP="00017422">
      <w:pPr>
        <w:pStyle w:val="ListParagraph"/>
        <w:numPr>
          <w:ilvl w:val="0"/>
          <w:numId w:val="3"/>
        </w:numPr>
      </w:pPr>
      <w:r>
        <w:lastRenderedPageBreak/>
        <w:t>Analytic Techniques</w:t>
      </w:r>
    </w:p>
    <w:p w14:paraId="167FFE42" w14:textId="4D17BC27" w:rsidR="006E0800" w:rsidRPr="0090015F" w:rsidRDefault="00784B21" w:rsidP="000D62F1">
      <w:pPr>
        <w:spacing w:before="200" w:after="200"/>
      </w:pPr>
      <w:r w:rsidRPr="000D62F1">
        <w:rPr>
          <w:b/>
        </w:rPr>
        <w:t>Exploratory and descriptive analyses</w:t>
      </w:r>
      <w:r>
        <w:t>:</w:t>
      </w:r>
      <w:r w:rsidRPr="0090015F">
        <w:t xml:space="preserve"> </w:t>
      </w:r>
      <w:r w:rsidR="006E0800" w:rsidRPr="0090015F">
        <w:t xml:space="preserve">JBS will conduct exploratory and descriptive analyses to assess data quality and reliability of the survey items. This is an important initial first step to detect errors, determine if there are any violations of statistical assumptions, determine the relationships among variables, assess the direction and size of relationships between explanatory and outcome variables, and generate hypotheses. </w:t>
      </w:r>
      <w:r w:rsidR="00007DA0">
        <w:t>T</w:t>
      </w:r>
      <w:r w:rsidR="006E0800" w:rsidRPr="0090015F">
        <w:t>his initial analysis</w:t>
      </w:r>
      <w:r w:rsidR="00007DA0">
        <w:t xml:space="preserve"> will provide </w:t>
      </w:r>
      <w:r w:rsidR="006E0800" w:rsidRPr="0090015F">
        <w:t xml:space="preserve">a solid knowledge base about the variables of interest and the relationships among them. In this initial phase of the analysis, JBS will </w:t>
      </w:r>
      <w:r w:rsidR="0090015F">
        <w:t>calculate</w:t>
      </w:r>
      <w:r w:rsidR="0090015F" w:rsidRPr="0090015F">
        <w:t xml:space="preserve"> </w:t>
      </w:r>
      <w:r w:rsidR="006E0800" w:rsidRPr="0090015F">
        <w:t>the response rate</w:t>
      </w:r>
      <w:r w:rsidR="002847FD">
        <w:t>s</w:t>
      </w:r>
      <w:r w:rsidR="006E0800" w:rsidRPr="0090015F">
        <w:t xml:space="preserve">, screen the data for incomplete or missing data, detect outliers in responses, and combine items into scales. </w:t>
      </w:r>
    </w:p>
    <w:p w14:paraId="337CCDF5" w14:textId="4FE30085" w:rsidR="00B86D1B" w:rsidRDefault="00EC612C" w:rsidP="000D62F1">
      <w:pPr>
        <w:spacing w:after="200"/>
      </w:pPr>
      <w:r w:rsidRPr="00ED7B53">
        <w:rPr>
          <w:b/>
          <w:bCs/>
        </w:rPr>
        <w:t xml:space="preserve">Missing </w:t>
      </w:r>
      <w:r w:rsidR="00784B21">
        <w:rPr>
          <w:b/>
          <w:bCs/>
        </w:rPr>
        <w:t>d</w:t>
      </w:r>
      <w:r w:rsidRPr="00ED7B53">
        <w:rPr>
          <w:b/>
          <w:bCs/>
        </w:rPr>
        <w:t>ata</w:t>
      </w:r>
      <w:r>
        <w:rPr>
          <w:b/>
          <w:bCs/>
        </w:rPr>
        <w:t xml:space="preserve"> and </w:t>
      </w:r>
      <w:r w:rsidR="00784B21">
        <w:rPr>
          <w:b/>
          <w:bCs/>
        </w:rPr>
        <w:t>d</w:t>
      </w:r>
      <w:r>
        <w:rPr>
          <w:b/>
          <w:bCs/>
        </w:rPr>
        <w:t>ropouts:</w:t>
      </w:r>
      <w:r>
        <w:t xml:space="preserve"> </w:t>
      </w:r>
      <w:r w:rsidR="00B86D1B">
        <w:t>T</w:t>
      </w:r>
      <w:r w:rsidR="00B86D1B" w:rsidRPr="00ED7B53">
        <w:t xml:space="preserve">here are two potential sources of missing data. One source of missing data is that participants may refuse to answer some questions. Another source is that participants exit the study and </w:t>
      </w:r>
      <w:r w:rsidR="00B86D1B">
        <w:t>cannot</w:t>
      </w:r>
      <w:r w:rsidR="00B86D1B" w:rsidRPr="00ED7B53">
        <w:t xml:space="preserve"> </w:t>
      </w:r>
      <w:r w:rsidR="00B86D1B">
        <w:t>be found to</w:t>
      </w:r>
      <w:r w:rsidR="00B86D1B" w:rsidRPr="00ED7B53">
        <w:t xml:space="preserve"> complete the follow-up data collection</w:t>
      </w:r>
      <w:r w:rsidR="00B86D1B">
        <w:t xml:space="preserve"> or decline to participate in the follow-up when contacted</w:t>
      </w:r>
      <w:r w:rsidR="00B86D1B" w:rsidRPr="00ED7B53">
        <w:t xml:space="preserve">. During the exploratory analysis phase, </w:t>
      </w:r>
      <w:r w:rsidR="00B86D1B">
        <w:t>JBS</w:t>
      </w:r>
      <w:r w:rsidR="00B86D1B" w:rsidRPr="00ED7B53">
        <w:t xml:space="preserve"> will identify the extent of missing data for the items in each survey. It is important to understand the source of missing values in order to select the most appropriate imputation method. This is important whenever missing values may also be related to observed characteristics of respondents. For example, if certain types of individuals refused to answer sensitive questions, or if participants who leave the study </w:t>
      </w:r>
      <w:r w:rsidR="00007DA0">
        <w:t>are</w:t>
      </w:r>
      <w:r w:rsidR="00B86D1B" w:rsidRPr="00ED7B53">
        <w:t xml:space="preserve"> different from those who remain. These are non-ignorable missing data</w:t>
      </w:r>
      <w:r w:rsidR="00B86D1B">
        <w:t xml:space="preserve"> (Allison, 2002)</w:t>
      </w:r>
      <w:r w:rsidR="00B86D1B" w:rsidRPr="00ED7B53">
        <w:t xml:space="preserve">. There are several classes of models for handing this type of missing data; a notable one is Heckman’s (1976) model for sample selection bias. </w:t>
      </w:r>
    </w:p>
    <w:p w14:paraId="762B9C9D" w14:textId="4D73B870" w:rsidR="00B86D1B" w:rsidRPr="00ED7B53" w:rsidRDefault="00EC612C" w:rsidP="000D62F1">
      <w:pPr>
        <w:spacing w:after="200"/>
      </w:pPr>
      <w:r>
        <w:rPr>
          <w:b/>
          <w:bCs/>
        </w:rPr>
        <w:t>Imputation:</w:t>
      </w:r>
      <w:r w:rsidRPr="00ED7B53">
        <w:t xml:space="preserve"> </w:t>
      </w:r>
      <w:r w:rsidR="00B86D1B" w:rsidRPr="00ED7B53">
        <w:t xml:space="preserve">Restricting the analysis to include only cases with complete data could bias sample statistics, such as regression coefficients, resulting in less powerful and reliable estimates. To address these potential limitations, </w:t>
      </w:r>
      <w:r w:rsidR="00B86D1B">
        <w:t>JBS</w:t>
      </w:r>
      <w:r w:rsidR="00B86D1B" w:rsidRPr="00ED7B53">
        <w:t xml:space="preserve"> will explore the imputation of missing values for all variables with a large number of missing values using the imputation strategy described by Allison (2002) and Schaffer and Graham (2002). </w:t>
      </w:r>
      <w:r w:rsidR="003875B4">
        <w:t>JBS</w:t>
      </w:r>
      <w:r w:rsidR="003875B4" w:rsidRPr="00ED7B53">
        <w:t xml:space="preserve"> </w:t>
      </w:r>
      <w:r w:rsidR="00B86D1B" w:rsidRPr="00ED7B53">
        <w:t xml:space="preserve">will review, select, and apply the most efficient method, based on careful consideration of the dataset and type of missing data. It is important that the imputation model include all variables that are related to the variable being imputed and variables that are potentially related to the missing imputed variable. Moreover, the inclusion of a broad set of potential variables in the imputation model strengthens the validity of subsequent analyses of the imputed data set. </w:t>
      </w:r>
    </w:p>
    <w:p w14:paraId="56394076" w14:textId="1F1CF69C" w:rsidR="006F6E0A" w:rsidRDefault="00EC612C" w:rsidP="009C76F6">
      <w:pPr>
        <w:pStyle w:val="proposaltext"/>
        <w:spacing w:before="0" w:beforeAutospacing="0" w:after="160" w:afterAutospacing="0"/>
        <w:rPr>
          <w:rFonts w:eastAsia="Times New Roman"/>
        </w:rPr>
      </w:pPr>
      <w:r w:rsidRPr="000519C2">
        <w:rPr>
          <w:rFonts w:eastAsia="Times New Roman"/>
          <w:b/>
          <w:bCs/>
        </w:rPr>
        <w:t>Statistical modeling</w:t>
      </w:r>
      <w:r>
        <w:rPr>
          <w:rFonts w:eastAsia="Times New Roman"/>
          <w:b/>
          <w:bCs/>
        </w:rPr>
        <w:t>:</w:t>
      </w:r>
      <w:r>
        <w:rPr>
          <w:rFonts w:eastAsia="Times New Roman"/>
        </w:rPr>
        <w:t xml:space="preserve"> </w:t>
      </w:r>
      <w:r w:rsidR="00AE2362">
        <w:rPr>
          <w:rFonts w:eastAsia="Times New Roman"/>
        </w:rPr>
        <w:t>The</w:t>
      </w:r>
      <w:r w:rsidR="00AE2362" w:rsidRPr="00AE2362">
        <w:rPr>
          <w:rFonts w:eastAsia="Times New Roman"/>
        </w:rPr>
        <w:t xml:space="preserve"> Caregiver Study</w:t>
      </w:r>
      <w:r w:rsidR="00AE2362">
        <w:rPr>
          <w:rFonts w:eastAsia="Times New Roman"/>
        </w:rPr>
        <w:t xml:space="preserve"> </w:t>
      </w:r>
      <w:r w:rsidR="004D295D">
        <w:rPr>
          <w:rFonts w:eastAsia="Times New Roman"/>
        </w:rPr>
        <w:t xml:space="preserve">uses </w:t>
      </w:r>
      <w:r w:rsidR="00AE2362">
        <w:rPr>
          <w:rFonts w:eastAsia="Times New Roman"/>
        </w:rPr>
        <w:t xml:space="preserve">a pre/post design with a baseline and one follow-up data collection. The </w:t>
      </w:r>
      <w:r w:rsidR="00AE2362" w:rsidRPr="00AE2362">
        <w:rPr>
          <w:rFonts w:eastAsia="Times New Roman"/>
        </w:rPr>
        <w:t xml:space="preserve">possible research questions </w:t>
      </w:r>
      <w:r w:rsidR="00AE2362">
        <w:rPr>
          <w:rFonts w:eastAsia="Times New Roman"/>
        </w:rPr>
        <w:t>include</w:t>
      </w:r>
      <w:r w:rsidR="00AE2362" w:rsidRPr="00AE2362">
        <w:rPr>
          <w:rFonts w:eastAsia="Times New Roman"/>
        </w:rPr>
        <w:t xml:space="preserve">: </w:t>
      </w:r>
      <w:r w:rsidR="00AE2362">
        <w:rPr>
          <w:rFonts w:eastAsia="Times New Roman"/>
        </w:rPr>
        <w:t xml:space="preserve"> </w:t>
      </w:r>
    </w:p>
    <w:p w14:paraId="01137799" w14:textId="77777777" w:rsidR="00B75660" w:rsidRPr="007A2829" w:rsidRDefault="00B75660" w:rsidP="00B75660">
      <w:pPr>
        <w:pStyle w:val="proposaltext"/>
        <w:numPr>
          <w:ilvl w:val="0"/>
          <w:numId w:val="12"/>
        </w:numPr>
        <w:spacing w:before="0" w:beforeAutospacing="0" w:after="160" w:afterAutospacing="0"/>
      </w:pPr>
      <w:r>
        <w:rPr>
          <w:rFonts w:eastAsia="Times New Roman"/>
        </w:rPr>
        <w:t xml:space="preserve">What are the demographic and health characteristics of caregivers receiving respite services? </w:t>
      </w:r>
    </w:p>
    <w:p w14:paraId="62DFCA13" w14:textId="77777777" w:rsidR="00B75660" w:rsidRPr="007A2829" w:rsidRDefault="00B75660" w:rsidP="00B75660">
      <w:pPr>
        <w:pStyle w:val="proposaltext"/>
        <w:numPr>
          <w:ilvl w:val="0"/>
          <w:numId w:val="12"/>
        </w:numPr>
        <w:spacing w:before="0" w:beforeAutospacing="0" w:after="160" w:afterAutospacing="0"/>
      </w:pPr>
      <w:r>
        <w:rPr>
          <w:rFonts w:eastAsia="Times New Roman"/>
        </w:rPr>
        <w:t xml:space="preserve">What are the health status, medical conditions and functional limitations of the relative or friend in need of assistance (e.g., the care recipient)? </w:t>
      </w:r>
    </w:p>
    <w:p w14:paraId="3E581C29" w14:textId="77777777" w:rsidR="00B75660" w:rsidRPr="007A2829" w:rsidRDefault="00B75660" w:rsidP="00B75660">
      <w:pPr>
        <w:pStyle w:val="proposaltext"/>
        <w:numPr>
          <w:ilvl w:val="0"/>
          <w:numId w:val="12"/>
        </w:numPr>
        <w:spacing w:before="0" w:beforeAutospacing="0" w:after="160" w:afterAutospacing="0"/>
      </w:pPr>
      <w:r>
        <w:rPr>
          <w:rFonts w:eastAsia="Times New Roman"/>
        </w:rPr>
        <w:t xml:space="preserve">What service activities does the Senior Companion provide to care recipients? What is the average number of hours of respite services the Senior Companion provide in a typical week? </w:t>
      </w:r>
    </w:p>
    <w:p w14:paraId="553D2D5B" w14:textId="77777777" w:rsidR="00B75660" w:rsidRPr="000D62F1" w:rsidRDefault="00B75660" w:rsidP="00B75660">
      <w:pPr>
        <w:pStyle w:val="proposaltext"/>
        <w:numPr>
          <w:ilvl w:val="0"/>
          <w:numId w:val="12"/>
        </w:numPr>
        <w:spacing w:before="0" w:beforeAutospacing="0" w:after="160" w:afterAutospacing="0"/>
      </w:pPr>
      <w:r>
        <w:rPr>
          <w:rFonts w:eastAsia="Times New Roman"/>
        </w:rPr>
        <w:lastRenderedPageBreak/>
        <w:t>What other support services do care recipients have in addition to the Senior Companion? How long have the care recipients been using other support services? Are there differences in the use of other support services by care recipient’s health status, medical conditions and functional limitations? What is the association between the use of other support services, income and employment status of the caregiver?</w:t>
      </w:r>
    </w:p>
    <w:p w14:paraId="2701DB72" w14:textId="77777777" w:rsidR="00B75660" w:rsidRPr="00757A41" w:rsidRDefault="00B75660" w:rsidP="00B75660">
      <w:pPr>
        <w:pStyle w:val="proposaltext"/>
        <w:numPr>
          <w:ilvl w:val="0"/>
          <w:numId w:val="12"/>
        </w:numPr>
        <w:spacing w:before="0" w:beforeAutospacing="0" w:after="160" w:afterAutospacing="0"/>
      </w:pPr>
      <w:r w:rsidRPr="00AE2362">
        <w:rPr>
          <w:rFonts w:eastAsia="Times New Roman"/>
        </w:rPr>
        <w:t xml:space="preserve">What </w:t>
      </w:r>
      <w:r>
        <w:rPr>
          <w:rFonts w:eastAsia="Times New Roman"/>
        </w:rPr>
        <w:t>are caregivers’ expectations for seeking respite services? Do these expectations differ by the demographic and health characteristics of the caregiver? Do these expectations differ by health status, medical conditions and functional limitations of the care recipient?</w:t>
      </w:r>
    </w:p>
    <w:p w14:paraId="0D4C60A9" w14:textId="49FE3029" w:rsidR="00B75660" w:rsidRPr="008B3E42" w:rsidRDefault="00B75660" w:rsidP="00B75660">
      <w:pPr>
        <w:pStyle w:val="proposaltext"/>
        <w:numPr>
          <w:ilvl w:val="0"/>
          <w:numId w:val="12"/>
        </w:numPr>
        <w:spacing w:before="0" w:beforeAutospacing="0" w:after="160" w:afterAutospacing="0"/>
      </w:pPr>
      <w:r>
        <w:t>How do caregivers’ health status, medical conditions, functional limitations, expectations and satisfaction with Senior Companion respite services contribute to the retention of caregivers</w:t>
      </w:r>
      <w:r w:rsidR="004D295D">
        <w:t xml:space="preserve"> with the Senior Companion respite services</w:t>
      </w:r>
      <w:r>
        <w:t xml:space="preserve">? </w:t>
      </w:r>
    </w:p>
    <w:p w14:paraId="4624E85E" w14:textId="2B421BB2" w:rsidR="00B75660" w:rsidRPr="008B3E42" w:rsidRDefault="00B75660" w:rsidP="00B75660">
      <w:pPr>
        <w:pStyle w:val="proposaltext"/>
        <w:numPr>
          <w:ilvl w:val="0"/>
          <w:numId w:val="12"/>
        </w:numPr>
        <w:spacing w:before="0" w:beforeAutospacing="0" w:after="160" w:afterAutospacing="0"/>
      </w:pPr>
      <w:r>
        <w:rPr>
          <w:rFonts w:eastAsia="Times New Roman"/>
        </w:rPr>
        <w:t xml:space="preserve">What is the variation </w:t>
      </w:r>
      <w:r w:rsidRPr="00AE2362">
        <w:rPr>
          <w:rFonts w:eastAsia="Times New Roman"/>
        </w:rPr>
        <w:t xml:space="preserve">in </w:t>
      </w:r>
      <w:r>
        <w:rPr>
          <w:rFonts w:eastAsia="Times New Roman"/>
        </w:rPr>
        <w:t xml:space="preserve">caregivers’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w:t>
      </w:r>
      <w:r w:rsidRPr="00AE2362">
        <w:rPr>
          <w:rFonts w:eastAsia="Times New Roman"/>
        </w:rPr>
        <w:t xml:space="preserve"> </w:t>
      </w:r>
      <w:r>
        <w:rPr>
          <w:rFonts w:eastAsia="Times New Roman"/>
        </w:rPr>
        <w:t xml:space="preserve">and </w:t>
      </w:r>
      <w:r w:rsidRPr="00AE2362">
        <w:rPr>
          <w:rFonts w:eastAsia="Times New Roman"/>
        </w:rPr>
        <w:t>loneliness</w:t>
      </w:r>
      <w:r>
        <w:rPr>
          <w:rFonts w:eastAsia="Times New Roman"/>
        </w:rPr>
        <w:t xml:space="preserve"> at entry into the Senior Companion program</w:t>
      </w:r>
      <w:r w:rsidRPr="00AE2362">
        <w:rPr>
          <w:rFonts w:eastAsia="Times New Roman"/>
        </w:rPr>
        <w:t xml:space="preserve">? </w:t>
      </w:r>
      <w:r>
        <w:rPr>
          <w:rFonts w:eastAsia="Times New Roman"/>
        </w:rPr>
        <w:t>What are the observed changes following entry into the Senior Companion program?</w:t>
      </w:r>
    </w:p>
    <w:p w14:paraId="10F3481A" w14:textId="44B9E990" w:rsidR="00B75660" w:rsidRPr="000D62F1" w:rsidRDefault="00B75660" w:rsidP="00B75660">
      <w:pPr>
        <w:pStyle w:val="proposaltext"/>
        <w:numPr>
          <w:ilvl w:val="0"/>
          <w:numId w:val="12"/>
        </w:numPr>
        <w:spacing w:before="0" w:beforeAutospacing="0" w:after="160" w:afterAutospacing="0"/>
      </w:pPr>
      <w:r>
        <w:rPr>
          <w:rFonts w:eastAsia="Times New Roman"/>
        </w:rPr>
        <w:t xml:space="preserve">Are there differences in change in caregivers’ life satisfaction,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 xml:space="preserve"> and </w:t>
      </w:r>
      <w:r w:rsidRPr="00AE2362">
        <w:rPr>
          <w:rFonts w:eastAsia="Times New Roman"/>
        </w:rPr>
        <w:t>loneliness</w:t>
      </w:r>
      <w:r>
        <w:rPr>
          <w:rFonts w:eastAsia="Times New Roman"/>
        </w:rPr>
        <w:t xml:space="preserve"> by types of program, demographic and health characteristics, and type of respite services received? </w:t>
      </w:r>
    </w:p>
    <w:p w14:paraId="6021BAC6" w14:textId="59D512A0" w:rsidR="00B75660" w:rsidRPr="008B3E42" w:rsidRDefault="00B75660" w:rsidP="00B75660">
      <w:pPr>
        <w:pStyle w:val="proposaltext"/>
        <w:numPr>
          <w:ilvl w:val="0"/>
          <w:numId w:val="12"/>
        </w:numPr>
        <w:spacing w:before="0" w:beforeAutospacing="0" w:after="160" w:afterAutospacing="0"/>
      </w:pPr>
      <w:r>
        <w:rPr>
          <w:rFonts w:eastAsia="Times New Roman"/>
        </w:rPr>
        <w:t xml:space="preserve">What is the association between type and hours of respite services, life satisfaction,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 xml:space="preserve"> and </w:t>
      </w:r>
      <w:r w:rsidRPr="00AE2362">
        <w:rPr>
          <w:rFonts w:eastAsia="Times New Roman"/>
        </w:rPr>
        <w:t>loneliness</w:t>
      </w:r>
      <w:r>
        <w:rPr>
          <w:rFonts w:eastAsia="Times New Roman"/>
        </w:rPr>
        <w:t xml:space="preserve"> controlling for caregivers’ demographic and health characteristics such as prior medical and psychiatric conditions? Are there differences by care recipient demographic and health characteristics? </w:t>
      </w:r>
    </w:p>
    <w:p w14:paraId="4D90D29A" w14:textId="1E33B656" w:rsidR="006F6E0A" w:rsidRDefault="00AE2362" w:rsidP="006F6E0A">
      <w:pPr>
        <w:pStyle w:val="proposaltext"/>
        <w:spacing w:before="0" w:beforeAutospacing="0" w:after="160" w:afterAutospacing="0"/>
        <w:rPr>
          <w:rFonts w:eastAsia="Times New Roman"/>
        </w:rPr>
      </w:pPr>
      <w:r>
        <w:rPr>
          <w:rFonts w:eastAsia="Times New Roman"/>
        </w:rPr>
        <w:t>T</w:t>
      </w:r>
      <w:r w:rsidRPr="00AE2362">
        <w:rPr>
          <w:rFonts w:eastAsia="Times New Roman"/>
        </w:rPr>
        <w:t>he Volunteer Study</w:t>
      </w:r>
      <w:r>
        <w:rPr>
          <w:rFonts w:eastAsia="Times New Roman"/>
        </w:rPr>
        <w:t xml:space="preserve"> consists of a baseline and two follow-ups. The </w:t>
      </w:r>
      <w:r w:rsidRPr="00AE2362">
        <w:rPr>
          <w:rFonts w:eastAsia="Times New Roman"/>
        </w:rPr>
        <w:t xml:space="preserve">possible research questions </w:t>
      </w:r>
      <w:r>
        <w:rPr>
          <w:rFonts w:eastAsia="Times New Roman"/>
        </w:rPr>
        <w:t>for the Volunteer Study include</w:t>
      </w:r>
      <w:r w:rsidR="006F6E0A">
        <w:rPr>
          <w:rFonts w:eastAsia="Times New Roman"/>
        </w:rPr>
        <w:t>:</w:t>
      </w:r>
    </w:p>
    <w:p w14:paraId="021E0946" w14:textId="54E9726A" w:rsidR="00503B51" w:rsidRDefault="00503B51" w:rsidP="00503B51">
      <w:pPr>
        <w:pStyle w:val="proposaltext"/>
        <w:numPr>
          <w:ilvl w:val="0"/>
          <w:numId w:val="27"/>
        </w:numPr>
        <w:spacing w:before="0" w:beforeAutospacing="0" w:after="160" w:afterAutospacing="0"/>
      </w:pPr>
      <w:r>
        <w:t>What are the reasons for national service</w:t>
      </w:r>
      <w:r w:rsidR="004D295D">
        <w:t xml:space="preserve"> participation</w:t>
      </w:r>
      <w:r>
        <w:t xml:space="preserve">? </w:t>
      </w:r>
    </w:p>
    <w:p w14:paraId="55568052" w14:textId="5A5957CC" w:rsidR="00503B51" w:rsidRDefault="00503B51" w:rsidP="00503B51">
      <w:pPr>
        <w:pStyle w:val="proposaltext"/>
        <w:numPr>
          <w:ilvl w:val="0"/>
          <w:numId w:val="27"/>
        </w:numPr>
        <w:spacing w:before="0" w:beforeAutospacing="0" w:after="160" w:afterAutospacing="0"/>
      </w:pPr>
      <w:r>
        <w:t xml:space="preserve">What proportion of </w:t>
      </w:r>
      <w:r w:rsidR="004D295D">
        <w:t>adults is</w:t>
      </w:r>
      <w:r>
        <w:t xml:space="preserve"> new to volunteering as adults? What proportion </w:t>
      </w:r>
      <w:r w:rsidR="004D295D">
        <w:t>adults</w:t>
      </w:r>
      <w:r>
        <w:t xml:space="preserve"> previously volunteered with other organizations? What proportion </w:t>
      </w:r>
      <w:r w:rsidR="004D295D">
        <w:t>of adults</w:t>
      </w:r>
      <w:r>
        <w:t xml:space="preserve"> engage in volunteering opportunities</w:t>
      </w:r>
      <w:r w:rsidR="004D295D">
        <w:t xml:space="preserve"> with other organizations</w:t>
      </w:r>
      <w:r>
        <w:t>?</w:t>
      </w:r>
    </w:p>
    <w:p w14:paraId="7285A4FA" w14:textId="23ED1790" w:rsidR="00503B51" w:rsidRDefault="00503B51" w:rsidP="00503B51">
      <w:pPr>
        <w:pStyle w:val="proposaltext"/>
        <w:numPr>
          <w:ilvl w:val="0"/>
          <w:numId w:val="27"/>
        </w:numPr>
        <w:spacing w:before="0" w:beforeAutospacing="0" w:after="160" w:afterAutospacing="0"/>
      </w:pPr>
      <w:r>
        <w:t xml:space="preserve">What </w:t>
      </w:r>
      <w:r w:rsidR="004D295D">
        <w:t xml:space="preserve">types of </w:t>
      </w:r>
      <w:r>
        <w:t xml:space="preserve">sources do </w:t>
      </w:r>
      <w:r w:rsidR="004D295D">
        <w:t>adults</w:t>
      </w:r>
      <w:r>
        <w:t xml:space="preserve"> access to learn about volunteering? Are there differences by demographic characteristics, geographic location and type of program (FGP and SCP)?</w:t>
      </w:r>
    </w:p>
    <w:p w14:paraId="0C16FDD7" w14:textId="59ADBDC3" w:rsidR="00503B51" w:rsidRPr="000D62F1" w:rsidRDefault="00503B51" w:rsidP="00503B51">
      <w:pPr>
        <w:pStyle w:val="proposaltext"/>
        <w:numPr>
          <w:ilvl w:val="0"/>
          <w:numId w:val="27"/>
        </w:numPr>
        <w:spacing w:before="0" w:beforeAutospacing="0" w:after="160" w:afterAutospacing="0"/>
      </w:pPr>
      <w:r>
        <w:rPr>
          <w:rFonts w:eastAsia="Times New Roman"/>
        </w:rPr>
        <w:t xml:space="preserve">Is there a difference in level of satisfaction with national service across type of program, demographic characteristics, and type of volunteering activities? </w:t>
      </w:r>
    </w:p>
    <w:p w14:paraId="6914CDB0" w14:textId="08E90C9D" w:rsidR="00503B51" w:rsidRDefault="00503B51" w:rsidP="00503B51">
      <w:pPr>
        <w:pStyle w:val="proposaltext"/>
        <w:numPr>
          <w:ilvl w:val="0"/>
          <w:numId w:val="27"/>
        </w:numPr>
        <w:spacing w:before="0" w:beforeAutospacing="0" w:after="160" w:afterAutospacing="0"/>
      </w:pPr>
      <w:r>
        <w:t xml:space="preserve">What are the primary reasons that </w:t>
      </w:r>
      <w:r w:rsidR="004D295D">
        <w:t>adults</w:t>
      </w:r>
      <w:r>
        <w:t xml:space="preserve"> stop volunteering? Is there an association between reasons</w:t>
      </w:r>
      <w:r w:rsidR="004D295D">
        <w:t xml:space="preserve"> participants </w:t>
      </w:r>
      <w:r>
        <w:t xml:space="preserve">stop volunteering, hours </w:t>
      </w:r>
      <w:r w:rsidR="004D295D">
        <w:t>of</w:t>
      </w:r>
      <w:r>
        <w:t xml:space="preserve"> service activities and level of satisfaction with the program? Are there differences by volunteers’ demographic characteristics?</w:t>
      </w:r>
    </w:p>
    <w:p w14:paraId="5E23B5B2" w14:textId="77777777" w:rsidR="00503B51" w:rsidRPr="001B0183" w:rsidRDefault="00503B51" w:rsidP="00503B51">
      <w:pPr>
        <w:pStyle w:val="proposaltext"/>
        <w:numPr>
          <w:ilvl w:val="0"/>
          <w:numId w:val="27"/>
        </w:numPr>
        <w:spacing w:before="0" w:beforeAutospacing="0" w:after="160" w:afterAutospacing="0"/>
      </w:pPr>
      <w:r>
        <w:t>What is the prevalence of engagement in other volunteering activities after leaving national service?</w:t>
      </w:r>
    </w:p>
    <w:p w14:paraId="1AFE68EC" w14:textId="71F2DBBC" w:rsidR="00503B51" w:rsidRPr="008B3E42" w:rsidRDefault="00503B51" w:rsidP="00503B51">
      <w:pPr>
        <w:pStyle w:val="proposaltext"/>
        <w:numPr>
          <w:ilvl w:val="0"/>
          <w:numId w:val="27"/>
        </w:numPr>
        <w:spacing w:before="0" w:beforeAutospacing="0" w:after="160" w:afterAutospacing="0"/>
      </w:pPr>
      <w:r>
        <w:lastRenderedPageBreak/>
        <w:t xml:space="preserve">What are the differences in retention rates of national service volunteers? Do medical conditions, functional limitations and level of satisfaction contribute to </w:t>
      </w:r>
      <w:r w:rsidR="004D295D">
        <w:t>exit</w:t>
      </w:r>
      <w:r>
        <w:t xml:space="preserve"> out of national service participation? Are there differences by type of program?</w:t>
      </w:r>
    </w:p>
    <w:p w14:paraId="2D0BF7DB" w14:textId="77777777" w:rsidR="00503B51" w:rsidRPr="008B3E42" w:rsidRDefault="00503B51" w:rsidP="00503B51">
      <w:pPr>
        <w:pStyle w:val="proposaltext"/>
        <w:numPr>
          <w:ilvl w:val="0"/>
          <w:numId w:val="27"/>
        </w:numPr>
        <w:spacing w:before="0" w:beforeAutospacing="0" w:after="160" w:afterAutospacing="0"/>
      </w:pPr>
      <w:r>
        <w:rPr>
          <w:rFonts w:eastAsia="Times New Roman"/>
        </w:rPr>
        <w:t xml:space="preserve">What is the variation </w:t>
      </w:r>
      <w:r w:rsidRPr="00AE2362">
        <w:rPr>
          <w:rFonts w:eastAsia="Times New Roman"/>
        </w:rPr>
        <w:t xml:space="preserve">in </w:t>
      </w:r>
      <w:r>
        <w:rPr>
          <w:rFonts w:eastAsia="Times New Roman"/>
        </w:rPr>
        <w:t xml:space="preserve">volunteers’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w:t>
      </w:r>
      <w:r w:rsidRPr="00AE2362">
        <w:rPr>
          <w:rFonts w:eastAsia="Times New Roman"/>
        </w:rPr>
        <w:t xml:space="preserve"> </w:t>
      </w:r>
      <w:r>
        <w:rPr>
          <w:rFonts w:eastAsia="Times New Roman"/>
        </w:rPr>
        <w:t xml:space="preserve">and </w:t>
      </w:r>
      <w:r w:rsidRPr="00AE2362">
        <w:rPr>
          <w:rFonts w:eastAsia="Times New Roman"/>
        </w:rPr>
        <w:t xml:space="preserve">loneliness? </w:t>
      </w:r>
    </w:p>
    <w:p w14:paraId="3F306965" w14:textId="77777777" w:rsidR="00503B51" w:rsidRPr="008B3E42" w:rsidRDefault="00503B51" w:rsidP="00503B51">
      <w:pPr>
        <w:pStyle w:val="proposaltext"/>
        <w:numPr>
          <w:ilvl w:val="0"/>
          <w:numId w:val="27"/>
        </w:numPr>
        <w:spacing w:before="0" w:beforeAutospacing="0" w:after="160" w:afterAutospacing="0"/>
      </w:pPr>
      <w:r>
        <w:rPr>
          <w:rFonts w:eastAsia="Times New Roman"/>
        </w:rPr>
        <w:t xml:space="preserve">Is there a difference in volunteers’ retention, life satisfaction,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 xml:space="preserve"> and</w:t>
      </w:r>
      <w:r w:rsidRPr="00AE2362">
        <w:rPr>
          <w:rFonts w:eastAsia="Times New Roman"/>
        </w:rPr>
        <w:t xml:space="preserve"> loneliness</w:t>
      </w:r>
      <w:r>
        <w:rPr>
          <w:rFonts w:eastAsia="Times New Roman"/>
        </w:rPr>
        <w:t xml:space="preserve"> across types of program, demographic and health characteristics, type of service activities and hours engaged in national service participation? </w:t>
      </w:r>
    </w:p>
    <w:p w14:paraId="3F48238E" w14:textId="77777777" w:rsidR="00503B51" w:rsidRPr="008B3E42" w:rsidRDefault="00503B51" w:rsidP="00503B51">
      <w:pPr>
        <w:pStyle w:val="proposaltext"/>
        <w:numPr>
          <w:ilvl w:val="0"/>
          <w:numId w:val="27"/>
        </w:numPr>
        <w:spacing w:before="0" w:beforeAutospacing="0" w:after="160" w:afterAutospacing="0"/>
      </w:pPr>
      <w:r>
        <w:rPr>
          <w:rFonts w:eastAsia="Times New Roman"/>
        </w:rPr>
        <w:t xml:space="preserve">What is the pattern in volunteers’ life satisfaction,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 xml:space="preserve"> and </w:t>
      </w:r>
      <w:r w:rsidRPr="00AE2362">
        <w:rPr>
          <w:rFonts w:eastAsia="Times New Roman"/>
        </w:rPr>
        <w:t>loneliness</w:t>
      </w:r>
      <w:r>
        <w:rPr>
          <w:rFonts w:eastAsia="Times New Roman"/>
        </w:rPr>
        <w:t xml:space="preserve"> following entry into national service? </w:t>
      </w:r>
    </w:p>
    <w:p w14:paraId="4D88CC96" w14:textId="77777777" w:rsidR="00503B51" w:rsidRPr="000D62F1" w:rsidRDefault="00503B51" w:rsidP="00503B51">
      <w:pPr>
        <w:pStyle w:val="proposaltext"/>
        <w:numPr>
          <w:ilvl w:val="0"/>
          <w:numId w:val="27"/>
        </w:numPr>
        <w:spacing w:before="0" w:beforeAutospacing="0" w:after="160" w:afterAutospacing="0"/>
      </w:pPr>
      <w:r>
        <w:rPr>
          <w:rFonts w:eastAsia="Times New Roman"/>
        </w:rPr>
        <w:t xml:space="preserve">Are there differences in pattern of life satisfaction,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 xml:space="preserve"> and </w:t>
      </w:r>
      <w:r w:rsidRPr="00AE2362">
        <w:rPr>
          <w:rFonts w:eastAsia="Times New Roman"/>
        </w:rPr>
        <w:t>loneliness</w:t>
      </w:r>
      <w:r>
        <w:rPr>
          <w:rFonts w:eastAsia="Times New Roman"/>
        </w:rPr>
        <w:t xml:space="preserve"> by types of program, demographic and health characteristics, type of service activities and hours engaged in national service participation? </w:t>
      </w:r>
    </w:p>
    <w:p w14:paraId="141D73B5" w14:textId="77777777" w:rsidR="00503B51" w:rsidRPr="008B3E42" w:rsidRDefault="00503B51" w:rsidP="00503B51">
      <w:pPr>
        <w:pStyle w:val="proposaltext"/>
        <w:numPr>
          <w:ilvl w:val="0"/>
          <w:numId w:val="27"/>
        </w:numPr>
        <w:spacing w:before="0" w:beforeAutospacing="0" w:after="160" w:afterAutospacing="0"/>
      </w:pPr>
      <w:r>
        <w:rPr>
          <w:rFonts w:eastAsia="Times New Roman"/>
        </w:rPr>
        <w:t xml:space="preserve">What is the association between national service participation, life satisfaction, </w:t>
      </w:r>
      <w:proofErr w:type="gramStart"/>
      <w:r w:rsidRPr="00AE2362">
        <w:rPr>
          <w:rFonts w:eastAsia="Times New Roman"/>
        </w:rPr>
        <w:t>self</w:t>
      </w:r>
      <w:proofErr w:type="gramEnd"/>
      <w:r w:rsidRPr="00AE2362">
        <w:rPr>
          <w:rFonts w:eastAsia="Times New Roman"/>
        </w:rPr>
        <w:t>-rated health</w:t>
      </w:r>
      <w:r>
        <w:rPr>
          <w:rFonts w:eastAsia="Times New Roman"/>
        </w:rPr>
        <w:t>,</w:t>
      </w:r>
      <w:r w:rsidRPr="00AE2362">
        <w:rPr>
          <w:rFonts w:eastAsia="Times New Roman"/>
        </w:rPr>
        <w:t xml:space="preserve"> symptoms of depression</w:t>
      </w:r>
      <w:r>
        <w:rPr>
          <w:rFonts w:eastAsia="Times New Roman"/>
        </w:rPr>
        <w:t xml:space="preserve"> and </w:t>
      </w:r>
      <w:r w:rsidRPr="00AE2362">
        <w:rPr>
          <w:rFonts w:eastAsia="Times New Roman"/>
        </w:rPr>
        <w:t>loneliness</w:t>
      </w:r>
      <w:r>
        <w:rPr>
          <w:rFonts w:eastAsia="Times New Roman"/>
        </w:rPr>
        <w:t xml:space="preserve"> accounting for demographic and health characteristics such as prior medical and psychiatric conditions? Are there differences by types of program? </w:t>
      </w:r>
    </w:p>
    <w:p w14:paraId="48EC98BB" w14:textId="77777777" w:rsidR="00503B51" w:rsidRPr="008B3E42" w:rsidRDefault="00503B51" w:rsidP="00503B51">
      <w:pPr>
        <w:pStyle w:val="proposaltext"/>
        <w:numPr>
          <w:ilvl w:val="0"/>
          <w:numId w:val="27"/>
        </w:numPr>
        <w:spacing w:before="0" w:beforeAutospacing="0" w:after="160" w:afterAutospacing="0"/>
      </w:pPr>
      <w:r>
        <w:rPr>
          <w:rFonts w:eastAsia="Times New Roman"/>
        </w:rPr>
        <w:t xml:space="preserve">Do national service volunteers differ in life satisfaction, </w:t>
      </w:r>
      <w:r w:rsidRPr="00AE2362">
        <w:rPr>
          <w:rFonts w:eastAsia="Times New Roman"/>
        </w:rPr>
        <w:t>self-rated health</w:t>
      </w:r>
      <w:r>
        <w:rPr>
          <w:rFonts w:eastAsia="Times New Roman"/>
        </w:rPr>
        <w:t>,</w:t>
      </w:r>
      <w:r w:rsidRPr="00AE2362">
        <w:rPr>
          <w:rFonts w:eastAsia="Times New Roman"/>
        </w:rPr>
        <w:t xml:space="preserve"> symptoms of depression</w:t>
      </w:r>
      <w:r>
        <w:rPr>
          <w:rFonts w:eastAsia="Times New Roman"/>
        </w:rPr>
        <w:t xml:space="preserve"> and </w:t>
      </w:r>
      <w:r w:rsidRPr="00AE2362">
        <w:rPr>
          <w:rFonts w:eastAsia="Times New Roman"/>
        </w:rPr>
        <w:t>loneliness</w:t>
      </w:r>
      <w:r>
        <w:rPr>
          <w:rFonts w:eastAsia="Times New Roman"/>
        </w:rPr>
        <w:t xml:space="preserve"> compared to similar adults in the general population in the United States who do not volunteer and those who do volunteer?</w:t>
      </w:r>
    </w:p>
    <w:p w14:paraId="12696B04" w14:textId="4D9E1D49" w:rsidR="00AE2362" w:rsidRPr="00AE2362" w:rsidRDefault="00AE2362" w:rsidP="006F6E0A">
      <w:pPr>
        <w:pStyle w:val="proposaltext"/>
        <w:spacing w:before="0" w:beforeAutospacing="0" w:after="160" w:afterAutospacing="0"/>
      </w:pPr>
      <w:r w:rsidRPr="00AE2362">
        <w:rPr>
          <w:rFonts w:eastAsia="Times New Roman"/>
        </w:rPr>
        <w:t>The</w:t>
      </w:r>
      <w:r w:rsidR="00503B51">
        <w:rPr>
          <w:rFonts w:eastAsia="Times New Roman"/>
        </w:rPr>
        <w:t xml:space="preserve"> types of possible analysis to </w:t>
      </w:r>
      <w:r w:rsidR="001B0158">
        <w:rPr>
          <w:rFonts w:eastAsia="Times New Roman"/>
        </w:rPr>
        <w:t>address</w:t>
      </w:r>
      <w:r w:rsidR="00503B51">
        <w:rPr>
          <w:rFonts w:eastAsia="Times New Roman"/>
        </w:rPr>
        <w:t xml:space="preserve"> the</w:t>
      </w:r>
      <w:r w:rsidRPr="00AE2362">
        <w:rPr>
          <w:rFonts w:eastAsia="Times New Roman"/>
        </w:rPr>
        <w:t xml:space="preserve">se </w:t>
      </w:r>
      <w:r w:rsidR="001B0158">
        <w:rPr>
          <w:rFonts w:eastAsia="Times New Roman"/>
        </w:rPr>
        <w:t xml:space="preserve">research </w:t>
      </w:r>
      <w:r w:rsidRPr="00AE2362">
        <w:rPr>
          <w:rFonts w:eastAsia="Times New Roman"/>
        </w:rPr>
        <w:t xml:space="preserve">questions </w:t>
      </w:r>
      <w:r w:rsidR="00503B51">
        <w:rPr>
          <w:rFonts w:eastAsia="Times New Roman"/>
        </w:rPr>
        <w:t>include</w:t>
      </w:r>
      <w:r w:rsidRPr="00AE2362">
        <w:rPr>
          <w:rFonts w:eastAsia="Times New Roman"/>
        </w:rPr>
        <w:t xml:space="preserve"> </w:t>
      </w:r>
      <w:r w:rsidR="00503B51">
        <w:rPr>
          <w:rFonts w:eastAsia="Times New Roman"/>
        </w:rPr>
        <w:t xml:space="preserve">descriptive analysis, ANOVA, </w:t>
      </w:r>
      <w:r w:rsidR="002260EB">
        <w:rPr>
          <w:rFonts w:eastAsia="Times New Roman"/>
        </w:rPr>
        <w:t>regression model</w:t>
      </w:r>
      <w:r w:rsidR="001B0158">
        <w:rPr>
          <w:rFonts w:eastAsia="Times New Roman"/>
        </w:rPr>
        <w:t>s</w:t>
      </w:r>
      <w:r w:rsidR="002260EB">
        <w:rPr>
          <w:rFonts w:eastAsia="Times New Roman"/>
        </w:rPr>
        <w:t xml:space="preserve">, logistic regression, and </w:t>
      </w:r>
      <w:r w:rsidRPr="00AE2362">
        <w:rPr>
          <w:rFonts w:eastAsia="Times New Roman"/>
        </w:rPr>
        <w:t>multinomial logistic regression model</w:t>
      </w:r>
      <w:r w:rsidR="00503B51">
        <w:rPr>
          <w:rFonts w:eastAsia="Times New Roman"/>
        </w:rPr>
        <w:t>. An example of a multinomial logistic model is</w:t>
      </w:r>
      <w:r w:rsidRPr="00AE2362">
        <w:rPr>
          <w:rFonts w:eastAsia="Times New Roman"/>
        </w:rPr>
        <w:t xml:space="preserve"> where the dependent variable is measured as a categorical </w:t>
      </w:r>
      <w:r w:rsidR="002260EB">
        <w:rPr>
          <w:rFonts w:eastAsia="Times New Roman"/>
        </w:rPr>
        <w:t xml:space="preserve">on a Likert scale such as </w:t>
      </w:r>
      <w:r w:rsidR="00282665">
        <w:rPr>
          <w:rFonts w:eastAsia="Times New Roman"/>
        </w:rPr>
        <w:t>life satisfaction</w:t>
      </w:r>
      <w:r w:rsidR="00503B51">
        <w:rPr>
          <w:rFonts w:eastAsia="Times New Roman"/>
        </w:rPr>
        <w:t xml:space="preserve"> </w:t>
      </w:r>
      <w:r w:rsidR="00282665">
        <w:rPr>
          <w:rFonts w:eastAsia="Times New Roman"/>
        </w:rPr>
        <w:t>or</w:t>
      </w:r>
      <w:r w:rsidR="00503B51">
        <w:rPr>
          <w:rFonts w:eastAsia="Times New Roman"/>
        </w:rPr>
        <w:t xml:space="preserve"> loneliness</w:t>
      </w:r>
      <w:r w:rsidRPr="00AE2362">
        <w:rPr>
          <w:rFonts w:eastAsia="Times New Roman"/>
        </w:rPr>
        <w:t xml:space="preserve"> while controlling for demographic, health and functional characteristics, and hours </w:t>
      </w:r>
      <w:r w:rsidR="00282665">
        <w:rPr>
          <w:rFonts w:eastAsia="Times New Roman"/>
        </w:rPr>
        <w:t>in volunteering activities</w:t>
      </w:r>
      <w:r w:rsidRPr="00AE2362">
        <w:rPr>
          <w:rFonts w:eastAsia="Times New Roman"/>
        </w:rPr>
        <w:t>. If, for example, the dependent variable “</w:t>
      </w:r>
      <w:r w:rsidR="002260EB">
        <w:rPr>
          <w:rFonts w:eastAsia="Times New Roman"/>
        </w:rPr>
        <w:t>loneliness</w:t>
      </w:r>
      <w:r w:rsidRPr="00AE2362">
        <w:rPr>
          <w:rFonts w:eastAsia="Times New Roman"/>
        </w:rPr>
        <w:t xml:space="preserve">” </w:t>
      </w:r>
      <w:r w:rsidR="00503B51">
        <w:rPr>
          <w:rFonts w:eastAsia="Times New Roman"/>
        </w:rPr>
        <w:t xml:space="preserve">or “life satisfaction” </w:t>
      </w:r>
      <w:r w:rsidR="00F506F7">
        <w:rPr>
          <w:rFonts w:eastAsia="Times New Roman"/>
        </w:rPr>
        <w:t xml:space="preserve">is measured </w:t>
      </w:r>
      <w:r w:rsidRPr="00AE2362">
        <w:rPr>
          <w:rFonts w:eastAsia="Times New Roman"/>
        </w:rPr>
        <w:t xml:space="preserve">as an ordinal scale, </w:t>
      </w:r>
      <w:r w:rsidR="00F506F7">
        <w:rPr>
          <w:rFonts w:eastAsia="Times New Roman"/>
        </w:rPr>
        <w:t>the</w:t>
      </w:r>
      <w:r w:rsidR="00F506F7" w:rsidRPr="00AE2362">
        <w:rPr>
          <w:rFonts w:eastAsia="Times New Roman"/>
        </w:rPr>
        <w:t xml:space="preserve"> </w:t>
      </w:r>
      <w:r w:rsidRPr="00AE2362">
        <w:rPr>
          <w:rFonts w:eastAsia="Times New Roman"/>
        </w:rPr>
        <w:t xml:space="preserve">statistical model would be an ordered </w:t>
      </w:r>
      <w:proofErr w:type="spellStart"/>
      <w:r w:rsidRPr="00AE2362">
        <w:rPr>
          <w:rFonts w:eastAsia="Times New Roman"/>
        </w:rPr>
        <w:t>probit</w:t>
      </w:r>
      <w:proofErr w:type="spellEnd"/>
      <w:r w:rsidRPr="00AE2362">
        <w:rPr>
          <w:rFonts w:eastAsia="Times New Roman"/>
        </w:rPr>
        <w:t xml:space="preserve"> or logit model. </w:t>
      </w:r>
      <w:r w:rsidR="00F506F7">
        <w:rPr>
          <w:rFonts w:eastAsia="Times New Roman"/>
        </w:rPr>
        <w:t xml:space="preserve">An analysis that examines volunteer retention which is anticipated to be measured as dichotomous variable, the proposed model would be logistic or </w:t>
      </w:r>
      <w:proofErr w:type="spellStart"/>
      <w:r w:rsidR="00F506F7">
        <w:rPr>
          <w:rFonts w:eastAsia="Times New Roman"/>
        </w:rPr>
        <w:t>probit</w:t>
      </w:r>
      <w:proofErr w:type="spellEnd"/>
      <w:r w:rsidR="00F506F7">
        <w:rPr>
          <w:rFonts w:eastAsia="Times New Roman"/>
        </w:rPr>
        <w:t xml:space="preserve"> regression model to </w:t>
      </w:r>
      <w:r w:rsidR="002260EB">
        <w:rPr>
          <w:rFonts w:eastAsia="Times New Roman"/>
        </w:rPr>
        <w:t xml:space="preserve">predict the odds </w:t>
      </w:r>
      <w:r w:rsidR="00282665">
        <w:rPr>
          <w:rFonts w:eastAsia="Times New Roman"/>
        </w:rPr>
        <w:t>that</w:t>
      </w:r>
      <w:r w:rsidR="00F506F7">
        <w:rPr>
          <w:rFonts w:eastAsia="Times New Roman"/>
        </w:rPr>
        <w:t xml:space="preserve"> volunteer</w:t>
      </w:r>
      <w:r w:rsidR="00282665">
        <w:rPr>
          <w:rFonts w:eastAsia="Times New Roman"/>
        </w:rPr>
        <w:t>s</w:t>
      </w:r>
      <w:r w:rsidR="00F506F7">
        <w:rPr>
          <w:rFonts w:eastAsia="Times New Roman"/>
        </w:rPr>
        <w:t xml:space="preserve"> </w:t>
      </w:r>
      <w:r w:rsidR="00282665">
        <w:rPr>
          <w:rFonts w:eastAsia="Times New Roman"/>
        </w:rPr>
        <w:t>exit national service</w:t>
      </w:r>
      <w:r w:rsidR="00F506F7">
        <w:rPr>
          <w:rFonts w:eastAsia="Times New Roman"/>
        </w:rPr>
        <w:t xml:space="preserve">. </w:t>
      </w:r>
      <w:r w:rsidR="009C5D7B">
        <w:t>Due to the clustered design robust standard errors that account for the non-independence of observations will be computed for all statistical techniques and models</w:t>
      </w:r>
      <w:r w:rsidR="006F6E0A">
        <w:t>.</w:t>
      </w:r>
      <w:r w:rsidR="009C5D7B" w:rsidRPr="00AE2362">
        <w:rPr>
          <w:rFonts w:eastAsia="Times New Roman"/>
        </w:rPr>
        <w:t xml:space="preserve"> </w:t>
      </w:r>
      <w:r w:rsidR="005E7A93">
        <w:rPr>
          <w:rFonts w:eastAsia="Times New Roman"/>
        </w:rPr>
        <w:t xml:space="preserve"> </w:t>
      </w:r>
      <w:r w:rsidRPr="00AE2362">
        <w:rPr>
          <w:rFonts w:eastAsia="Times New Roman"/>
        </w:rPr>
        <w:t xml:space="preserve">Given that </w:t>
      </w:r>
      <w:r w:rsidR="00F506F7">
        <w:rPr>
          <w:rFonts w:eastAsia="Times New Roman"/>
        </w:rPr>
        <w:t>the Volunteer Study</w:t>
      </w:r>
      <w:r w:rsidR="00F506F7" w:rsidRPr="00AE2362">
        <w:rPr>
          <w:rFonts w:eastAsia="Times New Roman"/>
        </w:rPr>
        <w:t xml:space="preserve"> </w:t>
      </w:r>
      <w:r w:rsidR="00F506F7">
        <w:rPr>
          <w:rFonts w:eastAsia="Times New Roman"/>
        </w:rPr>
        <w:t xml:space="preserve">has three data collection </w:t>
      </w:r>
      <w:r w:rsidRPr="00AE2362">
        <w:rPr>
          <w:rFonts w:eastAsia="Times New Roman"/>
        </w:rPr>
        <w:t>points on the outcomes, it is possible to model change and event occurrence.</w:t>
      </w:r>
      <w:r w:rsidR="005E7A93">
        <w:rPr>
          <w:rFonts w:eastAsia="Times New Roman"/>
        </w:rPr>
        <w:t xml:space="preserve"> </w:t>
      </w:r>
      <w:r w:rsidRPr="00AE2362">
        <w:rPr>
          <w:rFonts w:eastAsia="Times New Roman"/>
        </w:rPr>
        <w:t xml:space="preserve">These classes of statistical models are </w:t>
      </w:r>
      <w:r w:rsidR="009C5D7B">
        <w:rPr>
          <w:rFonts w:eastAsia="Times New Roman"/>
        </w:rPr>
        <w:t xml:space="preserve">growth curve models and </w:t>
      </w:r>
      <w:r w:rsidRPr="00AE2362">
        <w:rPr>
          <w:rFonts w:eastAsia="Times New Roman"/>
        </w:rPr>
        <w:t xml:space="preserve">survival analysis or event </w:t>
      </w:r>
      <w:r w:rsidRPr="00AE2362">
        <w:t>history analyses</w:t>
      </w:r>
      <w:r w:rsidR="003257B5">
        <w:t xml:space="preserve"> (</w:t>
      </w:r>
      <w:proofErr w:type="spellStart"/>
      <w:r w:rsidR="003257B5">
        <w:t>Blossfeld</w:t>
      </w:r>
      <w:proofErr w:type="spellEnd"/>
      <w:r w:rsidR="003257B5" w:rsidRPr="00C3719A">
        <w:t xml:space="preserve">, </w:t>
      </w:r>
      <w:proofErr w:type="spellStart"/>
      <w:r w:rsidR="003257B5" w:rsidRPr="00C3719A">
        <w:t>Hamerle</w:t>
      </w:r>
      <w:proofErr w:type="spellEnd"/>
      <w:r w:rsidR="003257B5" w:rsidRPr="00C3719A">
        <w:t>, &amp; Mayer</w:t>
      </w:r>
      <w:r w:rsidR="003257B5">
        <w:t>,</w:t>
      </w:r>
      <w:r w:rsidR="003257B5" w:rsidRPr="006F5E92">
        <w:t xml:space="preserve"> 1989</w:t>
      </w:r>
      <w:r w:rsidR="003257B5">
        <w:t xml:space="preserve">; </w:t>
      </w:r>
      <w:r w:rsidR="003257B5" w:rsidRPr="00C3719A">
        <w:t>Singer, &amp; Willett</w:t>
      </w:r>
      <w:r w:rsidR="00784B21">
        <w:t xml:space="preserve">, </w:t>
      </w:r>
      <w:r w:rsidR="003257B5" w:rsidRPr="00C3719A">
        <w:t>2003</w:t>
      </w:r>
      <w:r w:rsidR="003257B5">
        <w:t>)</w:t>
      </w:r>
      <w:r w:rsidRPr="00AE2362">
        <w:t xml:space="preserve"> which estimate survivor functions of when, for example, volunteers exit national service, or how long volunteers remain in </w:t>
      </w:r>
      <w:r w:rsidR="00F506F7">
        <w:t>N</w:t>
      </w:r>
      <w:r w:rsidRPr="00AE2362">
        <w:t xml:space="preserve">ational </w:t>
      </w:r>
      <w:r w:rsidR="00F506F7">
        <w:t>S</w:t>
      </w:r>
      <w:r w:rsidRPr="00AE2362">
        <w:t xml:space="preserve">ervice. </w:t>
      </w:r>
    </w:p>
    <w:p w14:paraId="09587560" w14:textId="15C808B9" w:rsidR="009E682B" w:rsidRDefault="00EC612C" w:rsidP="009C76F6">
      <w:pPr>
        <w:pStyle w:val="proposaltext"/>
        <w:spacing w:before="0" w:beforeAutospacing="0" w:after="160" w:afterAutospacing="0"/>
      </w:pPr>
      <w:r w:rsidRPr="000519C2">
        <w:rPr>
          <w:rFonts w:eastAsia="Times New Roman"/>
          <w:b/>
          <w:bCs/>
        </w:rPr>
        <w:t xml:space="preserve">Propensity </w:t>
      </w:r>
      <w:r w:rsidR="00784B21">
        <w:rPr>
          <w:rFonts w:eastAsia="Times New Roman"/>
          <w:b/>
          <w:bCs/>
        </w:rPr>
        <w:t>s</w:t>
      </w:r>
      <w:r w:rsidRPr="000519C2">
        <w:rPr>
          <w:rFonts w:eastAsia="Times New Roman"/>
          <w:b/>
          <w:bCs/>
        </w:rPr>
        <w:t xml:space="preserve">core </w:t>
      </w:r>
      <w:r w:rsidR="00784B21">
        <w:rPr>
          <w:rFonts w:eastAsia="Times New Roman"/>
          <w:b/>
          <w:bCs/>
        </w:rPr>
        <w:t>m</w:t>
      </w:r>
      <w:r w:rsidRPr="000519C2">
        <w:rPr>
          <w:rFonts w:eastAsia="Times New Roman"/>
          <w:b/>
          <w:bCs/>
        </w:rPr>
        <w:t xml:space="preserve">atching with HRS </w:t>
      </w:r>
      <w:r w:rsidR="00784B21">
        <w:rPr>
          <w:rFonts w:eastAsia="Times New Roman"/>
          <w:b/>
          <w:bCs/>
        </w:rPr>
        <w:t>d</w:t>
      </w:r>
      <w:r w:rsidRPr="000519C2">
        <w:rPr>
          <w:rFonts w:eastAsia="Times New Roman"/>
          <w:b/>
          <w:bCs/>
        </w:rPr>
        <w:t>ata</w:t>
      </w:r>
      <w:r>
        <w:rPr>
          <w:rFonts w:eastAsia="Times New Roman"/>
          <w:b/>
          <w:bCs/>
        </w:rPr>
        <w:t>:</w:t>
      </w:r>
      <w:r>
        <w:t xml:space="preserve"> </w:t>
      </w:r>
      <w:r w:rsidR="00C02516">
        <w:t xml:space="preserve">For the Volunteer Study, CNCS proposes to </w:t>
      </w:r>
      <w:r w:rsidR="00AE2362" w:rsidRPr="00AE2362">
        <w:t xml:space="preserve">construct a comparison group of volunteers and non-volunteers from the HRS. In making such a comparison, </w:t>
      </w:r>
      <w:r w:rsidR="00C02516">
        <w:t xml:space="preserve">the analysis must </w:t>
      </w:r>
      <w:r w:rsidR="00AE2362" w:rsidRPr="00AE2362">
        <w:t xml:space="preserve">take into account that the </w:t>
      </w:r>
      <w:r w:rsidR="00C02516">
        <w:t xml:space="preserve">FGP and SCP volunteers </w:t>
      </w:r>
      <w:r w:rsidR="00AE2362" w:rsidRPr="00AE2362">
        <w:t xml:space="preserve">self-select to be part of the program. As such, a matched comparison analysis is needed to reduce selection bias. In </w:t>
      </w:r>
      <w:r w:rsidR="002B7111">
        <w:t xml:space="preserve">this </w:t>
      </w:r>
      <w:r w:rsidR="00AE2362" w:rsidRPr="00AE2362">
        <w:t>model</w:t>
      </w:r>
      <w:r w:rsidR="002B7111">
        <w:t>, the participants in</w:t>
      </w:r>
      <w:r w:rsidR="00C02516" w:rsidRPr="00AE2362">
        <w:t xml:space="preserve"> </w:t>
      </w:r>
      <w:r w:rsidR="00AE2362" w:rsidRPr="00AE2362">
        <w:t>the Volunteer Study</w:t>
      </w:r>
      <w:r w:rsidR="00C02516">
        <w:t xml:space="preserve"> data collection</w:t>
      </w:r>
      <w:r w:rsidR="002B7111">
        <w:t xml:space="preserve"> </w:t>
      </w:r>
      <w:r w:rsidR="00220B1D">
        <w:t xml:space="preserve">will be matched </w:t>
      </w:r>
      <w:r w:rsidR="002B7111">
        <w:t xml:space="preserve">to the </w:t>
      </w:r>
      <w:r w:rsidR="002B7111">
        <w:lastRenderedPageBreak/>
        <w:t xml:space="preserve">respondents in the HRS data based on the estimated propensity to participate in Senior Corps program. </w:t>
      </w:r>
      <w:r w:rsidR="00AE2362" w:rsidRPr="00AE2362">
        <w:t xml:space="preserve">The propensity score model would be estimated using a </w:t>
      </w:r>
      <w:proofErr w:type="spellStart"/>
      <w:r w:rsidR="00AE2362" w:rsidRPr="00AE2362">
        <w:t>probit</w:t>
      </w:r>
      <w:proofErr w:type="spellEnd"/>
      <w:r w:rsidR="00AE2362" w:rsidRPr="00AE2362">
        <w:t xml:space="preserve"> or logit model. The variables available for forming the comparison group are critical </w:t>
      </w:r>
      <w:r w:rsidR="0026040B">
        <w:t>to</w:t>
      </w:r>
      <w:r w:rsidR="006F6E0A">
        <w:t xml:space="preserve"> justify </w:t>
      </w:r>
      <w:r w:rsidR="00AE2362" w:rsidRPr="00AE2362">
        <w:t xml:space="preserve">the assumption that, after controlling for observable characteristics, the comparison group has, on average, the same outcomes as the </w:t>
      </w:r>
      <w:r w:rsidR="00EB535B">
        <w:t xml:space="preserve">Senior Corps volunteers </w:t>
      </w:r>
      <w:r w:rsidR="00AE2362" w:rsidRPr="00AE2362">
        <w:t xml:space="preserve">group. It is important, therefore, for the comparison to be drawn from the same source (e.g., the same data collection </w:t>
      </w:r>
      <w:r w:rsidR="008A5D12">
        <w:t>survey</w:t>
      </w:r>
      <w:r w:rsidR="00AE2362" w:rsidRPr="00AE2362">
        <w:t>)</w:t>
      </w:r>
      <w:proofErr w:type="gramStart"/>
      <w:r w:rsidR="00AE2362" w:rsidRPr="00AE2362">
        <w:t>,</w:t>
      </w:r>
      <w:proofErr w:type="gramEnd"/>
      <w:r w:rsidR="00AE2362" w:rsidRPr="00AE2362">
        <w:t xml:space="preserve"> such that the variables used are similarly constructed. </w:t>
      </w:r>
      <w:r w:rsidR="009E682B">
        <w:t xml:space="preserve">The proposed Volunteer Surveys (Appendices </w:t>
      </w:r>
      <w:r w:rsidR="003E59F1">
        <w:t>D</w:t>
      </w:r>
      <w:r w:rsidR="009E682B">
        <w:t xml:space="preserve"> through </w:t>
      </w:r>
      <w:r w:rsidR="003E59F1">
        <w:t>G</w:t>
      </w:r>
      <w:r w:rsidR="009E682B">
        <w:t xml:space="preserve">) </w:t>
      </w:r>
      <w:r w:rsidR="00EB535B">
        <w:t xml:space="preserve">contain </w:t>
      </w:r>
      <w:r w:rsidR="009E751B">
        <w:t>common</w:t>
      </w:r>
      <w:r w:rsidR="00315F65">
        <w:t xml:space="preserve"> variables with the HRS. Table 2</w:t>
      </w:r>
      <w:r w:rsidR="009E751B">
        <w:t xml:space="preserve"> shows the list of common variables in the </w:t>
      </w:r>
      <w:r w:rsidR="00784B21">
        <w:t xml:space="preserve">Volunteer Surveys </w:t>
      </w:r>
      <w:r w:rsidR="009E751B">
        <w:t>and HRS datasets.</w:t>
      </w:r>
    </w:p>
    <w:p w14:paraId="0123C430" w14:textId="77777777" w:rsidR="008214F6" w:rsidRDefault="008214F6">
      <w:pPr>
        <w:spacing w:after="200" w:line="276" w:lineRule="auto"/>
        <w:rPr>
          <w:b/>
          <w:highlight w:val="yellow"/>
        </w:rPr>
      </w:pPr>
      <w:r>
        <w:rPr>
          <w:b/>
          <w:highlight w:val="yellow"/>
        </w:rPr>
        <w:br w:type="page"/>
      </w:r>
    </w:p>
    <w:p w14:paraId="11126989" w14:textId="76A3C8FB" w:rsidR="009E751B" w:rsidRPr="00315F65" w:rsidRDefault="009E751B" w:rsidP="00315F65">
      <w:pPr>
        <w:ind w:firstLine="900"/>
        <w:rPr>
          <w:b/>
        </w:rPr>
      </w:pPr>
      <w:proofErr w:type="gramStart"/>
      <w:r w:rsidRPr="00CE4A45">
        <w:rPr>
          <w:b/>
        </w:rPr>
        <w:lastRenderedPageBreak/>
        <w:t>Table 2.</w:t>
      </w:r>
      <w:proofErr w:type="gramEnd"/>
      <w:r w:rsidRPr="00CE4A45">
        <w:rPr>
          <w:b/>
        </w:rPr>
        <w:t xml:space="preserve"> </w:t>
      </w:r>
      <w:r w:rsidR="008A31F6">
        <w:rPr>
          <w:b/>
        </w:rPr>
        <w:t xml:space="preserve">Corresponding </w:t>
      </w:r>
      <w:r w:rsidRPr="00CE4A45">
        <w:rPr>
          <w:b/>
        </w:rPr>
        <w:t>Common Variables in the Volunteer S</w:t>
      </w:r>
      <w:r w:rsidR="008214F6" w:rsidRPr="00CE4A45">
        <w:rPr>
          <w:b/>
        </w:rPr>
        <w:t>urvey</w:t>
      </w:r>
      <w:r w:rsidRPr="00CE4A45">
        <w:rPr>
          <w:b/>
        </w:rPr>
        <w:t xml:space="preserve"> and HRS</w:t>
      </w:r>
      <w:r w:rsidRPr="00315F65">
        <w:rPr>
          <w:b/>
        </w:rPr>
        <w:t xml:space="preserve"> </w:t>
      </w: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840"/>
        <w:gridCol w:w="1840"/>
        <w:gridCol w:w="1840"/>
      </w:tblGrid>
      <w:tr w:rsidR="009E751B" w:rsidRPr="0009759A" w14:paraId="6AA6AC8D" w14:textId="77777777" w:rsidTr="007B5A98">
        <w:trPr>
          <w:trHeight w:val="600"/>
          <w:jc w:val="center"/>
        </w:trPr>
        <w:tc>
          <w:tcPr>
            <w:tcW w:w="2000" w:type="dxa"/>
            <w:shd w:val="clear" w:color="auto" w:fill="auto"/>
            <w:vAlign w:val="bottom"/>
            <w:hideMark/>
          </w:tcPr>
          <w:p w14:paraId="0A67596E" w14:textId="0ABE78D8" w:rsidR="009E751B" w:rsidRPr="0009759A" w:rsidRDefault="009E751B">
            <w:pPr>
              <w:rPr>
                <w:b/>
                <w:color w:val="000000"/>
              </w:rPr>
            </w:pPr>
            <w:r w:rsidRPr="0009759A">
              <w:rPr>
                <w:b/>
                <w:color w:val="000000"/>
              </w:rPr>
              <w:t xml:space="preserve">Senior Corps </w:t>
            </w:r>
            <w:r w:rsidR="001D027E">
              <w:rPr>
                <w:b/>
                <w:color w:val="000000"/>
              </w:rPr>
              <w:t xml:space="preserve">Volunteer </w:t>
            </w:r>
            <w:r w:rsidRPr="0009759A">
              <w:rPr>
                <w:b/>
                <w:color w:val="000000"/>
              </w:rPr>
              <w:t>Survey</w:t>
            </w:r>
            <w:r w:rsidR="00784B21">
              <w:rPr>
                <w:b/>
                <w:color w:val="000000"/>
              </w:rPr>
              <w:t>s</w:t>
            </w:r>
            <w:r w:rsidRPr="0009759A">
              <w:rPr>
                <w:b/>
                <w:color w:val="000000"/>
              </w:rPr>
              <w:t xml:space="preserve"> </w:t>
            </w:r>
          </w:p>
        </w:tc>
        <w:tc>
          <w:tcPr>
            <w:tcW w:w="1840" w:type="dxa"/>
            <w:shd w:val="clear" w:color="auto" w:fill="auto"/>
            <w:vAlign w:val="bottom"/>
            <w:hideMark/>
          </w:tcPr>
          <w:p w14:paraId="39DE8E54" w14:textId="77777777" w:rsidR="009E751B" w:rsidRPr="0009759A" w:rsidRDefault="009E751B" w:rsidP="007B5A98">
            <w:pPr>
              <w:rPr>
                <w:b/>
                <w:color w:val="000000"/>
              </w:rPr>
            </w:pPr>
            <w:r w:rsidRPr="0009759A">
              <w:rPr>
                <w:b/>
                <w:color w:val="000000"/>
              </w:rPr>
              <w:t>HRS Data</w:t>
            </w:r>
          </w:p>
        </w:tc>
        <w:tc>
          <w:tcPr>
            <w:tcW w:w="1840" w:type="dxa"/>
          </w:tcPr>
          <w:p w14:paraId="2A06FD4A" w14:textId="77777777" w:rsidR="009E751B" w:rsidRPr="0009759A" w:rsidRDefault="009E751B" w:rsidP="007B5A98">
            <w:pPr>
              <w:rPr>
                <w:b/>
                <w:color w:val="000000"/>
              </w:rPr>
            </w:pPr>
            <w:r>
              <w:rPr>
                <w:b/>
                <w:color w:val="000000"/>
              </w:rPr>
              <w:t>Items for propensity score model</w:t>
            </w:r>
          </w:p>
        </w:tc>
        <w:tc>
          <w:tcPr>
            <w:tcW w:w="1840" w:type="dxa"/>
          </w:tcPr>
          <w:p w14:paraId="692FD260" w14:textId="77777777" w:rsidR="009E751B" w:rsidRDefault="009E751B" w:rsidP="007B5A98">
            <w:pPr>
              <w:rPr>
                <w:b/>
                <w:color w:val="000000"/>
              </w:rPr>
            </w:pPr>
            <w:r>
              <w:rPr>
                <w:b/>
                <w:color w:val="000000"/>
              </w:rPr>
              <w:t>Items that are outcomes to compare between the two groups</w:t>
            </w:r>
          </w:p>
        </w:tc>
      </w:tr>
      <w:tr w:rsidR="001D027E" w:rsidRPr="0009759A" w14:paraId="3D910C2D" w14:textId="77777777" w:rsidTr="00CE4A45">
        <w:trPr>
          <w:trHeight w:val="215"/>
          <w:jc w:val="center"/>
        </w:trPr>
        <w:tc>
          <w:tcPr>
            <w:tcW w:w="2000" w:type="dxa"/>
            <w:shd w:val="clear" w:color="auto" w:fill="auto"/>
            <w:vAlign w:val="bottom"/>
          </w:tcPr>
          <w:p w14:paraId="17368AD8" w14:textId="77777777" w:rsidR="001D027E" w:rsidRPr="0009759A" w:rsidRDefault="001D027E" w:rsidP="001D027E">
            <w:pPr>
              <w:rPr>
                <w:color w:val="000000"/>
              </w:rPr>
            </w:pPr>
          </w:p>
        </w:tc>
        <w:tc>
          <w:tcPr>
            <w:tcW w:w="1840" w:type="dxa"/>
            <w:shd w:val="clear" w:color="auto" w:fill="auto"/>
            <w:vAlign w:val="bottom"/>
          </w:tcPr>
          <w:p w14:paraId="22795058" w14:textId="77777777" w:rsidR="001D027E" w:rsidRPr="0009759A" w:rsidRDefault="001D027E" w:rsidP="007B5A98">
            <w:pPr>
              <w:rPr>
                <w:color w:val="000000"/>
              </w:rPr>
            </w:pPr>
          </w:p>
        </w:tc>
        <w:tc>
          <w:tcPr>
            <w:tcW w:w="1840" w:type="dxa"/>
          </w:tcPr>
          <w:p w14:paraId="230C0B93" w14:textId="77777777" w:rsidR="001D027E" w:rsidDel="001D027E" w:rsidRDefault="001D027E" w:rsidP="007B5A98">
            <w:pPr>
              <w:rPr>
                <w:color w:val="000000"/>
              </w:rPr>
            </w:pPr>
          </w:p>
        </w:tc>
        <w:tc>
          <w:tcPr>
            <w:tcW w:w="1840" w:type="dxa"/>
          </w:tcPr>
          <w:p w14:paraId="2024C472" w14:textId="77777777" w:rsidR="001D027E" w:rsidDel="001D027E" w:rsidRDefault="001D027E" w:rsidP="007B5A98">
            <w:pPr>
              <w:rPr>
                <w:color w:val="000000"/>
              </w:rPr>
            </w:pPr>
          </w:p>
        </w:tc>
      </w:tr>
      <w:tr w:rsidR="009E751B" w:rsidRPr="0009759A" w14:paraId="507AA136" w14:textId="77777777" w:rsidTr="007B5A98">
        <w:trPr>
          <w:trHeight w:val="600"/>
          <w:jc w:val="center"/>
        </w:trPr>
        <w:tc>
          <w:tcPr>
            <w:tcW w:w="2000" w:type="dxa"/>
            <w:shd w:val="clear" w:color="auto" w:fill="auto"/>
            <w:vAlign w:val="bottom"/>
            <w:hideMark/>
          </w:tcPr>
          <w:p w14:paraId="008CEE1F" w14:textId="514F7789" w:rsidR="009E751B" w:rsidRPr="0009759A" w:rsidRDefault="001866AB" w:rsidP="003D468D">
            <w:pPr>
              <w:rPr>
                <w:color w:val="000000"/>
              </w:rPr>
            </w:pPr>
            <w:r>
              <w:rPr>
                <w:color w:val="000000"/>
              </w:rPr>
              <w:t>Baseline survey q</w:t>
            </w:r>
            <w:r w:rsidR="009E751B" w:rsidRPr="0009759A">
              <w:rPr>
                <w:color w:val="000000"/>
              </w:rPr>
              <w:t>uestions</w:t>
            </w:r>
            <w:r w:rsidR="00DE3C82">
              <w:rPr>
                <w:color w:val="000000"/>
              </w:rPr>
              <w:t>:</w:t>
            </w:r>
            <w:r w:rsidR="009E751B" w:rsidRPr="0009759A">
              <w:rPr>
                <w:color w:val="000000"/>
              </w:rPr>
              <w:t xml:space="preserve"> </w:t>
            </w:r>
            <w:r w:rsidR="00626F96">
              <w:rPr>
                <w:color w:val="000000"/>
              </w:rPr>
              <w:t xml:space="preserve"> Q</w:t>
            </w:r>
            <w:r w:rsidR="003D468D">
              <w:rPr>
                <w:color w:val="000000"/>
              </w:rPr>
              <w:t>5, Q</w:t>
            </w:r>
            <w:r w:rsidR="00626F96">
              <w:rPr>
                <w:color w:val="000000"/>
              </w:rPr>
              <w:t>7-</w:t>
            </w:r>
            <w:r w:rsidR="003D468D">
              <w:rPr>
                <w:color w:val="000000"/>
              </w:rPr>
              <w:t xml:space="preserve">Q12, Q15-Q28, Q29.3, Q29.5, </w:t>
            </w:r>
            <w:r w:rsidR="00626F96">
              <w:rPr>
                <w:color w:val="000000"/>
              </w:rPr>
              <w:t>Q30</w:t>
            </w:r>
            <w:r w:rsidR="003D468D">
              <w:rPr>
                <w:color w:val="000000"/>
              </w:rPr>
              <w:t>-Q38</w:t>
            </w:r>
            <w:r w:rsidR="00626F96">
              <w:rPr>
                <w:color w:val="000000"/>
              </w:rPr>
              <w:t>, Q33-Q35, Q37-Q44</w:t>
            </w:r>
          </w:p>
        </w:tc>
        <w:tc>
          <w:tcPr>
            <w:tcW w:w="1840" w:type="dxa"/>
            <w:shd w:val="clear" w:color="auto" w:fill="auto"/>
            <w:vAlign w:val="bottom"/>
            <w:hideMark/>
          </w:tcPr>
          <w:p w14:paraId="3997D196" w14:textId="36035C7A" w:rsidR="009E751B" w:rsidRPr="0009759A" w:rsidRDefault="009E751B" w:rsidP="00057114">
            <w:pPr>
              <w:rPr>
                <w:color w:val="000000"/>
              </w:rPr>
            </w:pPr>
            <w:r w:rsidRPr="0009759A">
              <w:rPr>
                <w:color w:val="000000"/>
              </w:rPr>
              <w:t>Co</w:t>
            </w:r>
            <w:r w:rsidR="00057114">
              <w:rPr>
                <w:color w:val="000000"/>
              </w:rPr>
              <w:t xml:space="preserve">ntains corresponding </w:t>
            </w:r>
            <w:r w:rsidRPr="0009759A">
              <w:rPr>
                <w:color w:val="000000"/>
              </w:rPr>
              <w:t>questions</w:t>
            </w:r>
          </w:p>
        </w:tc>
        <w:tc>
          <w:tcPr>
            <w:tcW w:w="1840" w:type="dxa"/>
          </w:tcPr>
          <w:p w14:paraId="1050356C" w14:textId="16D658F3" w:rsidR="009E751B" w:rsidRPr="0009759A" w:rsidRDefault="00626F96" w:rsidP="003D468D">
            <w:pPr>
              <w:rPr>
                <w:color w:val="000000"/>
              </w:rPr>
            </w:pPr>
            <w:r>
              <w:rPr>
                <w:color w:val="000000"/>
              </w:rPr>
              <w:t>Q</w:t>
            </w:r>
            <w:r w:rsidR="003D468D">
              <w:rPr>
                <w:color w:val="000000"/>
              </w:rPr>
              <w:t>5</w:t>
            </w:r>
            <w:r>
              <w:rPr>
                <w:color w:val="000000"/>
              </w:rPr>
              <w:t xml:space="preserve">, </w:t>
            </w:r>
            <w:r w:rsidR="003D468D">
              <w:rPr>
                <w:color w:val="000000"/>
              </w:rPr>
              <w:t>Q7, Q10-</w:t>
            </w:r>
            <w:r>
              <w:rPr>
                <w:color w:val="000000"/>
              </w:rPr>
              <w:t>Q11</w:t>
            </w:r>
            <w:r w:rsidR="003D468D">
              <w:rPr>
                <w:color w:val="000000"/>
              </w:rPr>
              <w:t xml:space="preserve">, </w:t>
            </w:r>
            <w:r>
              <w:rPr>
                <w:color w:val="000000"/>
              </w:rPr>
              <w:t xml:space="preserve"> Q15, Q16</w:t>
            </w:r>
            <w:r w:rsidR="003D468D">
              <w:rPr>
                <w:color w:val="000000"/>
              </w:rPr>
              <w:t xml:space="preserve">, Q20-Q28 </w:t>
            </w:r>
          </w:p>
        </w:tc>
        <w:tc>
          <w:tcPr>
            <w:tcW w:w="1840" w:type="dxa"/>
          </w:tcPr>
          <w:p w14:paraId="701E2B93" w14:textId="3716A792" w:rsidR="009E751B" w:rsidRDefault="00626F96" w:rsidP="003D468D">
            <w:pPr>
              <w:rPr>
                <w:color w:val="000000"/>
              </w:rPr>
            </w:pPr>
            <w:r>
              <w:rPr>
                <w:color w:val="000000"/>
              </w:rPr>
              <w:t>Health (Q7, Q</w:t>
            </w:r>
            <w:r w:rsidR="003D468D">
              <w:rPr>
                <w:color w:val="000000"/>
              </w:rPr>
              <w:t>9</w:t>
            </w:r>
            <w:r>
              <w:rPr>
                <w:color w:val="000000"/>
              </w:rPr>
              <w:t>); life satisfaction (Q</w:t>
            </w:r>
            <w:r w:rsidR="003D468D">
              <w:rPr>
                <w:color w:val="000000"/>
              </w:rPr>
              <w:t>8</w:t>
            </w:r>
            <w:r>
              <w:rPr>
                <w:color w:val="000000"/>
              </w:rPr>
              <w:t>), symptoms of depression (Q1</w:t>
            </w:r>
            <w:r w:rsidR="003D468D">
              <w:rPr>
                <w:color w:val="000000"/>
              </w:rPr>
              <w:t>2</w:t>
            </w:r>
            <w:r>
              <w:rPr>
                <w:color w:val="000000"/>
              </w:rPr>
              <w:t>), loneliness (Q1</w:t>
            </w:r>
            <w:r w:rsidR="003D468D">
              <w:rPr>
                <w:color w:val="000000"/>
              </w:rPr>
              <w:t>7</w:t>
            </w:r>
            <w:r>
              <w:rPr>
                <w:color w:val="000000"/>
              </w:rPr>
              <w:t>)</w:t>
            </w:r>
          </w:p>
        </w:tc>
      </w:tr>
      <w:tr w:rsidR="009E751B" w:rsidRPr="0009759A" w14:paraId="337A0C9B" w14:textId="77777777" w:rsidTr="007B5A98">
        <w:trPr>
          <w:trHeight w:val="600"/>
          <w:jc w:val="center"/>
        </w:trPr>
        <w:tc>
          <w:tcPr>
            <w:tcW w:w="2000" w:type="dxa"/>
            <w:shd w:val="clear" w:color="auto" w:fill="auto"/>
            <w:vAlign w:val="bottom"/>
            <w:hideMark/>
          </w:tcPr>
          <w:p w14:paraId="0B87635F" w14:textId="7B274C40" w:rsidR="009E751B" w:rsidRPr="0009759A" w:rsidRDefault="001866AB" w:rsidP="003D468D">
            <w:pPr>
              <w:rPr>
                <w:color w:val="000000"/>
              </w:rPr>
            </w:pPr>
            <w:r>
              <w:rPr>
                <w:color w:val="000000"/>
              </w:rPr>
              <w:t>Baseline survey q</w:t>
            </w:r>
            <w:r w:rsidR="009E751B">
              <w:rPr>
                <w:color w:val="000000"/>
              </w:rPr>
              <w:t>uestions</w:t>
            </w:r>
            <w:r w:rsidR="00DE3C82">
              <w:rPr>
                <w:color w:val="000000"/>
              </w:rPr>
              <w:t>:</w:t>
            </w:r>
            <w:r w:rsidR="009E751B">
              <w:rPr>
                <w:color w:val="000000"/>
              </w:rPr>
              <w:t xml:space="preserve"> </w:t>
            </w:r>
            <w:r w:rsidR="00626F96">
              <w:rPr>
                <w:color w:val="000000"/>
              </w:rPr>
              <w:t xml:space="preserve"> Q1-</w:t>
            </w:r>
            <w:r w:rsidR="003D468D">
              <w:rPr>
                <w:color w:val="000000"/>
              </w:rPr>
              <w:t xml:space="preserve">Q4, </w:t>
            </w:r>
            <w:r w:rsidR="00626F96">
              <w:rPr>
                <w:color w:val="000000"/>
              </w:rPr>
              <w:t xml:space="preserve">Q6, </w:t>
            </w:r>
            <w:r w:rsidR="003D468D">
              <w:rPr>
                <w:color w:val="000000"/>
              </w:rPr>
              <w:t xml:space="preserve">Q13-Q14, Q29.1, Q29.2, Q29.4 </w:t>
            </w:r>
          </w:p>
        </w:tc>
        <w:tc>
          <w:tcPr>
            <w:tcW w:w="1840" w:type="dxa"/>
            <w:shd w:val="clear" w:color="auto" w:fill="auto"/>
            <w:vAlign w:val="bottom"/>
            <w:hideMark/>
          </w:tcPr>
          <w:p w14:paraId="63FBE350" w14:textId="77777777" w:rsidR="009E751B" w:rsidRPr="0009759A" w:rsidRDefault="009E751B" w:rsidP="007B5A98">
            <w:pPr>
              <w:rPr>
                <w:color w:val="000000"/>
              </w:rPr>
            </w:pPr>
            <w:r w:rsidRPr="0009759A">
              <w:rPr>
                <w:color w:val="000000"/>
              </w:rPr>
              <w:t>Not in the HRS data</w:t>
            </w:r>
          </w:p>
        </w:tc>
        <w:tc>
          <w:tcPr>
            <w:tcW w:w="1840" w:type="dxa"/>
          </w:tcPr>
          <w:p w14:paraId="514C6FEB" w14:textId="77777777" w:rsidR="009E751B" w:rsidRPr="0009759A" w:rsidRDefault="001D027E" w:rsidP="007B5A98">
            <w:pPr>
              <w:rPr>
                <w:color w:val="000000"/>
              </w:rPr>
            </w:pPr>
            <w:r>
              <w:rPr>
                <w:color w:val="000000"/>
              </w:rPr>
              <w:t>Not applicable</w:t>
            </w:r>
          </w:p>
        </w:tc>
        <w:tc>
          <w:tcPr>
            <w:tcW w:w="1840" w:type="dxa"/>
          </w:tcPr>
          <w:p w14:paraId="7C6E6DDF" w14:textId="77777777" w:rsidR="009E751B" w:rsidRPr="0009759A" w:rsidRDefault="001D027E" w:rsidP="007B5A98">
            <w:pPr>
              <w:rPr>
                <w:color w:val="000000"/>
              </w:rPr>
            </w:pPr>
            <w:r>
              <w:rPr>
                <w:color w:val="000000"/>
              </w:rPr>
              <w:t>Not applicable</w:t>
            </w:r>
          </w:p>
        </w:tc>
      </w:tr>
      <w:tr w:rsidR="001866AB" w:rsidRPr="0009759A" w14:paraId="5369E0B7" w14:textId="58F98002" w:rsidTr="007B5A98">
        <w:trPr>
          <w:trHeight w:val="600"/>
          <w:jc w:val="center"/>
        </w:trPr>
        <w:tc>
          <w:tcPr>
            <w:tcW w:w="2000" w:type="dxa"/>
            <w:shd w:val="clear" w:color="auto" w:fill="auto"/>
            <w:vAlign w:val="bottom"/>
          </w:tcPr>
          <w:p w14:paraId="38E5ECA1" w14:textId="33C830EE" w:rsidR="001866AB" w:rsidRDefault="00DE3C82" w:rsidP="003D468D">
            <w:pPr>
              <w:rPr>
                <w:color w:val="000000"/>
              </w:rPr>
            </w:pPr>
            <w:r>
              <w:rPr>
                <w:color w:val="000000"/>
              </w:rPr>
              <w:t xml:space="preserve">First follow-up questions: </w:t>
            </w:r>
            <w:r w:rsidR="003D468D">
              <w:rPr>
                <w:color w:val="000000"/>
              </w:rPr>
              <w:t xml:space="preserve">Q9, </w:t>
            </w:r>
            <w:r w:rsidR="004D3E17">
              <w:rPr>
                <w:color w:val="000000"/>
              </w:rPr>
              <w:t>Q10-Q2</w:t>
            </w:r>
            <w:r w:rsidR="003D468D">
              <w:rPr>
                <w:color w:val="000000"/>
              </w:rPr>
              <w:t>0</w:t>
            </w:r>
          </w:p>
        </w:tc>
        <w:tc>
          <w:tcPr>
            <w:tcW w:w="1840" w:type="dxa"/>
            <w:shd w:val="clear" w:color="auto" w:fill="auto"/>
            <w:vAlign w:val="bottom"/>
          </w:tcPr>
          <w:p w14:paraId="67B3B859" w14:textId="2209DBA7" w:rsidR="001866AB" w:rsidRPr="0009759A" w:rsidRDefault="00057114" w:rsidP="007B5A98">
            <w:pPr>
              <w:rPr>
                <w:color w:val="000000"/>
              </w:rPr>
            </w:pPr>
            <w:r w:rsidRPr="0009759A">
              <w:rPr>
                <w:color w:val="000000"/>
              </w:rPr>
              <w:t>Co</w:t>
            </w:r>
            <w:r>
              <w:rPr>
                <w:color w:val="000000"/>
              </w:rPr>
              <w:t xml:space="preserve">ntains corresponding </w:t>
            </w:r>
            <w:r w:rsidR="00DE3C82" w:rsidRPr="0009759A">
              <w:rPr>
                <w:color w:val="000000"/>
              </w:rPr>
              <w:t>questions</w:t>
            </w:r>
          </w:p>
        </w:tc>
        <w:tc>
          <w:tcPr>
            <w:tcW w:w="1840" w:type="dxa"/>
          </w:tcPr>
          <w:p w14:paraId="74B422B1" w14:textId="1112BE4B" w:rsidR="001866AB" w:rsidRDefault="004D3E17" w:rsidP="007B5A98">
            <w:pPr>
              <w:rPr>
                <w:color w:val="000000"/>
              </w:rPr>
            </w:pPr>
            <w:r>
              <w:rPr>
                <w:color w:val="000000"/>
              </w:rPr>
              <w:t>Not applicable</w:t>
            </w:r>
          </w:p>
        </w:tc>
        <w:tc>
          <w:tcPr>
            <w:tcW w:w="1840" w:type="dxa"/>
          </w:tcPr>
          <w:p w14:paraId="3DA3E3E0" w14:textId="6F3C4A31" w:rsidR="001866AB" w:rsidRDefault="004D3E17" w:rsidP="003D468D">
            <w:pPr>
              <w:rPr>
                <w:color w:val="000000"/>
              </w:rPr>
            </w:pPr>
            <w:r>
              <w:rPr>
                <w:color w:val="000000"/>
              </w:rPr>
              <w:t>Health (Q10</w:t>
            </w:r>
            <w:r w:rsidR="003D468D">
              <w:rPr>
                <w:color w:val="000000"/>
              </w:rPr>
              <w:t>, Q11</w:t>
            </w:r>
            <w:r>
              <w:rPr>
                <w:color w:val="000000"/>
              </w:rPr>
              <w:t>), symptoms of depression (Q14), loneliness (Q1</w:t>
            </w:r>
            <w:r w:rsidR="003D468D">
              <w:rPr>
                <w:color w:val="000000"/>
              </w:rPr>
              <w:t>7</w:t>
            </w:r>
            <w:r>
              <w:rPr>
                <w:color w:val="000000"/>
              </w:rPr>
              <w:t>)</w:t>
            </w:r>
          </w:p>
        </w:tc>
      </w:tr>
      <w:tr w:rsidR="00DE3C82" w:rsidRPr="0009759A" w14:paraId="774E53B1" w14:textId="11F73DD8" w:rsidTr="007B5A98">
        <w:trPr>
          <w:trHeight w:val="600"/>
          <w:jc w:val="center"/>
        </w:trPr>
        <w:tc>
          <w:tcPr>
            <w:tcW w:w="2000" w:type="dxa"/>
            <w:shd w:val="clear" w:color="auto" w:fill="auto"/>
            <w:vAlign w:val="bottom"/>
          </w:tcPr>
          <w:p w14:paraId="6ED6972D" w14:textId="2292F3D3" w:rsidR="00DE3C82" w:rsidRDefault="00DE3C82" w:rsidP="001866AB">
            <w:pPr>
              <w:rPr>
                <w:color w:val="000000"/>
              </w:rPr>
            </w:pPr>
            <w:r>
              <w:rPr>
                <w:color w:val="000000"/>
              </w:rPr>
              <w:t>First follow-up questions:</w:t>
            </w:r>
            <w:r w:rsidR="003D468D">
              <w:rPr>
                <w:color w:val="000000"/>
              </w:rPr>
              <w:t xml:space="preserve"> Q1-Q8</w:t>
            </w:r>
          </w:p>
        </w:tc>
        <w:tc>
          <w:tcPr>
            <w:tcW w:w="1840" w:type="dxa"/>
            <w:shd w:val="clear" w:color="auto" w:fill="auto"/>
            <w:vAlign w:val="bottom"/>
          </w:tcPr>
          <w:p w14:paraId="3972901C" w14:textId="740C6229" w:rsidR="00DE3C82" w:rsidRPr="0009759A" w:rsidRDefault="00DE3C82" w:rsidP="007B5A98">
            <w:pPr>
              <w:rPr>
                <w:color w:val="000000"/>
              </w:rPr>
            </w:pPr>
            <w:r w:rsidRPr="0009759A">
              <w:rPr>
                <w:color w:val="000000"/>
              </w:rPr>
              <w:t>Not in the HRS data</w:t>
            </w:r>
          </w:p>
        </w:tc>
        <w:tc>
          <w:tcPr>
            <w:tcW w:w="1840" w:type="dxa"/>
          </w:tcPr>
          <w:p w14:paraId="7B0F5843" w14:textId="1A1EBB5A" w:rsidR="00DE3C82" w:rsidRDefault="00DE3C82" w:rsidP="007B5A98">
            <w:pPr>
              <w:rPr>
                <w:color w:val="000000"/>
              </w:rPr>
            </w:pPr>
            <w:r>
              <w:rPr>
                <w:color w:val="000000"/>
              </w:rPr>
              <w:t>Not applicable</w:t>
            </w:r>
          </w:p>
        </w:tc>
        <w:tc>
          <w:tcPr>
            <w:tcW w:w="1840" w:type="dxa"/>
          </w:tcPr>
          <w:p w14:paraId="16B9F73B" w14:textId="28063A4C" w:rsidR="00DE3C82" w:rsidRDefault="00DE3C82" w:rsidP="007B5A98">
            <w:pPr>
              <w:rPr>
                <w:color w:val="000000"/>
              </w:rPr>
            </w:pPr>
            <w:r>
              <w:rPr>
                <w:color w:val="000000"/>
              </w:rPr>
              <w:t>Not applicable</w:t>
            </w:r>
          </w:p>
        </w:tc>
      </w:tr>
      <w:tr w:rsidR="00DE3C82" w:rsidRPr="0009759A" w14:paraId="520D843A" w14:textId="77777777" w:rsidTr="007B5A98">
        <w:trPr>
          <w:trHeight w:val="600"/>
          <w:jc w:val="center"/>
        </w:trPr>
        <w:tc>
          <w:tcPr>
            <w:tcW w:w="2000" w:type="dxa"/>
            <w:shd w:val="clear" w:color="auto" w:fill="auto"/>
            <w:vAlign w:val="bottom"/>
          </w:tcPr>
          <w:p w14:paraId="332F6553" w14:textId="4F2AF43C" w:rsidR="00DE3C82" w:rsidRDefault="00DE3C82" w:rsidP="003D468D">
            <w:pPr>
              <w:rPr>
                <w:color w:val="000000"/>
              </w:rPr>
            </w:pPr>
            <w:r>
              <w:rPr>
                <w:color w:val="000000"/>
              </w:rPr>
              <w:t>Second follow-up questions</w:t>
            </w:r>
            <w:r w:rsidR="00F26EE4">
              <w:rPr>
                <w:color w:val="000000"/>
              </w:rPr>
              <w:t>: Q</w:t>
            </w:r>
            <w:r w:rsidR="003D468D">
              <w:rPr>
                <w:color w:val="000000"/>
              </w:rPr>
              <w:t>13</w:t>
            </w:r>
            <w:r w:rsidR="00F26EE4">
              <w:rPr>
                <w:color w:val="000000"/>
              </w:rPr>
              <w:t>-Q30</w:t>
            </w:r>
          </w:p>
          <w:p w14:paraId="3C4EEDE1" w14:textId="77777777" w:rsidR="008F4BD3" w:rsidRDefault="008F4BD3" w:rsidP="008F4BD3">
            <w:pPr>
              <w:rPr>
                <w:color w:val="000000"/>
              </w:rPr>
            </w:pPr>
          </w:p>
          <w:p w14:paraId="090795C4" w14:textId="5684C170" w:rsidR="008F4BD3" w:rsidRDefault="008F4BD3" w:rsidP="008F4BD3">
            <w:pPr>
              <w:rPr>
                <w:color w:val="000000"/>
              </w:rPr>
            </w:pPr>
            <w:r>
              <w:rPr>
                <w:color w:val="000000"/>
              </w:rPr>
              <w:t>Second follow-up questions (for participants that left the program at first follow-up):  Q3-Q12</w:t>
            </w:r>
          </w:p>
        </w:tc>
        <w:tc>
          <w:tcPr>
            <w:tcW w:w="1840" w:type="dxa"/>
            <w:shd w:val="clear" w:color="auto" w:fill="auto"/>
            <w:vAlign w:val="bottom"/>
          </w:tcPr>
          <w:p w14:paraId="03093F39" w14:textId="3DE88FF1" w:rsidR="00DE3C82" w:rsidRPr="0009759A" w:rsidRDefault="00057114" w:rsidP="007B5A98">
            <w:pPr>
              <w:rPr>
                <w:color w:val="000000"/>
              </w:rPr>
            </w:pPr>
            <w:r w:rsidRPr="0009759A">
              <w:rPr>
                <w:color w:val="000000"/>
              </w:rPr>
              <w:t>Co</w:t>
            </w:r>
            <w:r>
              <w:rPr>
                <w:color w:val="000000"/>
              </w:rPr>
              <w:t xml:space="preserve">ntains corresponding </w:t>
            </w:r>
            <w:r w:rsidR="00DE3C82" w:rsidRPr="0009759A">
              <w:rPr>
                <w:color w:val="000000"/>
              </w:rPr>
              <w:t>questions</w:t>
            </w:r>
          </w:p>
        </w:tc>
        <w:tc>
          <w:tcPr>
            <w:tcW w:w="1840" w:type="dxa"/>
          </w:tcPr>
          <w:p w14:paraId="14CB17F8" w14:textId="3B80C775" w:rsidR="00DE3C82" w:rsidRDefault="008F4BD3" w:rsidP="008F4BD3">
            <w:pPr>
              <w:rPr>
                <w:color w:val="000000"/>
              </w:rPr>
            </w:pPr>
            <w:r>
              <w:rPr>
                <w:color w:val="000000"/>
              </w:rPr>
              <w:t>Q17, Q18, Q20, Q21, Q24, Q25-Q30</w:t>
            </w:r>
          </w:p>
        </w:tc>
        <w:tc>
          <w:tcPr>
            <w:tcW w:w="1840" w:type="dxa"/>
          </w:tcPr>
          <w:p w14:paraId="3DFDBF14" w14:textId="4BBFF1B5" w:rsidR="00DE3C82" w:rsidRDefault="00626F96" w:rsidP="003D468D">
            <w:pPr>
              <w:rPr>
                <w:color w:val="000000"/>
              </w:rPr>
            </w:pPr>
            <w:r>
              <w:rPr>
                <w:color w:val="000000"/>
              </w:rPr>
              <w:t>Health (Q</w:t>
            </w:r>
            <w:r w:rsidR="003D468D">
              <w:rPr>
                <w:color w:val="000000"/>
              </w:rPr>
              <w:t>14</w:t>
            </w:r>
            <w:r w:rsidR="00F26EE4">
              <w:rPr>
                <w:color w:val="000000"/>
              </w:rPr>
              <w:t>, Q</w:t>
            </w:r>
            <w:r w:rsidR="003D468D">
              <w:rPr>
                <w:color w:val="000000"/>
              </w:rPr>
              <w:t>15</w:t>
            </w:r>
            <w:r>
              <w:rPr>
                <w:color w:val="000000"/>
              </w:rPr>
              <w:t>); life satisfaction (Q</w:t>
            </w:r>
            <w:r w:rsidR="003D468D">
              <w:rPr>
                <w:color w:val="000000"/>
              </w:rPr>
              <w:t>16</w:t>
            </w:r>
            <w:r w:rsidR="00F26EE4">
              <w:rPr>
                <w:color w:val="000000"/>
              </w:rPr>
              <w:t>), symptoms of depression (Q</w:t>
            </w:r>
            <w:r w:rsidR="003D468D">
              <w:rPr>
                <w:color w:val="000000"/>
              </w:rPr>
              <w:t>19</w:t>
            </w:r>
            <w:r>
              <w:rPr>
                <w:color w:val="000000"/>
              </w:rPr>
              <w:t>), loneliness (Q</w:t>
            </w:r>
            <w:r w:rsidR="003D468D">
              <w:rPr>
                <w:color w:val="000000"/>
              </w:rPr>
              <w:t>22</w:t>
            </w:r>
            <w:r>
              <w:rPr>
                <w:color w:val="000000"/>
              </w:rPr>
              <w:t>)</w:t>
            </w:r>
          </w:p>
          <w:p w14:paraId="0927F0B4" w14:textId="77777777" w:rsidR="008F4BD3" w:rsidRDefault="008F4BD3" w:rsidP="003D468D">
            <w:pPr>
              <w:rPr>
                <w:color w:val="000000"/>
              </w:rPr>
            </w:pPr>
            <w:r>
              <w:rPr>
                <w:color w:val="000000"/>
              </w:rPr>
              <w:t xml:space="preserve">Second follow-up questions (for participants that left the program at first follow-up):  </w:t>
            </w:r>
          </w:p>
          <w:p w14:paraId="4E6349A8" w14:textId="7477E82B" w:rsidR="008F4BD3" w:rsidRDefault="008F4BD3" w:rsidP="003D468D">
            <w:pPr>
              <w:rPr>
                <w:color w:val="000000"/>
              </w:rPr>
            </w:pPr>
            <w:r>
              <w:rPr>
                <w:color w:val="000000"/>
              </w:rPr>
              <w:t>Health (Q4); life satisfaction (Q5); symptoms of depression (Q7); loneliness (Q10)</w:t>
            </w:r>
          </w:p>
        </w:tc>
      </w:tr>
      <w:tr w:rsidR="00DE3C82" w:rsidRPr="0009759A" w14:paraId="220D49C0" w14:textId="77777777" w:rsidTr="007B5A98">
        <w:trPr>
          <w:trHeight w:val="600"/>
          <w:jc w:val="center"/>
        </w:trPr>
        <w:tc>
          <w:tcPr>
            <w:tcW w:w="2000" w:type="dxa"/>
            <w:shd w:val="clear" w:color="auto" w:fill="auto"/>
            <w:vAlign w:val="bottom"/>
          </w:tcPr>
          <w:p w14:paraId="559B6224" w14:textId="4D26774C" w:rsidR="00DE3C82" w:rsidRDefault="00DE3C82" w:rsidP="001866AB">
            <w:pPr>
              <w:rPr>
                <w:color w:val="000000"/>
              </w:rPr>
            </w:pPr>
            <w:r>
              <w:rPr>
                <w:color w:val="000000"/>
              </w:rPr>
              <w:lastRenderedPageBreak/>
              <w:t>Second follow-up questions</w:t>
            </w:r>
            <w:r w:rsidR="00F26EE4">
              <w:rPr>
                <w:color w:val="000000"/>
              </w:rPr>
              <w:t>: Q1-Q1</w:t>
            </w:r>
            <w:r w:rsidR="008F4BD3">
              <w:rPr>
                <w:color w:val="000000"/>
              </w:rPr>
              <w:t>2</w:t>
            </w:r>
            <w:r w:rsidR="00F26EE4">
              <w:rPr>
                <w:color w:val="000000"/>
              </w:rPr>
              <w:t>, Q</w:t>
            </w:r>
            <w:r w:rsidR="008F4BD3">
              <w:rPr>
                <w:color w:val="000000"/>
              </w:rPr>
              <w:t>31</w:t>
            </w:r>
            <w:r w:rsidR="00F26EE4">
              <w:rPr>
                <w:color w:val="000000"/>
              </w:rPr>
              <w:t>-Q</w:t>
            </w:r>
            <w:r w:rsidR="008F4BD3">
              <w:rPr>
                <w:color w:val="000000"/>
              </w:rPr>
              <w:t>32</w:t>
            </w:r>
          </w:p>
          <w:p w14:paraId="46B231B3" w14:textId="1BBDB8A5" w:rsidR="00057114" w:rsidRDefault="00057114" w:rsidP="001866AB">
            <w:pPr>
              <w:rPr>
                <w:color w:val="000000"/>
              </w:rPr>
            </w:pPr>
            <w:r>
              <w:rPr>
                <w:color w:val="000000"/>
              </w:rPr>
              <w:t xml:space="preserve">Second follow-up questions (for participants that left the program at first follow-up): </w:t>
            </w:r>
            <w:r w:rsidR="008F4BD3">
              <w:rPr>
                <w:color w:val="000000"/>
              </w:rPr>
              <w:t xml:space="preserve"> Q1, Q2</w:t>
            </w:r>
          </w:p>
        </w:tc>
        <w:tc>
          <w:tcPr>
            <w:tcW w:w="1840" w:type="dxa"/>
            <w:shd w:val="clear" w:color="auto" w:fill="auto"/>
            <w:vAlign w:val="bottom"/>
          </w:tcPr>
          <w:p w14:paraId="3D298A6D" w14:textId="2F08C4A0" w:rsidR="00DE3C82" w:rsidRPr="0009759A" w:rsidRDefault="00DE3C82" w:rsidP="007B5A98">
            <w:pPr>
              <w:rPr>
                <w:color w:val="000000"/>
              </w:rPr>
            </w:pPr>
            <w:r w:rsidRPr="0009759A">
              <w:rPr>
                <w:color w:val="000000"/>
              </w:rPr>
              <w:t>Not in the HRS data</w:t>
            </w:r>
          </w:p>
        </w:tc>
        <w:tc>
          <w:tcPr>
            <w:tcW w:w="1840" w:type="dxa"/>
          </w:tcPr>
          <w:p w14:paraId="7DB04EBC" w14:textId="2D4CC939" w:rsidR="00DE3C82" w:rsidRDefault="00DE3C82" w:rsidP="007B5A98">
            <w:pPr>
              <w:rPr>
                <w:color w:val="000000"/>
              </w:rPr>
            </w:pPr>
            <w:r>
              <w:rPr>
                <w:color w:val="000000"/>
              </w:rPr>
              <w:t>Not applicable</w:t>
            </w:r>
          </w:p>
        </w:tc>
        <w:tc>
          <w:tcPr>
            <w:tcW w:w="1840" w:type="dxa"/>
          </w:tcPr>
          <w:p w14:paraId="6FC98C03" w14:textId="75D05636" w:rsidR="00DE3C82" w:rsidRDefault="00DE3C82" w:rsidP="007B5A98">
            <w:pPr>
              <w:rPr>
                <w:color w:val="000000"/>
              </w:rPr>
            </w:pPr>
            <w:r>
              <w:rPr>
                <w:color w:val="000000"/>
              </w:rPr>
              <w:t>Not applicable</w:t>
            </w:r>
          </w:p>
        </w:tc>
      </w:tr>
    </w:tbl>
    <w:p w14:paraId="4C98AAAF" w14:textId="57BB7932" w:rsidR="009E682B" w:rsidRDefault="009E751B" w:rsidP="000D62F1">
      <w:pPr>
        <w:pStyle w:val="proposaltext"/>
        <w:spacing w:before="200" w:beforeAutospacing="0" w:after="200" w:afterAutospacing="0"/>
      </w:pPr>
      <w:r>
        <w:t>The c</w:t>
      </w:r>
      <w:r w:rsidR="009E682B" w:rsidRPr="00AF19CE">
        <w:t xml:space="preserve">ommon variables in </w:t>
      </w:r>
      <w:r w:rsidR="009E682B">
        <w:t xml:space="preserve">the </w:t>
      </w:r>
      <w:r>
        <w:t xml:space="preserve">Volunteer </w:t>
      </w:r>
      <w:r w:rsidR="00784B21">
        <w:t xml:space="preserve">Surveys </w:t>
      </w:r>
      <w:r w:rsidR="009E682B">
        <w:t>and HRS</w:t>
      </w:r>
      <w:r w:rsidR="009E682B" w:rsidRPr="00AF19CE">
        <w:t xml:space="preserve"> datasets will be aligned in terms of their definition and measurements, and their distributions will be aligned as closely as possible to each other so as to minimize differences among common variables across datasets. For example, JBS will examine the ‘age’ variable in both data sets to assess whether the range of values for this variable is similar across both datasets. If they are not, then the ‘age’ variable will be harmonized across both datasets.</w:t>
      </w:r>
      <w:r>
        <w:t xml:space="preserve"> </w:t>
      </w:r>
      <w:r w:rsidR="009E682B" w:rsidRPr="00AF19CE">
        <w:t>JBS will handle missing data imputation similarly for both datasets.</w:t>
      </w:r>
      <w:r>
        <w:t xml:space="preserve"> </w:t>
      </w:r>
      <w:r w:rsidR="009E682B" w:rsidRPr="00AF19CE">
        <w:t xml:space="preserve">The HRS data will be appended to the data to create a combined data file. JBS will add a variable to indicate whether a case belongs to the </w:t>
      </w:r>
      <w:r w:rsidR="00EB535B">
        <w:t>Senior Corps volunteer</w:t>
      </w:r>
      <w:r w:rsidR="00EB535B" w:rsidRPr="00AF19CE">
        <w:t xml:space="preserve"> </w:t>
      </w:r>
      <w:r w:rsidR="009E682B" w:rsidRPr="00AF19CE">
        <w:t xml:space="preserve">group from the </w:t>
      </w:r>
      <w:r>
        <w:t>Volunteer Study</w:t>
      </w:r>
      <w:r w:rsidR="009E682B" w:rsidRPr="00AF19CE">
        <w:t xml:space="preserve"> data or a </w:t>
      </w:r>
      <w:r w:rsidR="00C656DE">
        <w:t>comparison</w:t>
      </w:r>
      <w:r w:rsidR="00C656DE" w:rsidRPr="00AF19CE">
        <w:t xml:space="preserve"> </w:t>
      </w:r>
      <w:r w:rsidR="009E682B" w:rsidRPr="00AF19CE">
        <w:t>case from the HRS data.</w:t>
      </w:r>
    </w:p>
    <w:p w14:paraId="17D8C96D" w14:textId="607B6461" w:rsidR="00AE2362" w:rsidRPr="00AE2362" w:rsidRDefault="009E751B" w:rsidP="009E751B">
      <w:pPr>
        <w:pStyle w:val="proposaltext"/>
        <w:spacing w:before="0" w:beforeAutospacing="0" w:after="160" w:afterAutospacing="0"/>
      </w:pPr>
      <w:r>
        <w:t>The propensity score model</w:t>
      </w:r>
      <w:r w:rsidR="00AE2362" w:rsidRPr="00AE2362">
        <w:t xml:space="preserve"> will identify and include variables that are either deterministic to time (e.g., age) or measured before participation so that these measures are not confounded with the outcomes</w:t>
      </w:r>
      <w:r w:rsidR="00220B1D">
        <w:t>;</w:t>
      </w:r>
      <w:r w:rsidR="00AE2362" w:rsidRPr="00AE2362">
        <w:t xml:space="preserve"> </w:t>
      </w:r>
      <w:r w:rsidR="00220B1D">
        <w:t xml:space="preserve">the </w:t>
      </w:r>
      <w:r w:rsidR="00AE2362" w:rsidRPr="00AE2362">
        <w:t xml:space="preserve">measures </w:t>
      </w:r>
      <w:r w:rsidR="00220B1D">
        <w:t xml:space="preserve">will be constructed </w:t>
      </w:r>
      <w:r w:rsidR="00AE2362" w:rsidRPr="00AE2362">
        <w:t xml:space="preserve">similarly in both datasets. </w:t>
      </w:r>
      <w:r w:rsidR="00220B1D">
        <w:t>V</w:t>
      </w:r>
      <w:r w:rsidR="00AE2362" w:rsidRPr="00AE2362">
        <w:t>ariables that are likely to affect both the participation and the outcome of interest</w:t>
      </w:r>
      <w:r w:rsidR="00220B1D">
        <w:t xml:space="preserve"> will be considered</w:t>
      </w:r>
      <w:r w:rsidR="00AE2362" w:rsidRPr="00AE2362">
        <w:t xml:space="preserve">. Moreover, missing data will be handled similarly for both groups. </w:t>
      </w:r>
      <w:r>
        <w:t>JBS</w:t>
      </w:r>
      <w:r w:rsidRPr="00AE2362">
        <w:t xml:space="preserve"> </w:t>
      </w:r>
      <w:r w:rsidR="00AE2362" w:rsidRPr="00AE2362">
        <w:t xml:space="preserve">will assess the degree of clustering within the data (it is anticipated that there will be clustering by geographic region, urban and rural placements) to determine </w:t>
      </w:r>
      <w:r>
        <w:t>whether to</w:t>
      </w:r>
      <w:r w:rsidR="00AE2362" w:rsidRPr="00AE2362">
        <w:t xml:space="preserve"> account for the clustering</w:t>
      </w:r>
      <w:r w:rsidR="00930B2F">
        <w:t>. JBS will compute robust standard errors that account for clustering at the grantee level.</w:t>
      </w:r>
      <w:r w:rsidR="00AE2362" w:rsidRPr="00AE2362">
        <w:t xml:space="preserve"> </w:t>
      </w:r>
    </w:p>
    <w:p w14:paraId="72B429DE" w14:textId="27878889" w:rsidR="00AE2362" w:rsidRPr="00AE2362" w:rsidRDefault="00AE2362" w:rsidP="009E751B">
      <w:pPr>
        <w:pStyle w:val="proposaltext"/>
        <w:spacing w:before="0" w:beforeAutospacing="0" w:after="160" w:afterAutospacing="0"/>
      </w:pPr>
      <w:r w:rsidRPr="00AE2362">
        <w:t>As with the application of any statistical method, it is important to check the key assumptions that are made in the estimation as well as verify that the model specifications for creating the comparison group are appropriate and that the results do not create bias. These results need to be complemented with evidence of covariate balancing between groups and robustness checks. If the</w:t>
      </w:r>
      <w:r w:rsidR="006A3175">
        <w:t>s</w:t>
      </w:r>
      <w:r w:rsidRPr="00AE2362">
        <w:t xml:space="preserve">e are not balanced, </w:t>
      </w:r>
      <w:r w:rsidR="009E751B">
        <w:t>JBS</w:t>
      </w:r>
      <w:r w:rsidR="009E751B" w:rsidRPr="00AE2362">
        <w:t xml:space="preserve"> </w:t>
      </w:r>
      <w:r w:rsidRPr="00AE2362">
        <w:t xml:space="preserve">will refine the model specification to improve the balance between the groups or potentially consider a different matching approach. </w:t>
      </w:r>
      <w:r w:rsidR="009975E6" w:rsidRPr="00AF19CE">
        <w:t xml:space="preserve">JBS will use the nearest neighbor matching procedure to match the treatment cases to the </w:t>
      </w:r>
      <w:r w:rsidR="009975E6">
        <w:t>comparison</w:t>
      </w:r>
      <w:r w:rsidR="009975E6" w:rsidRPr="00AF19CE">
        <w:t xml:space="preserve"> cases. JBS will use sampling with</w:t>
      </w:r>
      <w:r w:rsidR="009975E6">
        <w:t>out</w:t>
      </w:r>
      <w:r w:rsidR="009975E6" w:rsidRPr="00AF19CE">
        <w:t xml:space="preserve"> replacement</w:t>
      </w:r>
      <w:r w:rsidR="006A3175">
        <w:t>,</w:t>
      </w:r>
      <w:r w:rsidR="009975E6">
        <w:t xml:space="preserve"> meaning each comparison group respondent will be included as a matched case only once. If there is one </w:t>
      </w:r>
      <w:r w:rsidR="00C656DE">
        <w:t xml:space="preserve">or </w:t>
      </w:r>
      <w:r w:rsidR="009975E6">
        <w:t xml:space="preserve">more possible match, one case from the </w:t>
      </w:r>
      <w:r w:rsidR="00EB535B">
        <w:t>HRS</w:t>
      </w:r>
      <w:r w:rsidR="009975E6">
        <w:t xml:space="preserve"> group will be randomly selected. </w:t>
      </w:r>
      <w:r w:rsidR="009E751B">
        <w:t>E</w:t>
      </w:r>
      <w:r w:rsidRPr="00AE2362">
        <w:t xml:space="preserve">ach individual in the </w:t>
      </w:r>
      <w:r w:rsidR="00EB535B">
        <w:t>Senior Corps volunteer</w:t>
      </w:r>
      <w:r w:rsidR="00EB535B" w:rsidRPr="00AE2362">
        <w:t xml:space="preserve"> </w:t>
      </w:r>
      <w:r w:rsidRPr="00AE2362">
        <w:t xml:space="preserve">group </w:t>
      </w:r>
      <w:r w:rsidR="009E751B">
        <w:t xml:space="preserve">will be </w:t>
      </w:r>
      <w:r w:rsidRPr="00AE2362">
        <w:t xml:space="preserve">matched </w:t>
      </w:r>
      <w:r w:rsidR="009E751B">
        <w:t xml:space="preserve">to one </w:t>
      </w:r>
      <w:r w:rsidRPr="00AE2362">
        <w:t xml:space="preserve">individual in the </w:t>
      </w:r>
      <w:r w:rsidR="00EB535B">
        <w:t>HRS</w:t>
      </w:r>
      <w:r w:rsidRPr="00AE2362">
        <w:t xml:space="preserve"> group and the properties of the matched have been verified and robustness checks are done, the impact of national service can be estimated as a weighted average of the difference in outcomes between </w:t>
      </w:r>
      <w:r w:rsidR="00EB535B">
        <w:t>Senior Corps volunteers</w:t>
      </w:r>
      <w:r w:rsidR="00EB535B" w:rsidRPr="00AE2362">
        <w:t xml:space="preserve"> </w:t>
      </w:r>
      <w:r w:rsidRPr="00AE2362">
        <w:t xml:space="preserve">and </w:t>
      </w:r>
      <w:r w:rsidR="00EB535B">
        <w:t>the HRS</w:t>
      </w:r>
      <w:r w:rsidRPr="00AE2362">
        <w:t xml:space="preserve"> group.</w:t>
      </w:r>
      <w:r w:rsidR="009E751B">
        <w:t xml:space="preserve"> </w:t>
      </w:r>
    </w:p>
    <w:p w14:paraId="02D0164F" w14:textId="71FF1391" w:rsidR="0063682F" w:rsidRDefault="00EC612C" w:rsidP="000D62F1">
      <w:pPr>
        <w:spacing w:after="200"/>
      </w:pPr>
      <w:r w:rsidRPr="00C656DE">
        <w:rPr>
          <w:b/>
        </w:rPr>
        <w:t>Limitations</w:t>
      </w:r>
      <w:r>
        <w:rPr>
          <w:b/>
        </w:rPr>
        <w:t>:</w:t>
      </w:r>
      <w:r>
        <w:t xml:space="preserve"> </w:t>
      </w:r>
      <w:r w:rsidR="0063682F">
        <w:t xml:space="preserve">CNCS recognizes that the </w:t>
      </w:r>
      <w:r w:rsidR="000675EC">
        <w:t>propensity score procedure</w:t>
      </w:r>
      <w:r w:rsidR="006A3175">
        <w:t xml:space="preserve"> </w:t>
      </w:r>
      <w:r w:rsidR="0063682F">
        <w:t xml:space="preserve">for the Volunteer Study is subject to limitations and threats to internal validity that will be noted in all reports of the results.  Specifically, the Volunteer Study seeks to match volunteers using propensity score matching procedures to the HRS using common measures from both collections that will be collected at different points in time by different organizations and under different conditions.  Any observed </w:t>
      </w:r>
      <w:r w:rsidR="0063682F">
        <w:lastRenderedPageBreak/>
        <w:t xml:space="preserve">differences may be due to these and other factors rather than effects of the volunteer program.  However, CNCS believes that this research design will provide potentially useful insights about potential effects of the </w:t>
      </w:r>
      <w:r w:rsidR="006667E5">
        <w:t xml:space="preserve">FGP and </w:t>
      </w:r>
      <w:r w:rsidR="0063682F">
        <w:t xml:space="preserve">SCP program.  </w:t>
      </w:r>
    </w:p>
    <w:p w14:paraId="1BCC4E15" w14:textId="79995ADB" w:rsidR="0063682F" w:rsidRPr="00ED7B53" w:rsidRDefault="00EC612C" w:rsidP="0063682F">
      <w:pPr>
        <w:pStyle w:val="proposaltext"/>
        <w:spacing w:before="0" w:beforeAutospacing="0" w:after="160" w:afterAutospacing="0"/>
      </w:pPr>
      <w:bookmarkStart w:id="0" w:name="_Toc396918667"/>
      <w:r w:rsidRPr="00C656DE">
        <w:rPr>
          <w:rFonts w:eastAsia="Times New Roman"/>
          <w:b/>
        </w:rPr>
        <w:t>Statistical adjustments for mode effects</w:t>
      </w:r>
      <w:bookmarkEnd w:id="0"/>
      <w:r>
        <w:rPr>
          <w:rFonts w:eastAsia="Times New Roman"/>
          <w:b/>
        </w:rPr>
        <w:t>:</w:t>
      </w:r>
      <w:r>
        <w:t xml:space="preserve"> </w:t>
      </w:r>
      <w:r w:rsidR="0063682F">
        <w:t xml:space="preserve">The primary survey mode is a self-report paper survey. A telephone survey will be used to contact non-respondents. </w:t>
      </w:r>
      <w:r w:rsidR="0063682F" w:rsidRPr="00ED7B53">
        <w:t xml:space="preserve">Multimode survey designs are increasingly common as response rates fall and researchers attempt to find alternative ways to engage and solicit participation. </w:t>
      </w:r>
      <w:r w:rsidR="0063682F">
        <w:t>The proposed</w:t>
      </w:r>
      <w:r w:rsidR="0063682F" w:rsidRPr="00ED7B53">
        <w:t xml:space="preserve"> </w:t>
      </w:r>
      <w:r w:rsidR="0063682F">
        <w:t>paper and phone surveys</w:t>
      </w:r>
      <w:r w:rsidR="0063682F" w:rsidRPr="00ED7B53">
        <w:t xml:space="preserve"> </w:t>
      </w:r>
      <w:r w:rsidR="0063682F">
        <w:t>will</w:t>
      </w:r>
      <w:r w:rsidR="0063682F" w:rsidRPr="00ED7B53">
        <w:t xml:space="preserve"> minimize cost by first soliciting participation through the </w:t>
      </w:r>
      <w:r w:rsidR="0063682F">
        <w:t>most effective</w:t>
      </w:r>
      <w:r w:rsidR="0063682F" w:rsidRPr="00ED7B53">
        <w:t xml:space="preserve"> mode </w:t>
      </w:r>
      <w:r w:rsidR="0063682F">
        <w:t xml:space="preserve">for this population </w:t>
      </w:r>
      <w:r w:rsidR="0063682F" w:rsidRPr="00ED7B53">
        <w:t xml:space="preserve">and using more intensive non-response follow-up. </w:t>
      </w:r>
      <w:r w:rsidR="00C656DE">
        <w:t xml:space="preserve">The multimodal data collection is </w:t>
      </w:r>
      <w:r w:rsidR="0063682F">
        <w:t>design</w:t>
      </w:r>
      <w:r w:rsidR="00C656DE">
        <w:t>ed</w:t>
      </w:r>
      <w:r w:rsidR="0063682F">
        <w:t xml:space="preserve"> with high involvement and engagement with FGP and SCP grantees</w:t>
      </w:r>
      <w:r w:rsidR="00CB1368">
        <w:t>/projects</w:t>
      </w:r>
      <w:r w:rsidR="00C25F16">
        <w:t xml:space="preserve"> to improve</w:t>
      </w:r>
      <w:r w:rsidR="0063682F" w:rsidRPr="00ED7B53">
        <w:t xml:space="preserve"> the overall response rate</w:t>
      </w:r>
      <w:r w:rsidR="0063682F">
        <w:t xml:space="preserve"> and promote retention for </w:t>
      </w:r>
      <w:r w:rsidR="00C656DE">
        <w:t xml:space="preserve">the </w:t>
      </w:r>
      <w:r w:rsidR="0063682F">
        <w:t xml:space="preserve">follow-up </w:t>
      </w:r>
      <w:r w:rsidR="00C656DE">
        <w:t>survey</w:t>
      </w:r>
      <w:r w:rsidR="00C25F16">
        <w:t>s</w:t>
      </w:r>
      <w:r w:rsidR="003257B5">
        <w:t xml:space="preserve"> (</w:t>
      </w:r>
      <w:proofErr w:type="spellStart"/>
      <w:r w:rsidR="003257B5">
        <w:t>Kolwnikov</w:t>
      </w:r>
      <w:proofErr w:type="spellEnd"/>
      <w:r w:rsidR="003257B5">
        <w:t xml:space="preserve">, </w:t>
      </w:r>
      <w:r w:rsidR="003257B5" w:rsidRPr="00C3719A">
        <w:t>&amp; Kennedy</w:t>
      </w:r>
      <w:r w:rsidR="003257B5">
        <w:t>2014)</w:t>
      </w:r>
      <w:r w:rsidR="0063682F" w:rsidRPr="00ED7B53">
        <w:t xml:space="preserve">. There are drawbacks to using </w:t>
      </w:r>
      <w:r w:rsidR="0063682F">
        <w:t>a multimode approach</w:t>
      </w:r>
      <w:r w:rsidR="0063682F" w:rsidRPr="00ED7B53">
        <w:t xml:space="preserve"> in that it might introduce measurement error if participants answer particular questions mainly because of the mode in which the survey was administered. There are several approaches to statistically adjust for mode effects</w:t>
      </w:r>
      <w:r w:rsidR="003257B5">
        <w:t xml:space="preserve"> (</w:t>
      </w:r>
      <w:proofErr w:type="spellStart"/>
      <w:r w:rsidR="003257B5">
        <w:t>Kolwnikov</w:t>
      </w:r>
      <w:proofErr w:type="spellEnd"/>
      <w:r w:rsidR="003257B5">
        <w:t xml:space="preserve">, </w:t>
      </w:r>
      <w:r w:rsidR="003257B5" w:rsidRPr="00C3719A">
        <w:t>&amp; Kennedy</w:t>
      </w:r>
      <w:r w:rsidR="006A3175">
        <w:t xml:space="preserve"> </w:t>
      </w:r>
      <w:r w:rsidR="003257B5">
        <w:t>2014)</w:t>
      </w:r>
      <w:r w:rsidR="0063682F" w:rsidRPr="00ED7B53">
        <w:t xml:space="preserve">, including regression or multiple imputations. </w:t>
      </w:r>
      <w:r w:rsidR="0063682F">
        <w:t>JBS</w:t>
      </w:r>
      <w:r w:rsidR="0063682F" w:rsidRPr="00ED7B53">
        <w:t xml:space="preserve"> will conduct an analysis to determine which survey items require mode effects adjustment, and apply the appropriate adjustments to these items.</w:t>
      </w:r>
    </w:p>
    <w:p w14:paraId="7338AA09" w14:textId="19D2733C" w:rsidR="00240D50" w:rsidRDefault="00EC612C" w:rsidP="000D62F1">
      <w:pPr>
        <w:spacing w:after="200"/>
      </w:pPr>
      <w:r>
        <w:rPr>
          <w:b/>
          <w:bCs/>
        </w:rPr>
        <w:t xml:space="preserve">Future </w:t>
      </w:r>
      <w:r w:rsidR="00784B21">
        <w:rPr>
          <w:b/>
          <w:bCs/>
        </w:rPr>
        <w:t>r</w:t>
      </w:r>
      <w:r>
        <w:rPr>
          <w:b/>
          <w:bCs/>
        </w:rPr>
        <w:t>esearch:</w:t>
      </w:r>
      <w:r w:rsidRPr="00BC7CDD">
        <w:t xml:space="preserve"> </w:t>
      </w:r>
      <w:r w:rsidR="007B5A98" w:rsidRPr="00BC7CDD">
        <w:t xml:space="preserve">In the final report, </w:t>
      </w:r>
      <w:r w:rsidR="007B5A98">
        <w:t>JBS</w:t>
      </w:r>
      <w:r w:rsidR="007B5A98" w:rsidRPr="00BC7CDD">
        <w:t xml:space="preserve"> will assist CNCS in identifying best practices for recruitment and retention, obstacles to response rates </w:t>
      </w:r>
      <w:r w:rsidR="007B5A98">
        <w:t>for future longitudinal studies</w:t>
      </w:r>
      <w:r w:rsidR="006A3175">
        <w:t>,</w:t>
      </w:r>
      <w:r w:rsidR="007B5A98">
        <w:t xml:space="preserve"> </w:t>
      </w:r>
      <w:r w:rsidR="007B5A98" w:rsidRPr="00BC7CDD">
        <w:t xml:space="preserve">and assessments of the psychometric characteristics of the </w:t>
      </w:r>
      <w:r w:rsidR="008A5D12">
        <w:t>surveys</w:t>
      </w:r>
      <w:r w:rsidR="007B5A98" w:rsidRPr="00BC7CDD">
        <w:t xml:space="preserve"> used. </w:t>
      </w:r>
      <w:r w:rsidR="00240D50" w:rsidRPr="00003E2F">
        <w:t xml:space="preserve">These issues </w:t>
      </w:r>
      <w:r w:rsidR="00240D50">
        <w:t xml:space="preserve">might </w:t>
      </w:r>
      <w:r w:rsidR="00240D50" w:rsidRPr="00003E2F">
        <w:t>include research objective, design, expect</w:t>
      </w:r>
      <w:r w:rsidR="004C5A4F">
        <w:t>ed data analysis method, detecta</w:t>
      </w:r>
      <w:r w:rsidR="00240D50" w:rsidRPr="00003E2F">
        <w:t xml:space="preserve">ble power, sample size, type I error, variability, and effect size. </w:t>
      </w:r>
      <w:r w:rsidR="00240D50">
        <w:t xml:space="preserve">JBS </w:t>
      </w:r>
      <w:r w:rsidR="00240D50" w:rsidRPr="00003E2F">
        <w:t xml:space="preserve">will use </w:t>
      </w:r>
      <w:r w:rsidR="00240D50">
        <w:t xml:space="preserve">the </w:t>
      </w:r>
      <w:r w:rsidR="00240D50" w:rsidRPr="00003E2F">
        <w:t>results</w:t>
      </w:r>
      <w:r w:rsidR="00240D50">
        <w:t>,</w:t>
      </w:r>
      <w:r w:rsidR="00240D50" w:rsidRPr="00003E2F">
        <w:t xml:space="preserve"> </w:t>
      </w:r>
      <w:r w:rsidR="00240D50">
        <w:t xml:space="preserve">including </w:t>
      </w:r>
      <w:r w:rsidR="007B5A98">
        <w:t>data from the first evaluation data collection</w:t>
      </w:r>
      <w:r w:rsidR="00240D50">
        <w:t>, as well as</w:t>
      </w:r>
      <w:r w:rsidR="00240D50" w:rsidRPr="00003E2F">
        <w:t xml:space="preserve"> prior results from </w:t>
      </w:r>
      <w:r w:rsidR="00240D50">
        <w:t xml:space="preserve">other </w:t>
      </w:r>
      <w:r w:rsidR="00240D50" w:rsidRPr="00003E2F">
        <w:t xml:space="preserve">studies </w:t>
      </w:r>
      <w:r w:rsidR="00B845A7">
        <w:t>such as</w:t>
      </w:r>
      <w:r w:rsidR="00240D50" w:rsidRPr="00003E2F">
        <w:t xml:space="preserve"> reports and papers that used the HRS data and peer-reviewed articles</w:t>
      </w:r>
      <w:r w:rsidR="006A3175">
        <w:t>,</w:t>
      </w:r>
      <w:r w:rsidR="00240D50" w:rsidRPr="00003E2F">
        <w:t xml:space="preserve"> to arrive at an informed set of values f</w:t>
      </w:r>
      <w:r w:rsidR="00240D50">
        <w:t>or</w:t>
      </w:r>
      <w:r w:rsidR="00240D50" w:rsidRPr="00003E2F">
        <w:t xml:space="preserve"> the type of information needed to carry out a power analysis</w:t>
      </w:r>
      <w:r w:rsidR="00240D50">
        <w:t xml:space="preserve"> for future studies</w:t>
      </w:r>
      <w:r w:rsidR="00240D50" w:rsidRPr="00003E2F">
        <w:t xml:space="preserve">. </w:t>
      </w:r>
      <w:r w:rsidR="00240D50">
        <w:t xml:space="preserve">JBS </w:t>
      </w:r>
      <w:r w:rsidR="00240D50" w:rsidRPr="00003E2F">
        <w:t xml:space="preserve">will conduct several analyses using reasonable ranges in each input component used in the power analysis </w:t>
      </w:r>
      <w:r w:rsidR="00240D50">
        <w:t xml:space="preserve">to </w:t>
      </w:r>
      <w:r w:rsidR="00240D50" w:rsidRPr="00003E2F">
        <w:t xml:space="preserve">obtain a range of estimated sample size options and effect sizes. Using the results from the power analysis, </w:t>
      </w:r>
      <w:r w:rsidR="00240D50">
        <w:t>JBS</w:t>
      </w:r>
      <w:r w:rsidR="00240D50" w:rsidRPr="00003E2F">
        <w:t xml:space="preserve"> will provide cost estimates needed to implement future studies.</w:t>
      </w:r>
    </w:p>
    <w:p w14:paraId="20A6E908" w14:textId="6C1734C1" w:rsidR="008214F6" w:rsidRDefault="00EC612C" w:rsidP="000D62F1">
      <w:pPr>
        <w:spacing w:after="200"/>
        <w:rPr>
          <w:rFonts w:asciiTheme="majorHAnsi" w:eastAsiaTheme="majorEastAsia" w:hAnsiTheme="majorHAnsi" w:cstheme="majorBidi"/>
          <w:b/>
          <w:bCs/>
          <w:color w:val="365F91" w:themeColor="accent1" w:themeShade="BF"/>
          <w:sz w:val="28"/>
          <w:szCs w:val="28"/>
        </w:rPr>
      </w:pPr>
      <w:r>
        <w:rPr>
          <w:b/>
          <w:bCs/>
        </w:rPr>
        <w:t xml:space="preserve">Data </w:t>
      </w:r>
      <w:r w:rsidR="00784B21">
        <w:rPr>
          <w:b/>
          <w:bCs/>
        </w:rPr>
        <w:t>f</w:t>
      </w:r>
      <w:r>
        <w:rPr>
          <w:b/>
          <w:bCs/>
        </w:rPr>
        <w:t xml:space="preserve">ile for </w:t>
      </w:r>
      <w:r w:rsidR="00784B21">
        <w:rPr>
          <w:b/>
          <w:bCs/>
        </w:rPr>
        <w:t>f</w:t>
      </w:r>
      <w:r>
        <w:rPr>
          <w:b/>
          <w:bCs/>
        </w:rPr>
        <w:t xml:space="preserve">uture </w:t>
      </w:r>
      <w:r w:rsidR="00784B21">
        <w:rPr>
          <w:b/>
          <w:bCs/>
        </w:rPr>
        <w:t>r</w:t>
      </w:r>
      <w:r>
        <w:rPr>
          <w:b/>
          <w:bCs/>
        </w:rPr>
        <w:t>esearch:</w:t>
      </w:r>
      <w:r w:rsidRPr="00D442EA">
        <w:t xml:space="preserve"> </w:t>
      </w:r>
      <w:r w:rsidR="00AF19CE" w:rsidRPr="00D442EA">
        <w:t xml:space="preserve">JBS will produce </w:t>
      </w:r>
      <w:r w:rsidR="00531D65">
        <w:t xml:space="preserve">a </w:t>
      </w:r>
      <w:r w:rsidR="00AF19CE" w:rsidRPr="00D442EA">
        <w:t>public acces</w:t>
      </w:r>
      <w:r w:rsidR="00531D65">
        <w:t>s and agency specific data file</w:t>
      </w:r>
      <w:r w:rsidR="00AF19CE" w:rsidRPr="00D442EA">
        <w:t xml:space="preserve"> for </w:t>
      </w:r>
      <w:r w:rsidR="00D442EA">
        <w:t>this data collection</w:t>
      </w:r>
      <w:r w:rsidR="00AF19CE" w:rsidRPr="00D442EA">
        <w:t xml:space="preserve">. The data files will be clean, well-organized, and adhere to privacy and security standards. </w:t>
      </w:r>
      <w:r w:rsidR="00531D65">
        <w:t xml:space="preserve">JBS will </w:t>
      </w:r>
      <w:r w:rsidR="00D442EA" w:rsidRPr="00D442EA">
        <w:t xml:space="preserve">create </w:t>
      </w:r>
      <w:r w:rsidR="00531D65">
        <w:t xml:space="preserve">a </w:t>
      </w:r>
      <w:r w:rsidR="00D442EA" w:rsidRPr="00D442EA">
        <w:t>de-identified and anonymous Public Us</w:t>
      </w:r>
      <w:r w:rsidR="00531D65">
        <w:t>e Data File</w:t>
      </w:r>
      <w:r w:rsidR="00D442EA" w:rsidRPr="00D442EA">
        <w:t xml:space="preserve">. </w:t>
      </w:r>
      <w:r w:rsidR="00AF19CE" w:rsidRPr="00D442EA">
        <w:t xml:space="preserve">JBS will follow guidance on government-wide data sharing in all Federal statutes pertaining to data collection, privacy, and human subject research and take adequate steps to ensure that no individual is identifiable. </w:t>
      </w:r>
      <w:r w:rsidR="00156F1B" w:rsidRPr="00BC7CDD">
        <w:t xml:space="preserve">In preparing public use data files, </w:t>
      </w:r>
      <w:r w:rsidR="00156F1B" w:rsidRPr="00BC7CDD">
        <w:rPr>
          <w:color w:val="000000"/>
        </w:rPr>
        <w:t xml:space="preserve">safeguards need to be established through the use of statistical disclosure limitation methodology for reporting findings. </w:t>
      </w:r>
      <w:r w:rsidR="00156F1B" w:rsidRPr="00BC7CDD">
        <w:t>When collecting within small programs/projects, for example, it is important to ensure that project staff cannot identify their volunteers or caregivers.</w:t>
      </w:r>
      <w:r w:rsidR="00156F1B">
        <w:t xml:space="preserve"> </w:t>
      </w:r>
      <w:r w:rsidR="00AF19CE" w:rsidRPr="00D442EA">
        <w:t xml:space="preserve">For </w:t>
      </w:r>
      <w:r w:rsidR="00531D65">
        <w:t xml:space="preserve">the </w:t>
      </w:r>
      <w:r w:rsidR="00AF19CE" w:rsidRPr="00D442EA">
        <w:t xml:space="preserve">Public Use Data File, JBS will produce a sampling and methodology report that will include </w:t>
      </w:r>
      <w:r w:rsidR="00531D65">
        <w:t xml:space="preserve">a copy of the </w:t>
      </w:r>
      <w:r w:rsidR="008A5D12">
        <w:t>survey</w:t>
      </w:r>
      <w:r w:rsidR="00531D65">
        <w:t>, description</w:t>
      </w:r>
      <w:r w:rsidR="00AF19CE" w:rsidRPr="00D442EA">
        <w:t xml:space="preserve"> of the methodology, </w:t>
      </w:r>
      <w:r w:rsidR="00731FA4">
        <w:t xml:space="preserve">and </w:t>
      </w:r>
      <w:r w:rsidR="00AF19CE" w:rsidRPr="00D442EA">
        <w:t>guid</w:t>
      </w:r>
      <w:r w:rsidR="00B845A7">
        <w:t>ance on using post-sampling</w:t>
      </w:r>
      <w:r w:rsidR="00AF19CE" w:rsidRPr="00D442EA">
        <w:t xml:space="preserve"> weights.</w:t>
      </w:r>
    </w:p>
    <w:p w14:paraId="359A068A" w14:textId="7CE9F7C3" w:rsidR="00E3637C" w:rsidRPr="006C4AB6" w:rsidRDefault="000675EC" w:rsidP="00CB1368">
      <w:pPr>
        <w:pStyle w:val="Heading1"/>
        <w:keepLines w:val="0"/>
        <w:numPr>
          <w:ilvl w:val="0"/>
          <w:numId w:val="3"/>
        </w:numPr>
        <w:spacing w:before="0" w:after="200"/>
        <w:rPr>
          <w:rFonts w:eastAsiaTheme="minorHAnsi"/>
        </w:rPr>
      </w:pPr>
      <w:r w:rsidRPr="000D62F1">
        <w:rPr>
          <w:b w:val="0"/>
          <w:bCs w:val="0"/>
          <w:color w:val="auto"/>
          <w:sz w:val="24"/>
          <w:szCs w:val="24"/>
        </w:rPr>
        <w:t xml:space="preserve">Project Time Schedule </w:t>
      </w:r>
      <w:r w:rsidR="00472289" w:rsidRPr="000D62F1">
        <w:rPr>
          <w:b w:val="0"/>
          <w:bCs w:val="0"/>
          <w:color w:val="auto"/>
          <w:sz w:val="24"/>
          <w:szCs w:val="24"/>
        </w:rPr>
        <w:t>(End dates)</w:t>
      </w:r>
    </w:p>
    <w:tbl>
      <w:tblPr>
        <w:tblW w:w="9310" w:type="dxa"/>
        <w:tblInd w:w="93" w:type="dxa"/>
        <w:tblLook w:val="04A0" w:firstRow="1" w:lastRow="0" w:firstColumn="1" w:lastColumn="0" w:noHBand="0" w:noVBand="1"/>
      </w:tblPr>
      <w:tblGrid>
        <w:gridCol w:w="3795"/>
        <w:gridCol w:w="1105"/>
        <w:gridCol w:w="1070"/>
        <w:gridCol w:w="1105"/>
        <w:gridCol w:w="1137"/>
        <w:gridCol w:w="1098"/>
      </w:tblGrid>
      <w:tr w:rsidR="006C5886" w:rsidRPr="000675EC" w14:paraId="3923D8FC" w14:textId="77777777" w:rsidTr="00C81D82">
        <w:trPr>
          <w:trHeight w:val="300"/>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9A70F" w14:textId="77777777" w:rsidR="006C5886" w:rsidRPr="000D62F1" w:rsidRDefault="006C5886" w:rsidP="006C5886">
            <w:pPr>
              <w:rPr>
                <w:color w:val="000000"/>
              </w:rPr>
            </w:pPr>
            <w:r w:rsidRPr="000D62F1">
              <w:rPr>
                <w:color w:val="000000"/>
              </w:rPr>
              <w:t> </w:t>
            </w:r>
          </w:p>
        </w:tc>
        <w:tc>
          <w:tcPr>
            <w:tcW w:w="21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8ADCDE" w14:textId="77777777" w:rsidR="006C5886" w:rsidRPr="000D62F1" w:rsidRDefault="006C5886" w:rsidP="000D62F1">
            <w:pPr>
              <w:jc w:val="center"/>
              <w:rPr>
                <w:color w:val="000000"/>
              </w:rPr>
            </w:pPr>
            <w:r w:rsidRPr="000D62F1">
              <w:rPr>
                <w:color w:val="000000"/>
              </w:rPr>
              <w:t>Caregiver Study</w:t>
            </w:r>
          </w:p>
        </w:tc>
        <w:tc>
          <w:tcPr>
            <w:tcW w:w="33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47F236" w14:textId="77777777" w:rsidR="006C5886" w:rsidRPr="000D62F1" w:rsidRDefault="006C5886" w:rsidP="000D62F1">
            <w:pPr>
              <w:jc w:val="center"/>
              <w:rPr>
                <w:color w:val="000000"/>
              </w:rPr>
            </w:pPr>
            <w:r w:rsidRPr="000D62F1">
              <w:rPr>
                <w:color w:val="000000"/>
              </w:rPr>
              <w:t>Volunteer Study</w:t>
            </w:r>
          </w:p>
        </w:tc>
      </w:tr>
      <w:tr w:rsidR="006C5886" w:rsidRPr="000675EC" w14:paraId="68670E7C" w14:textId="77777777" w:rsidTr="00C81D82">
        <w:trPr>
          <w:trHeight w:val="300"/>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2F480D72" w14:textId="77777777" w:rsidR="006C5886" w:rsidRPr="000D62F1" w:rsidRDefault="006C5886" w:rsidP="006C5886">
            <w:pPr>
              <w:rPr>
                <w:color w:val="000000"/>
              </w:rPr>
            </w:pPr>
            <w:r w:rsidRPr="000D62F1">
              <w:rPr>
                <w:color w:val="000000"/>
              </w:rPr>
              <w:t>Activity/Task</w:t>
            </w:r>
          </w:p>
        </w:tc>
        <w:tc>
          <w:tcPr>
            <w:tcW w:w="1105" w:type="dxa"/>
            <w:tcBorders>
              <w:top w:val="nil"/>
              <w:left w:val="nil"/>
              <w:bottom w:val="single" w:sz="4" w:space="0" w:color="auto"/>
              <w:right w:val="single" w:sz="4" w:space="0" w:color="auto"/>
            </w:tcBorders>
            <w:shd w:val="clear" w:color="auto" w:fill="auto"/>
            <w:noWrap/>
            <w:vAlign w:val="bottom"/>
            <w:hideMark/>
          </w:tcPr>
          <w:p w14:paraId="7A389658" w14:textId="77777777" w:rsidR="006C5886" w:rsidRPr="000D62F1" w:rsidRDefault="006C5886" w:rsidP="000D62F1">
            <w:pPr>
              <w:jc w:val="center"/>
              <w:rPr>
                <w:color w:val="000000"/>
              </w:rPr>
            </w:pPr>
            <w:r w:rsidRPr="000D62F1">
              <w:rPr>
                <w:color w:val="000000"/>
              </w:rPr>
              <w:t>Baseline</w:t>
            </w:r>
          </w:p>
        </w:tc>
        <w:tc>
          <w:tcPr>
            <w:tcW w:w="1070" w:type="dxa"/>
            <w:tcBorders>
              <w:top w:val="nil"/>
              <w:left w:val="nil"/>
              <w:bottom w:val="single" w:sz="4" w:space="0" w:color="auto"/>
              <w:right w:val="single" w:sz="4" w:space="0" w:color="auto"/>
            </w:tcBorders>
            <w:shd w:val="clear" w:color="auto" w:fill="auto"/>
            <w:noWrap/>
            <w:vAlign w:val="bottom"/>
            <w:hideMark/>
          </w:tcPr>
          <w:p w14:paraId="67EC9631" w14:textId="77777777" w:rsidR="006C5886" w:rsidRPr="000D62F1" w:rsidRDefault="006C5886" w:rsidP="000D62F1">
            <w:pPr>
              <w:jc w:val="center"/>
              <w:rPr>
                <w:color w:val="000000"/>
              </w:rPr>
            </w:pPr>
            <w:r w:rsidRPr="000D62F1">
              <w:rPr>
                <w:color w:val="000000"/>
              </w:rPr>
              <w:t>Follow-up</w:t>
            </w:r>
          </w:p>
        </w:tc>
        <w:tc>
          <w:tcPr>
            <w:tcW w:w="1105" w:type="dxa"/>
            <w:tcBorders>
              <w:top w:val="nil"/>
              <w:left w:val="nil"/>
              <w:bottom w:val="single" w:sz="4" w:space="0" w:color="auto"/>
              <w:right w:val="single" w:sz="4" w:space="0" w:color="auto"/>
            </w:tcBorders>
            <w:shd w:val="clear" w:color="auto" w:fill="auto"/>
            <w:noWrap/>
            <w:vAlign w:val="bottom"/>
            <w:hideMark/>
          </w:tcPr>
          <w:p w14:paraId="7A4AC91D" w14:textId="77777777" w:rsidR="006C5886" w:rsidRPr="000D62F1" w:rsidRDefault="006C5886" w:rsidP="000D62F1">
            <w:pPr>
              <w:jc w:val="center"/>
              <w:rPr>
                <w:color w:val="000000"/>
              </w:rPr>
            </w:pPr>
            <w:r w:rsidRPr="000D62F1">
              <w:rPr>
                <w:color w:val="000000"/>
              </w:rPr>
              <w:t>Baseline</w:t>
            </w:r>
          </w:p>
        </w:tc>
        <w:tc>
          <w:tcPr>
            <w:tcW w:w="1137" w:type="dxa"/>
            <w:tcBorders>
              <w:top w:val="nil"/>
              <w:left w:val="nil"/>
              <w:bottom w:val="single" w:sz="4" w:space="0" w:color="auto"/>
              <w:right w:val="single" w:sz="4" w:space="0" w:color="auto"/>
            </w:tcBorders>
            <w:shd w:val="clear" w:color="auto" w:fill="auto"/>
            <w:noWrap/>
            <w:vAlign w:val="bottom"/>
            <w:hideMark/>
          </w:tcPr>
          <w:p w14:paraId="22124C48" w14:textId="77777777" w:rsidR="006C5886" w:rsidRPr="000D62F1" w:rsidRDefault="006C5886" w:rsidP="000D62F1">
            <w:pPr>
              <w:jc w:val="center"/>
              <w:rPr>
                <w:color w:val="000000"/>
              </w:rPr>
            </w:pPr>
            <w:r w:rsidRPr="000D62F1">
              <w:rPr>
                <w:color w:val="000000"/>
              </w:rPr>
              <w:t>1st Follow-</w:t>
            </w:r>
            <w:r w:rsidRPr="000D62F1">
              <w:rPr>
                <w:color w:val="000000"/>
              </w:rPr>
              <w:lastRenderedPageBreak/>
              <w:t>up</w:t>
            </w:r>
          </w:p>
        </w:tc>
        <w:tc>
          <w:tcPr>
            <w:tcW w:w="1098" w:type="dxa"/>
            <w:tcBorders>
              <w:top w:val="nil"/>
              <w:left w:val="nil"/>
              <w:bottom w:val="single" w:sz="4" w:space="0" w:color="auto"/>
              <w:right w:val="single" w:sz="4" w:space="0" w:color="auto"/>
            </w:tcBorders>
            <w:shd w:val="clear" w:color="auto" w:fill="auto"/>
            <w:noWrap/>
            <w:vAlign w:val="bottom"/>
            <w:hideMark/>
          </w:tcPr>
          <w:p w14:paraId="33052B9E" w14:textId="77777777" w:rsidR="006C5886" w:rsidRPr="000D62F1" w:rsidRDefault="006C5886" w:rsidP="000D62F1">
            <w:pPr>
              <w:jc w:val="center"/>
              <w:rPr>
                <w:color w:val="000000"/>
              </w:rPr>
            </w:pPr>
            <w:r w:rsidRPr="000D62F1">
              <w:rPr>
                <w:color w:val="000000"/>
              </w:rPr>
              <w:lastRenderedPageBreak/>
              <w:t>2nd Follow-</w:t>
            </w:r>
            <w:r w:rsidRPr="000D62F1">
              <w:rPr>
                <w:color w:val="000000"/>
              </w:rPr>
              <w:lastRenderedPageBreak/>
              <w:t>up</w:t>
            </w:r>
          </w:p>
        </w:tc>
      </w:tr>
      <w:tr w:rsidR="006C5886" w:rsidRPr="000675EC" w14:paraId="15E09056" w14:textId="77777777" w:rsidTr="00C81D82">
        <w:trPr>
          <w:trHeight w:val="315"/>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14:paraId="2259BAE1" w14:textId="77777777" w:rsidR="006C5886" w:rsidRPr="000675EC" w:rsidRDefault="006C5886" w:rsidP="006C5886">
            <w:pPr>
              <w:rPr>
                <w:color w:val="000000"/>
              </w:rPr>
            </w:pPr>
            <w:r w:rsidRPr="000675EC">
              <w:rPr>
                <w:color w:val="000000"/>
              </w:rPr>
              <w:lastRenderedPageBreak/>
              <w:t>Data collection</w:t>
            </w:r>
          </w:p>
        </w:tc>
        <w:tc>
          <w:tcPr>
            <w:tcW w:w="1105" w:type="dxa"/>
            <w:tcBorders>
              <w:top w:val="nil"/>
              <w:left w:val="nil"/>
              <w:bottom w:val="single" w:sz="4" w:space="0" w:color="auto"/>
              <w:right w:val="single" w:sz="4" w:space="0" w:color="auto"/>
            </w:tcBorders>
            <w:shd w:val="clear" w:color="auto" w:fill="auto"/>
            <w:noWrap/>
            <w:vAlign w:val="bottom"/>
            <w:hideMark/>
          </w:tcPr>
          <w:p w14:paraId="676305C1" w14:textId="0FD9A635" w:rsidR="006C5886" w:rsidRPr="000D62F1" w:rsidRDefault="009132BF" w:rsidP="000D62F1">
            <w:pPr>
              <w:jc w:val="center"/>
              <w:rPr>
                <w:color w:val="000000"/>
              </w:rPr>
            </w:pPr>
            <w:r w:rsidRPr="000D62F1">
              <w:rPr>
                <w:color w:val="000000"/>
              </w:rPr>
              <w:t>10/31/15</w:t>
            </w:r>
          </w:p>
        </w:tc>
        <w:tc>
          <w:tcPr>
            <w:tcW w:w="1070" w:type="dxa"/>
            <w:tcBorders>
              <w:top w:val="nil"/>
              <w:left w:val="nil"/>
              <w:bottom w:val="single" w:sz="4" w:space="0" w:color="auto"/>
              <w:right w:val="single" w:sz="4" w:space="0" w:color="auto"/>
            </w:tcBorders>
            <w:shd w:val="clear" w:color="auto" w:fill="auto"/>
            <w:noWrap/>
            <w:vAlign w:val="bottom"/>
            <w:hideMark/>
          </w:tcPr>
          <w:p w14:paraId="5CE0A9E8" w14:textId="2BC9FD5F" w:rsidR="006C5886" w:rsidRPr="000D62F1" w:rsidRDefault="00A5597E" w:rsidP="000D62F1">
            <w:pPr>
              <w:jc w:val="center"/>
              <w:rPr>
                <w:color w:val="000000"/>
              </w:rPr>
            </w:pPr>
            <w:r>
              <w:rPr>
                <w:color w:val="000000"/>
              </w:rPr>
              <w:t>10/31</w:t>
            </w:r>
            <w:r w:rsidR="001071C2">
              <w:rPr>
                <w:color w:val="000000"/>
              </w:rPr>
              <w:t>/1</w:t>
            </w:r>
            <w:r>
              <w:rPr>
                <w:color w:val="000000"/>
              </w:rPr>
              <w:t>6</w:t>
            </w:r>
          </w:p>
        </w:tc>
        <w:tc>
          <w:tcPr>
            <w:tcW w:w="1105" w:type="dxa"/>
            <w:tcBorders>
              <w:top w:val="nil"/>
              <w:left w:val="nil"/>
              <w:bottom w:val="single" w:sz="4" w:space="0" w:color="auto"/>
              <w:right w:val="single" w:sz="4" w:space="0" w:color="auto"/>
            </w:tcBorders>
            <w:shd w:val="clear" w:color="auto" w:fill="auto"/>
            <w:noWrap/>
            <w:vAlign w:val="bottom"/>
            <w:hideMark/>
          </w:tcPr>
          <w:p w14:paraId="31E31F98" w14:textId="7F09EF3D" w:rsidR="006C5886" w:rsidRPr="000D62F1" w:rsidRDefault="009132BF" w:rsidP="000D62F1">
            <w:pPr>
              <w:jc w:val="center"/>
              <w:rPr>
                <w:color w:val="000000"/>
              </w:rPr>
            </w:pPr>
            <w:r w:rsidRPr="000D62F1">
              <w:rPr>
                <w:color w:val="000000"/>
              </w:rPr>
              <w:t>10/31/15</w:t>
            </w:r>
          </w:p>
        </w:tc>
        <w:tc>
          <w:tcPr>
            <w:tcW w:w="1137" w:type="dxa"/>
            <w:tcBorders>
              <w:top w:val="nil"/>
              <w:left w:val="nil"/>
              <w:bottom w:val="single" w:sz="4" w:space="0" w:color="auto"/>
              <w:right w:val="single" w:sz="4" w:space="0" w:color="auto"/>
            </w:tcBorders>
            <w:shd w:val="clear" w:color="auto" w:fill="auto"/>
            <w:noWrap/>
            <w:vAlign w:val="bottom"/>
            <w:hideMark/>
          </w:tcPr>
          <w:p w14:paraId="713FDCC9" w14:textId="3B2BED2C" w:rsidR="006C5886" w:rsidRPr="000D62F1" w:rsidRDefault="00A5597E" w:rsidP="000D62F1">
            <w:pPr>
              <w:jc w:val="center"/>
              <w:rPr>
                <w:color w:val="000000"/>
              </w:rPr>
            </w:pPr>
            <w:r>
              <w:rPr>
                <w:color w:val="000000"/>
              </w:rPr>
              <w:t>10/31</w:t>
            </w:r>
            <w:r w:rsidR="001071C2">
              <w:rPr>
                <w:color w:val="000000"/>
              </w:rPr>
              <w:t>/1</w:t>
            </w:r>
            <w:r>
              <w:rPr>
                <w:color w:val="000000"/>
              </w:rPr>
              <w:t>6</w:t>
            </w:r>
          </w:p>
        </w:tc>
        <w:tc>
          <w:tcPr>
            <w:tcW w:w="1098" w:type="dxa"/>
            <w:tcBorders>
              <w:top w:val="nil"/>
              <w:left w:val="nil"/>
              <w:bottom w:val="single" w:sz="4" w:space="0" w:color="auto"/>
              <w:right w:val="single" w:sz="4" w:space="0" w:color="auto"/>
            </w:tcBorders>
            <w:shd w:val="clear" w:color="auto" w:fill="auto"/>
            <w:noWrap/>
            <w:vAlign w:val="bottom"/>
            <w:hideMark/>
          </w:tcPr>
          <w:p w14:paraId="3A0611AB" w14:textId="1F368E1F" w:rsidR="006C5886" w:rsidRPr="000D62F1" w:rsidRDefault="00A5597E" w:rsidP="000D62F1">
            <w:pPr>
              <w:jc w:val="center"/>
              <w:rPr>
                <w:color w:val="000000"/>
              </w:rPr>
            </w:pPr>
            <w:r>
              <w:rPr>
                <w:color w:val="000000"/>
              </w:rPr>
              <w:t>10/31/17</w:t>
            </w:r>
          </w:p>
        </w:tc>
      </w:tr>
      <w:tr w:rsidR="006C5886" w:rsidRPr="000675EC" w14:paraId="4D65CACF" w14:textId="77777777" w:rsidTr="00C81D82">
        <w:trPr>
          <w:trHeight w:val="315"/>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14:paraId="630DE418" w14:textId="77777777" w:rsidR="006C5886" w:rsidRPr="000675EC" w:rsidRDefault="006C5886" w:rsidP="006C5886">
            <w:pPr>
              <w:rPr>
                <w:color w:val="000000"/>
              </w:rPr>
            </w:pPr>
            <w:r w:rsidRPr="000675EC">
              <w:rPr>
                <w:color w:val="000000"/>
              </w:rPr>
              <w:t>Conduct data analysis</w:t>
            </w:r>
          </w:p>
        </w:tc>
        <w:tc>
          <w:tcPr>
            <w:tcW w:w="1105" w:type="dxa"/>
            <w:tcBorders>
              <w:top w:val="nil"/>
              <w:left w:val="nil"/>
              <w:bottom w:val="single" w:sz="4" w:space="0" w:color="auto"/>
              <w:right w:val="single" w:sz="4" w:space="0" w:color="auto"/>
            </w:tcBorders>
            <w:shd w:val="clear" w:color="auto" w:fill="auto"/>
            <w:noWrap/>
            <w:vAlign w:val="bottom"/>
            <w:hideMark/>
          </w:tcPr>
          <w:p w14:paraId="26F4570B" w14:textId="0AF70CA3" w:rsidR="006C5886" w:rsidRPr="000D62F1" w:rsidRDefault="00A5597E" w:rsidP="000D62F1">
            <w:pPr>
              <w:jc w:val="center"/>
              <w:rPr>
                <w:color w:val="000000"/>
              </w:rPr>
            </w:pPr>
            <w:r>
              <w:rPr>
                <w:color w:val="000000"/>
              </w:rPr>
              <w:t>4/1/16</w:t>
            </w:r>
          </w:p>
        </w:tc>
        <w:tc>
          <w:tcPr>
            <w:tcW w:w="1070" w:type="dxa"/>
            <w:tcBorders>
              <w:top w:val="nil"/>
              <w:left w:val="nil"/>
              <w:bottom w:val="single" w:sz="4" w:space="0" w:color="auto"/>
              <w:right w:val="single" w:sz="4" w:space="0" w:color="auto"/>
            </w:tcBorders>
            <w:shd w:val="clear" w:color="auto" w:fill="auto"/>
            <w:noWrap/>
            <w:vAlign w:val="bottom"/>
            <w:hideMark/>
          </w:tcPr>
          <w:p w14:paraId="06BC112C" w14:textId="42AC86BB" w:rsidR="006C5886" w:rsidRPr="000D62F1" w:rsidRDefault="00A5597E" w:rsidP="000D62F1">
            <w:pPr>
              <w:jc w:val="center"/>
              <w:rPr>
                <w:color w:val="000000"/>
              </w:rPr>
            </w:pPr>
            <w:r>
              <w:rPr>
                <w:color w:val="000000"/>
              </w:rPr>
              <w:t>4/1/17</w:t>
            </w:r>
          </w:p>
        </w:tc>
        <w:tc>
          <w:tcPr>
            <w:tcW w:w="1105" w:type="dxa"/>
            <w:tcBorders>
              <w:top w:val="nil"/>
              <w:left w:val="nil"/>
              <w:bottom w:val="single" w:sz="4" w:space="0" w:color="auto"/>
              <w:right w:val="single" w:sz="4" w:space="0" w:color="auto"/>
            </w:tcBorders>
            <w:shd w:val="clear" w:color="auto" w:fill="auto"/>
            <w:noWrap/>
            <w:vAlign w:val="bottom"/>
            <w:hideMark/>
          </w:tcPr>
          <w:p w14:paraId="77EB8618" w14:textId="6FB992A4" w:rsidR="006C5886" w:rsidRPr="000D62F1" w:rsidRDefault="00A5597E" w:rsidP="000D62F1">
            <w:pPr>
              <w:jc w:val="center"/>
              <w:rPr>
                <w:color w:val="000000"/>
              </w:rPr>
            </w:pPr>
            <w:r>
              <w:rPr>
                <w:color w:val="000000"/>
              </w:rPr>
              <w:t>4/1/16</w:t>
            </w:r>
          </w:p>
        </w:tc>
        <w:tc>
          <w:tcPr>
            <w:tcW w:w="1137" w:type="dxa"/>
            <w:tcBorders>
              <w:top w:val="nil"/>
              <w:left w:val="nil"/>
              <w:bottom w:val="single" w:sz="4" w:space="0" w:color="auto"/>
              <w:right w:val="single" w:sz="4" w:space="0" w:color="auto"/>
            </w:tcBorders>
            <w:shd w:val="clear" w:color="auto" w:fill="auto"/>
            <w:noWrap/>
            <w:vAlign w:val="bottom"/>
            <w:hideMark/>
          </w:tcPr>
          <w:p w14:paraId="21844101" w14:textId="3D3B8E32" w:rsidR="006C5886" w:rsidRPr="000D62F1" w:rsidRDefault="00A5597E" w:rsidP="000D62F1">
            <w:pPr>
              <w:jc w:val="center"/>
              <w:rPr>
                <w:color w:val="000000"/>
              </w:rPr>
            </w:pPr>
            <w:r>
              <w:rPr>
                <w:color w:val="000000"/>
              </w:rPr>
              <w:t>4/1/17</w:t>
            </w:r>
          </w:p>
        </w:tc>
        <w:tc>
          <w:tcPr>
            <w:tcW w:w="1098" w:type="dxa"/>
            <w:tcBorders>
              <w:top w:val="nil"/>
              <w:left w:val="nil"/>
              <w:bottom w:val="single" w:sz="4" w:space="0" w:color="auto"/>
              <w:right w:val="single" w:sz="4" w:space="0" w:color="auto"/>
            </w:tcBorders>
            <w:shd w:val="clear" w:color="auto" w:fill="auto"/>
            <w:noWrap/>
            <w:vAlign w:val="bottom"/>
            <w:hideMark/>
          </w:tcPr>
          <w:p w14:paraId="69BE879F" w14:textId="30CAEE4E" w:rsidR="006C5886" w:rsidRPr="000D62F1" w:rsidRDefault="00A5597E" w:rsidP="000D62F1">
            <w:pPr>
              <w:jc w:val="center"/>
              <w:rPr>
                <w:color w:val="000000"/>
              </w:rPr>
            </w:pPr>
            <w:r>
              <w:rPr>
                <w:color w:val="000000"/>
              </w:rPr>
              <w:t>4/1/18</w:t>
            </w:r>
          </w:p>
        </w:tc>
      </w:tr>
      <w:tr w:rsidR="006C5886" w:rsidRPr="000675EC" w14:paraId="4E20FC5A" w14:textId="77777777" w:rsidTr="00C81D82">
        <w:trPr>
          <w:trHeight w:val="315"/>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14:paraId="55223E31" w14:textId="77777777" w:rsidR="006C5886" w:rsidRPr="000675EC" w:rsidRDefault="006C5886" w:rsidP="006C5886">
            <w:pPr>
              <w:rPr>
                <w:color w:val="000000"/>
              </w:rPr>
            </w:pPr>
            <w:r w:rsidRPr="000675EC">
              <w:rPr>
                <w:color w:val="000000"/>
              </w:rPr>
              <w:t>Final Report including feasibility of future studies</w:t>
            </w:r>
          </w:p>
        </w:tc>
        <w:tc>
          <w:tcPr>
            <w:tcW w:w="1105" w:type="dxa"/>
            <w:tcBorders>
              <w:top w:val="nil"/>
              <w:left w:val="nil"/>
              <w:bottom w:val="single" w:sz="4" w:space="0" w:color="auto"/>
              <w:right w:val="single" w:sz="4" w:space="0" w:color="auto"/>
            </w:tcBorders>
            <w:shd w:val="clear" w:color="auto" w:fill="auto"/>
            <w:noWrap/>
            <w:vAlign w:val="bottom"/>
            <w:hideMark/>
          </w:tcPr>
          <w:p w14:paraId="1DB8B339" w14:textId="7424ED84" w:rsidR="006C5886" w:rsidRPr="000D62F1" w:rsidRDefault="00317CB1" w:rsidP="000D62F1">
            <w:pPr>
              <w:jc w:val="center"/>
              <w:rPr>
                <w:color w:val="000000"/>
              </w:rPr>
            </w:pPr>
            <w:r>
              <w:rPr>
                <w:color w:val="000000"/>
              </w:rPr>
              <w:t>7/1/18</w:t>
            </w:r>
          </w:p>
        </w:tc>
        <w:tc>
          <w:tcPr>
            <w:tcW w:w="1070" w:type="dxa"/>
            <w:tcBorders>
              <w:top w:val="nil"/>
              <w:left w:val="nil"/>
              <w:bottom w:val="single" w:sz="4" w:space="0" w:color="auto"/>
              <w:right w:val="single" w:sz="4" w:space="0" w:color="auto"/>
            </w:tcBorders>
            <w:shd w:val="clear" w:color="auto" w:fill="auto"/>
            <w:noWrap/>
            <w:vAlign w:val="bottom"/>
            <w:hideMark/>
          </w:tcPr>
          <w:p w14:paraId="51C047E1" w14:textId="47B8D039" w:rsidR="006C5886" w:rsidRPr="000D62F1" w:rsidRDefault="00317CB1" w:rsidP="000D62F1">
            <w:pPr>
              <w:jc w:val="center"/>
              <w:rPr>
                <w:color w:val="000000"/>
              </w:rPr>
            </w:pPr>
            <w:r>
              <w:rPr>
                <w:color w:val="000000"/>
              </w:rPr>
              <w:t>7/1/18</w:t>
            </w:r>
          </w:p>
        </w:tc>
        <w:tc>
          <w:tcPr>
            <w:tcW w:w="1105" w:type="dxa"/>
            <w:tcBorders>
              <w:top w:val="nil"/>
              <w:left w:val="nil"/>
              <w:bottom w:val="single" w:sz="4" w:space="0" w:color="auto"/>
              <w:right w:val="single" w:sz="4" w:space="0" w:color="auto"/>
            </w:tcBorders>
            <w:shd w:val="clear" w:color="auto" w:fill="auto"/>
            <w:noWrap/>
            <w:vAlign w:val="bottom"/>
            <w:hideMark/>
          </w:tcPr>
          <w:p w14:paraId="58926917" w14:textId="1818EA82" w:rsidR="006C5886" w:rsidRPr="000D62F1" w:rsidRDefault="00317CB1" w:rsidP="000D62F1">
            <w:pPr>
              <w:jc w:val="center"/>
              <w:rPr>
                <w:color w:val="000000"/>
              </w:rPr>
            </w:pPr>
            <w:r>
              <w:rPr>
                <w:color w:val="000000"/>
              </w:rPr>
              <w:t>7/1/18</w:t>
            </w:r>
          </w:p>
        </w:tc>
        <w:tc>
          <w:tcPr>
            <w:tcW w:w="1137" w:type="dxa"/>
            <w:tcBorders>
              <w:top w:val="nil"/>
              <w:left w:val="nil"/>
              <w:bottom w:val="single" w:sz="4" w:space="0" w:color="auto"/>
              <w:right w:val="single" w:sz="4" w:space="0" w:color="auto"/>
            </w:tcBorders>
            <w:shd w:val="clear" w:color="auto" w:fill="auto"/>
            <w:noWrap/>
            <w:vAlign w:val="bottom"/>
            <w:hideMark/>
          </w:tcPr>
          <w:p w14:paraId="03D675D8" w14:textId="0EE941DD" w:rsidR="006C5886" w:rsidRPr="000D62F1" w:rsidRDefault="00317CB1" w:rsidP="000D62F1">
            <w:pPr>
              <w:jc w:val="center"/>
              <w:rPr>
                <w:color w:val="000000"/>
              </w:rPr>
            </w:pPr>
            <w:r>
              <w:rPr>
                <w:color w:val="000000"/>
              </w:rPr>
              <w:t>7/1/18</w:t>
            </w:r>
          </w:p>
        </w:tc>
        <w:tc>
          <w:tcPr>
            <w:tcW w:w="1098" w:type="dxa"/>
            <w:tcBorders>
              <w:top w:val="nil"/>
              <w:left w:val="nil"/>
              <w:bottom w:val="single" w:sz="4" w:space="0" w:color="auto"/>
              <w:right w:val="single" w:sz="4" w:space="0" w:color="auto"/>
            </w:tcBorders>
            <w:shd w:val="clear" w:color="auto" w:fill="auto"/>
            <w:noWrap/>
            <w:vAlign w:val="bottom"/>
            <w:hideMark/>
          </w:tcPr>
          <w:p w14:paraId="557394D1" w14:textId="25907D73" w:rsidR="006C5886" w:rsidRPr="000D62F1" w:rsidRDefault="00317CB1" w:rsidP="000D62F1">
            <w:pPr>
              <w:jc w:val="center"/>
              <w:rPr>
                <w:color w:val="000000"/>
              </w:rPr>
            </w:pPr>
            <w:r>
              <w:rPr>
                <w:color w:val="000000"/>
              </w:rPr>
              <w:t>7/1/18</w:t>
            </w:r>
          </w:p>
        </w:tc>
      </w:tr>
      <w:tr w:rsidR="006C5886" w:rsidRPr="000675EC" w14:paraId="74EACF90" w14:textId="77777777" w:rsidTr="00C81D82">
        <w:trPr>
          <w:trHeight w:val="315"/>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14:paraId="627DEE25" w14:textId="77777777" w:rsidR="006C5886" w:rsidRPr="000675EC" w:rsidRDefault="006C5886" w:rsidP="006C5886">
            <w:pPr>
              <w:rPr>
                <w:color w:val="000000"/>
              </w:rPr>
            </w:pPr>
            <w:r w:rsidRPr="000675EC">
              <w:rPr>
                <w:color w:val="000000"/>
              </w:rPr>
              <w:t>Submit data files to CNCS for future research</w:t>
            </w:r>
          </w:p>
        </w:tc>
        <w:tc>
          <w:tcPr>
            <w:tcW w:w="1105" w:type="dxa"/>
            <w:tcBorders>
              <w:top w:val="nil"/>
              <w:left w:val="nil"/>
              <w:bottom w:val="single" w:sz="4" w:space="0" w:color="auto"/>
              <w:right w:val="single" w:sz="4" w:space="0" w:color="auto"/>
            </w:tcBorders>
            <w:shd w:val="clear" w:color="auto" w:fill="auto"/>
            <w:noWrap/>
            <w:vAlign w:val="bottom"/>
            <w:hideMark/>
          </w:tcPr>
          <w:p w14:paraId="1425FF66" w14:textId="3329672A" w:rsidR="006C5886" w:rsidRPr="000D62F1" w:rsidRDefault="00317CB1" w:rsidP="000D62F1">
            <w:pPr>
              <w:jc w:val="center"/>
              <w:rPr>
                <w:color w:val="000000"/>
              </w:rPr>
            </w:pPr>
            <w:r>
              <w:rPr>
                <w:color w:val="000000"/>
              </w:rPr>
              <w:t>9/28/18</w:t>
            </w:r>
          </w:p>
        </w:tc>
        <w:tc>
          <w:tcPr>
            <w:tcW w:w="1070" w:type="dxa"/>
            <w:tcBorders>
              <w:top w:val="nil"/>
              <w:left w:val="nil"/>
              <w:bottom w:val="single" w:sz="4" w:space="0" w:color="auto"/>
              <w:right w:val="single" w:sz="4" w:space="0" w:color="auto"/>
            </w:tcBorders>
            <w:shd w:val="clear" w:color="auto" w:fill="auto"/>
            <w:noWrap/>
            <w:vAlign w:val="bottom"/>
            <w:hideMark/>
          </w:tcPr>
          <w:p w14:paraId="10C3AC7F" w14:textId="56678D8C" w:rsidR="006C5886" w:rsidRPr="000D62F1" w:rsidRDefault="00317CB1" w:rsidP="000D62F1">
            <w:pPr>
              <w:jc w:val="center"/>
              <w:rPr>
                <w:color w:val="000000"/>
              </w:rPr>
            </w:pPr>
            <w:r>
              <w:rPr>
                <w:color w:val="000000"/>
              </w:rPr>
              <w:t>9/28/18</w:t>
            </w:r>
          </w:p>
        </w:tc>
        <w:tc>
          <w:tcPr>
            <w:tcW w:w="1105" w:type="dxa"/>
            <w:tcBorders>
              <w:top w:val="nil"/>
              <w:left w:val="nil"/>
              <w:bottom w:val="single" w:sz="4" w:space="0" w:color="auto"/>
              <w:right w:val="single" w:sz="4" w:space="0" w:color="auto"/>
            </w:tcBorders>
            <w:shd w:val="clear" w:color="auto" w:fill="auto"/>
            <w:noWrap/>
            <w:vAlign w:val="bottom"/>
            <w:hideMark/>
          </w:tcPr>
          <w:p w14:paraId="3DBD3FB5" w14:textId="5DAE2526" w:rsidR="006C5886" w:rsidRPr="000D62F1" w:rsidRDefault="00317CB1" w:rsidP="000D62F1">
            <w:pPr>
              <w:jc w:val="center"/>
              <w:rPr>
                <w:color w:val="000000"/>
              </w:rPr>
            </w:pPr>
            <w:r>
              <w:rPr>
                <w:color w:val="000000"/>
              </w:rPr>
              <w:t>9/28/18</w:t>
            </w:r>
          </w:p>
        </w:tc>
        <w:tc>
          <w:tcPr>
            <w:tcW w:w="1137" w:type="dxa"/>
            <w:tcBorders>
              <w:top w:val="nil"/>
              <w:left w:val="nil"/>
              <w:bottom w:val="single" w:sz="4" w:space="0" w:color="auto"/>
              <w:right w:val="single" w:sz="4" w:space="0" w:color="auto"/>
            </w:tcBorders>
            <w:shd w:val="clear" w:color="auto" w:fill="auto"/>
            <w:noWrap/>
            <w:vAlign w:val="bottom"/>
            <w:hideMark/>
          </w:tcPr>
          <w:p w14:paraId="2041C5BE" w14:textId="7CD41538" w:rsidR="006C5886" w:rsidRPr="000D62F1" w:rsidRDefault="00317CB1" w:rsidP="000D62F1">
            <w:pPr>
              <w:jc w:val="center"/>
              <w:rPr>
                <w:color w:val="000000"/>
              </w:rPr>
            </w:pPr>
            <w:r>
              <w:rPr>
                <w:color w:val="000000"/>
              </w:rPr>
              <w:t>9/28/18</w:t>
            </w:r>
          </w:p>
        </w:tc>
        <w:tc>
          <w:tcPr>
            <w:tcW w:w="1098" w:type="dxa"/>
            <w:tcBorders>
              <w:top w:val="nil"/>
              <w:left w:val="nil"/>
              <w:bottom w:val="single" w:sz="4" w:space="0" w:color="auto"/>
              <w:right w:val="single" w:sz="4" w:space="0" w:color="auto"/>
            </w:tcBorders>
            <w:shd w:val="clear" w:color="auto" w:fill="auto"/>
            <w:noWrap/>
            <w:vAlign w:val="bottom"/>
            <w:hideMark/>
          </w:tcPr>
          <w:p w14:paraId="164BCC56" w14:textId="6F3EED31" w:rsidR="006C5886" w:rsidRPr="000D62F1" w:rsidRDefault="00317CB1" w:rsidP="000D62F1">
            <w:pPr>
              <w:jc w:val="center"/>
              <w:rPr>
                <w:color w:val="000000"/>
              </w:rPr>
            </w:pPr>
            <w:r>
              <w:rPr>
                <w:color w:val="000000"/>
              </w:rPr>
              <w:t>9/28/18</w:t>
            </w:r>
          </w:p>
        </w:tc>
      </w:tr>
      <w:tr w:rsidR="006C5886" w:rsidRPr="000675EC" w14:paraId="63F1C82B" w14:textId="77777777" w:rsidTr="00C81D82">
        <w:trPr>
          <w:trHeight w:val="300"/>
        </w:trPr>
        <w:tc>
          <w:tcPr>
            <w:tcW w:w="3795" w:type="dxa"/>
            <w:tcBorders>
              <w:top w:val="nil"/>
              <w:left w:val="nil"/>
              <w:bottom w:val="nil"/>
              <w:right w:val="nil"/>
            </w:tcBorders>
            <w:shd w:val="clear" w:color="auto" w:fill="auto"/>
            <w:noWrap/>
            <w:vAlign w:val="bottom"/>
            <w:hideMark/>
          </w:tcPr>
          <w:p w14:paraId="6F29BCB9" w14:textId="77777777" w:rsidR="006C5886" w:rsidRPr="000D62F1" w:rsidRDefault="006C5886" w:rsidP="006C5886">
            <w:pPr>
              <w:rPr>
                <w:color w:val="000000"/>
              </w:rPr>
            </w:pPr>
          </w:p>
        </w:tc>
        <w:tc>
          <w:tcPr>
            <w:tcW w:w="1105" w:type="dxa"/>
            <w:tcBorders>
              <w:top w:val="nil"/>
              <w:left w:val="nil"/>
              <w:bottom w:val="nil"/>
              <w:right w:val="nil"/>
            </w:tcBorders>
            <w:shd w:val="clear" w:color="auto" w:fill="auto"/>
            <w:noWrap/>
            <w:vAlign w:val="bottom"/>
            <w:hideMark/>
          </w:tcPr>
          <w:p w14:paraId="2F39F753" w14:textId="77777777" w:rsidR="006C5886" w:rsidRPr="000D62F1" w:rsidRDefault="006C5886" w:rsidP="006C5886">
            <w:pPr>
              <w:rPr>
                <w:color w:val="000000"/>
              </w:rPr>
            </w:pPr>
          </w:p>
        </w:tc>
        <w:tc>
          <w:tcPr>
            <w:tcW w:w="1070" w:type="dxa"/>
            <w:tcBorders>
              <w:top w:val="nil"/>
              <w:left w:val="nil"/>
              <w:bottom w:val="nil"/>
              <w:right w:val="nil"/>
            </w:tcBorders>
            <w:shd w:val="clear" w:color="auto" w:fill="auto"/>
            <w:noWrap/>
            <w:vAlign w:val="bottom"/>
            <w:hideMark/>
          </w:tcPr>
          <w:p w14:paraId="5DD1F734" w14:textId="77777777" w:rsidR="006C5886" w:rsidRPr="000D62F1" w:rsidRDefault="006C5886" w:rsidP="006C5886">
            <w:pPr>
              <w:rPr>
                <w:color w:val="000000"/>
              </w:rPr>
            </w:pPr>
          </w:p>
        </w:tc>
        <w:tc>
          <w:tcPr>
            <w:tcW w:w="1105" w:type="dxa"/>
            <w:tcBorders>
              <w:top w:val="nil"/>
              <w:left w:val="nil"/>
              <w:bottom w:val="nil"/>
              <w:right w:val="nil"/>
            </w:tcBorders>
            <w:shd w:val="clear" w:color="auto" w:fill="auto"/>
            <w:noWrap/>
            <w:vAlign w:val="bottom"/>
            <w:hideMark/>
          </w:tcPr>
          <w:p w14:paraId="5B056DBD" w14:textId="77777777" w:rsidR="006C5886" w:rsidRPr="000D62F1" w:rsidRDefault="006C5886" w:rsidP="006C5886">
            <w:pPr>
              <w:rPr>
                <w:color w:val="000000"/>
              </w:rPr>
            </w:pPr>
          </w:p>
        </w:tc>
        <w:tc>
          <w:tcPr>
            <w:tcW w:w="1137" w:type="dxa"/>
            <w:tcBorders>
              <w:top w:val="nil"/>
              <w:left w:val="nil"/>
              <w:bottom w:val="nil"/>
              <w:right w:val="nil"/>
            </w:tcBorders>
            <w:shd w:val="clear" w:color="auto" w:fill="auto"/>
            <w:noWrap/>
            <w:vAlign w:val="bottom"/>
            <w:hideMark/>
          </w:tcPr>
          <w:p w14:paraId="7A4FE26B" w14:textId="77777777" w:rsidR="006C5886" w:rsidRPr="000D62F1" w:rsidRDefault="006C5886" w:rsidP="006C5886">
            <w:pPr>
              <w:rPr>
                <w:color w:val="000000"/>
              </w:rPr>
            </w:pPr>
          </w:p>
        </w:tc>
        <w:tc>
          <w:tcPr>
            <w:tcW w:w="1098" w:type="dxa"/>
            <w:tcBorders>
              <w:top w:val="nil"/>
              <w:left w:val="nil"/>
              <w:bottom w:val="nil"/>
              <w:right w:val="nil"/>
            </w:tcBorders>
            <w:shd w:val="clear" w:color="auto" w:fill="auto"/>
            <w:noWrap/>
            <w:vAlign w:val="bottom"/>
            <w:hideMark/>
          </w:tcPr>
          <w:p w14:paraId="65AE1F40" w14:textId="77777777" w:rsidR="006C5886" w:rsidRPr="000D62F1" w:rsidRDefault="006C5886" w:rsidP="006C5886">
            <w:pPr>
              <w:rPr>
                <w:color w:val="000000"/>
              </w:rPr>
            </w:pPr>
          </w:p>
        </w:tc>
      </w:tr>
    </w:tbl>
    <w:p w14:paraId="4B332442" w14:textId="36D2E847" w:rsidR="000675EC" w:rsidRPr="00ED7B53" w:rsidRDefault="000675EC" w:rsidP="000D62F1">
      <w:pPr>
        <w:spacing w:after="200"/>
      </w:pPr>
      <w:r>
        <w:t>T</w:t>
      </w:r>
      <w:r w:rsidRPr="00ED7B53">
        <w:t xml:space="preserve">he first follow-up </w:t>
      </w:r>
      <w:r>
        <w:t>will occur</w:t>
      </w:r>
      <w:r w:rsidRPr="00ED7B53">
        <w:t xml:space="preserve"> 9-12 months after enrollment</w:t>
      </w:r>
      <w:r>
        <w:t>, and is the same for both studies</w:t>
      </w:r>
      <w:r w:rsidRPr="00ED7B53">
        <w:t xml:space="preserve">. </w:t>
      </w:r>
      <w:r>
        <w:t>T</w:t>
      </w:r>
      <w:r w:rsidRPr="00690F04">
        <w:t>he follow-up window is tied to each participant’s initial enrollment date in the study</w:t>
      </w:r>
      <w:r>
        <w:t>. T</w:t>
      </w:r>
      <w:r w:rsidRPr="00690F04">
        <w:t>he first follow-up will begin nine months after the first sample member is enrolled, and that sample member will remain eligible for follow-up until the maximum time permitted has elapsed</w:t>
      </w:r>
      <w:r>
        <w:t xml:space="preserve"> which is 12 months after enrollment</w:t>
      </w:r>
      <w:r w:rsidRPr="00690F04">
        <w:t xml:space="preserve">. </w:t>
      </w:r>
      <w:r w:rsidRPr="00ED7B53">
        <w:t xml:space="preserve"> </w:t>
      </w:r>
      <w:r>
        <w:t>For example</w:t>
      </w:r>
      <w:r w:rsidRPr="00ED7B53">
        <w:t xml:space="preserve">, </w:t>
      </w:r>
      <w:r>
        <w:t>if</w:t>
      </w:r>
      <w:r w:rsidRPr="00ED7B53">
        <w:t xml:space="preserve"> the first participant is enrolled on </w:t>
      </w:r>
      <w:r>
        <w:t>May</w:t>
      </w:r>
      <w:r w:rsidRPr="00ED7B53">
        <w:t xml:space="preserve"> 1, 2015. The </w:t>
      </w:r>
      <w:r>
        <w:t>follow-up</w:t>
      </w:r>
      <w:r w:rsidRPr="00ED7B53">
        <w:t xml:space="preserve"> for this participant hits nine months later, on </w:t>
      </w:r>
      <w:r>
        <w:t>February</w:t>
      </w:r>
      <w:r w:rsidRPr="00ED7B53">
        <w:t xml:space="preserve"> 1, 201</w:t>
      </w:r>
      <w:r>
        <w:t>6</w:t>
      </w:r>
      <w:r w:rsidRPr="00ED7B53">
        <w:t xml:space="preserve">. This participant would remain eligible for the </w:t>
      </w:r>
      <w:r>
        <w:t>follow-up</w:t>
      </w:r>
      <w:r w:rsidRPr="00ED7B53">
        <w:t xml:space="preserve"> through </w:t>
      </w:r>
      <w:r>
        <w:t>June</w:t>
      </w:r>
      <w:r w:rsidRPr="00ED7B53">
        <w:t xml:space="preserve"> 1, 2016, when the participant hits the 12</w:t>
      </w:r>
      <w:r w:rsidRPr="00ED7B53">
        <w:rPr>
          <w:vertAlign w:val="superscript"/>
        </w:rPr>
        <w:t>th</w:t>
      </w:r>
      <w:r w:rsidRPr="00ED7B53">
        <w:t xml:space="preserve"> month since enrolling in the study. </w:t>
      </w:r>
      <w:r>
        <w:t xml:space="preserve"> T</w:t>
      </w:r>
      <w:r w:rsidRPr="00ED7B53">
        <w:t>he second follow-up</w:t>
      </w:r>
      <w:r>
        <w:t xml:space="preserve"> for the Volunteer Study will occur 21-24 months from </w:t>
      </w:r>
      <w:r w:rsidRPr="00ED7B53">
        <w:t xml:space="preserve">the date of initial enrollment. </w:t>
      </w:r>
      <w:r>
        <w:t xml:space="preserve">Participants </w:t>
      </w:r>
      <w:r w:rsidR="00784B21">
        <w:t>will</w:t>
      </w:r>
      <w:r>
        <w:t xml:space="preserve"> remain eligible for the second follow-up through their 24 month following enrollment.</w:t>
      </w:r>
      <w:r w:rsidRPr="00ED7B53">
        <w:t xml:space="preserve"> </w:t>
      </w:r>
      <w:r>
        <w:t xml:space="preserve">The four months window </w:t>
      </w:r>
      <w:r w:rsidRPr="00ED7B53">
        <w:t>maximizes the follow-up periods and the response rate.</w:t>
      </w:r>
    </w:p>
    <w:p w14:paraId="1570AE65" w14:textId="77777777" w:rsidR="00DA1582" w:rsidRPr="00C238D0" w:rsidRDefault="00DA1582" w:rsidP="00C238D0">
      <w:pPr>
        <w:tabs>
          <w:tab w:val="left" w:pos="360"/>
        </w:tabs>
        <w:autoSpaceDE w:val="0"/>
        <w:autoSpaceDN w:val="0"/>
        <w:adjustRightInd w:val="0"/>
        <w:rPr>
          <w:b/>
        </w:rPr>
      </w:pPr>
      <w:r w:rsidRPr="00C238D0">
        <w:rPr>
          <w:b/>
        </w:rPr>
        <w:t>17.</w:t>
      </w:r>
      <w:r w:rsidRPr="00C238D0">
        <w:rPr>
          <w:b/>
        </w:rPr>
        <w:tab/>
        <w:t>If seeking approval to not display the expiration date for OMB approval of the information collection, explain the reasons that display would be inappropriate.</w:t>
      </w:r>
      <w:r w:rsidRPr="00CE3C52">
        <w:t xml:space="preserve"> </w:t>
      </w:r>
    </w:p>
    <w:p w14:paraId="6E10B439" w14:textId="5425CFF9" w:rsidR="00FA4918" w:rsidRDefault="004C5A4F" w:rsidP="000D62F1">
      <w:pPr>
        <w:autoSpaceDE w:val="0"/>
        <w:autoSpaceDN w:val="0"/>
        <w:adjustRightInd w:val="0"/>
        <w:spacing w:before="200" w:after="200"/>
        <w:rPr>
          <w:rFonts w:eastAsiaTheme="minorHAnsi"/>
        </w:rPr>
      </w:pPr>
      <w:r>
        <w:rPr>
          <w:rFonts w:eastAsiaTheme="minorHAnsi"/>
        </w:rPr>
        <w:t>The expiration date</w:t>
      </w:r>
      <w:r w:rsidR="00FA4918" w:rsidRPr="00025AAD">
        <w:rPr>
          <w:rFonts w:eastAsiaTheme="minorHAnsi"/>
        </w:rPr>
        <w:t xml:space="preserve"> for OMB approval of the information collection will be displayed</w:t>
      </w:r>
      <w:r w:rsidR="00697D2A" w:rsidRPr="00025AAD">
        <w:rPr>
          <w:rFonts w:eastAsiaTheme="minorHAnsi"/>
        </w:rPr>
        <w:t xml:space="preserve"> on the first page of the </w:t>
      </w:r>
      <w:r w:rsidR="008A5D12">
        <w:rPr>
          <w:rFonts w:eastAsiaTheme="minorHAnsi"/>
        </w:rPr>
        <w:t>surveys</w:t>
      </w:r>
      <w:r w:rsidR="00FA4918" w:rsidRPr="00025AAD">
        <w:rPr>
          <w:rFonts w:eastAsiaTheme="minorHAnsi"/>
        </w:rPr>
        <w:t>.</w:t>
      </w:r>
    </w:p>
    <w:p w14:paraId="30B1101E" w14:textId="77777777" w:rsidR="00DA1582" w:rsidRPr="00C238D0" w:rsidRDefault="00DA1582" w:rsidP="009C76F6">
      <w:pPr>
        <w:tabs>
          <w:tab w:val="left" w:pos="540"/>
        </w:tabs>
        <w:autoSpaceDE w:val="0"/>
        <w:autoSpaceDN w:val="0"/>
        <w:adjustRightInd w:val="0"/>
        <w:rPr>
          <w:b/>
        </w:rPr>
      </w:pPr>
      <w:r w:rsidRPr="00C238D0">
        <w:rPr>
          <w:b/>
        </w:rPr>
        <w:t>18.</w:t>
      </w:r>
      <w:r w:rsidRPr="00C238D0">
        <w:rPr>
          <w:b/>
        </w:rPr>
        <w:tab/>
        <w:t>Explain each exception to the topics of the certification statement identified in “Certification for Paperwork Reduction Act Submissions” (5 CFR 1320.9).</w:t>
      </w:r>
      <w:r>
        <w:t xml:space="preserve"> </w:t>
      </w:r>
    </w:p>
    <w:p w14:paraId="268EDDAB" w14:textId="41BC849D" w:rsidR="003257B5" w:rsidRPr="00334C63" w:rsidRDefault="00FA4918" w:rsidP="00A22089">
      <w:pPr>
        <w:autoSpaceDE w:val="0"/>
        <w:autoSpaceDN w:val="0"/>
        <w:adjustRightInd w:val="0"/>
        <w:spacing w:before="200"/>
        <w:rPr>
          <w:rFonts w:eastAsiaTheme="minorHAnsi"/>
        </w:rPr>
      </w:pPr>
      <w:r>
        <w:rPr>
          <w:rFonts w:eastAsiaTheme="minorHAnsi"/>
        </w:rPr>
        <w:t xml:space="preserve">There are no exceptions claimed in </w:t>
      </w:r>
      <w:r w:rsidRPr="00FA4918">
        <w:rPr>
          <w:rFonts w:eastAsiaTheme="minorHAnsi"/>
        </w:rPr>
        <w:t>Item 19, "Certification for Pape</w:t>
      </w:r>
      <w:r>
        <w:rPr>
          <w:rFonts w:eastAsiaTheme="minorHAnsi"/>
        </w:rPr>
        <w:t>rwork Reduction Act Submissions</w:t>
      </w:r>
      <w:r w:rsidRPr="00FA4918">
        <w:rPr>
          <w:rFonts w:eastAsiaTheme="minorHAnsi"/>
        </w:rPr>
        <w:t>"</w:t>
      </w:r>
      <w:r>
        <w:rPr>
          <w:rFonts w:eastAsiaTheme="minorHAnsi"/>
        </w:rPr>
        <w:t xml:space="preserve"> </w:t>
      </w:r>
      <w:r w:rsidRPr="00FA4918">
        <w:rPr>
          <w:rFonts w:eastAsiaTheme="minorHAnsi"/>
        </w:rPr>
        <w:t>of OMB Form</w:t>
      </w:r>
      <w:r>
        <w:rPr>
          <w:rFonts w:eastAsiaTheme="minorHAnsi"/>
        </w:rPr>
        <w:t xml:space="preserve"> </w:t>
      </w:r>
      <w:r w:rsidRPr="00FA4918">
        <w:rPr>
          <w:rFonts w:eastAsiaTheme="minorHAnsi"/>
        </w:rPr>
        <w:t>83-I.</w:t>
      </w:r>
      <w:bookmarkStart w:id="1" w:name="_GoBack"/>
      <w:bookmarkEnd w:id="1"/>
    </w:p>
    <w:sectPr w:rsidR="003257B5" w:rsidRPr="00334C63" w:rsidSect="002E5EDB">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936A46" w15:done="0"/>
  <w15:commentEx w15:paraId="03777D6E" w15:done="0"/>
  <w15:commentEx w15:paraId="25D2A73F" w15:done="0"/>
  <w15:commentEx w15:paraId="1D9BD67E" w15:done="0"/>
  <w15:commentEx w15:paraId="2A242FA3" w15:done="0"/>
  <w15:commentEx w15:paraId="5152D2F4" w15:done="0"/>
  <w15:commentEx w15:paraId="2DBF0A50" w15:done="0"/>
  <w15:commentEx w15:paraId="67B79C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CBCC8" w14:textId="77777777" w:rsidR="007E3437" w:rsidRDefault="007E3437" w:rsidP="00F87B0A">
      <w:r>
        <w:separator/>
      </w:r>
    </w:p>
  </w:endnote>
  <w:endnote w:type="continuationSeparator" w:id="0">
    <w:p w14:paraId="1017A0C6" w14:textId="77777777" w:rsidR="007E3437" w:rsidRDefault="007E3437" w:rsidP="00F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00000000" w:usb2="01000407"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9529"/>
      <w:docPartObj>
        <w:docPartGallery w:val="Page Numbers (Bottom of Page)"/>
        <w:docPartUnique/>
      </w:docPartObj>
    </w:sdtPr>
    <w:sdtEndPr/>
    <w:sdtContent>
      <w:sdt>
        <w:sdtPr>
          <w:id w:val="565050477"/>
          <w:docPartObj>
            <w:docPartGallery w:val="Page Numbers (Top of Page)"/>
            <w:docPartUnique/>
          </w:docPartObj>
        </w:sdtPr>
        <w:sdtEndPr/>
        <w:sdtContent>
          <w:p w14:paraId="3CFF005E" w14:textId="77777777" w:rsidR="00147985" w:rsidRDefault="00147985">
            <w:pPr>
              <w:pStyle w:val="Footer"/>
              <w:jc w:val="center"/>
            </w:pPr>
            <w:r>
              <w:t xml:space="preserve">Page </w:t>
            </w:r>
            <w:r>
              <w:rPr>
                <w:b/>
              </w:rPr>
              <w:fldChar w:fldCharType="begin"/>
            </w:r>
            <w:r>
              <w:rPr>
                <w:b/>
              </w:rPr>
              <w:instrText xml:space="preserve"> PAGE </w:instrText>
            </w:r>
            <w:r>
              <w:rPr>
                <w:b/>
              </w:rPr>
              <w:fldChar w:fldCharType="separate"/>
            </w:r>
            <w:r w:rsidR="00A22089">
              <w:rPr>
                <w:b/>
                <w:noProof/>
              </w:rPr>
              <w:t>17</w:t>
            </w:r>
            <w:r>
              <w:rPr>
                <w:b/>
              </w:rPr>
              <w:fldChar w:fldCharType="end"/>
            </w:r>
            <w:r>
              <w:t xml:space="preserve"> of </w:t>
            </w:r>
            <w:r>
              <w:rPr>
                <w:b/>
              </w:rPr>
              <w:fldChar w:fldCharType="begin"/>
            </w:r>
            <w:r>
              <w:rPr>
                <w:b/>
              </w:rPr>
              <w:instrText xml:space="preserve"> NUMPAGES  </w:instrText>
            </w:r>
            <w:r>
              <w:rPr>
                <w:b/>
              </w:rPr>
              <w:fldChar w:fldCharType="separate"/>
            </w:r>
            <w:r w:rsidR="00A22089">
              <w:rPr>
                <w:b/>
                <w:noProof/>
              </w:rPr>
              <w:t>17</w:t>
            </w:r>
            <w:r>
              <w:rPr>
                <w:b/>
              </w:rPr>
              <w:fldChar w:fldCharType="end"/>
            </w:r>
          </w:p>
        </w:sdtContent>
      </w:sdt>
    </w:sdtContent>
  </w:sdt>
  <w:p w14:paraId="1DBDF203" w14:textId="77777777" w:rsidR="00147985" w:rsidRDefault="00147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77641" w14:textId="77777777" w:rsidR="007E3437" w:rsidRDefault="007E3437" w:rsidP="00F87B0A">
      <w:r>
        <w:separator/>
      </w:r>
    </w:p>
  </w:footnote>
  <w:footnote w:type="continuationSeparator" w:id="0">
    <w:p w14:paraId="77403CA0" w14:textId="77777777" w:rsidR="007E3437" w:rsidRDefault="007E3437" w:rsidP="00F87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B46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D0B01"/>
    <w:multiLevelType w:val="hybridMultilevel"/>
    <w:tmpl w:val="99E8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658C1"/>
    <w:multiLevelType w:val="hybridMultilevel"/>
    <w:tmpl w:val="403A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358A1"/>
    <w:multiLevelType w:val="hybridMultilevel"/>
    <w:tmpl w:val="D3F6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142E3"/>
    <w:multiLevelType w:val="hybridMultilevel"/>
    <w:tmpl w:val="93D2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B2EE5"/>
    <w:multiLevelType w:val="hybridMultilevel"/>
    <w:tmpl w:val="5B66BEAA"/>
    <w:lvl w:ilvl="0" w:tplc="DF1CDBC4">
      <w:start w:val="1"/>
      <w:numFmt w:val="decimal"/>
      <w:lvlText w:val="%1."/>
      <w:lvlJc w:val="left"/>
      <w:pPr>
        <w:ind w:left="1080" w:hanging="360"/>
      </w:pPr>
    </w:lvl>
    <w:lvl w:ilvl="1" w:tplc="04090003">
      <w:start w:val="1"/>
      <w:numFmt w:val="bullet"/>
      <w:lvlText w:val=""/>
      <w:lvlJc w:val="left"/>
      <w:pPr>
        <w:ind w:left="1800" w:hanging="360"/>
      </w:pPr>
      <w:rPr>
        <w:rFonts w:ascii="Symbol" w:hAnsi="Symbol" w:hint="default"/>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1E282EE1"/>
    <w:multiLevelType w:val="hybridMultilevel"/>
    <w:tmpl w:val="CFF8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33171"/>
    <w:multiLevelType w:val="hybridMultilevel"/>
    <w:tmpl w:val="D0A8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095C95"/>
    <w:multiLevelType w:val="hybridMultilevel"/>
    <w:tmpl w:val="4F56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E453A"/>
    <w:multiLevelType w:val="hybridMultilevel"/>
    <w:tmpl w:val="8CE84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C356B"/>
    <w:multiLevelType w:val="hybridMultilevel"/>
    <w:tmpl w:val="216C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64DED"/>
    <w:multiLevelType w:val="hybridMultilevel"/>
    <w:tmpl w:val="6FB03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9B42CA"/>
    <w:multiLevelType w:val="hybridMultilevel"/>
    <w:tmpl w:val="5ADAE20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B7D37"/>
    <w:multiLevelType w:val="hybridMultilevel"/>
    <w:tmpl w:val="1A22E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F024D"/>
    <w:multiLevelType w:val="hybridMultilevel"/>
    <w:tmpl w:val="6F56C1F6"/>
    <w:lvl w:ilvl="0" w:tplc="0409000F">
      <w:start w:val="1"/>
      <w:numFmt w:val="decimal"/>
      <w:lvlText w:val="%1."/>
      <w:lvlJc w:val="lef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nsid w:val="4F507A70"/>
    <w:multiLevelType w:val="hybridMultilevel"/>
    <w:tmpl w:val="F73A0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9D5744"/>
    <w:multiLevelType w:val="hybridMultilevel"/>
    <w:tmpl w:val="3010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F03690"/>
    <w:multiLevelType w:val="hybridMultilevel"/>
    <w:tmpl w:val="DC2C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C10061"/>
    <w:multiLevelType w:val="hybridMultilevel"/>
    <w:tmpl w:val="8A683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B43691"/>
    <w:multiLevelType w:val="hybridMultilevel"/>
    <w:tmpl w:val="3EB285A6"/>
    <w:lvl w:ilvl="0" w:tplc="04090017">
      <w:start w:val="1"/>
      <w:numFmt w:val="lowerLetter"/>
      <w:lvlText w:val="%1)"/>
      <w:lvlJc w:val="left"/>
      <w:pPr>
        <w:ind w:left="2164" w:hanging="360"/>
      </w:pPr>
    </w:lvl>
    <w:lvl w:ilvl="1" w:tplc="04090019">
      <w:start w:val="1"/>
      <w:numFmt w:val="lowerLetter"/>
      <w:lvlText w:val="%2."/>
      <w:lvlJc w:val="left"/>
      <w:pPr>
        <w:ind w:left="2884" w:hanging="360"/>
      </w:pPr>
    </w:lvl>
    <w:lvl w:ilvl="2" w:tplc="0409001B">
      <w:start w:val="1"/>
      <w:numFmt w:val="lowerRoman"/>
      <w:lvlText w:val="%3."/>
      <w:lvlJc w:val="right"/>
      <w:pPr>
        <w:ind w:left="3604" w:hanging="180"/>
      </w:pPr>
    </w:lvl>
    <w:lvl w:ilvl="3" w:tplc="0409000F">
      <w:start w:val="1"/>
      <w:numFmt w:val="decimal"/>
      <w:lvlText w:val="%4."/>
      <w:lvlJc w:val="left"/>
      <w:pPr>
        <w:ind w:left="4324" w:hanging="360"/>
      </w:pPr>
    </w:lvl>
    <w:lvl w:ilvl="4" w:tplc="04090019">
      <w:start w:val="1"/>
      <w:numFmt w:val="lowerLetter"/>
      <w:lvlText w:val="%5."/>
      <w:lvlJc w:val="left"/>
      <w:pPr>
        <w:ind w:left="5044" w:hanging="360"/>
      </w:pPr>
    </w:lvl>
    <w:lvl w:ilvl="5" w:tplc="0409001B">
      <w:start w:val="1"/>
      <w:numFmt w:val="lowerRoman"/>
      <w:lvlText w:val="%6."/>
      <w:lvlJc w:val="right"/>
      <w:pPr>
        <w:ind w:left="5764" w:hanging="180"/>
      </w:pPr>
    </w:lvl>
    <w:lvl w:ilvl="6" w:tplc="0409000F">
      <w:start w:val="1"/>
      <w:numFmt w:val="decimal"/>
      <w:lvlText w:val="%7."/>
      <w:lvlJc w:val="left"/>
      <w:pPr>
        <w:ind w:left="6484" w:hanging="360"/>
      </w:pPr>
    </w:lvl>
    <w:lvl w:ilvl="7" w:tplc="04090019">
      <w:start w:val="1"/>
      <w:numFmt w:val="lowerLetter"/>
      <w:lvlText w:val="%8."/>
      <w:lvlJc w:val="left"/>
      <w:pPr>
        <w:ind w:left="7204" w:hanging="360"/>
      </w:pPr>
    </w:lvl>
    <w:lvl w:ilvl="8" w:tplc="0409001B">
      <w:start w:val="1"/>
      <w:numFmt w:val="lowerRoman"/>
      <w:lvlText w:val="%9."/>
      <w:lvlJc w:val="right"/>
      <w:pPr>
        <w:ind w:left="7924" w:hanging="180"/>
      </w:pPr>
    </w:lvl>
  </w:abstractNum>
  <w:abstractNum w:abstractNumId="20">
    <w:nsid w:val="6512397D"/>
    <w:multiLevelType w:val="hybridMultilevel"/>
    <w:tmpl w:val="FB00E2A4"/>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6C071FC2"/>
    <w:multiLevelType w:val="hybridMultilevel"/>
    <w:tmpl w:val="120EEA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973603"/>
    <w:multiLevelType w:val="hybridMultilevel"/>
    <w:tmpl w:val="944499FC"/>
    <w:lvl w:ilvl="0" w:tplc="04090019">
      <w:start w:val="1"/>
      <w:numFmt w:val="lowerLetter"/>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3">
    <w:nsid w:val="6FA44334"/>
    <w:multiLevelType w:val="hybridMultilevel"/>
    <w:tmpl w:val="13F03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C60BE"/>
    <w:multiLevelType w:val="hybridMultilevel"/>
    <w:tmpl w:val="5B6A7B7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5">
    <w:nsid w:val="76683EDD"/>
    <w:multiLevelType w:val="hybridMultilevel"/>
    <w:tmpl w:val="CFD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65CA3"/>
    <w:multiLevelType w:val="hybridMultilevel"/>
    <w:tmpl w:val="8A683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16"/>
  </w:num>
  <w:num w:numId="4">
    <w:abstractNumId w:val="0"/>
  </w:num>
  <w:num w:numId="5">
    <w:abstractNumId w:val="18"/>
  </w:num>
  <w:num w:numId="6">
    <w:abstractNumId w:val="5"/>
  </w:num>
  <w:num w:numId="7">
    <w:abstractNumId w:val="20"/>
  </w:num>
  <w:num w:numId="8">
    <w:abstractNumId w:val="8"/>
  </w:num>
  <w:num w:numId="9">
    <w:abstractNumId w:val="7"/>
  </w:num>
  <w:num w:numId="10">
    <w:abstractNumId w:val="13"/>
  </w:num>
  <w:num w:numId="11">
    <w:abstractNumId w:val="11"/>
  </w:num>
  <w:num w:numId="12">
    <w:abstractNumId w:val="21"/>
  </w:num>
  <w:num w:numId="13">
    <w:abstractNumId w:val="12"/>
  </w:num>
  <w:num w:numId="14">
    <w:abstractNumId w:val="17"/>
  </w:num>
  <w:num w:numId="15">
    <w:abstractNumId w:val="10"/>
  </w:num>
  <w:num w:numId="16">
    <w:abstractNumId w:val="3"/>
  </w:num>
  <w:num w:numId="17">
    <w:abstractNumId w:val="25"/>
  </w:num>
  <w:num w:numId="18">
    <w:abstractNumId w:val="1"/>
  </w:num>
  <w:num w:numId="19">
    <w:abstractNumId w:val="4"/>
  </w:num>
  <w:num w:numId="20">
    <w:abstractNumId w:val="24"/>
  </w:num>
  <w:num w:numId="21">
    <w:abstractNumId w:val="19"/>
  </w:num>
  <w:num w:numId="22">
    <w:abstractNumId w:val="9"/>
  </w:num>
  <w:num w:numId="23">
    <w:abstractNumId w:val="26"/>
  </w:num>
  <w:num w:numId="24">
    <w:abstractNumId w:val="2"/>
  </w:num>
  <w:num w:numId="25">
    <w:abstractNumId w:val="22"/>
  </w:num>
  <w:num w:numId="26">
    <w:abstractNumId w:val="15"/>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Wagmiller">
    <w15:presenceInfo w15:providerId="None" w15:userId="Robert Wagmi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18"/>
    <w:rsid w:val="000033DB"/>
    <w:rsid w:val="000035F4"/>
    <w:rsid w:val="00007DA0"/>
    <w:rsid w:val="00010EFF"/>
    <w:rsid w:val="00012EC1"/>
    <w:rsid w:val="00017422"/>
    <w:rsid w:val="00022AE1"/>
    <w:rsid w:val="00024274"/>
    <w:rsid w:val="00024601"/>
    <w:rsid w:val="000247DA"/>
    <w:rsid w:val="00025AAD"/>
    <w:rsid w:val="0003201B"/>
    <w:rsid w:val="00032ECA"/>
    <w:rsid w:val="00035873"/>
    <w:rsid w:val="000434FA"/>
    <w:rsid w:val="000445F1"/>
    <w:rsid w:val="0004616A"/>
    <w:rsid w:val="000461EB"/>
    <w:rsid w:val="00051936"/>
    <w:rsid w:val="000519C2"/>
    <w:rsid w:val="000520E0"/>
    <w:rsid w:val="00054F64"/>
    <w:rsid w:val="00056763"/>
    <w:rsid w:val="00057114"/>
    <w:rsid w:val="00057822"/>
    <w:rsid w:val="0006418B"/>
    <w:rsid w:val="00065491"/>
    <w:rsid w:val="000675EC"/>
    <w:rsid w:val="00070933"/>
    <w:rsid w:val="00071294"/>
    <w:rsid w:val="0007292E"/>
    <w:rsid w:val="00076C9C"/>
    <w:rsid w:val="00076E8B"/>
    <w:rsid w:val="00080042"/>
    <w:rsid w:val="000847F1"/>
    <w:rsid w:val="00084F9E"/>
    <w:rsid w:val="0008686E"/>
    <w:rsid w:val="00086D10"/>
    <w:rsid w:val="000872A6"/>
    <w:rsid w:val="0009599A"/>
    <w:rsid w:val="0009759A"/>
    <w:rsid w:val="000A3AA7"/>
    <w:rsid w:val="000A50B6"/>
    <w:rsid w:val="000B0F08"/>
    <w:rsid w:val="000B3CEE"/>
    <w:rsid w:val="000B6C28"/>
    <w:rsid w:val="000C0502"/>
    <w:rsid w:val="000C24D9"/>
    <w:rsid w:val="000C6F9F"/>
    <w:rsid w:val="000D0642"/>
    <w:rsid w:val="000D100E"/>
    <w:rsid w:val="000D24CF"/>
    <w:rsid w:val="000D4F70"/>
    <w:rsid w:val="000D5E83"/>
    <w:rsid w:val="000D62F1"/>
    <w:rsid w:val="000D73A4"/>
    <w:rsid w:val="000E2019"/>
    <w:rsid w:val="000E3593"/>
    <w:rsid w:val="000E7054"/>
    <w:rsid w:val="000F19F2"/>
    <w:rsid w:val="000F1A28"/>
    <w:rsid w:val="000F23E2"/>
    <w:rsid w:val="001035D4"/>
    <w:rsid w:val="001071C2"/>
    <w:rsid w:val="0011253F"/>
    <w:rsid w:val="0011758A"/>
    <w:rsid w:val="00125ED9"/>
    <w:rsid w:val="00127C93"/>
    <w:rsid w:val="00130E29"/>
    <w:rsid w:val="00132300"/>
    <w:rsid w:val="00132C68"/>
    <w:rsid w:val="00133915"/>
    <w:rsid w:val="00144012"/>
    <w:rsid w:val="001455D2"/>
    <w:rsid w:val="00147985"/>
    <w:rsid w:val="001511D1"/>
    <w:rsid w:val="00156F1B"/>
    <w:rsid w:val="00157CF3"/>
    <w:rsid w:val="00160755"/>
    <w:rsid w:val="00160B12"/>
    <w:rsid w:val="00164D69"/>
    <w:rsid w:val="0016560C"/>
    <w:rsid w:val="001672B6"/>
    <w:rsid w:val="001755F1"/>
    <w:rsid w:val="00186275"/>
    <w:rsid w:val="001864E0"/>
    <w:rsid w:val="001866AB"/>
    <w:rsid w:val="00186C3F"/>
    <w:rsid w:val="001876D3"/>
    <w:rsid w:val="001876EB"/>
    <w:rsid w:val="00191D8F"/>
    <w:rsid w:val="001922C5"/>
    <w:rsid w:val="00194502"/>
    <w:rsid w:val="001A0D36"/>
    <w:rsid w:val="001A2279"/>
    <w:rsid w:val="001A2C0D"/>
    <w:rsid w:val="001A4D62"/>
    <w:rsid w:val="001B0158"/>
    <w:rsid w:val="001B1BC3"/>
    <w:rsid w:val="001B6C23"/>
    <w:rsid w:val="001C4186"/>
    <w:rsid w:val="001C4C46"/>
    <w:rsid w:val="001C5C48"/>
    <w:rsid w:val="001C6DA2"/>
    <w:rsid w:val="001D027E"/>
    <w:rsid w:val="001D279D"/>
    <w:rsid w:val="001E03E4"/>
    <w:rsid w:val="001E080F"/>
    <w:rsid w:val="001E3688"/>
    <w:rsid w:val="001E5F3B"/>
    <w:rsid w:val="001E673F"/>
    <w:rsid w:val="001E6A6E"/>
    <w:rsid w:val="00200350"/>
    <w:rsid w:val="0020170D"/>
    <w:rsid w:val="00203BA9"/>
    <w:rsid w:val="002076EA"/>
    <w:rsid w:val="002154A9"/>
    <w:rsid w:val="00220B1D"/>
    <w:rsid w:val="002227C0"/>
    <w:rsid w:val="00224524"/>
    <w:rsid w:val="002245DE"/>
    <w:rsid w:val="002260EB"/>
    <w:rsid w:val="0022790C"/>
    <w:rsid w:val="002326D0"/>
    <w:rsid w:val="0023516B"/>
    <w:rsid w:val="00236618"/>
    <w:rsid w:val="0024076C"/>
    <w:rsid w:val="00240D50"/>
    <w:rsid w:val="00242459"/>
    <w:rsid w:val="00245C6F"/>
    <w:rsid w:val="0024602D"/>
    <w:rsid w:val="00246C98"/>
    <w:rsid w:val="002508EF"/>
    <w:rsid w:val="00252E90"/>
    <w:rsid w:val="002548EB"/>
    <w:rsid w:val="0026040B"/>
    <w:rsid w:val="00260C14"/>
    <w:rsid w:val="00272B4A"/>
    <w:rsid w:val="00276E51"/>
    <w:rsid w:val="00282665"/>
    <w:rsid w:val="002834DB"/>
    <w:rsid w:val="002835F6"/>
    <w:rsid w:val="002847FD"/>
    <w:rsid w:val="00290818"/>
    <w:rsid w:val="00291636"/>
    <w:rsid w:val="0029189C"/>
    <w:rsid w:val="00294F07"/>
    <w:rsid w:val="0029700C"/>
    <w:rsid w:val="00297B28"/>
    <w:rsid w:val="002A26B4"/>
    <w:rsid w:val="002A6A1C"/>
    <w:rsid w:val="002B1748"/>
    <w:rsid w:val="002B3C21"/>
    <w:rsid w:val="002B5A80"/>
    <w:rsid w:val="002B7111"/>
    <w:rsid w:val="002C2491"/>
    <w:rsid w:val="002C295B"/>
    <w:rsid w:val="002C3148"/>
    <w:rsid w:val="002C5E1B"/>
    <w:rsid w:val="002D0B6A"/>
    <w:rsid w:val="002D1C33"/>
    <w:rsid w:val="002D2506"/>
    <w:rsid w:val="002E2809"/>
    <w:rsid w:val="002E386D"/>
    <w:rsid w:val="002E4C3A"/>
    <w:rsid w:val="002E5A3D"/>
    <w:rsid w:val="002E5EDB"/>
    <w:rsid w:val="002F36E3"/>
    <w:rsid w:val="00302A6E"/>
    <w:rsid w:val="00305F5F"/>
    <w:rsid w:val="0031582C"/>
    <w:rsid w:val="00315F65"/>
    <w:rsid w:val="00317CB1"/>
    <w:rsid w:val="003257B5"/>
    <w:rsid w:val="0032758E"/>
    <w:rsid w:val="00332A44"/>
    <w:rsid w:val="00334C63"/>
    <w:rsid w:val="00340FFD"/>
    <w:rsid w:val="00342107"/>
    <w:rsid w:val="003437DF"/>
    <w:rsid w:val="003446D9"/>
    <w:rsid w:val="003474A2"/>
    <w:rsid w:val="003500AA"/>
    <w:rsid w:val="00353616"/>
    <w:rsid w:val="003567C3"/>
    <w:rsid w:val="003605AB"/>
    <w:rsid w:val="00362DEB"/>
    <w:rsid w:val="00363017"/>
    <w:rsid w:val="00363947"/>
    <w:rsid w:val="0036607B"/>
    <w:rsid w:val="00367948"/>
    <w:rsid w:val="00373758"/>
    <w:rsid w:val="003749CD"/>
    <w:rsid w:val="003755CD"/>
    <w:rsid w:val="003875B4"/>
    <w:rsid w:val="0039022C"/>
    <w:rsid w:val="003911ED"/>
    <w:rsid w:val="00392FBA"/>
    <w:rsid w:val="00393097"/>
    <w:rsid w:val="003A0567"/>
    <w:rsid w:val="003A6205"/>
    <w:rsid w:val="003B108C"/>
    <w:rsid w:val="003B3ECA"/>
    <w:rsid w:val="003C0320"/>
    <w:rsid w:val="003C19F5"/>
    <w:rsid w:val="003C40F2"/>
    <w:rsid w:val="003D468D"/>
    <w:rsid w:val="003E0340"/>
    <w:rsid w:val="003E1BE8"/>
    <w:rsid w:val="003E5056"/>
    <w:rsid w:val="003E59F1"/>
    <w:rsid w:val="003E7E83"/>
    <w:rsid w:val="003F2ECB"/>
    <w:rsid w:val="003F41AD"/>
    <w:rsid w:val="003F4BFA"/>
    <w:rsid w:val="003F6B70"/>
    <w:rsid w:val="00400231"/>
    <w:rsid w:val="0040730D"/>
    <w:rsid w:val="0041042F"/>
    <w:rsid w:val="00412387"/>
    <w:rsid w:val="00413246"/>
    <w:rsid w:val="00420495"/>
    <w:rsid w:val="004255ED"/>
    <w:rsid w:val="00426CAE"/>
    <w:rsid w:val="00431684"/>
    <w:rsid w:val="00431C0E"/>
    <w:rsid w:val="00432475"/>
    <w:rsid w:val="004339CC"/>
    <w:rsid w:val="0043660A"/>
    <w:rsid w:val="00436E60"/>
    <w:rsid w:val="00436F26"/>
    <w:rsid w:val="004373D6"/>
    <w:rsid w:val="004408C0"/>
    <w:rsid w:val="004476CA"/>
    <w:rsid w:val="00454DC1"/>
    <w:rsid w:val="00460C24"/>
    <w:rsid w:val="004655B2"/>
    <w:rsid w:val="00465895"/>
    <w:rsid w:val="004672D4"/>
    <w:rsid w:val="00471FCA"/>
    <w:rsid w:val="00472289"/>
    <w:rsid w:val="00480175"/>
    <w:rsid w:val="00482052"/>
    <w:rsid w:val="004830F8"/>
    <w:rsid w:val="00484428"/>
    <w:rsid w:val="00485429"/>
    <w:rsid w:val="00485CAE"/>
    <w:rsid w:val="0048611E"/>
    <w:rsid w:val="0048670B"/>
    <w:rsid w:val="00487470"/>
    <w:rsid w:val="00487582"/>
    <w:rsid w:val="00494D7A"/>
    <w:rsid w:val="00496236"/>
    <w:rsid w:val="0049711E"/>
    <w:rsid w:val="004A0FE0"/>
    <w:rsid w:val="004A3BBB"/>
    <w:rsid w:val="004A672A"/>
    <w:rsid w:val="004A7A20"/>
    <w:rsid w:val="004B20C9"/>
    <w:rsid w:val="004C1E58"/>
    <w:rsid w:val="004C281E"/>
    <w:rsid w:val="004C4184"/>
    <w:rsid w:val="004C5A4F"/>
    <w:rsid w:val="004D14C1"/>
    <w:rsid w:val="004D295D"/>
    <w:rsid w:val="004D3006"/>
    <w:rsid w:val="004D3E17"/>
    <w:rsid w:val="004D6812"/>
    <w:rsid w:val="004E4269"/>
    <w:rsid w:val="004E6788"/>
    <w:rsid w:val="004F1508"/>
    <w:rsid w:val="004F5640"/>
    <w:rsid w:val="004F686E"/>
    <w:rsid w:val="0050108E"/>
    <w:rsid w:val="00501336"/>
    <w:rsid w:val="00503B51"/>
    <w:rsid w:val="00503B53"/>
    <w:rsid w:val="00505B15"/>
    <w:rsid w:val="0051039D"/>
    <w:rsid w:val="005107B1"/>
    <w:rsid w:val="0052195D"/>
    <w:rsid w:val="00522568"/>
    <w:rsid w:val="005232F8"/>
    <w:rsid w:val="005244D7"/>
    <w:rsid w:val="00531A89"/>
    <w:rsid w:val="00531D65"/>
    <w:rsid w:val="00532614"/>
    <w:rsid w:val="00533B66"/>
    <w:rsid w:val="00535A63"/>
    <w:rsid w:val="005403A6"/>
    <w:rsid w:val="00540F9D"/>
    <w:rsid w:val="00541016"/>
    <w:rsid w:val="00541B3B"/>
    <w:rsid w:val="0054616F"/>
    <w:rsid w:val="00552963"/>
    <w:rsid w:val="00556935"/>
    <w:rsid w:val="00557A79"/>
    <w:rsid w:val="00557AA9"/>
    <w:rsid w:val="00557CED"/>
    <w:rsid w:val="005624B8"/>
    <w:rsid w:val="00562D78"/>
    <w:rsid w:val="005651F0"/>
    <w:rsid w:val="005663D7"/>
    <w:rsid w:val="0056739A"/>
    <w:rsid w:val="0057098B"/>
    <w:rsid w:val="00571D80"/>
    <w:rsid w:val="00575172"/>
    <w:rsid w:val="00575427"/>
    <w:rsid w:val="00576D3D"/>
    <w:rsid w:val="00576FC1"/>
    <w:rsid w:val="0057798B"/>
    <w:rsid w:val="00582345"/>
    <w:rsid w:val="00590CB5"/>
    <w:rsid w:val="00593949"/>
    <w:rsid w:val="00595146"/>
    <w:rsid w:val="005953B6"/>
    <w:rsid w:val="005A18F1"/>
    <w:rsid w:val="005A2278"/>
    <w:rsid w:val="005A7C62"/>
    <w:rsid w:val="005B2058"/>
    <w:rsid w:val="005B3FBE"/>
    <w:rsid w:val="005B75A6"/>
    <w:rsid w:val="005B7FC3"/>
    <w:rsid w:val="005D14BA"/>
    <w:rsid w:val="005E20A7"/>
    <w:rsid w:val="005E2BDA"/>
    <w:rsid w:val="005E77C3"/>
    <w:rsid w:val="005E7A93"/>
    <w:rsid w:val="005F39D3"/>
    <w:rsid w:val="005F4EC4"/>
    <w:rsid w:val="00600003"/>
    <w:rsid w:val="006036AA"/>
    <w:rsid w:val="0060673D"/>
    <w:rsid w:val="00607121"/>
    <w:rsid w:val="00607849"/>
    <w:rsid w:val="006106CB"/>
    <w:rsid w:val="006204AC"/>
    <w:rsid w:val="00620C52"/>
    <w:rsid w:val="00621457"/>
    <w:rsid w:val="00622061"/>
    <w:rsid w:val="0062345D"/>
    <w:rsid w:val="006248F4"/>
    <w:rsid w:val="00626F96"/>
    <w:rsid w:val="00633138"/>
    <w:rsid w:val="00635CA3"/>
    <w:rsid w:val="006367A7"/>
    <w:rsid w:val="0063682F"/>
    <w:rsid w:val="00640959"/>
    <w:rsid w:val="00640C3C"/>
    <w:rsid w:val="00641D7F"/>
    <w:rsid w:val="00641EDD"/>
    <w:rsid w:val="00643632"/>
    <w:rsid w:val="00644085"/>
    <w:rsid w:val="0065359F"/>
    <w:rsid w:val="006625AA"/>
    <w:rsid w:val="006638BD"/>
    <w:rsid w:val="006667E5"/>
    <w:rsid w:val="00671A3B"/>
    <w:rsid w:val="006735D8"/>
    <w:rsid w:val="006765B6"/>
    <w:rsid w:val="00692424"/>
    <w:rsid w:val="00693040"/>
    <w:rsid w:val="00697D2A"/>
    <w:rsid w:val="006A14D7"/>
    <w:rsid w:val="006A2FE7"/>
    <w:rsid w:val="006A3175"/>
    <w:rsid w:val="006B3C19"/>
    <w:rsid w:val="006B6DAF"/>
    <w:rsid w:val="006B7C3C"/>
    <w:rsid w:val="006C4AB6"/>
    <w:rsid w:val="006C5886"/>
    <w:rsid w:val="006C7C6B"/>
    <w:rsid w:val="006D2F72"/>
    <w:rsid w:val="006E022B"/>
    <w:rsid w:val="006E0800"/>
    <w:rsid w:val="006E4115"/>
    <w:rsid w:val="006E4534"/>
    <w:rsid w:val="006F654C"/>
    <w:rsid w:val="006F6E0A"/>
    <w:rsid w:val="007078F2"/>
    <w:rsid w:val="007107F2"/>
    <w:rsid w:val="007123F5"/>
    <w:rsid w:val="00724446"/>
    <w:rsid w:val="00724CAD"/>
    <w:rsid w:val="00725060"/>
    <w:rsid w:val="007262AA"/>
    <w:rsid w:val="00731258"/>
    <w:rsid w:val="00731FA4"/>
    <w:rsid w:val="0073527B"/>
    <w:rsid w:val="0074008E"/>
    <w:rsid w:val="0074090C"/>
    <w:rsid w:val="00740F00"/>
    <w:rsid w:val="0076043C"/>
    <w:rsid w:val="00761F2A"/>
    <w:rsid w:val="0076391A"/>
    <w:rsid w:val="00763B7A"/>
    <w:rsid w:val="0076524B"/>
    <w:rsid w:val="007728AD"/>
    <w:rsid w:val="00777329"/>
    <w:rsid w:val="00781ADF"/>
    <w:rsid w:val="00784109"/>
    <w:rsid w:val="00784ADB"/>
    <w:rsid w:val="00784B21"/>
    <w:rsid w:val="00784B33"/>
    <w:rsid w:val="00784F69"/>
    <w:rsid w:val="00786CB0"/>
    <w:rsid w:val="0079215B"/>
    <w:rsid w:val="00795A2D"/>
    <w:rsid w:val="00795CE0"/>
    <w:rsid w:val="007A6A04"/>
    <w:rsid w:val="007A6E88"/>
    <w:rsid w:val="007B422D"/>
    <w:rsid w:val="007B5A98"/>
    <w:rsid w:val="007C1379"/>
    <w:rsid w:val="007C530F"/>
    <w:rsid w:val="007C5591"/>
    <w:rsid w:val="007D0DA7"/>
    <w:rsid w:val="007D1DE2"/>
    <w:rsid w:val="007D2A19"/>
    <w:rsid w:val="007D2CB1"/>
    <w:rsid w:val="007D4FC8"/>
    <w:rsid w:val="007D59FA"/>
    <w:rsid w:val="007D69C7"/>
    <w:rsid w:val="007E3437"/>
    <w:rsid w:val="007E4094"/>
    <w:rsid w:val="007E4186"/>
    <w:rsid w:val="007E5F05"/>
    <w:rsid w:val="007E6166"/>
    <w:rsid w:val="007E61D5"/>
    <w:rsid w:val="007E68F7"/>
    <w:rsid w:val="007F008A"/>
    <w:rsid w:val="008007D0"/>
    <w:rsid w:val="008011E4"/>
    <w:rsid w:val="00801296"/>
    <w:rsid w:val="00801D0C"/>
    <w:rsid w:val="008028AF"/>
    <w:rsid w:val="00805DD8"/>
    <w:rsid w:val="0080626A"/>
    <w:rsid w:val="0081051A"/>
    <w:rsid w:val="008128B6"/>
    <w:rsid w:val="0081543E"/>
    <w:rsid w:val="008214F6"/>
    <w:rsid w:val="00826187"/>
    <w:rsid w:val="00827B2E"/>
    <w:rsid w:val="00831C51"/>
    <w:rsid w:val="00832700"/>
    <w:rsid w:val="008330A0"/>
    <w:rsid w:val="008342E2"/>
    <w:rsid w:val="008505D8"/>
    <w:rsid w:val="00852CC4"/>
    <w:rsid w:val="00854059"/>
    <w:rsid w:val="00855ADA"/>
    <w:rsid w:val="0086244D"/>
    <w:rsid w:val="0086634F"/>
    <w:rsid w:val="00866688"/>
    <w:rsid w:val="00883256"/>
    <w:rsid w:val="008832BC"/>
    <w:rsid w:val="00893F23"/>
    <w:rsid w:val="00893FFB"/>
    <w:rsid w:val="0089469C"/>
    <w:rsid w:val="008A31F6"/>
    <w:rsid w:val="008A33ED"/>
    <w:rsid w:val="008A3A00"/>
    <w:rsid w:val="008A5A17"/>
    <w:rsid w:val="008A5D12"/>
    <w:rsid w:val="008B0BFF"/>
    <w:rsid w:val="008B407E"/>
    <w:rsid w:val="008B4D94"/>
    <w:rsid w:val="008B7A9E"/>
    <w:rsid w:val="008B7DAD"/>
    <w:rsid w:val="008C45BC"/>
    <w:rsid w:val="008C5623"/>
    <w:rsid w:val="008C6BF3"/>
    <w:rsid w:val="008C6C4D"/>
    <w:rsid w:val="008C6E66"/>
    <w:rsid w:val="008D4696"/>
    <w:rsid w:val="008D66FE"/>
    <w:rsid w:val="008D74AD"/>
    <w:rsid w:val="008E39C5"/>
    <w:rsid w:val="008E3E4E"/>
    <w:rsid w:val="008E54E3"/>
    <w:rsid w:val="008F24F5"/>
    <w:rsid w:val="008F4BD3"/>
    <w:rsid w:val="008F5BCC"/>
    <w:rsid w:val="008F6371"/>
    <w:rsid w:val="008F7391"/>
    <w:rsid w:val="0090015F"/>
    <w:rsid w:val="00900293"/>
    <w:rsid w:val="00905231"/>
    <w:rsid w:val="00905489"/>
    <w:rsid w:val="00907794"/>
    <w:rsid w:val="009132BF"/>
    <w:rsid w:val="00914B19"/>
    <w:rsid w:val="00914C0E"/>
    <w:rsid w:val="009168C6"/>
    <w:rsid w:val="00916B65"/>
    <w:rsid w:val="009240C3"/>
    <w:rsid w:val="00930322"/>
    <w:rsid w:val="009304CA"/>
    <w:rsid w:val="00930B2F"/>
    <w:rsid w:val="00932FFD"/>
    <w:rsid w:val="00935AEC"/>
    <w:rsid w:val="00937E05"/>
    <w:rsid w:val="009429F1"/>
    <w:rsid w:val="0094442A"/>
    <w:rsid w:val="00946187"/>
    <w:rsid w:val="00951A72"/>
    <w:rsid w:val="0095288F"/>
    <w:rsid w:val="00960E4E"/>
    <w:rsid w:val="00961431"/>
    <w:rsid w:val="00961F1F"/>
    <w:rsid w:val="00963AD6"/>
    <w:rsid w:val="00964030"/>
    <w:rsid w:val="009645BF"/>
    <w:rsid w:val="00965A81"/>
    <w:rsid w:val="00972ADC"/>
    <w:rsid w:val="00972C5E"/>
    <w:rsid w:val="00973107"/>
    <w:rsid w:val="00975B71"/>
    <w:rsid w:val="00984443"/>
    <w:rsid w:val="00984C4D"/>
    <w:rsid w:val="00987733"/>
    <w:rsid w:val="00987C2E"/>
    <w:rsid w:val="00990AF9"/>
    <w:rsid w:val="00991192"/>
    <w:rsid w:val="00995C99"/>
    <w:rsid w:val="00995F6A"/>
    <w:rsid w:val="009975E6"/>
    <w:rsid w:val="009A172C"/>
    <w:rsid w:val="009B36E1"/>
    <w:rsid w:val="009B52B9"/>
    <w:rsid w:val="009B55F8"/>
    <w:rsid w:val="009C50F1"/>
    <w:rsid w:val="009C5D7B"/>
    <w:rsid w:val="009C74CF"/>
    <w:rsid w:val="009C76F6"/>
    <w:rsid w:val="009D5B37"/>
    <w:rsid w:val="009D6270"/>
    <w:rsid w:val="009E5E1D"/>
    <w:rsid w:val="009E682B"/>
    <w:rsid w:val="009E751B"/>
    <w:rsid w:val="009E7746"/>
    <w:rsid w:val="009F51DD"/>
    <w:rsid w:val="009F7FF9"/>
    <w:rsid w:val="00A028B6"/>
    <w:rsid w:val="00A03D4D"/>
    <w:rsid w:val="00A10306"/>
    <w:rsid w:val="00A11235"/>
    <w:rsid w:val="00A13CDF"/>
    <w:rsid w:val="00A14D2F"/>
    <w:rsid w:val="00A150D8"/>
    <w:rsid w:val="00A1607B"/>
    <w:rsid w:val="00A216C7"/>
    <w:rsid w:val="00A22089"/>
    <w:rsid w:val="00A22AC2"/>
    <w:rsid w:val="00A26F18"/>
    <w:rsid w:val="00A3225C"/>
    <w:rsid w:val="00A4109F"/>
    <w:rsid w:val="00A463C8"/>
    <w:rsid w:val="00A50AC0"/>
    <w:rsid w:val="00A53071"/>
    <w:rsid w:val="00A5597E"/>
    <w:rsid w:val="00A56AAB"/>
    <w:rsid w:val="00A56DDD"/>
    <w:rsid w:val="00A6139A"/>
    <w:rsid w:val="00A65485"/>
    <w:rsid w:val="00A65F92"/>
    <w:rsid w:val="00A72AE2"/>
    <w:rsid w:val="00A779A2"/>
    <w:rsid w:val="00A87214"/>
    <w:rsid w:val="00A914E1"/>
    <w:rsid w:val="00A950A9"/>
    <w:rsid w:val="00AA6EC7"/>
    <w:rsid w:val="00AB0BDD"/>
    <w:rsid w:val="00AB2166"/>
    <w:rsid w:val="00AB2A13"/>
    <w:rsid w:val="00AB32A8"/>
    <w:rsid w:val="00AB4C1C"/>
    <w:rsid w:val="00AB544F"/>
    <w:rsid w:val="00AC0814"/>
    <w:rsid w:val="00AC2C94"/>
    <w:rsid w:val="00AC2D55"/>
    <w:rsid w:val="00AC3567"/>
    <w:rsid w:val="00AD12D0"/>
    <w:rsid w:val="00AD355E"/>
    <w:rsid w:val="00AD7718"/>
    <w:rsid w:val="00AE2362"/>
    <w:rsid w:val="00AE3523"/>
    <w:rsid w:val="00AE41A7"/>
    <w:rsid w:val="00AE4EC5"/>
    <w:rsid w:val="00AE6A8E"/>
    <w:rsid w:val="00AF077D"/>
    <w:rsid w:val="00AF19CE"/>
    <w:rsid w:val="00AF1D19"/>
    <w:rsid w:val="00AF56CB"/>
    <w:rsid w:val="00AF7367"/>
    <w:rsid w:val="00B062B9"/>
    <w:rsid w:val="00B06F6E"/>
    <w:rsid w:val="00B1021F"/>
    <w:rsid w:val="00B126A2"/>
    <w:rsid w:val="00B14634"/>
    <w:rsid w:val="00B164DE"/>
    <w:rsid w:val="00B16BA9"/>
    <w:rsid w:val="00B16C36"/>
    <w:rsid w:val="00B17F26"/>
    <w:rsid w:val="00B226A4"/>
    <w:rsid w:val="00B22D7C"/>
    <w:rsid w:val="00B24E90"/>
    <w:rsid w:val="00B267AF"/>
    <w:rsid w:val="00B27046"/>
    <w:rsid w:val="00B30602"/>
    <w:rsid w:val="00B3068D"/>
    <w:rsid w:val="00B30AF5"/>
    <w:rsid w:val="00B31132"/>
    <w:rsid w:val="00B4035E"/>
    <w:rsid w:val="00B42043"/>
    <w:rsid w:val="00B428E6"/>
    <w:rsid w:val="00B42C72"/>
    <w:rsid w:val="00B42EF2"/>
    <w:rsid w:val="00B43284"/>
    <w:rsid w:val="00B43683"/>
    <w:rsid w:val="00B45826"/>
    <w:rsid w:val="00B47D2D"/>
    <w:rsid w:val="00B53CF6"/>
    <w:rsid w:val="00B54B5E"/>
    <w:rsid w:val="00B54FF5"/>
    <w:rsid w:val="00B55E62"/>
    <w:rsid w:val="00B56214"/>
    <w:rsid w:val="00B631D0"/>
    <w:rsid w:val="00B634D8"/>
    <w:rsid w:val="00B658B1"/>
    <w:rsid w:val="00B65AFA"/>
    <w:rsid w:val="00B6679B"/>
    <w:rsid w:val="00B6748A"/>
    <w:rsid w:val="00B67BA4"/>
    <w:rsid w:val="00B71DC7"/>
    <w:rsid w:val="00B728E9"/>
    <w:rsid w:val="00B72E5C"/>
    <w:rsid w:val="00B73215"/>
    <w:rsid w:val="00B73597"/>
    <w:rsid w:val="00B73EF0"/>
    <w:rsid w:val="00B75660"/>
    <w:rsid w:val="00B76EA3"/>
    <w:rsid w:val="00B77B40"/>
    <w:rsid w:val="00B845A7"/>
    <w:rsid w:val="00B8519D"/>
    <w:rsid w:val="00B869BC"/>
    <w:rsid w:val="00B86D1B"/>
    <w:rsid w:val="00B90A9A"/>
    <w:rsid w:val="00B93AC8"/>
    <w:rsid w:val="00B94299"/>
    <w:rsid w:val="00BA2786"/>
    <w:rsid w:val="00BA3BAE"/>
    <w:rsid w:val="00BA3BBC"/>
    <w:rsid w:val="00BA54F9"/>
    <w:rsid w:val="00BB233A"/>
    <w:rsid w:val="00BB2389"/>
    <w:rsid w:val="00BB2DE1"/>
    <w:rsid w:val="00BB5B4D"/>
    <w:rsid w:val="00BB72FD"/>
    <w:rsid w:val="00BB77C9"/>
    <w:rsid w:val="00BD04A2"/>
    <w:rsid w:val="00BD200C"/>
    <w:rsid w:val="00BD68D3"/>
    <w:rsid w:val="00BE385F"/>
    <w:rsid w:val="00BE3901"/>
    <w:rsid w:val="00BE6603"/>
    <w:rsid w:val="00BF1FFB"/>
    <w:rsid w:val="00BF529B"/>
    <w:rsid w:val="00BF5E12"/>
    <w:rsid w:val="00C02516"/>
    <w:rsid w:val="00C03298"/>
    <w:rsid w:val="00C10A8F"/>
    <w:rsid w:val="00C16352"/>
    <w:rsid w:val="00C21381"/>
    <w:rsid w:val="00C238D0"/>
    <w:rsid w:val="00C2393A"/>
    <w:rsid w:val="00C2439A"/>
    <w:rsid w:val="00C25F16"/>
    <w:rsid w:val="00C26BE2"/>
    <w:rsid w:val="00C33608"/>
    <w:rsid w:val="00C34035"/>
    <w:rsid w:val="00C34730"/>
    <w:rsid w:val="00C354B1"/>
    <w:rsid w:val="00C427F5"/>
    <w:rsid w:val="00C453B1"/>
    <w:rsid w:val="00C4655F"/>
    <w:rsid w:val="00C473DE"/>
    <w:rsid w:val="00C57709"/>
    <w:rsid w:val="00C60E56"/>
    <w:rsid w:val="00C656DE"/>
    <w:rsid w:val="00C67530"/>
    <w:rsid w:val="00C675BF"/>
    <w:rsid w:val="00C675F9"/>
    <w:rsid w:val="00C7200B"/>
    <w:rsid w:val="00C72DF6"/>
    <w:rsid w:val="00C72E01"/>
    <w:rsid w:val="00C77FD4"/>
    <w:rsid w:val="00C80494"/>
    <w:rsid w:val="00C81D82"/>
    <w:rsid w:val="00C8447F"/>
    <w:rsid w:val="00C84827"/>
    <w:rsid w:val="00C849DE"/>
    <w:rsid w:val="00C85347"/>
    <w:rsid w:val="00C918EB"/>
    <w:rsid w:val="00C9431B"/>
    <w:rsid w:val="00C95A5D"/>
    <w:rsid w:val="00C96EBA"/>
    <w:rsid w:val="00C971C8"/>
    <w:rsid w:val="00CA0DDB"/>
    <w:rsid w:val="00CA165D"/>
    <w:rsid w:val="00CA1AC3"/>
    <w:rsid w:val="00CA3242"/>
    <w:rsid w:val="00CB1368"/>
    <w:rsid w:val="00CB16B1"/>
    <w:rsid w:val="00CB38CE"/>
    <w:rsid w:val="00CB51C9"/>
    <w:rsid w:val="00CB5733"/>
    <w:rsid w:val="00CC673D"/>
    <w:rsid w:val="00CD26B5"/>
    <w:rsid w:val="00CE1306"/>
    <w:rsid w:val="00CE4A45"/>
    <w:rsid w:val="00CE4B5B"/>
    <w:rsid w:val="00D00B73"/>
    <w:rsid w:val="00D03DFA"/>
    <w:rsid w:val="00D042DD"/>
    <w:rsid w:val="00D05365"/>
    <w:rsid w:val="00D14021"/>
    <w:rsid w:val="00D23353"/>
    <w:rsid w:val="00D260E0"/>
    <w:rsid w:val="00D2634C"/>
    <w:rsid w:val="00D41402"/>
    <w:rsid w:val="00D442EA"/>
    <w:rsid w:val="00D45A52"/>
    <w:rsid w:val="00D54535"/>
    <w:rsid w:val="00D56AD1"/>
    <w:rsid w:val="00D650A7"/>
    <w:rsid w:val="00D65E83"/>
    <w:rsid w:val="00D70A89"/>
    <w:rsid w:val="00D7463B"/>
    <w:rsid w:val="00D747CA"/>
    <w:rsid w:val="00D82B87"/>
    <w:rsid w:val="00D84191"/>
    <w:rsid w:val="00D8561B"/>
    <w:rsid w:val="00D900D8"/>
    <w:rsid w:val="00D94D27"/>
    <w:rsid w:val="00D962E0"/>
    <w:rsid w:val="00DA1582"/>
    <w:rsid w:val="00DA48E5"/>
    <w:rsid w:val="00DA56EA"/>
    <w:rsid w:val="00DB551F"/>
    <w:rsid w:val="00DB58DB"/>
    <w:rsid w:val="00DC600D"/>
    <w:rsid w:val="00DC65E6"/>
    <w:rsid w:val="00DC6FC5"/>
    <w:rsid w:val="00DC7F2F"/>
    <w:rsid w:val="00DE3C82"/>
    <w:rsid w:val="00DE5A29"/>
    <w:rsid w:val="00DE5D6F"/>
    <w:rsid w:val="00DE7381"/>
    <w:rsid w:val="00DF199D"/>
    <w:rsid w:val="00DF29AB"/>
    <w:rsid w:val="00DF2A0C"/>
    <w:rsid w:val="00DF3BC2"/>
    <w:rsid w:val="00E0479B"/>
    <w:rsid w:val="00E0541D"/>
    <w:rsid w:val="00E141D7"/>
    <w:rsid w:val="00E14795"/>
    <w:rsid w:val="00E15394"/>
    <w:rsid w:val="00E23DCA"/>
    <w:rsid w:val="00E3150C"/>
    <w:rsid w:val="00E31BC3"/>
    <w:rsid w:val="00E3637C"/>
    <w:rsid w:val="00E365CB"/>
    <w:rsid w:val="00E36CFC"/>
    <w:rsid w:val="00E3728D"/>
    <w:rsid w:val="00E43A42"/>
    <w:rsid w:val="00E45DB0"/>
    <w:rsid w:val="00E50ECD"/>
    <w:rsid w:val="00E62D98"/>
    <w:rsid w:val="00E65B3A"/>
    <w:rsid w:val="00E674D4"/>
    <w:rsid w:val="00E67E23"/>
    <w:rsid w:val="00E7039F"/>
    <w:rsid w:val="00E76046"/>
    <w:rsid w:val="00E7656C"/>
    <w:rsid w:val="00E81048"/>
    <w:rsid w:val="00E81E57"/>
    <w:rsid w:val="00E83B76"/>
    <w:rsid w:val="00E85DC0"/>
    <w:rsid w:val="00E86ECF"/>
    <w:rsid w:val="00E91521"/>
    <w:rsid w:val="00E95F1C"/>
    <w:rsid w:val="00EA0970"/>
    <w:rsid w:val="00EA0E9A"/>
    <w:rsid w:val="00EA1558"/>
    <w:rsid w:val="00EA2141"/>
    <w:rsid w:val="00EA286C"/>
    <w:rsid w:val="00EA3990"/>
    <w:rsid w:val="00EA477E"/>
    <w:rsid w:val="00EA525B"/>
    <w:rsid w:val="00EA76A9"/>
    <w:rsid w:val="00EB187A"/>
    <w:rsid w:val="00EB3B78"/>
    <w:rsid w:val="00EB42F5"/>
    <w:rsid w:val="00EB4882"/>
    <w:rsid w:val="00EB535B"/>
    <w:rsid w:val="00EC260A"/>
    <w:rsid w:val="00EC3733"/>
    <w:rsid w:val="00EC43BC"/>
    <w:rsid w:val="00EC4F97"/>
    <w:rsid w:val="00EC612C"/>
    <w:rsid w:val="00ED448B"/>
    <w:rsid w:val="00ED5933"/>
    <w:rsid w:val="00ED6D08"/>
    <w:rsid w:val="00ED7B53"/>
    <w:rsid w:val="00EE1C7B"/>
    <w:rsid w:val="00EE3FB4"/>
    <w:rsid w:val="00EE48F6"/>
    <w:rsid w:val="00EE585F"/>
    <w:rsid w:val="00EE69EF"/>
    <w:rsid w:val="00EE70C3"/>
    <w:rsid w:val="00EF287D"/>
    <w:rsid w:val="00EF3986"/>
    <w:rsid w:val="00EF45A5"/>
    <w:rsid w:val="00F01188"/>
    <w:rsid w:val="00F016D2"/>
    <w:rsid w:val="00F0182F"/>
    <w:rsid w:val="00F04C36"/>
    <w:rsid w:val="00F07D58"/>
    <w:rsid w:val="00F12103"/>
    <w:rsid w:val="00F15302"/>
    <w:rsid w:val="00F15456"/>
    <w:rsid w:val="00F200B5"/>
    <w:rsid w:val="00F24586"/>
    <w:rsid w:val="00F25B94"/>
    <w:rsid w:val="00F25C88"/>
    <w:rsid w:val="00F26EE4"/>
    <w:rsid w:val="00F3266D"/>
    <w:rsid w:val="00F40EA3"/>
    <w:rsid w:val="00F4126A"/>
    <w:rsid w:val="00F42337"/>
    <w:rsid w:val="00F506F7"/>
    <w:rsid w:val="00F50B6C"/>
    <w:rsid w:val="00F51B68"/>
    <w:rsid w:val="00F53935"/>
    <w:rsid w:val="00F564A6"/>
    <w:rsid w:val="00F57CBC"/>
    <w:rsid w:val="00F635D6"/>
    <w:rsid w:val="00F677DE"/>
    <w:rsid w:val="00F72F9C"/>
    <w:rsid w:val="00F760DD"/>
    <w:rsid w:val="00F76837"/>
    <w:rsid w:val="00F80EB2"/>
    <w:rsid w:val="00F81256"/>
    <w:rsid w:val="00F82FF4"/>
    <w:rsid w:val="00F8313D"/>
    <w:rsid w:val="00F8474D"/>
    <w:rsid w:val="00F84F18"/>
    <w:rsid w:val="00F86358"/>
    <w:rsid w:val="00F863B5"/>
    <w:rsid w:val="00F87B0A"/>
    <w:rsid w:val="00F91E52"/>
    <w:rsid w:val="00F9663D"/>
    <w:rsid w:val="00FA2FF2"/>
    <w:rsid w:val="00FA3AE1"/>
    <w:rsid w:val="00FA3E0B"/>
    <w:rsid w:val="00FA4918"/>
    <w:rsid w:val="00FA54D8"/>
    <w:rsid w:val="00FA55C7"/>
    <w:rsid w:val="00FA68F9"/>
    <w:rsid w:val="00FB04C3"/>
    <w:rsid w:val="00FB16E0"/>
    <w:rsid w:val="00FB5029"/>
    <w:rsid w:val="00FB6E4D"/>
    <w:rsid w:val="00FC02BA"/>
    <w:rsid w:val="00FC29BC"/>
    <w:rsid w:val="00FC3100"/>
    <w:rsid w:val="00FD4CFF"/>
    <w:rsid w:val="00FD5AD6"/>
    <w:rsid w:val="00FD5C07"/>
    <w:rsid w:val="00FD7C7B"/>
    <w:rsid w:val="00FE2BF3"/>
    <w:rsid w:val="00FE3B00"/>
    <w:rsid w:val="00FE6721"/>
    <w:rsid w:val="00FE7AD9"/>
    <w:rsid w:val="00FF26B3"/>
    <w:rsid w:val="00FF3993"/>
    <w:rsid w:val="00FF3BDF"/>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uiPriority w:val="99"/>
    <w:rsid w:val="00F84F18"/>
    <w:rPr>
      <w:sz w:val="20"/>
      <w:szCs w:val="20"/>
    </w:rPr>
  </w:style>
  <w:style w:type="character" w:customStyle="1" w:styleId="CommentTextChar">
    <w:name w:val="Comment Text Char"/>
    <w:basedOn w:val="DefaultParagraphFont"/>
    <w:link w:val="CommentText"/>
    <w:uiPriority w:val="99"/>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 w:type="table" w:styleId="TableGrid">
    <w:name w:val="Table Grid"/>
    <w:basedOn w:val="TableNormal"/>
    <w:uiPriority w:val="59"/>
    <w:rsid w:val="006E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07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uiPriority w:val="99"/>
    <w:rsid w:val="00F84F18"/>
    <w:rPr>
      <w:sz w:val="20"/>
      <w:szCs w:val="20"/>
    </w:rPr>
  </w:style>
  <w:style w:type="character" w:customStyle="1" w:styleId="CommentTextChar">
    <w:name w:val="Comment Text Char"/>
    <w:basedOn w:val="DefaultParagraphFont"/>
    <w:link w:val="CommentText"/>
    <w:uiPriority w:val="99"/>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 w:type="table" w:styleId="TableGrid">
    <w:name w:val="Table Grid"/>
    <w:basedOn w:val="TableNormal"/>
    <w:uiPriority w:val="59"/>
    <w:rsid w:val="006E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0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5677">
      <w:bodyDiv w:val="1"/>
      <w:marLeft w:val="0"/>
      <w:marRight w:val="0"/>
      <w:marTop w:val="0"/>
      <w:marBottom w:val="0"/>
      <w:divBdr>
        <w:top w:val="none" w:sz="0" w:space="0" w:color="auto"/>
        <w:left w:val="none" w:sz="0" w:space="0" w:color="auto"/>
        <w:bottom w:val="none" w:sz="0" w:space="0" w:color="auto"/>
        <w:right w:val="none" w:sz="0" w:space="0" w:color="auto"/>
      </w:divBdr>
    </w:div>
    <w:div w:id="559753649">
      <w:bodyDiv w:val="1"/>
      <w:marLeft w:val="0"/>
      <w:marRight w:val="0"/>
      <w:marTop w:val="0"/>
      <w:marBottom w:val="0"/>
      <w:divBdr>
        <w:top w:val="none" w:sz="0" w:space="0" w:color="auto"/>
        <w:left w:val="none" w:sz="0" w:space="0" w:color="auto"/>
        <w:bottom w:val="none" w:sz="0" w:space="0" w:color="auto"/>
        <w:right w:val="none" w:sz="0" w:space="0" w:color="auto"/>
      </w:divBdr>
    </w:div>
    <w:div w:id="626005105">
      <w:bodyDiv w:val="1"/>
      <w:marLeft w:val="0"/>
      <w:marRight w:val="0"/>
      <w:marTop w:val="0"/>
      <w:marBottom w:val="0"/>
      <w:divBdr>
        <w:top w:val="none" w:sz="0" w:space="0" w:color="auto"/>
        <w:left w:val="none" w:sz="0" w:space="0" w:color="auto"/>
        <w:bottom w:val="none" w:sz="0" w:space="0" w:color="auto"/>
        <w:right w:val="none" w:sz="0" w:space="0" w:color="auto"/>
      </w:divBdr>
      <w:divsChild>
        <w:div w:id="356933303">
          <w:marLeft w:val="0"/>
          <w:marRight w:val="0"/>
          <w:marTop w:val="0"/>
          <w:marBottom w:val="0"/>
          <w:divBdr>
            <w:top w:val="none" w:sz="0" w:space="0" w:color="auto"/>
            <w:left w:val="none" w:sz="0" w:space="0" w:color="auto"/>
            <w:bottom w:val="none" w:sz="0" w:space="0" w:color="auto"/>
            <w:right w:val="none" w:sz="0" w:space="0" w:color="auto"/>
          </w:divBdr>
          <w:divsChild>
            <w:div w:id="901988897">
              <w:marLeft w:val="0"/>
              <w:marRight w:val="0"/>
              <w:marTop w:val="0"/>
              <w:marBottom w:val="0"/>
              <w:divBdr>
                <w:top w:val="none" w:sz="0" w:space="0" w:color="auto"/>
                <w:left w:val="none" w:sz="0" w:space="0" w:color="auto"/>
                <w:bottom w:val="none" w:sz="0" w:space="0" w:color="auto"/>
                <w:right w:val="none" w:sz="0" w:space="0" w:color="auto"/>
              </w:divBdr>
              <w:divsChild>
                <w:div w:id="8451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0266">
      <w:bodyDiv w:val="1"/>
      <w:marLeft w:val="0"/>
      <w:marRight w:val="0"/>
      <w:marTop w:val="0"/>
      <w:marBottom w:val="0"/>
      <w:divBdr>
        <w:top w:val="none" w:sz="0" w:space="0" w:color="auto"/>
        <w:left w:val="none" w:sz="0" w:space="0" w:color="auto"/>
        <w:bottom w:val="none" w:sz="0" w:space="0" w:color="auto"/>
        <w:right w:val="none" w:sz="0" w:space="0" w:color="auto"/>
      </w:divBdr>
    </w:div>
    <w:div w:id="1006445805">
      <w:bodyDiv w:val="1"/>
      <w:marLeft w:val="0"/>
      <w:marRight w:val="0"/>
      <w:marTop w:val="0"/>
      <w:marBottom w:val="0"/>
      <w:divBdr>
        <w:top w:val="none" w:sz="0" w:space="0" w:color="auto"/>
        <w:left w:val="none" w:sz="0" w:space="0" w:color="auto"/>
        <w:bottom w:val="none" w:sz="0" w:space="0" w:color="auto"/>
        <w:right w:val="none" w:sz="0" w:space="0" w:color="auto"/>
      </w:divBdr>
    </w:div>
    <w:div w:id="1033387833">
      <w:bodyDiv w:val="1"/>
      <w:marLeft w:val="0"/>
      <w:marRight w:val="0"/>
      <w:marTop w:val="0"/>
      <w:marBottom w:val="0"/>
      <w:divBdr>
        <w:top w:val="none" w:sz="0" w:space="0" w:color="auto"/>
        <w:left w:val="none" w:sz="0" w:space="0" w:color="auto"/>
        <w:bottom w:val="none" w:sz="0" w:space="0" w:color="auto"/>
        <w:right w:val="none" w:sz="0" w:space="0" w:color="auto"/>
      </w:divBdr>
    </w:div>
    <w:div w:id="1195508317">
      <w:bodyDiv w:val="1"/>
      <w:marLeft w:val="0"/>
      <w:marRight w:val="0"/>
      <w:marTop w:val="0"/>
      <w:marBottom w:val="0"/>
      <w:divBdr>
        <w:top w:val="none" w:sz="0" w:space="0" w:color="auto"/>
        <w:left w:val="none" w:sz="0" w:space="0" w:color="auto"/>
        <w:bottom w:val="none" w:sz="0" w:space="0" w:color="auto"/>
        <w:right w:val="none" w:sz="0" w:space="0" w:color="auto"/>
      </w:divBdr>
    </w:div>
    <w:div w:id="1287855822">
      <w:bodyDiv w:val="1"/>
      <w:marLeft w:val="0"/>
      <w:marRight w:val="0"/>
      <w:marTop w:val="0"/>
      <w:marBottom w:val="0"/>
      <w:divBdr>
        <w:top w:val="none" w:sz="0" w:space="0" w:color="auto"/>
        <w:left w:val="none" w:sz="0" w:space="0" w:color="auto"/>
        <w:bottom w:val="none" w:sz="0" w:space="0" w:color="auto"/>
        <w:right w:val="none" w:sz="0" w:space="0" w:color="auto"/>
      </w:divBdr>
    </w:div>
    <w:div w:id="1397168827">
      <w:bodyDiv w:val="1"/>
      <w:marLeft w:val="0"/>
      <w:marRight w:val="0"/>
      <w:marTop w:val="0"/>
      <w:marBottom w:val="0"/>
      <w:divBdr>
        <w:top w:val="none" w:sz="0" w:space="0" w:color="auto"/>
        <w:left w:val="none" w:sz="0" w:space="0" w:color="auto"/>
        <w:bottom w:val="none" w:sz="0" w:space="0" w:color="auto"/>
        <w:right w:val="none" w:sz="0" w:space="0" w:color="auto"/>
      </w:divBdr>
    </w:div>
    <w:div w:id="1576937196">
      <w:bodyDiv w:val="1"/>
      <w:marLeft w:val="0"/>
      <w:marRight w:val="0"/>
      <w:marTop w:val="0"/>
      <w:marBottom w:val="0"/>
      <w:divBdr>
        <w:top w:val="none" w:sz="0" w:space="0" w:color="auto"/>
        <w:left w:val="none" w:sz="0" w:space="0" w:color="auto"/>
        <w:bottom w:val="none" w:sz="0" w:space="0" w:color="auto"/>
        <w:right w:val="none" w:sz="0" w:space="0" w:color="auto"/>
      </w:divBdr>
    </w:div>
    <w:div w:id="1738934417">
      <w:bodyDiv w:val="1"/>
      <w:marLeft w:val="0"/>
      <w:marRight w:val="0"/>
      <w:marTop w:val="0"/>
      <w:marBottom w:val="0"/>
      <w:divBdr>
        <w:top w:val="none" w:sz="0" w:space="0" w:color="auto"/>
        <w:left w:val="none" w:sz="0" w:space="0" w:color="auto"/>
        <w:bottom w:val="none" w:sz="0" w:space="0" w:color="auto"/>
        <w:right w:val="none" w:sz="0" w:space="0" w:color="auto"/>
      </w:divBdr>
    </w:div>
    <w:div w:id="1845245086">
      <w:bodyDiv w:val="1"/>
      <w:marLeft w:val="0"/>
      <w:marRight w:val="0"/>
      <w:marTop w:val="0"/>
      <w:marBottom w:val="0"/>
      <w:divBdr>
        <w:top w:val="none" w:sz="0" w:space="0" w:color="auto"/>
        <w:left w:val="none" w:sz="0" w:space="0" w:color="auto"/>
        <w:bottom w:val="none" w:sz="0" w:space="0" w:color="auto"/>
        <w:right w:val="none" w:sz="0" w:space="0" w:color="auto"/>
      </w:divBdr>
    </w:div>
    <w:div w:id="1911499728">
      <w:bodyDiv w:val="1"/>
      <w:marLeft w:val="0"/>
      <w:marRight w:val="0"/>
      <w:marTop w:val="0"/>
      <w:marBottom w:val="0"/>
      <w:divBdr>
        <w:top w:val="none" w:sz="0" w:space="0" w:color="auto"/>
        <w:left w:val="none" w:sz="0" w:space="0" w:color="auto"/>
        <w:bottom w:val="none" w:sz="0" w:space="0" w:color="auto"/>
        <w:right w:val="none" w:sz="0" w:space="0" w:color="auto"/>
      </w:divBdr>
    </w:div>
    <w:div w:id="1938364694">
      <w:bodyDiv w:val="1"/>
      <w:marLeft w:val="0"/>
      <w:marRight w:val="0"/>
      <w:marTop w:val="0"/>
      <w:marBottom w:val="0"/>
      <w:divBdr>
        <w:top w:val="none" w:sz="0" w:space="0" w:color="auto"/>
        <w:left w:val="none" w:sz="0" w:space="0" w:color="auto"/>
        <w:bottom w:val="none" w:sz="0" w:space="0" w:color="auto"/>
        <w:right w:val="none" w:sz="0" w:space="0" w:color="auto"/>
      </w:divBdr>
    </w:div>
    <w:div w:id="2075468833">
      <w:bodyDiv w:val="1"/>
      <w:marLeft w:val="0"/>
      <w:marRight w:val="0"/>
      <w:marTop w:val="0"/>
      <w:marBottom w:val="0"/>
      <w:divBdr>
        <w:top w:val="none" w:sz="0" w:space="0" w:color="auto"/>
        <w:left w:val="none" w:sz="0" w:space="0" w:color="auto"/>
        <w:bottom w:val="none" w:sz="0" w:space="0" w:color="auto"/>
        <w:right w:val="none" w:sz="0" w:space="0" w:color="auto"/>
      </w:divBdr>
      <w:divsChild>
        <w:div w:id="438256651">
          <w:marLeft w:val="0"/>
          <w:marRight w:val="0"/>
          <w:marTop w:val="0"/>
          <w:marBottom w:val="0"/>
          <w:divBdr>
            <w:top w:val="none" w:sz="0" w:space="0" w:color="auto"/>
            <w:left w:val="none" w:sz="0" w:space="0" w:color="auto"/>
            <w:bottom w:val="none" w:sz="0" w:space="0" w:color="auto"/>
            <w:right w:val="none" w:sz="0" w:space="0" w:color="auto"/>
          </w:divBdr>
          <w:divsChild>
            <w:div w:id="1417903720">
              <w:marLeft w:val="0"/>
              <w:marRight w:val="0"/>
              <w:marTop w:val="0"/>
              <w:marBottom w:val="0"/>
              <w:divBdr>
                <w:top w:val="none" w:sz="0" w:space="0" w:color="auto"/>
                <w:left w:val="single" w:sz="4" w:space="0" w:color="E2E2E2"/>
                <w:bottom w:val="none" w:sz="0" w:space="0" w:color="auto"/>
                <w:right w:val="single" w:sz="4" w:space="0" w:color="E2E2E2"/>
              </w:divBdr>
              <w:divsChild>
                <w:div w:id="415712169">
                  <w:marLeft w:val="0"/>
                  <w:marRight w:val="0"/>
                  <w:marTop w:val="0"/>
                  <w:marBottom w:val="0"/>
                  <w:divBdr>
                    <w:top w:val="none" w:sz="0" w:space="0" w:color="auto"/>
                    <w:left w:val="none" w:sz="0" w:space="0" w:color="auto"/>
                    <w:bottom w:val="none" w:sz="0" w:space="0" w:color="auto"/>
                    <w:right w:val="none" w:sz="0" w:space="0" w:color="auto"/>
                  </w:divBdr>
                  <w:divsChild>
                    <w:div w:id="2113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bdm/nonprofits/nonprofits.htm" TargetMode="External"/><Relationship Id="rId5" Type="http://schemas.openxmlformats.org/officeDocument/2006/relationships/settings" Target="settings.xml"/><Relationship Id="rId10" Type="http://schemas.openxmlformats.org/officeDocument/2006/relationships/hyperlink" Target="https://faq.ssa.gov/ics/support/KBResult.asp?searchFor=average-monthly-social-security-benefit-for-a-retired-worker&amp;button=Search&amp;task=knowledge&amp;basicSearch=1&amp;page=1" TargetMode="External"/><Relationship Id="rId4" Type="http://schemas.microsoft.com/office/2007/relationships/stylesWithEffects" Target="stylesWithEffects.xml"/><Relationship Id="rId9" Type="http://schemas.openxmlformats.org/officeDocument/2006/relationships/hyperlink" Target="http://www.bls.gov/web/empsit/compaehes.txt" TargetMode="External"/><Relationship Id="rId14"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EA59-ABB0-42C6-88AF-9A207E81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7722</Words>
  <Characters>44018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Aguirre Division, JBS International Inc</Company>
  <LinksUpToDate>false</LinksUpToDate>
  <CharactersWithSpaces>51637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ageorges</dc:creator>
  <cp:lastModifiedBy>Nerino, Anthony</cp:lastModifiedBy>
  <cp:revision>4</cp:revision>
  <cp:lastPrinted>2015-02-27T20:11:00Z</cp:lastPrinted>
  <dcterms:created xsi:type="dcterms:W3CDTF">2015-03-25T14:58:00Z</dcterms:created>
  <dcterms:modified xsi:type="dcterms:W3CDTF">2015-03-25T14:59:00Z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