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86" w:rsidRDefault="00B85986" w:rsidP="00B85986">
      <w:pPr>
        <w:jc w:val="center"/>
        <w:rPr>
          <w:b/>
        </w:rPr>
      </w:pPr>
      <w:permStart w:id="1532367354" w:edGrp="everyone"/>
      <w:permEnd w:id="1532367354"/>
      <w:r>
        <w:rPr>
          <w:b/>
        </w:rPr>
        <w:t>Supporting Statement</w:t>
      </w:r>
    </w:p>
    <w:p w:rsidR="00B85986" w:rsidRPr="008F6371" w:rsidRDefault="00B85986" w:rsidP="00B85986">
      <w:pPr>
        <w:jc w:val="center"/>
        <w:rPr>
          <w:b/>
        </w:rPr>
      </w:pPr>
      <w:r w:rsidRPr="008F6371">
        <w:rPr>
          <w:b/>
        </w:rPr>
        <w:t xml:space="preserve">Senior Corps </w:t>
      </w:r>
      <w:r>
        <w:rPr>
          <w:b/>
        </w:rPr>
        <w:t xml:space="preserve">Longitudinal </w:t>
      </w:r>
      <w:r w:rsidRPr="008F6371">
        <w:rPr>
          <w:b/>
        </w:rPr>
        <w:t xml:space="preserve">Evaluation </w:t>
      </w:r>
    </w:p>
    <w:p w:rsidR="00B85986" w:rsidRDefault="00B85986" w:rsidP="00B85986">
      <w:pPr>
        <w:spacing w:after="200"/>
      </w:pPr>
      <w:bookmarkStart w:id="0" w:name="_GoBack"/>
      <w:bookmarkEnd w:id="0"/>
    </w:p>
    <w:p w:rsidR="00B85986" w:rsidRDefault="00B85986" w:rsidP="00B85986">
      <w:pPr>
        <w:spacing w:after="200"/>
      </w:pPr>
      <w:r>
        <w:t>Part B: Collections of Information Employing Statistical Methods</w:t>
      </w:r>
    </w:p>
    <w:p w:rsidR="00B85986" w:rsidRPr="00ED7B53" w:rsidRDefault="00B85986" w:rsidP="00B85986">
      <w:pPr>
        <w:pStyle w:val="ListParagraph"/>
        <w:numPr>
          <w:ilvl w:val="0"/>
          <w:numId w:val="2"/>
        </w:numPr>
        <w:tabs>
          <w:tab w:val="left" w:pos="360"/>
        </w:tabs>
        <w:ind w:left="0" w:firstLine="0"/>
        <w:rPr>
          <w:rFonts w:eastAsiaTheme="minorHAnsi"/>
          <w:b/>
        </w:rPr>
      </w:pPr>
      <w:r w:rsidRPr="00ED7B53">
        <w:rPr>
          <w:rFonts w:eastAsiaTheme="minorHAnsi"/>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B85986" w:rsidRDefault="00B85986" w:rsidP="00B85986">
      <w:pPr>
        <w:spacing w:before="200"/>
      </w:pPr>
      <w:r w:rsidRPr="00084F9E">
        <w:t xml:space="preserve">The respondent universe </w:t>
      </w:r>
      <w:r>
        <w:t>consists of</w:t>
      </w:r>
      <w:r w:rsidRPr="00084F9E">
        <w:t xml:space="preserve"> </w:t>
      </w:r>
      <w:r>
        <w:t>178</w:t>
      </w:r>
      <w:r w:rsidRPr="00084F9E">
        <w:t xml:space="preserve"> SCP grantees </w:t>
      </w:r>
      <w:r>
        <w:t xml:space="preserve">and 313 FGP grantees </w:t>
      </w:r>
      <w:r w:rsidRPr="00084F9E">
        <w:t>who are receiving funds from CNCS during fiscal year</w:t>
      </w:r>
      <w:r>
        <w:t xml:space="preserve"> 2015</w:t>
      </w:r>
      <w:r w:rsidRPr="00084F9E">
        <w:t xml:space="preserve">. </w:t>
      </w:r>
      <w:r>
        <w:t xml:space="preserve">All FGP and SCP grantees will enroll volunteers and caregivers in the study. CNCS proposes to enroll all new caregivers and all new volunteers that enter the program during a six month enrollment window from May through October 2015. SCP grantees are projected to enroll 926 new caregivers receiving respite care; and FGP and SCP grantees are expected to enroll 1,224 new volunteers at baseline. </w:t>
      </w:r>
    </w:p>
    <w:p w:rsidR="00B85986" w:rsidRDefault="00B85986" w:rsidP="00B85986">
      <w:pPr>
        <w:pStyle w:val="ListParagraph"/>
        <w:numPr>
          <w:ilvl w:val="0"/>
          <w:numId w:val="1"/>
        </w:numPr>
        <w:spacing w:before="200" w:after="200"/>
      </w:pPr>
      <w:r>
        <w:t>Sample Size for the Caregiver Study</w:t>
      </w:r>
    </w:p>
    <w:p w:rsidR="00B85986" w:rsidRPr="00F0494A" w:rsidRDefault="00B85986" w:rsidP="00B85986">
      <w:pPr>
        <w:spacing w:before="200" w:after="200"/>
      </w:pPr>
      <w:r w:rsidRPr="00F0494A">
        <w:t xml:space="preserve">The focus of </w:t>
      </w:r>
      <w:r>
        <w:t>the Caregiver</w:t>
      </w:r>
      <w:r w:rsidRPr="00F0494A">
        <w:t xml:space="preserve"> </w:t>
      </w:r>
      <w:r>
        <w:t>S</w:t>
      </w:r>
      <w:r w:rsidRPr="00F0494A">
        <w:t>tudy is the caregivers who are nested within grantees</w:t>
      </w:r>
      <w:r>
        <w:t>/projects</w:t>
      </w:r>
      <w:r w:rsidRPr="00F0494A">
        <w:t xml:space="preserve"> and</w:t>
      </w:r>
      <w:r>
        <w:t>/or</w:t>
      </w:r>
      <w:r w:rsidRPr="00F0494A">
        <w:t xml:space="preserve"> stations. The unit of analysis is the caregiver. </w:t>
      </w:r>
      <w:r>
        <w:t xml:space="preserve">SCP grantees will </w:t>
      </w:r>
      <w:r w:rsidRPr="00F0494A">
        <w:t>enroll caregivers</w:t>
      </w:r>
      <w:r>
        <w:t xml:space="preserve"> receiving respite services</w:t>
      </w:r>
      <w:r w:rsidRPr="00F0494A">
        <w:t xml:space="preserve">. The study design will involve two stages: a plan for selecting </w:t>
      </w:r>
      <w:r>
        <w:t xml:space="preserve">SCP </w:t>
      </w:r>
      <w:r w:rsidRPr="00F0494A">
        <w:t xml:space="preserve">grantees and a plan to enroll </w:t>
      </w:r>
      <w:r>
        <w:t>new caregivers receiving respite services.</w:t>
      </w:r>
    </w:p>
    <w:p w:rsidR="00B85986" w:rsidRPr="00F0494A" w:rsidRDefault="00B85986" w:rsidP="00B85986">
      <w:pPr>
        <w:spacing w:after="200"/>
      </w:pPr>
      <w:r w:rsidRPr="00ED7B53">
        <w:rPr>
          <w:b/>
        </w:rPr>
        <w:t>Selecting SCP grantees</w:t>
      </w:r>
      <w:r>
        <w:t>:</w:t>
      </w:r>
      <w:r w:rsidRPr="00F0494A">
        <w:t xml:space="preserve"> The universe of grantees consists of </w:t>
      </w:r>
      <w:r>
        <w:t xml:space="preserve">142 </w:t>
      </w:r>
      <w:r w:rsidRPr="00F0494A">
        <w:t>SCP grantees</w:t>
      </w:r>
      <w:r>
        <w:t xml:space="preserve">/projects </w:t>
      </w:r>
      <w:r w:rsidRPr="00F0494A">
        <w:t xml:space="preserve">that provide respite </w:t>
      </w:r>
      <w:r>
        <w:t>services</w:t>
      </w:r>
      <w:r w:rsidRPr="00F0494A">
        <w:t xml:space="preserve"> will </w:t>
      </w:r>
      <w:r>
        <w:t>participate</w:t>
      </w:r>
      <w:r w:rsidRPr="00F0494A">
        <w:t>.</w:t>
      </w:r>
      <w:r>
        <w:rPr>
          <w:rStyle w:val="FootnoteReference"/>
        </w:rPr>
        <w:footnoteReference w:id="1"/>
      </w:r>
      <w:r w:rsidRPr="001D46E3">
        <w:t xml:space="preserve"> </w:t>
      </w:r>
      <w:r>
        <w:t>Assuming a grantee/project cooperation rate of 92 percent as in the first evaluation, the projected number of grantees that will enroll caregivers is 142.</w:t>
      </w:r>
    </w:p>
    <w:p w:rsidR="00B85986" w:rsidRPr="00F0494A" w:rsidRDefault="00B85986" w:rsidP="00B85986">
      <w:pPr>
        <w:spacing w:after="200"/>
      </w:pPr>
      <w:r w:rsidRPr="00ED7B53">
        <w:rPr>
          <w:b/>
        </w:rPr>
        <w:t>Enrolling caregivers</w:t>
      </w:r>
      <w:r>
        <w:t>:</w:t>
      </w:r>
      <w:r w:rsidRPr="00F0494A">
        <w:t xml:space="preserve"> CNCS will enroll all </w:t>
      </w:r>
      <w:r>
        <w:t xml:space="preserve">new </w:t>
      </w:r>
      <w:r w:rsidRPr="00F0494A">
        <w:t xml:space="preserve">caregivers that apply for respite </w:t>
      </w:r>
      <w:r>
        <w:t>services</w:t>
      </w:r>
      <w:r w:rsidRPr="00F0494A">
        <w:t xml:space="preserve"> during the enrollment window</w:t>
      </w:r>
      <w:r>
        <w:t xml:space="preserve"> between May through October 2015</w:t>
      </w:r>
      <w:r w:rsidRPr="00F0494A">
        <w:t xml:space="preserve">. </w:t>
      </w:r>
    </w:p>
    <w:p w:rsidR="00B85986" w:rsidRPr="00F0494A" w:rsidRDefault="00B85986" w:rsidP="00B85986">
      <w:pPr>
        <w:spacing w:after="200"/>
      </w:pPr>
      <w:r>
        <w:rPr>
          <w:b/>
        </w:rPr>
        <w:t>Projected number of new caregivers</w:t>
      </w:r>
      <w:r>
        <w:t>:</w:t>
      </w:r>
      <w:r w:rsidRPr="00F0494A">
        <w:t xml:space="preserve"> CNCS anticipates </w:t>
      </w:r>
      <w:r w:rsidRPr="00AD7718">
        <w:t xml:space="preserve">enrolling 926 caregivers at baseline. The projected number of </w:t>
      </w:r>
      <w:r>
        <w:t xml:space="preserve">new </w:t>
      </w:r>
      <w:r w:rsidRPr="00AD7718">
        <w:t xml:space="preserve">caregivers is </w:t>
      </w:r>
      <w:r>
        <w:t>based on</w:t>
      </w:r>
      <w:r w:rsidRPr="00916B65">
        <w:t xml:space="preserve"> data collection </w:t>
      </w:r>
      <w:r>
        <w:t>from</w:t>
      </w:r>
      <w:r w:rsidRPr="00916B65">
        <w:t xml:space="preserve"> the first </w:t>
      </w:r>
      <w:r>
        <w:t>evaluation</w:t>
      </w:r>
      <w:r w:rsidRPr="00916B65">
        <w:t xml:space="preserve">. </w:t>
      </w:r>
      <w:r>
        <w:t xml:space="preserve">Although the first evaluation collected performance measurement data on </w:t>
      </w:r>
      <w:r w:rsidRPr="00916B65">
        <w:t>caregivers</w:t>
      </w:r>
      <w:r>
        <w:t xml:space="preserve"> receiving respite services for more than one year</w:t>
      </w:r>
      <w:r w:rsidRPr="00916B65">
        <w:t>, CNCS asked grantees</w:t>
      </w:r>
      <w:r>
        <w:t>/projects</w:t>
      </w:r>
      <w:r w:rsidRPr="00916B65">
        <w:t xml:space="preserve"> to report the</w:t>
      </w:r>
      <w:r>
        <w:t xml:space="preserve"> </w:t>
      </w:r>
      <w:r w:rsidRPr="00916B65">
        <w:t xml:space="preserve">number of caregivers </w:t>
      </w:r>
      <w:r>
        <w:t xml:space="preserve">receiving respite services </w:t>
      </w:r>
      <w:r w:rsidRPr="00916B65">
        <w:t>in the</w:t>
      </w:r>
      <w:r>
        <w:t>ir</w:t>
      </w:r>
      <w:r w:rsidRPr="00916B65">
        <w:t xml:space="preserve"> program for less than one year. The SCP grantees reported, on average, 13 caregivers that had been receiving respite </w:t>
      </w:r>
      <w:r>
        <w:t>services</w:t>
      </w:r>
      <w:r w:rsidRPr="00916B65">
        <w:t xml:space="preserve"> for less than one year. Using this average, CNCS projects that during a period of 12 months there will be an </w:t>
      </w:r>
      <w:r w:rsidRPr="00916B65">
        <w:lastRenderedPageBreak/>
        <w:t xml:space="preserve">average of </w:t>
      </w:r>
      <w:r w:rsidRPr="00AD7718">
        <w:t xml:space="preserve">1,852 new caregivers across the 142 SCP grantees. The enrollment window is expected to be six months (May through October). Assuming the average number of new caregivers per grantee is </w:t>
      </w:r>
      <w:proofErr w:type="gramStart"/>
      <w:r w:rsidRPr="00AD7718">
        <w:t>13,</w:t>
      </w:r>
      <w:proofErr w:type="gramEnd"/>
      <w:r w:rsidRPr="00AD7718">
        <w:t xml:space="preserve"> during the enrollment window CNCS estimates an enrollment of 926 caregivers. Assuming an 80 percent retention rate at the conclusion of the post-survey, CNCS anticipates the final sample size will be 740 caregivers.</w:t>
      </w:r>
      <w:r w:rsidRPr="00F0494A">
        <w:t xml:space="preserve"> </w:t>
      </w:r>
    </w:p>
    <w:p w:rsidR="00B85986" w:rsidRDefault="00B85986" w:rsidP="00B85986">
      <w:pPr>
        <w:spacing w:after="200"/>
      </w:pPr>
      <w:r w:rsidRPr="00ED7B53">
        <w:rPr>
          <w:b/>
        </w:rPr>
        <w:t>Minimum detectable effect size</w:t>
      </w:r>
      <w:r>
        <w:t>:</w:t>
      </w:r>
      <w:r w:rsidRPr="00F0494A">
        <w:t xml:space="preserve"> The effective sample size will allow analysis for two major subgroups such as, for example, intensity of services received defined by number of hours </w:t>
      </w:r>
      <w:r>
        <w:t>of respite care</w:t>
      </w:r>
      <w:r w:rsidRPr="00F0494A">
        <w:t xml:space="preserve"> received as low to moderate, and high intensity with a 95 percent confidence interval of less than +/-5 percentage points. </w:t>
      </w:r>
      <w:r>
        <w:t>Table 3</w:t>
      </w:r>
      <w:r w:rsidRPr="00F0494A">
        <w:t xml:space="preserve"> shows the minimum detectable effect size for analysis of responses </w:t>
      </w:r>
      <w:r>
        <w:t>at baseline and at the conclusion of the post-survey</w:t>
      </w:r>
      <w:r w:rsidRPr="00F0494A">
        <w:t xml:space="preserve"> with a power of 0.80 and alpha value of 0.05. A sensitivity analysis shows that </w:t>
      </w:r>
      <w:r>
        <w:t>a baseline</w:t>
      </w:r>
      <w:r w:rsidRPr="00F0494A">
        <w:t xml:space="preserve"> sample size of </w:t>
      </w:r>
      <w:r>
        <w:t>926</w:t>
      </w:r>
      <w:r w:rsidRPr="00F0494A">
        <w:t xml:space="preserve"> </w:t>
      </w:r>
      <w:r>
        <w:t>respondents</w:t>
      </w:r>
      <w:r w:rsidRPr="00F0494A">
        <w:t xml:space="preserve"> will detect </w:t>
      </w:r>
      <w:r>
        <w:t xml:space="preserve">an </w:t>
      </w:r>
      <w:r w:rsidRPr="00F0494A">
        <w:t xml:space="preserve">effect size of about </w:t>
      </w:r>
      <w:r>
        <w:t>0.05 for a target proportion of 0.50</w:t>
      </w:r>
      <w:r w:rsidRPr="00F0494A">
        <w:t xml:space="preserve">. Two subgroup analyses with a total of </w:t>
      </w:r>
      <w:r>
        <w:t>equal size of 463</w:t>
      </w:r>
      <w:r w:rsidRPr="00F0494A">
        <w:t xml:space="preserve"> </w:t>
      </w:r>
      <w:r>
        <w:t>respondents</w:t>
      </w:r>
      <w:r w:rsidRPr="00F0494A">
        <w:t xml:space="preserve"> </w:t>
      </w:r>
      <w:r>
        <w:t>per</w:t>
      </w:r>
      <w:r w:rsidRPr="00F0494A">
        <w:t xml:space="preserve"> subgroup </w:t>
      </w:r>
      <w:r>
        <w:t>and a baseline group proportion of 0.50 will</w:t>
      </w:r>
      <w:r w:rsidRPr="00F0494A">
        <w:t xml:space="preserve"> detect </w:t>
      </w:r>
      <w:r>
        <w:t>an effect of</w:t>
      </w:r>
      <w:r w:rsidRPr="00F0494A">
        <w:t xml:space="preserve"> about </w:t>
      </w:r>
      <w:r>
        <w:t>0.09</w:t>
      </w:r>
      <w:r w:rsidRPr="00F0494A">
        <w:t>.</w:t>
      </w:r>
      <w:r>
        <w:t xml:space="preserve"> </w:t>
      </w:r>
      <w:r w:rsidRPr="00F0494A">
        <w:t xml:space="preserve">A sensitivity analysis shows that an effective sample size of </w:t>
      </w:r>
      <w:r>
        <w:t>740</w:t>
      </w:r>
      <w:r w:rsidRPr="00F0494A">
        <w:t xml:space="preserve"> responses at the conclusion of the post-survey will detect </w:t>
      </w:r>
      <w:r>
        <w:t xml:space="preserve">an effect size of </w:t>
      </w:r>
      <w:r w:rsidRPr="00F0494A">
        <w:t xml:space="preserve">about </w:t>
      </w:r>
      <w:r>
        <w:t>0.05</w:t>
      </w:r>
      <w:r w:rsidRPr="00F0494A">
        <w:t xml:space="preserve">. Two subgroup analyses with a total of </w:t>
      </w:r>
      <w:r>
        <w:t>370</w:t>
      </w:r>
      <w:r w:rsidRPr="00F0494A">
        <w:t xml:space="preserve"> </w:t>
      </w:r>
      <w:r>
        <w:t>respondents</w:t>
      </w:r>
      <w:r w:rsidRPr="00F0494A">
        <w:t xml:space="preserve"> </w:t>
      </w:r>
      <w:r>
        <w:t>per</w:t>
      </w:r>
      <w:r w:rsidRPr="00F0494A">
        <w:t xml:space="preserve"> subgroup </w:t>
      </w:r>
      <w:r>
        <w:t>detect</w:t>
      </w:r>
      <w:r w:rsidRPr="00F0494A">
        <w:t xml:space="preserve"> </w:t>
      </w:r>
      <w:r>
        <w:t>an effect size</w:t>
      </w:r>
      <w:r w:rsidRPr="00F0494A">
        <w:t xml:space="preserve"> of about </w:t>
      </w:r>
      <w:r>
        <w:t>0.10</w:t>
      </w:r>
      <w:r w:rsidRPr="00F0494A">
        <w:t>.</w:t>
      </w:r>
      <w:r>
        <w:t xml:space="preserve"> </w:t>
      </w:r>
    </w:p>
    <w:p w:rsidR="00B85986" w:rsidRDefault="00B85986" w:rsidP="00B85986">
      <w:r w:rsidRPr="00910CFE">
        <w:rPr>
          <w:b/>
        </w:rPr>
        <w:t xml:space="preserve">Table </w:t>
      </w:r>
      <w:r>
        <w:rPr>
          <w:b/>
        </w:rPr>
        <w:t>3</w:t>
      </w:r>
      <w:r w:rsidRPr="00910CFE">
        <w:rPr>
          <w:b/>
        </w:rPr>
        <w:t xml:space="preserve">: </w:t>
      </w:r>
      <w:r>
        <w:rPr>
          <w:b/>
        </w:rPr>
        <w:t xml:space="preserve">Caregiver Study </w:t>
      </w:r>
      <w:r w:rsidRPr="00910CFE">
        <w:rPr>
          <w:b/>
        </w:rPr>
        <w:t xml:space="preserve">Minimum Detectable Effect Sizes for One- and Two-Sample Proportion </w:t>
      </w:r>
      <w:proofErr w:type="spellStart"/>
      <w:r w:rsidRPr="00910CFE">
        <w:rPr>
          <w:b/>
        </w:rPr>
        <w:t>Tests</w:t>
      </w:r>
      <w:r w:rsidRPr="00910CFE">
        <w:rPr>
          <w:vertAlign w:val="superscript"/>
        </w:rPr>
        <w:t>a</w:t>
      </w:r>
      <w:proofErr w:type="spellEnd"/>
    </w:p>
    <w:tbl>
      <w:tblPr>
        <w:tblStyle w:val="TableGrid"/>
        <w:tblW w:w="0" w:type="auto"/>
        <w:tblLook w:val="04A0" w:firstRow="1" w:lastRow="0" w:firstColumn="1" w:lastColumn="0" w:noHBand="0" w:noVBand="1"/>
      </w:tblPr>
      <w:tblGrid>
        <w:gridCol w:w="1915"/>
        <w:gridCol w:w="1915"/>
        <w:gridCol w:w="1915"/>
        <w:gridCol w:w="1915"/>
        <w:gridCol w:w="1916"/>
      </w:tblGrid>
      <w:tr w:rsidR="00B85986" w:rsidTr="00CD1E93">
        <w:tc>
          <w:tcPr>
            <w:tcW w:w="1915" w:type="dxa"/>
          </w:tcPr>
          <w:p w:rsidR="00B85986" w:rsidRDefault="00B85986" w:rsidP="00CD1E93"/>
        </w:tc>
        <w:tc>
          <w:tcPr>
            <w:tcW w:w="3830" w:type="dxa"/>
            <w:gridSpan w:val="2"/>
          </w:tcPr>
          <w:p w:rsidR="00B85986" w:rsidRDefault="00B85986" w:rsidP="00CD1E93">
            <w:pPr>
              <w:jc w:val="center"/>
            </w:pPr>
            <w:r>
              <w:t xml:space="preserve">Single Group </w:t>
            </w:r>
            <w:proofErr w:type="spellStart"/>
            <w:r>
              <w:t>Analysis</w:t>
            </w:r>
            <w:r w:rsidRPr="00910CFE">
              <w:rPr>
                <w:vertAlign w:val="superscript"/>
              </w:rPr>
              <w:t>b</w:t>
            </w:r>
            <w:proofErr w:type="spellEnd"/>
          </w:p>
        </w:tc>
        <w:tc>
          <w:tcPr>
            <w:tcW w:w="3831" w:type="dxa"/>
            <w:gridSpan w:val="2"/>
          </w:tcPr>
          <w:p w:rsidR="00B85986" w:rsidRDefault="00B85986" w:rsidP="00CD1E93">
            <w:pPr>
              <w:jc w:val="center"/>
            </w:pPr>
            <w:r>
              <w:t xml:space="preserve">Two-group </w:t>
            </w:r>
            <w:proofErr w:type="spellStart"/>
            <w:r>
              <w:t>Analyses</w:t>
            </w:r>
            <w:r w:rsidRPr="00910CFE">
              <w:rPr>
                <w:vertAlign w:val="superscript"/>
              </w:rPr>
              <w:t>c</w:t>
            </w:r>
            <w:proofErr w:type="spellEnd"/>
          </w:p>
        </w:tc>
      </w:tr>
      <w:tr w:rsidR="00B85986" w:rsidTr="00CD1E93">
        <w:tc>
          <w:tcPr>
            <w:tcW w:w="1915" w:type="dxa"/>
          </w:tcPr>
          <w:p w:rsidR="00B85986" w:rsidRDefault="00B85986" w:rsidP="00CD1E93">
            <w:r>
              <w:t>Baseline Proportion</w:t>
            </w:r>
          </w:p>
        </w:tc>
        <w:tc>
          <w:tcPr>
            <w:tcW w:w="1915" w:type="dxa"/>
          </w:tcPr>
          <w:p w:rsidR="00B85986" w:rsidRDefault="00B85986" w:rsidP="00CD1E93">
            <w:pPr>
              <w:jc w:val="center"/>
            </w:pPr>
            <w:r>
              <w:t>Baseline Survey</w:t>
            </w:r>
          </w:p>
          <w:p w:rsidR="00B85986" w:rsidRDefault="00B85986" w:rsidP="00CD1E93">
            <w:pPr>
              <w:jc w:val="center"/>
            </w:pPr>
            <w:r>
              <w:t>(N=926)</w:t>
            </w:r>
          </w:p>
        </w:tc>
        <w:tc>
          <w:tcPr>
            <w:tcW w:w="1915" w:type="dxa"/>
          </w:tcPr>
          <w:p w:rsidR="00B85986" w:rsidRDefault="00B85986" w:rsidP="00CD1E93">
            <w:pPr>
              <w:jc w:val="center"/>
            </w:pPr>
            <w:r>
              <w:t>Post-Survey</w:t>
            </w:r>
          </w:p>
          <w:p w:rsidR="00B85986" w:rsidRDefault="00B85986" w:rsidP="00CD1E93">
            <w:pPr>
              <w:jc w:val="center"/>
            </w:pPr>
            <w:r>
              <w:t>(N=740)</w:t>
            </w:r>
          </w:p>
        </w:tc>
        <w:tc>
          <w:tcPr>
            <w:tcW w:w="1915" w:type="dxa"/>
          </w:tcPr>
          <w:p w:rsidR="00B85986" w:rsidRDefault="00B85986" w:rsidP="00CD1E93">
            <w:pPr>
              <w:jc w:val="center"/>
            </w:pPr>
            <w:r>
              <w:t>Baseline Survey</w:t>
            </w:r>
          </w:p>
          <w:p w:rsidR="00B85986" w:rsidRDefault="00B85986" w:rsidP="00CD1E93">
            <w:pPr>
              <w:jc w:val="center"/>
            </w:pPr>
            <w:r>
              <w:t>(N=926)</w:t>
            </w:r>
          </w:p>
        </w:tc>
        <w:tc>
          <w:tcPr>
            <w:tcW w:w="1916" w:type="dxa"/>
          </w:tcPr>
          <w:p w:rsidR="00B85986" w:rsidRDefault="00B85986" w:rsidP="00CD1E93">
            <w:pPr>
              <w:jc w:val="center"/>
            </w:pPr>
            <w:r>
              <w:t>Post-Survey</w:t>
            </w:r>
          </w:p>
          <w:p w:rsidR="00B85986" w:rsidRDefault="00B85986" w:rsidP="00CD1E93">
            <w:pPr>
              <w:jc w:val="center"/>
            </w:pPr>
            <w:r>
              <w:t>(N=740)</w:t>
            </w:r>
          </w:p>
        </w:tc>
      </w:tr>
      <w:tr w:rsidR="00B85986" w:rsidTr="00CD1E93">
        <w:tc>
          <w:tcPr>
            <w:tcW w:w="1915" w:type="dxa"/>
          </w:tcPr>
          <w:p w:rsidR="00B85986" w:rsidRDefault="00B85986" w:rsidP="00CD1E93">
            <w:r>
              <w:t>0.1</w:t>
            </w:r>
          </w:p>
        </w:tc>
        <w:tc>
          <w:tcPr>
            <w:tcW w:w="1915" w:type="dxa"/>
          </w:tcPr>
          <w:p w:rsidR="00B85986" w:rsidRDefault="00B85986" w:rsidP="00CD1E93">
            <w:pPr>
              <w:jc w:val="center"/>
            </w:pPr>
            <w:r>
              <w:t>0.031</w:t>
            </w:r>
          </w:p>
        </w:tc>
        <w:tc>
          <w:tcPr>
            <w:tcW w:w="1915" w:type="dxa"/>
          </w:tcPr>
          <w:p w:rsidR="00B85986" w:rsidRDefault="00B85986" w:rsidP="00CD1E93">
            <w:pPr>
              <w:jc w:val="center"/>
            </w:pPr>
            <w:r>
              <w:t>0.035</w:t>
            </w:r>
          </w:p>
        </w:tc>
        <w:tc>
          <w:tcPr>
            <w:tcW w:w="1915" w:type="dxa"/>
          </w:tcPr>
          <w:p w:rsidR="00B85986" w:rsidRDefault="00B85986" w:rsidP="00CD1E93">
            <w:pPr>
              <w:jc w:val="center"/>
            </w:pPr>
            <w:r>
              <w:t>0.062</w:t>
            </w:r>
          </w:p>
        </w:tc>
        <w:tc>
          <w:tcPr>
            <w:tcW w:w="1916" w:type="dxa"/>
          </w:tcPr>
          <w:p w:rsidR="00B85986" w:rsidRDefault="00B85986" w:rsidP="00CD1E93">
            <w:pPr>
              <w:jc w:val="center"/>
            </w:pPr>
            <w:r>
              <w:t>0.070</w:t>
            </w:r>
          </w:p>
        </w:tc>
      </w:tr>
      <w:tr w:rsidR="00B85986" w:rsidTr="00CD1E93">
        <w:tc>
          <w:tcPr>
            <w:tcW w:w="1915" w:type="dxa"/>
          </w:tcPr>
          <w:p w:rsidR="00B85986" w:rsidRDefault="00B85986" w:rsidP="00CD1E93">
            <w:r>
              <w:t>0.3</w:t>
            </w:r>
          </w:p>
        </w:tc>
        <w:tc>
          <w:tcPr>
            <w:tcW w:w="1915" w:type="dxa"/>
          </w:tcPr>
          <w:p w:rsidR="00B85986" w:rsidRDefault="00B85986" w:rsidP="00CD1E93">
            <w:pPr>
              <w:jc w:val="center"/>
            </w:pPr>
            <w:r>
              <w:t>0.044</w:t>
            </w:r>
          </w:p>
        </w:tc>
        <w:tc>
          <w:tcPr>
            <w:tcW w:w="1915" w:type="dxa"/>
          </w:tcPr>
          <w:p w:rsidR="00B85986" w:rsidRDefault="00B85986" w:rsidP="00CD1E93">
            <w:pPr>
              <w:jc w:val="center"/>
            </w:pPr>
            <w:r>
              <w:t>0.049</w:t>
            </w:r>
          </w:p>
        </w:tc>
        <w:tc>
          <w:tcPr>
            <w:tcW w:w="1915" w:type="dxa"/>
          </w:tcPr>
          <w:p w:rsidR="00B85986" w:rsidRDefault="00B85986" w:rsidP="00CD1E93">
            <w:pPr>
              <w:jc w:val="center"/>
            </w:pPr>
            <w:r>
              <w:t>0.087</w:t>
            </w:r>
          </w:p>
        </w:tc>
        <w:tc>
          <w:tcPr>
            <w:tcW w:w="1916" w:type="dxa"/>
          </w:tcPr>
          <w:p w:rsidR="00B85986" w:rsidRDefault="00B85986" w:rsidP="00CD1E93">
            <w:pPr>
              <w:jc w:val="center"/>
            </w:pPr>
            <w:r>
              <w:t>0.098</w:t>
            </w:r>
          </w:p>
        </w:tc>
      </w:tr>
      <w:tr w:rsidR="00B85986" w:rsidTr="00CD1E93">
        <w:tc>
          <w:tcPr>
            <w:tcW w:w="1915" w:type="dxa"/>
          </w:tcPr>
          <w:p w:rsidR="00B85986" w:rsidRDefault="00B85986" w:rsidP="00CD1E93">
            <w:r>
              <w:t>0.5</w:t>
            </w:r>
          </w:p>
        </w:tc>
        <w:tc>
          <w:tcPr>
            <w:tcW w:w="1915" w:type="dxa"/>
          </w:tcPr>
          <w:p w:rsidR="00B85986" w:rsidRDefault="00B85986" w:rsidP="00CD1E93">
            <w:pPr>
              <w:jc w:val="center"/>
            </w:pPr>
            <w:r>
              <w:t>0.046</w:t>
            </w:r>
          </w:p>
        </w:tc>
        <w:tc>
          <w:tcPr>
            <w:tcW w:w="1915" w:type="dxa"/>
          </w:tcPr>
          <w:p w:rsidR="00B85986" w:rsidRDefault="00B85986" w:rsidP="00CD1E93">
            <w:pPr>
              <w:jc w:val="center"/>
            </w:pPr>
            <w:r>
              <w:t>0.051</w:t>
            </w:r>
          </w:p>
        </w:tc>
        <w:tc>
          <w:tcPr>
            <w:tcW w:w="1915" w:type="dxa"/>
          </w:tcPr>
          <w:p w:rsidR="00B85986" w:rsidRDefault="00B85986" w:rsidP="00CD1E93">
            <w:pPr>
              <w:jc w:val="center"/>
            </w:pPr>
            <w:r>
              <w:t>0.092</w:t>
            </w:r>
          </w:p>
        </w:tc>
        <w:tc>
          <w:tcPr>
            <w:tcW w:w="1916" w:type="dxa"/>
          </w:tcPr>
          <w:p w:rsidR="00B85986" w:rsidRDefault="00B85986" w:rsidP="00CD1E93">
            <w:pPr>
              <w:jc w:val="center"/>
            </w:pPr>
            <w:r>
              <w:t>0.102</w:t>
            </w:r>
          </w:p>
        </w:tc>
      </w:tr>
      <w:tr w:rsidR="00B85986" w:rsidTr="00CD1E93">
        <w:tc>
          <w:tcPr>
            <w:tcW w:w="1915" w:type="dxa"/>
          </w:tcPr>
          <w:p w:rsidR="00B85986" w:rsidRDefault="00B85986" w:rsidP="00CD1E93">
            <w:r>
              <w:t>0.7</w:t>
            </w:r>
          </w:p>
        </w:tc>
        <w:tc>
          <w:tcPr>
            <w:tcW w:w="1915" w:type="dxa"/>
          </w:tcPr>
          <w:p w:rsidR="00B85986" w:rsidRDefault="00B85986" w:rsidP="00CD1E93">
            <w:pPr>
              <w:jc w:val="center"/>
            </w:pPr>
            <w:r>
              <w:t>0.040</w:t>
            </w:r>
          </w:p>
        </w:tc>
        <w:tc>
          <w:tcPr>
            <w:tcW w:w="1915" w:type="dxa"/>
          </w:tcPr>
          <w:p w:rsidR="00B85986" w:rsidRDefault="00B85986" w:rsidP="00CD1E93">
            <w:pPr>
              <w:jc w:val="center"/>
            </w:pPr>
            <w:r>
              <w:t>0.045</w:t>
            </w:r>
          </w:p>
        </w:tc>
        <w:tc>
          <w:tcPr>
            <w:tcW w:w="1915" w:type="dxa"/>
          </w:tcPr>
          <w:p w:rsidR="00B85986" w:rsidRDefault="00B85986" w:rsidP="00CD1E93">
            <w:pPr>
              <w:jc w:val="center"/>
            </w:pPr>
            <w:r>
              <w:t>0.081</w:t>
            </w:r>
          </w:p>
        </w:tc>
        <w:tc>
          <w:tcPr>
            <w:tcW w:w="1916" w:type="dxa"/>
          </w:tcPr>
          <w:p w:rsidR="00B85986" w:rsidRDefault="00B85986" w:rsidP="00CD1E93">
            <w:pPr>
              <w:jc w:val="center"/>
            </w:pPr>
            <w:r>
              <w:t>0.090</w:t>
            </w:r>
          </w:p>
        </w:tc>
      </w:tr>
      <w:tr w:rsidR="00B85986" w:rsidTr="00CD1E93">
        <w:tc>
          <w:tcPr>
            <w:tcW w:w="1915" w:type="dxa"/>
          </w:tcPr>
          <w:p w:rsidR="00B85986" w:rsidRDefault="00B85986" w:rsidP="00CD1E93">
            <w:r>
              <w:t>0.9</w:t>
            </w:r>
          </w:p>
        </w:tc>
        <w:tc>
          <w:tcPr>
            <w:tcW w:w="1915" w:type="dxa"/>
          </w:tcPr>
          <w:p w:rsidR="00B85986" w:rsidRDefault="00B85986" w:rsidP="00CD1E93">
            <w:pPr>
              <w:jc w:val="center"/>
            </w:pPr>
            <w:r>
              <w:t>0.024</w:t>
            </w:r>
          </w:p>
        </w:tc>
        <w:tc>
          <w:tcPr>
            <w:tcW w:w="1915" w:type="dxa"/>
          </w:tcPr>
          <w:p w:rsidR="00B85986" w:rsidRDefault="00B85986" w:rsidP="00CD1E93">
            <w:pPr>
              <w:jc w:val="center"/>
            </w:pPr>
            <w:r>
              <w:t>0.027</w:t>
            </w:r>
          </w:p>
        </w:tc>
        <w:tc>
          <w:tcPr>
            <w:tcW w:w="1915" w:type="dxa"/>
          </w:tcPr>
          <w:p w:rsidR="00B85986" w:rsidRDefault="00B85986" w:rsidP="00CD1E93">
            <w:pPr>
              <w:jc w:val="center"/>
            </w:pPr>
            <w:r>
              <w:t>0.049</w:t>
            </w:r>
          </w:p>
        </w:tc>
        <w:tc>
          <w:tcPr>
            <w:tcW w:w="1916" w:type="dxa"/>
          </w:tcPr>
          <w:p w:rsidR="00B85986" w:rsidRDefault="00B85986" w:rsidP="00CD1E93">
            <w:pPr>
              <w:jc w:val="center"/>
            </w:pPr>
            <w:r>
              <w:t>0.054</w:t>
            </w:r>
          </w:p>
        </w:tc>
      </w:tr>
      <w:tr w:rsidR="00B85986" w:rsidTr="00CD1E93">
        <w:tc>
          <w:tcPr>
            <w:tcW w:w="9576" w:type="dxa"/>
            <w:gridSpan w:val="5"/>
          </w:tcPr>
          <w:p w:rsidR="00B85986" w:rsidRDefault="00B85986" w:rsidP="00CD1E93">
            <w:proofErr w:type="gramStart"/>
            <w:r w:rsidRPr="00910CFE">
              <w:rPr>
                <w:vertAlign w:val="superscript"/>
              </w:rPr>
              <w:t>a</w:t>
            </w:r>
            <w:proofErr w:type="gramEnd"/>
            <w:r>
              <w:t xml:space="preserve"> Power=0.80. α=0.05</w:t>
            </w:r>
          </w:p>
        </w:tc>
      </w:tr>
      <w:tr w:rsidR="00B85986" w:rsidTr="00CD1E93">
        <w:tc>
          <w:tcPr>
            <w:tcW w:w="9576" w:type="dxa"/>
            <w:gridSpan w:val="5"/>
          </w:tcPr>
          <w:p w:rsidR="00B85986" w:rsidRDefault="00B85986" w:rsidP="00CD1E93">
            <w:proofErr w:type="gramStart"/>
            <w:r w:rsidRPr="00910CFE">
              <w:rPr>
                <w:vertAlign w:val="superscript"/>
              </w:rPr>
              <w:t>b</w:t>
            </w:r>
            <w:proofErr w:type="gramEnd"/>
            <w:r>
              <w:t xml:space="preserve"> O</w:t>
            </w:r>
            <w:r w:rsidRPr="00910CFE">
              <w:t>ne-sample proportion test</w:t>
            </w:r>
            <w:r>
              <w:t xml:space="preserve"> </w:t>
            </w:r>
            <w:r w:rsidRPr="00910CFE">
              <w:t>Wald z test</w:t>
            </w:r>
            <w:r>
              <w:t xml:space="preserve"> (</w:t>
            </w:r>
            <w:r w:rsidRPr="00910CFE">
              <w:t>H</w:t>
            </w:r>
            <w:r w:rsidRPr="00910CFE">
              <w:rPr>
                <w:vertAlign w:val="subscript"/>
              </w:rPr>
              <w:t>o</w:t>
            </w:r>
            <w:r w:rsidRPr="00910CFE">
              <w:t>: p = p</w:t>
            </w:r>
            <w:r w:rsidRPr="00910CFE">
              <w:rPr>
                <w:vertAlign w:val="subscript"/>
              </w:rPr>
              <w:t>0</w:t>
            </w:r>
            <w:r w:rsidRPr="00910CFE">
              <w:t xml:space="preserve">  vs  H</w:t>
            </w:r>
            <w:r w:rsidRPr="00910CFE">
              <w:rPr>
                <w:vertAlign w:val="subscript"/>
              </w:rPr>
              <w:t>a</w:t>
            </w:r>
            <w:r w:rsidRPr="00910CFE">
              <w:t xml:space="preserve">: p </w:t>
            </w:r>
            <w:r>
              <w:t>≠</w:t>
            </w:r>
            <w:r w:rsidRPr="00910CFE">
              <w:t xml:space="preserve"> p</w:t>
            </w:r>
            <w:r w:rsidRPr="00910CFE">
              <w:rPr>
                <w:vertAlign w:val="subscript"/>
              </w:rPr>
              <w:t>0</w:t>
            </w:r>
            <w:r>
              <w:t>).</w:t>
            </w:r>
          </w:p>
        </w:tc>
      </w:tr>
      <w:tr w:rsidR="00B85986" w:rsidTr="00CD1E93">
        <w:tc>
          <w:tcPr>
            <w:tcW w:w="9576" w:type="dxa"/>
            <w:gridSpan w:val="5"/>
          </w:tcPr>
          <w:p w:rsidR="00B85986" w:rsidRDefault="00B85986" w:rsidP="00CD1E93">
            <w:proofErr w:type="gramStart"/>
            <w:r w:rsidRPr="00910CFE">
              <w:rPr>
                <w:vertAlign w:val="superscript"/>
              </w:rPr>
              <w:t>c</w:t>
            </w:r>
            <w:proofErr w:type="gramEnd"/>
            <w:r>
              <w:t xml:space="preserve"> T</w:t>
            </w:r>
            <w:r w:rsidRPr="00910CFE">
              <w:t>wo-sample proportions test</w:t>
            </w:r>
            <w:r>
              <w:t xml:space="preserve"> </w:t>
            </w:r>
            <w:r w:rsidRPr="00910CFE">
              <w:t>Pearson's chi-squared test</w:t>
            </w:r>
            <w:r>
              <w:t xml:space="preserve"> (</w:t>
            </w:r>
            <w:r w:rsidRPr="00910CFE">
              <w:t>H</w:t>
            </w:r>
            <w:r w:rsidRPr="00910CFE">
              <w:rPr>
                <w:vertAlign w:val="subscript"/>
              </w:rPr>
              <w:t>o</w:t>
            </w:r>
            <w:r w:rsidRPr="00910CFE">
              <w:t>: p</w:t>
            </w:r>
            <w:r w:rsidRPr="00910CFE">
              <w:rPr>
                <w:vertAlign w:val="subscript"/>
              </w:rPr>
              <w:t>2</w:t>
            </w:r>
            <w:r w:rsidRPr="00910CFE">
              <w:t xml:space="preserve"> = p</w:t>
            </w:r>
            <w:r>
              <w:rPr>
                <w:vertAlign w:val="subscript"/>
              </w:rPr>
              <w:t>1</w:t>
            </w:r>
            <w:r w:rsidRPr="00910CFE">
              <w:t xml:space="preserve">  vs  H</w:t>
            </w:r>
            <w:r w:rsidRPr="00910CFE">
              <w:rPr>
                <w:vertAlign w:val="subscript"/>
              </w:rPr>
              <w:t>a</w:t>
            </w:r>
            <w:r w:rsidRPr="00910CFE">
              <w:t>: p</w:t>
            </w:r>
            <w:r w:rsidRPr="00910CFE">
              <w:rPr>
                <w:vertAlign w:val="subscript"/>
              </w:rPr>
              <w:t>2</w:t>
            </w:r>
            <w:r w:rsidRPr="00910CFE">
              <w:t xml:space="preserve"> </w:t>
            </w:r>
            <w:r>
              <w:t>≠</w:t>
            </w:r>
            <w:r w:rsidRPr="00910CFE">
              <w:t xml:space="preserve"> p</w:t>
            </w:r>
            <w:r>
              <w:rPr>
                <w:vertAlign w:val="subscript"/>
              </w:rPr>
              <w:t>1</w:t>
            </w:r>
            <w:r>
              <w:t>).</w:t>
            </w:r>
          </w:p>
        </w:tc>
      </w:tr>
    </w:tbl>
    <w:p w:rsidR="00B85986" w:rsidRDefault="00B85986" w:rsidP="00B85986">
      <w:pPr>
        <w:pStyle w:val="ListParagraph"/>
        <w:numPr>
          <w:ilvl w:val="0"/>
          <w:numId w:val="1"/>
        </w:numPr>
        <w:spacing w:before="200" w:after="200"/>
      </w:pPr>
      <w:r>
        <w:t>Sample Size for the Volunteer Study</w:t>
      </w:r>
    </w:p>
    <w:p w:rsidR="00B85986" w:rsidRPr="00F0494A" w:rsidRDefault="00B85986" w:rsidP="00B85986">
      <w:pPr>
        <w:spacing w:after="200"/>
      </w:pPr>
      <w:r w:rsidRPr="00F0494A">
        <w:t xml:space="preserve">The focus of </w:t>
      </w:r>
      <w:r>
        <w:t>the Volunteer</w:t>
      </w:r>
      <w:r w:rsidRPr="00F0494A">
        <w:t xml:space="preserve"> </w:t>
      </w:r>
      <w:r>
        <w:t>S</w:t>
      </w:r>
      <w:r w:rsidRPr="00F0494A">
        <w:t xml:space="preserve">tudy is the </w:t>
      </w:r>
      <w:r>
        <w:t>volunteers</w:t>
      </w:r>
      <w:r w:rsidRPr="00F0494A">
        <w:t xml:space="preserve"> who are nested within </w:t>
      </w:r>
      <w:r>
        <w:t xml:space="preserve">FGP and SCP </w:t>
      </w:r>
      <w:r w:rsidRPr="00F0494A">
        <w:t xml:space="preserve">grantees and stations. The unit of analysis is the </w:t>
      </w:r>
      <w:r>
        <w:t>volunteer</w:t>
      </w:r>
      <w:r w:rsidRPr="00F0494A">
        <w:t xml:space="preserve">. The study design will involve two stages: a plan for selecting </w:t>
      </w:r>
      <w:r>
        <w:t xml:space="preserve">FGP and SCP </w:t>
      </w:r>
      <w:r w:rsidRPr="00F0494A">
        <w:t xml:space="preserve">grantees and a plan to enroll </w:t>
      </w:r>
      <w:r>
        <w:t>new volunteers</w:t>
      </w:r>
      <w:r w:rsidRPr="00F0494A">
        <w:t xml:space="preserve">. </w:t>
      </w:r>
    </w:p>
    <w:p w:rsidR="00B85986" w:rsidRPr="00F0494A" w:rsidRDefault="00B85986" w:rsidP="00B85986">
      <w:pPr>
        <w:spacing w:after="200"/>
      </w:pPr>
      <w:r w:rsidRPr="00ED7B53">
        <w:rPr>
          <w:b/>
        </w:rPr>
        <w:t>Selecting FGP and SCP grantees</w:t>
      </w:r>
      <w:r>
        <w:t>:</w:t>
      </w:r>
      <w:r w:rsidRPr="00F0494A">
        <w:t xml:space="preserve"> The universe of grantees consists of </w:t>
      </w:r>
      <w:r>
        <w:t xml:space="preserve">170 </w:t>
      </w:r>
      <w:r w:rsidRPr="00F0494A">
        <w:t xml:space="preserve">SCP grantees </w:t>
      </w:r>
      <w:r>
        <w:t xml:space="preserve">and 309 FGP grantees. </w:t>
      </w:r>
      <w:r w:rsidRPr="006013DD">
        <w:t xml:space="preserve">CNCS desires to understand volunteer satisfaction and retention, self-rated health, symptoms of depression </w:t>
      </w:r>
      <w:r>
        <w:t xml:space="preserve">and </w:t>
      </w:r>
      <w:r w:rsidRPr="006013DD">
        <w:t xml:space="preserve">loneliness </w:t>
      </w:r>
      <w:r>
        <w:t>among</w:t>
      </w:r>
      <w:r w:rsidRPr="006013DD">
        <w:t xml:space="preserve"> </w:t>
      </w:r>
      <w:r>
        <w:t xml:space="preserve">new </w:t>
      </w:r>
      <w:r w:rsidRPr="006013DD">
        <w:t xml:space="preserve">SCP and FGP </w:t>
      </w:r>
      <w:r>
        <w:t xml:space="preserve">volunteers </w:t>
      </w:r>
      <w:r w:rsidRPr="006013DD">
        <w:t xml:space="preserve">separately. </w:t>
      </w:r>
      <w:r>
        <w:t xml:space="preserve">All FGP and SCP grantees will participate. </w:t>
      </w:r>
      <w:r w:rsidRPr="006013DD">
        <w:t xml:space="preserve">To achieve this goal, </w:t>
      </w:r>
      <w:r>
        <w:t>CNCS</w:t>
      </w:r>
      <w:r w:rsidRPr="006013DD">
        <w:t xml:space="preserve"> propose</w:t>
      </w:r>
      <w:r>
        <w:t>s</w:t>
      </w:r>
      <w:r w:rsidRPr="006013DD">
        <w:t xml:space="preserve"> to divide the sample into two strata, one for SCP and one for FGP. Given that FGP enrolls more volunteers than SCP, stratifying the </w:t>
      </w:r>
      <w:r>
        <w:t xml:space="preserve">two </w:t>
      </w:r>
      <w:r w:rsidRPr="006013DD">
        <w:t xml:space="preserve">programs increases the probability of enrolling a sufficient minimum </w:t>
      </w:r>
      <w:r>
        <w:t xml:space="preserve">number </w:t>
      </w:r>
      <w:r w:rsidRPr="006013DD">
        <w:t xml:space="preserve">of participants to permit </w:t>
      </w:r>
      <w:r>
        <w:t xml:space="preserve">separate analyses for each group of volunteers as well as having a large enough sample for </w:t>
      </w:r>
      <w:r w:rsidRPr="006013DD">
        <w:t xml:space="preserve">the matched comparison analysis with the HRS for </w:t>
      </w:r>
      <w:r>
        <w:t xml:space="preserve">the </w:t>
      </w:r>
      <w:r w:rsidRPr="006013DD">
        <w:t xml:space="preserve">SCP volunteers. </w:t>
      </w:r>
      <w:r w:rsidRPr="00F0494A">
        <w:t xml:space="preserve">In the </w:t>
      </w:r>
      <w:r>
        <w:t>first evaluation</w:t>
      </w:r>
      <w:r w:rsidRPr="00F0494A">
        <w:t xml:space="preserve"> CNCS conducted a census of </w:t>
      </w:r>
      <w:r>
        <w:t xml:space="preserve">all active </w:t>
      </w:r>
      <w:r w:rsidRPr="00F0494A">
        <w:t xml:space="preserve">SCP </w:t>
      </w:r>
      <w:r>
        <w:t xml:space="preserve">and FGP volunteers. The cooperation rate in the previous evaluation was 96 percent for SCP grantees and </w:t>
      </w:r>
      <w:r>
        <w:lastRenderedPageBreak/>
        <w:t xml:space="preserve">99 percent for FGP grantees. CNCS anticipates a similar level of grantee cooperation with the proposed data collection. Thus CNCS anticipates 170 SCP grantees and 309 FGP grantees will enroll volunteers in the study. </w:t>
      </w:r>
    </w:p>
    <w:p w:rsidR="00B85986" w:rsidRPr="00F0494A" w:rsidRDefault="00B85986" w:rsidP="00B85986">
      <w:pPr>
        <w:spacing w:after="200"/>
      </w:pPr>
      <w:r w:rsidRPr="00ED7B53">
        <w:rPr>
          <w:b/>
        </w:rPr>
        <w:t xml:space="preserve">Projected </w:t>
      </w:r>
      <w:r>
        <w:rPr>
          <w:b/>
        </w:rPr>
        <w:t>number of</w:t>
      </w:r>
      <w:r w:rsidRPr="00ED7B53">
        <w:rPr>
          <w:b/>
        </w:rPr>
        <w:t xml:space="preserve"> new volunteers</w:t>
      </w:r>
      <w:r>
        <w:t xml:space="preserve">: </w:t>
      </w:r>
      <w:r w:rsidRPr="00F0494A">
        <w:t xml:space="preserve">The projected number of </w:t>
      </w:r>
      <w:r>
        <w:t>new volunteers</w:t>
      </w:r>
      <w:r w:rsidRPr="00F0494A">
        <w:t xml:space="preserve"> </w:t>
      </w:r>
      <w:r>
        <w:t xml:space="preserve">during the enrollment window (May through October) </w:t>
      </w:r>
      <w:r w:rsidRPr="00F0494A">
        <w:t xml:space="preserve">is based on data collected from the </w:t>
      </w:r>
      <w:r>
        <w:t>first</w:t>
      </w:r>
      <w:r w:rsidRPr="00F0494A">
        <w:t xml:space="preserve"> </w:t>
      </w:r>
      <w:r>
        <w:t>evaluation of Senior Corps programs (</w:t>
      </w:r>
      <w:r w:rsidRPr="00F0494A">
        <w:t>ESC</w:t>
      </w:r>
      <w:r>
        <w:t>)</w:t>
      </w:r>
      <w:r w:rsidRPr="00F0494A">
        <w:t xml:space="preserve">. </w:t>
      </w:r>
      <w:r>
        <w:t xml:space="preserve">In the first ESC, </w:t>
      </w:r>
      <w:r w:rsidRPr="00F0494A">
        <w:t xml:space="preserve">SCP grantees </w:t>
      </w:r>
      <w:r>
        <w:t>had an average of six volunteers in the program</w:t>
      </w:r>
      <w:r w:rsidRPr="00F0494A">
        <w:t xml:space="preserve"> for less than one year</w:t>
      </w:r>
      <w:r>
        <w:t xml:space="preserve"> at the time of the survey. The FGP grantees had an average of seven volunteers in the program for less than one year at the time of the survey</w:t>
      </w:r>
      <w:r w:rsidRPr="00F0494A">
        <w:t xml:space="preserve">. Using this average, </w:t>
      </w:r>
      <w:r>
        <w:t>CNCS</w:t>
      </w:r>
      <w:r w:rsidRPr="00F0494A">
        <w:t xml:space="preserve"> project</w:t>
      </w:r>
      <w:r>
        <w:t xml:space="preserve">s </w:t>
      </w:r>
      <w:r w:rsidRPr="00F0494A">
        <w:t xml:space="preserve">that during a </w:t>
      </w:r>
      <w:r>
        <w:t xml:space="preserve">period of </w:t>
      </w:r>
      <w:r w:rsidRPr="00F0494A">
        <w:t>12</w:t>
      </w:r>
      <w:r>
        <w:t xml:space="preserve"> </w:t>
      </w:r>
      <w:r w:rsidRPr="00F0494A">
        <w:t>month</w:t>
      </w:r>
      <w:r>
        <w:t>s</w:t>
      </w:r>
      <w:r w:rsidRPr="00F0494A">
        <w:t xml:space="preserve"> there will be</w:t>
      </w:r>
      <w:r>
        <w:t xml:space="preserve"> an average of 1,020</w:t>
      </w:r>
      <w:r w:rsidRPr="00F0494A">
        <w:t xml:space="preserve"> new </w:t>
      </w:r>
      <w:r>
        <w:t xml:space="preserve">volunteers across </w:t>
      </w:r>
      <w:r w:rsidRPr="00F0494A">
        <w:t>SCP grantees</w:t>
      </w:r>
      <w:r>
        <w:t>, and an average of 2,163 new volunteers across FGP grantees</w:t>
      </w:r>
      <w:r w:rsidRPr="00F0494A">
        <w:t xml:space="preserve">. </w:t>
      </w:r>
      <w:r>
        <w:t>Based on the first ESC, August through October are peak months individuals will become volunteers. CNCS estimates that 60 percent of new volunteers will begin the program during the six months enrollment window. Thus d</w:t>
      </w:r>
      <w:r w:rsidRPr="00F0494A">
        <w:t xml:space="preserve">uring the </w:t>
      </w:r>
      <w:r>
        <w:t xml:space="preserve">six months </w:t>
      </w:r>
      <w:r w:rsidRPr="00F0494A">
        <w:t xml:space="preserve">enrollment window CNCS </w:t>
      </w:r>
      <w:r>
        <w:t>projects 612</w:t>
      </w:r>
      <w:r w:rsidRPr="00F0494A">
        <w:t xml:space="preserve"> </w:t>
      </w:r>
      <w:r>
        <w:t>new SCP volunteers and 1,297 new FGP volunteers</w:t>
      </w:r>
      <w:r w:rsidRPr="00F0494A">
        <w:t xml:space="preserve">. </w:t>
      </w:r>
    </w:p>
    <w:p w:rsidR="00B85986" w:rsidRDefault="00B85986" w:rsidP="00B85986">
      <w:pPr>
        <w:spacing w:after="200"/>
      </w:pPr>
      <w:r w:rsidRPr="00ED7B53">
        <w:rPr>
          <w:b/>
        </w:rPr>
        <w:t>Enrolling volunteers</w:t>
      </w:r>
      <w:r>
        <w:t>:</w:t>
      </w:r>
      <w:r w:rsidRPr="00F0494A">
        <w:t xml:space="preserve"> </w:t>
      </w:r>
      <w:r>
        <w:t xml:space="preserve">CNCS proposes to </w:t>
      </w:r>
      <w:r w:rsidRPr="001434CB">
        <w:t xml:space="preserve">assign half the sample to </w:t>
      </w:r>
      <w:r>
        <w:t xml:space="preserve">FGP programs and half to SCP programs. </w:t>
      </w:r>
      <w:r w:rsidRPr="00F0494A">
        <w:t xml:space="preserve">CNCS </w:t>
      </w:r>
      <w:r>
        <w:t>proposes to</w:t>
      </w:r>
      <w:r w:rsidRPr="00F0494A">
        <w:t xml:space="preserve"> enroll </w:t>
      </w:r>
      <w:r>
        <w:t xml:space="preserve">612 new SCP volunteers and 612 new FGP volunteers </w:t>
      </w:r>
      <w:r w:rsidRPr="00F0494A">
        <w:t>during the enrollment window</w:t>
      </w:r>
      <w:r>
        <w:t xml:space="preserve"> which is expected to be between May through October 2015</w:t>
      </w:r>
      <w:r w:rsidRPr="00F0494A">
        <w:t xml:space="preserve">. </w:t>
      </w:r>
      <w:r>
        <w:t>This yields a sample size of</w:t>
      </w:r>
      <w:r w:rsidRPr="00F0494A">
        <w:t xml:space="preserve"> </w:t>
      </w:r>
      <w:r>
        <w:t>1,224 new volunteers</w:t>
      </w:r>
      <w:r w:rsidRPr="00F0494A">
        <w:t xml:space="preserve"> at baseline. Assuming an 80 percent retention rate</w:t>
      </w:r>
      <w:r>
        <w:t xml:space="preserve"> for each follow-up</w:t>
      </w:r>
      <w:r w:rsidRPr="00F0494A">
        <w:t xml:space="preserve">, CNCS anticipates the </w:t>
      </w:r>
      <w:r>
        <w:t xml:space="preserve">effective </w:t>
      </w:r>
      <w:r w:rsidRPr="00F0494A">
        <w:t xml:space="preserve">sample size </w:t>
      </w:r>
      <w:r>
        <w:t>will</w:t>
      </w:r>
      <w:r w:rsidRPr="00F0494A">
        <w:t xml:space="preserve"> be </w:t>
      </w:r>
      <w:r>
        <w:t>979 volunteers at the first follow-up and 783 volunteers at the second follow-up</w:t>
      </w:r>
      <w:r w:rsidRPr="00F0494A">
        <w:t>.</w:t>
      </w:r>
    </w:p>
    <w:p w:rsidR="00B85986" w:rsidRPr="00F0494A" w:rsidRDefault="00B85986" w:rsidP="00B85986">
      <w:pPr>
        <w:spacing w:after="200"/>
      </w:pPr>
      <w:r w:rsidRPr="00ED7B53">
        <w:rPr>
          <w:b/>
        </w:rPr>
        <w:t>Minimum detectable effect size</w:t>
      </w:r>
      <w:r>
        <w:t>:</w:t>
      </w:r>
      <w:r w:rsidRPr="00F0494A">
        <w:t xml:space="preserve"> The effective sample size will allow analysis for </w:t>
      </w:r>
      <w:r>
        <w:t>FGP and SCP separately</w:t>
      </w:r>
      <w:r w:rsidRPr="00F0494A">
        <w:t xml:space="preserve">, with a 95 percent confidence interval of less than +/-5 percentage points. </w:t>
      </w:r>
      <w:r>
        <w:t>Table 4</w:t>
      </w:r>
      <w:r w:rsidRPr="00F0494A">
        <w:t xml:space="preserve"> shows the minimum detectable effect size for analysis of responses </w:t>
      </w:r>
      <w:r>
        <w:t>at baseline and at the conclusion of the first follow-up and the second follow-up</w:t>
      </w:r>
      <w:r w:rsidRPr="00F0494A">
        <w:t xml:space="preserve"> with a power of 0.80 and alpha value of 0.05. A sensitivity analysis shows that </w:t>
      </w:r>
      <w:r>
        <w:t>a baseline</w:t>
      </w:r>
      <w:r w:rsidRPr="00F0494A">
        <w:t xml:space="preserve"> sample size of </w:t>
      </w:r>
      <w:r>
        <w:t>1,224</w:t>
      </w:r>
      <w:r w:rsidRPr="00F0494A">
        <w:t xml:space="preserve"> </w:t>
      </w:r>
      <w:r>
        <w:t>respondents</w:t>
      </w:r>
      <w:r w:rsidRPr="00F0494A">
        <w:t xml:space="preserve"> will detect </w:t>
      </w:r>
      <w:r>
        <w:t xml:space="preserve">an </w:t>
      </w:r>
      <w:r w:rsidRPr="00F0494A">
        <w:t xml:space="preserve">effect size of about </w:t>
      </w:r>
      <w:r>
        <w:t>0.04</w:t>
      </w:r>
      <w:r w:rsidRPr="00533F8C">
        <w:t xml:space="preserve"> </w:t>
      </w:r>
      <w:r>
        <w:t>for a target proportion of 0.50</w:t>
      </w:r>
      <w:r w:rsidRPr="00F0494A">
        <w:t xml:space="preserve">. Two subgroup analyses with a total of </w:t>
      </w:r>
      <w:r>
        <w:t>612</w:t>
      </w:r>
      <w:r w:rsidRPr="00F0494A">
        <w:t xml:space="preserve"> </w:t>
      </w:r>
      <w:r>
        <w:t>respondents</w:t>
      </w:r>
      <w:r w:rsidRPr="00F0494A">
        <w:t xml:space="preserve"> </w:t>
      </w:r>
      <w:r>
        <w:t>per</w:t>
      </w:r>
      <w:r w:rsidRPr="00F0494A">
        <w:t xml:space="preserve"> subgroup </w:t>
      </w:r>
      <w:r>
        <w:t>and a baseline group proportion of 0.50 will</w:t>
      </w:r>
      <w:r w:rsidRPr="00F0494A">
        <w:t xml:space="preserve"> detect </w:t>
      </w:r>
      <w:r>
        <w:t>an effect of</w:t>
      </w:r>
      <w:r w:rsidRPr="00F0494A">
        <w:t xml:space="preserve"> about </w:t>
      </w:r>
      <w:r>
        <w:t>0.08</w:t>
      </w:r>
      <w:r w:rsidRPr="00F0494A">
        <w:t>.</w:t>
      </w:r>
      <w:r>
        <w:t xml:space="preserve"> At follow-up a sample size of 979 respondents </w:t>
      </w:r>
      <w:r w:rsidRPr="00F0494A">
        <w:t xml:space="preserve">will detect </w:t>
      </w:r>
      <w:r>
        <w:t xml:space="preserve">an </w:t>
      </w:r>
      <w:r w:rsidRPr="00F0494A">
        <w:t xml:space="preserve">effect size of about </w:t>
      </w:r>
      <w:r>
        <w:t>0.045</w:t>
      </w:r>
      <w:r w:rsidRPr="00B56A56">
        <w:t xml:space="preserve"> </w:t>
      </w:r>
      <w:r>
        <w:t>for a target proportion of 0.50</w:t>
      </w:r>
      <w:r w:rsidRPr="00F0494A">
        <w:t>.</w:t>
      </w:r>
      <w:r>
        <w:t xml:space="preserve"> Two subgroup analyses with a total of 979 respondents will detect an effect size of about 0.089 for a baseline group proportion of 0.50.</w:t>
      </w:r>
    </w:p>
    <w:p w:rsidR="00B85986" w:rsidRDefault="00B85986" w:rsidP="00B85986">
      <w:pPr>
        <w:spacing w:after="200"/>
      </w:pPr>
      <w:r w:rsidRPr="00F0494A">
        <w:t xml:space="preserve">A sensitivity analysis shows that an effective sample size of </w:t>
      </w:r>
      <w:r>
        <w:t xml:space="preserve">783 </w:t>
      </w:r>
      <w:r w:rsidRPr="00F0494A">
        <w:t xml:space="preserve">responses at the conclusion of the </w:t>
      </w:r>
      <w:r>
        <w:t>second follow-up</w:t>
      </w:r>
      <w:r w:rsidRPr="00F0494A">
        <w:t xml:space="preserve"> will detect </w:t>
      </w:r>
      <w:r>
        <w:t xml:space="preserve">an effect size of </w:t>
      </w:r>
      <w:r w:rsidRPr="00F0494A">
        <w:t xml:space="preserve">about </w:t>
      </w:r>
      <w:r>
        <w:t>0.05</w:t>
      </w:r>
      <w:r w:rsidRPr="00130931">
        <w:t xml:space="preserve"> </w:t>
      </w:r>
      <w:r>
        <w:t>for a target proportion of 0.50</w:t>
      </w:r>
      <w:r w:rsidRPr="00F0494A">
        <w:t xml:space="preserve">. Two subgroup analyses with a total of </w:t>
      </w:r>
      <w:r>
        <w:t>392</w:t>
      </w:r>
      <w:r w:rsidRPr="00F0494A">
        <w:t xml:space="preserve"> </w:t>
      </w:r>
      <w:r>
        <w:t>respondents</w:t>
      </w:r>
      <w:r w:rsidRPr="00F0494A">
        <w:t xml:space="preserve"> </w:t>
      </w:r>
      <w:r>
        <w:t>per</w:t>
      </w:r>
      <w:r w:rsidRPr="00F0494A">
        <w:t xml:space="preserve"> subgroup </w:t>
      </w:r>
      <w:r>
        <w:t>detect</w:t>
      </w:r>
      <w:r w:rsidRPr="00F0494A">
        <w:t xml:space="preserve"> </w:t>
      </w:r>
      <w:r>
        <w:t>an effect size</w:t>
      </w:r>
      <w:r w:rsidRPr="00F0494A">
        <w:t xml:space="preserve"> of about </w:t>
      </w:r>
      <w:r>
        <w:t>0.10</w:t>
      </w:r>
      <w:r w:rsidRPr="00130931">
        <w:t xml:space="preserve"> </w:t>
      </w:r>
      <w:r>
        <w:t>for a baseline group proportion of 0.50</w:t>
      </w:r>
      <w:r w:rsidRPr="00F0494A">
        <w:t>.</w:t>
      </w:r>
    </w:p>
    <w:p w:rsidR="00B85986" w:rsidRDefault="00B85986" w:rsidP="00B85986">
      <w:pPr>
        <w:spacing w:after="200" w:line="276" w:lineRule="auto"/>
      </w:pPr>
      <w:r>
        <w:br w:type="page"/>
      </w:r>
    </w:p>
    <w:p w:rsidR="00B85986" w:rsidRDefault="00B85986" w:rsidP="00B85986">
      <w:r w:rsidRPr="00910CFE">
        <w:rPr>
          <w:b/>
        </w:rPr>
        <w:lastRenderedPageBreak/>
        <w:t xml:space="preserve">Table </w:t>
      </w:r>
      <w:r>
        <w:rPr>
          <w:b/>
        </w:rPr>
        <w:t>4</w:t>
      </w:r>
      <w:r w:rsidRPr="00910CFE">
        <w:rPr>
          <w:b/>
        </w:rPr>
        <w:t xml:space="preserve">: </w:t>
      </w:r>
      <w:r>
        <w:rPr>
          <w:b/>
        </w:rPr>
        <w:t xml:space="preserve">Volunteer Study </w:t>
      </w:r>
      <w:r w:rsidRPr="00910CFE">
        <w:rPr>
          <w:b/>
        </w:rPr>
        <w:t xml:space="preserve">Minimum Detectable Effect Sizes for One- and Two-Sample Proportion </w:t>
      </w:r>
      <w:proofErr w:type="spellStart"/>
      <w:r w:rsidRPr="00910CFE">
        <w:rPr>
          <w:b/>
        </w:rPr>
        <w:t>Tests</w:t>
      </w:r>
      <w:r w:rsidRPr="00910CFE">
        <w:rPr>
          <w:vertAlign w:val="superscript"/>
        </w:rPr>
        <w:t>a</w:t>
      </w:r>
      <w:proofErr w:type="spellEnd"/>
    </w:p>
    <w:tbl>
      <w:tblPr>
        <w:tblStyle w:val="TableGrid"/>
        <w:tblW w:w="0" w:type="auto"/>
        <w:tblLayout w:type="fixed"/>
        <w:tblLook w:val="04A0" w:firstRow="1" w:lastRow="0" w:firstColumn="1" w:lastColumn="0" w:noHBand="0" w:noVBand="1"/>
      </w:tblPr>
      <w:tblGrid>
        <w:gridCol w:w="1243"/>
        <w:gridCol w:w="1295"/>
        <w:gridCol w:w="1543"/>
        <w:gridCol w:w="1045"/>
        <w:gridCol w:w="1225"/>
        <w:gridCol w:w="1045"/>
        <w:gridCol w:w="1045"/>
      </w:tblGrid>
      <w:tr w:rsidR="00B85986" w:rsidTr="00CD1E93">
        <w:tc>
          <w:tcPr>
            <w:tcW w:w="1243" w:type="dxa"/>
          </w:tcPr>
          <w:p w:rsidR="00B85986" w:rsidRDefault="00B85986" w:rsidP="00CD1E93"/>
        </w:tc>
        <w:tc>
          <w:tcPr>
            <w:tcW w:w="3883" w:type="dxa"/>
            <w:gridSpan w:val="3"/>
          </w:tcPr>
          <w:p w:rsidR="00B85986" w:rsidRDefault="00B85986" w:rsidP="00CD1E93">
            <w:pPr>
              <w:jc w:val="center"/>
            </w:pPr>
            <w:r>
              <w:t xml:space="preserve">Single Group </w:t>
            </w:r>
            <w:proofErr w:type="spellStart"/>
            <w:r>
              <w:t>Analysis</w:t>
            </w:r>
            <w:r w:rsidRPr="00910CFE">
              <w:rPr>
                <w:vertAlign w:val="superscript"/>
              </w:rPr>
              <w:t>b</w:t>
            </w:r>
            <w:proofErr w:type="spellEnd"/>
          </w:p>
        </w:tc>
        <w:tc>
          <w:tcPr>
            <w:tcW w:w="3315" w:type="dxa"/>
            <w:gridSpan w:val="3"/>
          </w:tcPr>
          <w:p w:rsidR="00B85986" w:rsidRDefault="00B85986" w:rsidP="00CD1E93">
            <w:pPr>
              <w:jc w:val="center"/>
            </w:pPr>
            <w:r>
              <w:t xml:space="preserve">Two-group </w:t>
            </w:r>
            <w:proofErr w:type="spellStart"/>
            <w:r>
              <w:t>Analyses</w:t>
            </w:r>
            <w:r w:rsidRPr="00910CFE">
              <w:rPr>
                <w:vertAlign w:val="superscript"/>
              </w:rPr>
              <w:t>c</w:t>
            </w:r>
            <w:proofErr w:type="spellEnd"/>
          </w:p>
        </w:tc>
      </w:tr>
      <w:tr w:rsidR="00B85986" w:rsidTr="00CD1E93">
        <w:tc>
          <w:tcPr>
            <w:tcW w:w="1243" w:type="dxa"/>
          </w:tcPr>
          <w:p w:rsidR="00B85986" w:rsidRDefault="00B85986" w:rsidP="00CD1E93">
            <w:r>
              <w:t>Baseline Proportion</w:t>
            </w:r>
          </w:p>
        </w:tc>
        <w:tc>
          <w:tcPr>
            <w:tcW w:w="1295" w:type="dxa"/>
          </w:tcPr>
          <w:p w:rsidR="00B85986" w:rsidRDefault="00B85986" w:rsidP="00CD1E93">
            <w:pPr>
              <w:jc w:val="center"/>
            </w:pPr>
            <w:r>
              <w:t>Baseline Survey</w:t>
            </w:r>
          </w:p>
          <w:p w:rsidR="00B85986" w:rsidRDefault="00B85986" w:rsidP="00CD1E93">
            <w:pPr>
              <w:jc w:val="center"/>
            </w:pPr>
            <w:r>
              <w:t>(N=1,224)</w:t>
            </w:r>
          </w:p>
        </w:tc>
        <w:tc>
          <w:tcPr>
            <w:tcW w:w="1543" w:type="dxa"/>
          </w:tcPr>
          <w:p w:rsidR="00B85986" w:rsidRDefault="00B85986" w:rsidP="00CD1E93">
            <w:pPr>
              <w:jc w:val="center"/>
            </w:pPr>
            <w:r>
              <w:t>1</w:t>
            </w:r>
            <w:r w:rsidRPr="0070309F">
              <w:rPr>
                <w:vertAlign w:val="superscript"/>
              </w:rPr>
              <w:t>st</w:t>
            </w:r>
            <w:r>
              <w:t xml:space="preserve"> Follow-up Survey</w:t>
            </w:r>
          </w:p>
          <w:p w:rsidR="00B85986" w:rsidRDefault="00B85986" w:rsidP="00CD1E93">
            <w:pPr>
              <w:jc w:val="center"/>
            </w:pPr>
            <w:r>
              <w:t>(N=979)</w:t>
            </w:r>
          </w:p>
        </w:tc>
        <w:tc>
          <w:tcPr>
            <w:tcW w:w="1045" w:type="dxa"/>
          </w:tcPr>
          <w:p w:rsidR="00B85986" w:rsidRDefault="00B85986" w:rsidP="00CD1E93">
            <w:pPr>
              <w:jc w:val="center"/>
            </w:pPr>
            <w:r>
              <w:t>2</w:t>
            </w:r>
            <w:r w:rsidRPr="00372E52">
              <w:rPr>
                <w:vertAlign w:val="superscript"/>
              </w:rPr>
              <w:t>nd</w:t>
            </w:r>
            <w:r>
              <w:t xml:space="preserve"> Follow-up Survey</w:t>
            </w:r>
          </w:p>
          <w:p w:rsidR="00B85986" w:rsidRDefault="00B85986" w:rsidP="00CD1E93">
            <w:pPr>
              <w:jc w:val="center"/>
            </w:pPr>
            <w:r>
              <w:t>(N=783)</w:t>
            </w:r>
          </w:p>
        </w:tc>
        <w:tc>
          <w:tcPr>
            <w:tcW w:w="1225" w:type="dxa"/>
          </w:tcPr>
          <w:p w:rsidR="00B85986" w:rsidRDefault="00B85986" w:rsidP="00CD1E93">
            <w:pPr>
              <w:jc w:val="center"/>
            </w:pPr>
            <w:r>
              <w:t>Baseline Survey</w:t>
            </w:r>
          </w:p>
          <w:p w:rsidR="00B85986" w:rsidRDefault="00B85986" w:rsidP="00CD1E93">
            <w:pPr>
              <w:jc w:val="center"/>
            </w:pPr>
            <w:r>
              <w:t>(N=1,224)</w:t>
            </w:r>
          </w:p>
        </w:tc>
        <w:tc>
          <w:tcPr>
            <w:tcW w:w="1045" w:type="dxa"/>
          </w:tcPr>
          <w:p w:rsidR="00B85986" w:rsidRDefault="00B85986" w:rsidP="00CD1E93">
            <w:pPr>
              <w:jc w:val="center"/>
            </w:pPr>
            <w:r>
              <w:t>1</w:t>
            </w:r>
            <w:r w:rsidRPr="0070309F">
              <w:rPr>
                <w:vertAlign w:val="superscript"/>
              </w:rPr>
              <w:t>st</w:t>
            </w:r>
            <w:r>
              <w:t xml:space="preserve"> Follow-up Survey</w:t>
            </w:r>
          </w:p>
          <w:p w:rsidR="00B85986" w:rsidRDefault="00B85986" w:rsidP="00CD1E93">
            <w:pPr>
              <w:jc w:val="center"/>
            </w:pPr>
            <w:r>
              <w:t>(N=979)</w:t>
            </w:r>
          </w:p>
        </w:tc>
        <w:tc>
          <w:tcPr>
            <w:tcW w:w="1045" w:type="dxa"/>
          </w:tcPr>
          <w:p w:rsidR="00B85986" w:rsidRDefault="00B85986" w:rsidP="00CD1E93">
            <w:pPr>
              <w:jc w:val="center"/>
            </w:pPr>
            <w:r>
              <w:t>2</w:t>
            </w:r>
            <w:r w:rsidRPr="00372E52">
              <w:rPr>
                <w:vertAlign w:val="superscript"/>
              </w:rPr>
              <w:t>nd</w:t>
            </w:r>
            <w:r>
              <w:t xml:space="preserve"> Follow-up Survey</w:t>
            </w:r>
          </w:p>
          <w:p w:rsidR="00B85986" w:rsidRDefault="00B85986" w:rsidP="00CD1E93">
            <w:pPr>
              <w:jc w:val="center"/>
            </w:pPr>
            <w:r>
              <w:t>(N=783)</w:t>
            </w:r>
          </w:p>
        </w:tc>
      </w:tr>
      <w:tr w:rsidR="00B85986" w:rsidTr="00CD1E93">
        <w:tc>
          <w:tcPr>
            <w:tcW w:w="1243" w:type="dxa"/>
          </w:tcPr>
          <w:p w:rsidR="00B85986" w:rsidRDefault="00B85986" w:rsidP="00CD1E93">
            <w:r>
              <w:t>0.1</w:t>
            </w:r>
          </w:p>
        </w:tc>
        <w:tc>
          <w:tcPr>
            <w:tcW w:w="1295" w:type="dxa"/>
          </w:tcPr>
          <w:p w:rsidR="00B85986" w:rsidRDefault="00B85986" w:rsidP="00CD1E93">
            <w:pPr>
              <w:jc w:val="center"/>
            </w:pPr>
            <w:r>
              <w:t>0.027</w:t>
            </w:r>
          </w:p>
        </w:tc>
        <w:tc>
          <w:tcPr>
            <w:tcW w:w="1543" w:type="dxa"/>
          </w:tcPr>
          <w:p w:rsidR="00B85986" w:rsidRDefault="00B85986" w:rsidP="00CD1E93">
            <w:pPr>
              <w:jc w:val="center"/>
            </w:pPr>
            <w:r>
              <w:t>0.030</w:t>
            </w:r>
          </w:p>
        </w:tc>
        <w:tc>
          <w:tcPr>
            <w:tcW w:w="1045" w:type="dxa"/>
          </w:tcPr>
          <w:p w:rsidR="00B85986" w:rsidRDefault="00B85986" w:rsidP="00CD1E93">
            <w:pPr>
              <w:jc w:val="center"/>
            </w:pPr>
            <w:r>
              <w:t>0.034</w:t>
            </w:r>
          </w:p>
        </w:tc>
        <w:tc>
          <w:tcPr>
            <w:tcW w:w="1225" w:type="dxa"/>
          </w:tcPr>
          <w:p w:rsidR="00B85986" w:rsidRDefault="00B85986" w:rsidP="00CD1E93">
            <w:pPr>
              <w:jc w:val="center"/>
            </w:pPr>
            <w:r>
              <w:t>0.053</w:t>
            </w:r>
          </w:p>
        </w:tc>
        <w:tc>
          <w:tcPr>
            <w:tcW w:w="1045" w:type="dxa"/>
          </w:tcPr>
          <w:p w:rsidR="00B85986" w:rsidRDefault="00B85986" w:rsidP="00CD1E93">
            <w:pPr>
              <w:jc w:val="center"/>
            </w:pPr>
            <w:r>
              <w:t>0.060</w:t>
            </w:r>
          </w:p>
        </w:tc>
        <w:tc>
          <w:tcPr>
            <w:tcW w:w="1045" w:type="dxa"/>
          </w:tcPr>
          <w:p w:rsidR="00B85986" w:rsidRDefault="00B85986" w:rsidP="00CD1E93">
            <w:pPr>
              <w:jc w:val="center"/>
            </w:pPr>
            <w:r>
              <w:t>0.068</w:t>
            </w:r>
          </w:p>
        </w:tc>
      </w:tr>
      <w:tr w:rsidR="00B85986" w:rsidTr="00CD1E93">
        <w:tc>
          <w:tcPr>
            <w:tcW w:w="1243" w:type="dxa"/>
          </w:tcPr>
          <w:p w:rsidR="00B85986" w:rsidRDefault="00B85986" w:rsidP="00CD1E93">
            <w:r>
              <w:t>0.3</w:t>
            </w:r>
          </w:p>
        </w:tc>
        <w:tc>
          <w:tcPr>
            <w:tcW w:w="1295" w:type="dxa"/>
          </w:tcPr>
          <w:p w:rsidR="00B85986" w:rsidRDefault="00B85986" w:rsidP="00CD1E93">
            <w:pPr>
              <w:jc w:val="center"/>
            </w:pPr>
            <w:r>
              <w:t>0.038</w:t>
            </w:r>
          </w:p>
        </w:tc>
        <w:tc>
          <w:tcPr>
            <w:tcW w:w="1543" w:type="dxa"/>
          </w:tcPr>
          <w:p w:rsidR="00B85986" w:rsidRDefault="00B85986" w:rsidP="00CD1E93">
            <w:pPr>
              <w:jc w:val="center"/>
            </w:pPr>
            <w:r>
              <w:t>0.043</w:t>
            </w:r>
          </w:p>
        </w:tc>
        <w:tc>
          <w:tcPr>
            <w:tcW w:w="1045" w:type="dxa"/>
          </w:tcPr>
          <w:p w:rsidR="00B85986" w:rsidRDefault="00B85986" w:rsidP="00CD1E93">
            <w:pPr>
              <w:jc w:val="center"/>
            </w:pPr>
            <w:r>
              <w:t>0.048</w:t>
            </w:r>
          </w:p>
        </w:tc>
        <w:tc>
          <w:tcPr>
            <w:tcW w:w="1225" w:type="dxa"/>
          </w:tcPr>
          <w:p w:rsidR="00B85986" w:rsidRDefault="00B85986" w:rsidP="00CD1E93">
            <w:pPr>
              <w:jc w:val="center"/>
            </w:pPr>
            <w:r>
              <w:t>0.076</w:t>
            </w:r>
          </w:p>
        </w:tc>
        <w:tc>
          <w:tcPr>
            <w:tcW w:w="1045" w:type="dxa"/>
          </w:tcPr>
          <w:p w:rsidR="00B85986" w:rsidRDefault="00B85986" w:rsidP="00CD1E93">
            <w:pPr>
              <w:jc w:val="center"/>
            </w:pPr>
            <w:r>
              <w:t>0.085</w:t>
            </w:r>
          </w:p>
        </w:tc>
        <w:tc>
          <w:tcPr>
            <w:tcW w:w="1045" w:type="dxa"/>
          </w:tcPr>
          <w:p w:rsidR="00B85986" w:rsidRDefault="00B85986" w:rsidP="00CD1E93">
            <w:pPr>
              <w:jc w:val="center"/>
            </w:pPr>
            <w:r>
              <w:t>0.095</w:t>
            </w:r>
          </w:p>
        </w:tc>
      </w:tr>
      <w:tr w:rsidR="00B85986" w:rsidTr="00CD1E93">
        <w:tc>
          <w:tcPr>
            <w:tcW w:w="1243" w:type="dxa"/>
          </w:tcPr>
          <w:p w:rsidR="00B85986" w:rsidRDefault="00B85986" w:rsidP="00CD1E93">
            <w:r>
              <w:t>0.5</w:t>
            </w:r>
          </w:p>
        </w:tc>
        <w:tc>
          <w:tcPr>
            <w:tcW w:w="1295" w:type="dxa"/>
          </w:tcPr>
          <w:p w:rsidR="00B85986" w:rsidRDefault="00B85986" w:rsidP="00CD1E93">
            <w:pPr>
              <w:jc w:val="center"/>
            </w:pPr>
            <w:r>
              <w:t>0.040</w:t>
            </w:r>
          </w:p>
        </w:tc>
        <w:tc>
          <w:tcPr>
            <w:tcW w:w="1543" w:type="dxa"/>
          </w:tcPr>
          <w:p w:rsidR="00B85986" w:rsidRDefault="00B85986" w:rsidP="00CD1E93">
            <w:pPr>
              <w:jc w:val="center"/>
            </w:pPr>
            <w:r>
              <w:t>0.045</w:t>
            </w:r>
          </w:p>
        </w:tc>
        <w:tc>
          <w:tcPr>
            <w:tcW w:w="1045" w:type="dxa"/>
          </w:tcPr>
          <w:p w:rsidR="00B85986" w:rsidRDefault="00B85986" w:rsidP="00CD1E93">
            <w:pPr>
              <w:jc w:val="center"/>
            </w:pPr>
            <w:r>
              <w:t>0.050</w:t>
            </w:r>
          </w:p>
        </w:tc>
        <w:tc>
          <w:tcPr>
            <w:tcW w:w="1225" w:type="dxa"/>
          </w:tcPr>
          <w:p w:rsidR="00B85986" w:rsidRDefault="00B85986" w:rsidP="00CD1E93">
            <w:pPr>
              <w:jc w:val="center"/>
            </w:pPr>
            <w:r>
              <w:t>0.080</w:t>
            </w:r>
          </w:p>
        </w:tc>
        <w:tc>
          <w:tcPr>
            <w:tcW w:w="1045" w:type="dxa"/>
          </w:tcPr>
          <w:p w:rsidR="00B85986" w:rsidRDefault="00B85986" w:rsidP="00CD1E93">
            <w:pPr>
              <w:jc w:val="center"/>
            </w:pPr>
            <w:r>
              <w:t>0.089</w:t>
            </w:r>
          </w:p>
        </w:tc>
        <w:tc>
          <w:tcPr>
            <w:tcW w:w="1045" w:type="dxa"/>
          </w:tcPr>
          <w:p w:rsidR="00B85986" w:rsidRDefault="00B85986" w:rsidP="00CD1E93">
            <w:pPr>
              <w:jc w:val="center"/>
            </w:pPr>
            <w:r>
              <w:t>0.100</w:t>
            </w:r>
          </w:p>
        </w:tc>
      </w:tr>
      <w:tr w:rsidR="00B85986" w:rsidTr="00CD1E93">
        <w:tc>
          <w:tcPr>
            <w:tcW w:w="1243" w:type="dxa"/>
          </w:tcPr>
          <w:p w:rsidR="00B85986" w:rsidRDefault="00B85986" w:rsidP="00CD1E93">
            <w:r>
              <w:t>0.7</w:t>
            </w:r>
          </w:p>
        </w:tc>
        <w:tc>
          <w:tcPr>
            <w:tcW w:w="1295" w:type="dxa"/>
          </w:tcPr>
          <w:p w:rsidR="00B85986" w:rsidRDefault="00B85986" w:rsidP="00CD1E93">
            <w:pPr>
              <w:jc w:val="center"/>
            </w:pPr>
            <w:r>
              <w:t>0.035</w:t>
            </w:r>
          </w:p>
        </w:tc>
        <w:tc>
          <w:tcPr>
            <w:tcW w:w="1543" w:type="dxa"/>
          </w:tcPr>
          <w:p w:rsidR="00B85986" w:rsidRDefault="00B85986" w:rsidP="00CD1E93">
            <w:pPr>
              <w:jc w:val="center"/>
            </w:pPr>
            <w:r>
              <w:t>0.039</w:t>
            </w:r>
          </w:p>
        </w:tc>
        <w:tc>
          <w:tcPr>
            <w:tcW w:w="1045" w:type="dxa"/>
          </w:tcPr>
          <w:p w:rsidR="00B85986" w:rsidRDefault="00B85986" w:rsidP="00CD1E93">
            <w:pPr>
              <w:jc w:val="center"/>
            </w:pPr>
            <w:r>
              <w:t>0.044</w:t>
            </w:r>
          </w:p>
        </w:tc>
        <w:tc>
          <w:tcPr>
            <w:tcW w:w="1225" w:type="dxa"/>
          </w:tcPr>
          <w:p w:rsidR="00B85986" w:rsidRDefault="00B85986" w:rsidP="00CD1E93">
            <w:pPr>
              <w:jc w:val="center"/>
            </w:pPr>
            <w:r>
              <w:t>0.071</w:t>
            </w:r>
          </w:p>
        </w:tc>
        <w:tc>
          <w:tcPr>
            <w:tcW w:w="1045" w:type="dxa"/>
          </w:tcPr>
          <w:p w:rsidR="00B85986" w:rsidRDefault="00B85986" w:rsidP="00CD1E93">
            <w:pPr>
              <w:jc w:val="center"/>
            </w:pPr>
            <w:r>
              <w:t>0.079</w:t>
            </w:r>
          </w:p>
        </w:tc>
        <w:tc>
          <w:tcPr>
            <w:tcW w:w="1045" w:type="dxa"/>
          </w:tcPr>
          <w:p w:rsidR="00B85986" w:rsidRDefault="00B85986" w:rsidP="00CD1E93">
            <w:pPr>
              <w:jc w:val="center"/>
            </w:pPr>
            <w:r>
              <w:t>0.087</w:t>
            </w:r>
          </w:p>
        </w:tc>
      </w:tr>
      <w:tr w:rsidR="00B85986" w:rsidTr="00CD1E93">
        <w:tc>
          <w:tcPr>
            <w:tcW w:w="1243" w:type="dxa"/>
          </w:tcPr>
          <w:p w:rsidR="00B85986" w:rsidRDefault="00B85986" w:rsidP="00CD1E93">
            <w:r>
              <w:t>0.9</w:t>
            </w:r>
          </w:p>
        </w:tc>
        <w:tc>
          <w:tcPr>
            <w:tcW w:w="1295" w:type="dxa"/>
          </w:tcPr>
          <w:p w:rsidR="00B85986" w:rsidRDefault="00B85986" w:rsidP="00CD1E93">
            <w:pPr>
              <w:jc w:val="center"/>
            </w:pPr>
            <w:r>
              <w:t>0.022</w:t>
            </w:r>
          </w:p>
        </w:tc>
        <w:tc>
          <w:tcPr>
            <w:tcW w:w="1543" w:type="dxa"/>
          </w:tcPr>
          <w:p w:rsidR="00B85986" w:rsidRDefault="00B85986" w:rsidP="00CD1E93">
            <w:pPr>
              <w:jc w:val="center"/>
            </w:pPr>
            <w:r>
              <w:t>0.024</w:t>
            </w:r>
          </w:p>
        </w:tc>
        <w:tc>
          <w:tcPr>
            <w:tcW w:w="1045" w:type="dxa"/>
          </w:tcPr>
          <w:p w:rsidR="00B85986" w:rsidRDefault="00B85986" w:rsidP="00CD1E93">
            <w:pPr>
              <w:jc w:val="center"/>
            </w:pPr>
            <w:r>
              <w:t>0.026</w:t>
            </w:r>
          </w:p>
        </w:tc>
        <w:tc>
          <w:tcPr>
            <w:tcW w:w="1225" w:type="dxa"/>
          </w:tcPr>
          <w:p w:rsidR="00B85986" w:rsidRDefault="00B85986" w:rsidP="00CD1E93">
            <w:pPr>
              <w:jc w:val="center"/>
            </w:pPr>
            <w:r>
              <w:t>0.043</w:t>
            </w:r>
          </w:p>
        </w:tc>
        <w:tc>
          <w:tcPr>
            <w:tcW w:w="1045" w:type="dxa"/>
          </w:tcPr>
          <w:p w:rsidR="00B85986" w:rsidRDefault="00B85986" w:rsidP="00CD1E93">
            <w:pPr>
              <w:jc w:val="center"/>
            </w:pPr>
            <w:r>
              <w:t>0.047</w:t>
            </w:r>
          </w:p>
        </w:tc>
        <w:tc>
          <w:tcPr>
            <w:tcW w:w="1045" w:type="dxa"/>
          </w:tcPr>
          <w:p w:rsidR="00B85986" w:rsidRDefault="00B85986" w:rsidP="00CD1E93">
            <w:pPr>
              <w:jc w:val="center"/>
            </w:pPr>
            <w:r>
              <w:t>0052</w:t>
            </w:r>
          </w:p>
        </w:tc>
      </w:tr>
      <w:tr w:rsidR="00B85986" w:rsidTr="00CD1E93">
        <w:tc>
          <w:tcPr>
            <w:tcW w:w="8441" w:type="dxa"/>
            <w:gridSpan w:val="7"/>
          </w:tcPr>
          <w:p w:rsidR="00B85986" w:rsidRDefault="00B85986" w:rsidP="00CD1E93">
            <w:proofErr w:type="gramStart"/>
            <w:r w:rsidRPr="00910CFE">
              <w:rPr>
                <w:vertAlign w:val="superscript"/>
              </w:rPr>
              <w:t>a</w:t>
            </w:r>
            <w:proofErr w:type="gramEnd"/>
            <w:r>
              <w:t xml:space="preserve"> Power=0.80. α=0.05</w:t>
            </w:r>
          </w:p>
        </w:tc>
      </w:tr>
      <w:tr w:rsidR="00B85986" w:rsidTr="00CD1E93">
        <w:tc>
          <w:tcPr>
            <w:tcW w:w="8441" w:type="dxa"/>
            <w:gridSpan w:val="7"/>
          </w:tcPr>
          <w:p w:rsidR="00B85986" w:rsidRDefault="00B85986" w:rsidP="00CD1E93">
            <w:proofErr w:type="gramStart"/>
            <w:r w:rsidRPr="00910CFE">
              <w:rPr>
                <w:vertAlign w:val="superscript"/>
              </w:rPr>
              <w:t>b</w:t>
            </w:r>
            <w:proofErr w:type="gramEnd"/>
            <w:r>
              <w:t xml:space="preserve"> O</w:t>
            </w:r>
            <w:r w:rsidRPr="00910CFE">
              <w:t>ne-sample proportion test</w:t>
            </w:r>
            <w:r>
              <w:t xml:space="preserve"> </w:t>
            </w:r>
            <w:r w:rsidRPr="00910CFE">
              <w:t>Wald z test</w:t>
            </w:r>
            <w:r>
              <w:t xml:space="preserve"> (</w:t>
            </w:r>
            <w:r w:rsidRPr="00910CFE">
              <w:t>H</w:t>
            </w:r>
            <w:r w:rsidRPr="00910CFE">
              <w:rPr>
                <w:vertAlign w:val="subscript"/>
              </w:rPr>
              <w:t>o</w:t>
            </w:r>
            <w:r w:rsidRPr="00910CFE">
              <w:t>: p = p</w:t>
            </w:r>
            <w:r w:rsidRPr="00910CFE">
              <w:rPr>
                <w:vertAlign w:val="subscript"/>
              </w:rPr>
              <w:t>0</w:t>
            </w:r>
            <w:r w:rsidRPr="00910CFE">
              <w:t xml:space="preserve">  vs  H</w:t>
            </w:r>
            <w:r w:rsidRPr="00910CFE">
              <w:rPr>
                <w:vertAlign w:val="subscript"/>
              </w:rPr>
              <w:t>a</w:t>
            </w:r>
            <w:r w:rsidRPr="00910CFE">
              <w:t xml:space="preserve">: p </w:t>
            </w:r>
            <w:r>
              <w:t>≠</w:t>
            </w:r>
            <w:r w:rsidRPr="00910CFE">
              <w:t xml:space="preserve"> p</w:t>
            </w:r>
            <w:r w:rsidRPr="00910CFE">
              <w:rPr>
                <w:vertAlign w:val="subscript"/>
              </w:rPr>
              <w:t>0</w:t>
            </w:r>
            <w:r>
              <w:t>).</w:t>
            </w:r>
          </w:p>
        </w:tc>
      </w:tr>
      <w:tr w:rsidR="00B85986" w:rsidTr="00CD1E93">
        <w:tc>
          <w:tcPr>
            <w:tcW w:w="8441" w:type="dxa"/>
            <w:gridSpan w:val="7"/>
          </w:tcPr>
          <w:p w:rsidR="00B85986" w:rsidRDefault="00B85986" w:rsidP="00CD1E93">
            <w:proofErr w:type="gramStart"/>
            <w:r w:rsidRPr="00910CFE">
              <w:rPr>
                <w:vertAlign w:val="superscript"/>
              </w:rPr>
              <w:t>c</w:t>
            </w:r>
            <w:proofErr w:type="gramEnd"/>
            <w:r>
              <w:t xml:space="preserve"> T</w:t>
            </w:r>
            <w:r w:rsidRPr="00910CFE">
              <w:t>wo-sample proportions test</w:t>
            </w:r>
            <w:r>
              <w:t xml:space="preserve"> </w:t>
            </w:r>
            <w:r w:rsidRPr="00910CFE">
              <w:t>Pearson's chi-squared test</w:t>
            </w:r>
            <w:r>
              <w:t xml:space="preserve"> (</w:t>
            </w:r>
            <w:r w:rsidRPr="00910CFE">
              <w:t>H</w:t>
            </w:r>
            <w:r w:rsidRPr="00910CFE">
              <w:rPr>
                <w:vertAlign w:val="subscript"/>
              </w:rPr>
              <w:t>o</w:t>
            </w:r>
            <w:r w:rsidRPr="00910CFE">
              <w:t>: p</w:t>
            </w:r>
            <w:r w:rsidRPr="00910CFE">
              <w:rPr>
                <w:vertAlign w:val="subscript"/>
              </w:rPr>
              <w:t>2</w:t>
            </w:r>
            <w:r w:rsidRPr="00910CFE">
              <w:t xml:space="preserve"> = p</w:t>
            </w:r>
            <w:r>
              <w:rPr>
                <w:vertAlign w:val="subscript"/>
              </w:rPr>
              <w:t>1</w:t>
            </w:r>
            <w:r w:rsidRPr="00910CFE">
              <w:t xml:space="preserve">  vs  H</w:t>
            </w:r>
            <w:r w:rsidRPr="00910CFE">
              <w:rPr>
                <w:vertAlign w:val="subscript"/>
              </w:rPr>
              <w:t>a</w:t>
            </w:r>
            <w:r w:rsidRPr="00910CFE">
              <w:t>: p</w:t>
            </w:r>
            <w:r w:rsidRPr="00910CFE">
              <w:rPr>
                <w:vertAlign w:val="subscript"/>
              </w:rPr>
              <w:t>2</w:t>
            </w:r>
            <w:r w:rsidRPr="00910CFE">
              <w:t xml:space="preserve"> </w:t>
            </w:r>
            <w:r>
              <w:t>≠</w:t>
            </w:r>
            <w:r w:rsidRPr="00910CFE">
              <w:t xml:space="preserve"> p</w:t>
            </w:r>
            <w:r>
              <w:rPr>
                <w:vertAlign w:val="subscript"/>
              </w:rPr>
              <w:t>1</w:t>
            </w:r>
            <w:r>
              <w:t>).</w:t>
            </w:r>
          </w:p>
        </w:tc>
      </w:tr>
    </w:tbl>
    <w:p w:rsidR="00B85986" w:rsidRDefault="00B85986" w:rsidP="00B85986"/>
    <w:p w:rsidR="00B85986" w:rsidRPr="002154A9" w:rsidRDefault="00B85986" w:rsidP="00B85986">
      <w:pPr>
        <w:rPr>
          <w:rFonts w:eastAsiaTheme="minorHAnsi"/>
          <w:b/>
        </w:rPr>
      </w:pPr>
      <w:r w:rsidRPr="002154A9">
        <w:rPr>
          <w:rFonts w:eastAsiaTheme="minorHAnsi"/>
          <w:b/>
        </w:rPr>
        <w:t>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B85986" w:rsidRPr="00ED7B53" w:rsidRDefault="00B85986" w:rsidP="00B85986">
      <w:pPr>
        <w:pStyle w:val="BodyText1"/>
        <w:spacing w:before="200" w:after="200"/>
        <w:rPr>
          <w:rFonts w:ascii="Times New Roman" w:hAnsi="Times New Roman"/>
          <w:sz w:val="24"/>
          <w:szCs w:val="24"/>
        </w:rPr>
      </w:pPr>
      <w:r>
        <w:rPr>
          <w:rFonts w:ascii="Times New Roman" w:hAnsi="Times New Roman"/>
          <w:sz w:val="24"/>
          <w:szCs w:val="24"/>
        </w:rPr>
        <w:t xml:space="preserve">CNCS will provide JBS </w:t>
      </w:r>
      <w:r w:rsidRPr="007F008A">
        <w:rPr>
          <w:rFonts w:ascii="Times New Roman" w:hAnsi="Times New Roman"/>
          <w:sz w:val="24"/>
          <w:szCs w:val="24"/>
        </w:rPr>
        <w:t xml:space="preserve">a list of the </w:t>
      </w:r>
      <w:r>
        <w:rPr>
          <w:rFonts w:ascii="Times New Roman" w:hAnsi="Times New Roman"/>
          <w:sz w:val="24"/>
          <w:szCs w:val="24"/>
        </w:rPr>
        <w:t xml:space="preserve">FGP and SCP </w:t>
      </w:r>
      <w:r w:rsidRPr="007F008A">
        <w:rPr>
          <w:rFonts w:ascii="Times New Roman" w:hAnsi="Times New Roman"/>
          <w:sz w:val="24"/>
          <w:szCs w:val="24"/>
        </w:rPr>
        <w:t>participating grantees.</w:t>
      </w:r>
      <w:r>
        <w:t xml:space="preserve"> </w:t>
      </w:r>
      <w:r w:rsidRPr="004C5A4F">
        <w:rPr>
          <w:rFonts w:ascii="Times New Roman" w:hAnsi="Times New Roman"/>
          <w:sz w:val="24"/>
          <w:szCs w:val="24"/>
        </w:rPr>
        <w:t xml:space="preserve">The list of grantees will include the name of the grantee or sponsor organization, </w:t>
      </w:r>
      <w:r>
        <w:rPr>
          <w:rFonts w:ascii="Times New Roman" w:hAnsi="Times New Roman"/>
          <w:sz w:val="24"/>
          <w:szCs w:val="24"/>
        </w:rPr>
        <w:t xml:space="preserve">name and contact information for the grantee’s project director, </w:t>
      </w:r>
      <w:r w:rsidRPr="004C5A4F">
        <w:rPr>
          <w:rFonts w:ascii="Times New Roman" w:hAnsi="Times New Roman"/>
          <w:sz w:val="24"/>
          <w:szCs w:val="24"/>
        </w:rPr>
        <w:t xml:space="preserve">the state and city where the project is </w:t>
      </w:r>
      <w:r w:rsidRPr="0079215B">
        <w:rPr>
          <w:rFonts w:ascii="Times New Roman" w:hAnsi="Times New Roman"/>
          <w:sz w:val="24"/>
          <w:szCs w:val="24"/>
        </w:rPr>
        <w:t xml:space="preserve">operating. </w:t>
      </w:r>
      <w:r w:rsidRPr="00590CB5">
        <w:rPr>
          <w:rFonts w:ascii="Times New Roman" w:hAnsi="Times New Roman"/>
          <w:sz w:val="24"/>
          <w:szCs w:val="24"/>
        </w:rPr>
        <w:t xml:space="preserve">JBS will </w:t>
      </w:r>
      <w:r>
        <w:rPr>
          <w:rFonts w:ascii="Times New Roman" w:hAnsi="Times New Roman"/>
          <w:sz w:val="24"/>
          <w:szCs w:val="24"/>
        </w:rPr>
        <w:t>contact</w:t>
      </w:r>
      <w:r w:rsidRPr="00590CB5">
        <w:rPr>
          <w:rFonts w:ascii="Times New Roman" w:hAnsi="Times New Roman"/>
          <w:sz w:val="24"/>
          <w:szCs w:val="24"/>
        </w:rPr>
        <w:t xml:space="preserve"> each grantee to provide the following </w:t>
      </w:r>
      <w:r w:rsidRPr="00ED7B53">
        <w:rPr>
          <w:rFonts w:ascii="Times New Roman" w:hAnsi="Times New Roman"/>
          <w:sz w:val="24"/>
          <w:szCs w:val="24"/>
        </w:rPr>
        <w:t>information about their stations including: (a) Each station’s unique identifier  (e.g., name); (b) name and contact information of the staff person who coordinates enrollment of caregivers or volun</w:t>
      </w:r>
      <w:r>
        <w:rPr>
          <w:rFonts w:ascii="Times New Roman" w:hAnsi="Times New Roman"/>
          <w:sz w:val="24"/>
          <w:szCs w:val="24"/>
        </w:rPr>
        <w:t>t</w:t>
      </w:r>
      <w:r w:rsidRPr="00ED7B53">
        <w:rPr>
          <w:rFonts w:ascii="Times New Roman" w:hAnsi="Times New Roman"/>
          <w:sz w:val="24"/>
          <w:szCs w:val="24"/>
        </w:rPr>
        <w:t xml:space="preserve">eers; (c) City, state, zip code and 4-digit zip for each station. </w:t>
      </w:r>
    </w:p>
    <w:p w:rsidR="00B85986" w:rsidRPr="00ED7B53" w:rsidRDefault="00B85986" w:rsidP="00B85986">
      <w:pPr>
        <w:spacing w:after="200"/>
      </w:pPr>
      <w:r w:rsidRPr="00ED7B53">
        <w:t xml:space="preserve">Once a caregiver or volunteer consents to participate, the </w:t>
      </w:r>
      <w:r>
        <w:t xml:space="preserve">FGP/SCP </w:t>
      </w:r>
      <w:r w:rsidRPr="00ED7B53">
        <w:t xml:space="preserve">project staff will review the informed consent form with </w:t>
      </w:r>
      <w:r>
        <w:t>each</w:t>
      </w:r>
      <w:r w:rsidRPr="00ED7B53">
        <w:t xml:space="preserve"> participant. Project staff will remit the signed consent form to JBS. For each enrolled volunteer the project will indicate the anticipated date of orientation. Project</w:t>
      </w:r>
      <w:r>
        <w:t xml:space="preserve"> </w:t>
      </w:r>
      <w:r w:rsidRPr="00ED7B53">
        <w:t>s</w:t>
      </w:r>
      <w:r>
        <w:t>taff</w:t>
      </w:r>
      <w:r w:rsidRPr="00ED7B53">
        <w:t xml:space="preserve"> will </w:t>
      </w:r>
      <w:r>
        <w:t>provide</w:t>
      </w:r>
      <w:r w:rsidRPr="00ED7B53">
        <w:t xml:space="preserve"> the survey </w:t>
      </w:r>
      <w:r>
        <w:t>to</w:t>
      </w:r>
      <w:r w:rsidRPr="00ED7B53">
        <w:t xml:space="preserve"> the caregiver </w:t>
      </w:r>
      <w:r>
        <w:t xml:space="preserve">during the </w:t>
      </w:r>
      <w:r w:rsidRPr="00ED7B53">
        <w:t>intake</w:t>
      </w:r>
      <w:r>
        <w:t xml:space="preserve"> for respite services</w:t>
      </w:r>
      <w:r w:rsidRPr="00ED7B53">
        <w:t xml:space="preserve">, and for volunteers during orientation prior to the start of service. Attendance at orientation is required of all new volunteers. Therefore, it is reasonable to expect for those volunteers who agreed to participate in the study that this would be an opportune time to complete the survey. Participants can return their completed surveys in a sealed envelope to the </w:t>
      </w:r>
      <w:r>
        <w:t xml:space="preserve">project </w:t>
      </w:r>
      <w:r w:rsidRPr="00ED7B53">
        <w:t xml:space="preserve">staff </w:t>
      </w:r>
      <w:r>
        <w:t>that</w:t>
      </w:r>
      <w:r w:rsidRPr="00ED7B53">
        <w:t xml:space="preserve"> will then mail the surveys to JBS, or participants have the option to mail their completed surveys directly to JBS using a pre-paid postage envelope. </w:t>
      </w:r>
      <w:r>
        <w:rPr>
          <w:bCs/>
        </w:rPr>
        <w:t>JBS anticipates encountering situations involving volunteers or caregivers that may have a sensory or physical impairment. In cases where the respondent has an impairment, such as a hearing or speech impairment, the respondent may personally choose someone to assist them in completing the survey.</w:t>
      </w:r>
      <w:r w:rsidRPr="004A7A20" w:rsidDel="001D279D">
        <w:rPr>
          <w:bCs/>
        </w:rPr>
        <w:t xml:space="preserve"> </w:t>
      </w:r>
      <w:r w:rsidRPr="00ED7B53">
        <w:t>A trained JBS interviewer will contact volunteer</w:t>
      </w:r>
      <w:r>
        <w:t>s</w:t>
      </w:r>
      <w:r w:rsidRPr="00ED7B53">
        <w:t xml:space="preserve"> to complete the survey by telephone if a completed survey is not received within a week following their orientation. For each enrolled caregiver, the project will indicate the anticipated date for the in-take process to be completed. A </w:t>
      </w:r>
      <w:r>
        <w:t xml:space="preserve">trained </w:t>
      </w:r>
      <w:r w:rsidRPr="00ED7B53">
        <w:t xml:space="preserve">JBS interviewer will contact the caregiver to complete the survey by telephone if a completed survey is not received within a week following the completion of intake for respite </w:t>
      </w:r>
      <w:r>
        <w:t>services</w:t>
      </w:r>
      <w:r w:rsidRPr="00ED7B53">
        <w:t>.</w:t>
      </w:r>
    </w:p>
    <w:p w:rsidR="00B85986" w:rsidRPr="003F6B70" w:rsidRDefault="00B85986" w:rsidP="00B85986">
      <w:pPr>
        <w:pStyle w:val="Heading1"/>
        <w:keepLines w:val="0"/>
        <w:numPr>
          <w:ilvl w:val="0"/>
          <w:numId w:val="1"/>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lastRenderedPageBreak/>
        <w:t xml:space="preserve">Calculating </w:t>
      </w:r>
      <w:r w:rsidRPr="003F6B70">
        <w:rPr>
          <w:rFonts w:ascii="Times New Roman" w:eastAsia="Times New Roman" w:hAnsi="Times New Roman" w:cs="Times New Roman"/>
          <w:b w:val="0"/>
          <w:bCs w:val="0"/>
          <w:color w:val="auto"/>
          <w:sz w:val="24"/>
          <w:szCs w:val="24"/>
        </w:rPr>
        <w:t>Weights</w:t>
      </w:r>
    </w:p>
    <w:p w:rsidR="00B85986" w:rsidRPr="00ED7B53" w:rsidRDefault="00B85986" w:rsidP="00B85986">
      <w:pPr>
        <w:spacing w:after="200"/>
      </w:pPr>
      <w:r>
        <w:t xml:space="preserve">The proposed </w:t>
      </w:r>
      <w:r w:rsidRPr="00ED7B53">
        <w:t>design</w:t>
      </w:r>
      <w:r>
        <w:t xml:space="preserve"> </w:t>
      </w:r>
      <w:r w:rsidRPr="00ED7B53">
        <w:t xml:space="preserve">is a census of all eligible </w:t>
      </w:r>
      <w:r>
        <w:t xml:space="preserve">new </w:t>
      </w:r>
      <w:r w:rsidRPr="00ED7B53">
        <w:t xml:space="preserve">caregivers </w:t>
      </w:r>
      <w:r>
        <w:t xml:space="preserve">receiving respite care </w:t>
      </w:r>
      <w:r w:rsidRPr="00ED7B53">
        <w:t xml:space="preserve">and new volunteers within a specified enrollment window. This </w:t>
      </w:r>
      <w:r>
        <w:t xml:space="preserve">design </w:t>
      </w:r>
      <w:r w:rsidRPr="00ED7B53">
        <w:t>eliminate</w:t>
      </w:r>
      <w:r>
        <w:t>s</w:t>
      </w:r>
      <w:r w:rsidRPr="00ED7B53">
        <w:t xml:space="preserve"> the need </w:t>
      </w:r>
      <w:r>
        <w:t>to calculate</w:t>
      </w:r>
      <w:r w:rsidRPr="00ED7B53">
        <w:t xml:space="preserve"> sampling weights. However, regardless of design, </w:t>
      </w:r>
      <w:r>
        <w:t>JBS</w:t>
      </w:r>
      <w:r w:rsidRPr="00ED7B53">
        <w:t xml:space="preserve"> will calculate </w:t>
      </w:r>
      <w:r>
        <w:t xml:space="preserve">a </w:t>
      </w:r>
      <w:r w:rsidRPr="00ED7B53">
        <w:t xml:space="preserve">non-response weight adjustment. </w:t>
      </w:r>
      <w:r>
        <w:t>JBS will compute survey weights that account for differential non-response at each round of data collection. The possible reasons for nonresponse are an eligible respondent who declines to participate in the follow-up; a respondent that becomes ineligible (</w:t>
      </w:r>
      <w:proofErr w:type="spellStart"/>
      <w:r>
        <w:t>ie</w:t>
      </w:r>
      <w:proofErr w:type="spellEnd"/>
      <w:r>
        <w:t>, the person is deceased); and unknown eligibility in that the respondent could not be located as such it is unknown whether the respondent is still eligible (</w:t>
      </w:r>
      <w:proofErr w:type="spellStart"/>
      <w:proofErr w:type="gramStart"/>
      <w:r>
        <w:t>ie</w:t>
      </w:r>
      <w:proofErr w:type="spellEnd"/>
      <w:r>
        <w:t>.,</w:t>
      </w:r>
      <w:proofErr w:type="gramEnd"/>
      <w:r>
        <w:t xml:space="preserve"> not know if the respondent is deceased). Follow-up survey weights will account for both the propensity to participate in the baseline survey and the follow-up. The follow-up survey weights will be used in analyzing the combined baseline and follow-up data. </w:t>
      </w:r>
      <w:r w:rsidRPr="00A56AAB">
        <w:t xml:space="preserve">Analyses using the </w:t>
      </w:r>
      <w:r>
        <w:t xml:space="preserve">weights </w:t>
      </w:r>
      <w:r w:rsidRPr="00A56AAB">
        <w:t>will be representative of the original study population.</w:t>
      </w:r>
      <w:r>
        <w:t xml:space="preserve"> Since</w:t>
      </w:r>
      <w:r w:rsidRPr="00ED7B53">
        <w:t xml:space="preserve"> the data </w:t>
      </w:r>
      <w:r>
        <w:t xml:space="preserve">collection will </w:t>
      </w:r>
      <w:r w:rsidRPr="00ED7B53">
        <w:t>be integrated with data from the HRS data to form a matched comparison group</w:t>
      </w:r>
      <w:r>
        <w:t xml:space="preserve">, JBS </w:t>
      </w:r>
      <w:r w:rsidRPr="00ED7B53">
        <w:t xml:space="preserve">will evaluate whether </w:t>
      </w:r>
      <w:r>
        <w:t xml:space="preserve">it is necessary </w:t>
      </w:r>
      <w:r w:rsidRPr="00ED7B53">
        <w:t>to make weight adjustments for additional missing data arising from the matching process.</w:t>
      </w:r>
    </w:p>
    <w:p w:rsidR="00B85986" w:rsidRDefault="00B85986" w:rsidP="00B85986">
      <w:pPr>
        <w:autoSpaceDE w:val="0"/>
        <w:autoSpaceDN w:val="0"/>
        <w:adjustRightInd w:val="0"/>
      </w:pPr>
      <w:r>
        <w:rPr>
          <w:rFonts w:eastAsiaTheme="minorHAnsi"/>
          <w:b/>
        </w:rPr>
        <w:t xml:space="preserve">3. </w:t>
      </w:r>
      <w:r w:rsidRPr="00B24E90">
        <w:rPr>
          <w:rFonts w:eastAsiaTheme="minorHAnsi"/>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B85986" w:rsidRPr="00290818" w:rsidRDefault="00B85986" w:rsidP="00B85986">
      <w:pPr>
        <w:spacing w:before="200" w:after="200"/>
      </w:pPr>
      <w:r>
        <w:t>JBS will calculate response rate for each round of data collection, and will conduct non-response bias analysis is the response rate is below 80 percent. In this section CNCS describes the retention efforts to maximize response rates and minimize noon-response bias. CNCS assumes an 80 percent response rate for each follow-up for both studies. The proposed strategy</w:t>
      </w:r>
      <w:r w:rsidRPr="00290818">
        <w:t xml:space="preserve"> </w:t>
      </w:r>
      <w:r>
        <w:t xml:space="preserve">for maximizing response rates includes </w:t>
      </w:r>
      <w:r w:rsidRPr="00290818">
        <w:t xml:space="preserve">building points of access for participants to stay in contact with the research, as well as instituting regular, ongoing contact between follow-ups. </w:t>
      </w:r>
      <w:r>
        <w:t xml:space="preserve">As previously discussed, </w:t>
      </w:r>
      <w:r w:rsidRPr="00290818">
        <w:t xml:space="preserve"> </w:t>
      </w:r>
      <w:r>
        <w:t>the data collection f</w:t>
      </w:r>
      <w:r w:rsidRPr="00290818">
        <w:t xml:space="preserve">or both volunteers and caregivers will ask for </w:t>
      </w:r>
      <w:r>
        <w:t xml:space="preserve">contact information </w:t>
      </w:r>
      <w:r w:rsidRPr="00290818">
        <w:t>including landline telephone, cell phone, current address, any other seasonal address</w:t>
      </w:r>
      <w:r>
        <w:t xml:space="preserve"> and </w:t>
      </w:r>
      <w:r w:rsidRPr="00290818">
        <w:t xml:space="preserve">e-mail, and similar information on additional contacts, </w:t>
      </w:r>
      <w:r>
        <w:t xml:space="preserve">for up to two </w:t>
      </w:r>
      <w:r w:rsidRPr="00290818">
        <w:t xml:space="preserve">other relatives and friends. </w:t>
      </w:r>
      <w:r>
        <w:t xml:space="preserve">The data collection will also ask respondents for the </w:t>
      </w:r>
      <w:r w:rsidRPr="00290818">
        <w:t xml:space="preserve">ways that are best to use when contacting </w:t>
      </w:r>
      <w:r>
        <w:t>them for the follow-up survey</w:t>
      </w:r>
      <w:r w:rsidRPr="00290818">
        <w:t xml:space="preserve">. </w:t>
      </w:r>
    </w:p>
    <w:p w:rsidR="00B85986" w:rsidRDefault="00B85986" w:rsidP="00B85986">
      <w:r w:rsidRPr="00290818">
        <w:t>An equally important component of retention is to collaborate with the grantees</w:t>
      </w:r>
      <w:r>
        <w:t>/projects</w:t>
      </w:r>
      <w:r w:rsidRPr="00290818">
        <w:t xml:space="preserve">. </w:t>
      </w:r>
      <w:r>
        <w:t xml:space="preserve">Findings from the first evaluation of Senior Corps programs showed that </w:t>
      </w:r>
      <w:r w:rsidRPr="00290818">
        <w:t xml:space="preserve">response rates were higher when participants had been contacted in advance by someone they knew and trusted (e.g., the FGP or SCP project director or the Senior Companion). </w:t>
      </w:r>
      <w:r>
        <w:t>P</w:t>
      </w:r>
      <w:r w:rsidRPr="00290818">
        <w:t xml:space="preserve">articipants who remain associated with Senior Corps will come to trust the project staff and will be more likely to agree to remain in the study if the invitation comes from the project or station staff. </w:t>
      </w:r>
      <w:r w:rsidRPr="00290818">
        <w:rPr>
          <w:bCs/>
        </w:rPr>
        <w:t xml:space="preserve">For participants who are no longer associated with the </w:t>
      </w:r>
      <w:r>
        <w:rPr>
          <w:bCs/>
        </w:rPr>
        <w:t>program</w:t>
      </w:r>
      <w:r w:rsidRPr="00290818">
        <w:rPr>
          <w:bCs/>
        </w:rPr>
        <w:t xml:space="preserve">, </w:t>
      </w:r>
      <w:r>
        <w:rPr>
          <w:bCs/>
        </w:rPr>
        <w:t xml:space="preserve">JBS will engage in </w:t>
      </w:r>
      <w:r w:rsidRPr="00290818">
        <w:rPr>
          <w:bCs/>
        </w:rPr>
        <w:t xml:space="preserve">greater efforts </w:t>
      </w:r>
      <w:r>
        <w:rPr>
          <w:bCs/>
        </w:rPr>
        <w:t xml:space="preserve">to contact these participants through the additional contact information obtained in the preceding round of the data collection. </w:t>
      </w:r>
      <w:r w:rsidRPr="00290818">
        <w:rPr>
          <w:bCs/>
        </w:rPr>
        <w:t>The frequency with which this occurs will depend on the attrition rate.</w:t>
      </w:r>
    </w:p>
    <w:p w:rsidR="00B85986" w:rsidRDefault="00B85986" w:rsidP="00B85986">
      <w:pPr>
        <w:spacing w:before="200" w:after="200"/>
      </w:pPr>
      <w:r w:rsidRPr="00024274">
        <w:rPr>
          <w:b/>
        </w:rPr>
        <w:t>Non-response bias analysis</w:t>
      </w:r>
      <w:r>
        <w:t xml:space="preserve">: Even with the most aggressive and comprehensive retention efforts, there is a possibility of attrition in that some respondents that participated in the baseline survey may not be found for the follow-up (i.e., the respondent is deceased), or the respondent, </w:t>
      </w:r>
      <w:r>
        <w:lastRenderedPageBreak/>
        <w:t xml:space="preserve">even if found, may decline to participate in the follow-up. All completion rates at follow-up are conditioned on the respondent having been a baseline respondent, since follow-up data collection will be attempted only for the volunteers and caregivers that enrolled and provided informed consent at baseline. If the completion rate is less than 80 percent at the follow-up data collection JBS will conduct a non-response bias analysis to determine whether the follow-up respondents differ significantly from the baseline volunteers and caregivers that enrolled in the study. </w:t>
      </w:r>
    </w:p>
    <w:p w:rsidR="00B85986" w:rsidRPr="00CE1306" w:rsidRDefault="00B85986" w:rsidP="00B85986">
      <w:pPr>
        <w:autoSpaceDE w:val="0"/>
        <w:autoSpaceDN w:val="0"/>
        <w:adjustRightInd w:val="0"/>
        <w:rPr>
          <w:rFonts w:eastAsiaTheme="minorHAnsi"/>
          <w:b/>
        </w:rPr>
      </w:pPr>
      <w:r>
        <w:rPr>
          <w:rFonts w:eastAsiaTheme="minorHAnsi"/>
          <w:b/>
        </w:rPr>
        <w:t xml:space="preserve">4. </w:t>
      </w:r>
      <w:r w:rsidRPr="00CE1306">
        <w:rPr>
          <w:rFonts w:eastAsiaTheme="minorHAnsi"/>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B85986" w:rsidRDefault="00B85986" w:rsidP="00B85986">
      <w:pPr>
        <w:pStyle w:val="BodyText1"/>
        <w:spacing w:before="200" w:after="200"/>
        <w:rPr>
          <w:rFonts w:ascii="Times New Roman" w:hAnsi="Times New Roman"/>
          <w:sz w:val="24"/>
          <w:szCs w:val="24"/>
        </w:rPr>
      </w:pPr>
      <w:r>
        <w:rPr>
          <w:rFonts w:ascii="Times New Roman" w:hAnsi="Times New Roman"/>
          <w:sz w:val="24"/>
          <w:szCs w:val="24"/>
        </w:rPr>
        <w:t>As discussed earlier, JBS conducted a pilot test of the surveys with less than nine respondents per instrument variant in English and Spanish. This pilot test included the following:</w:t>
      </w:r>
      <w:r w:rsidDel="00485429">
        <w:rPr>
          <w:rFonts w:ascii="Times New Roman" w:hAnsi="Times New Roman"/>
          <w:sz w:val="24"/>
          <w:szCs w:val="24"/>
        </w:rPr>
        <w:t xml:space="preserve"> </w:t>
      </w:r>
      <w:r>
        <w:rPr>
          <w:rFonts w:ascii="Times New Roman" w:hAnsi="Times New Roman"/>
          <w:sz w:val="24"/>
          <w:szCs w:val="24"/>
        </w:rPr>
        <w:t>content review focusing on c</w:t>
      </w:r>
      <w:r w:rsidRPr="00C72E01">
        <w:rPr>
          <w:rFonts w:ascii="Times New Roman" w:hAnsi="Times New Roman"/>
          <w:sz w:val="24"/>
          <w:szCs w:val="24"/>
        </w:rPr>
        <w:t>ompleteness of instructions and questions for respondents</w:t>
      </w:r>
      <w:r>
        <w:rPr>
          <w:rFonts w:ascii="Times New Roman" w:hAnsi="Times New Roman"/>
          <w:sz w:val="24"/>
          <w:szCs w:val="24"/>
        </w:rPr>
        <w:t>; c</w:t>
      </w:r>
      <w:r w:rsidRPr="00C72E01">
        <w:rPr>
          <w:rFonts w:ascii="Times New Roman" w:hAnsi="Times New Roman"/>
          <w:sz w:val="24"/>
          <w:szCs w:val="24"/>
        </w:rPr>
        <w:t>larity of instructions and questions for respondents</w:t>
      </w:r>
      <w:r>
        <w:rPr>
          <w:rFonts w:ascii="Times New Roman" w:hAnsi="Times New Roman"/>
          <w:sz w:val="24"/>
          <w:szCs w:val="24"/>
        </w:rPr>
        <w:t>; s</w:t>
      </w:r>
      <w:r w:rsidRPr="00C72E01">
        <w:rPr>
          <w:rFonts w:ascii="Times New Roman" w:hAnsi="Times New Roman"/>
          <w:sz w:val="24"/>
          <w:szCs w:val="24"/>
        </w:rPr>
        <w:t>equence of questions</w:t>
      </w:r>
      <w:r>
        <w:rPr>
          <w:rFonts w:ascii="Times New Roman" w:hAnsi="Times New Roman"/>
          <w:sz w:val="24"/>
          <w:szCs w:val="24"/>
        </w:rPr>
        <w:t>; r</w:t>
      </w:r>
      <w:r w:rsidRPr="00C72E01">
        <w:rPr>
          <w:rFonts w:ascii="Times New Roman" w:hAnsi="Times New Roman"/>
          <w:sz w:val="24"/>
          <w:szCs w:val="24"/>
        </w:rPr>
        <w:t>elevance of questions for target audience</w:t>
      </w:r>
      <w:r>
        <w:rPr>
          <w:rFonts w:ascii="Times New Roman" w:hAnsi="Times New Roman"/>
          <w:sz w:val="24"/>
          <w:szCs w:val="24"/>
        </w:rPr>
        <w:t>; u</w:t>
      </w:r>
      <w:r w:rsidRPr="00C72E01">
        <w:rPr>
          <w:rFonts w:ascii="Times New Roman" w:hAnsi="Times New Roman"/>
          <w:sz w:val="24"/>
          <w:szCs w:val="24"/>
        </w:rPr>
        <w:t>se of language that target audience understands</w:t>
      </w:r>
      <w:r>
        <w:rPr>
          <w:rFonts w:ascii="Times New Roman" w:hAnsi="Times New Roman"/>
          <w:sz w:val="24"/>
          <w:szCs w:val="24"/>
        </w:rPr>
        <w:t>; u</w:t>
      </w:r>
      <w:r w:rsidRPr="00C72E01">
        <w:rPr>
          <w:rFonts w:ascii="Times New Roman" w:hAnsi="Times New Roman"/>
          <w:sz w:val="24"/>
          <w:szCs w:val="24"/>
        </w:rPr>
        <w:t>se of appropriate and relevant terms</w:t>
      </w:r>
      <w:r>
        <w:rPr>
          <w:rFonts w:ascii="Times New Roman" w:hAnsi="Times New Roman"/>
          <w:sz w:val="24"/>
          <w:szCs w:val="24"/>
        </w:rPr>
        <w:t xml:space="preserve">; and </w:t>
      </w:r>
      <w:r w:rsidRPr="00C72E01">
        <w:rPr>
          <w:rFonts w:ascii="Times New Roman" w:hAnsi="Times New Roman"/>
          <w:sz w:val="24"/>
          <w:szCs w:val="24"/>
        </w:rPr>
        <w:t>appropriate</w:t>
      </w:r>
      <w:r>
        <w:rPr>
          <w:rFonts w:ascii="Times New Roman" w:hAnsi="Times New Roman"/>
          <w:sz w:val="24"/>
          <w:szCs w:val="24"/>
        </w:rPr>
        <w:t xml:space="preserve">ness of format. JBS also conducted cognitive interviews during pre-test to </w:t>
      </w:r>
      <w:r w:rsidRPr="00BB72FD">
        <w:rPr>
          <w:rFonts w:ascii="Times New Roman" w:hAnsi="Times New Roman"/>
          <w:sz w:val="24"/>
          <w:szCs w:val="24"/>
        </w:rPr>
        <w:t>determine the extent to which respondents’ understandings of the questio</w:t>
      </w:r>
      <w:r>
        <w:rPr>
          <w:rFonts w:ascii="Times New Roman" w:hAnsi="Times New Roman"/>
          <w:sz w:val="24"/>
          <w:szCs w:val="24"/>
        </w:rPr>
        <w:t>ns match their intended meaning. Appendix H summarizes the survey pre-test procedures and findings.</w:t>
      </w:r>
    </w:p>
    <w:p w:rsidR="00B85986" w:rsidRPr="00B24E90" w:rsidRDefault="00B85986" w:rsidP="00B85986">
      <w:pPr>
        <w:tabs>
          <w:tab w:val="left" w:pos="540"/>
        </w:tabs>
        <w:autoSpaceDE w:val="0"/>
        <w:autoSpaceDN w:val="0"/>
        <w:adjustRightInd w:val="0"/>
        <w:spacing w:after="120"/>
        <w:rPr>
          <w:rFonts w:eastAsiaTheme="minorHAnsi"/>
        </w:rPr>
      </w:pPr>
      <w:r>
        <w:rPr>
          <w:rFonts w:eastAsiaTheme="minorHAnsi"/>
          <w:b/>
        </w:rPr>
        <w:t xml:space="preserve">5. </w:t>
      </w:r>
      <w:r w:rsidRPr="00CE1306">
        <w:rPr>
          <w:rFonts w:eastAsiaTheme="minorHAnsi"/>
          <w:b/>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B85986" w:rsidRDefault="00B85986" w:rsidP="00B85986">
      <w:pPr>
        <w:pStyle w:val="BodyText1"/>
        <w:numPr>
          <w:ilvl w:val="0"/>
          <w:numId w:val="3"/>
        </w:numPr>
        <w:spacing w:before="200" w:after="200"/>
        <w:rPr>
          <w:rFonts w:ascii="Times New Roman" w:eastAsiaTheme="minorHAnsi" w:hAnsi="Times New Roman"/>
          <w:sz w:val="24"/>
          <w:szCs w:val="24"/>
        </w:rPr>
      </w:pPr>
      <w:r>
        <w:rPr>
          <w:rFonts w:ascii="Times New Roman" w:eastAsiaTheme="minorHAnsi" w:hAnsi="Times New Roman"/>
          <w:sz w:val="24"/>
          <w:szCs w:val="24"/>
        </w:rPr>
        <w:t>The following i</w:t>
      </w:r>
      <w:r w:rsidRPr="005232F8">
        <w:rPr>
          <w:rFonts w:ascii="Times New Roman" w:eastAsiaTheme="minorHAnsi" w:hAnsi="Times New Roman"/>
          <w:sz w:val="24"/>
          <w:szCs w:val="24"/>
        </w:rPr>
        <w:t xml:space="preserve">ndividuals </w:t>
      </w:r>
      <w:r>
        <w:rPr>
          <w:rFonts w:ascii="Times New Roman" w:eastAsiaTheme="minorHAnsi" w:hAnsi="Times New Roman"/>
          <w:sz w:val="24"/>
          <w:szCs w:val="24"/>
        </w:rPr>
        <w:t xml:space="preserve">were </w:t>
      </w:r>
      <w:r w:rsidRPr="005232F8">
        <w:rPr>
          <w:rFonts w:ascii="Times New Roman" w:eastAsiaTheme="minorHAnsi" w:hAnsi="Times New Roman"/>
          <w:sz w:val="24"/>
          <w:szCs w:val="24"/>
        </w:rPr>
        <w:t>consulted on statistical aspects of the design</w:t>
      </w:r>
      <w:r>
        <w:rPr>
          <w:rFonts w:ascii="Times New Roman" w:eastAsiaTheme="minorHAnsi" w:hAnsi="Times New Roman"/>
          <w:sz w:val="24"/>
          <w:szCs w:val="24"/>
        </w:rPr>
        <w:t>:</w:t>
      </w:r>
    </w:p>
    <w:p w:rsidR="00B85986" w:rsidRDefault="00B85986" w:rsidP="00B85986">
      <w:pPr>
        <w:rPr>
          <w:rFonts w:eastAsiaTheme="minorHAnsi"/>
        </w:rPr>
      </w:pPr>
      <w:r>
        <w:rPr>
          <w:rFonts w:eastAsiaTheme="minorHAnsi"/>
        </w:rPr>
        <w:t xml:space="preserve">JBS International, Inc.: Annie Georges, PhD (650.373.4938); Susan </w:t>
      </w:r>
      <w:r w:rsidRPr="00FD7C7B">
        <w:t>Gabbard</w:t>
      </w:r>
      <w:r>
        <w:rPr>
          <w:rFonts w:eastAsiaTheme="minorHAnsi"/>
        </w:rPr>
        <w:t>, PhD (</w:t>
      </w:r>
      <w:r w:rsidRPr="00FD7C7B">
        <w:rPr>
          <w:lang w:val="fr-FR"/>
        </w:rPr>
        <w:t>650.373.4949</w:t>
      </w:r>
      <w:r>
        <w:rPr>
          <w:lang w:val="fr-FR"/>
        </w:rPr>
        <w:t>)</w:t>
      </w:r>
    </w:p>
    <w:p w:rsidR="00B85986" w:rsidRDefault="00B85986" w:rsidP="00B85986">
      <w:pPr>
        <w:rPr>
          <w:rFonts w:eastAsiaTheme="minorHAnsi"/>
        </w:rPr>
      </w:pPr>
      <w:r w:rsidRPr="00CE1306">
        <w:t xml:space="preserve">State University of New York </w:t>
      </w:r>
      <w:r>
        <w:t>at</w:t>
      </w:r>
      <w:r w:rsidRPr="00CE1306">
        <w:t xml:space="preserve"> Buffalo</w:t>
      </w:r>
      <w:r>
        <w:rPr>
          <w:rFonts w:eastAsiaTheme="minorHAnsi"/>
        </w:rPr>
        <w:t xml:space="preserve">: Robert L. </w:t>
      </w:r>
      <w:proofErr w:type="spellStart"/>
      <w:r>
        <w:rPr>
          <w:rFonts w:eastAsiaTheme="minorHAnsi"/>
        </w:rPr>
        <w:t>Wagmiller</w:t>
      </w:r>
      <w:proofErr w:type="spellEnd"/>
      <w:r>
        <w:rPr>
          <w:rFonts w:eastAsiaTheme="minorHAnsi"/>
        </w:rPr>
        <w:t>, Jr., PhD (rw26</w:t>
      </w:r>
      <w:r w:rsidRPr="009C76F6">
        <w:rPr>
          <w:rFonts w:eastAsiaTheme="minorHAnsi"/>
        </w:rPr>
        <w:t>@</w:t>
      </w:r>
      <w:r>
        <w:rPr>
          <w:rFonts w:eastAsiaTheme="minorHAnsi"/>
        </w:rPr>
        <w:t>buffalo.edu)</w:t>
      </w:r>
    </w:p>
    <w:p w:rsidR="00B85986" w:rsidRDefault="00B85986" w:rsidP="00B85986">
      <w:pPr>
        <w:rPr>
          <w:rFonts w:eastAsiaTheme="minorHAnsi"/>
        </w:rPr>
      </w:pPr>
    </w:p>
    <w:p w:rsidR="00B85986" w:rsidRDefault="00B85986" w:rsidP="00B85986">
      <w:pPr>
        <w:rPr>
          <w:rFonts w:eastAsiaTheme="minorHAnsi"/>
        </w:rPr>
      </w:pPr>
      <w:r>
        <w:rPr>
          <w:rFonts w:eastAsiaTheme="minorHAnsi"/>
        </w:rPr>
        <w:t xml:space="preserve">Technical Working Group Members: Robert A. </w:t>
      </w:r>
      <w:proofErr w:type="spellStart"/>
      <w:r>
        <w:rPr>
          <w:rFonts w:eastAsiaTheme="minorHAnsi"/>
        </w:rPr>
        <w:t>Applebaum</w:t>
      </w:r>
      <w:proofErr w:type="spellEnd"/>
      <w:r>
        <w:rPr>
          <w:rFonts w:eastAsiaTheme="minorHAnsi"/>
        </w:rPr>
        <w:t>, PhD (</w:t>
      </w:r>
      <w:hyperlink r:id="rId8" w:history="1">
        <w:r w:rsidRPr="007E68F7">
          <w:rPr>
            <w:rFonts w:eastAsiaTheme="minorHAnsi"/>
          </w:rPr>
          <w:t>applebra@miamioh.edu</w:t>
        </w:r>
      </w:hyperlink>
      <w:r>
        <w:rPr>
          <w:rFonts w:eastAsiaTheme="minorHAnsi"/>
        </w:rPr>
        <w:t>); Michele Carlson, PhD (</w:t>
      </w:r>
      <w:hyperlink r:id="rId9" w:history="1">
        <w:r w:rsidRPr="00F62049">
          <w:rPr>
            <w:rStyle w:val="Hyperlink"/>
          </w:rPr>
          <w:t>mcarlso2@jhu.edu</w:t>
        </w:r>
      </w:hyperlink>
      <w:r>
        <w:rPr>
          <w:rStyle w:val="Hyperlink"/>
        </w:rPr>
        <w:t xml:space="preserve">); </w:t>
      </w:r>
      <w:r>
        <w:rPr>
          <w:rFonts w:eastAsiaTheme="minorHAnsi"/>
        </w:rPr>
        <w:t xml:space="preserve">Dawn C. </w:t>
      </w:r>
      <w:proofErr w:type="spellStart"/>
      <w:r>
        <w:rPr>
          <w:rFonts w:eastAsiaTheme="minorHAnsi"/>
        </w:rPr>
        <w:t>Carr</w:t>
      </w:r>
      <w:proofErr w:type="spellEnd"/>
      <w:r>
        <w:rPr>
          <w:rFonts w:eastAsiaTheme="minorHAnsi"/>
        </w:rPr>
        <w:t>, PhD (</w:t>
      </w:r>
      <w:hyperlink r:id="rId10" w:history="1">
        <w:r w:rsidRPr="00F62049">
          <w:rPr>
            <w:rStyle w:val="Hyperlink"/>
          </w:rPr>
          <w:t>dawncelestecarr@gmail.com</w:t>
        </w:r>
      </w:hyperlink>
      <w:r>
        <w:rPr>
          <w:rFonts w:eastAsiaTheme="minorHAnsi"/>
        </w:rPr>
        <w:t xml:space="preserve">); </w:t>
      </w:r>
      <w:r>
        <w:rPr>
          <w:rStyle w:val="Hyperlink"/>
        </w:rPr>
        <w:t xml:space="preserve">Tara </w:t>
      </w:r>
      <w:proofErr w:type="spellStart"/>
      <w:r>
        <w:rPr>
          <w:rStyle w:val="Hyperlink"/>
        </w:rPr>
        <w:t>Gruenewald</w:t>
      </w:r>
      <w:proofErr w:type="spellEnd"/>
      <w:r>
        <w:rPr>
          <w:rStyle w:val="Hyperlink"/>
        </w:rPr>
        <w:t>, PhD (</w:t>
      </w:r>
      <w:hyperlink r:id="rId11" w:history="1">
        <w:r w:rsidRPr="00F62049">
          <w:rPr>
            <w:rStyle w:val="Hyperlink"/>
          </w:rPr>
          <w:t>gruenewa@usc.edu</w:t>
        </w:r>
      </w:hyperlink>
      <w:r>
        <w:rPr>
          <w:rStyle w:val="Hyperlink"/>
        </w:rPr>
        <w:t>); Joyce Miller, PhD (</w:t>
      </w:r>
      <w:hyperlink r:id="rId12" w:history="1">
        <w:r w:rsidRPr="00F62049">
          <w:rPr>
            <w:rStyle w:val="Hyperlink"/>
          </w:rPr>
          <w:t>joycem@ksrc.biz</w:t>
        </w:r>
      </w:hyperlink>
      <w:r>
        <w:rPr>
          <w:rStyle w:val="Hyperlink"/>
        </w:rPr>
        <w:t xml:space="preserve">); </w:t>
      </w:r>
      <w:r w:rsidRPr="00BB233A">
        <w:rPr>
          <w:rFonts w:eastAsiaTheme="minorHAnsi"/>
        </w:rPr>
        <w:t>Suzanne Kunkel, PhD</w:t>
      </w:r>
      <w:r>
        <w:rPr>
          <w:rFonts w:eastAsiaTheme="minorHAnsi"/>
        </w:rPr>
        <w:t xml:space="preserve"> (</w:t>
      </w:r>
      <w:hyperlink r:id="rId13" w:history="1">
        <w:r w:rsidRPr="00B42043">
          <w:rPr>
            <w:rFonts w:eastAsiaTheme="minorHAnsi"/>
          </w:rPr>
          <w:t>kunkels@miamioh.edu</w:t>
        </w:r>
      </w:hyperlink>
      <w:r>
        <w:rPr>
          <w:rFonts w:eastAsiaTheme="minorHAnsi"/>
        </w:rPr>
        <w:t xml:space="preserve">); </w:t>
      </w:r>
      <w:r w:rsidRPr="00BB233A">
        <w:rPr>
          <w:rFonts w:eastAsiaTheme="minorHAnsi"/>
        </w:rPr>
        <w:t>Jacqui Smith, PhD</w:t>
      </w:r>
      <w:r>
        <w:rPr>
          <w:rFonts w:eastAsiaTheme="minorHAnsi"/>
        </w:rPr>
        <w:t xml:space="preserve"> (</w:t>
      </w:r>
      <w:hyperlink r:id="rId14" w:history="1">
        <w:r w:rsidRPr="00F444B1">
          <w:rPr>
            <w:rStyle w:val="Hyperlink"/>
            <w:rFonts w:eastAsiaTheme="minorHAnsi"/>
          </w:rPr>
          <w:t>smitjacq@umich.edu</w:t>
        </w:r>
      </w:hyperlink>
      <w:r>
        <w:rPr>
          <w:rFonts w:eastAsiaTheme="minorHAnsi"/>
        </w:rPr>
        <w:t xml:space="preserve">); </w:t>
      </w:r>
    </w:p>
    <w:p w:rsidR="00B85986" w:rsidRDefault="00B85986" w:rsidP="00B85986">
      <w:pPr>
        <w:rPr>
          <w:rFonts w:eastAsiaTheme="minorHAnsi"/>
        </w:rPr>
      </w:pPr>
    </w:p>
    <w:p w:rsidR="00B85986" w:rsidRPr="00640C3C" w:rsidRDefault="00B85986" w:rsidP="00B85986">
      <w:pPr>
        <w:pStyle w:val="BodyText1"/>
        <w:numPr>
          <w:ilvl w:val="0"/>
          <w:numId w:val="3"/>
        </w:numPr>
        <w:spacing w:after="180"/>
        <w:rPr>
          <w:rFonts w:ascii="Times New Roman" w:eastAsiaTheme="minorHAnsi" w:hAnsi="Times New Roman"/>
          <w:sz w:val="24"/>
          <w:szCs w:val="24"/>
        </w:rPr>
      </w:pPr>
      <w:r w:rsidRPr="00640C3C">
        <w:rPr>
          <w:rFonts w:ascii="Times New Roman" w:eastAsiaTheme="minorHAnsi" w:hAnsi="Times New Roman"/>
          <w:sz w:val="24"/>
          <w:szCs w:val="24"/>
        </w:rPr>
        <w:t>Name of the agency unit, contractor(s), grantee(s), or other person(s) who will actually collect and/or analyze the information for the agency</w:t>
      </w:r>
    </w:p>
    <w:p w:rsidR="00B85986" w:rsidRPr="00641D7F" w:rsidRDefault="00B85986" w:rsidP="00B85986">
      <w:pPr>
        <w:ind w:left="2880"/>
        <w:rPr>
          <w:rFonts w:eastAsiaTheme="minorHAnsi"/>
          <w:lang w:val="fr-FR"/>
        </w:rPr>
      </w:pPr>
      <w:r w:rsidRPr="00641D7F">
        <w:rPr>
          <w:rFonts w:eastAsiaTheme="minorHAnsi"/>
          <w:lang w:val="fr-FR"/>
        </w:rPr>
        <w:t>JBS International, Inc.</w:t>
      </w:r>
    </w:p>
    <w:p w:rsidR="00B85986" w:rsidRPr="00641D7F" w:rsidRDefault="00B85986" w:rsidP="00B85986">
      <w:pPr>
        <w:ind w:left="2880"/>
        <w:rPr>
          <w:rFonts w:eastAsiaTheme="minorHAnsi"/>
          <w:lang w:val="fr-FR"/>
        </w:rPr>
      </w:pPr>
      <w:r w:rsidRPr="00641D7F">
        <w:rPr>
          <w:rFonts w:eastAsiaTheme="minorHAnsi"/>
          <w:lang w:val="fr-FR"/>
        </w:rPr>
        <w:t>555 Airport Boulevard, Suite 400</w:t>
      </w:r>
    </w:p>
    <w:p w:rsidR="00B85986" w:rsidRDefault="00B85986" w:rsidP="00B85986">
      <w:pPr>
        <w:ind w:left="2880"/>
        <w:rPr>
          <w:rFonts w:eastAsiaTheme="minorHAnsi"/>
        </w:rPr>
      </w:pPr>
      <w:r w:rsidRPr="00334C63">
        <w:rPr>
          <w:rFonts w:eastAsiaTheme="minorHAnsi"/>
        </w:rPr>
        <w:t>Burlingame, CA 94010</w:t>
      </w:r>
    </w:p>
    <w:p w:rsidR="00B85986" w:rsidRDefault="00B85986" w:rsidP="00B85986">
      <w:pPr>
        <w:ind w:left="2880"/>
        <w:rPr>
          <w:rFonts w:eastAsiaTheme="minorHAnsi"/>
        </w:rPr>
      </w:pPr>
    </w:p>
    <w:p w:rsidR="00B85986" w:rsidRDefault="00B85986" w:rsidP="00B85986">
      <w:pPr>
        <w:spacing w:after="200" w:line="276" w:lineRule="auto"/>
        <w:rPr>
          <w:rFonts w:eastAsiaTheme="minorHAnsi"/>
        </w:rPr>
      </w:pPr>
      <w:r>
        <w:rPr>
          <w:rFonts w:eastAsiaTheme="minorHAnsi"/>
        </w:rPr>
        <w:br w:type="page"/>
      </w:r>
    </w:p>
    <w:p w:rsidR="00B85986" w:rsidRDefault="00B85986" w:rsidP="00B85986">
      <w:pPr>
        <w:autoSpaceDE w:val="0"/>
        <w:autoSpaceDN w:val="0"/>
        <w:adjustRightInd w:val="0"/>
        <w:rPr>
          <w:rFonts w:eastAsiaTheme="minorHAnsi"/>
        </w:rPr>
      </w:pPr>
      <w:r>
        <w:rPr>
          <w:rFonts w:eastAsiaTheme="minorHAnsi"/>
        </w:rPr>
        <w:lastRenderedPageBreak/>
        <w:t>References</w:t>
      </w:r>
    </w:p>
    <w:p w:rsidR="00B85986" w:rsidRDefault="00B85986" w:rsidP="00B85986">
      <w:pPr>
        <w:autoSpaceDE w:val="0"/>
        <w:autoSpaceDN w:val="0"/>
        <w:adjustRightInd w:val="0"/>
        <w:rPr>
          <w:rFonts w:eastAsiaTheme="minorHAnsi"/>
        </w:rPr>
      </w:pPr>
    </w:p>
    <w:p w:rsidR="00B85986" w:rsidRPr="006B7C3C" w:rsidRDefault="00B85986" w:rsidP="00B85986">
      <w:pPr>
        <w:autoSpaceDE w:val="0"/>
        <w:autoSpaceDN w:val="0"/>
        <w:adjustRightInd w:val="0"/>
        <w:spacing w:after="200"/>
      </w:pPr>
      <w:r w:rsidRPr="006B7C3C">
        <w:t xml:space="preserve">Allison, P. D. (2002). </w:t>
      </w:r>
      <w:proofErr w:type="gramStart"/>
      <w:r w:rsidRPr="006B7C3C">
        <w:rPr>
          <w:i/>
          <w:iCs/>
        </w:rPr>
        <w:t>Missing data</w:t>
      </w:r>
      <w:r w:rsidRPr="006B7C3C">
        <w:t>.</w:t>
      </w:r>
      <w:proofErr w:type="gramEnd"/>
      <w:r w:rsidRPr="006B7C3C">
        <w:t xml:space="preserve"> Thousand Oaks, CA: Sage Publications</w:t>
      </w:r>
      <w:proofErr w:type="gramStart"/>
      <w:r w:rsidRPr="006B7C3C">
        <w:t>, .</w:t>
      </w:r>
      <w:proofErr w:type="gramEnd"/>
    </w:p>
    <w:p w:rsidR="00B85986" w:rsidRPr="006B7C3C" w:rsidRDefault="00B85986" w:rsidP="00B85986">
      <w:pPr>
        <w:spacing w:after="200"/>
      </w:pPr>
      <w:proofErr w:type="spellStart"/>
      <w:proofErr w:type="gramStart"/>
      <w:r w:rsidRPr="006B7C3C">
        <w:t>Beckler</w:t>
      </w:r>
      <w:proofErr w:type="spellEnd"/>
      <w:r w:rsidRPr="006B7C3C">
        <w:t xml:space="preserve">, D., &amp; </w:t>
      </w:r>
      <w:proofErr w:type="spellStart"/>
      <w:r w:rsidRPr="006B7C3C">
        <w:t>Ott</w:t>
      </w:r>
      <w:proofErr w:type="spellEnd"/>
      <w:r w:rsidRPr="006B7C3C">
        <w:t>, K. (2006).</w:t>
      </w:r>
      <w:proofErr w:type="gramEnd"/>
      <w:r w:rsidRPr="006B7C3C">
        <w:t xml:space="preserve"> </w:t>
      </w:r>
      <w:proofErr w:type="gramStart"/>
      <w:r w:rsidRPr="000D62F1">
        <w:rPr>
          <w:i/>
        </w:rPr>
        <w:t>Indirect monetary incentives with a complex agricultural establishment surve</w:t>
      </w:r>
      <w:r w:rsidRPr="006B7C3C">
        <w:t>y.</w:t>
      </w:r>
      <w:proofErr w:type="gramEnd"/>
      <w:r w:rsidRPr="006B7C3C">
        <w:t xml:space="preserve"> </w:t>
      </w:r>
      <w:proofErr w:type="gramStart"/>
      <w:r w:rsidRPr="006B7C3C">
        <w:t>ASA Section on Survey on Survey Research Methods.</w:t>
      </w:r>
      <w:proofErr w:type="gramEnd"/>
      <w:r w:rsidRPr="006B7C3C">
        <w:t xml:space="preserve"> 2741-2748. Retrieved from </w:t>
      </w:r>
      <w:hyperlink r:id="rId15" w:history="1">
        <w:r w:rsidRPr="006B7C3C">
          <w:rPr>
            <w:rStyle w:val="Hyperlink"/>
          </w:rPr>
          <w:t>https://www.amstat.org/sections/srms/proceedings/y2006/Files/JSM2006-000059.pdf</w:t>
        </w:r>
      </w:hyperlink>
    </w:p>
    <w:p w:rsidR="00B85986" w:rsidRPr="006B7C3C" w:rsidRDefault="00B85986" w:rsidP="00B85986">
      <w:pPr>
        <w:pStyle w:val="FootnoteText"/>
        <w:spacing w:after="200"/>
        <w:rPr>
          <w:rFonts w:ascii="Times New Roman" w:hAnsi="Times New Roman"/>
          <w:sz w:val="24"/>
          <w:szCs w:val="24"/>
        </w:rPr>
      </w:pPr>
      <w:proofErr w:type="spellStart"/>
      <w:proofErr w:type="gramStart"/>
      <w:r w:rsidRPr="006B7C3C">
        <w:rPr>
          <w:rFonts w:ascii="Times New Roman" w:hAnsi="Times New Roman"/>
          <w:sz w:val="24"/>
          <w:szCs w:val="24"/>
        </w:rPr>
        <w:t>Blossfeld</w:t>
      </w:r>
      <w:proofErr w:type="spellEnd"/>
      <w:r w:rsidRPr="006B7C3C">
        <w:rPr>
          <w:rFonts w:ascii="Times New Roman" w:hAnsi="Times New Roman"/>
          <w:sz w:val="24"/>
          <w:szCs w:val="24"/>
        </w:rPr>
        <w:t xml:space="preserve">, H., </w:t>
      </w:r>
      <w:proofErr w:type="spellStart"/>
      <w:r w:rsidRPr="006B7C3C">
        <w:rPr>
          <w:rFonts w:ascii="Times New Roman" w:hAnsi="Times New Roman"/>
          <w:sz w:val="24"/>
          <w:szCs w:val="24"/>
        </w:rPr>
        <w:t>Hamerle</w:t>
      </w:r>
      <w:proofErr w:type="spellEnd"/>
      <w:r w:rsidRPr="006B7C3C">
        <w:rPr>
          <w:rFonts w:ascii="Times New Roman" w:hAnsi="Times New Roman"/>
          <w:sz w:val="24"/>
          <w:szCs w:val="24"/>
        </w:rPr>
        <w:t>, A., &amp; Mayer, K. U. (1989).</w:t>
      </w:r>
      <w:proofErr w:type="gramEnd"/>
      <w:r w:rsidRPr="006B7C3C">
        <w:rPr>
          <w:rFonts w:ascii="Times New Roman" w:hAnsi="Times New Roman"/>
          <w:sz w:val="24"/>
          <w:szCs w:val="24"/>
        </w:rPr>
        <w:t xml:space="preserve"> </w:t>
      </w:r>
      <w:r w:rsidRPr="000D62F1">
        <w:rPr>
          <w:rFonts w:ascii="Times New Roman" w:hAnsi="Times New Roman"/>
          <w:i/>
          <w:sz w:val="24"/>
          <w:szCs w:val="24"/>
        </w:rPr>
        <w:t>Event history analyses: Statistical theory and application in the social sciences</w:t>
      </w:r>
      <w:r w:rsidRPr="006B7C3C">
        <w:rPr>
          <w:rFonts w:ascii="Times New Roman" w:hAnsi="Times New Roman"/>
          <w:sz w:val="24"/>
          <w:szCs w:val="24"/>
        </w:rPr>
        <w:t xml:space="preserve">. Hillsdale, NJ and Hove and London: Lawrence Erlbaum Associates.   </w:t>
      </w:r>
    </w:p>
    <w:p w:rsidR="00B85986" w:rsidRPr="006B7C3C" w:rsidRDefault="00B85986" w:rsidP="00B85986">
      <w:pPr>
        <w:spacing w:after="200"/>
        <w:rPr>
          <w:color w:val="222222"/>
          <w:shd w:val="clear" w:color="auto" w:fill="FFFFFF"/>
        </w:rPr>
      </w:pPr>
      <w:proofErr w:type="spellStart"/>
      <w:r>
        <w:t>Jäckle</w:t>
      </w:r>
      <w:proofErr w:type="spellEnd"/>
      <w:r>
        <w:t>, A.</w:t>
      </w:r>
      <w:r w:rsidRPr="006B7C3C">
        <w:t xml:space="preserve">, </w:t>
      </w:r>
      <w:r>
        <w:t>&amp;</w:t>
      </w:r>
      <w:r w:rsidRPr="006B7C3C">
        <w:t xml:space="preserve"> Lynn</w:t>
      </w:r>
      <w:r>
        <w:t xml:space="preserve">, </w:t>
      </w:r>
      <w:proofErr w:type="gramStart"/>
      <w:r>
        <w:t>P.</w:t>
      </w:r>
      <w:r w:rsidRPr="006B7C3C">
        <w:t>.</w:t>
      </w:r>
      <w:proofErr w:type="gramEnd"/>
      <w:r w:rsidRPr="006B7C3C">
        <w:t xml:space="preserve"> </w:t>
      </w:r>
      <w:r>
        <w:t>(</w:t>
      </w:r>
      <w:r w:rsidRPr="006B7C3C">
        <w:t>2008</w:t>
      </w:r>
      <w:r>
        <w:t>)</w:t>
      </w:r>
      <w:r w:rsidRPr="006B7C3C">
        <w:t xml:space="preserve">. Respondent incentives in a multi-mode panel survey: Cumulative effects on nonresponse and bias. </w:t>
      </w:r>
      <w:r w:rsidRPr="000D62F1">
        <w:rPr>
          <w:i/>
        </w:rPr>
        <w:t>Survey Methodology</w:t>
      </w:r>
      <w:r w:rsidRPr="006B7C3C">
        <w:t xml:space="preserve"> 34 (1): 105–17.</w:t>
      </w:r>
    </w:p>
    <w:p w:rsidR="00B85986" w:rsidRPr="006B7C3C" w:rsidRDefault="00B85986" w:rsidP="00B85986">
      <w:pPr>
        <w:pStyle w:val="FootnoteText"/>
        <w:spacing w:after="200"/>
        <w:rPr>
          <w:rFonts w:ascii="Times New Roman" w:hAnsi="Times New Roman"/>
          <w:sz w:val="24"/>
          <w:szCs w:val="24"/>
        </w:rPr>
      </w:pPr>
      <w:proofErr w:type="spellStart"/>
      <w:proofErr w:type="gramStart"/>
      <w:r w:rsidRPr="006B7C3C">
        <w:rPr>
          <w:rFonts w:ascii="Times New Roman" w:hAnsi="Times New Roman"/>
          <w:sz w:val="24"/>
          <w:szCs w:val="24"/>
        </w:rPr>
        <w:t>Kolwnikov</w:t>
      </w:r>
      <w:proofErr w:type="spellEnd"/>
      <w:r w:rsidRPr="006B7C3C">
        <w:rPr>
          <w:rFonts w:ascii="Times New Roman" w:hAnsi="Times New Roman"/>
          <w:sz w:val="24"/>
          <w:szCs w:val="24"/>
        </w:rPr>
        <w:t>, A., &amp; Kennedy, C. (2014).</w:t>
      </w:r>
      <w:proofErr w:type="gramEnd"/>
      <w:r w:rsidRPr="006B7C3C">
        <w:rPr>
          <w:rFonts w:ascii="Times New Roman" w:hAnsi="Times New Roman"/>
          <w:sz w:val="24"/>
          <w:szCs w:val="24"/>
        </w:rPr>
        <w:t xml:space="preserve"> </w:t>
      </w:r>
      <w:proofErr w:type="gramStart"/>
      <w:r w:rsidRPr="006B7C3C">
        <w:rPr>
          <w:rFonts w:ascii="Times New Roman" w:hAnsi="Times New Roman"/>
          <w:sz w:val="24"/>
          <w:szCs w:val="24"/>
        </w:rPr>
        <w:t>Evaluating three approaches to statistically adjust for mode effects.</w:t>
      </w:r>
      <w:proofErr w:type="gramEnd"/>
      <w:r w:rsidRPr="006B7C3C">
        <w:rPr>
          <w:rFonts w:ascii="Times New Roman" w:hAnsi="Times New Roman"/>
          <w:sz w:val="24"/>
          <w:szCs w:val="24"/>
        </w:rPr>
        <w:t xml:space="preserve"> </w:t>
      </w:r>
      <w:r w:rsidRPr="006B7C3C">
        <w:rPr>
          <w:rFonts w:ascii="Times New Roman" w:hAnsi="Times New Roman"/>
          <w:i/>
          <w:sz w:val="24"/>
          <w:szCs w:val="24"/>
        </w:rPr>
        <w:t>Journal of Survey Statistics and Methodology</w:t>
      </w:r>
      <w:r w:rsidRPr="006B7C3C">
        <w:rPr>
          <w:rFonts w:ascii="Times New Roman" w:hAnsi="Times New Roman"/>
          <w:sz w:val="24"/>
          <w:szCs w:val="24"/>
        </w:rPr>
        <w:t>, 2, 126-158.</w:t>
      </w:r>
    </w:p>
    <w:p w:rsidR="00B85986" w:rsidRPr="006B7C3C" w:rsidRDefault="00B85986" w:rsidP="00B85986">
      <w:pPr>
        <w:spacing w:after="200"/>
        <w:rPr>
          <w:rFonts w:eastAsiaTheme="minorHAnsi"/>
        </w:rPr>
      </w:pPr>
      <w:proofErr w:type="gramStart"/>
      <w:r w:rsidRPr="006B7C3C">
        <w:t>Schaffer, J. L., &amp; Graham, J. W. (2002).</w:t>
      </w:r>
      <w:proofErr w:type="gramEnd"/>
      <w:r w:rsidRPr="006B7C3C">
        <w:t xml:space="preserve"> </w:t>
      </w:r>
      <w:proofErr w:type="gramStart"/>
      <w:r w:rsidRPr="000D62F1">
        <w:rPr>
          <w:i/>
        </w:rPr>
        <w:t>Missing data: Our view of the state of the art</w:t>
      </w:r>
      <w:r w:rsidRPr="006B7C3C">
        <w:t>.</w:t>
      </w:r>
      <w:proofErr w:type="gramEnd"/>
      <w:r w:rsidRPr="006B7C3C">
        <w:t xml:space="preserve"> </w:t>
      </w:r>
      <w:r w:rsidRPr="006B7C3C">
        <w:rPr>
          <w:i/>
          <w:iCs/>
        </w:rPr>
        <w:t>Psychological Methods, 7</w:t>
      </w:r>
      <w:r w:rsidRPr="006B7C3C">
        <w:t>, 147-177.</w:t>
      </w:r>
    </w:p>
    <w:p w:rsidR="00B85986" w:rsidRPr="006B7C3C" w:rsidRDefault="00B85986" w:rsidP="00B85986">
      <w:pPr>
        <w:spacing w:after="200"/>
        <w:rPr>
          <w:color w:val="222222"/>
          <w:shd w:val="clear" w:color="auto" w:fill="FFFFFF"/>
        </w:rPr>
      </w:pPr>
      <w:proofErr w:type="gramStart"/>
      <w:r w:rsidRPr="006B7C3C">
        <w:t>Singer, E., &amp; Ye, C. (2013).</w:t>
      </w:r>
      <w:proofErr w:type="gramEnd"/>
      <w:r w:rsidRPr="006B7C3C">
        <w:t xml:space="preserve"> </w:t>
      </w:r>
      <w:proofErr w:type="gramStart"/>
      <w:r w:rsidRPr="006B7C3C">
        <w:t>The use and effects of incentives in surveys.</w:t>
      </w:r>
      <w:proofErr w:type="gramEnd"/>
      <w:r w:rsidRPr="006B7C3C">
        <w:t xml:space="preserve"> </w:t>
      </w:r>
      <w:proofErr w:type="gramStart"/>
      <w:r w:rsidRPr="000D62F1">
        <w:rPr>
          <w:i/>
        </w:rPr>
        <w:t>The ANNALS of American Academy of Political and Social Science</w:t>
      </w:r>
      <w:r w:rsidRPr="006B7C3C">
        <w:t>.</w:t>
      </w:r>
      <w:proofErr w:type="gramEnd"/>
      <w:r w:rsidRPr="006B7C3C">
        <w:t xml:space="preserve"> 645, 112-141. DOI: 10.1177/0002716212458082. </w:t>
      </w:r>
      <w:proofErr w:type="gramStart"/>
      <w:r w:rsidRPr="006B7C3C">
        <w:rPr>
          <w:color w:val="222222"/>
          <w:shd w:val="clear" w:color="auto" w:fill="FFFFFF"/>
        </w:rPr>
        <w:t xml:space="preserve">Retrieved from </w:t>
      </w:r>
      <w:hyperlink r:id="rId16" w:history="1">
        <w:r w:rsidRPr="006B7C3C">
          <w:rPr>
            <w:rStyle w:val="Hyperlink"/>
            <w:shd w:val="clear" w:color="auto" w:fill="FFFFFF"/>
          </w:rPr>
          <w:t>http://ann.sagepub.com/content/645/1/112</w:t>
        </w:r>
      </w:hyperlink>
      <w:r w:rsidRPr="006B7C3C">
        <w:rPr>
          <w:color w:val="222222"/>
          <w:shd w:val="clear" w:color="auto" w:fill="FFFFFF"/>
        </w:rPr>
        <w:t>.</w:t>
      </w:r>
      <w:proofErr w:type="gramEnd"/>
    </w:p>
    <w:p w:rsidR="00B85986" w:rsidRPr="006B7C3C" w:rsidRDefault="00B85986" w:rsidP="00B85986">
      <w:pPr>
        <w:pStyle w:val="FootnoteText"/>
        <w:spacing w:after="200"/>
        <w:rPr>
          <w:rFonts w:ascii="Times New Roman" w:hAnsi="Times New Roman"/>
          <w:sz w:val="24"/>
          <w:szCs w:val="24"/>
        </w:rPr>
      </w:pPr>
      <w:proofErr w:type="gramStart"/>
      <w:r w:rsidRPr="006B7C3C">
        <w:rPr>
          <w:rFonts w:ascii="Times New Roman" w:hAnsi="Times New Roman"/>
          <w:sz w:val="24"/>
          <w:szCs w:val="24"/>
        </w:rPr>
        <w:t>Singer, J., &amp; Willett, J. B. (2003).</w:t>
      </w:r>
      <w:proofErr w:type="gramEnd"/>
      <w:r w:rsidRPr="006B7C3C">
        <w:rPr>
          <w:rFonts w:ascii="Times New Roman" w:hAnsi="Times New Roman"/>
          <w:sz w:val="24"/>
          <w:szCs w:val="24"/>
        </w:rPr>
        <w:t xml:space="preserve">  </w:t>
      </w:r>
      <w:proofErr w:type="gramStart"/>
      <w:r w:rsidRPr="006B7C3C">
        <w:rPr>
          <w:rFonts w:ascii="Times New Roman" w:hAnsi="Times New Roman"/>
          <w:i/>
          <w:sz w:val="24"/>
          <w:szCs w:val="24"/>
        </w:rPr>
        <w:t xml:space="preserve">Applied longitudinal data analysis: </w:t>
      </w:r>
      <w:r w:rsidRPr="006B7C3C">
        <w:rPr>
          <w:rFonts w:ascii="Times New Roman" w:hAnsi="Times New Roman"/>
          <w:sz w:val="24"/>
          <w:szCs w:val="24"/>
        </w:rPr>
        <w:t>Modeling</w:t>
      </w:r>
      <w:r w:rsidRPr="006B7C3C">
        <w:rPr>
          <w:rFonts w:ascii="Times New Roman" w:hAnsi="Times New Roman"/>
          <w:i/>
          <w:sz w:val="24"/>
          <w:szCs w:val="24"/>
        </w:rPr>
        <w:t xml:space="preserve"> change and event occurrence</w:t>
      </w:r>
      <w:r w:rsidRPr="006B7C3C">
        <w:rPr>
          <w:rFonts w:ascii="Times New Roman" w:hAnsi="Times New Roman"/>
          <w:sz w:val="24"/>
          <w:szCs w:val="24"/>
        </w:rPr>
        <w:t>.</w:t>
      </w:r>
      <w:proofErr w:type="gramEnd"/>
      <w:r w:rsidRPr="006B7C3C">
        <w:rPr>
          <w:rFonts w:ascii="Times New Roman" w:hAnsi="Times New Roman"/>
          <w:sz w:val="24"/>
          <w:szCs w:val="24"/>
        </w:rPr>
        <w:t xml:space="preserve"> New York, NY: Oxford University Press.</w:t>
      </w:r>
    </w:p>
    <w:p w:rsidR="00B85986" w:rsidRPr="006B7C3C" w:rsidRDefault="00B85986" w:rsidP="00B85986">
      <w:pPr>
        <w:spacing w:after="200"/>
        <w:rPr>
          <w:rFonts w:cs="Calibri"/>
          <w:color w:val="000000"/>
        </w:rPr>
      </w:pPr>
      <w:proofErr w:type="gramStart"/>
      <w:r w:rsidRPr="006B7C3C">
        <w:rPr>
          <w:rFonts w:cs="Calibri"/>
          <w:color w:val="000000"/>
        </w:rPr>
        <w:t>Zhang, F. (2010).</w:t>
      </w:r>
      <w:proofErr w:type="gramEnd"/>
      <w:r w:rsidRPr="006B7C3C">
        <w:rPr>
          <w:rFonts w:cs="Calibri"/>
          <w:color w:val="000000"/>
        </w:rPr>
        <w:t xml:space="preserve"> </w:t>
      </w:r>
      <w:r w:rsidRPr="006B7C3C">
        <w:rPr>
          <w:rFonts w:cs="Calibri"/>
          <w:i/>
          <w:iCs/>
          <w:color w:val="000000"/>
        </w:rPr>
        <w:t>Incentive experiments: NSF experiences. (</w:t>
      </w:r>
      <w:r w:rsidRPr="006B7C3C">
        <w:rPr>
          <w:rFonts w:cs="Calibri"/>
          <w:color w:val="000000"/>
        </w:rPr>
        <w:t>Working Paper SRS 11-200). Arlington, VA: National Science Foundation, Division of Science Resources Statistics.</w:t>
      </w:r>
    </w:p>
    <w:p w:rsidR="00B85986" w:rsidRPr="00334C63" w:rsidRDefault="00B85986" w:rsidP="00B85986">
      <w:pPr>
        <w:pStyle w:val="FootnoteText"/>
        <w:rPr>
          <w:rFonts w:eastAsiaTheme="minorHAnsi"/>
        </w:rPr>
      </w:pPr>
    </w:p>
    <w:p w:rsidR="00F11A79" w:rsidRDefault="00F11A79"/>
    <w:sectPr w:rsidR="00F11A79" w:rsidSect="002E5ED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86" w:rsidRDefault="00B85986" w:rsidP="00B85986">
      <w:r>
        <w:separator/>
      </w:r>
    </w:p>
  </w:endnote>
  <w:endnote w:type="continuationSeparator" w:id="0">
    <w:p w:rsidR="00B85986" w:rsidRDefault="00B85986" w:rsidP="00B8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00000000" w:usb2="01000407"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rsidR="00147985" w:rsidRDefault="00B85986">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sdtContent>
      </w:sdt>
    </w:sdtContent>
  </w:sdt>
  <w:p w:rsidR="00147985" w:rsidRDefault="00B8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86" w:rsidRDefault="00B85986" w:rsidP="00B85986">
      <w:r>
        <w:separator/>
      </w:r>
    </w:p>
  </w:footnote>
  <w:footnote w:type="continuationSeparator" w:id="0">
    <w:p w:rsidR="00B85986" w:rsidRDefault="00B85986" w:rsidP="00B85986">
      <w:r>
        <w:continuationSeparator/>
      </w:r>
    </w:p>
  </w:footnote>
  <w:footnote w:id="1">
    <w:p w:rsidR="00B85986" w:rsidRPr="003257B5" w:rsidRDefault="00B85986" w:rsidP="00B85986">
      <w:pPr>
        <w:pStyle w:val="FootnoteText"/>
        <w:rPr>
          <w:rStyle w:val="FootnoteReference"/>
          <w:rFonts w:ascii="Arial" w:hAnsi="Arial" w:cs="Arial"/>
          <w:sz w:val="22"/>
          <w:szCs w:val="22"/>
        </w:rPr>
      </w:pPr>
      <w:r w:rsidRPr="00F15302">
        <w:rPr>
          <w:rStyle w:val="FootnoteReference"/>
          <w:rFonts w:ascii="Times New Roman" w:hAnsi="Times New Roman"/>
        </w:rPr>
        <w:footnoteRef/>
      </w:r>
      <w:r w:rsidRPr="00F15302">
        <w:rPr>
          <w:rFonts w:ascii="Times New Roman" w:hAnsi="Times New Roman"/>
        </w:rPr>
        <w:t xml:space="preserve"> </w:t>
      </w:r>
      <w:r w:rsidRPr="00F15302">
        <w:rPr>
          <w:rStyle w:val="FootnoteReference"/>
          <w:rFonts w:ascii="Times New Roman" w:hAnsi="Times New Roman"/>
        </w:rPr>
        <w:t xml:space="preserve">The projected number of SCP grantees that provide respite care is based on CNCS’s </w:t>
      </w:r>
      <w:r>
        <w:rPr>
          <w:rStyle w:val="FootnoteReference"/>
          <w:rFonts w:ascii="Times New Roman" w:hAnsi="Times New Roman"/>
        </w:rPr>
        <w:t xml:space="preserve">performance measure data for fiscal year 2014 and projections for fiscal year 2015, and the </w:t>
      </w:r>
      <w:r w:rsidRPr="00F15302">
        <w:rPr>
          <w:rStyle w:val="FootnoteReference"/>
          <w:rFonts w:ascii="Times New Roman" w:hAnsi="Times New Roman"/>
        </w:rPr>
        <w:t>first Evaluation of Senior Corps (ESC) programs. In the ESC, CNCS conducted a census of SCP grantees that were renewing their grants in fiscal year 2013. Of the 39 SCP grantees that participated in the ESC, 34 grantees reported the number of caregivers receiving respite care. Based on this data, CNCS assumes that approximately 87 percent of SCP grantees provide respite care. Of these 34 grantees, 31 grantees administered the caregiver respite survey, a cooperation rate of 92 percent.</w:t>
      </w:r>
      <w:r w:rsidRPr="00F15302">
        <w:rPr>
          <w:rFonts w:ascii="Times New Roman" w:hAnsi="Times New Roman"/>
        </w:rPr>
        <w:t xml:space="preserve"> </w:t>
      </w:r>
      <w:r w:rsidRPr="00F15302">
        <w:rPr>
          <w:rStyle w:val="FootnoteReference"/>
          <w:rFonts w:ascii="Times New Roman" w:hAnsi="Times New Roman"/>
        </w:rPr>
        <w:t xml:space="preserve">The number of participating grantees may be lower. At the last evaluation 10 out 61 grantees, 16% received some sort of exemptions – </w:t>
      </w:r>
      <w:proofErr w:type="spellStart"/>
      <w:r w:rsidRPr="00F15302">
        <w:rPr>
          <w:rStyle w:val="FootnoteReference"/>
          <w:rFonts w:ascii="Times New Roman" w:hAnsi="Times New Roman"/>
        </w:rPr>
        <w:t>ie</w:t>
      </w:r>
      <w:proofErr w:type="spellEnd"/>
      <w:r w:rsidRPr="00F15302">
        <w:rPr>
          <w:rStyle w:val="FootnoteReference"/>
          <w:rFonts w:ascii="Times New Roman" w:hAnsi="Times New Roman"/>
        </w:rPr>
        <w:t>., institutional settings such as nursing homes, and grantees that relinquished their grants.</w:t>
      </w:r>
      <w:r>
        <w:rPr>
          <w:rStyle w:val="FootnoteReference"/>
          <w:rFonts w:ascii="Arial" w:hAnsi="Arial" w:cs="Arial"/>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8C1"/>
    <w:multiLevelType w:val="hybridMultilevel"/>
    <w:tmpl w:val="403A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07A70"/>
    <w:multiLevelType w:val="hybridMultilevel"/>
    <w:tmpl w:val="F73A0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9D5744"/>
    <w:multiLevelType w:val="hybridMultilevel"/>
    <w:tmpl w:val="3010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86"/>
    <w:rsid w:val="00B85986"/>
    <w:rsid w:val="00F1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86"/>
    <w:pPr>
      <w:spacing w:after="0" w:line="240" w:lineRule="auto"/>
    </w:pPr>
    <w:rPr>
      <w:rFonts w:eastAsia="Times New Roman"/>
    </w:rPr>
  </w:style>
  <w:style w:type="paragraph" w:styleId="Heading1">
    <w:name w:val="heading 1"/>
    <w:basedOn w:val="Normal"/>
    <w:next w:val="Normal"/>
    <w:link w:val="Heading1Char"/>
    <w:uiPriority w:val="99"/>
    <w:qFormat/>
    <w:rsid w:val="00B859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598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85986"/>
    <w:pPr>
      <w:ind w:left="720"/>
      <w:contextualSpacing/>
    </w:pPr>
  </w:style>
  <w:style w:type="paragraph" w:customStyle="1" w:styleId="BodyText1">
    <w:name w:val="Body Text1"/>
    <w:uiPriority w:val="99"/>
    <w:rsid w:val="00B85986"/>
    <w:pPr>
      <w:spacing w:after="120" w:line="240" w:lineRule="auto"/>
    </w:pPr>
    <w:rPr>
      <w:rFonts w:ascii="Lucida Grande" w:eastAsia="ヒラギノ角ゴ Pro W3" w:hAnsi="Lucida Grande"/>
      <w:color w:val="000000"/>
      <w:sz w:val="20"/>
      <w:szCs w:val="20"/>
    </w:rPr>
  </w:style>
  <w:style w:type="character" w:styleId="Hyperlink">
    <w:name w:val="Hyperlink"/>
    <w:basedOn w:val="DefaultParagraphFont"/>
    <w:uiPriority w:val="99"/>
    <w:unhideWhenUsed/>
    <w:rsid w:val="00B85986"/>
    <w:rPr>
      <w:color w:val="0000FF"/>
      <w:u w:val="single"/>
    </w:rPr>
  </w:style>
  <w:style w:type="paragraph" w:styleId="Footer">
    <w:name w:val="footer"/>
    <w:basedOn w:val="Normal"/>
    <w:link w:val="FooterChar"/>
    <w:uiPriority w:val="99"/>
    <w:unhideWhenUsed/>
    <w:rsid w:val="00B85986"/>
    <w:pPr>
      <w:tabs>
        <w:tab w:val="center" w:pos="4680"/>
        <w:tab w:val="right" w:pos="9360"/>
      </w:tabs>
    </w:pPr>
  </w:style>
  <w:style w:type="character" w:customStyle="1" w:styleId="FooterChar">
    <w:name w:val="Footer Char"/>
    <w:basedOn w:val="DefaultParagraphFont"/>
    <w:link w:val="Footer"/>
    <w:uiPriority w:val="99"/>
    <w:rsid w:val="00B85986"/>
    <w:rPr>
      <w:rFonts w:eastAsia="Times New Roman"/>
    </w:rPr>
  </w:style>
  <w:style w:type="paragraph" w:styleId="FootnoteText">
    <w:name w:val="footnote text"/>
    <w:basedOn w:val="Normal"/>
    <w:link w:val="FootnoteTextChar"/>
    <w:uiPriority w:val="99"/>
    <w:rsid w:val="00B85986"/>
    <w:rPr>
      <w:rFonts w:ascii="Palatino" w:eastAsia="Cambria" w:hAnsi="Palatino"/>
      <w:sz w:val="20"/>
      <w:szCs w:val="20"/>
    </w:rPr>
  </w:style>
  <w:style w:type="character" w:customStyle="1" w:styleId="FootnoteTextChar">
    <w:name w:val="Footnote Text Char"/>
    <w:basedOn w:val="DefaultParagraphFont"/>
    <w:link w:val="FootnoteText"/>
    <w:uiPriority w:val="99"/>
    <w:rsid w:val="00B85986"/>
    <w:rPr>
      <w:rFonts w:ascii="Palatino" w:eastAsia="Cambria" w:hAnsi="Palatino"/>
      <w:sz w:val="20"/>
      <w:szCs w:val="20"/>
    </w:rPr>
  </w:style>
  <w:style w:type="character" w:styleId="FootnoteReference">
    <w:name w:val="footnote reference"/>
    <w:basedOn w:val="DefaultParagraphFont"/>
    <w:uiPriority w:val="99"/>
    <w:semiHidden/>
    <w:rsid w:val="00B85986"/>
    <w:rPr>
      <w:rFonts w:cs="Times New Roman"/>
      <w:vertAlign w:val="superscript"/>
    </w:rPr>
  </w:style>
  <w:style w:type="table" w:styleId="TableGrid">
    <w:name w:val="Table Grid"/>
    <w:basedOn w:val="TableNormal"/>
    <w:uiPriority w:val="59"/>
    <w:rsid w:val="00B8598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86"/>
    <w:pPr>
      <w:spacing w:after="0" w:line="240" w:lineRule="auto"/>
    </w:pPr>
    <w:rPr>
      <w:rFonts w:eastAsia="Times New Roman"/>
    </w:rPr>
  </w:style>
  <w:style w:type="paragraph" w:styleId="Heading1">
    <w:name w:val="heading 1"/>
    <w:basedOn w:val="Normal"/>
    <w:next w:val="Normal"/>
    <w:link w:val="Heading1Char"/>
    <w:uiPriority w:val="99"/>
    <w:qFormat/>
    <w:rsid w:val="00B859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598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85986"/>
    <w:pPr>
      <w:ind w:left="720"/>
      <w:contextualSpacing/>
    </w:pPr>
  </w:style>
  <w:style w:type="paragraph" w:customStyle="1" w:styleId="BodyText1">
    <w:name w:val="Body Text1"/>
    <w:uiPriority w:val="99"/>
    <w:rsid w:val="00B85986"/>
    <w:pPr>
      <w:spacing w:after="120" w:line="240" w:lineRule="auto"/>
    </w:pPr>
    <w:rPr>
      <w:rFonts w:ascii="Lucida Grande" w:eastAsia="ヒラギノ角ゴ Pro W3" w:hAnsi="Lucida Grande"/>
      <w:color w:val="000000"/>
      <w:sz w:val="20"/>
      <w:szCs w:val="20"/>
    </w:rPr>
  </w:style>
  <w:style w:type="character" w:styleId="Hyperlink">
    <w:name w:val="Hyperlink"/>
    <w:basedOn w:val="DefaultParagraphFont"/>
    <w:uiPriority w:val="99"/>
    <w:unhideWhenUsed/>
    <w:rsid w:val="00B85986"/>
    <w:rPr>
      <w:color w:val="0000FF"/>
      <w:u w:val="single"/>
    </w:rPr>
  </w:style>
  <w:style w:type="paragraph" w:styleId="Footer">
    <w:name w:val="footer"/>
    <w:basedOn w:val="Normal"/>
    <w:link w:val="FooterChar"/>
    <w:uiPriority w:val="99"/>
    <w:unhideWhenUsed/>
    <w:rsid w:val="00B85986"/>
    <w:pPr>
      <w:tabs>
        <w:tab w:val="center" w:pos="4680"/>
        <w:tab w:val="right" w:pos="9360"/>
      </w:tabs>
    </w:pPr>
  </w:style>
  <w:style w:type="character" w:customStyle="1" w:styleId="FooterChar">
    <w:name w:val="Footer Char"/>
    <w:basedOn w:val="DefaultParagraphFont"/>
    <w:link w:val="Footer"/>
    <w:uiPriority w:val="99"/>
    <w:rsid w:val="00B85986"/>
    <w:rPr>
      <w:rFonts w:eastAsia="Times New Roman"/>
    </w:rPr>
  </w:style>
  <w:style w:type="paragraph" w:styleId="FootnoteText">
    <w:name w:val="footnote text"/>
    <w:basedOn w:val="Normal"/>
    <w:link w:val="FootnoteTextChar"/>
    <w:uiPriority w:val="99"/>
    <w:rsid w:val="00B85986"/>
    <w:rPr>
      <w:rFonts w:ascii="Palatino" w:eastAsia="Cambria" w:hAnsi="Palatino"/>
      <w:sz w:val="20"/>
      <w:szCs w:val="20"/>
    </w:rPr>
  </w:style>
  <w:style w:type="character" w:customStyle="1" w:styleId="FootnoteTextChar">
    <w:name w:val="Footnote Text Char"/>
    <w:basedOn w:val="DefaultParagraphFont"/>
    <w:link w:val="FootnoteText"/>
    <w:uiPriority w:val="99"/>
    <w:rsid w:val="00B85986"/>
    <w:rPr>
      <w:rFonts w:ascii="Palatino" w:eastAsia="Cambria" w:hAnsi="Palatino"/>
      <w:sz w:val="20"/>
      <w:szCs w:val="20"/>
    </w:rPr>
  </w:style>
  <w:style w:type="character" w:styleId="FootnoteReference">
    <w:name w:val="footnote reference"/>
    <w:basedOn w:val="DefaultParagraphFont"/>
    <w:uiPriority w:val="99"/>
    <w:semiHidden/>
    <w:rsid w:val="00B85986"/>
    <w:rPr>
      <w:rFonts w:cs="Times New Roman"/>
      <w:vertAlign w:val="superscript"/>
    </w:rPr>
  </w:style>
  <w:style w:type="table" w:styleId="TableGrid">
    <w:name w:val="Table Grid"/>
    <w:basedOn w:val="TableNormal"/>
    <w:uiPriority w:val="59"/>
    <w:rsid w:val="00B8598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ebra@miamioh.edu" TargetMode="External"/><Relationship Id="rId13" Type="http://schemas.openxmlformats.org/officeDocument/2006/relationships/hyperlink" Target="mailto:kunkels@miamioh.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ycem@ksrc.bi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nn.sagepub.com/content/645/1/1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ruenewa@usc.edu" TargetMode="External"/><Relationship Id="rId5" Type="http://schemas.openxmlformats.org/officeDocument/2006/relationships/webSettings" Target="webSettings.xml"/><Relationship Id="rId15" Type="http://schemas.openxmlformats.org/officeDocument/2006/relationships/hyperlink" Target="https://www.amstat.org/sections/srms/proceedings/y2006/Files/JSM2006-000059.pdf" TargetMode="External"/><Relationship Id="rId10" Type="http://schemas.openxmlformats.org/officeDocument/2006/relationships/hyperlink" Target="mailto:dawncelestecar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carlso2@jhu.edu" TargetMode="External"/><Relationship Id="rId14" Type="http://schemas.openxmlformats.org/officeDocument/2006/relationships/hyperlink" Target="mailto:smitjacq@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Nerino, Anthony</dc:creator>
  <cp:lastModifiedBy>Nerino, Anthony</cp:lastModifiedBy>
  <cp:revision>1</cp:revision>
  <dcterms:created xsi:type="dcterms:W3CDTF">2015-03-25T14:53:00Z</dcterms:created>
  <dcterms:modified xsi:type="dcterms:W3CDTF">2015-03-25T14:57:00Z</dcterms:modified>
</cp:coreProperties>
</file>