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43" w:rsidRPr="00AF0504" w:rsidRDefault="008264CC" w:rsidP="001E5143">
      <w:pPr>
        <w:widowControl w:val="0"/>
        <w:jc w:val="center"/>
        <w:rPr>
          <w:rFonts w:ascii="Arial" w:hAnsi="Arial" w:cs="Arial"/>
          <w:sz w:val="22"/>
          <w:szCs w:val="22"/>
        </w:rPr>
      </w:pPr>
      <w:bookmarkStart w:id="0" w:name="_GoBack"/>
      <w:bookmarkEnd w:id="0"/>
      <w:r w:rsidRPr="00AF0504">
        <w:rPr>
          <w:rFonts w:ascii="Arial" w:hAnsi="Arial" w:cs="Arial"/>
          <w:sz w:val="22"/>
          <w:szCs w:val="22"/>
        </w:rPr>
        <w:t>DRAFT</w:t>
      </w:r>
      <w:r w:rsidR="001E5143" w:rsidRPr="00AF0504">
        <w:rPr>
          <w:rFonts w:ascii="Arial" w:hAnsi="Arial" w:cs="Arial"/>
          <w:sz w:val="22"/>
          <w:szCs w:val="22"/>
        </w:rPr>
        <w:t xml:space="preserve"> OMB SUPPORTING STATEMENT</w:t>
      </w:r>
    </w:p>
    <w:p w:rsidR="001E5143" w:rsidRPr="00B30232" w:rsidRDefault="001E5143" w:rsidP="001E5143">
      <w:pPr>
        <w:widowControl w:val="0"/>
        <w:jc w:val="center"/>
        <w:rPr>
          <w:rFonts w:ascii="Arial" w:hAnsi="Arial" w:cs="Arial"/>
          <w:sz w:val="22"/>
          <w:szCs w:val="22"/>
        </w:rPr>
      </w:pPr>
      <w:r w:rsidRPr="00B30232">
        <w:rPr>
          <w:rFonts w:ascii="Arial" w:hAnsi="Arial" w:cs="Arial"/>
          <w:sz w:val="22"/>
          <w:szCs w:val="22"/>
        </w:rPr>
        <w:t>FOR</w:t>
      </w:r>
    </w:p>
    <w:p w:rsidR="001E5143" w:rsidRPr="00B30232" w:rsidRDefault="00453123" w:rsidP="001E5143">
      <w:pPr>
        <w:widowControl w:val="0"/>
        <w:jc w:val="center"/>
        <w:rPr>
          <w:rFonts w:ascii="Arial" w:hAnsi="Arial" w:cs="Arial"/>
          <w:sz w:val="22"/>
          <w:szCs w:val="22"/>
        </w:rPr>
      </w:pPr>
      <w:r w:rsidRPr="00B30232">
        <w:rPr>
          <w:rFonts w:ascii="Arial" w:hAnsi="Arial" w:cs="Arial"/>
          <w:sz w:val="22"/>
          <w:szCs w:val="22"/>
        </w:rPr>
        <w:t>10 CFR PART </w:t>
      </w:r>
      <w:r w:rsidR="001E5143" w:rsidRPr="00B30232">
        <w:rPr>
          <w:rFonts w:ascii="Arial" w:hAnsi="Arial" w:cs="Arial"/>
          <w:sz w:val="22"/>
          <w:szCs w:val="22"/>
        </w:rPr>
        <w:t>61</w:t>
      </w:r>
    </w:p>
    <w:p w:rsidR="008264CC" w:rsidRPr="00B30232" w:rsidRDefault="00894CEE" w:rsidP="001E5143">
      <w:pPr>
        <w:widowControl w:val="0"/>
        <w:jc w:val="center"/>
        <w:rPr>
          <w:rFonts w:ascii="Arial" w:hAnsi="Arial" w:cs="Arial"/>
          <w:sz w:val="22"/>
          <w:szCs w:val="22"/>
        </w:rPr>
      </w:pPr>
      <w:r w:rsidRPr="00B30232">
        <w:rPr>
          <w:rFonts w:ascii="Arial" w:hAnsi="Arial" w:cs="Arial"/>
          <w:sz w:val="22"/>
          <w:szCs w:val="22"/>
        </w:rPr>
        <w:t>LOW-LEVEL RADIOACTIVE WASTE DISPOSAL</w:t>
      </w:r>
    </w:p>
    <w:p w:rsidR="00D82E19" w:rsidRPr="00B30232" w:rsidRDefault="00D82E19" w:rsidP="001E5143">
      <w:pPr>
        <w:widowControl w:val="0"/>
        <w:jc w:val="center"/>
        <w:rPr>
          <w:rFonts w:ascii="Arial" w:hAnsi="Arial" w:cs="Arial"/>
          <w:sz w:val="22"/>
          <w:szCs w:val="22"/>
        </w:rPr>
      </w:pPr>
      <w:r w:rsidRPr="00B30232">
        <w:rPr>
          <w:rFonts w:ascii="Arial" w:hAnsi="Arial" w:cs="Arial"/>
          <w:sz w:val="22"/>
          <w:szCs w:val="22"/>
        </w:rPr>
        <w:t>PROPOSED RULE</w:t>
      </w:r>
    </w:p>
    <w:p w:rsidR="001E5143" w:rsidRPr="00B30232" w:rsidRDefault="008264CC" w:rsidP="001E5143">
      <w:pPr>
        <w:widowControl w:val="0"/>
        <w:jc w:val="center"/>
        <w:rPr>
          <w:rFonts w:ascii="Arial" w:hAnsi="Arial" w:cs="Arial"/>
          <w:sz w:val="22"/>
          <w:szCs w:val="22"/>
        </w:rPr>
      </w:pPr>
      <w:r w:rsidRPr="00B30232">
        <w:rPr>
          <w:rFonts w:ascii="Arial" w:hAnsi="Arial" w:cs="Arial"/>
          <w:sz w:val="22"/>
          <w:szCs w:val="22"/>
        </w:rPr>
        <w:t>(</w:t>
      </w:r>
      <w:r w:rsidR="00A45387" w:rsidRPr="00A45387">
        <w:rPr>
          <w:rFonts w:ascii="Arial" w:hAnsi="Arial" w:cs="Arial"/>
          <w:sz w:val="22"/>
          <w:szCs w:val="22"/>
        </w:rPr>
        <w:t>3150-0135, 3150-0164, and 3150-0166</w:t>
      </w:r>
      <w:r w:rsidRPr="00B30232">
        <w:rPr>
          <w:rFonts w:ascii="Arial" w:hAnsi="Arial" w:cs="Arial"/>
          <w:sz w:val="22"/>
          <w:szCs w:val="22"/>
        </w:rPr>
        <w:t>)</w:t>
      </w:r>
    </w:p>
    <w:p w:rsidR="008264CC" w:rsidRPr="00B30232" w:rsidRDefault="008264CC" w:rsidP="001E5143">
      <w:pPr>
        <w:widowControl w:val="0"/>
        <w:jc w:val="center"/>
        <w:rPr>
          <w:rFonts w:ascii="Arial" w:hAnsi="Arial" w:cs="Arial"/>
          <w:sz w:val="22"/>
          <w:szCs w:val="22"/>
        </w:rPr>
      </w:pPr>
    </w:p>
    <w:p w:rsidR="001E5143" w:rsidRPr="00B30232" w:rsidRDefault="001E5143" w:rsidP="001E5143">
      <w:pPr>
        <w:widowControl w:val="0"/>
        <w:jc w:val="center"/>
        <w:rPr>
          <w:rFonts w:ascii="Arial" w:hAnsi="Arial" w:cs="Arial"/>
          <w:sz w:val="22"/>
          <w:szCs w:val="22"/>
        </w:rPr>
      </w:pPr>
      <w:r w:rsidRPr="00B30232">
        <w:rPr>
          <w:rFonts w:ascii="Arial" w:hAnsi="Arial" w:cs="Arial"/>
          <w:sz w:val="22"/>
          <w:szCs w:val="22"/>
        </w:rPr>
        <w:t>Revision</w:t>
      </w:r>
    </w:p>
    <w:p w:rsidR="001E5143" w:rsidRPr="00B30232" w:rsidRDefault="001E5143" w:rsidP="001E5143">
      <w:pPr>
        <w:widowControl w:val="0"/>
        <w:jc w:val="center"/>
        <w:rPr>
          <w:rFonts w:ascii="Arial" w:hAnsi="Arial" w:cs="Arial"/>
          <w:sz w:val="22"/>
          <w:szCs w:val="22"/>
        </w:rPr>
      </w:pPr>
    </w:p>
    <w:p w:rsidR="001E5143" w:rsidRPr="00B30232" w:rsidRDefault="001E5143" w:rsidP="001E5143">
      <w:pPr>
        <w:widowControl w:val="0"/>
        <w:rPr>
          <w:rFonts w:ascii="Arial" w:hAnsi="Arial" w:cs="Arial"/>
          <w:sz w:val="22"/>
        </w:rPr>
      </w:pPr>
    </w:p>
    <w:p w:rsidR="001E5143" w:rsidRPr="00B30232" w:rsidRDefault="001E5143" w:rsidP="001E5143">
      <w:pPr>
        <w:widowControl w:val="0"/>
        <w:rPr>
          <w:rFonts w:ascii="Arial" w:hAnsi="Arial" w:cs="Arial"/>
          <w:sz w:val="22"/>
        </w:rPr>
      </w:pPr>
      <w:r w:rsidRPr="00B30232">
        <w:rPr>
          <w:rFonts w:ascii="Arial" w:hAnsi="Arial" w:cs="Arial"/>
          <w:sz w:val="22"/>
          <w:u w:val="single"/>
        </w:rPr>
        <w:t>Description of the Information Collection</w:t>
      </w:r>
    </w:p>
    <w:p w:rsidR="001E5143" w:rsidRPr="00B30232" w:rsidRDefault="001E5143" w:rsidP="001E5143">
      <w:pPr>
        <w:widowControl w:val="0"/>
        <w:rPr>
          <w:rFonts w:ascii="Arial" w:hAnsi="Arial" w:cs="Arial"/>
          <w:sz w:val="22"/>
        </w:rPr>
      </w:pPr>
    </w:p>
    <w:p w:rsidR="00911D80" w:rsidRPr="00B30232" w:rsidRDefault="00D86148" w:rsidP="00D86148">
      <w:pPr>
        <w:widowControl w:val="0"/>
        <w:rPr>
          <w:rFonts w:ascii="Arial" w:hAnsi="Arial" w:cs="Arial"/>
          <w:sz w:val="22"/>
        </w:rPr>
      </w:pPr>
      <w:r w:rsidRPr="00B30232">
        <w:rPr>
          <w:rFonts w:ascii="Arial" w:hAnsi="Arial" w:cs="Arial"/>
          <w:sz w:val="22"/>
        </w:rPr>
        <w:t xml:space="preserve">The Commission’s licensing requirements for the disposal of commercial </w:t>
      </w:r>
      <w:r w:rsidR="008553F5" w:rsidRPr="00B30232">
        <w:rPr>
          <w:rFonts w:ascii="Arial" w:hAnsi="Arial" w:cs="Arial"/>
          <w:sz w:val="22"/>
        </w:rPr>
        <w:t>low-level radioactive waste (</w:t>
      </w:r>
      <w:r w:rsidRPr="00B30232">
        <w:rPr>
          <w:rFonts w:ascii="Arial" w:hAnsi="Arial" w:cs="Arial"/>
          <w:sz w:val="22"/>
        </w:rPr>
        <w:t>LLRW</w:t>
      </w:r>
      <w:r w:rsidR="008553F5" w:rsidRPr="00B30232">
        <w:rPr>
          <w:rFonts w:ascii="Arial" w:hAnsi="Arial" w:cs="Arial"/>
          <w:sz w:val="22"/>
        </w:rPr>
        <w:t>)</w:t>
      </w:r>
      <w:r w:rsidRPr="00B30232">
        <w:rPr>
          <w:rFonts w:ascii="Arial" w:hAnsi="Arial" w:cs="Arial"/>
          <w:sz w:val="22"/>
        </w:rPr>
        <w:t xml:space="preserve"> in near-surface disposal </w:t>
      </w:r>
      <w:r w:rsidR="004F47CC" w:rsidRPr="00B30232">
        <w:rPr>
          <w:rFonts w:ascii="Arial" w:hAnsi="Arial" w:cs="Arial"/>
          <w:sz w:val="22"/>
        </w:rPr>
        <w:t xml:space="preserve">facilities can be found in Part </w:t>
      </w:r>
      <w:r w:rsidR="00965B5D" w:rsidRPr="00B30232">
        <w:rPr>
          <w:rFonts w:ascii="Arial" w:hAnsi="Arial" w:cs="Arial"/>
          <w:sz w:val="22"/>
        </w:rPr>
        <w:t>61</w:t>
      </w:r>
      <w:r w:rsidR="00DF0758" w:rsidRPr="00B30232">
        <w:rPr>
          <w:rFonts w:ascii="Arial" w:hAnsi="Arial" w:cs="Arial"/>
          <w:sz w:val="22"/>
        </w:rPr>
        <w:t xml:space="preserve">, </w:t>
      </w:r>
      <w:r w:rsidRPr="00B30232">
        <w:rPr>
          <w:rFonts w:ascii="Arial" w:hAnsi="Arial" w:cs="Arial"/>
          <w:sz w:val="22"/>
        </w:rPr>
        <w:t>“Licensing Requirements for Land Disposal of Radioactiv</w:t>
      </w:r>
      <w:r w:rsidR="00965B5D" w:rsidRPr="00B30232">
        <w:rPr>
          <w:rFonts w:ascii="Arial" w:hAnsi="Arial" w:cs="Arial"/>
          <w:sz w:val="22"/>
        </w:rPr>
        <w:t>e Waste</w:t>
      </w:r>
      <w:r w:rsidR="004F47CC" w:rsidRPr="00B30232">
        <w:rPr>
          <w:rFonts w:ascii="Arial" w:hAnsi="Arial" w:cs="Arial"/>
          <w:sz w:val="22"/>
        </w:rPr>
        <w:t>.</w:t>
      </w:r>
      <w:r w:rsidR="00965B5D" w:rsidRPr="00B30232">
        <w:rPr>
          <w:rFonts w:ascii="Arial" w:hAnsi="Arial" w:cs="Arial"/>
          <w:sz w:val="22"/>
        </w:rPr>
        <w:t xml:space="preserve">”  The NRC adopted </w:t>
      </w:r>
      <w:r w:rsidR="00C7701B" w:rsidRPr="00B30232">
        <w:rPr>
          <w:rFonts w:ascii="Arial" w:hAnsi="Arial" w:cs="Arial"/>
          <w:sz w:val="22"/>
        </w:rPr>
        <w:t>10 CFR </w:t>
      </w:r>
      <w:r w:rsidR="004F47CC" w:rsidRPr="00B30232">
        <w:rPr>
          <w:rFonts w:ascii="Arial" w:hAnsi="Arial" w:cs="Arial"/>
          <w:sz w:val="22"/>
        </w:rPr>
        <w:t xml:space="preserve">Part 61 </w:t>
      </w:r>
      <w:r w:rsidRPr="00B30232">
        <w:rPr>
          <w:rFonts w:ascii="Arial" w:hAnsi="Arial" w:cs="Arial"/>
          <w:sz w:val="22"/>
        </w:rPr>
        <w:t xml:space="preserve">in 1982 (47 FR 57446).  These regulations apply to any near-surface LLRW disposal </w:t>
      </w:r>
      <w:r w:rsidR="004F47CC" w:rsidRPr="00B30232">
        <w:rPr>
          <w:rFonts w:ascii="Arial" w:hAnsi="Arial" w:cs="Arial"/>
          <w:sz w:val="22"/>
        </w:rPr>
        <w:t xml:space="preserve">facility licensed after January </w:t>
      </w:r>
      <w:r w:rsidRPr="00B30232">
        <w:rPr>
          <w:rFonts w:ascii="Arial" w:hAnsi="Arial" w:cs="Arial"/>
          <w:sz w:val="22"/>
        </w:rPr>
        <w:t xml:space="preserve">27, 1983.  </w:t>
      </w:r>
      <w:r w:rsidR="00DF0758" w:rsidRPr="00B30232">
        <w:rPr>
          <w:rFonts w:ascii="Arial" w:hAnsi="Arial" w:cs="Arial"/>
          <w:sz w:val="22"/>
        </w:rPr>
        <w:t>Subpart C, “Performance Objectives,” of the current 10 CFR Part 61 sets forth standards for</w:t>
      </w:r>
      <w:r w:rsidR="00911D80" w:rsidRPr="00B30232">
        <w:rPr>
          <w:rFonts w:ascii="Arial" w:hAnsi="Arial" w:cs="Arial"/>
          <w:sz w:val="22"/>
        </w:rPr>
        <w:t>:</w:t>
      </w:r>
    </w:p>
    <w:p w:rsidR="00DF0758" w:rsidRPr="00B30232" w:rsidRDefault="00DF0758" w:rsidP="00D86148">
      <w:pPr>
        <w:widowControl w:val="0"/>
        <w:rPr>
          <w:rFonts w:ascii="Arial" w:hAnsi="Arial" w:cs="Arial"/>
          <w:sz w:val="22"/>
        </w:rPr>
      </w:pPr>
    </w:p>
    <w:p w:rsidR="00911D80" w:rsidRPr="00B30232" w:rsidRDefault="003A3C87" w:rsidP="00911D80">
      <w:pPr>
        <w:pStyle w:val="ListParagraph"/>
        <w:widowControl w:val="0"/>
        <w:numPr>
          <w:ilvl w:val="0"/>
          <w:numId w:val="5"/>
        </w:numPr>
        <w:rPr>
          <w:rFonts w:ascii="Arial" w:hAnsi="Arial" w:cs="Arial"/>
          <w:sz w:val="22"/>
        </w:rPr>
      </w:pPr>
      <w:r w:rsidRPr="00B30232">
        <w:rPr>
          <w:rFonts w:ascii="Arial" w:hAnsi="Arial" w:cs="Arial"/>
          <w:sz w:val="22"/>
        </w:rPr>
        <w:t xml:space="preserve"> </w:t>
      </w:r>
      <w:r w:rsidR="00C7701B" w:rsidRPr="00B30232">
        <w:rPr>
          <w:rFonts w:ascii="Arial" w:hAnsi="Arial" w:cs="Arial"/>
          <w:sz w:val="22"/>
        </w:rPr>
        <w:t>10 CFR </w:t>
      </w:r>
      <w:r w:rsidR="00D86148" w:rsidRPr="00B30232">
        <w:rPr>
          <w:rFonts w:ascii="Arial" w:hAnsi="Arial" w:cs="Arial"/>
          <w:sz w:val="22"/>
        </w:rPr>
        <w:t>61.41,</w:t>
      </w:r>
      <w:r w:rsidR="00C7701B" w:rsidRPr="00B30232">
        <w:rPr>
          <w:rFonts w:ascii="Arial" w:hAnsi="Arial" w:cs="Arial"/>
          <w:sz w:val="22"/>
        </w:rPr>
        <w:t xml:space="preserve"> “Protection of the general population from releases of radioactivity,”</w:t>
      </w:r>
    </w:p>
    <w:p w:rsidR="00911D80" w:rsidRPr="00B30232" w:rsidRDefault="00D86148" w:rsidP="00911D80">
      <w:pPr>
        <w:pStyle w:val="ListParagraph"/>
        <w:widowControl w:val="0"/>
        <w:numPr>
          <w:ilvl w:val="0"/>
          <w:numId w:val="5"/>
        </w:numPr>
        <w:rPr>
          <w:rFonts w:ascii="Arial" w:hAnsi="Arial" w:cs="Arial"/>
          <w:sz w:val="22"/>
        </w:rPr>
      </w:pPr>
      <w:r w:rsidRPr="00B30232">
        <w:rPr>
          <w:rFonts w:ascii="Arial" w:hAnsi="Arial" w:cs="Arial"/>
          <w:sz w:val="22"/>
        </w:rPr>
        <w:t xml:space="preserve"> </w:t>
      </w:r>
      <w:r w:rsidR="00C7701B" w:rsidRPr="00B30232">
        <w:rPr>
          <w:rFonts w:ascii="Arial" w:hAnsi="Arial" w:cs="Arial"/>
          <w:sz w:val="22"/>
        </w:rPr>
        <w:t>10 CFR </w:t>
      </w:r>
      <w:r w:rsidRPr="00B30232">
        <w:rPr>
          <w:rFonts w:ascii="Arial" w:hAnsi="Arial" w:cs="Arial"/>
          <w:sz w:val="22"/>
        </w:rPr>
        <w:t xml:space="preserve">61.42, </w:t>
      </w:r>
      <w:r w:rsidR="00C7701B" w:rsidRPr="00B30232">
        <w:rPr>
          <w:rFonts w:ascii="Arial" w:hAnsi="Arial" w:cs="Arial"/>
          <w:sz w:val="22"/>
        </w:rPr>
        <w:t>“Protection of inadvertent intruders,”</w:t>
      </w:r>
    </w:p>
    <w:p w:rsidR="00911D80" w:rsidRPr="00B30232" w:rsidRDefault="00D86148" w:rsidP="00911D80">
      <w:pPr>
        <w:pStyle w:val="ListParagraph"/>
        <w:widowControl w:val="0"/>
        <w:numPr>
          <w:ilvl w:val="0"/>
          <w:numId w:val="5"/>
        </w:numPr>
        <w:rPr>
          <w:rFonts w:ascii="Arial" w:hAnsi="Arial" w:cs="Arial"/>
          <w:sz w:val="22"/>
        </w:rPr>
      </w:pPr>
      <w:r w:rsidRPr="00B30232">
        <w:rPr>
          <w:rFonts w:ascii="Arial" w:hAnsi="Arial" w:cs="Arial"/>
          <w:sz w:val="22"/>
        </w:rPr>
        <w:t xml:space="preserve"> </w:t>
      </w:r>
      <w:r w:rsidR="00C7701B" w:rsidRPr="00B30232">
        <w:rPr>
          <w:rFonts w:ascii="Arial" w:hAnsi="Arial" w:cs="Arial"/>
          <w:sz w:val="22"/>
        </w:rPr>
        <w:t>10 CFR </w:t>
      </w:r>
      <w:r w:rsidRPr="00B30232">
        <w:rPr>
          <w:rFonts w:ascii="Arial" w:hAnsi="Arial" w:cs="Arial"/>
          <w:sz w:val="22"/>
        </w:rPr>
        <w:t xml:space="preserve">61.43, </w:t>
      </w:r>
      <w:r w:rsidR="00C7701B" w:rsidRPr="00B30232">
        <w:rPr>
          <w:rFonts w:ascii="Arial" w:hAnsi="Arial" w:cs="Arial"/>
          <w:sz w:val="22"/>
        </w:rPr>
        <w:t xml:space="preserve">“Protection of individuals during operations,” </w:t>
      </w:r>
      <w:r w:rsidRPr="00B30232">
        <w:rPr>
          <w:rFonts w:ascii="Arial" w:hAnsi="Arial" w:cs="Arial"/>
          <w:sz w:val="22"/>
        </w:rPr>
        <w:t>and</w:t>
      </w:r>
    </w:p>
    <w:p w:rsidR="00911D80" w:rsidRPr="00B30232" w:rsidRDefault="003A3C87" w:rsidP="00911D80">
      <w:pPr>
        <w:pStyle w:val="ListParagraph"/>
        <w:widowControl w:val="0"/>
        <w:numPr>
          <w:ilvl w:val="0"/>
          <w:numId w:val="5"/>
        </w:numPr>
        <w:rPr>
          <w:rFonts w:ascii="Arial" w:hAnsi="Arial" w:cs="Arial"/>
          <w:sz w:val="22"/>
        </w:rPr>
      </w:pPr>
      <w:r w:rsidRPr="00B30232">
        <w:rPr>
          <w:rFonts w:ascii="Arial" w:hAnsi="Arial" w:cs="Arial"/>
          <w:sz w:val="22"/>
        </w:rPr>
        <w:t xml:space="preserve"> </w:t>
      </w:r>
      <w:r w:rsidR="00C7701B" w:rsidRPr="00B30232">
        <w:rPr>
          <w:rFonts w:ascii="Arial" w:hAnsi="Arial" w:cs="Arial"/>
          <w:sz w:val="22"/>
        </w:rPr>
        <w:t>10 CFR </w:t>
      </w:r>
      <w:r w:rsidR="00911D80" w:rsidRPr="00B30232">
        <w:rPr>
          <w:rFonts w:ascii="Arial" w:hAnsi="Arial" w:cs="Arial"/>
          <w:sz w:val="22"/>
        </w:rPr>
        <w:t>61.44</w:t>
      </w:r>
      <w:r w:rsidR="00C7701B" w:rsidRPr="00B30232">
        <w:rPr>
          <w:rFonts w:ascii="Arial" w:hAnsi="Arial" w:cs="Arial"/>
          <w:sz w:val="22"/>
        </w:rPr>
        <w:t>, “Stability of the disposal site after closure</w:t>
      </w:r>
      <w:r w:rsidR="00911D80" w:rsidRPr="00B30232">
        <w:rPr>
          <w:rFonts w:ascii="Arial" w:hAnsi="Arial" w:cs="Arial"/>
          <w:sz w:val="22"/>
        </w:rPr>
        <w:t>.</w:t>
      </w:r>
      <w:r w:rsidR="00C7701B" w:rsidRPr="00B30232">
        <w:rPr>
          <w:rFonts w:ascii="Arial" w:hAnsi="Arial" w:cs="Arial"/>
          <w:sz w:val="22"/>
        </w:rPr>
        <w:t>”</w:t>
      </w:r>
    </w:p>
    <w:p w:rsidR="00911D80" w:rsidRPr="00B30232" w:rsidRDefault="00911D80" w:rsidP="00911D80">
      <w:pPr>
        <w:pStyle w:val="ListParagraph"/>
        <w:widowControl w:val="0"/>
        <w:ind w:left="405"/>
        <w:rPr>
          <w:rFonts w:ascii="Arial" w:hAnsi="Arial" w:cs="Arial"/>
          <w:sz w:val="22"/>
        </w:rPr>
      </w:pPr>
    </w:p>
    <w:p w:rsidR="00311032" w:rsidRPr="00B30232" w:rsidRDefault="00DF0758" w:rsidP="00911D80">
      <w:pPr>
        <w:widowControl w:val="0"/>
        <w:rPr>
          <w:rFonts w:ascii="Arial" w:hAnsi="Arial" w:cs="Arial"/>
          <w:sz w:val="22"/>
        </w:rPr>
      </w:pPr>
      <w:r w:rsidRPr="00B30232">
        <w:rPr>
          <w:rFonts w:ascii="Arial" w:hAnsi="Arial" w:cs="Arial"/>
          <w:sz w:val="22"/>
        </w:rPr>
        <w:t xml:space="preserve">For the Commission to grant a license, the NRC must conclude that there is reasonable assurance that the </w:t>
      </w:r>
      <w:r w:rsidR="00D044A1" w:rsidRPr="00B30232">
        <w:rPr>
          <w:rFonts w:ascii="Arial" w:hAnsi="Arial" w:cs="Arial"/>
          <w:sz w:val="22"/>
        </w:rPr>
        <w:t xml:space="preserve">license </w:t>
      </w:r>
      <w:r w:rsidRPr="00B30232">
        <w:rPr>
          <w:rFonts w:ascii="Arial" w:hAnsi="Arial" w:cs="Arial"/>
          <w:sz w:val="22"/>
        </w:rPr>
        <w:t>applicants will meet the performance objectives of Subpart C of 10</w:t>
      </w:r>
      <w:r w:rsidR="00D044A1" w:rsidRPr="00B30232">
        <w:rPr>
          <w:rFonts w:ascii="Arial" w:hAnsi="Arial" w:cs="Arial"/>
          <w:sz w:val="22"/>
        </w:rPr>
        <w:t> </w:t>
      </w:r>
      <w:r w:rsidRPr="00B30232">
        <w:rPr>
          <w:rFonts w:ascii="Arial" w:hAnsi="Arial" w:cs="Arial"/>
          <w:sz w:val="22"/>
        </w:rPr>
        <w:t>CFR</w:t>
      </w:r>
      <w:r w:rsidR="00D044A1" w:rsidRPr="00B30232">
        <w:rPr>
          <w:rFonts w:ascii="Arial" w:hAnsi="Arial" w:cs="Arial"/>
          <w:sz w:val="22"/>
        </w:rPr>
        <w:t xml:space="preserve"> </w:t>
      </w:r>
      <w:r w:rsidRPr="00B30232">
        <w:rPr>
          <w:rFonts w:ascii="Arial" w:hAnsi="Arial" w:cs="Arial"/>
          <w:sz w:val="22"/>
        </w:rPr>
        <w:t>Part 61.  To demonstrate that they will meet these perf</w:t>
      </w:r>
      <w:r w:rsidR="00311032" w:rsidRPr="00B30232">
        <w:rPr>
          <w:rFonts w:ascii="Arial" w:hAnsi="Arial" w:cs="Arial"/>
          <w:sz w:val="22"/>
        </w:rPr>
        <w:t>ormance objectives, 10 CFR Part </w:t>
      </w:r>
      <w:r w:rsidRPr="00B30232">
        <w:rPr>
          <w:rFonts w:ascii="Arial" w:hAnsi="Arial" w:cs="Arial"/>
          <w:sz w:val="22"/>
        </w:rPr>
        <w:t xml:space="preserve">61 license applicants need to prepare an analysis of exposure pathways leading to potential future radiological doses to the general population.  License applicants must also demonstrate that potential inadvertent intruders into the disposal facility, who might occupy the site at any time, after institutional controls over the disposal site are removed, will be protected.  Under the current regulations, protection of inadvertent intruders is demonstrated by compliance with the </w:t>
      </w:r>
      <w:r w:rsidR="00D044A1" w:rsidRPr="00B30232">
        <w:rPr>
          <w:rFonts w:ascii="Arial" w:hAnsi="Arial" w:cs="Arial"/>
          <w:sz w:val="22"/>
        </w:rPr>
        <w:t xml:space="preserve">LLRW </w:t>
      </w:r>
      <w:r w:rsidRPr="00B30232">
        <w:rPr>
          <w:rFonts w:ascii="Arial" w:hAnsi="Arial" w:cs="Arial"/>
          <w:sz w:val="22"/>
        </w:rPr>
        <w:t xml:space="preserve">classification and segregation requirements in </w:t>
      </w:r>
      <w:r w:rsidR="00C7701B" w:rsidRPr="00B30232">
        <w:rPr>
          <w:rFonts w:ascii="Arial" w:hAnsi="Arial" w:cs="Arial"/>
          <w:sz w:val="22"/>
        </w:rPr>
        <w:t>10 CFR </w:t>
      </w:r>
      <w:r w:rsidRPr="00B30232">
        <w:rPr>
          <w:rFonts w:ascii="Arial" w:hAnsi="Arial" w:cs="Arial"/>
          <w:sz w:val="22"/>
        </w:rPr>
        <w:t>61.55</w:t>
      </w:r>
      <w:r w:rsidR="00D044A1" w:rsidRPr="00B30232">
        <w:rPr>
          <w:rFonts w:ascii="Arial" w:hAnsi="Arial" w:cs="Arial"/>
          <w:sz w:val="22"/>
        </w:rPr>
        <w:t>, “Waste classification,”</w:t>
      </w:r>
      <w:r w:rsidRPr="00B30232">
        <w:rPr>
          <w:rFonts w:ascii="Arial" w:hAnsi="Arial" w:cs="Arial"/>
          <w:sz w:val="22"/>
        </w:rPr>
        <w:t xml:space="preserve"> and by providing adequate barriers to inadvertent intrusion.</w:t>
      </w:r>
    </w:p>
    <w:p w:rsidR="00D86148" w:rsidRPr="00B30232" w:rsidRDefault="00D86148" w:rsidP="00D86148">
      <w:pPr>
        <w:widowControl w:val="0"/>
        <w:rPr>
          <w:rFonts w:ascii="Arial" w:hAnsi="Arial" w:cs="Arial"/>
          <w:sz w:val="22"/>
        </w:rPr>
      </w:pPr>
    </w:p>
    <w:p w:rsidR="00D86148" w:rsidRPr="00B30232" w:rsidRDefault="00DF0758" w:rsidP="00D86148">
      <w:pPr>
        <w:widowControl w:val="0"/>
        <w:rPr>
          <w:rFonts w:ascii="Arial" w:hAnsi="Arial" w:cs="Arial"/>
          <w:sz w:val="22"/>
        </w:rPr>
      </w:pPr>
      <w:r w:rsidRPr="00B30232">
        <w:rPr>
          <w:rFonts w:ascii="Arial" w:hAnsi="Arial" w:cs="Arial"/>
          <w:sz w:val="22"/>
        </w:rPr>
        <w:t xml:space="preserve">In the early 1980s, the NRC developed the </w:t>
      </w:r>
      <w:r w:rsidR="00C7701B" w:rsidRPr="00B30232">
        <w:rPr>
          <w:rFonts w:ascii="Arial" w:hAnsi="Arial" w:cs="Arial"/>
          <w:sz w:val="22"/>
        </w:rPr>
        <w:t>10 CFR </w:t>
      </w:r>
      <w:r w:rsidRPr="00B30232">
        <w:rPr>
          <w:rFonts w:ascii="Arial" w:hAnsi="Arial" w:cs="Arial"/>
          <w:sz w:val="22"/>
        </w:rPr>
        <w:t xml:space="preserve">Part 61 </w:t>
      </w:r>
      <w:r w:rsidR="00C7701B" w:rsidRPr="00B30232">
        <w:rPr>
          <w:rFonts w:ascii="Arial" w:hAnsi="Arial" w:cs="Arial"/>
          <w:sz w:val="22"/>
        </w:rPr>
        <w:t xml:space="preserve">regulatory </w:t>
      </w:r>
      <w:r w:rsidR="00311032" w:rsidRPr="00B30232">
        <w:rPr>
          <w:rFonts w:ascii="Arial" w:hAnsi="Arial" w:cs="Arial"/>
          <w:sz w:val="22"/>
        </w:rPr>
        <w:t xml:space="preserve">bases based on a survey </w:t>
      </w:r>
      <w:r w:rsidRPr="00B30232">
        <w:rPr>
          <w:rFonts w:ascii="Arial" w:hAnsi="Arial" w:cs="Arial"/>
          <w:sz w:val="22"/>
        </w:rPr>
        <w:t xml:space="preserve">of LLRW </w:t>
      </w:r>
      <w:r w:rsidR="00216A78" w:rsidRPr="00B30232">
        <w:rPr>
          <w:rFonts w:ascii="Arial" w:hAnsi="Arial" w:cs="Arial"/>
          <w:sz w:val="22"/>
        </w:rPr>
        <w:t>generators</w:t>
      </w:r>
      <w:r w:rsidRPr="00B30232">
        <w:rPr>
          <w:rFonts w:ascii="Arial" w:hAnsi="Arial" w:cs="Arial"/>
          <w:sz w:val="22"/>
        </w:rPr>
        <w:t xml:space="preserve">.  The NRC used this survey to develop assumptions regarding the types of </w:t>
      </w:r>
      <w:r w:rsidR="00D044A1" w:rsidRPr="00B30232">
        <w:rPr>
          <w:rFonts w:ascii="Arial" w:hAnsi="Arial" w:cs="Arial"/>
          <w:sz w:val="22"/>
        </w:rPr>
        <w:t xml:space="preserve">LLRW </w:t>
      </w:r>
      <w:r w:rsidRPr="00B30232">
        <w:rPr>
          <w:rFonts w:ascii="Arial" w:hAnsi="Arial" w:cs="Arial"/>
          <w:sz w:val="22"/>
        </w:rPr>
        <w:t xml:space="preserve">likely to go into a commercial disposal facility.  The results of this survey ultimately formed the </w:t>
      </w:r>
      <w:r w:rsidR="00D044A1" w:rsidRPr="00B30232">
        <w:rPr>
          <w:rFonts w:ascii="Arial" w:hAnsi="Arial" w:cs="Arial"/>
          <w:sz w:val="22"/>
        </w:rPr>
        <w:t xml:space="preserve">regulatory </w:t>
      </w:r>
      <w:r w:rsidRPr="00B30232">
        <w:rPr>
          <w:rFonts w:ascii="Arial" w:hAnsi="Arial" w:cs="Arial"/>
          <w:sz w:val="22"/>
        </w:rPr>
        <w:t xml:space="preserve">basis for the source terms used </w:t>
      </w:r>
      <w:r w:rsidR="009E172E" w:rsidRPr="00B30232">
        <w:rPr>
          <w:rFonts w:ascii="Arial" w:hAnsi="Arial" w:cs="Arial"/>
          <w:sz w:val="22"/>
        </w:rPr>
        <w:t xml:space="preserve">in the analysis </w:t>
      </w:r>
      <w:r w:rsidRPr="00B30232">
        <w:rPr>
          <w:rFonts w:ascii="Arial" w:hAnsi="Arial" w:cs="Arial"/>
          <w:sz w:val="22"/>
        </w:rPr>
        <w:t xml:space="preserve">to define the allowable isotopic concentration limits in </w:t>
      </w:r>
      <w:r w:rsidR="00D044A1" w:rsidRPr="00B30232">
        <w:rPr>
          <w:rFonts w:ascii="Arial" w:hAnsi="Arial" w:cs="Arial"/>
          <w:sz w:val="22"/>
        </w:rPr>
        <w:t xml:space="preserve">the LLRW </w:t>
      </w:r>
      <w:r w:rsidRPr="00B30232">
        <w:rPr>
          <w:rFonts w:ascii="Arial" w:hAnsi="Arial" w:cs="Arial"/>
          <w:sz w:val="22"/>
        </w:rPr>
        <w:t xml:space="preserve">classification Tables 1 and 2 of </w:t>
      </w:r>
      <w:r w:rsidR="009E172E" w:rsidRPr="00B30232">
        <w:rPr>
          <w:rFonts w:ascii="Arial" w:hAnsi="Arial" w:cs="Arial"/>
          <w:sz w:val="22"/>
        </w:rPr>
        <w:t>10 CFR </w:t>
      </w:r>
      <w:r w:rsidRPr="00B30232">
        <w:rPr>
          <w:rFonts w:ascii="Arial" w:hAnsi="Arial" w:cs="Arial"/>
          <w:sz w:val="22"/>
        </w:rPr>
        <w:t>61.55, which established three classes of LLRW (</w:t>
      </w:r>
      <w:r w:rsidR="00D044A1" w:rsidRPr="00B30232">
        <w:rPr>
          <w:rFonts w:ascii="Arial" w:hAnsi="Arial" w:cs="Arial"/>
          <w:sz w:val="22"/>
        </w:rPr>
        <w:t xml:space="preserve">Class </w:t>
      </w:r>
      <w:r w:rsidRPr="00B30232">
        <w:rPr>
          <w:rFonts w:ascii="Arial" w:hAnsi="Arial" w:cs="Arial"/>
          <w:sz w:val="22"/>
        </w:rPr>
        <w:t xml:space="preserve">A, </w:t>
      </w:r>
      <w:r w:rsidR="00D044A1" w:rsidRPr="00B30232">
        <w:rPr>
          <w:rFonts w:ascii="Arial" w:hAnsi="Arial" w:cs="Arial"/>
          <w:sz w:val="22"/>
        </w:rPr>
        <w:t xml:space="preserve">Class </w:t>
      </w:r>
      <w:r w:rsidRPr="00B30232">
        <w:rPr>
          <w:rFonts w:ascii="Arial" w:hAnsi="Arial" w:cs="Arial"/>
          <w:sz w:val="22"/>
        </w:rPr>
        <w:t xml:space="preserve">B, and </w:t>
      </w:r>
      <w:r w:rsidR="00D044A1" w:rsidRPr="00B30232">
        <w:rPr>
          <w:rFonts w:ascii="Arial" w:hAnsi="Arial" w:cs="Arial"/>
          <w:sz w:val="22"/>
        </w:rPr>
        <w:t xml:space="preserve">Class </w:t>
      </w:r>
      <w:r w:rsidRPr="00B30232">
        <w:rPr>
          <w:rFonts w:ascii="Arial" w:hAnsi="Arial" w:cs="Arial"/>
          <w:sz w:val="22"/>
        </w:rPr>
        <w:t xml:space="preserve">C).  </w:t>
      </w:r>
      <w:r w:rsidR="00D044A1" w:rsidRPr="00B30232">
        <w:rPr>
          <w:rFonts w:ascii="Arial" w:hAnsi="Arial" w:cs="Arial"/>
          <w:sz w:val="22"/>
        </w:rPr>
        <w:t xml:space="preserve">Low-level radioactive waste </w:t>
      </w:r>
      <w:r w:rsidRPr="00B30232">
        <w:rPr>
          <w:rFonts w:ascii="Arial" w:hAnsi="Arial" w:cs="Arial"/>
          <w:sz w:val="22"/>
        </w:rPr>
        <w:t xml:space="preserve">streams generated by the U.S. Department of Energy, including large quantities of depleted uranium, </w:t>
      </w:r>
      <w:r w:rsidR="00D044A1" w:rsidRPr="00B30232">
        <w:rPr>
          <w:rFonts w:ascii="Arial" w:hAnsi="Arial" w:cs="Arial"/>
          <w:sz w:val="22"/>
        </w:rPr>
        <w:t xml:space="preserve">LLRW </w:t>
      </w:r>
      <w:r w:rsidRPr="00B30232">
        <w:rPr>
          <w:rFonts w:ascii="Arial" w:hAnsi="Arial" w:cs="Arial"/>
          <w:sz w:val="22"/>
        </w:rPr>
        <w:t xml:space="preserve">streams from commercial uranium enrichment facilities, and blended </w:t>
      </w:r>
      <w:r w:rsidR="00D044A1" w:rsidRPr="00B30232">
        <w:rPr>
          <w:rFonts w:ascii="Arial" w:hAnsi="Arial" w:cs="Arial"/>
          <w:sz w:val="22"/>
        </w:rPr>
        <w:t xml:space="preserve">LLRW </w:t>
      </w:r>
      <w:r w:rsidRPr="00B30232">
        <w:rPr>
          <w:rFonts w:ascii="Arial" w:hAnsi="Arial" w:cs="Arial"/>
          <w:sz w:val="22"/>
        </w:rPr>
        <w:t xml:space="preserve">(which may result in large quantities of material near the upper bounds of a </w:t>
      </w:r>
      <w:r w:rsidR="00D044A1" w:rsidRPr="00B30232">
        <w:rPr>
          <w:rFonts w:ascii="Arial" w:hAnsi="Arial" w:cs="Arial"/>
          <w:sz w:val="22"/>
        </w:rPr>
        <w:t xml:space="preserve">LLRW </w:t>
      </w:r>
      <w:r w:rsidRPr="00B30232">
        <w:rPr>
          <w:rFonts w:ascii="Arial" w:hAnsi="Arial" w:cs="Arial"/>
          <w:sz w:val="22"/>
        </w:rPr>
        <w:t xml:space="preserve">classification) were not considered.  If </w:t>
      </w:r>
      <w:r w:rsidR="00D044A1" w:rsidRPr="00B30232">
        <w:rPr>
          <w:rFonts w:ascii="Arial" w:hAnsi="Arial" w:cs="Arial"/>
          <w:sz w:val="22"/>
        </w:rPr>
        <w:t xml:space="preserve">LLRW </w:t>
      </w:r>
      <w:r w:rsidRPr="00B30232">
        <w:rPr>
          <w:rFonts w:ascii="Arial" w:hAnsi="Arial" w:cs="Arial"/>
          <w:sz w:val="22"/>
        </w:rPr>
        <w:t xml:space="preserve">differs significantly in quantity and concentration from what was considered in the original 10 CFR Part 61 </w:t>
      </w:r>
      <w:r w:rsidR="00D044A1" w:rsidRPr="00B30232">
        <w:rPr>
          <w:rFonts w:ascii="Arial" w:hAnsi="Arial" w:cs="Arial"/>
          <w:sz w:val="22"/>
        </w:rPr>
        <w:t xml:space="preserve">regulatory </w:t>
      </w:r>
      <w:r w:rsidRPr="00B30232">
        <w:rPr>
          <w:rFonts w:ascii="Arial" w:hAnsi="Arial" w:cs="Arial"/>
          <w:sz w:val="22"/>
        </w:rPr>
        <w:t xml:space="preserve">basis, then it might be possible to dispose of a </w:t>
      </w:r>
      <w:r w:rsidR="00D044A1" w:rsidRPr="00B30232">
        <w:rPr>
          <w:rFonts w:ascii="Arial" w:hAnsi="Arial" w:cs="Arial"/>
          <w:sz w:val="22"/>
        </w:rPr>
        <w:t xml:space="preserve">LLRW </w:t>
      </w:r>
      <w:r w:rsidRPr="00B30232">
        <w:rPr>
          <w:rFonts w:ascii="Arial" w:hAnsi="Arial" w:cs="Arial"/>
          <w:sz w:val="22"/>
        </w:rPr>
        <w:t xml:space="preserve">stream that would meet the disposal requirements in Tables 1 and 2 of </w:t>
      </w:r>
      <w:r w:rsidR="009E172E" w:rsidRPr="00B30232">
        <w:rPr>
          <w:rFonts w:ascii="Arial" w:hAnsi="Arial" w:cs="Arial"/>
          <w:sz w:val="22"/>
        </w:rPr>
        <w:t>10 CFR </w:t>
      </w:r>
      <w:r w:rsidRPr="00B30232">
        <w:rPr>
          <w:rFonts w:ascii="Arial" w:hAnsi="Arial" w:cs="Arial"/>
          <w:sz w:val="22"/>
        </w:rPr>
        <w:t xml:space="preserve">61.55 and the performance objectives of </w:t>
      </w:r>
      <w:r w:rsidR="009E172E" w:rsidRPr="00B30232">
        <w:rPr>
          <w:rFonts w:ascii="Arial" w:hAnsi="Arial" w:cs="Arial"/>
          <w:sz w:val="22"/>
        </w:rPr>
        <w:t>10 CFR </w:t>
      </w:r>
      <w:r w:rsidRPr="00B30232">
        <w:rPr>
          <w:rFonts w:ascii="Arial" w:hAnsi="Arial" w:cs="Arial"/>
          <w:sz w:val="22"/>
        </w:rPr>
        <w:t xml:space="preserve">61.42, but would result in an inadvertent intruder dose that exceeds the dose limit used to develop the </w:t>
      </w:r>
      <w:r w:rsidR="00D044A1" w:rsidRPr="00B30232">
        <w:rPr>
          <w:rFonts w:ascii="Arial" w:hAnsi="Arial" w:cs="Arial"/>
          <w:sz w:val="22"/>
        </w:rPr>
        <w:t xml:space="preserve">LLRW </w:t>
      </w:r>
      <w:r w:rsidRPr="00B30232">
        <w:rPr>
          <w:rFonts w:ascii="Arial" w:hAnsi="Arial" w:cs="Arial"/>
          <w:sz w:val="22"/>
        </w:rPr>
        <w:t xml:space="preserve">classification tables (i.e., 5 millisieverts per year [mSv/yr] [500 millirem per year (mrem/yr)]).  </w:t>
      </w:r>
    </w:p>
    <w:p w:rsidR="00311032" w:rsidRPr="00B30232" w:rsidRDefault="00311032" w:rsidP="00D86148">
      <w:pPr>
        <w:widowControl w:val="0"/>
        <w:rPr>
          <w:rFonts w:ascii="Arial" w:hAnsi="Arial" w:cs="Arial"/>
          <w:sz w:val="22"/>
        </w:rPr>
      </w:pPr>
    </w:p>
    <w:p w:rsidR="004C1281" w:rsidRPr="00B30232" w:rsidRDefault="00D86148" w:rsidP="001E5143">
      <w:pPr>
        <w:widowControl w:val="0"/>
        <w:rPr>
          <w:rFonts w:ascii="Arial" w:hAnsi="Arial" w:cs="Arial"/>
          <w:sz w:val="22"/>
        </w:rPr>
      </w:pPr>
      <w:r w:rsidRPr="00B30232">
        <w:rPr>
          <w:rFonts w:ascii="Arial" w:hAnsi="Arial" w:cs="Arial"/>
          <w:sz w:val="22"/>
        </w:rPr>
        <w:t xml:space="preserve">This proposed rule would require current and future LLRW disposal facility licensees and </w:t>
      </w:r>
      <w:r w:rsidRPr="00B30232">
        <w:rPr>
          <w:rFonts w:ascii="Arial" w:hAnsi="Arial" w:cs="Arial"/>
          <w:sz w:val="22"/>
        </w:rPr>
        <w:lastRenderedPageBreak/>
        <w:t>applicants to</w:t>
      </w:r>
      <w:r w:rsidR="00911D80" w:rsidRPr="00B30232">
        <w:rPr>
          <w:rFonts w:ascii="Arial" w:hAnsi="Arial" w:cs="Arial"/>
          <w:sz w:val="22"/>
        </w:rPr>
        <w:t xml:space="preserve"> prepare </w:t>
      </w:r>
      <w:r w:rsidR="00DF0758" w:rsidRPr="00B30232">
        <w:rPr>
          <w:rFonts w:ascii="Arial" w:hAnsi="Arial" w:cs="Arial"/>
          <w:sz w:val="22"/>
        </w:rPr>
        <w:t xml:space="preserve">new and updated </w:t>
      </w:r>
      <w:r w:rsidR="00911D80" w:rsidRPr="00B30232">
        <w:rPr>
          <w:rFonts w:ascii="Arial" w:hAnsi="Arial" w:cs="Arial"/>
          <w:sz w:val="22"/>
        </w:rPr>
        <w:t xml:space="preserve">site-specific </w:t>
      </w:r>
      <w:r w:rsidR="00D044A1" w:rsidRPr="00B30232">
        <w:rPr>
          <w:rFonts w:ascii="Arial" w:hAnsi="Arial" w:cs="Arial"/>
          <w:sz w:val="22"/>
        </w:rPr>
        <w:t xml:space="preserve">technical </w:t>
      </w:r>
      <w:r w:rsidR="00911D80" w:rsidRPr="00B30232">
        <w:rPr>
          <w:rFonts w:ascii="Arial" w:hAnsi="Arial" w:cs="Arial"/>
          <w:sz w:val="22"/>
        </w:rPr>
        <w:t xml:space="preserve">analyses.  The purpose of the site-specific </w:t>
      </w:r>
      <w:r w:rsidR="00D044A1" w:rsidRPr="00B30232">
        <w:rPr>
          <w:rFonts w:ascii="Arial" w:hAnsi="Arial" w:cs="Arial"/>
          <w:sz w:val="22"/>
        </w:rPr>
        <w:t xml:space="preserve">technical </w:t>
      </w:r>
      <w:r w:rsidR="00911D80" w:rsidRPr="00B30232">
        <w:rPr>
          <w:rFonts w:ascii="Arial" w:hAnsi="Arial" w:cs="Arial"/>
          <w:sz w:val="22"/>
        </w:rPr>
        <w:t xml:space="preserve">analyses would be to </w:t>
      </w:r>
      <w:r w:rsidR="00DF0758" w:rsidRPr="00B30232">
        <w:rPr>
          <w:rFonts w:ascii="Arial" w:hAnsi="Arial" w:cs="Arial"/>
          <w:sz w:val="22"/>
        </w:rPr>
        <w:t xml:space="preserve">ensure that </w:t>
      </w:r>
      <w:r w:rsidR="00D044A1" w:rsidRPr="00B30232">
        <w:rPr>
          <w:rFonts w:ascii="Arial" w:hAnsi="Arial" w:cs="Arial"/>
          <w:sz w:val="22"/>
        </w:rPr>
        <w:t xml:space="preserve">LLRW </w:t>
      </w:r>
      <w:r w:rsidR="00DF0758" w:rsidRPr="00B30232">
        <w:rPr>
          <w:rFonts w:ascii="Arial" w:hAnsi="Arial" w:cs="Arial"/>
          <w:sz w:val="22"/>
        </w:rPr>
        <w:t xml:space="preserve">streams that are significantly different from those considered in the current 10 CFR Part 61 </w:t>
      </w:r>
      <w:r w:rsidR="009E172E" w:rsidRPr="00B30232">
        <w:rPr>
          <w:rFonts w:ascii="Arial" w:hAnsi="Arial" w:cs="Arial"/>
          <w:sz w:val="22"/>
        </w:rPr>
        <w:t xml:space="preserve">regulatory </w:t>
      </w:r>
      <w:r w:rsidR="00DF0758" w:rsidRPr="00B30232">
        <w:rPr>
          <w:rFonts w:ascii="Arial" w:hAnsi="Arial" w:cs="Arial"/>
          <w:sz w:val="22"/>
        </w:rPr>
        <w:t>basis can be disposed of safely and meet the 10 CFR Part 61, Su</w:t>
      </w:r>
      <w:r w:rsidR="00311032" w:rsidRPr="00B30232">
        <w:rPr>
          <w:rFonts w:ascii="Arial" w:hAnsi="Arial" w:cs="Arial"/>
          <w:sz w:val="22"/>
        </w:rPr>
        <w:t>bpart C, performance objectives</w:t>
      </w:r>
      <w:r w:rsidR="00911D80" w:rsidRPr="00B30232">
        <w:rPr>
          <w:rFonts w:ascii="Arial" w:hAnsi="Arial" w:cs="Arial"/>
          <w:sz w:val="22"/>
        </w:rPr>
        <w:t xml:space="preserve">.  The site-specific </w:t>
      </w:r>
      <w:r w:rsidR="00D044A1" w:rsidRPr="00B30232">
        <w:rPr>
          <w:rFonts w:ascii="Arial" w:hAnsi="Arial" w:cs="Arial"/>
          <w:sz w:val="22"/>
        </w:rPr>
        <w:t xml:space="preserve">technical </w:t>
      </w:r>
      <w:r w:rsidR="00911D80" w:rsidRPr="00B30232">
        <w:rPr>
          <w:rFonts w:ascii="Arial" w:hAnsi="Arial" w:cs="Arial"/>
          <w:sz w:val="22"/>
        </w:rPr>
        <w:t xml:space="preserve">analyses would include: </w:t>
      </w:r>
    </w:p>
    <w:p w:rsidR="00DF0758" w:rsidRPr="00B30232" w:rsidRDefault="00DF0758" w:rsidP="001E5143">
      <w:pPr>
        <w:widowControl w:val="0"/>
        <w:rPr>
          <w:rFonts w:ascii="Arial" w:hAnsi="Arial" w:cs="Arial"/>
          <w:sz w:val="22"/>
        </w:rPr>
      </w:pPr>
    </w:p>
    <w:p w:rsidR="00D044A1" w:rsidRPr="00B30232" w:rsidRDefault="00523E84" w:rsidP="00EA6C6E">
      <w:pPr>
        <w:pStyle w:val="ListParagraph"/>
        <w:numPr>
          <w:ilvl w:val="0"/>
          <w:numId w:val="10"/>
        </w:numPr>
        <w:rPr>
          <w:rFonts w:ascii="Arial" w:hAnsi="Arial" w:cs="Arial"/>
          <w:sz w:val="22"/>
          <w:szCs w:val="22"/>
        </w:rPr>
      </w:pPr>
      <w:r w:rsidRPr="00B30232">
        <w:rPr>
          <w:rFonts w:ascii="Arial" w:hAnsi="Arial" w:cs="Arial"/>
          <w:sz w:val="22"/>
          <w:szCs w:val="22"/>
        </w:rPr>
        <w:t xml:space="preserve">The newly required </w:t>
      </w:r>
      <w:r w:rsidR="00D044A1" w:rsidRPr="00B30232">
        <w:rPr>
          <w:rFonts w:ascii="Arial" w:hAnsi="Arial" w:cs="Arial"/>
          <w:sz w:val="22"/>
          <w:szCs w:val="22"/>
        </w:rPr>
        <w:t xml:space="preserve">compliance period </w:t>
      </w:r>
      <w:r w:rsidR="00F1360E" w:rsidRPr="00B30232">
        <w:rPr>
          <w:rFonts w:ascii="Arial" w:hAnsi="Arial" w:cs="Arial"/>
          <w:sz w:val="22"/>
          <w:szCs w:val="22"/>
        </w:rPr>
        <w:t>and protective</w:t>
      </w:r>
      <w:r w:rsidR="00216A78" w:rsidRPr="00B30232">
        <w:rPr>
          <w:rFonts w:ascii="Arial" w:hAnsi="Arial" w:cs="Arial"/>
          <w:sz w:val="22"/>
          <w:szCs w:val="22"/>
        </w:rPr>
        <w:t xml:space="preserve"> </w:t>
      </w:r>
      <w:r w:rsidR="00F1360E" w:rsidRPr="00B30232">
        <w:rPr>
          <w:rFonts w:ascii="Arial" w:hAnsi="Arial" w:cs="Arial"/>
          <w:sz w:val="22"/>
          <w:szCs w:val="22"/>
        </w:rPr>
        <w:t>assurance</w:t>
      </w:r>
      <w:r w:rsidR="00216A78" w:rsidRPr="00B30232">
        <w:rPr>
          <w:rFonts w:ascii="Arial" w:hAnsi="Arial" w:cs="Arial"/>
          <w:sz w:val="22"/>
          <w:szCs w:val="22"/>
        </w:rPr>
        <w:t xml:space="preserve"> period </w:t>
      </w:r>
      <w:r w:rsidR="00D044A1" w:rsidRPr="00B30232">
        <w:rPr>
          <w:rFonts w:ascii="Arial" w:hAnsi="Arial" w:cs="Arial"/>
          <w:sz w:val="22"/>
          <w:szCs w:val="22"/>
        </w:rPr>
        <w:t xml:space="preserve">analyses that include a </w:t>
      </w:r>
      <w:r w:rsidRPr="00B30232">
        <w:rPr>
          <w:rFonts w:ascii="Arial" w:hAnsi="Arial" w:cs="Arial"/>
          <w:sz w:val="22"/>
          <w:szCs w:val="22"/>
        </w:rPr>
        <w:t>revised “</w:t>
      </w:r>
      <w:r w:rsidR="00911D80" w:rsidRPr="00B30232">
        <w:rPr>
          <w:rFonts w:ascii="Arial" w:hAnsi="Arial" w:cs="Arial"/>
          <w:sz w:val="22"/>
          <w:szCs w:val="22"/>
        </w:rPr>
        <w:t>performance assessment</w:t>
      </w:r>
      <w:r w:rsidRPr="00B30232">
        <w:rPr>
          <w:rFonts w:ascii="Arial" w:hAnsi="Arial" w:cs="Arial"/>
          <w:sz w:val="22"/>
          <w:szCs w:val="22"/>
        </w:rPr>
        <w:t>”</w:t>
      </w:r>
      <w:r w:rsidR="00D044A1" w:rsidRPr="00B30232">
        <w:rPr>
          <w:rFonts w:ascii="Arial" w:hAnsi="Arial" w:cs="Arial"/>
          <w:sz w:val="22"/>
          <w:szCs w:val="22"/>
        </w:rPr>
        <w:t xml:space="preserve"> and a newly required intruder assessment (</w:t>
      </w:r>
      <w:r w:rsidR="00911D80" w:rsidRPr="00B30232">
        <w:rPr>
          <w:rFonts w:ascii="Arial" w:hAnsi="Arial" w:cs="Arial"/>
          <w:sz w:val="22"/>
          <w:szCs w:val="22"/>
        </w:rPr>
        <w:t xml:space="preserve">using a newly defined </w:t>
      </w:r>
      <w:r w:rsidR="00D044A1" w:rsidRPr="00B30232">
        <w:rPr>
          <w:rFonts w:ascii="Arial" w:hAnsi="Arial" w:cs="Arial"/>
          <w:sz w:val="22"/>
          <w:szCs w:val="22"/>
        </w:rPr>
        <w:t>compliance period of</w:t>
      </w:r>
      <w:r w:rsidR="007529FE" w:rsidRPr="00B30232">
        <w:rPr>
          <w:rFonts w:ascii="Arial" w:hAnsi="Arial" w:cs="Arial"/>
          <w:sz w:val="22"/>
          <w:szCs w:val="22"/>
        </w:rPr>
        <w:t xml:space="preserve"> within</w:t>
      </w:r>
      <w:r w:rsidR="00F1360E" w:rsidRPr="00B30232">
        <w:rPr>
          <w:rFonts w:ascii="Arial" w:hAnsi="Arial" w:cs="Arial"/>
          <w:sz w:val="22"/>
          <w:szCs w:val="22"/>
        </w:rPr>
        <w:t xml:space="preserve"> 1,000 years and protective assurance period of</w:t>
      </w:r>
      <w:r w:rsidR="007529FE" w:rsidRPr="00B30232">
        <w:rPr>
          <w:rFonts w:ascii="Arial" w:hAnsi="Arial" w:cs="Arial"/>
          <w:sz w:val="22"/>
          <w:szCs w:val="22"/>
        </w:rPr>
        <w:t xml:space="preserve"> </w:t>
      </w:r>
      <w:r w:rsidR="009E172E" w:rsidRPr="00B30232">
        <w:rPr>
          <w:rFonts w:ascii="Arial" w:hAnsi="Arial" w:cs="Arial"/>
          <w:sz w:val="22"/>
          <w:szCs w:val="22"/>
        </w:rPr>
        <w:t>1</w:t>
      </w:r>
      <w:r w:rsidR="007529FE" w:rsidRPr="00B30232">
        <w:rPr>
          <w:rFonts w:ascii="Arial" w:hAnsi="Arial" w:cs="Arial"/>
          <w:sz w:val="22"/>
          <w:szCs w:val="22"/>
        </w:rPr>
        <w:t>0,000 years)</w:t>
      </w:r>
      <w:r w:rsidR="00D044A1" w:rsidRPr="00B30232">
        <w:rPr>
          <w:rFonts w:ascii="Arial" w:hAnsi="Arial" w:cs="Arial"/>
          <w:sz w:val="22"/>
          <w:szCs w:val="22"/>
        </w:rPr>
        <w:t xml:space="preserve">.  </w:t>
      </w:r>
      <w:r w:rsidR="00EA6C6E" w:rsidRPr="00B30232">
        <w:rPr>
          <w:rFonts w:ascii="Arial" w:hAnsi="Arial" w:cs="Arial"/>
          <w:sz w:val="22"/>
          <w:szCs w:val="22"/>
        </w:rPr>
        <w:t xml:space="preserve">A new analysis is needed to demonstrate defense-in-depth protection, as required by proposed 10 CFR </w:t>
      </w:r>
      <w:r w:rsidR="000D520E" w:rsidRPr="00B30232">
        <w:rPr>
          <w:rFonts w:ascii="Arial" w:hAnsi="Arial" w:cs="Arial"/>
          <w:sz w:val="22"/>
          <w:szCs w:val="22"/>
        </w:rPr>
        <w:t>61.</w:t>
      </w:r>
      <w:r w:rsidR="00EA6C6E" w:rsidRPr="00B30232">
        <w:rPr>
          <w:rFonts w:ascii="Arial" w:hAnsi="Arial" w:cs="Arial"/>
          <w:sz w:val="22"/>
          <w:szCs w:val="22"/>
        </w:rPr>
        <w:t xml:space="preserve">13(f).  </w:t>
      </w:r>
      <w:r w:rsidR="00D044A1" w:rsidRPr="00B30232">
        <w:rPr>
          <w:rFonts w:ascii="Arial" w:hAnsi="Arial" w:cs="Arial"/>
          <w:sz w:val="22"/>
          <w:szCs w:val="22"/>
        </w:rPr>
        <w:t>A performance assessment is needed</w:t>
      </w:r>
      <w:r w:rsidR="00911D80" w:rsidRPr="00B30232">
        <w:rPr>
          <w:rFonts w:ascii="Arial" w:hAnsi="Arial" w:cs="Arial"/>
          <w:sz w:val="22"/>
          <w:szCs w:val="22"/>
        </w:rPr>
        <w:t xml:space="preserve"> to demonstrate the protection of the general population from releases of radioactivity</w:t>
      </w:r>
      <w:r w:rsidR="00D044A1" w:rsidRPr="00B30232">
        <w:rPr>
          <w:rFonts w:ascii="Arial" w:hAnsi="Arial" w:cs="Arial"/>
          <w:sz w:val="22"/>
          <w:szCs w:val="22"/>
        </w:rPr>
        <w:t>, as required by proposed 10 CFR 61.41</w:t>
      </w:r>
      <w:r w:rsidR="00B91DC5" w:rsidRPr="00B30232">
        <w:rPr>
          <w:rFonts w:ascii="Arial" w:hAnsi="Arial" w:cs="Arial"/>
          <w:sz w:val="22"/>
          <w:szCs w:val="22"/>
        </w:rPr>
        <w:t xml:space="preserve">; </w:t>
      </w:r>
      <w:r w:rsidR="00D044A1" w:rsidRPr="00B30232">
        <w:rPr>
          <w:rFonts w:ascii="Arial" w:hAnsi="Arial" w:cs="Arial"/>
          <w:sz w:val="22"/>
          <w:szCs w:val="22"/>
        </w:rPr>
        <w:t xml:space="preserve">an </w:t>
      </w:r>
      <w:r w:rsidR="00911D80" w:rsidRPr="00B30232">
        <w:rPr>
          <w:rFonts w:ascii="Arial" w:hAnsi="Arial" w:cs="Arial"/>
          <w:sz w:val="22"/>
          <w:szCs w:val="22"/>
        </w:rPr>
        <w:t>intruder</w:t>
      </w:r>
      <w:r w:rsidR="0029396F" w:rsidRPr="00B30232">
        <w:rPr>
          <w:rFonts w:ascii="Arial" w:hAnsi="Arial" w:cs="Arial"/>
          <w:sz w:val="22"/>
          <w:szCs w:val="22"/>
        </w:rPr>
        <w:t xml:space="preserve"> </w:t>
      </w:r>
      <w:r w:rsidR="00911D80" w:rsidRPr="00B30232">
        <w:rPr>
          <w:rFonts w:ascii="Arial" w:hAnsi="Arial" w:cs="Arial"/>
          <w:sz w:val="22"/>
          <w:szCs w:val="22"/>
        </w:rPr>
        <w:t>assessment</w:t>
      </w:r>
      <w:r w:rsidR="00D044A1" w:rsidRPr="00B30232">
        <w:rPr>
          <w:rFonts w:ascii="Arial" w:hAnsi="Arial" w:cs="Arial"/>
          <w:sz w:val="22"/>
          <w:szCs w:val="22"/>
        </w:rPr>
        <w:t xml:space="preserve"> is needed </w:t>
      </w:r>
      <w:r w:rsidR="00911D80" w:rsidRPr="00B30232">
        <w:rPr>
          <w:rFonts w:ascii="Arial" w:hAnsi="Arial" w:cs="Arial"/>
          <w:sz w:val="22"/>
          <w:szCs w:val="22"/>
        </w:rPr>
        <w:t>to demonstrate the protection of inadvertent intruders</w:t>
      </w:r>
      <w:r w:rsidR="00D044A1" w:rsidRPr="00B30232">
        <w:rPr>
          <w:rFonts w:ascii="Arial" w:hAnsi="Arial" w:cs="Arial"/>
          <w:sz w:val="22"/>
          <w:szCs w:val="22"/>
        </w:rPr>
        <w:t>, as required by proposed 10 CFR 61.42</w:t>
      </w:r>
      <w:r w:rsidR="00B91DC5" w:rsidRPr="00B30232">
        <w:rPr>
          <w:rFonts w:ascii="Arial" w:hAnsi="Arial" w:cs="Arial"/>
          <w:sz w:val="22"/>
          <w:szCs w:val="22"/>
        </w:rPr>
        <w:t>;</w:t>
      </w:r>
      <w:r w:rsidR="00EA6C6E" w:rsidRPr="00B30232">
        <w:rPr>
          <w:rFonts w:ascii="Arial" w:hAnsi="Arial" w:cs="Arial"/>
          <w:sz w:val="22"/>
          <w:szCs w:val="22"/>
        </w:rPr>
        <w:t xml:space="preserve"> and</w:t>
      </w:r>
      <w:r w:rsidR="00B91DC5" w:rsidRPr="00B30232">
        <w:rPr>
          <w:rFonts w:ascii="Arial" w:hAnsi="Arial" w:cs="Arial"/>
          <w:sz w:val="22"/>
          <w:szCs w:val="22"/>
        </w:rPr>
        <w:t>,</w:t>
      </w:r>
      <w:r w:rsidR="00EA6C6E" w:rsidRPr="00B30232">
        <w:rPr>
          <w:rFonts w:ascii="Arial" w:hAnsi="Arial" w:cs="Arial"/>
          <w:sz w:val="22"/>
          <w:szCs w:val="22"/>
        </w:rPr>
        <w:t xml:space="preserve"> the proposed revision to 10 CFR 61.44 will specify that stability of the disposal site must be demonstrated for the compliance and protective assurance periods.</w:t>
      </w:r>
    </w:p>
    <w:p w:rsidR="00D044A1" w:rsidRPr="00B30232" w:rsidRDefault="00D044A1" w:rsidP="00CB7BDB">
      <w:pPr>
        <w:widowControl w:val="0"/>
        <w:contextualSpacing/>
        <w:rPr>
          <w:rFonts w:ascii="Arial" w:hAnsi="Arial" w:cs="Arial"/>
          <w:sz w:val="22"/>
        </w:rPr>
      </w:pPr>
    </w:p>
    <w:p w:rsidR="004F47CC" w:rsidRPr="00B30232" w:rsidRDefault="00311032" w:rsidP="00964532">
      <w:pPr>
        <w:pStyle w:val="ListParagraph"/>
        <w:widowControl w:val="0"/>
        <w:numPr>
          <w:ilvl w:val="0"/>
          <w:numId w:val="10"/>
        </w:numPr>
        <w:rPr>
          <w:rFonts w:ascii="Arial" w:hAnsi="Arial" w:cs="Arial"/>
          <w:sz w:val="22"/>
        </w:rPr>
      </w:pPr>
      <w:r w:rsidRPr="00B30232">
        <w:rPr>
          <w:rFonts w:ascii="Arial" w:hAnsi="Arial" w:cs="Arial"/>
          <w:sz w:val="22"/>
        </w:rPr>
        <w:t xml:space="preserve">The </w:t>
      </w:r>
      <w:r w:rsidR="00911D80" w:rsidRPr="00B30232">
        <w:rPr>
          <w:rFonts w:ascii="Arial" w:hAnsi="Arial" w:cs="Arial"/>
          <w:sz w:val="22"/>
        </w:rPr>
        <w:t xml:space="preserve">newly required </w:t>
      </w:r>
      <w:r w:rsidR="0029396F" w:rsidRPr="00B30232">
        <w:rPr>
          <w:rFonts w:ascii="Arial" w:hAnsi="Arial" w:cs="Arial"/>
          <w:sz w:val="22"/>
        </w:rPr>
        <w:t xml:space="preserve">performance period </w:t>
      </w:r>
      <w:r w:rsidR="00911D80" w:rsidRPr="00B30232">
        <w:rPr>
          <w:rFonts w:ascii="Arial" w:hAnsi="Arial" w:cs="Arial"/>
          <w:sz w:val="22"/>
        </w:rPr>
        <w:t>analys</w:t>
      </w:r>
      <w:r w:rsidRPr="00B30232">
        <w:rPr>
          <w:rFonts w:ascii="Arial" w:hAnsi="Arial" w:cs="Arial"/>
          <w:sz w:val="22"/>
        </w:rPr>
        <w:t>e</w:t>
      </w:r>
      <w:r w:rsidR="00911D80" w:rsidRPr="00B30232">
        <w:rPr>
          <w:rFonts w:ascii="Arial" w:hAnsi="Arial" w:cs="Arial"/>
          <w:sz w:val="22"/>
        </w:rPr>
        <w:t>s</w:t>
      </w:r>
      <w:r w:rsidR="007529FE" w:rsidRPr="00B30232">
        <w:rPr>
          <w:rFonts w:ascii="Arial" w:hAnsi="Arial" w:cs="Arial"/>
          <w:sz w:val="22"/>
        </w:rPr>
        <w:t xml:space="preserve"> (</w:t>
      </w:r>
      <w:r w:rsidR="0029396F" w:rsidRPr="00B30232">
        <w:rPr>
          <w:rFonts w:ascii="Arial" w:hAnsi="Arial" w:cs="Arial"/>
          <w:sz w:val="22"/>
        </w:rPr>
        <w:t xml:space="preserve">for analysis timeframe </w:t>
      </w:r>
      <w:r w:rsidR="007529FE" w:rsidRPr="00B30232">
        <w:rPr>
          <w:rFonts w:ascii="Arial" w:hAnsi="Arial" w:cs="Arial"/>
          <w:sz w:val="22"/>
        </w:rPr>
        <w:t xml:space="preserve">greater than </w:t>
      </w:r>
      <w:r w:rsidR="009E172E" w:rsidRPr="00B30232">
        <w:rPr>
          <w:rFonts w:ascii="Arial" w:hAnsi="Arial" w:cs="Arial"/>
          <w:sz w:val="22"/>
        </w:rPr>
        <w:t>10</w:t>
      </w:r>
      <w:r w:rsidR="007529FE" w:rsidRPr="00B30232">
        <w:rPr>
          <w:rFonts w:ascii="Arial" w:hAnsi="Arial" w:cs="Arial"/>
          <w:sz w:val="22"/>
        </w:rPr>
        <w:t>,000 years)</w:t>
      </w:r>
      <w:r w:rsidR="00911D80" w:rsidRPr="00B30232">
        <w:rPr>
          <w:rFonts w:ascii="Arial" w:hAnsi="Arial" w:cs="Arial"/>
          <w:sz w:val="22"/>
        </w:rPr>
        <w:t xml:space="preserve"> to evaluate how the disposal system may mitigate the risk from the disposal of long-lived </w:t>
      </w:r>
      <w:r w:rsidR="0029396F" w:rsidRPr="00B30232">
        <w:rPr>
          <w:rFonts w:ascii="Arial" w:hAnsi="Arial" w:cs="Arial"/>
          <w:sz w:val="22"/>
        </w:rPr>
        <w:t>LLRW</w:t>
      </w:r>
      <w:r w:rsidR="00911D80" w:rsidRPr="00B30232">
        <w:rPr>
          <w:rFonts w:ascii="Arial" w:hAnsi="Arial" w:cs="Arial"/>
          <w:sz w:val="22"/>
        </w:rPr>
        <w:t xml:space="preserve">.  </w:t>
      </w:r>
      <w:r w:rsidR="00C62E63" w:rsidRPr="00B30232">
        <w:rPr>
          <w:rFonts w:ascii="Arial" w:hAnsi="Arial" w:cs="Arial"/>
          <w:sz w:val="22"/>
        </w:rPr>
        <w:t xml:space="preserve">This analysis is only conducted by </w:t>
      </w:r>
      <w:r w:rsidR="0029396F" w:rsidRPr="00B30232">
        <w:rPr>
          <w:rFonts w:ascii="Arial" w:hAnsi="Arial" w:cs="Arial"/>
          <w:sz w:val="22"/>
        </w:rPr>
        <w:t xml:space="preserve">those licensees proposing to dispose of LLRW streams containing radionuclides with average concentrations exceeding values listed in </w:t>
      </w:r>
      <w:r w:rsidR="00523E84" w:rsidRPr="00B30232">
        <w:rPr>
          <w:rFonts w:ascii="Arial" w:hAnsi="Arial" w:cs="Arial"/>
          <w:sz w:val="22"/>
        </w:rPr>
        <w:t xml:space="preserve">proposed </w:t>
      </w:r>
      <w:r w:rsidR="0029396F" w:rsidRPr="00B30232">
        <w:rPr>
          <w:rFonts w:ascii="Arial" w:hAnsi="Arial" w:cs="Arial"/>
          <w:sz w:val="22"/>
        </w:rPr>
        <w:t>Table A of 10 CFR 61.13</w:t>
      </w:r>
      <w:r w:rsidR="0082144B" w:rsidRPr="00B30232">
        <w:rPr>
          <w:rFonts w:ascii="Arial" w:hAnsi="Arial" w:cs="Arial"/>
          <w:sz w:val="22"/>
        </w:rPr>
        <w:t>(e)</w:t>
      </w:r>
      <w:r w:rsidR="00523E84" w:rsidRPr="00B30232">
        <w:rPr>
          <w:rFonts w:ascii="Arial" w:hAnsi="Arial" w:cs="Arial"/>
          <w:sz w:val="22"/>
        </w:rPr>
        <w:t>,</w:t>
      </w:r>
      <w:r w:rsidR="0029396F" w:rsidRPr="00B30232">
        <w:rPr>
          <w:rFonts w:ascii="Arial" w:hAnsi="Arial" w:cs="Arial"/>
          <w:sz w:val="22"/>
        </w:rPr>
        <w:t xml:space="preserve"> or if necessitated by site-specific conditions.</w:t>
      </w:r>
      <w:r w:rsidR="00193F53" w:rsidRPr="00B30232">
        <w:rPr>
          <w:rFonts w:ascii="Arial" w:hAnsi="Arial" w:cs="Arial"/>
          <w:sz w:val="22"/>
        </w:rPr>
        <w:t xml:space="preserve">  </w:t>
      </w:r>
    </w:p>
    <w:p w:rsidR="00C62E63" w:rsidRPr="00B30232" w:rsidRDefault="00C62E63" w:rsidP="00C62E63">
      <w:pPr>
        <w:pStyle w:val="ListParagraph"/>
        <w:widowControl w:val="0"/>
        <w:ind w:left="1080"/>
        <w:rPr>
          <w:rFonts w:ascii="Arial" w:hAnsi="Arial" w:cs="Arial"/>
          <w:sz w:val="22"/>
        </w:rPr>
      </w:pPr>
    </w:p>
    <w:p w:rsidR="007529FE" w:rsidRPr="00B30232" w:rsidRDefault="00DB5777" w:rsidP="001E5143">
      <w:pPr>
        <w:widowControl w:val="0"/>
        <w:rPr>
          <w:rFonts w:ascii="Arial" w:hAnsi="Arial" w:cs="Arial"/>
          <w:sz w:val="22"/>
        </w:rPr>
      </w:pPr>
      <w:r w:rsidRPr="00B30232">
        <w:rPr>
          <w:rFonts w:ascii="Arial" w:hAnsi="Arial" w:cs="Arial"/>
          <w:sz w:val="22"/>
        </w:rPr>
        <w:t xml:space="preserve">The changes will primarily affect </w:t>
      </w:r>
      <w:r w:rsidR="00311032" w:rsidRPr="00B30232">
        <w:rPr>
          <w:rFonts w:ascii="Arial" w:hAnsi="Arial" w:cs="Arial"/>
          <w:sz w:val="22"/>
        </w:rPr>
        <w:t>existing and new</w:t>
      </w:r>
      <w:r w:rsidRPr="00B30232">
        <w:rPr>
          <w:rFonts w:ascii="Arial" w:hAnsi="Arial" w:cs="Arial"/>
          <w:sz w:val="22"/>
        </w:rPr>
        <w:t xml:space="preserve"> LLRW license</w:t>
      </w:r>
      <w:r w:rsidR="00311032" w:rsidRPr="00B30232">
        <w:rPr>
          <w:rFonts w:ascii="Arial" w:hAnsi="Arial" w:cs="Arial"/>
          <w:sz w:val="22"/>
        </w:rPr>
        <w:t>e</w:t>
      </w:r>
      <w:r w:rsidRPr="00B30232">
        <w:rPr>
          <w:rFonts w:ascii="Arial" w:hAnsi="Arial" w:cs="Arial"/>
          <w:sz w:val="22"/>
        </w:rPr>
        <w:t xml:space="preserve">s, who must conduct the new </w:t>
      </w:r>
      <w:r w:rsidR="00DF0758" w:rsidRPr="00B30232">
        <w:rPr>
          <w:rFonts w:ascii="Arial" w:hAnsi="Arial" w:cs="Arial"/>
          <w:sz w:val="22"/>
        </w:rPr>
        <w:t xml:space="preserve">and updated </w:t>
      </w:r>
      <w:r w:rsidRPr="00B30232">
        <w:rPr>
          <w:rFonts w:ascii="Arial" w:hAnsi="Arial" w:cs="Arial"/>
          <w:sz w:val="22"/>
        </w:rPr>
        <w:t xml:space="preserve">site-specific </w:t>
      </w:r>
      <w:r w:rsidR="0029396F" w:rsidRPr="00B30232">
        <w:rPr>
          <w:rFonts w:ascii="Arial" w:hAnsi="Arial" w:cs="Arial"/>
          <w:sz w:val="22"/>
        </w:rPr>
        <w:t xml:space="preserve">technical </w:t>
      </w:r>
      <w:r w:rsidRPr="00B30232">
        <w:rPr>
          <w:rFonts w:ascii="Arial" w:hAnsi="Arial" w:cs="Arial"/>
          <w:sz w:val="22"/>
        </w:rPr>
        <w:t xml:space="preserve">analyses as part of their license </w:t>
      </w:r>
      <w:r w:rsidR="00311032" w:rsidRPr="00B30232">
        <w:rPr>
          <w:rFonts w:ascii="Arial" w:hAnsi="Arial" w:cs="Arial"/>
          <w:sz w:val="22"/>
        </w:rPr>
        <w:t xml:space="preserve">amendments or </w:t>
      </w:r>
      <w:r w:rsidRPr="00B30232">
        <w:rPr>
          <w:rFonts w:ascii="Arial" w:hAnsi="Arial" w:cs="Arial"/>
          <w:sz w:val="22"/>
        </w:rPr>
        <w:t xml:space="preserve">applications.  </w:t>
      </w:r>
      <w:r w:rsidR="006336EC" w:rsidRPr="00B30232">
        <w:rPr>
          <w:rFonts w:ascii="Arial" w:hAnsi="Arial" w:cs="Arial"/>
          <w:sz w:val="22"/>
        </w:rPr>
        <w:t xml:space="preserve">There are four </w:t>
      </w:r>
      <w:r w:rsidR="00311032" w:rsidRPr="00B30232">
        <w:rPr>
          <w:rFonts w:ascii="Arial" w:hAnsi="Arial" w:cs="Arial"/>
          <w:sz w:val="22"/>
        </w:rPr>
        <w:t xml:space="preserve">existing </w:t>
      </w:r>
      <w:r w:rsidR="006336EC" w:rsidRPr="00B30232">
        <w:rPr>
          <w:rFonts w:ascii="Arial" w:hAnsi="Arial" w:cs="Arial"/>
          <w:sz w:val="22"/>
        </w:rPr>
        <w:t xml:space="preserve">LLRW licensees, licensed in four different Agreement States.  </w:t>
      </w:r>
      <w:r w:rsidR="00FE6AD3" w:rsidRPr="00B30232">
        <w:rPr>
          <w:rFonts w:ascii="Arial" w:hAnsi="Arial" w:cs="Arial"/>
          <w:sz w:val="22"/>
        </w:rPr>
        <w:t>I</w:t>
      </w:r>
      <w:r w:rsidRPr="00B30232">
        <w:rPr>
          <w:rFonts w:ascii="Arial" w:hAnsi="Arial" w:cs="Arial"/>
          <w:sz w:val="22"/>
        </w:rPr>
        <w:t xml:space="preserve">f any of these licensees choose to make changes from the </w:t>
      </w:r>
      <w:r w:rsidR="0029396F" w:rsidRPr="00B30232">
        <w:rPr>
          <w:rFonts w:ascii="Arial" w:hAnsi="Arial" w:cs="Arial"/>
          <w:sz w:val="22"/>
        </w:rPr>
        <w:t xml:space="preserve">LLRW </w:t>
      </w:r>
      <w:r w:rsidRPr="00B30232">
        <w:rPr>
          <w:rFonts w:ascii="Arial" w:hAnsi="Arial" w:cs="Arial"/>
          <w:sz w:val="22"/>
        </w:rPr>
        <w:t xml:space="preserve">stream identified on their initial application, they must submit an amendment pursuant to </w:t>
      </w:r>
      <w:r w:rsidR="009F58AF" w:rsidRPr="00B30232">
        <w:rPr>
          <w:rFonts w:ascii="Arial" w:hAnsi="Arial" w:cs="Arial"/>
          <w:sz w:val="22"/>
        </w:rPr>
        <w:t>10 CFR </w:t>
      </w:r>
      <w:r w:rsidRPr="00B30232">
        <w:rPr>
          <w:rFonts w:ascii="Arial" w:hAnsi="Arial" w:cs="Arial"/>
          <w:sz w:val="22"/>
        </w:rPr>
        <w:t xml:space="preserve">61.26, including the </w:t>
      </w:r>
      <w:r w:rsidR="009F58AF" w:rsidRPr="00B30232">
        <w:rPr>
          <w:rFonts w:ascii="Arial" w:hAnsi="Arial" w:cs="Arial"/>
          <w:sz w:val="22"/>
        </w:rPr>
        <w:t>compliance period</w:t>
      </w:r>
      <w:r w:rsidR="007F409A" w:rsidRPr="00B30232">
        <w:rPr>
          <w:rFonts w:ascii="Arial" w:hAnsi="Arial" w:cs="Arial"/>
          <w:sz w:val="22"/>
        </w:rPr>
        <w:t xml:space="preserve"> </w:t>
      </w:r>
      <w:r w:rsidR="00F1360E" w:rsidRPr="00B30232">
        <w:rPr>
          <w:rFonts w:ascii="Arial" w:hAnsi="Arial" w:cs="Arial"/>
          <w:sz w:val="22"/>
        </w:rPr>
        <w:t xml:space="preserve">and protective assurance period </w:t>
      </w:r>
      <w:r w:rsidR="0086296B" w:rsidRPr="00B30232">
        <w:rPr>
          <w:rFonts w:ascii="Arial" w:hAnsi="Arial" w:cs="Arial"/>
          <w:sz w:val="22"/>
        </w:rPr>
        <w:t>analyses</w:t>
      </w:r>
      <w:r w:rsidR="0029396F" w:rsidRPr="00B30232">
        <w:rPr>
          <w:rFonts w:ascii="Arial" w:hAnsi="Arial" w:cs="Arial"/>
          <w:sz w:val="22"/>
        </w:rPr>
        <w:t>,</w:t>
      </w:r>
      <w:r w:rsidR="0086296B" w:rsidRPr="00B30232">
        <w:rPr>
          <w:rFonts w:ascii="Arial" w:hAnsi="Arial" w:cs="Arial"/>
          <w:sz w:val="22"/>
        </w:rPr>
        <w:t xml:space="preserve"> </w:t>
      </w:r>
      <w:r w:rsidR="009F58AF" w:rsidRPr="00B30232">
        <w:rPr>
          <w:rFonts w:ascii="Arial" w:hAnsi="Arial" w:cs="Arial"/>
          <w:sz w:val="22"/>
        </w:rPr>
        <w:t xml:space="preserve">as </w:t>
      </w:r>
      <w:r w:rsidR="007F409A" w:rsidRPr="00B30232">
        <w:rPr>
          <w:rFonts w:ascii="Arial" w:hAnsi="Arial" w:cs="Arial"/>
          <w:sz w:val="22"/>
        </w:rPr>
        <w:t xml:space="preserve">specified in </w:t>
      </w:r>
      <w:r w:rsidR="009F58AF" w:rsidRPr="00B30232">
        <w:rPr>
          <w:rFonts w:ascii="Arial" w:hAnsi="Arial" w:cs="Arial"/>
          <w:sz w:val="22"/>
        </w:rPr>
        <w:t>10 CFR </w:t>
      </w:r>
      <w:r w:rsidRPr="00B30232">
        <w:rPr>
          <w:rFonts w:ascii="Arial" w:hAnsi="Arial" w:cs="Arial"/>
          <w:sz w:val="22"/>
        </w:rPr>
        <w:t>61.41</w:t>
      </w:r>
      <w:r w:rsidR="0082144B" w:rsidRPr="00B30232">
        <w:rPr>
          <w:rFonts w:ascii="Arial" w:hAnsi="Arial" w:cs="Arial"/>
          <w:sz w:val="22"/>
        </w:rPr>
        <w:t>,</w:t>
      </w:r>
      <w:r w:rsidRPr="00B30232">
        <w:rPr>
          <w:rFonts w:ascii="Arial" w:hAnsi="Arial" w:cs="Arial"/>
          <w:sz w:val="22"/>
        </w:rPr>
        <w:t xml:space="preserve"> </w:t>
      </w:r>
      <w:r w:rsidR="009F58AF" w:rsidRPr="00B30232">
        <w:rPr>
          <w:rFonts w:ascii="Arial" w:hAnsi="Arial" w:cs="Arial"/>
          <w:sz w:val="22"/>
        </w:rPr>
        <w:t>10 CFR </w:t>
      </w:r>
      <w:r w:rsidRPr="00B30232">
        <w:rPr>
          <w:rFonts w:ascii="Arial" w:hAnsi="Arial" w:cs="Arial"/>
          <w:sz w:val="22"/>
        </w:rPr>
        <w:t>61.42</w:t>
      </w:r>
      <w:r w:rsidR="0082144B" w:rsidRPr="00B30232">
        <w:rPr>
          <w:rFonts w:ascii="Arial" w:hAnsi="Arial" w:cs="Arial"/>
          <w:sz w:val="22"/>
        </w:rPr>
        <w:t xml:space="preserve">, 10 CFR 61.44, and </w:t>
      </w:r>
      <w:r w:rsidR="000D520E" w:rsidRPr="00B30232">
        <w:rPr>
          <w:rFonts w:ascii="Arial" w:hAnsi="Arial" w:cs="Arial"/>
          <w:sz w:val="22"/>
        </w:rPr>
        <w:t>10</w:t>
      </w:r>
      <w:r w:rsidR="0082144B" w:rsidRPr="00B30232">
        <w:rPr>
          <w:rFonts w:ascii="Arial" w:hAnsi="Arial" w:cs="Arial"/>
          <w:sz w:val="22"/>
        </w:rPr>
        <w:t xml:space="preserve"> CFR </w:t>
      </w:r>
      <w:r w:rsidR="000D520E" w:rsidRPr="00B30232">
        <w:rPr>
          <w:rFonts w:ascii="Arial" w:hAnsi="Arial" w:cs="Arial"/>
          <w:sz w:val="22"/>
        </w:rPr>
        <w:t>61.</w:t>
      </w:r>
      <w:r w:rsidR="0082144B" w:rsidRPr="00B30232">
        <w:rPr>
          <w:rFonts w:ascii="Arial" w:hAnsi="Arial" w:cs="Arial"/>
          <w:sz w:val="22"/>
        </w:rPr>
        <w:t>13(f)</w:t>
      </w:r>
      <w:r w:rsidR="0086296B" w:rsidRPr="00B30232">
        <w:rPr>
          <w:rFonts w:ascii="Arial" w:hAnsi="Arial" w:cs="Arial"/>
          <w:sz w:val="22"/>
        </w:rPr>
        <w:t xml:space="preserve">, and </w:t>
      </w:r>
      <w:r w:rsidR="0029396F" w:rsidRPr="00B30232">
        <w:rPr>
          <w:rFonts w:ascii="Arial" w:hAnsi="Arial" w:cs="Arial"/>
          <w:sz w:val="22"/>
        </w:rPr>
        <w:t>th</w:t>
      </w:r>
      <w:r w:rsidR="00C62E63" w:rsidRPr="00B30232">
        <w:rPr>
          <w:rFonts w:ascii="Arial" w:hAnsi="Arial" w:cs="Arial"/>
          <w:sz w:val="22"/>
        </w:rPr>
        <w:t xml:space="preserve">e </w:t>
      </w:r>
      <w:r w:rsidR="009F58AF" w:rsidRPr="00B30232">
        <w:rPr>
          <w:rFonts w:ascii="Arial" w:hAnsi="Arial" w:cs="Arial"/>
          <w:sz w:val="22"/>
        </w:rPr>
        <w:t>performance period analyses, as</w:t>
      </w:r>
      <w:r w:rsidR="00C62E63" w:rsidRPr="00B30232">
        <w:rPr>
          <w:rFonts w:ascii="Arial" w:hAnsi="Arial" w:cs="Arial"/>
          <w:sz w:val="22"/>
        </w:rPr>
        <w:t xml:space="preserve"> specified in </w:t>
      </w:r>
      <w:r w:rsidR="009F58AF" w:rsidRPr="00B30232">
        <w:rPr>
          <w:rFonts w:ascii="Arial" w:hAnsi="Arial" w:cs="Arial"/>
          <w:sz w:val="22"/>
        </w:rPr>
        <w:t>10 CFR </w:t>
      </w:r>
      <w:r w:rsidR="00C62E63" w:rsidRPr="00B30232">
        <w:rPr>
          <w:rFonts w:ascii="Arial" w:hAnsi="Arial" w:cs="Arial"/>
          <w:sz w:val="22"/>
        </w:rPr>
        <w:t>61.13(e)</w:t>
      </w:r>
      <w:r w:rsidR="009F58AF" w:rsidRPr="00B30232">
        <w:rPr>
          <w:rFonts w:ascii="Arial" w:hAnsi="Arial" w:cs="Arial"/>
          <w:sz w:val="22"/>
        </w:rPr>
        <w:t>,</w:t>
      </w:r>
      <w:r w:rsidR="00C62E63" w:rsidRPr="00B30232">
        <w:rPr>
          <w:rFonts w:ascii="Arial" w:hAnsi="Arial" w:cs="Arial"/>
          <w:sz w:val="22"/>
        </w:rPr>
        <w:t xml:space="preserve"> for </w:t>
      </w:r>
      <w:r w:rsidR="009F58AF" w:rsidRPr="00B30232">
        <w:rPr>
          <w:rFonts w:ascii="Arial" w:hAnsi="Arial" w:cs="Arial"/>
          <w:sz w:val="22"/>
        </w:rPr>
        <w:t xml:space="preserve">radionuclides with average concentrations exceeding values listed in </w:t>
      </w:r>
      <w:r w:rsidR="00C67A8E" w:rsidRPr="00B30232">
        <w:rPr>
          <w:rFonts w:ascii="Arial" w:hAnsi="Arial" w:cs="Arial"/>
          <w:sz w:val="22"/>
        </w:rPr>
        <w:t xml:space="preserve">proposed </w:t>
      </w:r>
      <w:r w:rsidR="009F58AF" w:rsidRPr="00B30232">
        <w:rPr>
          <w:rFonts w:ascii="Arial" w:hAnsi="Arial" w:cs="Arial"/>
          <w:sz w:val="22"/>
        </w:rPr>
        <w:t>Table A of 10 CFR 61.13</w:t>
      </w:r>
      <w:r w:rsidR="0082144B" w:rsidRPr="00B30232">
        <w:rPr>
          <w:rFonts w:ascii="Arial" w:hAnsi="Arial" w:cs="Arial"/>
          <w:sz w:val="22"/>
        </w:rPr>
        <w:t>(e)</w:t>
      </w:r>
      <w:r w:rsidR="00523E84" w:rsidRPr="00B30232">
        <w:rPr>
          <w:rFonts w:ascii="Arial" w:hAnsi="Arial" w:cs="Arial"/>
          <w:sz w:val="22"/>
        </w:rPr>
        <w:t>,</w:t>
      </w:r>
      <w:r w:rsidR="009F58AF" w:rsidRPr="00B30232">
        <w:rPr>
          <w:rFonts w:ascii="Arial" w:hAnsi="Arial" w:cs="Arial"/>
          <w:sz w:val="22"/>
        </w:rPr>
        <w:t xml:space="preserve"> or if necessitated by site-specific conditions</w:t>
      </w:r>
      <w:r w:rsidRPr="00B30232">
        <w:rPr>
          <w:rFonts w:ascii="Arial" w:hAnsi="Arial" w:cs="Arial"/>
          <w:sz w:val="22"/>
        </w:rPr>
        <w:t xml:space="preserve">.  </w:t>
      </w:r>
      <w:r w:rsidR="00214B0A" w:rsidRPr="00B30232">
        <w:rPr>
          <w:rFonts w:ascii="Arial" w:hAnsi="Arial" w:cs="Arial"/>
          <w:sz w:val="22"/>
        </w:rPr>
        <w:t xml:space="preserve">The NRC </w:t>
      </w:r>
      <w:r w:rsidR="00216461" w:rsidRPr="00B30232">
        <w:rPr>
          <w:rFonts w:ascii="Arial" w:hAnsi="Arial" w:cs="Arial"/>
          <w:sz w:val="22"/>
        </w:rPr>
        <w:t xml:space="preserve">also </w:t>
      </w:r>
      <w:r w:rsidR="00214B0A" w:rsidRPr="00B30232">
        <w:rPr>
          <w:rFonts w:ascii="Arial" w:hAnsi="Arial" w:cs="Arial"/>
          <w:sz w:val="22"/>
        </w:rPr>
        <w:t xml:space="preserve">proposes to revise 10 CFR 61.58 to specify the minimum content of the waste acceptance criteria (WAC) and require disposal facility licensees to develop approaches for generators to characterize </w:t>
      </w:r>
      <w:r w:rsidR="00216461" w:rsidRPr="00B30232">
        <w:rPr>
          <w:rFonts w:ascii="Arial" w:hAnsi="Arial" w:cs="Arial"/>
          <w:sz w:val="22"/>
        </w:rPr>
        <w:t>and</w:t>
      </w:r>
      <w:r w:rsidR="00214B0A" w:rsidRPr="00B30232">
        <w:rPr>
          <w:rFonts w:ascii="Arial" w:hAnsi="Arial" w:cs="Arial"/>
          <w:sz w:val="22"/>
        </w:rPr>
        <w:t xml:space="preserve"> certify that such LLRW meets the acceptance criteria for demonstrating compliance with the site-specific WAC.  Proposed 10 CFR 61.58 would also require licensees to annually review their LLRW acceptance plan and to comply with 10 CFR 61.20 when modifying their approved WAC.  Additionally, the new regulatory language would indicate that the NRC would incorporate, where consistent with State and Federal law, the WAC into existing licenses. </w:t>
      </w:r>
      <w:r w:rsidRPr="00B30232">
        <w:rPr>
          <w:rFonts w:ascii="Arial" w:hAnsi="Arial" w:cs="Arial"/>
          <w:sz w:val="22"/>
        </w:rPr>
        <w:t xml:space="preserve">The NRC estimates that </w:t>
      </w:r>
      <w:r w:rsidR="00C62E63" w:rsidRPr="00B30232">
        <w:rPr>
          <w:rFonts w:ascii="Arial" w:hAnsi="Arial" w:cs="Arial"/>
          <w:sz w:val="22"/>
        </w:rPr>
        <w:t xml:space="preserve">all four </w:t>
      </w:r>
      <w:r w:rsidR="00311032" w:rsidRPr="00B30232">
        <w:rPr>
          <w:rFonts w:ascii="Arial" w:hAnsi="Arial" w:cs="Arial"/>
          <w:sz w:val="22"/>
        </w:rPr>
        <w:t>existing</w:t>
      </w:r>
      <w:r w:rsidRPr="00B30232">
        <w:rPr>
          <w:rFonts w:ascii="Arial" w:hAnsi="Arial" w:cs="Arial"/>
          <w:sz w:val="22"/>
        </w:rPr>
        <w:t xml:space="preserve"> licensee</w:t>
      </w:r>
      <w:r w:rsidR="004C1281" w:rsidRPr="00B30232">
        <w:rPr>
          <w:rFonts w:ascii="Arial" w:hAnsi="Arial" w:cs="Arial"/>
          <w:sz w:val="22"/>
        </w:rPr>
        <w:t>s</w:t>
      </w:r>
      <w:r w:rsidRPr="00B30232">
        <w:rPr>
          <w:rFonts w:ascii="Arial" w:hAnsi="Arial" w:cs="Arial"/>
          <w:sz w:val="22"/>
        </w:rPr>
        <w:t xml:space="preserve"> will </w:t>
      </w:r>
      <w:r w:rsidR="004C1281" w:rsidRPr="00B30232">
        <w:rPr>
          <w:rFonts w:ascii="Arial" w:hAnsi="Arial" w:cs="Arial"/>
          <w:sz w:val="22"/>
        </w:rPr>
        <w:t xml:space="preserve">choose to make changes to their </w:t>
      </w:r>
      <w:r w:rsidR="0029396F" w:rsidRPr="00B30232">
        <w:rPr>
          <w:rFonts w:ascii="Arial" w:hAnsi="Arial" w:cs="Arial"/>
          <w:sz w:val="22"/>
        </w:rPr>
        <w:t xml:space="preserve">LLRW </w:t>
      </w:r>
      <w:r w:rsidR="004C1281" w:rsidRPr="00B30232">
        <w:rPr>
          <w:rFonts w:ascii="Arial" w:hAnsi="Arial" w:cs="Arial"/>
          <w:sz w:val="22"/>
        </w:rPr>
        <w:t xml:space="preserve">streams that will require </w:t>
      </w:r>
      <w:r w:rsidR="00C62E63" w:rsidRPr="00B30232">
        <w:rPr>
          <w:rFonts w:ascii="Arial" w:hAnsi="Arial" w:cs="Arial"/>
          <w:sz w:val="22"/>
        </w:rPr>
        <w:t xml:space="preserve">them to submit </w:t>
      </w:r>
      <w:r w:rsidR="004C1281" w:rsidRPr="00B30232">
        <w:rPr>
          <w:rFonts w:ascii="Arial" w:hAnsi="Arial" w:cs="Arial"/>
          <w:sz w:val="22"/>
        </w:rPr>
        <w:t>a</w:t>
      </w:r>
      <w:r w:rsidR="00311032" w:rsidRPr="00B30232">
        <w:rPr>
          <w:rFonts w:ascii="Arial" w:hAnsi="Arial" w:cs="Arial"/>
          <w:sz w:val="22"/>
        </w:rPr>
        <w:t xml:space="preserve"> </w:t>
      </w:r>
      <w:r w:rsidR="004C1281" w:rsidRPr="00B30232">
        <w:rPr>
          <w:rFonts w:ascii="Arial" w:hAnsi="Arial" w:cs="Arial"/>
          <w:sz w:val="22"/>
        </w:rPr>
        <w:t>license</w:t>
      </w:r>
      <w:r w:rsidR="00FE6AD3" w:rsidRPr="00B30232">
        <w:rPr>
          <w:rFonts w:ascii="Arial" w:hAnsi="Arial" w:cs="Arial"/>
          <w:sz w:val="22"/>
        </w:rPr>
        <w:t xml:space="preserve"> amendment, but that the burdens will not be incurred for four years after the effective date of the final rule.</w:t>
      </w:r>
      <w:r w:rsidR="00311032" w:rsidRPr="00B30232">
        <w:rPr>
          <w:rFonts w:ascii="Arial" w:hAnsi="Arial" w:cs="Arial"/>
          <w:sz w:val="22"/>
        </w:rPr>
        <w:t xml:space="preserve">  This is based on the assumption that the NRC will publish the final rule in </w:t>
      </w:r>
      <w:r w:rsidR="00F1360E" w:rsidRPr="00B30232">
        <w:rPr>
          <w:rFonts w:ascii="Arial" w:hAnsi="Arial" w:cs="Arial"/>
          <w:sz w:val="22"/>
        </w:rPr>
        <w:t>201</w:t>
      </w:r>
      <w:r w:rsidR="000D520E" w:rsidRPr="00B30232">
        <w:rPr>
          <w:rFonts w:ascii="Arial" w:hAnsi="Arial" w:cs="Arial"/>
          <w:sz w:val="22"/>
        </w:rPr>
        <w:t>6</w:t>
      </w:r>
      <w:r w:rsidR="00F1360E" w:rsidRPr="00B30232">
        <w:rPr>
          <w:rFonts w:ascii="Arial" w:hAnsi="Arial" w:cs="Arial"/>
          <w:sz w:val="22"/>
        </w:rPr>
        <w:t xml:space="preserve"> </w:t>
      </w:r>
      <w:r w:rsidR="00311032" w:rsidRPr="00B30232">
        <w:rPr>
          <w:rFonts w:ascii="Arial" w:hAnsi="Arial" w:cs="Arial"/>
          <w:sz w:val="22"/>
        </w:rPr>
        <w:t xml:space="preserve">and the Agreement States will take 3 years to develop their conforming regulations and to adopt the </w:t>
      </w:r>
      <w:r w:rsidR="009F58AF" w:rsidRPr="00B30232">
        <w:rPr>
          <w:rFonts w:ascii="Arial" w:hAnsi="Arial" w:cs="Arial"/>
          <w:sz w:val="22"/>
        </w:rPr>
        <w:t xml:space="preserve">final </w:t>
      </w:r>
      <w:r w:rsidR="00311032" w:rsidRPr="00B30232">
        <w:rPr>
          <w:rFonts w:ascii="Arial" w:hAnsi="Arial" w:cs="Arial"/>
          <w:sz w:val="22"/>
        </w:rPr>
        <w:t>10 CFR Part 61.</w:t>
      </w:r>
      <w:r w:rsidR="002E561A" w:rsidRPr="00B30232">
        <w:rPr>
          <w:rFonts w:ascii="Arial" w:hAnsi="Arial" w:cs="Arial"/>
          <w:sz w:val="22"/>
        </w:rPr>
        <w:t xml:space="preserve">  </w:t>
      </w:r>
    </w:p>
    <w:p w:rsidR="00FE6AD3" w:rsidRPr="00B30232" w:rsidRDefault="00FE6AD3" w:rsidP="001E5143">
      <w:pPr>
        <w:widowControl w:val="0"/>
        <w:rPr>
          <w:rFonts w:ascii="Arial" w:hAnsi="Arial" w:cs="Arial"/>
          <w:sz w:val="22"/>
        </w:rPr>
      </w:pPr>
    </w:p>
    <w:p w:rsidR="007529FE" w:rsidRPr="00B30232" w:rsidRDefault="00FE6AD3" w:rsidP="001E5143">
      <w:pPr>
        <w:widowControl w:val="0"/>
        <w:rPr>
          <w:rFonts w:ascii="Arial" w:hAnsi="Arial" w:cs="Arial"/>
          <w:sz w:val="22"/>
        </w:rPr>
      </w:pPr>
      <w:r w:rsidRPr="00B30232">
        <w:rPr>
          <w:rFonts w:ascii="Arial" w:hAnsi="Arial" w:cs="Arial"/>
          <w:sz w:val="22"/>
        </w:rPr>
        <w:t>Any new license applicants would</w:t>
      </w:r>
      <w:r w:rsidR="007529FE" w:rsidRPr="00B30232">
        <w:rPr>
          <w:rFonts w:ascii="Arial" w:hAnsi="Arial" w:cs="Arial"/>
          <w:sz w:val="22"/>
        </w:rPr>
        <w:t xml:space="preserve"> incur additional burdens to conduct the specified </w:t>
      </w:r>
      <w:r w:rsidR="009F58AF" w:rsidRPr="00B30232">
        <w:rPr>
          <w:rFonts w:ascii="Arial" w:hAnsi="Arial" w:cs="Arial"/>
          <w:sz w:val="22"/>
        </w:rPr>
        <w:t>compliance period</w:t>
      </w:r>
      <w:r w:rsidR="007529FE" w:rsidRPr="00B30232">
        <w:rPr>
          <w:rFonts w:ascii="Arial" w:hAnsi="Arial" w:cs="Arial"/>
          <w:sz w:val="22"/>
        </w:rPr>
        <w:t xml:space="preserve"> </w:t>
      </w:r>
      <w:r w:rsidR="00C67A8E" w:rsidRPr="00B30232">
        <w:rPr>
          <w:rFonts w:ascii="Arial" w:hAnsi="Arial" w:cs="Arial"/>
          <w:sz w:val="22"/>
        </w:rPr>
        <w:t>analyses</w:t>
      </w:r>
      <w:r w:rsidR="00F1360E" w:rsidRPr="00B30232">
        <w:rPr>
          <w:rFonts w:ascii="Arial" w:hAnsi="Arial" w:cs="Arial"/>
          <w:sz w:val="22"/>
        </w:rPr>
        <w:t>, protective assurance period analyses,</w:t>
      </w:r>
      <w:r w:rsidR="00C67A8E" w:rsidRPr="00B30232">
        <w:rPr>
          <w:rFonts w:ascii="Arial" w:hAnsi="Arial" w:cs="Arial"/>
          <w:sz w:val="22"/>
        </w:rPr>
        <w:t xml:space="preserve"> </w:t>
      </w:r>
      <w:r w:rsidR="007529FE" w:rsidRPr="00B30232">
        <w:rPr>
          <w:rFonts w:ascii="Arial" w:hAnsi="Arial" w:cs="Arial"/>
          <w:sz w:val="22"/>
        </w:rPr>
        <w:t xml:space="preserve">and </w:t>
      </w:r>
      <w:r w:rsidR="00C67A8E" w:rsidRPr="00B30232">
        <w:rPr>
          <w:rFonts w:ascii="Arial" w:hAnsi="Arial" w:cs="Arial"/>
          <w:sz w:val="22"/>
        </w:rPr>
        <w:t xml:space="preserve">the </w:t>
      </w:r>
      <w:r w:rsidR="009F58AF" w:rsidRPr="00B30232">
        <w:rPr>
          <w:rFonts w:ascii="Arial" w:hAnsi="Arial" w:cs="Arial"/>
          <w:sz w:val="22"/>
        </w:rPr>
        <w:t>performance period analyses</w:t>
      </w:r>
      <w:r w:rsidR="00212091" w:rsidRPr="00B30232">
        <w:rPr>
          <w:rFonts w:ascii="Arial" w:hAnsi="Arial" w:cs="Arial"/>
          <w:sz w:val="22"/>
        </w:rPr>
        <w:t xml:space="preserve">. </w:t>
      </w:r>
      <w:r w:rsidRPr="00B30232">
        <w:rPr>
          <w:rFonts w:ascii="Arial" w:hAnsi="Arial" w:cs="Arial"/>
          <w:sz w:val="22"/>
        </w:rPr>
        <w:t xml:space="preserve"> No applications are </w:t>
      </w:r>
      <w:r w:rsidR="00311032" w:rsidRPr="00B30232">
        <w:rPr>
          <w:rFonts w:ascii="Arial" w:hAnsi="Arial" w:cs="Arial"/>
          <w:sz w:val="22"/>
        </w:rPr>
        <w:t xml:space="preserve">also </w:t>
      </w:r>
      <w:r w:rsidRPr="00B30232">
        <w:rPr>
          <w:rFonts w:ascii="Arial" w:hAnsi="Arial" w:cs="Arial"/>
          <w:sz w:val="22"/>
        </w:rPr>
        <w:t>expected during the three-year clearance period.</w:t>
      </w:r>
    </w:p>
    <w:p w:rsidR="00FE6AD3" w:rsidRPr="00B30232" w:rsidRDefault="00FE6AD3" w:rsidP="001E5143">
      <w:pPr>
        <w:widowControl w:val="0"/>
        <w:rPr>
          <w:rFonts w:ascii="Arial" w:hAnsi="Arial" w:cs="Arial"/>
          <w:sz w:val="22"/>
        </w:rPr>
      </w:pPr>
    </w:p>
    <w:p w:rsidR="00FE6AD3" w:rsidRPr="00B30232" w:rsidRDefault="00FE6AD3" w:rsidP="00FE6AD3">
      <w:pPr>
        <w:widowControl w:val="0"/>
        <w:rPr>
          <w:rFonts w:ascii="Arial" w:hAnsi="Arial" w:cs="Arial"/>
          <w:sz w:val="22"/>
        </w:rPr>
      </w:pPr>
      <w:r w:rsidRPr="00B30232">
        <w:rPr>
          <w:rFonts w:ascii="Arial" w:hAnsi="Arial" w:cs="Arial"/>
          <w:sz w:val="22"/>
        </w:rPr>
        <w:lastRenderedPageBreak/>
        <w:t xml:space="preserve">All licensees will be impacted by the proposed changes to </w:t>
      </w:r>
      <w:r w:rsidR="009F58AF" w:rsidRPr="00B30232">
        <w:rPr>
          <w:rFonts w:ascii="Arial" w:hAnsi="Arial" w:cs="Arial"/>
          <w:sz w:val="22"/>
        </w:rPr>
        <w:t>10 CFR </w:t>
      </w:r>
      <w:r w:rsidRPr="00B30232">
        <w:rPr>
          <w:rFonts w:ascii="Arial" w:hAnsi="Arial" w:cs="Arial"/>
          <w:sz w:val="22"/>
        </w:rPr>
        <w:t>Part 61 at the time of license</w:t>
      </w:r>
      <w:r w:rsidR="0029396F" w:rsidRPr="00B30232">
        <w:rPr>
          <w:rFonts w:ascii="Arial" w:hAnsi="Arial" w:cs="Arial"/>
          <w:sz w:val="22"/>
        </w:rPr>
        <w:t xml:space="preserve"> amendment for</w:t>
      </w:r>
      <w:r w:rsidRPr="00B30232">
        <w:rPr>
          <w:rFonts w:ascii="Arial" w:hAnsi="Arial" w:cs="Arial"/>
          <w:sz w:val="22"/>
        </w:rPr>
        <w:t xml:space="preserve"> closure</w:t>
      </w:r>
      <w:r w:rsidR="0029396F" w:rsidRPr="00B30232">
        <w:rPr>
          <w:rFonts w:ascii="Arial" w:hAnsi="Arial" w:cs="Arial"/>
          <w:sz w:val="22"/>
        </w:rPr>
        <w:t>,</w:t>
      </w:r>
      <w:r w:rsidRPr="00B30232">
        <w:rPr>
          <w:rFonts w:ascii="Arial" w:hAnsi="Arial" w:cs="Arial"/>
          <w:sz w:val="22"/>
        </w:rPr>
        <w:t xml:space="preserve"> as specified in </w:t>
      </w:r>
      <w:r w:rsidR="009F58AF" w:rsidRPr="00B30232">
        <w:rPr>
          <w:rFonts w:ascii="Arial" w:hAnsi="Arial" w:cs="Arial"/>
          <w:sz w:val="22"/>
        </w:rPr>
        <w:t>10 CFR </w:t>
      </w:r>
      <w:r w:rsidRPr="00B30232">
        <w:rPr>
          <w:rFonts w:ascii="Arial" w:hAnsi="Arial" w:cs="Arial"/>
          <w:sz w:val="22"/>
        </w:rPr>
        <w:t xml:space="preserve">61.28, </w:t>
      </w:r>
      <w:r w:rsidR="009F58AF" w:rsidRPr="00B30232">
        <w:rPr>
          <w:rFonts w:ascii="Arial" w:hAnsi="Arial" w:cs="Arial"/>
          <w:sz w:val="22"/>
        </w:rPr>
        <w:t xml:space="preserve">“Contents of application for closure,” </w:t>
      </w:r>
      <w:r w:rsidRPr="00B30232">
        <w:rPr>
          <w:rFonts w:ascii="Arial" w:hAnsi="Arial" w:cs="Arial"/>
          <w:sz w:val="22"/>
        </w:rPr>
        <w:t xml:space="preserve">when they must submit updated </w:t>
      </w:r>
      <w:r w:rsidR="00F74013" w:rsidRPr="00B30232">
        <w:rPr>
          <w:rFonts w:ascii="Arial" w:hAnsi="Arial" w:cs="Arial"/>
          <w:sz w:val="22"/>
        </w:rPr>
        <w:t>compliance period</w:t>
      </w:r>
      <w:r w:rsidR="00E74C00" w:rsidRPr="00B30232">
        <w:rPr>
          <w:rFonts w:ascii="Arial" w:hAnsi="Arial" w:cs="Arial"/>
          <w:sz w:val="22"/>
        </w:rPr>
        <w:t xml:space="preserve"> analyses, protective assurance period </w:t>
      </w:r>
      <w:r w:rsidR="00F74013" w:rsidRPr="00B30232">
        <w:rPr>
          <w:rFonts w:ascii="Arial" w:hAnsi="Arial" w:cs="Arial"/>
          <w:sz w:val="22"/>
        </w:rPr>
        <w:t xml:space="preserve">analyses and the performance period analyses, </w:t>
      </w:r>
      <w:r w:rsidRPr="00B30232">
        <w:rPr>
          <w:rFonts w:ascii="Arial" w:hAnsi="Arial" w:cs="Arial"/>
          <w:sz w:val="22"/>
        </w:rPr>
        <w:t xml:space="preserve">as specified in the revised </w:t>
      </w:r>
      <w:r w:rsidR="009F58AF" w:rsidRPr="00B30232">
        <w:rPr>
          <w:rFonts w:ascii="Arial" w:hAnsi="Arial" w:cs="Arial"/>
          <w:sz w:val="22"/>
        </w:rPr>
        <w:t>10 CFR </w:t>
      </w:r>
      <w:r w:rsidRPr="00B30232">
        <w:rPr>
          <w:rFonts w:ascii="Arial" w:hAnsi="Arial" w:cs="Arial"/>
          <w:sz w:val="22"/>
        </w:rPr>
        <w:t>61.</w:t>
      </w:r>
      <w:r w:rsidR="00DF0758" w:rsidRPr="00B30232">
        <w:rPr>
          <w:rFonts w:ascii="Arial" w:hAnsi="Arial" w:cs="Arial"/>
          <w:sz w:val="22"/>
        </w:rPr>
        <w:t>41, 61.42,</w:t>
      </w:r>
      <w:r w:rsidRPr="00B30232">
        <w:rPr>
          <w:rFonts w:ascii="Arial" w:hAnsi="Arial" w:cs="Arial"/>
          <w:sz w:val="22"/>
        </w:rPr>
        <w:t xml:space="preserve"> </w:t>
      </w:r>
      <w:r w:rsidR="00E74C00" w:rsidRPr="00B30232">
        <w:rPr>
          <w:rFonts w:ascii="Arial" w:hAnsi="Arial" w:cs="Arial"/>
          <w:sz w:val="22"/>
        </w:rPr>
        <w:t xml:space="preserve">61.44, </w:t>
      </w:r>
      <w:r w:rsidRPr="00B30232">
        <w:rPr>
          <w:rFonts w:ascii="Arial" w:hAnsi="Arial" w:cs="Arial"/>
          <w:sz w:val="22"/>
        </w:rPr>
        <w:t>61.13(</w:t>
      </w:r>
      <w:r w:rsidR="00DF0758" w:rsidRPr="00B30232">
        <w:rPr>
          <w:rFonts w:ascii="Arial" w:hAnsi="Arial" w:cs="Arial"/>
          <w:sz w:val="22"/>
        </w:rPr>
        <w:t>e</w:t>
      </w:r>
      <w:r w:rsidRPr="00B30232">
        <w:rPr>
          <w:rFonts w:ascii="Arial" w:hAnsi="Arial" w:cs="Arial"/>
          <w:sz w:val="22"/>
        </w:rPr>
        <w:t xml:space="preserve">), </w:t>
      </w:r>
      <w:r w:rsidR="00B5023C" w:rsidRPr="00B30232">
        <w:rPr>
          <w:rFonts w:ascii="Arial" w:hAnsi="Arial" w:cs="Arial"/>
          <w:sz w:val="22"/>
        </w:rPr>
        <w:t xml:space="preserve">and 61.13(f), </w:t>
      </w:r>
      <w:r w:rsidRPr="00B30232">
        <w:rPr>
          <w:rFonts w:ascii="Arial" w:hAnsi="Arial" w:cs="Arial"/>
          <w:sz w:val="22"/>
        </w:rPr>
        <w:t xml:space="preserve">using the details of the final closure plan and </w:t>
      </w:r>
      <w:r w:rsidR="00F74013" w:rsidRPr="00B30232">
        <w:rPr>
          <w:rFonts w:ascii="Arial" w:hAnsi="Arial" w:cs="Arial"/>
          <w:sz w:val="22"/>
        </w:rPr>
        <w:t xml:space="preserve">LLRW </w:t>
      </w:r>
      <w:r w:rsidRPr="00B30232">
        <w:rPr>
          <w:rFonts w:ascii="Arial" w:hAnsi="Arial" w:cs="Arial"/>
          <w:sz w:val="22"/>
        </w:rPr>
        <w:t xml:space="preserve">inventory.  </w:t>
      </w:r>
    </w:p>
    <w:p w:rsidR="00FE6AD3" w:rsidRPr="00B30232" w:rsidRDefault="00FE6AD3" w:rsidP="001E5143">
      <w:pPr>
        <w:widowControl w:val="0"/>
        <w:rPr>
          <w:rFonts w:ascii="Arial" w:hAnsi="Arial" w:cs="Arial"/>
          <w:sz w:val="22"/>
        </w:rPr>
      </w:pPr>
    </w:p>
    <w:p w:rsidR="00F74013" w:rsidRPr="00B30232" w:rsidRDefault="00A251CC" w:rsidP="001E5143">
      <w:pPr>
        <w:widowControl w:val="0"/>
        <w:rPr>
          <w:rFonts w:ascii="Arial" w:hAnsi="Arial" w:cs="Arial"/>
          <w:sz w:val="22"/>
        </w:rPr>
      </w:pPr>
      <w:r w:rsidRPr="00B30232">
        <w:rPr>
          <w:rFonts w:ascii="Arial" w:hAnsi="Arial" w:cs="Arial"/>
          <w:sz w:val="22"/>
        </w:rPr>
        <w:t>The proposed rule would also require LLRW disposal licensees or license applicants to develop criteria for the acceptability of LLRW for disposal.  These amendments maintain the existing LLRW classification system, but permit licensees or license applicants to account for facility design, disposal practices, and site characteristics to determine LLRW acceptable for disposal.  Under the proposed 10 CFR 61.58(</w:t>
      </w:r>
      <w:r w:rsidR="00F74013" w:rsidRPr="00B30232">
        <w:rPr>
          <w:rFonts w:ascii="Arial" w:hAnsi="Arial" w:cs="Arial"/>
          <w:sz w:val="22"/>
        </w:rPr>
        <w:t>f</w:t>
      </w:r>
      <w:r w:rsidRPr="00B30232">
        <w:rPr>
          <w:rFonts w:ascii="Arial" w:hAnsi="Arial" w:cs="Arial"/>
          <w:sz w:val="22"/>
        </w:rPr>
        <w:t xml:space="preserve">), licensees are also required to conduct an annual review of the </w:t>
      </w:r>
      <w:r w:rsidR="00E06BDE" w:rsidRPr="00B30232">
        <w:rPr>
          <w:rFonts w:ascii="Arial" w:hAnsi="Arial" w:cs="Arial"/>
          <w:sz w:val="22"/>
        </w:rPr>
        <w:t xml:space="preserve">LLRW </w:t>
      </w:r>
      <w:r w:rsidRPr="00B30232">
        <w:rPr>
          <w:rFonts w:ascii="Arial" w:hAnsi="Arial" w:cs="Arial"/>
          <w:sz w:val="22"/>
        </w:rPr>
        <w:t xml:space="preserve">acceptance plan to determine if they need to be updated, to ensure that the LLRW disposal facility continues to comply with the Subpart C performance objectives.  </w:t>
      </w:r>
      <w:r w:rsidR="00C67A8E" w:rsidRPr="00B30232">
        <w:rPr>
          <w:rFonts w:ascii="Arial" w:hAnsi="Arial" w:cs="Arial"/>
          <w:sz w:val="22"/>
        </w:rPr>
        <w:t xml:space="preserve">In addition, under the proposed 10 CFR 61.80(m), the licensees are required to maintain LLRW acceptance records for three </w:t>
      </w:r>
      <w:r w:rsidR="00B5023C" w:rsidRPr="00B30232">
        <w:rPr>
          <w:rFonts w:ascii="Arial" w:hAnsi="Arial" w:cs="Arial"/>
          <w:sz w:val="22"/>
        </w:rPr>
        <w:t xml:space="preserve">years </w:t>
      </w:r>
      <w:r w:rsidR="00C67A8E" w:rsidRPr="00B30232">
        <w:rPr>
          <w:rFonts w:ascii="Arial" w:hAnsi="Arial" w:cs="Arial"/>
          <w:sz w:val="22"/>
        </w:rPr>
        <w:t xml:space="preserve">after the record is made.  </w:t>
      </w:r>
    </w:p>
    <w:p w:rsidR="00F74013" w:rsidRPr="00B30232" w:rsidRDefault="00F74013" w:rsidP="001E5143">
      <w:pPr>
        <w:widowControl w:val="0"/>
        <w:rPr>
          <w:rFonts w:ascii="Arial" w:hAnsi="Arial" w:cs="Arial"/>
          <w:sz w:val="22"/>
        </w:rPr>
      </w:pPr>
    </w:p>
    <w:p w:rsidR="00212091" w:rsidRPr="00B30232" w:rsidRDefault="00212091" w:rsidP="001E5143">
      <w:pPr>
        <w:widowControl w:val="0"/>
        <w:rPr>
          <w:rFonts w:ascii="Arial" w:hAnsi="Arial" w:cs="Arial"/>
          <w:sz w:val="22"/>
        </w:rPr>
      </w:pPr>
      <w:r w:rsidRPr="00B30232">
        <w:rPr>
          <w:rFonts w:ascii="Arial" w:hAnsi="Arial" w:cs="Arial"/>
          <w:sz w:val="22"/>
        </w:rPr>
        <w:t xml:space="preserve">Conforming changes have been made to the rule language in 10 CFR </w:t>
      </w:r>
      <w:r w:rsidR="000D520E" w:rsidRPr="00B30232">
        <w:rPr>
          <w:rFonts w:ascii="Arial" w:hAnsi="Arial" w:cs="Arial"/>
          <w:sz w:val="22"/>
        </w:rPr>
        <w:t xml:space="preserve">Part </w:t>
      </w:r>
      <w:r w:rsidRPr="00B30232">
        <w:rPr>
          <w:rFonts w:ascii="Arial" w:hAnsi="Arial" w:cs="Arial"/>
          <w:sz w:val="22"/>
        </w:rPr>
        <w:t>20, “Standards for the Protection Against Radiation,” but no information collections were affect</w:t>
      </w:r>
      <w:r w:rsidR="0083388E" w:rsidRPr="00B30232">
        <w:rPr>
          <w:rFonts w:ascii="Arial" w:hAnsi="Arial" w:cs="Arial"/>
          <w:sz w:val="22"/>
        </w:rPr>
        <w:t>ed</w:t>
      </w:r>
      <w:r w:rsidRPr="00B30232">
        <w:rPr>
          <w:rFonts w:ascii="Arial" w:hAnsi="Arial" w:cs="Arial"/>
          <w:sz w:val="22"/>
        </w:rPr>
        <w:t>.</w:t>
      </w:r>
    </w:p>
    <w:p w:rsidR="00212091" w:rsidRPr="00B30232" w:rsidRDefault="00212091" w:rsidP="001E5143">
      <w:pPr>
        <w:widowControl w:val="0"/>
        <w:rPr>
          <w:rFonts w:ascii="Arial" w:hAnsi="Arial" w:cs="Arial"/>
          <w:sz w:val="22"/>
        </w:rPr>
      </w:pPr>
    </w:p>
    <w:p w:rsidR="00212091" w:rsidRPr="00B30232" w:rsidRDefault="00A251CC" w:rsidP="001E5143">
      <w:pPr>
        <w:widowControl w:val="0"/>
        <w:rPr>
          <w:rFonts w:ascii="Arial" w:hAnsi="Arial" w:cs="Arial"/>
          <w:sz w:val="22"/>
        </w:rPr>
      </w:pPr>
      <w:r w:rsidRPr="00B30232">
        <w:rPr>
          <w:rFonts w:ascii="Arial" w:hAnsi="Arial" w:cs="Arial"/>
          <w:sz w:val="22"/>
        </w:rPr>
        <w:t xml:space="preserve">The NRC is also proposing to </w:t>
      </w:r>
      <w:r w:rsidR="00212091" w:rsidRPr="00B30232">
        <w:rPr>
          <w:rFonts w:ascii="Arial" w:hAnsi="Arial" w:cs="Arial"/>
          <w:sz w:val="22"/>
        </w:rPr>
        <w:t xml:space="preserve">make changes to the following forms to </w:t>
      </w:r>
      <w:r w:rsidRPr="00B30232">
        <w:rPr>
          <w:rFonts w:ascii="Arial" w:hAnsi="Arial" w:cs="Arial"/>
          <w:sz w:val="22"/>
        </w:rPr>
        <w:t>conform to proposed requirements for LLRW acceptance</w:t>
      </w:r>
      <w:r w:rsidR="00212091" w:rsidRPr="00B30232">
        <w:rPr>
          <w:rFonts w:ascii="Arial" w:hAnsi="Arial" w:cs="Arial"/>
          <w:sz w:val="22"/>
        </w:rPr>
        <w:t>:</w:t>
      </w:r>
    </w:p>
    <w:p w:rsidR="00212091" w:rsidRPr="00B30232" w:rsidRDefault="00212091" w:rsidP="001E5143">
      <w:pPr>
        <w:widowControl w:val="0"/>
        <w:rPr>
          <w:rFonts w:ascii="Arial" w:hAnsi="Arial" w:cs="Arial"/>
          <w:sz w:val="22"/>
        </w:rPr>
      </w:pPr>
    </w:p>
    <w:p w:rsidR="00212091" w:rsidRPr="00B30232" w:rsidRDefault="00212091" w:rsidP="00212091">
      <w:pPr>
        <w:pStyle w:val="ListParagraph"/>
        <w:widowControl w:val="0"/>
        <w:numPr>
          <w:ilvl w:val="0"/>
          <w:numId w:val="18"/>
        </w:numPr>
        <w:rPr>
          <w:rFonts w:ascii="Arial" w:hAnsi="Arial" w:cs="Arial"/>
          <w:sz w:val="22"/>
        </w:rPr>
      </w:pPr>
      <w:r w:rsidRPr="00B30232">
        <w:rPr>
          <w:rFonts w:ascii="Arial" w:hAnsi="Arial" w:cs="Arial"/>
          <w:sz w:val="22"/>
        </w:rPr>
        <w:t>NRC Form 540, “Uniform Low-Level Radioactive Waste Manifest Shipping Paper;”</w:t>
      </w:r>
    </w:p>
    <w:p w:rsidR="00212091" w:rsidRPr="00B30232" w:rsidRDefault="00212091" w:rsidP="00212091">
      <w:pPr>
        <w:pStyle w:val="ListParagraph"/>
        <w:widowControl w:val="0"/>
        <w:numPr>
          <w:ilvl w:val="0"/>
          <w:numId w:val="18"/>
        </w:numPr>
        <w:rPr>
          <w:rFonts w:ascii="Arial" w:hAnsi="Arial" w:cs="Arial"/>
          <w:sz w:val="22"/>
        </w:rPr>
      </w:pPr>
      <w:r w:rsidRPr="00B30232">
        <w:rPr>
          <w:rFonts w:ascii="Arial" w:hAnsi="Arial" w:cs="Arial"/>
          <w:sz w:val="22"/>
        </w:rPr>
        <w:t>NRC Form 540A, “Uniform Low-Level Radioactive Waste Manifest Shipping Paper, Continuation;</w:t>
      </w:r>
      <w:r w:rsidR="00660499">
        <w:rPr>
          <w:rFonts w:ascii="Arial" w:hAnsi="Arial" w:cs="Arial"/>
          <w:sz w:val="22"/>
        </w:rPr>
        <w:t xml:space="preserve"> </w:t>
      </w:r>
      <w:r w:rsidRPr="00B30232">
        <w:rPr>
          <w:rFonts w:ascii="Arial" w:hAnsi="Arial" w:cs="Arial"/>
          <w:sz w:val="22"/>
        </w:rPr>
        <w:t>”NRC Form 541, “Uniform Low-Level Radioactive Waste Manifest Container and Waste Description;” and</w:t>
      </w:r>
    </w:p>
    <w:p w:rsidR="00212091" w:rsidRPr="00B30232" w:rsidRDefault="00212091" w:rsidP="00212091">
      <w:pPr>
        <w:pStyle w:val="ListParagraph"/>
        <w:widowControl w:val="0"/>
        <w:numPr>
          <w:ilvl w:val="0"/>
          <w:numId w:val="18"/>
        </w:numPr>
        <w:rPr>
          <w:rFonts w:ascii="Arial" w:hAnsi="Arial" w:cs="Arial"/>
          <w:sz w:val="22"/>
        </w:rPr>
      </w:pPr>
      <w:r w:rsidRPr="00B30232">
        <w:rPr>
          <w:rFonts w:ascii="Arial" w:hAnsi="Arial" w:cs="Arial"/>
          <w:sz w:val="22"/>
        </w:rPr>
        <w:t>NRC Form 541A, “Uniform Low-Level Radioactive Waste Manifest Container and Waste Description, Continuation.”</w:t>
      </w:r>
    </w:p>
    <w:p w:rsidR="00212091" w:rsidRPr="00B30232" w:rsidRDefault="00212091" w:rsidP="00212091">
      <w:pPr>
        <w:widowControl w:val="0"/>
        <w:rPr>
          <w:rFonts w:ascii="Arial" w:hAnsi="Arial" w:cs="Arial"/>
          <w:sz w:val="22"/>
        </w:rPr>
      </w:pPr>
    </w:p>
    <w:p w:rsidR="00212091" w:rsidRPr="00B30232" w:rsidRDefault="00212091" w:rsidP="00212091">
      <w:pPr>
        <w:widowControl w:val="0"/>
        <w:rPr>
          <w:rFonts w:ascii="Arial" w:hAnsi="Arial" w:cs="Arial"/>
          <w:sz w:val="22"/>
        </w:rPr>
      </w:pPr>
      <w:r w:rsidRPr="00B30232">
        <w:rPr>
          <w:rFonts w:ascii="Arial" w:hAnsi="Arial" w:cs="Arial"/>
          <w:sz w:val="22"/>
        </w:rPr>
        <w:t>The changes to these forms are not estimated to increase or decrease the bu</w:t>
      </w:r>
      <w:r w:rsidR="000246EC" w:rsidRPr="00B30232">
        <w:rPr>
          <w:rFonts w:ascii="Arial" w:hAnsi="Arial" w:cs="Arial"/>
          <w:sz w:val="22"/>
        </w:rPr>
        <w:t xml:space="preserve">rden for form completion, but simply to provide a response option for licensees using waste acceptance </w:t>
      </w:r>
      <w:r w:rsidR="0083388E" w:rsidRPr="00B30232">
        <w:rPr>
          <w:rFonts w:ascii="Arial" w:hAnsi="Arial" w:cs="Arial"/>
          <w:sz w:val="22"/>
        </w:rPr>
        <w:t>criteria</w:t>
      </w:r>
      <w:r w:rsidR="000246EC" w:rsidRPr="00B30232">
        <w:rPr>
          <w:rFonts w:ascii="Arial" w:hAnsi="Arial" w:cs="Arial"/>
          <w:sz w:val="22"/>
        </w:rPr>
        <w:t xml:space="preserve"> (as opposed to a waste classification of A, B, or C) to indicate that the LLRW being shipped to a disposal facility conforms to the facility waste acceptance criteria.</w:t>
      </w:r>
    </w:p>
    <w:p w:rsidR="00610FF8" w:rsidRPr="00B30232" w:rsidRDefault="00610FF8" w:rsidP="001E5143">
      <w:pPr>
        <w:widowControl w:val="0"/>
        <w:rPr>
          <w:rFonts w:ascii="Arial" w:hAnsi="Arial" w:cs="Arial"/>
          <w:sz w:val="22"/>
        </w:rPr>
      </w:pPr>
    </w:p>
    <w:p w:rsidR="001E5143" w:rsidRPr="00B30232" w:rsidRDefault="001E5143" w:rsidP="001E5143">
      <w:pPr>
        <w:widowControl w:val="0"/>
        <w:rPr>
          <w:rFonts w:ascii="Arial" w:hAnsi="Arial" w:cs="Arial"/>
          <w:sz w:val="22"/>
        </w:rPr>
      </w:pPr>
      <w:r w:rsidRPr="00B30232">
        <w:rPr>
          <w:rFonts w:ascii="Arial" w:hAnsi="Arial" w:cs="Arial"/>
          <w:sz w:val="22"/>
        </w:rPr>
        <w:t>A.</w:t>
      </w:r>
      <w:r w:rsidRPr="00B30232">
        <w:rPr>
          <w:rFonts w:ascii="Arial" w:hAnsi="Arial" w:cs="Arial"/>
          <w:sz w:val="22"/>
        </w:rPr>
        <w:tab/>
      </w:r>
      <w:r w:rsidRPr="00B30232">
        <w:rPr>
          <w:rFonts w:ascii="Arial" w:hAnsi="Arial" w:cs="Arial"/>
          <w:sz w:val="22"/>
          <w:u w:val="single"/>
        </w:rPr>
        <w:t>Justification</w:t>
      </w:r>
    </w:p>
    <w:p w:rsidR="001E5143" w:rsidRPr="00B30232" w:rsidRDefault="001E5143" w:rsidP="001E5143">
      <w:pPr>
        <w:widowControl w:val="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 xml:space="preserve">Need for and Practical Utility of the Information Collection </w:t>
      </w:r>
    </w:p>
    <w:p w:rsidR="001E5143" w:rsidRPr="00B30232" w:rsidRDefault="001E5143" w:rsidP="001E5143">
      <w:pPr>
        <w:widowControl w:val="0"/>
        <w:rPr>
          <w:rFonts w:ascii="Arial" w:hAnsi="Arial" w:cs="Arial"/>
          <w:sz w:val="22"/>
        </w:rPr>
      </w:pPr>
    </w:p>
    <w:p w:rsidR="001E5143" w:rsidRPr="00B30232" w:rsidRDefault="008264CC" w:rsidP="002C40C5">
      <w:pPr>
        <w:widowControl w:val="0"/>
        <w:ind w:left="1440"/>
        <w:rPr>
          <w:rFonts w:ascii="Arial" w:hAnsi="Arial" w:cs="Arial"/>
          <w:sz w:val="22"/>
        </w:rPr>
      </w:pPr>
      <w:r w:rsidRPr="00B30232">
        <w:rPr>
          <w:rFonts w:ascii="Arial" w:hAnsi="Arial" w:cs="Arial"/>
          <w:sz w:val="22"/>
        </w:rPr>
        <w:t>The propos</w:t>
      </w:r>
      <w:r w:rsidR="00965B5D" w:rsidRPr="00B30232">
        <w:rPr>
          <w:rFonts w:ascii="Arial" w:hAnsi="Arial" w:cs="Arial"/>
          <w:sz w:val="22"/>
        </w:rPr>
        <w:t xml:space="preserve">ed amendments would revise </w:t>
      </w:r>
      <w:r w:rsidR="00C80E42" w:rsidRPr="00B30232">
        <w:rPr>
          <w:rFonts w:ascii="Arial" w:hAnsi="Arial" w:cs="Arial"/>
          <w:sz w:val="22"/>
        </w:rPr>
        <w:t>10 CFR </w:t>
      </w:r>
      <w:r w:rsidR="004F47CC" w:rsidRPr="00B30232">
        <w:rPr>
          <w:rFonts w:ascii="Arial" w:hAnsi="Arial" w:cs="Arial"/>
          <w:sz w:val="22"/>
        </w:rPr>
        <w:t xml:space="preserve">Part 61 </w:t>
      </w:r>
      <w:r w:rsidRPr="00B30232">
        <w:rPr>
          <w:rFonts w:ascii="Arial" w:hAnsi="Arial" w:cs="Arial"/>
          <w:sz w:val="22"/>
        </w:rPr>
        <w:t xml:space="preserve">to require LLRW disposal facilities to conduct site-specific </w:t>
      </w:r>
      <w:r w:rsidR="00F74013" w:rsidRPr="00B30232">
        <w:rPr>
          <w:rFonts w:ascii="Arial" w:hAnsi="Arial" w:cs="Arial"/>
          <w:sz w:val="22"/>
        </w:rPr>
        <w:t xml:space="preserve">technical </w:t>
      </w:r>
      <w:r w:rsidRPr="00B30232">
        <w:rPr>
          <w:rFonts w:ascii="Arial" w:hAnsi="Arial" w:cs="Arial"/>
          <w:sz w:val="22"/>
        </w:rPr>
        <w:t>analyses to demonstrate compliance with the</w:t>
      </w:r>
      <w:r w:rsidR="00965B5D" w:rsidRPr="00B30232">
        <w:rPr>
          <w:rFonts w:ascii="Arial" w:hAnsi="Arial" w:cs="Arial"/>
          <w:sz w:val="22"/>
        </w:rPr>
        <w:t xml:space="preserve"> performance objectives in </w:t>
      </w:r>
      <w:r w:rsidR="00C80E42" w:rsidRPr="00B30232">
        <w:rPr>
          <w:rFonts w:ascii="Arial" w:hAnsi="Arial" w:cs="Arial"/>
          <w:sz w:val="22"/>
        </w:rPr>
        <w:t>Subpart C</w:t>
      </w:r>
      <w:r w:rsidRPr="00B30232">
        <w:rPr>
          <w:rFonts w:ascii="Arial" w:hAnsi="Arial" w:cs="Arial"/>
          <w:sz w:val="22"/>
        </w:rPr>
        <w:t>, which</w:t>
      </w:r>
      <w:r w:rsidR="002C40C5" w:rsidRPr="00B30232">
        <w:rPr>
          <w:rFonts w:ascii="Arial" w:hAnsi="Arial" w:cs="Arial"/>
          <w:sz w:val="22"/>
        </w:rPr>
        <w:t xml:space="preserve"> would ensure that LLRW streams that are significantly different from those considered during the development of the current regulations can be disposed of safely and meet the performance objectives for land disposal of LLRW.  These amendments would also increase the use of site-specific information to ensure public health and safety continues to be protected.  </w:t>
      </w:r>
    </w:p>
    <w:p w:rsidR="00077BFE" w:rsidRPr="00B30232" w:rsidRDefault="00077BFE" w:rsidP="008264CC">
      <w:pPr>
        <w:widowControl w:val="0"/>
        <w:ind w:left="1440"/>
        <w:rPr>
          <w:rFonts w:ascii="Arial" w:hAnsi="Arial" w:cs="Arial"/>
          <w:sz w:val="22"/>
        </w:rPr>
      </w:pPr>
    </w:p>
    <w:p w:rsidR="0058533A" w:rsidRPr="00B30232" w:rsidRDefault="00C67534" w:rsidP="008264CC">
      <w:pPr>
        <w:widowControl w:val="0"/>
        <w:ind w:left="1440"/>
        <w:rPr>
          <w:rFonts w:ascii="Arial" w:hAnsi="Arial" w:cs="Arial"/>
          <w:sz w:val="22"/>
        </w:rPr>
      </w:pPr>
      <w:r w:rsidRPr="00B30232">
        <w:rPr>
          <w:rFonts w:ascii="Arial" w:hAnsi="Arial" w:cs="Arial"/>
          <w:sz w:val="22"/>
          <w:u w:val="single"/>
        </w:rPr>
        <w:t xml:space="preserve">Section </w:t>
      </w:r>
      <w:r w:rsidR="0058533A" w:rsidRPr="00B30232">
        <w:rPr>
          <w:rFonts w:ascii="Arial" w:hAnsi="Arial" w:cs="Arial"/>
          <w:sz w:val="22"/>
          <w:u w:val="single"/>
        </w:rPr>
        <w:t xml:space="preserve">61.12 </w:t>
      </w:r>
      <w:r w:rsidR="000D520E" w:rsidRPr="00B30232">
        <w:rPr>
          <w:rFonts w:ascii="Arial" w:hAnsi="Arial" w:cs="Arial"/>
          <w:sz w:val="22"/>
          <w:u w:val="single"/>
        </w:rPr>
        <w:t xml:space="preserve">of 10 CFR Part 61 </w:t>
      </w:r>
      <w:r w:rsidR="0058533A" w:rsidRPr="00660499">
        <w:rPr>
          <w:rFonts w:ascii="Arial" w:hAnsi="Arial" w:cs="Arial"/>
          <w:sz w:val="22"/>
        </w:rPr>
        <w:t xml:space="preserve">specifies the technical information needed to demonstrate that the performance objectives of subpart C of </w:t>
      </w:r>
      <w:r w:rsidR="000D520E" w:rsidRPr="00B30232">
        <w:rPr>
          <w:rFonts w:ascii="Arial" w:hAnsi="Arial" w:cs="Arial"/>
          <w:sz w:val="22"/>
        </w:rPr>
        <w:t xml:space="preserve">10 CFR </w:t>
      </w:r>
      <w:r w:rsidR="002E561A" w:rsidRPr="00B30232">
        <w:rPr>
          <w:rFonts w:ascii="Arial" w:hAnsi="Arial" w:cs="Arial"/>
          <w:sz w:val="22"/>
        </w:rPr>
        <w:t xml:space="preserve">Part </w:t>
      </w:r>
      <w:r w:rsidR="0058533A" w:rsidRPr="00660499">
        <w:rPr>
          <w:rFonts w:ascii="Arial" w:hAnsi="Arial" w:cs="Arial"/>
          <w:sz w:val="22"/>
        </w:rPr>
        <w:t xml:space="preserve">61 have been met.  The proposed rule adds “geochemical” and “geomorphological” features to the list of site characteristics that must be described.  Burden for </w:t>
      </w:r>
      <w:r w:rsidR="0058533A" w:rsidRPr="00660499">
        <w:rPr>
          <w:rFonts w:ascii="Arial" w:hAnsi="Arial" w:cs="Arial"/>
          <w:sz w:val="22"/>
        </w:rPr>
        <w:lastRenderedPageBreak/>
        <w:t>these additional features is included in the estimate for</w:t>
      </w:r>
      <w:r w:rsidR="000D520E" w:rsidRPr="00B30232">
        <w:rPr>
          <w:rFonts w:ascii="Arial" w:hAnsi="Arial" w:cs="Arial"/>
          <w:sz w:val="22"/>
        </w:rPr>
        <w:t xml:space="preserve"> 10 CFR</w:t>
      </w:r>
      <w:r w:rsidR="0058533A" w:rsidRPr="00660499">
        <w:rPr>
          <w:rFonts w:ascii="Arial" w:hAnsi="Arial" w:cs="Arial"/>
          <w:sz w:val="22"/>
        </w:rPr>
        <w:t xml:space="preserve"> 61.13(a), performance assessment.  In addition, the proposed rule adds “the criteria for acceptance of waste for disposal” to the description of radioactive material that must be provided.  Burden for this is included in the burden estimate for </w:t>
      </w:r>
      <w:r w:rsidR="000D520E" w:rsidRPr="00B30232">
        <w:rPr>
          <w:rFonts w:ascii="Arial" w:hAnsi="Arial" w:cs="Arial"/>
          <w:sz w:val="22"/>
        </w:rPr>
        <w:t xml:space="preserve">10 CFR </w:t>
      </w:r>
      <w:r w:rsidR="0058533A" w:rsidRPr="00660499">
        <w:rPr>
          <w:rFonts w:ascii="Arial" w:hAnsi="Arial" w:cs="Arial"/>
          <w:sz w:val="22"/>
        </w:rPr>
        <w:t xml:space="preserve">61.58, </w:t>
      </w:r>
      <w:r w:rsidR="000D520E" w:rsidRPr="00B30232">
        <w:rPr>
          <w:rFonts w:ascii="Arial" w:hAnsi="Arial" w:cs="Arial"/>
          <w:sz w:val="22"/>
        </w:rPr>
        <w:t>“</w:t>
      </w:r>
      <w:r w:rsidR="0058533A" w:rsidRPr="00660499">
        <w:rPr>
          <w:rFonts w:ascii="Arial" w:hAnsi="Arial" w:cs="Arial"/>
          <w:sz w:val="22"/>
        </w:rPr>
        <w:t>LLRW Acceptance Plan.</w:t>
      </w:r>
      <w:r w:rsidR="000D520E" w:rsidRPr="00B30232">
        <w:rPr>
          <w:rFonts w:ascii="Arial" w:hAnsi="Arial" w:cs="Arial"/>
          <w:sz w:val="22"/>
        </w:rPr>
        <w:t>”</w:t>
      </w:r>
    </w:p>
    <w:p w:rsidR="0060223E" w:rsidRPr="00B30232" w:rsidRDefault="0060223E" w:rsidP="0060223E">
      <w:pPr>
        <w:widowControl w:val="0"/>
        <w:ind w:left="1440"/>
        <w:rPr>
          <w:rFonts w:ascii="Arial" w:hAnsi="Arial" w:cs="Arial"/>
          <w:sz w:val="22"/>
        </w:rPr>
      </w:pPr>
    </w:p>
    <w:p w:rsidR="00B56F83" w:rsidRPr="00B30232" w:rsidRDefault="001E5143" w:rsidP="00CB7BDB">
      <w:pPr>
        <w:widowControl w:val="0"/>
        <w:ind w:left="1440"/>
        <w:rPr>
          <w:rFonts w:ascii="Arial" w:hAnsi="Arial" w:cs="Arial"/>
          <w:sz w:val="22"/>
        </w:rPr>
      </w:pPr>
      <w:r w:rsidRPr="00B30232">
        <w:rPr>
          <w:rFonts w:ascii="Arial" w:hAnsi="Arial" w:cs="Arial"/>
          <w:sz w:val="22"/>
          <w:u w:val="single"/>
        </w:rPr>
        <w:t>Section 61.13</w:t>
      </w:r>
      <w:r w:rsidRPr="00B30232">
        <w:rPr>
          <w:rFonts w:ascii="Arial" w:hAnsi="Arial" w:cs="Arial"/>
          <w:sz w:val="22"/>
        </w:rPr>
        <w:t xml:space="preserve"> </w:t>
      </w:r>
      <w:r w:rsidR="000D520E" w:rsidRPr="00B30232">
        <w:rPr>
          <w:rFonts w:ascii="Arial" w:hAnsi="Arial" w:cs="Arial"/>
          <w:sz w:val="22"/>
        </w:rPr>
        <w:t xml:space="preserve">of 10 CFR Part 61 </w:t>
      </w:r>
      <w:r w:rsidRPr="00B30232">
        <w:rPr>
          <w:rFonts w:ascii="Arial" w:hAnsi="Arial" w:cs="Arial"/>
          <w:sz w:val="22"/>
        </w:rPr>
        <w:t>specifies additional technical analyses that must be submitted</w:t>
      </w:r>
      <w:r w:rsidR="004E7330" w:rsidRPr="00B30232">
        <w:rPr>
          <w:rFonts w:ascii="Arial" w:hAnsi="Arial" w:cs="Arial"/>
          <w:sz w:val="22"/>
        </w:rPr>
        <w:t xml:space="preserve"> in an application for a </w:t>
      </w:r>
      <w:r w:rsidR="00C80E42" w:rsidRPr="00B30232">
        <w:rPr>
          <w:rFonts w:ascii="Arial" w:hAnsi="Arial" w:cs="Arial"/>
          <w:sz w:val="22"/>
        </w:rPr>
        <w:t>10 CFR </w:t>
      </w:r>
      <w:r w:rsidR="004F47CC" w:rsidRPr="00B30232">
        <w:rPr>
          <w:rFonts w:ascii="Arial" w:hAnsi="Arial" w:cs="Arial"/>
          <w:sz w:val="22"/>
        </w:rPr>
        <w:t xml:space="preserve">Part 61 </w:t>
      </w:r>
      <w:r w:rsidR="004E7330" w:rsidRPr="00B30232">
        <w:rPr>
          <w:rFonts w:ascii="Arial" w:hAnsi="Arial" w:cs="Arial"/>
          <w:sz w:val="22"/>
        </w:rPr>
        <w:t>disposal facility license, which is needed to demonstrate</w:t>
      </w:r>
      <w:r w:rsidRPr="00B30232">
        <w:rPr>
          <w:rFonts w:ascii="Arial" w:hAnsi="Arial" w:cs="Arial"/>
          <w:sz w:val="22"/>
        </w:rPr>
        <w:t xml:space="preserve"> that the pe</w:t>
      </w:r>
      <w:r w:rsidR="00965B5D" w:rsidRPr="00B30232">
        <w:rPr>
          <w:rFonts w:ascii="Arial" w:hAnsi="Arial" w:cs="Arial"/>
          <w:sz w:val="22"/>
        </w:rPr>
        <w:t xml:space="preserve">rformance objectives of </w:t>
      </w:r>
      <w:r w:rsidR="004F47CC" w:rsidRPr="00B30232">
        <w:rPr>
          <w:rFonts w:ascii="Arial" w:hAnsi="Arial" w:cs="Arial"/>
          <w:sz w:val="22"/>
        </w:rPr>
        <w:t xml:space="preserve">Subpart C </w:t>
      </w:r>
      <w:r w:rsidR="000D520E" w:rsidRPr="00B30232">
        <w:rPr>
          <w:rFonts w:ascii="Arial" w:hAnsi="Arial" w:cs="Arial"/>
          <w:sz w:val="22"/>
        </w:rPr>
        <w:t xml:space="preserve">of 10 CFR Part 61 </w:t>
      </w:r>
      <w:r w:rsidR="004728ED" w:rsidRPr="00B30232">
        <w:rPr>
          <w:rFonts w:ascii="Arial" w:hAnsi="Arial" w:cs="Arial"/>
          <w:sz w:val="22"/>
        </w:rPr>
        <w:t>would</w:t>
      </w:r>
      <w:r w:rsidR="00B56F83" w:rsidRPr="00B30232">
        <w:rPr>
          <w:rFonts w:ascii="Arial" w:hAnsi="Arial" w:cs="Arial"/>
          <w:sz w:val="22"/>
        </w:rPr>
        <w:t xml:space="preserve"> be met:</w:t>
      </w:r>
    </w:p>
    <w:p w:rsidR="00B56F83" w:rsidRPr="00B30232" w:rsidRDefault="00B56F83" w:rsidP="00CB7BDB">
      <w:pPr>
        <w:widowControl w:val="0"/>
        <w:ind w:left="1440"/>
        <w:rPr>
          <w:rFonts w:ascii="Arial" w:hAnsi="Arial" w:cs="Arial"/>
          <w:sz w:val="22"/>
        </w:rPr>
      </w:pPr>
    </w:p>
    <w:p w:rsidR="00B56F83" w:rsidRPr="00B30232" w:rsidRDefault="000D520E" w:rsidP="00B56F83">
      <w:pPr>
        <w:widowControl w:val="0"/>
        <w:ind w:left="2160"/>
        <w:rPr>
          <w:rFonts w:ascii="Arial" w:hAnsi="Arial" w:cs="Arial"/>
          <w:sz w:val="22"/>
        </w:rPr>
      </w:pPr>
      <w:r w:rsidRPr="00B30232">
        <w:rPr>
          <w:rFonts w:ascii="Arial" w:hAnsi="Arial" w:cs="Arial"/>
          <w:sz w:val="22"/>
        </w:rPr>
        <w:t xml:space="preserve">10 CFR </w:t>
      </w:r>
      <w:r w:rsidR="00B56F83" w:rsidRPr="00B30232">
        <w:rPr>
          <w:rFonts w:ascii="Arial" w:hAnsi="Arial" w:cs="Arial"/>
          <w:sz w:val="22"/>
        </w:rPr>
        <w:t>61.13(a) requires a performance assessment</w:t>
      </w:r>
      <w:r w:rsidR="008419C9" w:rsidRPr="00B30232">
        <w:rPr>
          <w:rFonts w:ascii="Arial" w:hAnsi="Arial" w:cs="Arial"/>
          <w:sz w:val="22"/>
        </w:rPr>
        <w:t xml:space="preserve"> to demonstrate compliance with the proposed dose limit in 10 CFR 61.41(a) during the compliance period and a dose goal in 10 CFR 61.41(b) during the protective assurance period.  The performance assessment would be required to consider features, events, and processes which can influence the ability of the disposal facility to meet the performance objectives, evaluate environmental pathways, account for uncertainty, consider alternative conceptual models, and identify and differentiate the roles performed by site characteristics and design features of the disposal facility.  Further, the proposed revisions to 10 CFR 61.13(a) would require that the performance assessment used to demonstrate compliance with a new 10 CFR 61.41(b) during the protective assurance period reflect new features, events, and processes different from the compliance period only if scientific information compelling such changes is available.</w:t>
      </w:r>
    </w:p>
    <w:p w:rsidR="00B56F83" w:rsidRPr="00B30232" w:rsidRDefault="000D520E" w:rsidP="00B56F83">
      <w:pPr>
        <w:widowControl w:val="0"/>
        <w:ind w:left="2160"/>
        <w:rPr>
          <w:rFonts w:ascii="Arial" w:hAnsi="Arial" w:cs="Arial"/>
          <w:sz w:val="22"/>
        </w:rPr>
      </w:pPr>
      <w:r w:rsidRPr="00B30232">
        <w:rPr>
          <w:rFonts w:ascii="Arial" w:hAnsi="Arial" w:cs="Arial"/>
          <w:sz w:val="22"/>
        </w:rPr>
        <w:t xml:space="preserve">10 CFR </w:t>
      </w:r>
      <w:r w:rsidR="00B56F83" w:rsidRPr="00B30232">
        <w:rPr>
          <w:rFonts w:ascii="Arial" w:hAnsi="Arial" w:cs="Arial"/>
          <w:sz w:val="22"/>
        </w:rPr>
        <w:t>61.13(b) requires an intruder assessment</w:t>
      </w:r>
      <w:r w:rsidR="00391530" w:rsidRPr="00B30232">
        <w:t xml:space="preserve"> </w:t>
      </w:r>
      <w:r w:rsidR="00391530" w:rsidRPr="00B30232">
        <w:rPr>
          <w:rFonts w:ascii="Arial" w:hAnsi="Arial" w:cs="Arial"/>
          <w:sz w:val="22"/>
        </w:rPr>
        <w:t xml:space="preserve">to demonstrate the protection of inadvertent intruders.  The intruder assessment would be required to assume an intruder occupies the site and engages in normal activities that are consistent with activities in and around the site at the time of closure, identify adequate intruder barriers and provide a basis for the time period that they are effective, and account for uncertainty and variability.  </w:t>
      </w:r>
    </w:p>
    <w:p w:rsidR="00B56F83" w:rsidRPr="00B30232" w:rsidRDefault="00B56F83" w:rsidP="00B56F83">
      <w:pPr>
        <w:widowControl w:val="0"/>
        <w:ind w:left="2160"/>
        <w:rPr>
          <w:rFonts w:ascii="Arial" w:hAnsi="Arial" w:cs="Arial"/>
          <w:sz w:val="22"/>
        </w:rPr>
      </w:pPr>
    </w:p>
    <w:p w:rsidR="00391530" w:rsidRPr="00B30232" w:rsidRDefault="000D520E" w:rsidP="00B56F83">
      <w:pPr>
        <w:widowControl w:val="0"/>
        <w:ind w:left="2160"/>
        <w:rPr>
          <w:rFonts w:ascii="Arial" w:hAnsi="Arial" w:cs="Arial"/>
          <w:sz w:val="22"/>
        </w:rPr>
      </w:pPr>
      <w:r w:rsidRPr="00B30232">
        <w:rPr>
          <w:rFonts w:ascii="Arial" w:hAnsi="Arial" w:cs="Arial"/>
          <w:sz w:val="22"/>
        </w:rPr>
        <w:t xml:space="preserve">10 CFR </w:t>
      </w:r>
      <w:r w:rsidR="00391530" w:rsidRPr="00B30232">
        <w:rPr>
          <w:rFonts w:ascii="Arial" w:hAnsi="Arial" w:cs="Arial"/>
          <w:sz w:val="22"/>
        </w:rPr>
        <w:t>61.13(d) currently requires an applicant to prepare analyses that demonstrate long-term stability of the site and the need for ongoing active maintenance after closure.  However, the analyses are not currently required to provide reasonable assurance that long-term stability of the disposal site can be ensured.  The NRC is proposing to require that the analyses also provide reasonable assurance that long-term stability of the disposal site can be ensured.</w:t>
      </w:r>
      <w:r w:rsidR="00265DF8">
        <w:rPr>
          <w:rFonts w:ascii="Arial" w:hAnsi="Arial" w:cs="Arial"/>
          <w:sz w:val="22"/>
        </w:rPr>
        <w:t xml:space="preserve">  </w:t>
      </w:r>
      <w:r w:rsidR="00265DF8" w:rsidRPr="00265DF8">
        <w:rPr>
          <w:rFonts w:ascii="Arial" w:hAnsi="Arial" w:cs="Arial"/>
          <w:sz w:val="22"/>
        </w:rPr>
        <w:t>Burden for this change is included in the burden estimate for 10 CFR 61.13 (f).</w:t>
      </w:r>
    </w:p>
    <w:p w:rsidR="00391530" w:rsidRPr="00B30232" w:rsidRDefault="00391530" w:rsidP="00B56F83">
      <w:pPr>
        <w:widowControl w:val="0"/>
        <w:ind w:left="2160"/>
        <w:rPr>
          <w:rFonts w:ascii="Arial" w:hAnsi="Arial" w:cs="Arial"/>
          <w:sz w:val="22"/>
        </w:rPr>
      </w:pPr>
    </w:p>
    <w:p w:rsidR="00463029" w:rsidRPr="00B30232" w:rsidRDefault="000D520E" w:rsidP="00B56F83">
      <w:pPr>
        <w:widowControl w:val="0"/>
        <w:ind w:left="2160"/>
        <w:rPr>
          <w:rFonts w:ascii="Arial" w:hAnsi="Arial" w:cs="Arial"/>
          <w:sz w:val="22"/>
        </w:rPr>
      </w:pPr>
      <w:r w:rsidRPr="00B30232">
        <w:rPr>
          <w:rFonts w:ascii="Arial" w:hAnsi="Arial" w:cs="Arial"/>
          <w:sz w:val="22"/>
        </w:rPr>
        <w:t xml:space="preserve">10 CFR </w:t>
      </w:r>
      <w:r w:rsidR="00B56F83" w:rsidRPr="00B30232">
        <w:rPr>
          <w:rFonts w:ascii="Arial" w:hAnsi="Arial" w:cs="Arial"/>
          <w:sz w:val="22"/>
        </w:rPr>
        <w:t xml:space="preserve">61.13(e) is a new </w:t>
      </w:r>
      <w:r w:rsidR="007919A4">
        <w:rPr>
          <w:rFonts w:ascii="Arial" w:hAnsi="Arial" w:cs="Arial"/>
          <w:sz w:val="22"/>
        </w:rPr>
        <w:t>paragraph</w:t>
      </w:r>
      <w:r w:rsidR="00B56F83" w:rsidRPr="00B30232">
        <w:rPr>
          <w:rFonts w:ascii="Arial" w:hAnsi="Arial" w:cs="Arial"/>
          <w:sz w:val="22"/>
        </w:rPr>
        <w:t xml:space="preserve">.  </w:t>
      </w:r>
      <w:r w:rsidR="00F74013" w:rsidRPr="00B30232">
        <w:rPr>
          <w:rFonts w:ascii="Arial" w:hAnsi="Arial" w:cs="Arial"/>
          <w:sz w:val="22"/>
        </w:rPr>
        <w:t>Regulations in 10 CFR Part 61 do not currently require an applicant to prepare performance period analyses of the waste that would be disposed of at its site.  Proposed 10 CFR</w:t>
      </w:r>
      <w:r w:rsidRPr="00B30232">
        <w:rPr>
          <w:rFonts w:ascii="Arial" w:hAnsi="Arial" w:cs="Arial"/>
          <w:sz w:val="22"/>
        </w:rPr>
        <w:t xml:space="preserve"> </w:t>
      </w:r>
      <w:r w:rsidR="00F74013" w:rsidRPr="00B30232">
        <w:rPr>
          <w:rFonts w:ascii="Arial" w:hAnsi="Arial" w:cs="Arial"/>
          <w:sz w:val="22"/>
        </w:rPr>
        <w:t>61.13(e)</w:t>
      </w:r>
      <w:r w:rsidR="004728ED" w:rsidRPr="00B30232">
        <w:rPr>
          <w:rFonts w:ascii="Arial" w:hAnsi="Arial" w:cs="Arial"/>
          <w:sz w:val="22"/>
        </w:rPr>
        <w:t xml:space="preserve"> </w:t>
      </w:r>
      <w:r w:rsidR="004E7330" w:rsidRPr="00B30232">
        <w:rPr>
          <w:rFonts w:ascii="Arial" w:hAnsi="Arial" w:cs="Arial"/>
          <w:sz w:val="22"/>
        </w:rPr>
        <w:t xml:space="preserve">is a new section that </w:t>
      </w:r>
      <w:r w:rsidR="00FE6337" w:rsidRPr="00B30232">
        <w:rPr>
          <w:rFonts w:ascii="Arial" w:hAnsi="Arial" w:cs="Arial"/>
          <w:sz w:val="22"/>
        </w:rPr>
        <w:t xml:space="preserve">would </w:t>
      </w:r>
      <w:r w:rsidR="00D01A50" w:rsidRPr="00B30232">
        <w:rPr>
          <w:rFonts w:ascii="Arial" w:hAnsi="Arial" w:cs="Arial"/>
          <w:sz w:val="22"/>
        </w:rPr>
        <w:t xml:space="preserve">require </w:t>
      </w:r>
      <w:r w:rsidR="00FE6337" w:rsidRPr="00B30232">
        <w:rPr>
          <w:rFonts w:ascii="Arial" w:hAnsi="Arial" w:cs="Arial"/>
          <w:sz w:val="22"/>
        </w:rPr>
        <w:t xml:space="preserve">a licensee to prepare a new </w:t>
      </w:r>
      <w:r w:rsidR="00C80E42" w:rsidRPr="00B30232">
        <w:rPr>
          <w:rFonts w:ascii="Arial" w:hAnsi="Arial" w:cs="Arial"/>
          <w:sz w:val="22"/>
        </w:rPr>
        <w:t>performance period</w:t>
      </w:r>
      <w:r w:rsidR="007B1F4D" w:rsidRPr="00B30232">
        <w:rPr>
          <w:rFonts w:ascii="Arial" w:hAnsi="Arial" w:cs="Arial"/>
          <w:sz w:val="22"/>
        </w:rPr>
        <w:t xml:space="preserve"> for those licensees proposing to dispose of LLRW streams</w:t>
      </w:r>
      <w:r w:rsidR="00C80E42" w:rsidRPr="00B30232">
        <w:rPr>
          <w:rFonts w:ascii="Arial" w:hAnsi="Arial" w:cs="Arial"/>
          <w:sz w:val="22"/>
        </w:rPr>
        <w:t xml:space="preserve"> containing radionuclides with average concentrations exceeding values listed in </w:t>
      </w:r>
      <w:r w:rsidR="00894CEE" w:rsidRPr="00B30232">
        <w:rPr>
          <w:rFonts w:ascii="Arial" w:hAnsi="Arial" w:cs="Arial"/>
          <w:sz w:val="22"/>
        </w:rPr>
        <w:t xml:space="preserve">proposed </w:t>
      </w:r>
      <w:r w:rsidR="00C80E42" w:rsidRPr="00B30232">
        <w:rPr>
          <w:rFonts w:ascii="Arial" w:hAnsi="Arial" w:cs="Arial"/>
          <w:sz w:val="22"/>
        </w:rPr>
        <w:t>Table A of 10 CFR 61.13</w:t>
      </w:r>
      <w:r w:rsidR="001D67F2" w:rsidRPr="00B30232">
        <w:rPr>
          <w:rFonts w:ascii="Arial" w:hAnsi="Arial" w:cs="Arial"/>
          <w:sz w:val="22"/>
        </w:rPr>
        <w:t>(e)</w:t>
      </w:r>
      <w:r w:rsidR="00894CEE" w:rsidRPr="00B30232">
        <w:rPr>
          <w:rFonts w:ascii="Arial" w:hAnsi="Arial" w:cs="Arial"/>
          <w:sz w:val="22"/>
        </w:rPr>
        <w:t>,</w:t>
      </w:r>
      <w:r w:rsidR="00C80E42" w:rsidRPr="00B30232">
        <w:rPr>
          <w:rFonts w:ascii="Arial" w:hAnsi="Arial" w:cs="Arial"/>
          <w:sz w:val="22"/>
        </w:rPr>
        <w:t xml:space="preserve"> or if necessitated by site-specific conditions</w:t>
      </w:r>
      <w:r w:rsidR="007B1F4D" w:rsidRPr="00B30232">
        <w:rPr>
          <w:rFonts w:ascii="Arial" w:hAnsi="Arial" w:cs="Arial"/>
          <w:sz w:val="22"/>
        </w:rPr>
        <w:t>.  The analys</w:t>
      </w:r>
      <w:r w:rsidR="00C80E42" w:rsidRPr="00B30232">
        <w:rPr>
          <w:rFonts w:ascii="Arial" w:hAnsi="Arial" w:cs="Arial"/>
          <w:sz w:val="22"/>
        </w:rPr>
        <w:t>e</w:t>
      </w:r>
      <w:r w:rsidR="007B1F4D" w:rsidRPr="00B30232">
        <w:rPr>
          <w:rFonts w:ascii="Arial" w:hAnsi="Arial" w:cs="Arial"/>
          <w:sz w:val="22"/>
        </w:rPr>
        <w:t xml:space="preserve">s would </w:t>
      </w:r>
      <w:r w:rsidR="00F74013" w:rsidRPr="00B30232">
        <w:rPr>
          <w:rFonts w:ascii="Arial" w:hAnsi="Arial" w:cs="Arial"/>
          <w:sz w:val="22"/>
        </w:rPr>
        <w:t>evaluate how the disposal system may mitigate the risk from the disposal of long-lived LLRW</w:t>
      </w:r>
      <w:r w:rsidR="007B1F4D" w:rsidRPr="00B30232">
        <w:rPr>
          <w:rFonts w:ascii="Arial" w:hAnsi="Arial" w:cs="Arial"/>
          <w:sz w:val="22"/>
        </w:rPr>
        <w:t xml:space="preserve">.  </w:t>
      </w:r>
      <w:r w:rsidR="00FE6337" w:rsidRPr="00B30232">
        <w:rPr>
          <w:rFonts w:ascii="Arial" w:hAnsi="Arial" w:cs="Arial"/>
          <w:sz w:val="22"/>
        </w:rPr>
        <w:t xml:space="preserve">The </w:t>
      </w:r>
      <w:r w:rsidR="00C80E42" w:rsidRPr="00B30232">
        <w:rPr>
          <w:rFonts w:ascii="Arial" w:hAnsi="Arial" w:cs="Arial"/>
          <w:sz w:val="22"/>
        </w:rPr>
        <w:t>performance period analyses</w:t>
      </w:r>
      <w:r w:rsidR="00FE6337" w:rsidRPr="00B30232">
        <w:rPr>
          <w:rFonts w:ascii="Arial" w:hAnsi="Arial" w:cs="Arial"/>
          <w:sz w:val="22"/>
        </w:rPr>
        <w:t xml:space="preserve"> </w:t>
      </w:r>
      <w:r w:rsidR="00C80E42" w:rsidRPr="00B30232">
        <w:rPr>
          <w:rFonts w:ascii="Arial" w:hAnsi="Arial" w:cs="Arial"/>
          <w:sz w:val="22"/>
        </w:rPr>
        <w:t>are</w:t>
      </w:r>
      <w:r w:rsidR="00FE6337" w:rsidRPr="00B30232">
        <w:rPr>
          <w:rFonts w:ascii="Arial" w:hAnsi="Arial" w:cs="Arial"/>
          <w:sz w:val="22"/>
        </w:rPr>
        <w:t xml:space="preserve"> needed to ensure the </w:t>
      </w:r>
      <w:r w:rsidR="00FE6337" w:rsidRPr="00B30232">
        <w:rPr>
          <w:rFonts w:ascii="Arial" w:hAnsi="Arial" w:cs="Arial"/>
          <w:sz w:val="22"/>
        </w:rPr>
        <w:lastRenderedPageBreak/>
        <w:t xml:space="preserve">protection of general population and inadvertent intruder from </w:t>
      </w:r>
      <w:r w:rsidR="00C80E42" w:rsidRPr="00B30232">
        <w:rPr>
          <w:rFonts w:ascii="Arial" w:hAnsi="Arial" w:cs="Arial"/>
          <w:sz w:val="22"/>
        </w:rPr>
        <w:t xml:space="preserve">certain </w:t>
      </w:r>
      <w:r w:rsidR="00FE6337" w:rsidRPr="00B30232">
        <w:rPr>
          <w:rFonts w:ascii="Arial" w:hAnsi="Arial" w:cs="Arial"/>
          <w:sz w:val="22"/>
        </w:rPr>
        <w:t xml:space="preserve">long-lived waste and to determine whether limitations on the disposal of some LLRW stream at certain sites may be needed to properly manage the disposal of LLRW.  </w:t>
      </w:r>
    </w:p>
    <w:p w:rsidR="00F77C04" w:rsidRPr="00B30232" w:rsidRDefault="00F77C04" w:rsidP="00B56F83">
      <w:pPr>
        <w:widowControl w:val="0"/>
        <w:ind w:left="2160"/>
        <w:rPr>
          <w:rFonts w:ascii="Arial" w:hAnsi="Arial" w:cs="Arial"/>
          <w:sz w:val="22"/>
        </w:rPr>
      </w:pPr>
    </w:p>
    <w:p w:rsidR="00EC2214" w:rsidRPr="00B30232" w:rsidRDefault="000D520E" w:rsidP="00B56F83">
      <w:pPr>
        <w:widowControl w:val="0"/>
        <w:ind w:left="2160"/>
        <w:rPr>
          <w:rFonts w:ascii="Arial" w:hAnsi="Arial" w:cs="Arial"/>
          <w:sz w:val="22"/>
        </w:rPr>
      </w:pPr>
      <w:r w:rsidRPr="00B30232">
        <w:rPr>
          <w:rFonts w:ascii="Arial" w:hAnsi="Arial" w:cs="Arial"/>
          <w:sz w:val="22"/>
        </w:rPr>
        <w:t xml:space="preserve">10 CFR </w:t>
      </w:r>
      <w:r w:rsidR="00EC2214" w:rsidRPr="00B30232">
        <w:rPr>
          <w:rFonts w:ascii="Arial" w:hAnsi="Arial" w:cs="Arial"/>
          <w:sz w:val="22"/>
        </w:rPr>
        <w:t xml:space="preserve">61.13(f) </w:t>
      </w:r>
      <w:r w:rsidR="00F77C04" w:rsidRPr="00B30232">
        <w:rPr>
          <w:rFonts w:ascii="Arial" w:hAnsi="Arial" w:cs="Arial"/>
          <w:sz w:val="22"/>
        </w:rPr>
        <w:t xml:space="preserve">is a new </w:t>
      </w:r>
      <w:r w:rsidR="007919A4">
        <w:rPr>
          <w:rFonts w:ascii="Arial" w:hAnsi="Arial" w:cs="Arial"/>
          <w:sz w:val="22"/>
        </w:rPr>
        <w:t>paragraph</w:t>
      </w:r>
      <w:r w:rsidR="00F77C04" w:rsidRPr="00B30232">
        <w:rPr>
          <w:rFonts w:ascii="Arial" w:hAnsi="Arial" w:cs="Arial"/>
          <w:sz w:val="22"/>
        </w:rPr>
        <w:t>.  The NRC proposes to add this new paragraph to require licensees and applicants to prepare analyses that demonstrate the land disposal facility includes defense-in-depth protections.  The analyses would identify and describe the features of the design and site characteristics that provide multiple independent and redundant layers of defense so that no single layer, no matter how robust, is exclusively relied upon during operations of the facility and after closure during the compliance period, protective assurance period, or performance period.</w:t>
      </w:r>
    </w:p>
    <w:p w:rsidR="004728ED" w:rsidRPr="00B30232" w:rsidRDefault="004728ED" w:rsidP="004728ED">
      <w:pPr>
        <w:widowControl w:val="0"/>
        <w:ind w:left="1440"/>
        <w:rPr>
          <w:rFonts w:ascii="Arial" w:hAnsi="Arial" w:cs="Arial"/>
          <w:sz w:val="22"/>
        </w:rPr>
      </w:pPr>
    </w:p>
    <w:p w:rsidR="00CB53E7" w:rsidRPr="00B30232" w:rsidRDefault="001E5143" w:rsidP="00CB7BDB">
      <w:pPr>
        <w:widowControl w:val="0"/>
        <w:ind w:left="1440"/>
        <w:rPr>
          <w:rFonts w:ascii="Arial" w:hAnsi="Arial" w:cs="Arial"/>
          <w:sz w:val="22"/>
        </w:rPr>
      </w:pPr>
      <w:r w:rsidRPr="00B30232">
        <w:rPr>
          <w:rFonts w:ascii="Arial" w:hAnsi="Arial" w:cs="Arial"/>
          <w:sz w:val="22"/>
          <w:u w:val="single"/>
        </w:rPr>
        <w:t>Section 61.28</w:t>
      </w:r>
      <w:r w:rsidRPr="00B30232">
        <w:rPr>
          <w:rFonts w:ascii="Arial" w:hAnsi="Arial" w:cs="Arial"/>
          <w:sz w:val="22"/>
        </w:rPr>
        <w:t xml:space="preserve"> </w:t>
      </w:r>
      <w:r w:rsidR="000D520E" w:rsidRPr="00B30232">
        <w:rPr>
          <w:rFonts w:ascii="Arial" w:hAnsi="Arial" w:cs="Arial"/>
          <w:sz w:val="22"/>
        </w:rPr>
        <w:t xml:space="preserve">of 10 CFR Part 61 </w:t>
      </w:r>
      <w:r w:rsidR="00537D92" w:rsidRPr="00B30232">
        <w:rPr>
          <w:rFonts w:ascii="Arial" w:hAnsi="Arial" w:cs="Arial"/>
          <w:sz w:val="22"/>
        </w:rPr>
        <w:t xml:space="preserve">provides a list of items that must be included in an application for closure.  The revised </w:t>
      </w:r>
      <w:r w:rsidR="00C80E42" w:rsidRPr="00B30232">
        <w:rPr>
          <w:rFonts w:ascii="Arial" w:hAnsi="Arial" w:cs="Arial"/>
          <w:sz w:val="22"/>
        </w:rPr>
        <w:t>10 CFR </w:t>
      </w:r>
      <w:r w:rsidR="00537D92" w:rsidRPr="00B30232">
        <w:rPr>
          <w:rFonts w:ascii="Arial" w:hAnsi="Arial" w:cs="Arial"/>
          <w:sz w:val="22"/>
        </w:rPr>
        <w:t xml:space="preserve">61.28 </w:t>
      </w:r>
      <w:r w:rsidR="00334FD0" w:rsidRPr="00B30232">
        <w:rPr>
          <w:rFonts w:ascii="Arial" w:hAnsi="Arial" w:cs="Arial"/>
          <w:sz w:val="22"/>
        </w:rPr>
        <w:t xml:space="preserve">would require licensees to provide updated site-specific analyses as specified in the revised </w:t>
      </w:r>
      <w:r w:rsidR="00C80E42" w:rsidRPr="00B30232">
        <w:rPr>
          <w:rFonts w:ascii="Arial" w:hAnsi="Arial" w:cs="Arial"/>
          <w:sz w:val="22"/>
        </w:rPr>
        <w:t>10 CFR </w:t>
      </w:r>
      <w:r w:rsidR="00334FD0" w:rsidRPr="00B30232">
        <w:rPr>
          <w:rFonts w:ascii="Arial" w:hAnsi="Arial" w:cs="Arial"/>
          <w:sz w:val="22"/>
        </w:rPr>
        <w:t>61.</w:t>
      </w:r>
      <w:r w:rsidR="00563DB7" w:rsidRPr="00B30232">
        <w:rPr>
          <w:rFonts w:ascii="Arial" w:hAnsi="Arial" w:cs="Arial"/>
          <w:sz w:val="22"/>
        </w:rPr>
        <w:t>41, 61.42,</w:t>
      </w:r>
      <w:r w:rsidR="00334FD0" w:rsidRPr="00B30232">
        <w:rPr>
          <w:rFonts w:ascii="Arial" w:hAnsi="Arial" w:cs="Arial"/>
          <w:sz w:val="22"/>
        </w:rPr>
        <w:t xml:space="preserve"> </w:t>
      </w:r>
      <w:r w:rsidR="00B75645" w:rsidRPr="00B30232">
        <w:rPr>
          <w:rFonts w:ascii="Arial" w:hAnsi="Arial" w:cs="Arial"/>
          <w:sz w:val="22"/>
        </w:rPr>
        <w:t xml:space="preserve">61.44 </w:t>
      </w:r>
      <w:r w:rsidR="00334FD0" w:rsidRPr="00B30232">
        <w:rPr>
          <w:rFonts w:ascii="Arial" w:hAnsi="Arial" w:cs="Arial"/>
          <w:sz w:val="22"/>
        </w:rPr>
        <w:t>and 61.13(</w:t>
      </w:r>
      <w:r w:rsidR="00563DB7" w:rsidRPr="00B30232">
        <w:rPr>
          <w:rFonts w:ascii="Arial" w:hAnsi="Arial" w:cs="Arial"/>
          <w:sz w:val="22"/>
        </w:rPr>
        <w:t>e</w:t>
      </w:r>
      <w:r w:rsidR="00334FD0" w:rsidRPr="00B30232">
        <w:rPr>
          <w:rFonts w:ascii="Arial" w:hAnsi="Arial" w:cs="Arial"/>
          <w:sz w:val="22"/>
        </w:rPr>
        <w:t>)</w:t>
      </w:r>
      <w:r w:rsidR="00B75645" w:rsidRPr="00B30232">
        <w:rPr>
          <w:rFonts w:ascii="Arial" w:hAnsi="Arial" w:cs="Arial"/>
          <w:sz w:val="22"/>
        </w:rPr>
        <w:t xml:space="preserve"> and (f)</w:t>
      </w:r>
      <w:r w:rsidR="00334FD0" w:rsidRPr="00B30232">
        <w:rPr>
          <w:rFonts w:ascii="Arial" w:hAnsi="Arial" w:cs="Arial"/>
          <w:sz w:val="22"/>
        </w:rPr>
        <w:t>, using the details of the final closure plan and waste inventory</w:t>
      </w:r>
      <w:r w:rsidR="00563DB7" w:rsidRPr="00B30232">
        <w:rPr>
          <w:rFonts w:ascii="Arial" w:hAnsi="Arial" w:cs="Arial"/>
          <w:sz w:val="22"/>
        </w:rPr>
        <w:t>.</w:t>
      </w:r>
      <w:r w:rsidR="00334FD0" w:rsidRPr="00B30232">
        <w:rPr>
          <w:rFonts w:ascii="Arial" w:hAnsi="Arial" w:cs="Arial"/>
          <w:sz w:val="22"/>
        </w:rPr>
        <w:t xml:space="preserve">  Current </w:t>
      </w:r>
      <w:r w:rsidR="00C80E42" w:rsidRPr="00B30232">
        <w:rPr>
          <w:rFonts w:ascii="Arial" w:hAnsi="Arial" w:cs="Arial"/>
          <w:sz w:val="22"/>
        </w:rPr>
        <w:t>10 CFR </w:t>
      </w:r>
      <w:r w:rsidR="004728ED" w:rsidRPr="00B30232">
        <w:rPr>
          <w:rFonts w:ascii="Arial" w:hAnsi="Arial" w:cs="Arial"/>
          <w:sz w:val="22"/>
        </w:rPr>
        <w:t xml:space="preserve">61.28 does not require licensees to provide an updated site-specific analysis. </w:t>
      </w:r>
      <w:r w:rsidR="00463029" w:rsidRPr="00B30232">
        <w:rPr>
          <w:rFonts w:ascii="Arial" w:hAnsi="Arial" w:cs="Arial"/>
          <w:sz w:val="22"/>
        </w:rPr>
        <w:t xml:space="preserve"> This requirement is necessary to enhance the safe disposal of LLRW.  </w:t>
      </w:r>
    </w:p>
    <w:p w:rsidR="00CB53E7" w:rsidRPr="00B30232" w:rsidRDefault="00CB53E7" w:rsidP="001E5143">
      <w:pPr>
        <w:widowControl w:val="0"/>
        <w:ind w:left="1440"/>
        <w:rPr>
          <w:rFonts w:ascii="Arial" w:hAnsi="Arial" w:cs="Arial"/>
          <w:sz w:val="22"/>
        </w:rPr>
      </w:pPr>
    </w:p>
    <w:p w:rsidR="0002411C" w:rsidRPr="00B30232" w:rsidRDefault="004E3088" w:rsidP="002C40C5">
      <w:pPr>
        <w:widowControl w:val="0"/>
        <w:ind w:left="1440"/>
        <w:rPr>
          <w:rFonts w:ascii="Arial" w:hAnsi="Arial" w:cs="Arial"/>
          <w:sz w:val="22"/>
        </w:rPr>
      </w:pPr>
      <w:r w:rsidRPr="00B30232">
        <w:rPr>
          <w:rFonts w:ascii="Arial" w:hAnsi="Arial" w:cs="Arial"/>
          <w:sz w:val="22"/>
          <w:u w:val="single"/>
        </w:rPr>
        <w:t>Section 61.41</w:t>
      </w:r>
      <w:r w:rsidRPr="00B30232">
        <w:rPr>
          <w:rFonts w:ascii="Arial" w:hAnsi="Arial" w:cs="Arial"/>
          <w:sz w:val="22"/>
        </w:rPr>
        <w:t xml:space="preserve"> </w:t>
      </w:r>
      <w:r w:rsidR="000D520E" w:rsidRPr="00B30232">
        <w:rPr>
          <w:rFonts w:ascii="Arial" w:hAnsi="Arial" w:cs="Arial"/>
          <w:sz w:val="22"/>
        </w:rPr>
        <w:t xml:space="preserve">of 10 CFR Part 61 </w:t>
      </w:r>
      <w:r w:rsidRPr="00B30232">
        <w:rPr>
          <w:rFonts w:ascii="Arial" w:hAnsi="Arial" w:cs="Arial"/>
          <w:sz w:val="22"/>
        </w:rPr>
        <w:t xml:space="preserve">would be split into </w:t>
      </w:r>
      <w:r w:rsidR="00C235C8" w:rsidRPr="00B30232">
        <w:rPr>
          <w:rFonts w:ascii="Arial" w:hAnsi="Arial" w:cs="Arial"/>
          <w:sz w:val="22"/>
        </w:rPr>
        <w:t>three</w:t>
      </w:r>
      <w:r w:rsidR="000D520E" w:rsidRPr="00660499">
        <w:rPr>
          <w:rFonts w:ascii="Arial" w:hAnsi="Arial" w:cs="Arial"/>
          <w:sz w:val="22"/>
        </w:rPr>
        <w:t xml:space="preserve"> paragraphs</w:t>
      </w:r>
      <w:r w:rsidRPr="00B30232">
        <w:rPr>
          <w:rFonts w:ascii="Arial" w:hAnsi="Arial" w:cs="Arial"/>
          <w:sz w:val="22"/>
        </w:rPr>
        <w:t>.</w:t>
      </w:r>
      <w:r w:rsidR="002C40C5" w:rsidRPr="00B30232">
        <w:rPr>
          <w:rFonts w:ascii="Arial" w:hAnsi="Arial" w:cs="Arial"/>
          <w:sz w:val="22"/>
        </w:rPr>
        <w:t xml:space="preserve">  </w:t>
      </w:r>
    </w:p>
    <w:p w:rsidR="0002411C" w:rsidRPr="00B30232" w:rsidRDefault="0002411C" w:rsidP="002C40C5">
      <w:pPr>
        <w:widowControl w:val="0"/>
        <w:ind w:left="1440"/>
        <w:rPr>
          <w:rFonts w:ascii="Arial" w:hAnsi="Arial" w:cs="Arial"/>
          <w:sz w:val="22"/>
        </w:rPr>
      </w:pPr>
    </w:p>
    <w:p w:rsidR="002C40C5" w:rsidRPr="00B30232" w:rsidRDefault="000D520E" w:rsidP="00660499">
      <w:pPr>
        <w:widowControl w:val="0"/>
        <w:ind w:left="2160"/>
        <w:rPr>
          <w:rFonts w:ascii="Arial" w:hAnsi="Arial" w:cs="Arial"/>
          <w:sz w:val="22"/>
        </w:rPr>
      </w:pPr>
      <w:r w:rsidRPr="00B30232">
        <w:rPr>
          <w:rFonts w:ascii="Arial" w:hAnsi="Arial" w:cs="Arial"/>
          <w:sz w:val="22"/>
        </w:rPr>
        <w:t xml:space="preserve">10 CFR </w:t>
      </w:r>
      <w:r w:rsidR="002C40C5" w:rsidRPr="00B30232">
        <w:rPr>
          <w:rFonts w:ascii="Arial" w:hAnsi="Arial" w:cs="Arial"/>
          <w:sz w:val="22"/>
        </w:rPr>
        <w:t xml:space="preserve">61.41(a) would retain the dose limits and the ALARA concept, and would be updated to use dose methodology that is consistent with the dose methodology used in 10 CFR </w:t>
      </w:r>
      <w:r w:rsidRPr="00B30232">
        <w:rPr>
          <w:rFonts w:ascii="Arial" w:hAnsi="Arial" w:cs="Arial"/>
          <w:sz w:val="22"/>
        </w:rPr>
        <w:t xml:space="preserve">Part </w:t>
      </w:r>
      <w:r w:rsidR="002C40C5" w:rsidRPr="00B30232">
        <w:rPr>
          <w:rFonts w:ascii="Arial" w:hAnsi="Arial" w:cs="Arial"/>
          <w:sz w:val="22"/>
        </w:rPr>
        <w:t>20.  Compliance with the proposed 10 CFR 61.41(a) paragraph would be demonstrated through analyses that meet the requirements specified in the proposed 10 CFR 61.13(a).</w:t>
      </w:r>
    </w:p>
    <w:p w:rsidR="0002411C" w:rsidRPr="00B30232" w:rsidRDefault="0002411C" w:rsidP="002C40C5">
      <w:pPr>
        <w:widowControl w:val="0"/>
        <w:ind w:left="1440"/>
        <w:rPr>
          <w:rFonts w:ascii="Arial" w:hAnsi="Arial" w:cs="Arial"/>
          <w:sz w:val="22"/>
        </w:rPr>
      </w:pPr>
    </w:p>
    <w:p w:rsidR="0002411C" w:rsidRPr="00B30232" w:rsidRDefault="000D520E" w:rsidP="00660499">
      <w:pPr>
        <w:widowControl w:val="0"/>
        <w:ind w:left="2160"/>
        <w:rPr>
          <w:rFonts w:ascii="Arial" w:hAnsi="Arial" w:cs="Arial"/>
          <w:sz w:val="22"/>
        </w:rPr>
      </w:pPr>
      <w:r w:rsidRPr="00B30232">
        <w:rPr>
          <w:rFonts w:ascii="Arial" w:hAnsi="Arial" w:cs="Arial"/>
          <w:sz w:val="22"/>
        </w:rPr>
        <w:t xml:space="preserve">10 CFR </w:t>
      </w:r>
      <w:r w:rsidR="0002411C" w:rsidRPr="00B30232">
        <w:rPr>
          <w:rFonts w:ascii="Arial" w:hAnsi="Arial" w:cs="Arial"/>
          <w:sz w:val="22"/>
        </w:rPr>
        <w:t>61.41(b)</w:t>
      </w:r>
      <w:r w:rsidR="00DB4E03" w:rsidRPr="00DB4E03">
        <w:rPr>
          <w:rFonts w:ascii="Arial" w:hAnsi="Arial" w:cs="Arial"/>
          <w:sz w:val="22"/>
        </w:rPr>
        <w:t xml:space="preserve"> </w:t>
      </w:r>
      <w:r w:rsidR="00DB4E03">
        <w:rPr>
          <w:rFonts w:ascii="Arial" w:hAnsi="Arial" w:cs="Arial"/>
          <w:sz w:val="22"/>
        </w:rPr>
        <w:t xml:space="preserve">is a new </w:t>
      </w:r>
      <w:r w:rsidR="00210DA4">
        <w:rPr>
          <w:rFonts w:ascii="Arial" w:hAnsi="Arial" w:cs="Arial"/>
          <w:sz w:val="22"/>
        </w:rPr>
        <w:t>paragraph</w:t>
      </w:r>
      <w:r w:rsidR="00DB4E03">
        <w:rPr>
          <w:rFonts w:ascii="Arial" w:hAnsi="Arial" w:cs="Arial"/>
          <w:sz w:val="22"/>
        </w:rPr>
        <w:t xml:space="preserve">. </w:t>
      </w:r>
      <w:r w:rsidR="00210DA4">
        <w:rPr>
          <w:rFonts w:ascii="Arial" w:hAnsi="Arial" w:cs="Arial"/>
          <w:sz w:val="22"/>
        </w:rPr>
        <w:t>that</w:t>
      </w:r>
      <w:r w:rsidR="0002411C" w:rsidRPr="00B30232">
        <w:rPr>
          <w:rFonts w:ascii="Arial" w:hAnsi="Arial" w:cs="Arial"/>
          <w:sz w:val="22"/>
        </w:rPr>
        <w:t xml:space="preserve"> would require that the licensee to minimize releases of radioactivity from a disposal facility to the general environment during the protective assurance period.  It would specify that an annual dose, established on the license, shall be below 5 </w:t>
      </w:r>
      <w:r w:rsidR="009365DB" w:rsidRPr="00B30232">
        <w:rPr>
          <w:rFonts w:ascii="Arial" w:hAnsi="Arial" w:cs="Arial"/>
          <w:sz w:val="22"/>
        </w:rPr>
        <w:t>millisieverts</w:t>
      </w:r>
      <w:r w:rsidR="0002411C" w:rsidRPr="00B30232">
        <w:rPr>
          <w:rFonts w:ascii="Arial" w:hAnsi="Arial" w:cs="Arial"/>
          <w:sz w:val="22"/>
        </w:rPr>
        <w:t xml:space="preserve"> (500 millirems) or a level that is supported as reasonably achievable based on technological and economic considerations in the information submitted for review and approval by the Commission.  The proposed annual dose would be consistent with the dose methodology used in 10 CFR </w:t>
      </w:r>
      <w:r w:rsidRPr="00B30232">
        <w:rPr>
          <w:rFonts w:ascii="Arial" w:hAnsi="Arial" w:cs="Arial"/>
          <w:sz w:val="22"/>
        </w:rPr>
        <w:t>P</w:t>
      </w:r>
      <w:r w:rsidR="0002411C" w:rsidRPr="00B30232">
        <w:rPr>
          <w:rFonts w:ascii="Arial" w:hAnsi="Arial" w:cs="Arial"/>
          <w:sz w:val="22"/>
        </w:rPr>
        <w:t>art 20.  Compliance with this paragraph must be demonstrated through analyses that meet the requirements specified in 10 CFR 61.13(a).</w:t>
      </w:r>
    </w:p>
    <w:p w:rsidR="002C40C5" w:rsidRPr="00B30232" w:rsidRDefault="002C40C5" w:rsidP="00660499">
      <w:pPr>
        <w:widowControl w:val="0"/>
        <w:ind w:left="2160"/>
        <w:rPr>
          <w:rFonts w:ascii="Arial" w:hAnsi="Arial" w:cs="Arial"/>
          <w:sz w:val="22"/>
        </w:rPr>
      </w:pPr>
    </w:p>
    <w:p w:rsidR="00463029" w:rsidRPr="00B30232" w:rsidRDefault="000D520E" w:rsidP="00660499">
      <w:pPr>
        <w:widowControl w:val="0"/>
        <w:ind w:left="2160"/>
        <w:rPr>
          <w:rFonts w:ascii="Arial" w:hAnsi="Arial" w:cs="Arial"/>
          <w:sz w:val="22"/>
        </w:rPr>
      </w:pPr>
      <w:r w:rsidRPr="00B30232">
        <w:rPr>
          <w:rFonts w:ascii="Arial" w:hAnsi="Arial" w:cs="Arial"/>
          <w:sz w:val="22"/>
        </w:rPr>
        <w:t xml:space="preserve">10 CFR </w:t>
      </w:r>
      <w:r w:rsidR="002C40C5" w:rsidRPr="00B30232">
        <w:rPr>
          <w:rFonts w:ascii="Arial" w:hAnsi="Arial" w:cs="Arial"/>
          <w:sz w:val="22"/>
        </w:rPr>
        <w:t>61.41(</w:t>
      </w:r>
      <w:r w:rsidR="0002411C" w:rsidRPr="00B30232">
        <w:rPr>
          <w:rFonts w:ascii="Arial" w:hAnsi="Arial" w:cs="Arial"/>
          <w:sz w:val="22"/>
        </w:rPr>
        <w:t>c</w:t>
      </w:r>
      <w:r w:rsidR="002C40C5" w:rsidRPr="00B30232">
        <w:rPr>
          <w:rFonts w:ascii="Arial" w:hAnsi="Arial" w:cs="Arial"/>
          <w:sz w:val="22"/>
        </w:rPr>
        <w:t xml:space="preserve">) </w:t>
      </w:r>
      <w:r w:rsidR="00DB4E03">
        <w:rPr>
          <w:rFonts w:ascii="Arial" w:hAnsi="Arial" w:cs="Arial"/>
          <w:sz w:val="22"/>
        </w:rPr>
        <w:t xml:space="preserve">is a new </w:t>
      </w:r>
      <w:r w:rsidR="00210DA4">
        <w:rPr>
          <w:rFonts w:ascii="Arial" w:hAnsi="Arial" w:cs="Arial"/>
          <w:sz w:val="22"/>
        </w:rPr>
        <w:t>paragraph that</w:t>
      </w:r>
      <w:r w:rsidR="00DB4E03" w:rsidRPr="00B30232">
        <w:rPr>
          <w:rFonts w:ascii="Arial" w:hAnsi="Arial" w:cs="Arial"/>
          <w:sz w:val="22"/>
        </w:rPr>
        <w:t xml:space="preserve"> </w:t>
      </w:r>
      <w:r w:rsidR="002C40C5" w:rsidRPr="00B30232">
        <w:rPr>
          <w:rFonts w:ascii="Arial" w:hAnsi="Arial" w:cs="Arial"/>
          <w:sz w:val="22"/>
        </w:rPr>
        <w:t xml:space="preserve">would require that the licensee make </w:t>
      </w:r>
      <w:r w:rsidR="0002411C" w:rsidRPr="00B30232">
        <w:rPr>
          <w:rFonts w:ascii="Arial" w:hAnsi="Arial" w:cs="Arial"/>
          <w:sz w:val="22"/>
        </w:rPr>
        <w:t xml:space="preserve">an </w:t>
      </w:r>
      <w:r w:rsidR="002C40C5" w:rsidRPr="00B30232">
        <w:rPr>
          <w:rFonts w:ascii="Arial" w:hAnsi="Arial" w:cs="Arial"/>
          <w:sz w:val="22"/>
        </w:rPr>
        <w:t>effort to minimize releases of radioactivity from a disposal facility to the general environment to the maximum extent reasonably achievable at any time during the performance period.  Compliance with the proposed 10 CFR 61.41(</w:t>
      </w:r>
      <w:r w:rsidR="0002411C" w:rsidRPr="00B30232">
        <w:rPr>
          <w:rFonts w:ascii="Arial" w:hAnsi="Arial" w:cs="Arial"/>
          <w:sz w:val="22"/>
        </w:rPr>
        <w:t>c</w:t>
      </w:r>
      <w:r w:rsidR="002C40C5" w:rsidRPr="00B30232">
        <w:rPr>
          <w:rFonts w:ascii="Arial" w:hAnsi="Arial" w:cs="Arial"/>
          <w:sz w:val="22"/>
        </w:rPr>
        <w:t xml:space="preserve">) would be demonstrated through analyses that meet the requirements specified in the proposed 10 CFR 61.13(e).  </w:t>
      </w:r>
    </w:p>
    <w:p w:rsidR="00463029" w:rsidRPr="00B30232" w:rsidRDefault="00463029" w:rsidP="004728ED">
      <w:pPr>
        <w:widowControl w:val="0"/>
        <w:ind w:left="1440"/>
        <w:rPr>
          <w:rFonts w:ascii="Arial" w:hAnsi="Arial" w:cs="Arial"/>
          <w:sz w:val="22"/>
        </w:rPr>
      </w:pPr>
    </w:p>
    <w:p w:rsidR="004728ED" w:rsidRPr="00B30232" w:rsidRDefault="004E3088" w:rsidP="004728ED">
      <w:pPr>
        <w:widowControl w:val="0"/>
        <w:ind w:left="1440"/>
        <w:rPr>
          <w:rFonts w:ascii="Arial" w:hAnsi="Arial" w:cs="Arial"/>
          <w:sz w:val="22"/>
        </w:rPr>
      </w:pPr>
      <w:r w:rsidRPr="00B30232">
        <w:rPr>
          <w:rFonts w:ascii="Arial" w:hAnsi="Arial" w:cs="Arial"/>
          <w:sz w:val="22"/>
        </w:rPr>
        <w:t xml:space="preserve">These requirements are necessary to bring </w:t>
      </w:r>
      <w:r w:rsidR="00C80E42" w:rsidRPr="00B30232">
        <w:rPr>
          <w:rFonts w:ascii="Arial" w:hAnsi="Arial" w:cs="Arial"/>
          <w:sz w:val="22"/>
        </w:rPr>
        <w:t>10 CFR </w:t>
      </w:r>
      <w:r w:rsidR="004F47CC" w:rsidRPr="00B30232">
        <w:rPr>
          <w:rFonts w:ascii="Arial" w:hAnsi="Arial" w:cs="Arial"/>
          <w:sz w:val="22"/>
        </w:rPr>
        <w:t xml:space="preserve">Part 61 </w:t>
      </w:r>
      <w:r w:rsidRPr="00B30232">
        <w:rPr>
          <w:rFonts w:ascii="Arial" w:hAnsi="Arial" w:cs="Arial"/>
          <w:sz w:val="22"/>
        </w:rPr>
        <w:t xml:space="preserve">dose methodology </w:t>
      </w:r>
      <w:r w:rsidRPr="00B30232">
        <w:rPr>
          <w:rFonts w:ascii="Arial" w:hAnsi="Arial" w:cs="Arial"/>
          <w:sz w:val="22"/>
        </w:rPr>
        <w:lastRenderedPageBreak/>
        <w:t xml:space="preserve">up to date with the methodology used in </w:t>
      </w:r>
      <w:r w:rsidR="00F25160" w:rsidRPr="00B30232">
        <w:rPr>
          <w:rFonts w:ascii="Arial" w:hAnsi="Arial" w:cs="Arial"/>
          <w:sz w:val="22"/>
        </w:rPr>
        <w:t xml:space="preserve">10 CFR </w:t>
      </w:r>
      <w:r w:rsidRPr="00B30232">
        <w:rPr>
          <w:rFonts w:ascii="Arial" w:hAnsi="Arial" w:cs="Arial"/>
          <w:sz w:val="22"/>
        </w:rPr>
        <w:t>Part 20 and to demonstrate compliance with the protection of the general population from releases of radioactivity</w:t>
      </w:r>
      <w:r w:rsidR="00F25160" w:rsidRPr="00B30232">
        <w:rPr>
          <w:rFonts w:ascii="Arial" w:hAnsi="Arial" w:cs="Arial"/>
          <w:sz w:val="22"/>
        </w:rPr>
        <w:t>.</w:t>
      </w:r>
    </w:p>
    <w:p w:rsidR="004728ED" w:rsidRPr="00B30232" w:rsidRDefault="004728ED" w:rsidP="008264CC">
      <w:pPr>
        <w:widowControl w:val="0"/>
        <w:ind w:left="1440"/>
        <w:rPr>
          <w:rFonts w:ascii="Arial" w:hAnsi="Arial" w:cs="Arial"/>
          <w:sz w:val="22"/>
          <w:u w:val="single"/>
        </w:rPr>
      </w:pPr>
    </w:p>
    <w:p w:rsidR="0002411C" w:rsidRPr="00B30232" w:rsidRDefault="004E3088" w:rsidP="002C40C5">
      <w:pPr>
        <w:widowControl w:val="0"/>
        <w:ind w:left="1440"/>
        <w:rPr>
          <w:rFonts w:ascii="Arial" w:hAnsi="Arial" w:cs="Arial"/>
          <w:sz w:val="22"/>
        </w:rPr>
      </w:pPr>
      <w:r w:rsidRPr="00B30232">
        <w:rPr>
          <w:rFonts w:ascii="Arial" w:hAnsi="Arial" w:cs="Arial"/>
          <w:sz w:val="22"/>
          <w:u w:val="single"/>
        </w:rPr>
        <w:t>Section 61.42</w:t>
      </w:r>
      <w:r w:rsidRPr="00B30232">
        <w:rPr>
          <w:rFonts w:ascii="Arial" w:hAnsi="Arial" w:cs="Arial"/>
          <w:sz w:val="22"/>
        </w:rPr>
        <w:t xml:space="preserve"> would be split into </w:t>
      </w:r>
      <w:r w:rsidR="00C235C8" w:rsidRPr="00B30232">
        <w:rPr>
          <w:rFonts w:ascii="Arial" w:hAnsi="Arial" w:cs="Arial"/>
          <w:sz w:val="22"/>
        </w:rPr>
        <w:t xml:space="preserve">three </w:t>
      </w:r>
      <w:r w:rsidRPr="00B30232">
        <w:rPr>
          <w:rFonts w:ascii="Arial" w:hAnsi="Arial" w:cs="Arial"/>
          <w:sz w:val="22"/>
        </w:rPr>
        <w:t xml:space="preserve">paragraphs.  </w:t>
      </w:r>
    </w:p>
    <w:p w:rsidR="0002411C" w:rsidRPr="00B30232" w:rsidRDefault="0002411C" w:rsidP="002C40C5">
      <w:pPr>
        <w:widowControl w:val="0"/>
        <w:ind w:left="1440"/>
        <w:rPr>
          <w:rFonts w:ascii="Arial" w:hAnsi="Arial" w:cs="Arial"/>
          <w:sz w:val="22"/>
        </w:rPr>
      </w:pPr>
    </w:p>
    <w:p w:rsidR="002C40C5" w:rsidRPr="00B30232" w:rsidRDefault="00F25160" w:rsidP="00660499">
      <w:pPr>
        <w:widowControl w:val="0"/>
        <w:ind w:left="2160"/>
        <w:rPr>
          <w:rFonts w:ascii="Arial" w:hAnsi="Arial" w:cs="Arial"/>
          <w:sz w:val="22"/>
        </w:rPr>
      </w:pPr>
      <w:r w:rsidRPr="00B30232">
        <w:rPr>
          <w:rFonts w:ascii="Arial" w:hAnsi="Arial" w:cs="Arial"/>
          <w:sz w:val="22"/>
        </w:rPr>
        <w:t xml:space="preserve">10 CFR </w:t>
      </w:r>
      <w:r w:rsidR="002C40C5" w:rsidRPr="00B30232">
        <w:rPr>
          <w:rFonts w:ascii="Arial" w:hAnsi="Arial" w:cs="Arial"/>
          <w:sz w:val="22"/>
        </w:rPr>
        <w:t xml:space="preserve">61.42(a) would retain the current regulatory language and would be updated to add an annual dose limit of 5 mSv/yr (500 mrem/yr) for the intruder assessment.  Compliance with the proposed 10 CFR 61.42(a) paragraph would be demonstrated through analyses that meet the requirements specified in the proposed 10 CFR 61.13(b). </w:t>
      </w:r>
    </w:p>
    <w:p w:rsidR="0002411C" w:rsidRPr="00B30232" w:rsidRDefault="0002411C" w:rsidP="00660499">
      <w:pPr>
        <w:widowControl w:val="0"/>
        <w:ind w:left="2160"/>
        <w:rPr>
          <w:rFonts w:ascii="Arial" w:hAnsi="Arial" w:cs="Arial"/>
          <w:sz w:val="22"/>
        </w:rPr>
      </w:pPr>
    </w:p>
    <w:p w:rsidR="0002411C" w:rsidRPr="00B30232" w:rsidRDefault="00F25160" w:rsidP="00660499">
      <w:pPr>
        <w:widowControl w:val="0"/>
        <w:ind w:left="2160"/>
        <w:rPr>
          <w:rFonts w:ascii="Arial" w:hAnsi="Arial" w:cs="Arial"/>
          <w:sz w:val="22"/>
        </w:rPr>
      </w:pPr>
      <w:r w:rsidRPr="00B30232">
        <w:rPr>
          <w:rFonts w:ascii="Arial" w:hAnsi="Arial" w:cs="Arial"/>
          <w:sz w:val="22"/>
        </w:rPr>
        <w:t xml:space="preserve">10 CFR </w:t>
      </w:r>
      <w:r w:rsidR="0002411C" w:rsidRPr="00B30232">
        <w:rPr>
          <w:rFonts w:ascii="Arial" w:hAnsi="Arial" w:cs="Arial"/>
          <w:sz w:val="22"/>
        </w:rPr>
        <w:t xml:space="preserve">61.42(b) </w:t>
      </w:r>
      <w:r w:rsidR="00DB4E03">
        <w:rPr>
          <w:rFonts w:ascii="Arial" w:hAnsi="Arial" w:cs="Arial"/>
          <w:sz w:val="22"/>
        </w:rPr>
        <w:t xml:space="preserve">is a new </w:t>
      </w:r>
      <w:r w:rsidR="00210DA4">
        <w:rPr>
          <w:rFonts w:ascii="Arial" w:hAnsi="Arial" w:cs="Arial"/>
          <w:sz w:val="22"/>
        </w:rPr>
        <w:t>paragraph that</w:t>
      </w:r>
      <w:r w:rsidR="00DB4E03" w:rsidRPr="00B30232">
        <w:rPr>
          <w:rFonts w:ascii="Arial" w:hAnsi="Arial" w:cs="Arial"/>
          <w:sz w:val="22"/>
        </w:rPr>
        <w:t xml:space="preserve"> </w:t>
      </w:r>
      <w:r w:rsidR="0002411C" w:rsidRPr="00B30232">
        <w:rPr>
          <w:rFonts w:ascii="Arial" w:hAnsi="Arial" w:cs="Arial"/>
          <w:sz w:val="22"/>
        </w:rPr>
        <w:t xml:space="preserve">would require the licensee to minimize exposures to any inadvertent intruder during the protective assurance period.  It would also specify that an annual dose, established on the license, shall be below 5 </w:t>
      </w:r>
      <w:r w:rsidR="009365DB" w:rsidRPr="00B30232">
        <w:rPr>
          <w:rFonts w:ascii="Arial" w:hAnsi="Arial" w:cs="Arial"/>
          <w:sz w:val="22"/>
        </w:rPr>
        <w:t>millisieverts</w:t>
      </w:r>
      <w:r w:rsidR="0002411C" w:rsidRPr="00B30232">
        <w:rPr>
          <w:rFonts w:ascii="Arial" w:hAnsi="Arial" w:cs="Arial"/>
          <w:sz w:val="22"/>
        </w:rPr>
        <w:t xml:space="preserve"> (500 millirems) or a level that is supported as reasonably achievable based on technological and economic considerations in the information submitted for review and approval by the Commission.  The proposed annual dose would be consistent with the dose methodology used in 10 CFR </w:t>
      </w:r>
      <w:r w:rsidRPr="00B30232">
        <w:rPr>
          <w:rFonts w:ascii="Arial" w:hAnsi="Arial" w:cs="Arial"/>
          <w:sz w:val="22"/>
        </w:rPr>
        <w:t>P</w:t>
      </w:r>
      <w:r w:rsidR="0002411C" w:rsidRPr="00B30232">
        <w:rPr>
          <w:rFonts w:ascii="Arial" w:hAnsi="Arial" w:cs="Arial"/>
          <w:sz w:val="22"/>
        </w:rPr>
        <w:t>art 20.  Compliance with this paragraph must be demonstrated through analyses that meet the requirements specified in 10 CFR 61.13(b).</w:t>
      </w:r>
    </w:p>
    <w:p w:rsidR="002C40C5" w:rsidRPr="00B30232" w:rsidRDefault="002C40C5" w:rsidP="00660499">
      <w:pPr>
        <w:widowControl w:val="0"/>
        <w:ind w:left="2160"/>
        <w:rPr>
          <w:rFonts w:ascii="Arial" w:hAnsi="Arial" w:cs="Arial"/>
          <w:sz w:val="22"/>
        </w:rPr>
      </w:pPr>
    </w:p>
    <w:p w:rsidR="00E51C7A" w:rsidRPr="00B30232" w:rsidRDefault="00F25160" w:rsidP="00660499">
      <w:pPr>
        <w:widowControl w:val="0"/>
        <w:ind w:left="2160"/>
        <w:rPr>
          <w:rFonts w:ascii="Arial" w:hAnsi="Arial" w:cs="Arial"/>
          <w:sz w:val="22"/>
        </w:rPr>
      </w:pPr>
      <w:r w:rsidRPr="00B30232">
        <w:rPr>
          <w:rFonts w:ascii="Arial" w:hAnsi="Arial" w:cs="Arial"/>
          <w:sz w:val="22"/>
        </w:rPr>
        <w:t xml:space="preserve">10 CFR </w:t>
      </w:r>
      <w:r w:rsidR="002C40C5" w:rsidRPr="00B30232">
        <w:rPr>
          <w:rFonts w:ascii="Arial" w:hAnsi="Arial" w:cs="Arial"/>
          <w:sz w:val="22"/>
        </w:rPr>
        <w:t>61.42(</w:t>
      </w:r>
      <w:r w:rsidR="0002411C" w:rsidRPr="00B30232">
        <w:rPr>
          <w:rFonts w:ascii="Arial" w:hAnsi="Arial" w:cs="Arial"/>
          <w:sz w:val="22"/>
        </w:rPr>
        <w:t>c</w:t>
      </w:r>
      <w:r w:rsidR="002C40C5" w:rsidRPr="00B30232">
        <w:rPr>
          <w:rFonts w:ascii="Arial" w:hAnsi="Arial" w:cs="Arial"/>
          <w:sz w:val="22"/>
        </w:rPr>
        <w:t xml:space="preserve">) </w:t>
      </w:r>
      <w:r w:rsidR="00DB4E03">
        <w:rPr>
          <w:rFonts w:ascii="Arial" w:hAnsi="Arial" w:cs="Arial"/>
          <w:sz w:val="22"/>
        </w:rPr>
        <w:t xml:space="preserve">is a new </w:t>
      </w:r>
      <w:r w:rsidR="00210DA4">
        <w:rPr>
          <w:rFonts w:ascii="Arial" w:hAnsi="Arial" w:cs="Arial"/>
          <w:sz w:val="22"/>
        </w:rPr>
        <w:t>paragraph that</w:t>
      </w:r>
      <w:r w:rsidR="00DB4E03" w:rsidRPr="00B30232">
        <w:rPr>
          <w:rFonts w:ascii="Arial" w:hAnsi="Arial" w:cs="Arial"/>
          <w:sz w:val="22"/>
        </w:rPr>
        <w:t xml:space="preserve"> </w:t>
      </w:r>
      <w:r w:rsidR="002C40C5" w:rsidRPr="00B30232">
        <w:rPr>
          <w:rFonts w:ascii="Arial" w:hAnsi="Arial" w:cs="Arial"/>
          <w:sz w:val="22"/>
        </w:rPr>
        <w:t>would require that the licensee make effort to minimize exposures to any inadvertent intruder to the maximum extent reasonably achievable at any time during the performance period.  Compliance with the proposed 10 CFR 61.42(</w:t>
      </w:r>
      <w:r w:rsidR="0002411C" w:rsidRPr="00B30232">
        <w:rPr>
          <w:rFonts w:ascii="Arial" w:hAnsi="Arial" w:cs="Arial"/>
          <w:sz w:val="22"/>
        </w:rPr>
        <w:t>c</w:t>
      </w:r>
      <w:r w:rsidR="002C40C5" w:rsidRPr="00B30232">
        <w:rPr>
          <w:rFonts w:ascii="Arial" w:hAnsi="Arial" w:cs="Arial"/>
          <w:sz w:val="22"/>
        </w:rPr>
        <w:t xml:space="preserve">) would be demonstrated through analyses that meet the requirements specified in the proposed 10 CFR 61.13(e).  </w:t>
      </w:r>
    </w:p>
    <w:p w:rsidR="002B36E8" w:rsidRPr="00B30232" w:rsidRDefault="002B36E8" w:rsidP="00CB53E7">
      <w:pPr>
        <w:widowControl w:val="0"/>
        <w:ind w:left="1440"/>
        <w:rPr>
          <w:rFonts w:ascii="Arial" w:hAnsi="Arial" w:cs="Arial"/>
          <w:sz w:val="22"/>
        </w:rPr>
      </w:pPr>
    </w:p>
    <w:p w:rsidR="00D01A50" w:rsidRPr="00B30232" w:rsidRDefault="004E3088" w:rsidP="00CB53E7">
      <w:pPr>
        <w:widowControl w:val="0"/>
        <w:ind w:left="1440"/>
        <w:rPr>
          <w:rFonts w:ascii="Arial" w:hAnsi="Arial" w:cs="Arial"/>
          <w:sz w:val="22"/>
        </w:rPr>
      </w:pPr>
      <w:r w:rsidRPr="00B30232">
        <w:rPr>
          <w:rFonts w:ascii="Arial" w:hAnsi="Arial" w:cs="Arial"/>
          <w:sz w:val="22"/>
        </w:rPr>
        <w:t xml:space="preserve">These new requirements are necessary to enhance the protection of any inadvertent intruder who occupies the site or contacts the waste at any time after active institutional controls are removed.  </w:t>
      </w:r>
    </w:p>
    <w:p w:rsidR="00466891" w:rsidRPr="00B30232" w:rsidRDefault="00466891" w:rsidP="00CB53E7">
      <w:pPr>
        <w:widowControl w:val="0"/>
        <w:ind w:left="1440"/>
        <w:rPr>
          <w:rFonts w:ascii="Arial" w:hAnsi="Arial" w:cs="Arial"/>
          <w:sz w:val="22"/>
        </w:rPr>
      </w:pPr>
    </w:p>
    <w:p w:rsidR="00466891" w:rsidRPr="00B30232" w:rsidRDefault="00466891" w:rsidP="00466891">
      <w:pPr>
        <w:widowControl w:val="0"/>
        <w:ind w:left="1440"/>
        <w:rPr>
          <w:rFonts w:ascii="Arial" w:hAnsi="Arial" w:cs="Arial"/>
          <w:sz w:val="22"/>
        </w:rPr>
      </w:pPr>
    </w:p>
    <w:p w:rsidR="00CB53E7" w:rsidRDefault="00466891" w:rsidP="008264CC">
      <w:pPr>
        <w:widowControl w:val="0"/>
        <w:ind w:left="1440"/>
        <w:rPr>
          <w:rFonts w:ascii="Arial" w:hAnsi="Arial" w:cs="Arial"/>
          <w:sz w:val="22"/>
        </w:rPr>
      </w:pPr>
      <w:r w:rsidRPr="00660499">
        <w:rPr>
          <w:rFonts w:ascii="Arial" w:hAnsi="Arial" w:cs="Arial"/>
          <w:sz w:val="22"/>
          <w:u w:val="single"/>
        </w:rPr>
        <w:t>Section 61.44</w:t>
      </w:r>
      <w:r w:rsidRPr="00B30232">
        <w:rPr>
          <w:rFonts w:ascii="Arial" w:hAnsi="Arial" w:cs="Arial"/>
          <w:sz w:val="22"/>
        </w:rPr>
        <w:t xml:space="preserve"> </w:t>
      </w:r>
      <w:r w:rsidR="00F25160" w:rsidRPr="00B30232">
        <w:rPr>
          <w:rFonts w:ascii="Arial" w:hAnsi="Arial" w:cs="Arial"/>
          <w:sz w:val="22"/>
        </w:rPr>
        <w:t xml:space="preserve">of 10 CFR Part 61 </w:t>
      </w:r>
      <w:r w:rsidRPr="00B30232">
        <w:rPr>
          <w:rFonts w:ascii="Arial" w:hAnsi="Arial" w:cs="Arial"/>
          <w:sz w:val="22"/>
        </w:rPr>
        <w:t>currently requires the disposal facility to be sited, designed, used, operated, and closed to achieve long-term stability of the disposal site and to eliminate to the extent practicable the need for ongoing active maintenance of the disposal site following closure so that only surveillance, monitoring, or minor custodial care are required.  The NRC proposes to revise 61.44 to specify that stability of the disposal site must be demonstrated for the compliance and protective assurance periods.</w:t>
      </w:r>
      <w:r w:rsidR="00C235C8" w:rsidRPr="00B30232">
        <w:rPr>
          <w:rFonts w:ascii="Arial" w:hAnsi="Arial" w:cs="Arial"/>
          <w:sz w:val="22"/>
        </w:rPr>
        <w:t xml:space="preserve"> The NRC believes this change would not result in an increase in burden to licensees</w:t>
      </w:r>
      <w:r w:rsidR="00F25160" w:rsidRPr="00660499">
        <w:rPr>
          <w:rFonts w:ascii="Arial" w:hAnsi="Arial" w:cs="Arial"/>
          <w:sz w:val="22"/>
        </w:rPr>
        <w:t xml:space="preserve"> because it only clarifies the time frame for the stability demonstration</w:t>
      </w:r>
      <w:r w:rsidR="00C235C8" w:rsidRPr="00B30232">
        <w:rPr>
          <w:rFonts w:ascii="Arial" w:hAnsi="Arial" w:cs="Arial"/>
          <w:sz w:val="22"/>
        </w:rPr>
        <w:t>.</w:t>
      </w:r>
    </w:p>
    <w:p w:rsidR="00EF112D" w:rsidRPr="00B30232" w:rsidRDefault="00EF112D" w:rsidP="008264CC">
      <w:pPr>
        <w:widowControl w:val="0"/>
        <w:ind w:left="1440"/>
        <w:rPr>
          <w:rFonts w:ascii="Arial" w:hAnsi="Arial" w:cs="Arial"/>
          <w:sz w:val="22"/>
        </w:rPr>
      </w:pPr>
    </w:p>
    <w:p w:rsidR="00B56F83" w:rsidRPr="00B30232" w:rsidRDefault="00B56F83" w:rsidP="008264CC">
      <w:pPr>
        <w:widowControl w:val="0"/>
        <w:ind w:left="1440"/>
        <w:rPr>
          <w:rFonts w:ascii="Arial" w:hAnsi="Arial" w:cs="Arial"/>
          <w:sz w:val="22"/>
        </w:rPr>
      </w:pPr>
      <w:r w:rsidRPr="00B30232">
        <w:rPr>
          <w:rFonts w:ascii="Arial" w:hAnsi="Arial" w:cs="Arial"/>
          <w:sz w:val="22"/>
          <w:u w:val="single"/>
        </w:rPr>
        <w:t>Section 61.57</w:t>
      </w:r>
      <w:r w:rsidRPr="00B30232">
        <w:rPr>
          <w:rFonts w:ascii="Arial" w:hAnsi="Arial" w:cs="Arial"/>
          <w:sz w:val="22"/>
        </w:rPr>
        <w:t xml:space="preserve"> </w:t>
      </w:r>
      <w:r w:rsidR="00F25160" w:rsidRPr="00B30232">
        <w:rPr>
          <w:rFonts w:ascii="Arial" w:hAnsi="Arial" w:cs="Arial"/>
          <w:sz w:val="22"/>
        </w:rPr>
        <w:t xml:space="preserve">of 10 CFR Part 61 </w:t>
      </w:r>
      <w:r w:rsidRPr="00B30232">
        <w:rPr>
          <w:rFonts w:ascii="Arial" w:hAnsi="Arial" w:cs="Arial"/>
          <w:sz w:val="22"/>
        </w:rPr>
        <w:t>would update labeling requirements for pack</w:t>
      </w:r>
      <w:r w:rsidR="006D429E" w:rsidRPr="00B30232">
        <w:rPr>
          <w:rFonts w:ascii="Arial" w:hAnsi="Arial" w:cs="Arial"/>
          <w:sz w:val="22"/>
        </w:rPr>
        <w:t>ages of waste</w:t>
      </w:r>
      <w:r w:rsidRPr="00B30232">
        <w:rPr>
          <w:rFonts w:ascii="Arial" w:hAnsi="Arial" w:cs="Arial"/>
          <w:sz w:val="22"/>
        </w:rPr>
        <w:t xml:space="preserve">.  Currently, packages are labeled </w:t>
      </w:r>
      <w:r w:rsidR="00F759CC" w:rsidRPr="00B30232">
        <w:rPr>
          <w:rFonts w:ascii="Arial" w:hAnsi="Arial" w:cs="Arial"/>
          <w:sz w:val="22"/>
        </w:rPr>
        <w:t xml:space="preserve">according </w:t>
      </w:r>
      <w:r w:rsidRPr="00B30232">
        <w:rPr>
          <w:rFonts w:ascii="Arial" w:hAnsi="Arial" w:cs="Arial"/>
          <w:sz w:val="22"/>
        </w:rPr>
        <w:t xml:space="preserve">to whether they are Class A waste, Class B waste, or Class C waste.  Licensees use the NRC Form 541, “Uniform Low-Level Radioactive Waste Manifest” for this purpose.  The NRC proposes to amend NRC Form 541 to add a column </w:t>
      </w:r>
      <w:r w:rsidR="002F3AB6" w:rsidRPr="00B30232">
        <w:rPr>
          <w:rFonts w:ascii="Arial" w:hAnsi="Arial" w:cs="Arial"/>
          <w:sz w:val="22"/>
        </w:rPr>
        <w:t xml:space="preserve">17 </w:t>
      </w:r>
      <w:r w:rsidRPr="00B30232">
        <w:rPr>
          <w:rFonts w:ascii="Arial" w:hAnsi="Arial" w:cs="Arial"/>
          <w:sz w:val="22"/>
        </w:rPr>
        <w:t xml:space="preserve">entitled, “Meets Waste </w:t>
      </w:r>
      <w:r w:rsidR="00EC2214" w:rsidRPr="00B30232">
        <w:rPr>
          <w:rFonts w:ascii="Arial" w:hAnsi="Arial" w:cs="Arial"/>
          <w:sz w:val="22"/>
        </w:rPr>
        <w:t>Acceptance</w:t>
      </w:r>
      <w:r w:rsidRPr="00B30232">
        <w:rPr>
          <w:rFonts w:ascii="Arial" w:hAnsi="Arial" w:cs="Arial"/>
          <w:sz w:val="22"/>
        </w:rPr>
        <w:t xml:space="preserve"> </w:t>
      </w:r>
      <w:r w:rsidR="00EC2214" w:rsidRPr="00B30232">
        <w:rPr>
          <w:rFonts w:ascii="Arial" w:hAnsi="Arial" w:cs="Arial"/>
          <w:sz w:val="22"/>
        </w:rPr>
        <w:t>Criteria</w:t>
      </w:r>
      <w:r w:rsidRPr="00B30232">
        <w:rPr>
          <w:rFonts w:ascii="Arial" w:hAnsi="Arial" w:cs="Arial"/>
          <w:sz w:val="22"/>
        </w:rPr>
        <w:t xml:space="preserve">, if applicable.”  Licensees using Waste Acceptance Criteria would check this box, rather than </w:t>
      </w:r>
      <w:r w:rsidR="002F3AB6" w:rsidRPr="00B30232">
        <w:rPr>
          <w:rFonts w:ascii="Arial" w:hAnsi="Arial" w:cs="Arial"/>
          <w:sz w:val="22"/>
        </w:rPr>
        <w:t xml:space="preserve">indicating the waste class in column 16.  </w:t>
      </w:r>
      <w:r w:rsidR="002F3AB6" w:rsidRPr="00B30232">
        <w:rPr>
          <w:rFonts w:ascii="Arial" w:hAnsi="Arial" w:cs="Arial"/>
          <w:sz w:val="22"/>
        </w:rPr>
        <w:lastRenderedPageBreak/>
        <w:t>The NRC believes this change to the form is insignificant, and would not result in an increase in burden to licensees.</w:t>
      </w:r>
    </w:p>
    <w:p w:rsidR="00B56F83" w:rsidRPr="00B30232" w:rsidRDefault="00B56F83" w:rsidP="00F759CC">
      <w:pPr>
        <w:widowControl w:val="0"/>
        <w:rPr>
          <w:rFonts w:ascii="Arial" w:hAnsi="Arial" w:cs="Arial"/>
          <w:sz w:val="22"/>
        </w:rPr>
      </w:pPr>
    </w:p>
    <w:p w:rsidR="00660499" w:rsidRDefault="00660499" w:rsidP="008264CC">
      <w:pPr>
        <w:widowControl w:val="0"/>
        <w:ind w:left="1440"/>
        <w:rPr>
          <w:rFonts w:ascii="Arial" w:hAnsi="Arial" w:cs="Arial"/>
          <w:sz w:val="22"/>
          <w:u w:val="single"/>
        </w:rPr>
      </w:pPr>
    </w:p>
    <w:p w:rsidR="002C40C5" w:rsidRPr="00B30232" w:rsidRDefault="002C40C5" w:rsidP="008264CC">
      <w:pPr>
        <w:widowControl w:val="0"/>
        <w:ind w:left="1440"/>
        <w:rPr>
          <w:rFonts w:ascii="Arial" w:hAnsi="Arial" w:cs="Arial"/>
          <w:sz w:val="22"/>
        </w:rPr>
      </w:pPr>
      <w:r w:rsidRPr="00B30232">
        <w:rPr>
          <w:rFonts w:ascii="Arial" w:hAnsi="Arial" w:cs="Arial"/>
          <w:sz w:val="22"/>
          <w:u w:val="single"/>
        </w:rPr>
        <w:t xml:space="preserve">Section 61.58 </w:t>
      </w:r>
      <w:r w:rsidR="00F25160" w:rsidRPr="00DC44BC">
        <w:rPr>
          <w:rFonts w:ascii="Arial" w:hAnsi="Arial" w:cs="Arial"/>
          <w:sz w:val="22"/>
        </w:rPr>
        <w:t xml:space="preserve">of 10 CFR Part 61 </w:t>
      </w:r>
      <w:r w:rsidR="002F3AB6" w:rsidRPr="00DC44BC">
        <w:rPr>
          <w:rFonts w:ascii="Arial" w:hAnsi="Arial" w:cs="Arial"/>
          <w:sz w:val="22"/>
        </w:rPr>
        <w:t>would require submission of criteria for the acceptance of waste for disposal.  The LLRW acceptance plan</w:t>
      </w:r>
      <w:r w:rsidR="002F3AB6" w:rsidRPr="00B30232">
        <w:rPr>
          <w:rFonts w:ascii="Arial" w:hAnsi="Arial" w:cs="Arial"/>
          <w:sz w:val="22"/>
          <w:u w:val="single"/>
        </w:rPr>
        <w:t xml:space="preserve"> </w:t>
      </w:r>
      <w:r w:rsidRPr="00B30232">
        <w:rPr>
          <w:rFonts w:ascii="Arial" w:hAnsi="Arial" w:cs="Arial"/>
          <w:sz w:val="22"/>
        </w:rPr>
        <w:t xml:space="preserve">would specify the minimum content of the </w:t>
      </w:r>
      <w:r w:rsidR="00F759CC" w:rsidRPr="00B30232">
        <w:rPr>
          <w:rFonts w:ascii="Arial" w:hAnsi="Arial" w:cs="Arial"/>
          <w:sz w:val="22"/>
        </w:rPr>
        <w:t xml:space="preserve">waste </w:t>
      </w:r>
      <w:r w:rsidR="002F3AB6" w:rsidRPr="00B30232">
        <w:rPr>
          <w:rFonts w:ascii="Arial" w:hAnsi="Arial" w:cs="Arial"/>
          <w:sz w:val="22"/>
        </w:rPr>
        <w:t>acceptance criteria (WAC)</w:t>
      </w:r>
      <w:r w:rsidRPr="00B30232">
        <w:rPr>
          <w:rFonts w:ascii="Arial" w:hAnsi="Arial" w:cs="Arial"/>
          <w:sz w:val="22"/>
        </w:rPr>
        <w:t>, as well as, require disposal facility licensees to develop approaches for generators to characterize LLRW and methods for generators to certify that such LLRW meets the acceptance criteria for demonstration compliance with the site-specific WAC.  Proposed 10 CFR 61.58</w:t>
      </w:r>
      <w:r w:rsidR="002F3AB6" w:rsidRPr="00B30232">
        <w:rPr>
          <w:rFonts w:ascii="Arial" w:hAnsi="Arial" w:cs="Arial"/>
          <w:sz w:val="22"/>
        </w:rPr>
        <w:t>(f)</w:t>
      </w:r>
      <w:r w:rsidRPr="00B30232">
        <w:rPr>
          <w:rFonts w:ascii="Arial" w:hAnsi="Arial" w:cs="Arial"/>
          <w:sz w:val="22"/>
        </w:rPr>
        <w:t xml:space="preserve"> would also require licensees to periodically review their LLRW acceptance plan and to comply with 10 CFR 61.20 in modification of their approved WAC.  </w:t>
      </w:r>
      <w:r w:rsidR="00C235C8" w:rsidRPr="00B30232">
        <w:rPr>
          <w:rFonts w:ascii="Arial" w:hAnsi="Arial" w:cs="Arial"/>
          <w:sz w:val="22"/>
        </w:rPr>
        <w:t xml:space="preserve">Section </w:t>
      </w:r>
      <w:r w:rsidR="002F3AB6" w:rsidRPr="00B30232">
        <w:rPr>
          <w:rFonts w:ascii="Arial" w:hAnsi="Arial" w:cs="Arial"/>
          <w:sz w:val="22"/>
        </w:rPr>
        <w:t xml:space="preserve">61.58(g) </w:t>
      </w:r>
      <w:r w:rsidR="00F25160" w:rsidRPr="00B30232">
        <w:rPr>
          <w:rFonts w:ascii="Arial" w:hAnsi="Arial" w:cs="Arial"/>
          <w:sz w:val="22"/>
        </w:rPr>
        <w:t xml:space="preserve">of 10 CFR Part 61 </w:t>
      </w:r>
      <w:r w:rsidR="002F3AB6" w:rsidRPr="00B30232">
        <w:rPr>
          <w:rFonts w:ascii="Arial" w:hAnsi="Arial" w:cs="Arial"/>
          <w:sz w:val="22"/>
        </w:rPr>
        <w:t xml:space="preserve">would allow applications for modification of approved WAC.  </w:t>
      </w:r>
      <w:r w:rsidRPr="00B30232">
        <w:rPr>
          <w:rFonts w:ascii="Arial" w:hAnsi="Arial" w:cs="Arial"/>
          <w:sz w:val="22"/>
        </w:rPr>
        <w:t xml:space="preserve">This proposed amendment would provide reasonable assurance that public health and safety would continue to be protected during the land disposal of LLRW.  </w:t>
      </w:r>
    </w:p>
    <w:p w:rsidR="002C40C5" w:rsidRPr="00B30232" w:rsidRDefault="002C40C5" w:rsidP="008264CC">
      <w:pPr>
        <w:widowControl w:val="0"/>
        <w:ind w:left="1440"/>
        <w:rPr>
          <w:rFonts w:ascii="Arial" w:hAnsi="Arial" w:cs="Arial"/>
          <w:sz w:val="22"/>
        </w:rPr>
      </w:pPr>
    </w:p>
    <w:p w:rsidR="007F350F" w:rsidRPr="00B30232" w:rsidRDefault="007F350F" w:rsidP="008264CC">
      <w:pPr>
        <w:widowControl w:val="0"/>
        <w:ind w:left="1440"/>
        <w:rPr>
          <w:rFonts w:ascii="Arial" w:hAnsi="Arial" w:cs="Arial"/>
          <w:sz w:val="22"/>
        </w:rPr>
      </w:pPr>
      <w:r w:rsidRPr="00B30232">
        <w:rPr>
          <w:rFonts w:ascii="Arial" w:hAnsi="Arial" w:cs="Arial"/>
          <w:sz w:val="22"/>
          <w:u w:val="single"/>
        </w:rPr>
        <w:t>Section 10 CFR 61.80(m)</w:t>
      </w:r>
      <w:r w:rsidRPr="00B30232">
        <w:rPr>
          <w:rFonts w:ascii="Arial" w:hAnsi="Arial" w:cs="Arial"/>
          <w:sz w:val="22"/>
        </w:rPr>
        <w:t xml:space="preserve"> </w:t>
      </w:r>
      <w:r w:rsidR="008F23EC">
        <w:rPr>
          <w:rFonts w:ascii="Arial" w:hAnsi="Arial" w:cs="Arial"/>
          <w:sz w:val="22"/>
        </w:rPr>
        <w:t xml:space="preserve">is a new </w:t>
      </w:r>
      <w:r w:rsidR="00210DA4">
        <w:rPr>
          <w:rFonts w:ascii="Arial" w:hAnsi="Arial" w:cs="Arial"/>
          <w:sz w:val="22"/>
        </w:rPr>
        <w:t>paragraph that</w:t>
      </w:r>
      <w:r w:rsidR="008F23EC" w:rsidRPr="00B30232">
        <w:rPr>
          <w:rFonts w:ascii="Arial" w:hAnsi="Arial" w:cs="Arial"/>
          <w:sz w:val="22"/>
        </w:rPr>
        <w:t xml:space="preserve"> </w:t>
      </w:r>
      <w:r w:rsidRPr="00B30232">
        <w:rPr>
          <w:rFonts w:ascii="Arial" w:hAnsi="Arial" w:cs="Arial"/>
          <w:sz w:val="22"/>
        </w:rPr>
        <w:t xml:space="preserve">would require the licensees to maintain LLRW acceptance records for three </w:t>
      </w:r>
      <w:r w:rsidR="00067E52" w:rsidRPr="00B30232">
        <w:rPr>
          <w:rFonts w:ascii="Arial" w:hAnsi="Arial" w:cs="Arial"/>
          <w:sz w:val="22"/>
        </w:rPr>
        <w:t xml:space="preserve">years </w:t>
      </w:r>
      <w:r w:rsidRPr="00B30232">
        <w:rPr>
          <w:rFonts w:ascii="Arial" w:hAnsi="Arial" w:cs="Arial"/>
          <w:sz w:val="22"/>
        </w:rPr>
        <w:t xml:space="preserve">after the record is made.  </w:t>
      </w:r>
    </w:p>
    <w:p w:rsidR="00067E52" w:rsidRPr="00B30232" w:rsidRDefault="00067E52" w:rsidP="008264CC">
      <w:pPr>
        <w:widowControl w:val="0"/>
        <w:ind w:left="1440"/>
        <w:rPr>
          <w:rFonts w:ascii="Arial" w:hAnsi="Arial" w:cs="Arial"/>
          <w:sz w:val="22"/>
        </w:rPr>
      </w:pPr>
    </w:p>
    <w:p w:rsidR="001E5143" w:rsidRPr="00B30232" w:rsidRDefault="001E5143" w:rsidP="001E5143">
      <w:pPr>
        <w:keepNext/>
        <w:keepLines/>
        <w:widowControl w:val="0"/>
        <w:numPr>
          <w:ilvl w:val="0"/>
          <w:numId w:val="1"/>
        </w:numPr>
        <w:rPr>
          <w:rFonts w:ascii="Arial" w:hAnsi="Arial" w:cs="Arial"/>
          <w:sz w:val="22"/>
        </w:rPr>
      </w:pPr>
      <w:r w:rsidRPr="00B30232">
        <w:rPr>
          <w:rFonts w:ascii="Arial" w:hAnsi="Arial" w:cs="Arial"/>
          <w:sz w:val="22"/>
          <w:u w:val="single"/>
        </w:rPr>
        <w:t>Agency Use of Information</w:t>
      </w:r>
    </w:p>
    <w:p w:rsidR="001E5143" w:rsidRPr="00B30232" w:rsidRDefault="001E5143" w:rsidP="001E5143">
      <w:pPr>
        <w:keepNext/>
        <w:keepLines/>
        <w:widowControl w:val="0"/>
        <w:rPr>
          <w:rFonts w:ascii="Arial" w:hAnsi="Arial" w:cs="Arial"/>
          <w:sz w:val="22"/>
        </w:rPr>
      </w:pPr>
    </w:p>
    <w:p w:rsidR="00077BFE" w:rsidRPr="00B30232" w:rsidRDefault="001E5143" w:rsidP="00077BFE">
      <w:pPr>
        <w:keepNext/>
        <w:keepLines/>
        <w:widowControl w:val="0"/>
        <w:ind w:left="1440"/>
        <w:rPr>
          <w:rFonts w:ascii="Arial" w:hAnsi="Arial" w:cs="Arial"/>
          <w:sz w:val="22"/>
        </w:rPr>
      </w:pPr>
      <w:r w:rsidRPr="00B30232">
        <w:rPr>
          <w:rFonts w:ascii="Arial" w:hAnsi="Arial" w:cs="Arial"/>
          <w:sz w:val="22"/>
        </w:rPr>
        <w:t xml:space="preserve">The </w:t>
      </w:r>
      <w:r w:rsidR="00077BFE" w:rsidRPr="00B30232">
        <w:rPr>
          <w:rFonts w:ascii="Arial" w:hAnsi="Arial" w:cs="Arial"/>
          <w:sz w:val="22"/>
        </w:rPr>
        <w:t xml:space="preserve">site-specific </w:t>
      </w:r>
      <w:r w:rsidR="006C41CE" w:rsidRPr="00B30232">
        <w:rPr>
          <w:rFonts w:ascii="Arial" w:hAnsi="Arial" w:cs="Arial"/>
          <w:sz w:val="22"/>
        </w:rPr>
        <w:t xml:space="preserve">technical </w:t>
      </w:r>
      <w:r w:rsidR="00077BFE" w:rsidRPr="00B30232">
        <w:rPr>
          <w:rFonts w:ascii="Arial" w:hAnsi="Arial" w:cs="Arial"/>
          <w:sz w:val="22"/>
        </w:rPr>
        <w:t>analyses requirement</w:t>
      </w:r>
      <w:r w:rsidR="006C41CE" w:rsidRPr="00B30232">
        <w:rPr>
          <w:rFonts w:ascii="Arial" w:hAnsi="Arial" w:cs="Arial"/>
          <w:sz w:val="22"/>
        </w:rPr>
        <w:t>, and the LLRW acceptance criteria,</w:t>
      </w:r>
      <w:r w:rsidR="00077BFE" w:rsidRPr="00B30232">
        <w:rPr>
          <w:rFonts w:ascii="Arial" w:hAnsi="Arial" w:cs="Arial"/>
          <w:sz w:val="22"/>
        </w:rPr>
        <w:t xml:space="preserve"> in the proposed amendment would be used to </w:t>
      </w:r>
      <w:r w:rsidR="00563DB7" w:rsidRPr="00B30232">
        <w:rPr>
          <w:rFonts w:ascii="Arial" w:hAnsi="Arial" w:cs="Arial"/>
          <w:sz w:val="22"/>
        </w:rPr>
        <w:t xml:space="preserve">ensure </w:t>
      </w:r>
      <w:r w:rsidR="00077BFE" w:rsidRPr="00B30232">
        <w:rPr>
          <w:rFonts w:ascii="Arial" w:hAnsi="Arial" w:cs="Arial"/>
          <w:sz w:val="22"/>
        </w:rPr>
        <w:t>compliance with the</w:t>
      </w:r>
      <w:r w:rsidR="00965B5D" w:rsidRPr="00B30232">
        <w:rPr>
          <w:rFonts w:ascii="Arial" w:hAnsi="Arial" w:cs="Arial"/>
          <w:sz w:val="22"/>
        </w:rPr>
        <w:t xml:space="preserve"> performance objectives in </w:t>
      </w:r>
      <w:r w:rsidR="00C80E42" w:rsidRPr="00B30232">
        <w:rPr>
          <w:rFonts w:ascii="Arial" w:hAnsi="Arial" w:cs="Arial"/>
          <w:sz w:val="22"/>
        </w:rPr>
        <w:t>Subpart C of 10 CFR </w:t>
      </w:r>
      <w:r w:rsidR="00965B5D" w:rsidRPr="00B30232">
        <w:rPr>
          <w:rFonts w:ascii="Arial" w:hAnsi="Arial" w:cs="Arial"/>
          <w:sz w:val="22"/>
        </w:rPr>
        <w:t>Part </w:t>
      </w:r>
      <w:r w:rsidR="00077BFE" w:rsidRPr="00B30232">
        <w:rPr>
          <w:rFonts w:ascii="Arial" w:hAnsi="Arial" w:cs="Arial"/>
          <w:sz w:val="22"/>
        </w:rPr>
        <w:t xml:space="preserve">61, which </w:t>
      </w:r>
      <w:r w:rsidR="006C41CE" w:rsidRPr="00B30232">
        <w:rPr>
          <w:rFonts w:ascii="Arial" w:hAnsi="Arial" w:cs="Arial"/>
          <w:sz w:val="22"/>
        </w:rPr>
        <w:t xml:space="preserve">would ensure that LLRW streams that are significantly different from those considered during the development of the current regulations can be disposed of safely and meet the performance objectives for land disposal of LLRW.  These amendments would also increase the use of site-specific information to ensure public health and safety continues to be protected.  </w:t>
      </w:r>
    </w:p>
    <w:p w:rsidR="001E5143" w:rsidRPr="00B30232" w:rsidRDefault="001E5143" w:rsidP="00077BFE">
      <w:pPr>
        <w:keepNext/>
        <w:keepLines/>
        <w:widowControl w:val="0"/>
        <w:ind w:left="144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Reduction of Burden Through Information Technology</w:t>
      </w:r>
    </w:p>
    <w:p w:rsidR="001E5143" w:rsidRPr="00B30232" w:rsidRDefault="001E5143" w:rsidP="001E5143">
      <w:pPr>
        <w:widowControl w:val="0"/>
        <w:rPr>
          <w:rFonts w:ascii="Arial" w:hAnsi="Arial" w:cs="Arial"/>
          <w:sz w:val="22"/>
        </w:rPr>
      </w:pPr>
    </w:p>
    <w:p w:rsidR="001E5143" w:rsidRPr="00B30232" w:rsidRDefault="001E5143" w:rsidP="001E5143">
      <w:pPr>
        <w:widowControl w:val="0"/>
        <w:ind w:left="1440"/>
        <w:rPr>
          <w:rFonts w:ascii="Arial" w:hAnsi="Arial" w:cs="Arial"/>
          <w:sz w:val="22"/>
        </w:rPr>
      </w:pPr>
      <w:r w:rsidRPr="00B30232">
        <w:rPr>
          <w:rFonts w:ascii="Arial" w:hAnsi="Arial" w:cs="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p>
    <w:p w:rsidR="001E5143" w:rsidRPr="00B30232" w:rsidRDefault="001E5143" w:rsidP="001E5143">
      <w:pPr>
        <w:widowControl w:val="0"/>
        <w:rPr>
          <w:rFonts w:ascii="Arial" w:hAnsi="Arial" w:cs="Arial"/>
          <w:sz w:val="22"/>
        </w:rPr>
      </w:pPr>
    </w:p>
    <w:p w:rsidR="001E5143" w:rsidRPr="00B30232" w:rsidRDefault="00463029" w:rsidP="001E5143">
      <w:pPr>
        <w:widowControl w:val="0"/>
        <w:ind w:left="1440"/>
        <w:rPr>
          <w:rFonts w:ascii="Arial" w:hAnsi="Arial" w:cs="Arial"/>
          <w:sz w:val="22"/>
        </w:rPr>
      </w:pPr>
      <w:r w:rsidRPr="00B30232">
        <w:rPr>
          <w:rFonts w:ascii="Arial" w:hAnsi="Arial" w:cs="Arial"/>
          <w:sz w:val="22"/>
        </w:rPr>
        <w:t xml:space="preserve">The </w:t>
      </w:r>
      <w:r w:rsidR="001E5143" w:rsidRPr="00B30232">
        <w:rPr>
          <w:rFonts w:ascii="Arial" w:hAnsi="Arial" w:cs="Arial"/>
          <w:sz w:val="22"/>
        </w:rPr>
        <w:t xml:space="preserve">NRC estimates that the overall percentage of responses filed electronically under </w:t>
      </w:r>
      <w:r w:rsidRPr="00B30232">
        <w:rPr>
          <w:rFonts w:ascii="Arial" w:hAnsi="Arial" w:cs="Arial"/>
          <w:sz w:val="22"/>
        </w:rPr>
        <w:t>the new requirements</w:t>
      </w:r>
      <w:r w:rsidR="001E5143" w:rsidRPr="00B30232">
        <w:rPr>
          <w:rFonts w:ascii="Arial" w:hAnsi="Arial" w:cs="Arial"/>
          <w:sz w:val="22"/>
        </w:rPr>
        <w:t xml:space="preserve"> is </w:t>
      </w:r>
      <w:r w:rsidR="00965B5D" w:rsidRPr="00B30232">
        <w:rPr>
          <w:rFonts w:ascii="Arial" w:hAnsi="Arial" w:cs="Arial"/>
          <w:sz w:val="22"/>
        </w:rPr>
        <w:t>10</w:t>
      </w:r>
      <w:r w:rsidR="001E5143" w:rsidRPr="00B30232">
        <w:rPr>
          <w:rFonts w:ascii="Arial" w:hAnsi="Arial" w:cs="Arial"/>
          <w:sz w:val="22"/>
        </w:rPr>
        <w:t>0%.</w:t>
      </w:r>
    </w:p>
    <w:p w:rsidR="001E5143" w:rsidRPr="00B30232" w:rsidRDefault="001E5143" w:rsidP="001E5143">
      <w:pPr>
        <w:widowControl w:val="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Effort to Identify Duplication and Use Similar Information</w:t>
      </w:r>
    </w:p>
    <w:p w:rsidR="001E5143" w:rsidRPr="00B30232" w:rsidRDefault="001E5143" w:rsidP="001E5143">
      <w:pPr>
        <w:widowControl w:val="0"/>
        <w:rPr>
          <w:rFonts w:ascii="Arial" w:hAnsi="Arial" w:cs="Arial"/>
          <w:sz w:val="22"/>
        </w:rPr>
      </w:pPr>
    </w:p>
    <w:p w:rsidR="001E5143" w:rsidRPr="00B30232" w:rsidRDefault="001E5143" w:rsidP="001E5143">
      <w:pPr>
        <w:widowControl w:val="0"/>
        <w:ind w:left="1440"/>
        <w:rPr>
          <w:rFonts w:ascii="Arial" w:hAnsi="Arial" w:cs="Arial"/>
          <w:sz w:val="22"/>
        </w:rPr>
      </w:pPr>
      <w:r w:rsidRPr="00B30232">
        <w:rPr>
          <w:rFonts w:ascii="Arial" w:hAnsi="Arial" w:cs="Arial"/>
          <w:sz w:val="22"/>
        </w:rPr>
        <w:t xml:space="preserve">No sources of similar information are available and there is no duplication of requirements.  Section </w:t>
      </w:r>
      <w:r w:rsidR="00067E52" w:rsidRPr="00B30232">
        <w:rPr>
          <w:rFonts w:ascii="Arial" w:hAnsi="Arial" w:cs="Arial"/>
          <w:sz w:val="22"/>
        </w:rPr>
        <w:t>10 CFR </w:t>
      </w:r>
      <w:r w:rsidRPr="00B30232">
        <w:rPr>
          <w:rFonts w:ascii="Arial" w:hAnsi="Arial" w:cs="Arial"/>
          <w:sz w:val="22"/>
        </w:rPr>
        <w:t>61.21 specifically provides an opportunity for the applicant to avoid repetition in filing licensing submittals by referencing previously submitted material.  NRC has in place an ongoing program to examine all information collections with the goal of eliminating all duplication and/or unnecessary information collections.</w:t>
      </w:r>
    </w:p>
    <w:p w:rsidR="001E5143" w:rsidRPr="00B30232" w:rsidRDefault="001E5143" w:rsidP="001E5143">
      <w:pPr>
        <w:widowControl w:val="0"/>
        <w:ind w:left="1440"/>
        <w:rPr>
          <w:rFonts w:ascii="Arial" w:hAnsi="Arial" w:cs="Arial"/>
          <w:sz w:val="22"/>
        </w:rPr>
      </w:pPr>
    </w:p>
    <w:p w:rsidR="001E5143" w:rsidRPr="00B30232" w:rsidRDefault="001E5143" w:rsidP="00660499">
      <w:pPr>
        <w:keepNext/>
        <w:widowControl w:val="0"/>
        <w:numPr>
          <w:ilvl w:val="0"/>
          <w:numId w:val="1"/>
        </w:numPr>
        <w:rPr>
          <w:rFonts w:ascii="Arial" w:hAnsi="Arial" w:cs="Arial"/>
          <w:sz w:val="22"/>
        </w:rPr>
      </w:pPr>
      <w:r w:rsidRPr="00B30232">
        <w:rPr>
          <w:rFonts w:ascii="Arial" w:hAnsi="Arial" w:cs="Arial"/>
          <w:sz w:val="22"/>
          <w:u w:val="single"/>
        </w:rPr>
        <w:t>Effort to Reduce Small Business Burden</w:t>
      </w:r>
    </w:p>
    <w:p w:rsidR="001E5143" w:rsidRPr="00B30232" w:rsidRDefault="001E5143" w:rsidP="00660499">
      <w:pPr>
        <w:keepNext/>
        <w:widowControl w:val="0"/>
        <w:rPr>
          <w:rFonts w:ascii="Arial" w:hAnsi="Arial" w:cs="Arial"/>
          <w:sz w:val="22"/>
        </w:rPr>
      </w:pPr>
    </w:p>
    <w:p w:rsidR="00077BFE" w:rsidRPr="00B30232" w:rsidRDefault="00610724" w:rsidP="00660499">
      <w:pPr>
        <w:keepNext/>
        <w:widowControl w:val="0"/>
        <w:ind w:left="1440"/>
        <w:rPr>
          <w:rFonts w:ascii="Arial" w:hAnsi="Arial" w:cs="Arial"/>
          <w:sz w:val="22"/>
        </w:rPr>
      </w:pPr>
      <w:r w:rsidRPr="00B30232">
        <w:rPr>
          <w:rFonts w:ascii="Arial" w:hAnsi="Arial" w:cs="Arial"/>
          <w:sz w:val="22"/>
        </w:rPr>
        <w:t>None of the licensees meet the criteria of small business.</w:t>
      </w:r>
      <w:r w:rsidR="001E5143" w:rsidRPr="00B30232">
        <w:rPr>
          <w:rFonts w:ascii="Arial" w:hAnsi="Arial" w:cs="Arial"/>
          <w:sz w:val="22"/>
        </w:rPr>
        <w:t xml:space="preserve">  </w:t>
      </w:r>
      <w:r w:rsidRPr="00B30232">
        <w:rPr>
          <w:rFonts w:ascii="Arial" w:hAnsi="Arial" w:cs="Arial"/>
          <w:sz w:val="22"/>
        </w:rPr>
        <w:t>In addition</w:t>
      </w:r>
      <w:r w:rsidR="001E5143" w:rsidRPr="00B30232">
        <w:rPr>
          <w:rFonts w:ascii="Arial" w:hAnsi="Arial" w:cs="Arial"/>
          <w:sz w:val="22"/>
        </w:rPr>
        <w:t>, since the total number of applicants is expected to be small and the information needs are the same for both large and small entities, it is not possible to reduce the burden on small businesses by less frequent or less complete reporting or recordkeeping procedures</w:t>
      </w:r>
      <w:r w:rsidRPr="00B30232">
        <w:rPr>
          <w:rFonts w:ascii="Arial" w:hAnsi="Arial" w:cs="Arial"/>
          <w:sz w:val="22"/>
        </w:rPr>
        <w:t>.</w:t>
      </w:r>
    </w:p>
    <w:p w:rsidR="001E5143" w:rsidRPr="00B30232" w:rsidRDefault="001E5143" w:rsidP="001E5143">
      <w:pPr>
        <w:widowControl w:val="0"/>
        <w:rPr>
          <w:rFonts w:ascii="Arial" w:hAnsi="Arial" w:cs="Arial"/>
          <w:sz w:val="22"/>
        </w:rPr>
      </w:pPr>
    </w:p>
    <w:p w:rsidR="001E5143" w:rsidRPr="00B30232" w:rsidRDefault="001E5143" w:rsidP="001E5143">
      <w:pPr>
        <w:keepNext/>
        <w:keepLines/>
        <w:widowControl w:val="0"/>
        <w:numPr>
          <w:ilvl w:val="0"/>
          <w:numId w:val="1"/>
        </w:numPr>
        <w:rPr>
          <w:rFonts w:ascii="Arial" w:hAnsi="Arial" w:cs="Arial"/>
          <w:sz w:val="22"/>
        </w:rPr>
      </w:pPr>
      <w:r w:rsidRPr="00B30232">
        <w:rPr>
          <w:rFonts w:ascii="Arial" w:hAnsi="Arial" w:cs="Arial"/>
          <w:sz w:val="22"/>
          <w:u w:val="single"/>
        </w:rPr>
        <w:t>Consequences to Federal Program or Policy Activities if the Collection is Not Conducted or is Conducted Less Frequently</w:t>
      </w:r>
    </w:p>
    <w:p w:rsidR="001E5143" w:rsidRPr="00B30232" w:rsidRDefault="001E5143" w:rsidP="001E5143">
      <w:pPr>
        <w:keepNext/>
        <w:keepLines/>
        <w:widowControl w:val="0"/>
        <w:rPr>
          <w:rFonts w:ascii="Arial" w:hAnsi="Arial" w:cs="Arial"/>
          <w:sz w:val="22"/>
        </w:rPr>
      </w:pPr>
    </w:p>
    <w:p w:rsidR="001E5143" w:rsidRPr="00B30232" w:rsidRDefault="00CF20EE" w:rsidP="00CF20EE">
      <w:pPr>
        <w:widowControl w:val="0"/>
        <w:ind w:left="1440"/>
        <w:rPr>
          <w:rFonts w:ascii="Arial" w:hAnsi="Arial" w:cs="Arial"/>
          <w:sz w:val="22"/>
        </w:rPr>
      </w:pPr>
      <w:r w:rsidRPr="00B30232">
        <w:rPr>
          <w:rFonts w:ascii="Arial" w:hAnsi="Arial" w:cs="Arial"/>
          <w:sz w:val="22"/>
        </w:rPr>
        <w:t>I</w:t>
      </w:r>
      <w:r w:rsidR="00610724" w:rsidRPr="00B30232">
        <w:rPr>
          <w:rFonts w:ascii="Arial" w:hAnsi="Arial" w:cs="Arial"/>
          <w:sz w:val="22"/>
        </w:rPr>
        <w:t xml:space="preserve">f the NRC </w:t>
      </w:r>
      <w:r w:rsidR="00F25160" w:rsidRPr="00B30232">
        <w:rPr>
          <w:rFonts w:ascii="Arial" w:hAnsi="Arial" w:cs="Arial"/>
          <w:sz w:val="22"/>
        </w:rPr>
        <w:t xml:space="preserve">does </w:t>
      </w:r>
      <w:r w:rsidR="00610724" w:rsidRPr="00B30232">
        <w:rPr>
          <w:rFonts w:ascii="Arial" w:hAnsi="Arial" w:cs="Arial"/>
          <w:sz w:val="22"/>
        </w:rPr>
        <w:t xml:space="preserve">not modify </w:t>
      </w:r>
      <w:r w:rsidR="00E51C7A" w:rsidRPr="00B30232">
        <w:rPr>
          <w:rFonts w:ascii="Arial" w:hAnsi="Arial" w:cs="Arial"/>
          <w:sz w:val="22"/>
        </w:rPr>
        <w:t>10 CFR </w:t>
      </w:r>
      <w:r w:rsidR="00610724" w:rsidRPr="00B30232">
        <w:rPr>
          <w:rFonts w:ascii="Arial" w:hAnsi="Arial" w:cs="Arial"/>
          <w:sz w:val="22"/>
        </w:rPr>
        <w:t>Part </w:t>
      </w:r>
      <w:r w:rsidRPr="00B30232">
        <w:rPr>
          <w:rFonts w:ascii="Arial" w:hAnsi="Arial" w:cs="Arial"/>
          <w:sz w:val="22"/>
        </w:rPr>
        <w:t xml:space="preserve">61, </w:t>
      </w:r>
      <w:r w:rsidR="004428D0" w:rsidRPr="00B30232">
        <w:rPr>
          <w:rFonts w:ascii="Arial" w:hAnsi="Arial" w:cs="Arial"/>
          <w:sz w:val="22"/>
        </w:rPr>
        <w:t xml:space="preserve">no </w:t>
      </w:r>
      <w:r w:rsidR="001B2E84" w:rsidRPr="00B30232">
        <w:rPr>
          <w:rFonts w:ascii="Arial" w:hAnsi="Arial" w:cs="Arial"/>
          <w:sz w:val="22"/>
        </w:rPr>
        <w:t xml:space="preserve">compliance </w:t>
      </w:r>
      <w:r w:rsidR="004428D0" w:rsidRPr="00B30232">
        <w:rPr>
          <w:rFonts w:ascii="Arial" w:hAnsi="Arial" w:cs="Arial"/>
          <w:sz w:val="22"/>
        </w:rPr>
        <w:t xml:space="preserve">period </w:t>
      </w:r>
      <w:r w:rsidR="00F759CC" w:rsidRPr="00B30232">
        <w:rPr>
          <w:rFonts w:ascii="Arial" w:hAnsi="Arial" w:cs="Arial"/>
          <w:sz w:val="22"/>
        </w:rPr>
        <w:t xml:space="preserve">and protective assurance period </w:t>
      </w:r>
      <w:r w:rsidR="004428D0" w:rsidRPr="00B30232">
        <w:rPr>
          <w:rFonts w:ascii="Arial" w:hAnsi="Arial" w:cs="Arial"/>
          <w:sz w:val="22"/>
        </w:rPr>
        <w:t xml:space="preserve">analyses would be required, </w:t>
      </w:r>
      <w:r w:rsidR="00C235C8" w:rsidRPr="00B30232">
        <w:rPr>
          <w:rFonts w:ascii="Arial" w:hAnsi="Arial" w:cs="Arial"/>
          <w:sz w:val="22"/>
        </w:rPr>
        <w:t xml:space="preserve">no defense-in-depth analysis would be required, </w:t>
      </w:r>
      <w:r w:rsidR="004428D0" w:rsidRPr="00B30232">
        <w:rPr>
          <w:rFonts w:ascii="Arial" w:hAnsi="Arial" w:cs="Arial"/>
          <w:sz w:val="22"/>
        </w:rPr>
        <w:t>no period of performance would be specified,</w:t>
      </w:r>
      <w:r w:rsidR="00C235C8" w:rsidRPr="00B30232">
        <w:rPr>
          <w:rFonts w:ascii="Arial" w:hAnsi="Arial" w:cs="Arial"/>
          <w:sz w:val="22"/>
        </w:rPr>
        <w:t xml:space="preserve"> no performance period </w:t>
      </w:r>
      <w:r w:rsidR="00AB4FC0" w:rsidRPr="00B30232">
        <w:rPr>
          <w:rFonts w:ascii="Arial" w:hAnsi="Arial" w:cs="Arial"/>
          <w:sz w:val="22"/>
        </w:rPr>
        <w:t xml:space="preserve">analysis </w:t>
      </w:r>
      <w:r w:rsidR="00C235C8" w:rsidRPr="00B30232">
        <w:rPr>
          <w:rFonts w:ascii="Arial" w:hAnsi="Arial" w:cs="Arial"/>
          <w:sz w:val="22"/>
        </w:rPr>
        <w:t>would be required,</w:t>
      </w:r>
      <w:r w:rsidR="004428D0" w:rsidRPr="00B30232">
        <w:rPr>
          <w:rFonts w:ascii="Arial" w:hAnsi="Arial" w:cs="Arial"/>
          <w:sz w:val="22"/>
        </w:rPr>
        <w:t xml:space="preserve"> no intruder assessment would be required, and development of </w:t>
      </w:r>
      <w:r w:rsidR="00067E52" w:rsidRPr="00B30232">
        <w:rPr>
          <w:rFonts w:ascii="Arial" w:hAnsi="Arial" w:cs="Arial"/>
          <w:sz w:val="22"/>
        </w:rPr>
        <w:t xml:space="preserve">LLRW </w:t>
      </w:r>
      <w:r w:rsidR="004428D0" w:rsidRPr="00B30232">
        <w:rPr>
          <w:rFonts w:ascii="Arial" w:hAnsi="Arial" w:cs="Arial"/>
          <w:sz w:val="22"/>
        </w:rPr>
        <w:t xml:space="preserve">acceptance plan would not be required.  Although the NRC believes that 10 CFR </w:t>
      </w:r>
      <w:r w:rsidR="00067E52" w:rsidRPr="00B30232">
        <w:rPr>
          <w:rFonts w:ascii="Arial" w:hAnsi="Arial" w:cs="Arial"/>
          <w:sz w:val="22"/>
        </w:rPr>
        <w:t>P</w:t>
      </w:r>
      <w:r w:rsidR="004428D0" w:rsidRPr="00B30232">
        <w:rPr>
          <w:rFonts w:ascii="Arial" w:hAnsi="Arial" w:cs="Arial"/>
          <w:sz w:val="22"/>
        </w:rPr>
        <w:t xml:space="preserve">art 61 is adequate to protect public health and safety, requiring new and revised site-specific technical analyses to demonstrate compliance with the </w:t>
      </w:r>
      <w:r w:rsidR="00067E52" w:rsidRPr="00B30232">
        <w:rPr>
          <w:rFonts w:ascii="Arial" w:hAnsi="Arial" w:cs="Arial"/>
          <w:sz w:val="22"/>
        </w:rPr>
        <w:t>S</w:t>
      </w:r>
      <w:r w:rsidR="004428D0" w:rsidRPr="00B30232">
        <w:rPr>
          <w:rFonts w:ascii="Arial" w:hAnsi="Arial" w:cs="Arial"/>
          <w:sz w:val="22"/>
        </w:rPr>
        <w:t xml:space="preserve">ubpart C performance objectives and develop criteria for </w:t>
      </w:r>
      <w:r w:rsidR="00067E52" w:rsidRPr="00B30232">
        <w:rPr>
          <w:rFonts w:ascii="Arial" w:hAnsi="Arial" w:cs="Arial"/>
          <w:sz w:val="22"/>
        </w:rPr>
        <w:t xml:space="preserve">LLRW </w:t>
      </w:r>
      <w:r w:rsidR="004428D0" w:rsidRPr="00B30232">
        <w:rPr>
          <w:rFonts w:ascii="Arial" w:hAnsi="Arial" w:cs="Arial"/>
          <w:sz w:val="22"/>
        </w:rPr>
        <w:t>acceptance, based on the results of these analyses, would enhance the safe disposal of LLRW and would provide added assurance that LLRW streams not considered in the original 10</w:t>
      </w:r>
      <w:r w:rsidR="00067E52" w:rsidRPr="00B30232">
        <w:rPr>
          <w:rFonts w:ascii="Arial" w:hAnsi="Arial" w:cs="Arial"/>
          <w:sz w:val="22"/>
        </w:rPr>
        <w:t> </w:t>
      </w:r>
      <w:r w:rsidR="004428D0" w:rsidRPr="00B30232">
        <w:rPr>
          <w:rFonts w:ascii="Arial" w:hAnsi="Arial" w:cs="Arial"/>
          <w:sz w:val="22"/>
        </w:rPr>
        <w:t xml:space="preserve">CFR </w:t>
      </w:r>
      <w:r w:rsidR="00894CEE" w:rsidRPr="00B30232">
        <w:rPr>
          <w:rFonts w:ascii="Arial" w:hAnsi="Arial" w:cs="Arial"/>
          <w:sz w:val="22"/>
        </w:rPr>
        <w:t>P</w:t>
      </w:r>
      <w:r w:rsidR="004428D0" w:rsidRPr="00B30232">
        <w:rPr>
          <w:rFonts w:ascii="Arial" w:hAnsi="Arial" w:cs="Arial"/>
          <w:sz w:val="22"/>
        </w:rPr>
        <w:t xml:space="preserve">art 61 regulatory basis comply with the </w:t>
      </w:r>
      <w:r w:rsidR="00067E52" w:rsidRPr="00B30232">
        <w:rPr>
          <w:rFonts w:ascii="Arial" w:hAnsi="Arial" w:cs="Arial"/>
          <w:sz w:val="22"/>
        </w:rPr>
        <w:t>S</w:t>
      </w:r>
      <w:r w:rsidR="004428D0" w:rsidRPr="00B30232">
        <w:rPr>
          <w:rFonts w:ascii="Arial" w:hAnsi="Arial" w:cs="Arial"/>
          <w:sz w:val="22"/>
        </w:rPr>
        <w:t>ubpart C performance objectives.  Further, these analyses would identify any additional measures that would be prudent to implement, and these amendments would facilitate implementation and better align the requirements with current health and safety standards.  Not taking the proposed action would not provide the added assurance that disposal of the LLRW streams not considered in the original 10</w:t>
      </w:r>
      <w:r w:rsidR="00067E52" w:rsidRPr="00B30232">
        <w:rPr>
          <w:rFonts w:ascii="Arial" w:hAnsi="Arial" w:cs="Arial"/>
          <w:sz w:val="22"/>
        </w:rPr>
        <w:t> </w:t>
      </w:r>
      <w:r w:rsidR="004428D0" w:rsidRPr="00B30232">
        <w:rPr>
          <w:rFonts w:ascii="Arial" w:hAnsi="Arial" w:cs="Arial"/>
          <w:sz w:val="22"/>
        </w:rPr>
        <w:t xml:space="preserve">CFR </w:t>
      </w:r>
      <w:r w:rsidR="00894CEE" w:rsidRPr="00B30232">
        <w:rPr>
          <w:rFonts w:ascii="Arial" w:hAnsi="Arial" w:cs="Arial"/>
          <w:sz w:val="22"/>
        </w:rPr>
        <w:t>P</w:t>
      </w:r>
      <w:r w:rsidR="004428D0" w:rsidRPr="00B30232">
        <w:rPr>
          <w:rFonts w:ascii="Arial" w:hAnsi="Arial" w:cs="Arial"/>
          <w:sz w:val="22"/>
        </w:rPr>
        <w:t xml:space="preserve">art 61 regulatory basis comply with the </w:t>
      </w:r>
      <w:r w:rsidR="00067E52" w:rsidRPr="00B30232">
        <w:rPr>
          <w:rFonts w:ascii="Arial" w:hAnsi="Arial" w:cs="Arial"/>
          <w:sz w:val="22"/>
        </w:rPr>
        <w:t>S</w:t>
      </w:r>
      <w:r w:rsidR="004428D0" w:rsidRPr="00B30232">
        <w:rPr>
          <w:rFonts w:ascii="Arial" w:hAnsi="Arial" w:cs="Arial"/>
          <w:sz w:val="22"/>
        </w:rPr>
        <w:t xml:space="preserve">ubpart C performance objectives.  </w:t>
      </w:r>
      <w:r w:rsidR="0044299B" w:rsidRPr="00B30232">
        <w:rPr>
          <w:rFonts w:ascii="Arial" w:hAnsi="Arial" w:cs="Arial"/>
          <w:sz w:val="22"/>
        </w:rPr>
        <w:t>The NRC is already conducting information collecting at a minimum frequency (i.e., application renewal and application for facility closure).</w:t>
      </w:r>
    </w:p>
    <w:p w:rsidR="00CF20EE" w:rsidRPr="00B30232" w:rsidRDefault="00CF20EE" w:rsidP="00CF20EE">
      <w:pPr>
        <w:widowControl w:val="0"/>
        <w:ind w:left="144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 xml:space="preserve">Circumstances Which Justify Variation from OMB Guidelines </w:t>
      </w:r>
    </w:p>
    <w:p w:rsidR="001E5143" w:rsidRPr="00B30232" w:rsidRDefault="001E5143" w:rsidP="001E5143">
      <w:pPr>
        <w:widowControl w:val="0"/>
        <w:rPr>
          <w:rFonts w:ascii="Arial" w:hAnsi="Arial" w:cs="Arial"/>
          <w:sz w:val="22"/>
        </w:rPr>
      </w:pPr>
    </w:p>
    <w:p w:rsidR="001E5143" w:rsidRPr="00B30232" w:rsidRDefault="00AC2E73" w:rsidP="001E5143">
      <w:pPr>
        <w:widowControl w:val="0"/>
        <w:ind w:left="1440"/>
        <w:rPr>
          <w:rFonts w:ascii="Arial" w:hAnsi="Arial" w:cs="Arial"/>
          <w:sz w:val="22"/>
        </w:rPr>
      </w:pPr>
      <w:r w:rsidRPr="00B30232">
        <w:rPr>
          <w:rFonts w:ascii="Arial" w:hAnsi="Arial" w:cs="Arial"/>
          <w:sz w:val="22"/>
        </w:rPr>
        <w:t>None</w:t>
      </w:r>
    </w:p>
    <w:p w:rsidR="00AC2E73" w:rsidRPr="00B30232" w:rsidRDefault="00AC2E73" w:rsidP="001E5143">
      <w:pPr>
        <w:widowControl w:val="0"/>
        <w:ind w:left="144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Consultations Outside the NRC</w:t>
      </w:r>
    </w:p>
    <w:p w:rsidR="001E5143" w:rsidRPr="00B30232" w:rsidRDefault="001E5143" w:rsidP="001E5143">
      <w:pPr>
        <w:widowControl w:val="0"/>
        <w:rPr>
          <w:rFonts w:ascii="Arial" w:hAnsi="Arial" w:cs="Arial"/>
          <w:sz w:val="22"/>
        </w:rPr>
      </w:pPr>
    </w:p>
    <w:p w:rsidR="008464BA" w:rsidRPr="00B30232" w:rsidRDefault="008464BA" w:rsidP="008464BA">
      <w:pPr>
        <w:widowControl w:val="0"/>
        <w:ind w:left="1440"/>
        <w:rPr>
          <w:rFonts w:ascii="Arial" w:hAnsi="Arial" w:cs="Arial"/>
          <w:sz w:val="22"/>
        </w:rPr>
      </w:pPr>
      <w:r w:rsidRPr="00B30232">
        <w:rPr>
          <w:rFonts w:ascii="Arial" w:hAnsi="Arial" w:cs="Arial"/>
          <w:sz w:val="22"/>
        </w:rPr>
        <w:t xml:space="preserve">On May 3, 2011, the NRC published preliminary proposed rule language and an associated regulatory basis document on http://www.regulations.gov for early public comment (76 FR 24831).  In conjunction with the publication of the preliminary documents, the staff conducted a public meeting on May 18, 2011, in Rockville, MD, to discuss the preliminary proposed rule language and its associated regulatory basis documents.  </w:t>
      </w:r>
      <w:r w:rsidR="00894CEE" w:rsidRPr="00B30232">
        <w:rPr>
          <w:rFonts w:ascii="Arial" w:hAnsi="Arial" w:cs="Arial"/>
          <w:sz w:val="22"/>
        </w:rPr>
        <w:t>Since then</w:t>
      </w:r>
      <w:r w:rsidR="00067E52" w:rsidRPr="00B30232">
        <w:rPr>
          <w:rFonts w:ascii="Arial" w:hAnsi="Arial" w:cs="Arial"/>
          <w:sz w:val="22"/>
        </w:rPr>
        <w:t xml:space="preserve"> an</w:t>
      </w:r>
      <w:r w:rsidR="00894CEE" w:rsidRPr="00B30232">
        <w:rPr>
          <w:rFonts w:ascii="Arial" w:hAnsi="Arial" w:cs="Arial"/>
          <w:sz w:val="22"/>
        </w:rPr>
        <w:t>d</w:t>
      </w:r>
      <w:r w:rsidR="00067E52" w:rsidRPr="00B30232">
        <w:rPr>
          <w:rFonts w:ascii="Arial" w:hAnsi="Arial" w:cs="Arial"/>
          <w:sz w:val="22"/>
        </w:rPr>
        <w:t xml:space="preserve"> b</w:t>
      </w:r>
      <w:r w:rsidR="004428D0" w:rsidRPr="00B30232">
        <w:rPr>
          <w:rFonts w:ascii="Arial" w:hAnsi="Arial" w:cs="Arial"/>
          <w:sz w:val="22"/>
        </w:rPr>
        <w:t xml:space="preserve">ased on the Commission’s direction in a Staff Requirements Memorandum to COMWDM-11-0002/COMGEA-11-0002 (ADAMS accession number ML120190360), the NRC revised the regulatory basis document associated with this rulemaking and developed a second (November 2012) version of the preliminary rule language.   On December 7, 2012, the staff published the November 2012 preliminary rule language on http://www.regulations.gov, under Docket ID NRC-2011-0012, for public comment (76 FR 24831).  </w:t>
      </w:r>
    </w:p>
    <w:p w:rsidR="008464BA" w:rsidRPr="00B30232" w:rsidRDefault="008464BA" w:rsidP="008464BA">
      <w:pPr>
        <w:widowControl w:val="0"/>
        <w:ind w:left="1440"/>
        <w:rPr>
          <w:rFonts w:ascii="Arial" w:hAnsi="Arial" w:cs="Arial"/>
          <w:sz w:val="22"/>
        </w:rPr>
      </w:pPr>
    </w:p>
    <w:p w:rsidR="00660499" w:rsidRDefault="00660499" w:rsidP="008464BA">
      <w:pPr>
        <w:widowControl w:val="0"/>
        <w:ind w:left="1440"/>
        <w:rPr>
          <w:rFonts w:ascii="Arial" w:hAnsi="Arial" w:cs="Arial"/>
          <w:sz w:val="22"/>
        </w:rPr>
      </w:pPr>
    </w:p>
    <w:p w:rsidR="008464BA" w:rsidRPr="00B30232" w:rsidRDefault="008464BA" w:rsidP="008464BA">
      <w:pPr>
        <w:widowControl w:val="0"/>
        <w:ind w:left="1440"/>
        <w:rPr>
          <w:rFonts w:ascii="Arial" w:hAnsi="Arial" w:cs="Arial"/>
          <w:sz w:val="22"/>
        </w:rPr>
      </w:pPr>
      <w:r w:rsidRPr="00B30232">
        <w:rPr>
          <w:rFonts w:ascii="Arial" w:hAnsi="Arial" w:cs="Arial"/>
          <w:sz w:val="22"/>
        </w:rPr>
        <w:t xml:space="preserve">The NRC staff also briefed the Advisory Committee on Reactor Safeguards (ACRS), Radiation Protection and Nuclear Materials Subcommittee, on June 23 and August 17, and then the Full Committee on July 13 and September 8, 2011.  The ACRS provided additional comments, which the staff also considered in the development of the proposed rule. </w:t>
      </w:r>
      <w:r w:rsidR="007B2CCD" w:rsidRPr="00B30232">
        <w:rPr>
          <w:rFonts w:ascii="Arial" w:hAnsi="Arial" w:cs="Arial"/>
          <w:sz w:val="22"/>
        </w:rPr>
        <w:t xml:space="preserve"> The NRC staff again briefed the ACRS, Radiation Protection and Nuclear Materials Subcommittee, on April 9</w:t>
      </w:r>
      <w:r w:rsidR="00AA5E4A" w:rsidRPr="00B30232">
        <w:rPr>
          <w:rFonts w:ascii="Arial" w:hAnsi="Arial" w:cs="Arial"/>
          <w:sz w:val="22"/>
        </w:rPr>
        <w:t>, 2013,</w:t>
      </w:r>
      <w:r w:rsidR="007B2CCD" w:rsidRPr="00B30232">
        <w:rPr>
          <w:rFonts w:ascii="Arial" w:hAnsi="Arial" w:cs="Arial"/>
          <w:sz w:val="22"/>
        </w:rPr>
        <w:t xml:space="preserve"> and the full committee on July </w:t>
      </w:r>
      <w:r w:rsidR="00AA5E4A" w:rsidRPr="00B30232">
        <w:rPr>
          <w:rFonts w:ascii="Arial" w:hAnsi="Arial" w:cs="Arial"/>
          <w:sz w:val="22"/>
        </w:rPr>
        <w:t>10</w:t>
      </w:r>
      <w:r w:rsidR="007B2CCD" w:rsidRPr="00B30232">
        <w:rPr>
          <w:rFonts w:ascii="Arial" w:hAnsi="Arial" w:cs="Arial"/>
          <w:sz w:val="22"/>
        </w:rPr>
        <w:t xml:space="preserve">, 2013.  </w:t>
      </w:r>
    </w:p>
    <w:p w:rsidR="008464BA" w:rsidRPr="00B30232" w:rsidRDefault="008464BA" w:rsidP="008464BA">
      <w:pPr>
        <w:widowControl w:val="0"/>
        <w:ind w:left="1440"/>
        <w:rPr>
          <w:rFonts w:ascii="Arial" w:hAnsi="Arial" w:cs="Arial"/>
          <w:sz w:val="22"/>
        </w:rPr>
      </w:pPr>
    </w:p>
    <w:p w:rsidR="001E5143" w:rsidRPr="00B30232" w:rsidRDefault="001E5143" w:rsidP="001E5143">
      <w:pPr>
        <w:widowControl w:val="0"/>
        <w:ind w:left="1440"/>
        <w:rPr>
          <w:rFonts w:ascii="Arial" w:hAnsi="Arial" w:cs="Arial"/>
          <w:sz w:val="22"/>
        </w:rPr>
      </w:pPr>
      <w:r w:rsidRPr="00B30232">
        <w:rPr>
          <w:rFonts w:ascii="Arial" w:hAnsi="Arial" w:cs="Arial"/>
          <w:sz w:val="22"/>
        </w:rPr>
        <w:t xml:space="preserve">Opportunity for public comment on the information collection requirements for this </w:t>
      </w:r>
      <w:r w:rsidR="00CF20EE" w:rsidRPr="00B30232">
        <w:rPr>
          <w:rFonts w:ascii="Arial" w:hAnsi="Arial" w:cs="Arial"/>
          <w:sz w:val="22"/>
        </w:rPr>
        <w:t>proposed rule has been published</w:t>
      </w:r>
      <w:r w:rsidR="002B36E8" w:rsidRPr="00B30232">
        <w:rPr>
          <w:rFonts w:ascii="Arial" w:hAnsi="Arial" w:cs="Arial"/>
          <w:sz w:val="22"/>
        </w:rPr>
        <w:t xml:space="preserve"> in the </w:t>
      </w:r>
      <w:r w:rsidR="002B36E8" w:rsidRPr="00B30232">
        <w:rPr>
          <w:rFonts w:ascii="Arial" w:hAnsi="Arial" w:cs="Arial"/>
          <w:i/>
          <w:sz w:val="22"/>
        </w:rPr>
        <w:t>Federal Register</w:t>
      </w:r>
      <w:r w:rsidR="00CF20EE" w:rsidRPr="00B30232">
        <w:rPr>
          <w:rFonts w:ascii="Arial" w:hAnsi="Arial" w:cs="Arial"/>
          <w:sz w:val="22"/>
        </w:rPr>
        <w:t>.</w:t>
      </w:r>
    </w:p>
    <w:p w:rsidR="001E5143" w:rsidRPr="00B30232" w:rsidRDefault="001E5143" w:rsidP="001E5143">
      <w:pPr>
        <w:widowControl w:val="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Payment or Gift to Respondents</w:t>
      </w:r>
    </w:p>
    <w:p w:rsidR="001E5143" w:rsidRPr="00B30232" w:rsidRDefault="001E5143" w:rsidP="001E5143">
      <w:pPr>
        <w:widowControl w:val="0"/>
        <w:rPr>
          <w:rFonts w:ascii="Arial" w:hAnsi="Arial" w:cs="Arial"/>
          <w:sz w:val="22"/>
        </w:rPr>
      </w:pPr>
    </w:p>
    <w:p w:rsidR="001E5143" w:rsidRPr="00B30232" w:rsidRDefault="001E5143" w:rsidP="001E5143">
      <w:pPr>
        <w:widowControl w:val="0"/>
        <w:ind w:left="720"/>
        <w:rPr>
          <w:rFonts w:ascii="Arial" w:hAnsi="Arial" w:cs="Arial"/>
          <w:sz w:val="22"/>
        </w:rPr>
      </w:pPr>
      <w:r w:rsidRPr="00B30232">
        <w:rPr>
          <w:rFonts w:ascii="Arial" w:hAnsi="Arial" w:cs="Arial"/>
          <w:sz w:val="22"/>
        </w:rPr>
        <w:tab/>
        <w:t>Not applicable.</w:t>
      </w:r>
    </w:p>
    <w:p w:rsidR="001E5143" w:rsidRPr="00B30232" w:rsidRDefault="001E5143" w:rsidP="001E5143">
      <w:pPr>
        <w:widowControl w:val="0"/>
        <w:ind w:left="72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Confidentiality of Information</w:t>
      </w:r>
    </w:p>
    <w:p w:rsidR="001E5143" w:rsidRPr="00B30232" w:rsidRDefault="001E5143" w:rsidP="001E5143">
      <w:pPr>
        <w:widowControl w:val="0"/>
        <w:rPr>
          <w:rFonts w:ascii="Arial" w:hAnsi="Arial" w:cs="Arial"/>
          <w:sz w:val="22"/>
        </w:rPr>
      </w:pPr>
    </w:p>
    <w:p w:rsidR="001E5143" w:rsidRPr="00B30232" w:rsidRDefault="001E5143" w:rsidP="001E5143">
      <w:pPr>
        <w:widowControl w:val="0"/>
        <w:ind w:left="1440"/>
        <w:rPr>
          <w:rFonts w:ascii="Arial" w:hAnsi="Arial" w:cs="Arial"/>
          <w:sz w:val="22"/>
        </w:rPr>
      </w:pPr>
      <w:r w:rsidRPr="00B30232">
        <w:rPr>
          <w:rFonts w:ascii="Arial" w:hAnsi="Arial" w:cs="Arial"/>
          <w:sz w:val="22"/>
        </w:rPr>
        <w:t>Confidential and proprietary information is protected in accordance with NRC regulations at 10 CFR 9.17(a) and 10 CFR 2.390(b).</w:t>
      </w:r>
      <w:r w:rsidR="00CF20EE" w:rsidRPr="00B30232">
        <w:rPr>
          <w:rFonts w:ascii="Arial" w:hAnsi="Arial" w:cs="Arial"/>
          <w:sz w:val="22"/>
        </w:rPr>
        <w:t xml:space="preserve">  However, no confidential or proprietary information will be requested.</w:t>
      </w:r>
    </w:p>
    <w:p w:rsidR="001E5143" w:rsidRPr="00B30232" w:rsidRDefault="001E5143" w:rsidP="001E5143">
      <w:pPr>
        <w:widowControl w:val="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Justification for Sensitive Questions</w:t>
      </w:r>
    </w:p>
    <w:p w:rsidR="001E5143" w:rsidRPr="00B30232" w:rsidRDefault="001E5143" w:rsidP="001E5143">
      <w:pPr>
        <w:widowControl w:val="0"/>
        <w:rPr>
          <w:rFonts w:ascii="Arial" w:hAnsi="Arial" w:cs="Arial"/>
          <w:sz w:val="22"/>
        </w:rPr>
      </w:pPr>
    </w:p>
    <w:p w:rsidR="001E5143" w:rsidRPr="00B30232" w:rsidRDefault="001E5143" w:rsidP="001E5143">
      <w:pPr>
        <w:widowControl w:val="0"/>
        <w:ind w:left="720"/>
        <w:rPr>
          <w:rFonts w:ascii="Arial" w:hAnsi="Arial" w:cs="Arial"/>
          <w:sz w:val="22"/>
        </w:rPr>
      </w:pPr>
      <w:r w:rsidRPr="00B30232">
        <w:rPr>
          <w:rFonts w:ascii="Arial" w:hAnsi="Arial" w:cs="Arial"/>
          <w:sz w:val="22"/>
        </w:rPr>
        <w:tab/>
        <w:t>None.</w:t>
      </w:r>
    </w:p>
    <w:p w:rsidR="00335230" w:rsidRPr="00B30232" w:rsidRDefault="00335230" w:rsidP="00335230">
      <w:pPr>
        <w:widowControl w:val="0"/>
        <w:ind w:left="144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Estimated Burden and Burden Hour Cost</w:t>
      </w:r>
      <w:r w:rsidRPr="00B30232">
        <w:rPr>
          <w:rFonts w:ascii="Arial" w:hAnsi="Arial" w:cs="Arial"/>
          <w:sz w:val="22"/>
        </w:rPr>
        <w:t xml:space="preserve"> </w:t>
      </w:r>
    </w:p>
    <w:p w:rsidR="001E5143" w:rsidRPr="00B30232" w:rsidRDefault="001E5143" w:rsidP="001E5143">
      <w:pPr>
        <w:widowControl w:val="0"/>
        <w:rPr>
          <w:rFonts w:ascii="Arial" w:hAnsi="Arial" w:cs="Arial"/>
          <w:sz w:val="22"/>
        </w:rPr>
      </w:pPr>
    </w:p>
    <w:p w:rsidR="006856C0" w:rsidRPr="00B30232" w:rsidRDefault="001E5143" w:rsidP="001E5143">
      <w:pPr>
        <w:widowControl w:val="0"/>
        <w:ind w:left="1440"/>
        <w:rPr>
          <w:rFonts w:ascii="Arial" w:hAnsi="Arial" w:cs="Arial"/>
          <w:sz w:val="22"/>
        </w:rPr>
      </w:pPr>
      <w:r w:rsidRPr="00B30232">
        <w:rPr>
          <w:rFonts w:ascii="Arial" w:hAnsi="Arial" w:cs="Arial"/>
          <w:sz w:val="22"/>
        </w:rPr>
        <w:t xml:space="preserve">There are four </w:t>
      </w:r>
      <w:r w:rsidR="00610724" w:rsidRPr="00B30232">
        <w:rPr>
          <w:rFonts w:ascii="Arial" w:hAnsi="Arial" w:cs="Arial"/>
          <w:sz w:val="22"/>
        </w:rPr>
        <w:t>LLRW</w:t>
      </w:r>
      <w:r w:rsidRPr="00B30232">
        <w:rPr>
          <w:rFonts w:ascii="Arial" w:hAnsi="Arial" w:cs="Arial"/>
          <w:sz w:val="22"/>
        </w:rPr>
        <w:t xml:space="preserve"> disposal facility licenses that have been issued by the Agreement State</w:t>
      </w:r>
      <w:r w:rsidR="00067E52" w:rsidRPr="00B30232">
        <w:rPr>
          <w:rFonts w:ascii="Arial" w:hAnsi="Arial" w:cs="Arial"/>
          <w:sz w:val="22"/>
        </w:rPr>
        <w:t xml:space="preserve">s </w:t>
      </w:r>
      <w:r w:rsidRPr="00B30232">
        <w:rPr>
          <w:rFonts w:ascii="Arial" w:hAnsi="Arial" w:cs="Arial"/>
          <w:sz w:val="22"/>
        </w:rPr>
        <w:t xml:space="preserve">and are </w:t>
      </w:r>
      <w:r w:rsidR="00DE3176" w:rsidRPr="00B30232">
        <w:rPr>
          <w:rFonts w:ascii="Arial" w:hAnsi="Arial" w:cs="Arial"/>
          <w:sz w:val="22"/>
        </w:rPr>
        <w:t xml:space="preserve">currently </w:t>
      </w:r>
      <w:r w:rsidRPr="00B30232">
        <w:rPr>
          <w:rFonts w:ascii="Arial" w:hAnsi="Arial" w:cs="Arial"/>
          <w:sz w:val="22"/>
        </w:rPr>
        <w:t xml:space="preserve">in effect (in </w:t>
      </w:r>
      <w:r w:rsidR="00FE4C84" w:rsidRPr="00B30232">
        <w:rPr>
          <w:rFonts w:ascii="Arial" w:hAnsi="Arial" w:cs="Arial"/>
          <w:sz w:val="22"/>
        </w:rPr>
        <w:t>Utah</w:t>
      </w:r>
      <w:r w:rsidRPr="00B30232">
        <w:rPr>
          <w:rFonts w:ascii="Arial" w:hAnsi="Arial" w:cs="Arial"/>
          <w:sz w:val="22"/>
        </w:rPr>
        <w:t xml:space="preserve">, </w:t>
      </w:r>
      <w:r w:rsidR="00FE4C84" w:rsidRPr="00B30232">
        <w:rPr>
          <w:rFonts w:ascii="Arial" w:hAnsi="Arial" w:cs="Arial"/>
          <w:sz w:val="22"/>
        </w:rPr>
        <w:t>Washington</w:t>
      </w:r>
      <w:r w:rsidRPr="00B30232">
        <w:rPr>
          <w:rFonts w:ascii="Arial" w:hAnsi="Arial" w:cs="Arial"/>
          <w:sz w:val="22"/>
        </w:rPr>
        <w:t xml:space="preserve">, </w:t>
      </w:r>
      <w:r w:rsidR="00FE4C84" w:rsidRPr="00B30232">
        <w:rPr>
          <w:rFonts w:ascii="Arial" w:hAnsi="Arial" w:cs="Arial"/>
          <w:sz w:val="22"/>
        </w:rPr>
        <w:t>Texas</w:t>
      </w:r>
      <w:r w:rsidRPr="00B30232">
        <w:rPr>
          <w:rFonts w:ascii="Arial" w:hAnsi="Arial" w:cs="Arial"/>
          <w:sz w:val="22"/>
        </w:rPr>
        <w:t xml:space="preserve">, and </w:t>
      </w:r>
      <w:r w:rsidR="00FE4C84" w:rsidRPr="00B30232">
        <w:rPr>
          <w:rFonts w:ascii="Arial" w:hAnsi="Arial" w:cs="Arial"/>
          <w:sz w:val="22"/>
        </w:rPr>
        <w:t>South Carolina</w:t>
      </w:r>
      <w:r w:rsidRPr="00B30232">
        <w:rPr>
          <w:rFonts w:ascii="Arial" w:hAnsi="Arial" w:cs="Arial"/>
          <w:sz w:val="22"/>
        </w:rPr>
        <w:t xml:space="preserve">).  </w:t>
      </w:r>
      <w:r w:rsidR="006856C0" w:rsidRPr="00B30232">
        <w:rPr>
          <w:rFonts w:ascii="Arial" w:hAnsi="Arial" w:cs="Arial"/>
          <w:sz w:val="22"/>
        </w:rPr>
        <w:t xml:space="preserve">The four existing licensees </w:t>
      </w:r>
      <w:r w:rsidR="00FE4C84" w:rsidRPr="00B30232">
        <w:rPr>
          <w:rFonts w:ascii="Arial" w:hAnsi="Arial" w:cs="Arial"/>
          <w:sz w:val="22"/>
        </w:rPr>
        <w:t xml:space="preserve">are </w:t>
      </w:r>
      <w:r w:rsidR="006856C0" w:rsidRPr="00B30232">
        <w:rPr>
          <w:rFonts w:ascii="Arial" w:hAnsi="Arial" w:cs="Arial"/>
          <w:sz w:val="22"/>
        </w:rPr>
        <w:t xml:space="preserve">currently </w:t>
      </w:r>
      <w:r w:rsidR="00FE4C84" w:rsidRPr="00B30232">
        <w:rPr>
          <w:rFonts w:ascii="Arial" w:hAnsi="Arial" w:cs="Arial"/>
          <w:sz w:val="22"/>
        </w:rPr>
        <w:t xml:space="preserve">accepting long-lived </w:t>
      </w:r>
      <w:r w:rsidR="00067E52" w:rsidRPr="00B30232">
        <w:rPr>
          <w:rFonts w:ascii="Arial" w:hAnsi="Arial" w:cs="Arial"/>
          <w:sz w:val="22"/>
        </w:rPr>
        <w:t xml:space="preserve">LLRW </w:t>
      </w:r>
      <w:r w:rsidR="00FE4C84" w:rsidRPr="00B30232">
        <w:rPr>
          <w:rFonts w:ascii="Arial" w:hAnsi="Arial" w:cs="Arial"/>
          <w:sz w:val="22"/>
        </w:rPr>
        <w:t xml:space="preserve">(e.g., depleted uranium) </w:t>
      </w:r>
      <w:r w:rsidR="00AA2CE2">
        <w:rPr>
          <w:rFonts w:ascii="Arial" w:hAnsi="Arial" w:cs="Arial"/>
          <w:sz w:val="22"/>
        </w:rPr>
        <w:t>but only two facilities</w:t>
      </w:r>
      <w:r w:rsidR="007A36CD" w:rsidRPr="00B30232">
        <w:rPr>
          <w:rFonts w:ascii="Arial" w:hAnsi="Arial" w:cs="Arial"/>
          <w:sz w:val="22"/>
        </w:rPr>
        <w:t xml:space="preserve"> </w:t>
      </w:r>
      <w:r w:rsidR="00FE4C84" w:rsidRPr="00B30232">
        <w:rPr>
          <w:rFonts w:ascii="Arial" w:hAnsi="Arial" w:cs="Arial"/>
          <w:sz w:val="22"/>
        </w:rPr>
        <w:t xml:space="preserve">are </w:t>
      </w:r>
      <w:r w:rsidR="00AA2CE2">
        <w:rPr>
          <w:rFonts w:ascii="Arial" w:hAnsi="Arial" w:cs="Arial"/>
          <w:sz w:val="22"/>
        </w:rPr>
        <w:t>expected</w:t>
      </w:r>
      <w:r w:rsidR="00AA2CE2" w:rsidRPr="00B30232">
        <w:rPr>
          <w:rFonts w:ascii="Arial" w:hAnsi="Arial" w:cs="Arial"/>
          <w:sz w:val="22"/>
        </w:rPr>
        <w:t xml:space="preserve"> </w:t>
      </w:r>
      <w:r w:rsidR="00FE4C84" w:rsidRPr="00B30232">
        <w:rPr>
          <w:rFonts w:ascii="Arial" w:hAnsi="Arial" w:cs="Arial"/>
          <w:sz w:val="22"/>
        </w:rPr>
        <w:t xml:space="preserve">to continue to do so in the future.  </w:t>
      </w:r>
      <w:r w:rsidR="00AA2CE2">
        <w:rPr>
          <w:rFonts w:ascii="Arial" w:hAnsi="Arial" w:cs="Arial"/>
          <w:sz w:val="22"/>
        </w:rPr>
        <w:t>If all four facilities continued to accept long-lived waste, the costs related to the performance period analysis would increase.</w:t>
      </w:r>
    </w:p>
    <w:p w:rsidR="00AA6AE5" w:rsidRPr="00B30232" w:rsidRDefault="00AA6AE5" w:rsidP="001E5143">
      <w:pPr>
        <w:widowControl w:val="0"/>
        <w:ind w:left="1440"/>
        <w:rPr>
          <w:rFonts w:ascii="Arial" w:hAnsi="Arial" w:cs="Arial"/>
          <w:sz w:val="22"/>
        </w:rPr>
      </w:pPr>
    </w:p>
    <w:p w:rsidR="00DE3176" w:rsidRDefault="00851377" w:rsidP="001E5143">
      <w:pPr>
        <w:widowControl w:val="0"/>
        <w:ind w:left="1440"/>
        <w:rPr>
          <w:rFonts w:ascii="Arial" w:hAnsi="Arial" w:cs="Arial"/>
          <w:sz w:val="22"/>
          <w:szCs w:val="22"/>
        </w:rPr>
      </w:pPr>
      <w:r w:rsidRPr="00B30232">
        <w:rPr>
          <w:rFonts w:ascii="Arial" w:hAnsi="Arial" w:cs="Arial"/>
          <w:sz w:val="22"/>
          <w:szCs w:val="22"/>
        </w:rPr>
        <w:t xml:space="preserve">If the NRC would modify </w:t>
      </w:r>
      <w:r w:rsidR="00E51C7A" w:rsidRPr="00B30232">
        <w:rPr>
          <w:rFonts w:ascii="Arial" w:hAnsi="Arial" w:cs="Arial"/>
          <w:sz w:val="22"/>
          <w:szCs w:val="22"/>
        </w:rPr>
        <w:t>10 CFR </w:t>
      </w:r>
      <w:r w:rsidRPr="00B30232">
        <w:rPr>
          <w:rFonts w:ascii="Arial" w:hAnsi="Arial" w:cs="Arial"/>
          <w:sz w:val="22"/>
          <w:szCs w:val="22"/>
        </w:rPr>
        <w:t>Part </w:t>
      </w:r>
      <w:r w:rsidR="006E7B41" w:rsidRPr="00B30232">
        <w:rPr>
          <w:rFonts w:ascii="Arial" w:hAnsi="Arial" w:cs="Arial"/>
          <w:sz w:val="22"/>
          <w:szCs w:val="22"/>
        </w:rPr>
        <w:t>61, the four existing</w:t>
      </w:r>
      <w:r w:rsidRPr="00B30232">
        <w:rPr>
          <w:rFonts w:ascii="Arial" w:hAnsi="Arial" w:cs="Arial"/>
          <w:sz w:val="22"/>
          <w:szCs w:val="22"/>
        </w:rPr>
        <w:t xml:space="preserve"> </w:t>
      </w:r>
      <w:r w:rsidR="006E7B41" w:rsidRPr="00B30232">
        <w:rPr>
          <w:rFonts w:ascii="Arial" w:hAnsi="Arial" w:cs="Arial"/>
          <w:sz w:val="22"/>
          <w:szCs w:val="22"/>
        </w:rPr>
        <w:t>lic</w:t>
      </w:r>
      <w:r w:rsidRPr="00B30232">
        <w:rPr>
          <w:rFonts w:ascii="Arial" w:hAnsi="Arial" w:cs="Arial"/>
          <w:sz w:val="22"/>
          <w:szCs w:val="22"/>
        </w:rPr>
        <w:t>en</w:t>
      </w:r>
      <w:r w:rsidR="006E7B41" w:rsidRPr="00B30232">
        <w:rPr>
          <w:rFonts w:ascii="Arial" w:hAnsi="Arial" w:cs="Arial"/>
          <w:sz w:val="22"/>
          <w:szCs w:val="22"/>
        </w:rPr>
        <w:t xml:space="preserve">sees </w:t>
      </w:r>
      <w:r w:rsidRPr="00B30232">
        <w:rPr>
          <w:rFonts w:ascii="Arial" w:hAnsi="Arial" w:cs="Arial"/>
          <w:sz w:val="22"/>
          <w:szCs w:val="22"/>
        </w:rPr>
        <w:t>would be required to</w:t>
      </w:r>
      <w:r w:rsidR="00DE3176" w:rsidRPr="00B30232">
        <w:rPr>
          <w:rFonts w:ascii="Arial" w:hAnsi="Arial" w:cs="Arial"/>
          <w:sz w:val="22"/>
          <w:szCs w:val="22"/>
        </w:rPr>
        <w:t xml:space="preserve"> conduct each of the following analyses only once during their operation cycle</w:t>
      </w:r>
      <w:r w:rsidR="00B30232">
        <w:rPr>
          <w:rFonts w:ascii="Arial" w:hAnsi="Arial" w:cs="Arial"/>
          <w:sz w:val="22"/>
          <w:szCs w:val="22"/>
        </w:rPr>
        <w:t>:</w:t>
      </w:r>
    </w:p>
    <w:p w:rsidR="00B30232" w:rsidRPr="00B30232" w:rsidRDefault="00B30232" w:rsidP="001E5143">
      <w:pPr>
        <w:widowControl w:val="0"/>
        <w:ind w:left="1440"/>
        <w:rPr>
          <w:rFonts w:ascii="Arial" w:hAnsi="Arial" w:cs="Arial"/>
          <w:sz w:val="22"/>
          <w:szCs w:val="22"/>
        </w:rPr>
      </w:pPr>
    </w:p>
    <w:p w:rsidR="00DE3176" w:rsidRPr="00B30232" w:rsidRDefault="00DE3176" w:rsidP="00DE3176">
      <w:pPr>
        <w:pStyle w:val="ListParagraph"/>
        <w:widowControl w:val="0"/>
        <w:numPr>
          <w:ilvl w:val="0"/>
          <w:numId w:val="11"/>
        </w:numPr>
        <w:rPr>
          <w:rFonts w:ascii="Arial" w:hAnsi="Arial" w:cs="Arial"/>
          <w:sz w:val="22"/>
          <w:szCs w:val="22"/>
        </w:rPr>
      </w:pPr>
      <w:r w:rsidRPr="00B30232">
        <w:rPr>
          <w:rFonts w:ascii="Arial" w:hAnsi="Arial" w:cs="Arial"/>
          <w:sz w:val="22"/>
          <w:szCs w:val="22"/>
        </w:rPr>
        <w:t>I</w:t>
      </w:r>
      <w:r w:rsidR="00851377" w:rsidRPr="00B30232">
        <w:rPr>
          <w:rFonts w:ascii="Arial" w:hAnsi="Arial" w:cs="Arial"/>
          <w:sz w:val="22"/>
          <w:szCs w:val="22"/>
        </w:rPr>
        <w:t>nitial</w:t>
      </w:r>
      <w:r w:rsidR="006B42C1" w:rsidRPr="00B30232">
        <w:rPr>
          <w:rFonts w:ascii="Arial" w:hAnsi="Arial" w:cs="Arial"/>
          <w:sz w:val="22"/>
          <w:szCs w:val="22"/>
        </w:rPr>
        <w:t xml:space="preserve"> </w:t>
      </w:r>
      <w:r w:rsidR="00E51C7A" w:rsidRPr="00B30232">
        <w:rPr>
          <w:rFonts w:ascii="Arial" w:hAnsi="Arial" w:cs="Arial"/>
          <w:sz w:val="22"/>
          <w:szCs w:val="22"/>
        </w:rPr>
        <w:t>comp</w:t>
      </w:r>
      <w:r w:rsidR="00067E52" w:rsidRPr="00B30232">
        <w:rPr>
          <w:rFonts w:ascii="Arial" w:hAnsi="Arial" w:cs="Arial"/>
          <w:sz w:val="22"/>
          <w:szCs w:val="22"/>
        </w:rPr>
        <w:t>l</w:t>
      </w:r>
      <w:r w:rsidR="00E51C7A" w:rsidRPr="00B30232">
        <w:rPr>
          <w:rFonts w:ascii="Arial" w:hAnsi="Arial" w:cs="Arial"/>
          <w:sz w:val="22"/>
          <w:szCs w:val="22"/>
        </w:rPr>
        <w:t>iance period</w:t>
      </w:r>
      <w:r w:rsidR="00EC2214" w:rsidRPr="00B30232">
        <w:rPr>
          <w:rFonts w:ascii="Arial" w:hAnsi="Arial" w:cs="Arial"/>
          <w:sz w:val="22"/>
          <w:szCs w:val="22"/>
        </w:rPr>
        <w:t>, protective assurance period,</w:t>
      </w:r>
      <w:r w:rsidR="00851377" w:rsidRPr="00B30232">
        <w:rPr>
          <w:rFonts w:ascii="Arial" w:hAnsi="Arial" w:cs="Arial"/>
          <w:sz w:val="22"/>
          <w:szCs w:val="22"/>
        </w:rPr>
        <w:t xml:space="preserve"> and </w:t>
      </w:r>
      <w:r w:rsidR="00E51C7A" w:rsidRPr="00B30232">
        <w:rPr>
          <w:rFonts w:ascii="Arial" w:hAnsi="Arial" w:cs="Arial"/>
          <w:sz w:val="22"/>
          <w:szCs w:val="22"/>
        </w:rPr>
        <w:t>performance period</w:t>
      </w:r>
      <w:r w:rsidR="00851377" w:rsidRPr="00B30232">
        <w:rPr>
          <w:rFonts w:ascii="Arial" w:hAnsi="Arial" w:cs="Arial"/>
          <w:sz w:val="22"/>
          <w:szCs w:val="22"/>
        </w:rPr>
        <w:t xml:space="preserve"> site</w:t>
      </w:r>
      <w:r w:rsidR="00E51C7A" w:rsidRPr="00B30232">
        <w:rPr>
          <w:rFonts w:ascii="Arial" w:hAnsi="Arial" w:cs="Arial"/>
          <w:sz w:val="22"/>
          <w:szCs w:val="22"/>
        </w:rPr>
        <w:t>-</w:t>
      </w:r>
      <w:r w:rsidR="00851377" w:rsidRPr="00B30232">
        <w:rPr>
          <w:rFonts w:ascii="Arial" w:hAnsi="Arial" w:cs="Arial"/>
          <w:sz w:val="22"/>
          <w:szCs w:val="22"/>
        </w:rPr>
        <w:t xml:space="preserve">specific </w:t>
      </w:r>
      <w:r w:rsidR="007B2CCD" w:rsidRPr="00B30232">
        <w:rPr>
          <w:rFonts w:ascii="Arial" w:hAnsi="Arial" w:cs="Arial"/>
          <w:sz w:val="22"/>
          <w:szCs w:val="22"/>
        </w:rPr>
        <w:t xml:space="preserve">technical </w:t>
      </w:r>
      <w:r w:rsidR="00851377" w:rsidRPr="00B30232">
        <w:rPr>
          <w:rFonts w:ascii="Arial" w:hAnsi="Arial" w:cs="Arial"/>
          <w:sz w:val="22"/>
          <w:szCs w:val="22"/>
        </w:rPr>
        <w:t>analyse</w:t>
      </w:r>
      <w:r w:rsidR="006B42C1" w:rsidRPr="00B30232">
        <w:rPr>
          <w:rFonts w:ascii="Arial" w:hAnsi="Arial" w:cs="Arial"/>
          <w:sz w:val="22"/>
          <w:szCs w:val="22"/>
        </w:rPr>
        <w:t xml:space="preserve">s, as required by </w:t>
      </w:r>
      <w:r w:rsidR="00E51C7A" w:rsidRPr="00B30232">
        <w:rPr>
          <w:rFonts w:ascii="Arial" w:hAnsi="Arial" w:cs="Arial"/>
          <w:sz w:val="22"/>
          <w:szCs w:val="22"/>
        </w:rPr>
        <w:t>10 CFR </w:t>
      </w:r>
      <w:r w:rsidR="006B42C1" w:rsidRPr="00B30232">
        <w:rPr>
          <w:rFonts w:ascii="Arial" w:hAnsi="Arial" w:cs="Arial"/>
          <w:sz w:val="22"/>
          <w:szCs w:val="22"/>
        </w:rPr>
        <w:t>61.41, 61.42, and 61.13(e)</w:t>
      </w:r>
      <w:r w:rsidR="00BD29B1" w:rsidRPr="00B30232">
        <w:rPr>
          <w:rFonts w:ascii="Arial" w:hAnsi="Arial" w:cs="Arial"/>
          <w:sz w:val="22"/>
          <w:szCs w:val="22"/>
        </w:rPr>
        <w:t>, and develop an initial LLRW acceptance plan</w:t>
      </w:r>
      <w:r w:rsidR="006B42C1" w:rsidRPr="00B30232">
        <w:rPr>
          <w:rFonts w:ascii="Arial" w:hAnsi="Arial" w:cs="Arial"/>
          <w:sz w:val="22"/>
          <w:szCs w:val="22"/>
        </w:rPr>
        <w:t>.</w:t>
      </w:r>
      <w:r w:rsidRPr="00B30232">
        <w:rPr>
          <w:rFonts w:ascii="Arial" w:hAnsi="Arial" w:cs="Arial"/>
          <w:sz w:val="22"/>
          <w:szCs w:val="22"/>
        </w:rPr>
        <w:t xml:space="preserve">  </w:t>
      </w:r>
    </w:p>
    <w:p w:rsidR="00DE3176" w:rsidRPr="00B30232" w:rsidRDefault="00DE3176" w:rsidP="00DE3176">
      <w:pPr>
        <w:pStyle w:val="ListParagraph"/>
        <w:widowControl w:val="0"/>
        <w:numPr>
          <w:ilvl w:val="0"/>
          <w:numId w:val="11"/>
        </w:numPr>
        <w:rPr>
          <w:rFonts w:ascii="Arial" w:hAnsi="Arial" w:cs="Arial"/>
          <w:sz w:val="22"/>
          <w:szCs w:val="22"/>
        </w:rPr>
      </w:pPr>
      <w:r w:rsidRPr="00B30232">
        <w:rPr>
          <w:rFonts w:ascii="Arial" w:hAnsi="Arial" w:cs="Arial"/>
          <w:sz w:val="22"/>
          <w:szCs w:val="22"/>
        </w:rPr>
        <w:t>U</w:t>
      </w:r>
      <w:r w:rsidR="00DB1EFD" w:rsidRPr="00B30232">
        <w:rPr>
          <w:rFonts w:ascii="Arial" w:hAnsi="Arial" w:cs="Arial"/>
          <w:sz w:val="22"/>
          <w:szCs w:val="22"/>
        </w:rPr>
        <w:t xml:space="preserve">pdated </w:t>
      </w:r>
      <w:r w:rsidR="00E51C7A" w:rsidRPr="00B30232">
        <w:rPr>
          <w:rFonts w:ascii="Arial" w:hAnsi="Arial" w:cs="Arial"/>
          <w:sz w:val="22"/>
          <w:szCs w:val="22"/>
        </w:rPr>
        <w:t>compliance period</w:t>
      </w:r>
      <w:r w:rsidR="00EC2214" w:rsidRPr="00B30232">
        <w:rPr>
          <w:rFonts w:ascii="Arial" w:hAnsi="Arial" w:cs="Arial"/>
          <w:sz w:val="22"/>
          <w:szCs w:val="22"/>
        </w:rPr>
        <w:t>, protective assurance period,</w:t>
      </w:r>
      <w:r w:rsidR="00E51C7A" w:rsidRPr="00B30232">
        <w:rPr>
          <w:rFonts w:ascii="Arial" w:hAnsi="Arial" w:cs="Arial"/>
          <w:sz w:val="22"/>
          <w:szCs w:val="22"/>
        </w:rPr>
        <w:t xml:space="preserve"> and performance period</w:t>
      </w:r>
      <w:r w:rsidR="00DB1EFD" w:rsidRPr="00B30232">
        <w:rPr>
          <w:rFonts w:ascii="Arial" w:hAnsi="Arial" w:cs="Arial"/>
          <w:sz w:val="22"/>
          <w:szCs w:val="22"/>
        </w:rPr>
        <w:t xml:space="preserve"> site</w:t>
      </w:r>
      <w:r w:rsidR="00E51C7A" w:rsidRPr="00B30232">
        <w:rPr>
          <w:rFonts w:ascii="Arial" w:hAnsi="Arial" w:cs="Arial"/>
          <w:sz w:val="22"/>
          <w:szCs w:val="22"/>
        </w:rPr>
        <w:t>-</w:t>
      </w:r>
      <w:r w:rsidR="00DB1EFD" w:rsidRPr="00B30232">
        <w:rPr>
          <w:rFonts w:ascii="Arial" w:hAnsi="Arial" w:cs="Arial"/>
          <w:sz w:val="22"/>
          <w:szCs w:val="22"/>
        </w:rPr>
        <w:t xml:space="preserve">specific </w:t>
      </w:r>
      <w:r w:rsidR="007B2CCD" w:rsidRPr="00B30232">
        <w:rPr>
          <w:rFonts w:ascii="Arial" w:hAnsi="Arial" w:cs="Arial"/>
          <w:sz w:val="22"/>
          <w:szCs w:val="22"/>
        </w:rPr>
        <w:t xml:space="preserve">technical </w:t>
      </w:r>
      <w:r w:rsidR="00DB1EFD" w:rsidRPr="00B30232">
        <w:rPr>
          <w:rFonts w:ascii="Arial" w:hAnsi="Arial" w:cs="Arial"/>
          <w:sz w:val="22"/>
          <w:szCs w:val="22"/>
        </w:rPr>
        <w:t xml:space="preserve">analyses during the facility operational period, also required by </w:t>
      </w:r>
      <w:r w:rsidR="00E51C7A" w:rsidRPr="00B30232">
        <w:rPr>
          <w:rFonts w:ascii="Arial" w:hAnsi="Arial" w:cs="Arial"/>
          <w:sz w:val="22"/>
          <w:szCs w:val="22"/>
        </w:rPr>
        <w:t>10</w:t>
      </w:r>
      <w:r w:rsidR="00894CEE" w:rsidRPr="00B30232">
        <w:rPr>
          <w:rFonts w:ascii="Arial" w:hAnsi="Arial" w:cs="Arial"/>
          <w:sz w:val="22"/>
          <w:szCs w:val="22"/>
        </w:rPr>
        <w:t> </w:t>
      </w:r>
      <w:r w:rsidR="00E51C7A" w:rsidRPr="00B30232">
        <w:rPr>
          <w:rFonts w:ascii="Arial" w:hAnsi="Arial" w:cs="Arial"/>
          <w:sz w:val="22"/>
          <w:szCs w:val="22"/>
        </w:rPr>
        <w:t>CFR </w:t>
      </w:r>
      <w:r w:rsidR="00DB1EFD" w:rsidRPr="00B30232">
        <w:rPr>
          <w:rFonts w:ascii="Arial" w:hAnsi="Arial" w:cs="Arial"/>
          <w:sz w:val="22"/>
          <w:szCs w:val="22"/>
        </w:rPr>
        <w:t>61.41, 61.42, and 61.13(e)</w:t>
      </w:r>
      <w:r w:rsidR="005E5438" w:rsidRPr="00B30232">
        <w:rPr>
          <w:rFonts w:ascii="Arial" w:hAnsi="Arial" w:cs="Arial"/>
          <w:sz w:val="22"/>
          <w:szCs w:val="22"/>
        </w:rPr>
        <w:t>.</w:t>
      </w:r>
    </w:p>
    <w:p w:rsidR="004D59E0" w:rsidRPr="00B30232" w:rsidRDefault="00DE3176" w:rsidP="00DE3176">
      <w:pPr>
        <w:pStyle w:val="ListParagraph"/>
        <w:widowControl w:val="0"/>
        <w:numPr>
          <w:ilvl w:val="0"/>
          <w:numId w:val="11"/>
        </w:numPr>
        <w:rPr>
          <w:rFonts w:ascii="Arial" w:hAnsi="Arial" w:cs="Arial"/>
          <w:sz w:val="22"/>
          <w:szCs w:val="22"/>
        </w:rPr>
      </w:pPr>
      <w:r w:rsidRPr="00B30232">
        <w:rPr>
          <w:rFonts w:ascii="Arial" w:hAnsi="Arial" w:cs="Arial"/>
          <w:sz w:val="22"/>
          <w:szCs w:val="22"/>
        </w:rPr>
        <w:t>U</w:t>
      </w:r>
      <w:r w:rsidR="006B42C1" w:rsidRPr="00B30232">
        <w:rPr>
          <w:rFonts w:ascii="Arial" w:hAnsi="Arial" w:cs="Arial"/>
          <w:sz w:val="22"/>
          <w:szCs w:val="22"/>
        </w:rPr>
        <w:t xml:space="preserve">pdated </w:t>
      </w:r>
      <w:r w:rsidR="00E51C7A" w:rsidRPr="00B30232">
        <w:rPr>
          <w:rFonts w:ascii="Arial" w:hAnsi="Arial" w:cs="Arial"/>
          <w:sz w:val="22"/>
          <w:szCs w:val="22"/>
        </w:rPr>
        <w:t>compliance perio</w:t>
      </w:r>
      <w:r w:rsidR="007B2CCD" w:rsidRPr="00B30232">
        <w:rPr>
          <w:rFonts w:ascii="Arial" w:hAnsi="Arial" w:cs="Arial"/>
          <w:sz w:val="22"/>
          <w:szCs w:val="22"/>
        </w:rPr>
        <w:t>d</w:t>
      </w:r>
      <w:r w:rsidR="005806C4" w:rsidRPr="00B30232">
        <w:rPr>
          <w:rFonts w:ascii="Arial" w:hAnsi="Arial" w:cs="Arial"/>
          <w:sz w:val="22"/>
          <w:szCs w:val="22"/>
        </w:rPr>
        <w:t>, protective assurance period,</w:t>
      </w:r>
      <w:r w:rsidR="00E51C7A" w:rsidRPr="00B30232">
        <w:rPr>
          <w:rFonts w:ascii="Arial" w:hAnsi="Arial" w:cs="Arial"/>
          <w:sz w:val="22"/>
          <w:szCs w:val="22"/>
        </w:rPr>
        <w:t xml:space="preserve"> and performance period </w:t>
      </w:r>
      <w:r w:rsidR="006B42C1" w:rsidRPr="00B30232">
        <w:rPr>
          <w:rFonts w:ascii="Arial" w:hAnsi="Arial" w:cs="Arial"/>
          <w:sz w:val="22"/>
          <w:szCs w:val="22"/>
        </w:rPr>
        <w:t xml:space="preserve">site-specific </w:t>
      </w:r>
      <w:r w:rsidR="007B2CCD" w:rsidRPr="00B30232">
        <w:rPr>
          <w:rFonts w:ascii="Arial" w:hAnsi="Arial" w:cs="Arial"/>
          <w:sz w:val="22"/>
          <w:szCs w:val="22"/>
        </w:rPr>
        <w:t xml:space="preserve">technical </w:t>
      </w:r>
      <w:r w:rsidR="006B42C1" w:rsidRPr="00B30232">
        <w:rPr>
          <w:rFonts w:ascii="Arial" w:hAnsi="Arial" w:cs="Arial"/>
          <w:sz w:val="22"/>
          <w:szCs w:val="22"/>
        </w:rPr>
        <w:t>analyses during facility closure as required by</w:t>
      </w:r>
      <w:r w:rsidR="00E51C7A" w:rsidRPr="00B30232">
        <w:rPr>
          <w:rFonts w:ascii="Arial" w:hAnsi="Arial" w:cs="Arial"/>
          <w:sz w:val="22"/>
          <w:szCs w:val="22"/>
        </w:rPr>
        <w:t xml:space="preserve"> 10 CFR </w:t>
      </w:r>
      <w:r w:rsidR="00B6590C" w:rsidRPr="00B30232">
        <w:rPr>
          <w:rFonts w:ascii="Arial" w:hAnsi="Arial" w:cs="Arial"/>
          <w:sz w:val="22"/>
          <w:szCs w:val="22"/>
        </w:rPr>
        <w:t xml:space="preserve">61.28.  </w:t>
      </w:r>
    </w:p>
    <w:p w:rsidR="00067E52" w:rsidRPr="00B30232" w:rsidRDefault="00067E52" w:rsidP="001E5143">
      <w:pPr>
        <w:widowControl w:val="0"/>
        <w:ind w:left="1440"/>
        <w:rPr>
          <w:rFonts w:ascii="Arial" w:hAnsi="Arial" w:cs="Arial"/>
          <w:sz w:val="22"/>
          <w:szCs w:val="22"/>
        </w:rPr>
      </w:pPr>
    </w:p>
    <w:p w:rsidR="004D59E0" w:rsidRPr="00B30232" w:rsidRDefault="004C5F66" w:rsidP="001E5143">
      <w:pPr>
        <w:widowControl w:val="0"/>
        <w:ind w:left="1440"/>
        <w:rPr>
          <w:rFonts w:ascii="Arial" w:hAnsi="Arial" w:cs="Arial"/>
          <w:sz w:val="22"/>
          <w:szCs w:val="22"/>
        </w:rPr>
      </w:pPr>
      <w:r w:rsidRPr="00B30232">
        <w:rPr>
          <w:rFonts w:ascii="Arial" w:hAnsi="Arial" w:cs="Arial"/>
          <w:sz w:val="22"/>
          <w:szCs w:val="22"/>
        </w:rPr>
        <w:t xml:space="preserve">The burden of conducting the updated </w:t>
      </w:r>
      <w:r w:rsidR="00A92B1E" w:rsidRPr="00B30232">
        <w:rPr>
          <w:rFonts w:ascii="Arial" w:hAnsi="Arial" w:cs="Arial"/>
          <w:sz w:val="22"/>
          <w:szCs w:val="22"/>
        </w:rPr>
        <w:t>compliance period</w:t>
      </w:r>
      <w:r w:rsidR="006A2716" w:rsidRPr="00B30232">
        <w:rPr>
          <w:rFonts w:ascii="Arial" w:hAnsi="Arial" w:cs="Arial"/>
          <w:sz w:val="22"/>
          <w:szCs w:val="22"/>
        </w:rPr>
        <w:t>, protective assurance period,</w:t>
      </w:r>
      <w:r w:rsidR="00A92B1E" w:rsidRPr="00B30232">
        <w:rPr>
          <w:rFonts w:ascii="Arial" w:hAnsi="Arial" w:cs="Arial"/>
          <w:sz w:val="22"/>
          <w:szCs w:val="22"/>
        </w:rPr>
        <w:t xml:space="preserve"> and performance period site-specific </w:t>
      </w:r>
      <w:r w:rsidR="00BD29B1" w:rsidRPr="00B30232">
        <w:rPr>
          <w:rFonts w:ascii="Arial" w:hAnsi="Arial" w:cs="Arial"/>
          <w:sz w:val="22"/>
          <w:szCs w:val="22"/>
        </w:rPr>
        <w:t xml:space="preserve">technical </w:t>
      </w:r>
      <w:r w:rsidR="00A92B1E" w:rsidRPr="00B30232">
        <w:rPr>
          <w:rFonts w:ascii="Arial" w:hAnsi="Arial" w:cs="Arial"/>
          <w:sz w:val="22"/>
          <w:szCs w:val="22"/>
        </w:rPr>
        <w:t xml:space="preserve">analyses, and </w:t>
      </w:r>
      <w:r w:rsidR="00BD29B1" w:rsidRPr="00B30232">
        <w:rPr>
          <w:rFonts w:ascii="Arial" w:hAnsi="Arial" w:cs="Arial"/>
          <w:sz w:val="22"/>
          <w:szCs w:val="22"/>
        </w:rPr>
        <w:t>LLRW</w:t>
      </w:r>
      <w:r w:rsidR="00A92B1E" w:rsidRPr="00B30232">
        <w:rPr>
          <w:rFonts w:ascii="Arial" w:hAnsi="Arial" w:cs="Arial"/>
          <w:sz w:val="22"/>
          <w:szCs w:val="22"/>
        </w:rPr>
        <w:t xml:space="preserve"> acceptance plan, </w:t>
      </w:r>
      <w:r w:rsidRPr="00B30232">
        <w:rPr>
          <w:rFonts w:ascii="Arial" w:hAnsi="Arial" w:cs="Arial"/>
          <w:sz w:val="22"/>
          <w:szCs w:val="22"/>
        </w:rPr>
        <w:t xml:space="preserve">during </w:t>
      </w:r>
      <w:r w:rsidR="007026EC" w:rsidRPr="00B30232">
        <w:rPr>
          <w:rFonts w:ascii="Arial" w:hAnsi="Arial" w:cs="Arial"/>
          <w:sz w:val="22"/>
          <w:szCs w:val="22"/>
        </w:rPr>
        <w:t xml:space="preserve">normal </w:t>
      </w:r>
      <w:r w:rsidRPr="00B30232">
        <w:rPr>
          <w:rFonts w:ascii="Arial" w:hAnsi="Arial" w:cs="Arial"/>
          <w:sz w:val="22"/>
          <w:szCs w:val="22"/>
        </w:rPr>
        <w:t>facility operation</w:t>
      </w:r>
      <w:r w:rsidR="00311032" w:rsidRPr="00B30232">
        <w:rPr>
          <w:rFonts w:ascii="Arial" w:hAnsi="Arial" w:cs="Arial"/>
          <w:sz w:val="22"/>
          <w:szCs w:val="22"/>
        </w:rPr>
        <w:t xml:space="preserve"> period</w:t>
      </w:r>
      <w:r w:rsidRPr="00B30232">
        <w:rPr>
          <w:rFonts w:ascii="Arial" w:hAnsi="Arial" w:cs="Arial"/>
          <w:sz w:val="22"/>
          <w:szCs w:val="22"/>
        </w:rPr>
        <w:t xml:space="preserve">, is estimated to be </w:t>
      </w:r>
      <w:r w:rsidR="00C235C8" w:rsidRPr="00B30232">
        <w:rPr>
          <w:rFonts w:ascii="Arial" w:hAnsi="Arial" w:cs="Arial"/>
          <w:sz w:val="22"/>
          <w:szCs w:val="22"/>
        </w:rPr>
        <w:t xml:space="preserve">40 </w:t>
      </w:r>
      <w:r w:rsidRPr="00B30232">
        <w:rPr>
          <w:rFonts w:ascii="Arial" w:hAnsi="Arial" w:cs="Arial"/>
          <w:sz w:val="22"/>
          <w:szCs w:val="22"/>
        </w:rPr>
        <w:lastRenderedPageBreak/>
        <w:t xml:space="preserve">percent of the burden of conducting the initial </w:t>
      </w:r>
      <w:r w:rsidR="00E51C7A" w:rsidRPr="00B30232">
        <w:rPr>
          <w:rFonts w:ascii="Arial" w:hAnsi="Arial" w:cs="Arial"/>
          <w:sz w:val="22"/>
          <w:szCs w:val="22"/>
        </w:rPr>
        <w:t xml:space="preserve">compliance </w:t>
      </w:r>
      <w:r w:rsidR="00A92B1E" w:rsidRPr="00B30232">
        <w:rPr>
          <w:rFonts w:ascii="Arial" w:hAnsi="Arial" w:cs="Arial"/>
          <w:sz w:val="22"/>
          <w:szCs w:val="22"/>
        </w:rPr>
        <w:t>period</w:t>
      </w:r>
      <w:r w:rsidR="006A2716" w:rsidRPr="00B30232">
        <w:rPr>
          <w:rFonts w:ascii="Arial" w:hAnsi="Arial" w:cs="Arial"/>
          <w:sz w:val="22"/>
          <w:szCs w:val="22"/>
        </w:rPr>
        <w:t>, protective assurance period,</w:t>
      </w:r>
      <w:r w:rsidR="00A92B1E" w:rsidRPr="00B30232">
        <w:rPr>
          <w:rFonts w:ascii="Arial" w:hAnsi="Arial" w:cs="Arial"/>
          <w:sz w:val="22"/>
          <w:szCs w:val="22"/>
        </w:rPr>
        <w:t xml:space="preserve"> and performance period site-specific </w:t>
      </w:r>
      <w:r w:rsidR="00BD29B1" w:rsidRPr="00B30232">
        <w:rPr>
          <w:rFonts w:ascii="Arial" w:hAnsi="Arial" w:cs="Arial"/>
          <w:sz w:val="22"/>
          <w:szCs w:val="22"/>
        </w:rPr>
        <w:t xml:space="preserve">technical </w:t>
      </w:r>
      <w:r w:rsidR="00A92B1E" w:rsidRPr="00B30232">
        <w:rPr>
          <w:rFonts w:ascii="Arial" w:hAnsi="Arial" w:cs="Arial"/>
          <w:sz w:val="22"/>
          <w:szCs w:val="22"/>
        </w:rPr>
        <w:t xml:space="preserve">analyses, and </w:t>
      </w:r>
      <w:r w:rsidR="00BD29B1" w:rsidRPr="00B30232">
        <w:rPr>
          <w:rFonts w:ascii="Arial" w:hAnsi="Arial" w:cs="Arial"/>
          <w:sz w:val="22"/>
          <w:szCs w:val="22"/>
        </w:rPr>
        <w:t>LLRW</w:t>
      </w:r>
      <w:r w:rsidR="00A92B1E" w:rsidRPr="00B30232">
        <w:rPr>
          <w:rFonts w:ascii="Arial" w:hAnsi="Arial" w:cs="Arial"/>
          <w:sz w:val="22"/>
          <w:szCs w:val="22"/>
        </w:rPr>
        <w:t xml:space="preserve"> acceptance plan.</w:t>
      </w:r>
      <w:r w:rsidRPr="00B30232">
        <w:rPr>
          <w:rFonts w:ascii="Arial" w:hAnsi="Arial" w:cs="Arial"/>
          <w:sz w:val="22"/>
          <w:szCs w:val="22"/>
        </w:rPr>
        <w:t xml:space="preserve">  The burden of conducting the updated </w:t>
      </w:r>
      <w:r w:rsidR="00A92B1E" w:rsidRPr="00B30232">
        <w:rPr>
          <w:rFonts w:ascii="Arial" w:hAnsi="Arial" w:cs="Arial"/>
          <w:sz w:val="22"/>
          <w:szCs w:val="22"/>
        </w:rPr>
        <w:t>compliance period</w:t>
      </w:r>
      <w:r w:rsidR="006A2716" w:rsidRPr="00B30232">
        <w:rPr>
          <w:rFonts w:ascii="Arial" w:hAnsi="Arial" w:cs="Arial"/>
          <w:sz w:val="22"/>
          <w:szCs w:val="22"/>
        </w:rPr>
        <w:t>, protective assurance period,</w:t>
      </w:r>
      <w:r w:rsidR="00A92B1E" w:rsidRPr="00B30232">
        <w:rPr>
          <w:rFonts w:ascii="Arial" w:hAnsi="Arial" w:cs="Arial"/>
          <w:sz w:val="22"/>
          <w:szCs w:val="22"/>
        </w:rPr>
        <w:t xml:space="preserve"> and performance period site-specific </w:t>
      </w:r>
      <w:r w:rsidR="00BD29B1" w:rsidRPr="00B30232">
        <w:rPr>
          <w:rFonts w:ascii="Arial" w:hAnsi="Arial" w:cs="Arial"/>
          <w:sz w:val="22"/>
          <w:szCs w:val="22"/>
        </w:rPr>
        <w:t xml:space="preserve">technical </w:t>
      </w:r>
      <w:r w:rsidR="00A92B1E" w:rsidRPr="00B30232">
        <w:rPr>
          <w:rFonts w:ascii="Arial" w:hAnsi="Arial" w:cs="Arial"/>
          <w:sz w:val="22"/>
          <w:szCs w:val="22"/>
        </w:rPr>
        <w:t xml:space="preserve">analyses, and </w:t>
      </w:r>
      <w:r w:rsidR="00BD29B1" w:rsidRPr="00B30232">
        <w:rPr>
          <w:rFonts w:ascii="Arial" w:hAnsi="Arial" w:cs="Arial"/>
          <w:sz w:val="22"/>
          <w:szCs w:val="22"/>
        </w:rPr>
        <w:t>LLRW</w:t>
      </w:r>
      <w:r w:rsidR="00A92B1E" w:rsidRPr="00B30232">
        <w:rPr>
          <w:rFonts w:ascii="Arial" w:hAnsi="Arial" w:cs="Arial"/>
          <w:sz w:val="22"/>
          <w:szCs w:val="22"/>
        </w:rPr>
        <w:t xml:space="preserve"> acceptance plan</w:t>
      </w:r>
      <w:r w:rsidRPr="00B30232">
        <w:rPr>
          <w:rFonts w:ascii="Arial" w:hAnsi="Arial" w:cs="Arial"/>
          <w:sz w:val="22"/>
          <w:szCs w:val="22"/>
        </w:rPr>
        <w:t xml:space="preserve">, during facility closure, is also estimated to be </w:t>
      </w:r>
      <w:r w:rsidR="00C235C8" w:rsidRPr="00B30232">
        <w:rPr>
          <w:rFonts w:ascii="Arial" w:hAnsi="Arial" w:cs="Arial"/>
          <w:sz w:val="22"/>
          <w:szCs w:val="22"/>
        </w:rPr>
        <w:t xml:space="preserve">40 </w:t>
      </w:r>
      <w:r w:rsidRPr="00B30232">
        <w:rPr>
          <w:rFonts w:ascii="Arial" w:hAnsi="Arial" w:cs="Arial"/>
          <w:sz w:val="22"/>
          <w:szCs w:val="22"/>
        </w:rPr>
        <w:t xml:space="preserve">percent of the burden of conducting the initial </w:t>
      </w:r>
      <w:r w:rsidR="00A92B1E" w:rsidRPr="00B30232">
        <w:rPr>
          <w:rFonts w:ascii="Arial" w:hAnsi="Arial" w:cs="Arial"/>
          <w:sz w:val="22"/>
          <w:szCs w:val="22"/>
        </w:rPr>
        <w:t xml:space="preserve">compliance period and performance period site-specific </w:t>
      </w:r>
      <w:r w:rsidR="00067E52" w:rsidRPr="00B30232">
        <w:rPr>
          <w:rFonts w:ascii="Arial" w:hAnsi="Arial" w:cs="Arial"/>
          <w:sz w:val="22"/>
          <w:szCs w:val="22"/>
        </w:rPr>
        <w:t xml:space="preserve">technical </w:t>
      </w:r>
      <w:r w:rsidR="00A92B1E" w:rsidRPr="00B30232">
        <w:rPr>
          <w:rFonts w:ascii="Arial" w:hAnsi="Arial" w:cs="Arial"/>
          <w:sz w:val="22"/>
          <w:szCs w:val="22"/>
        </w:rPr>
        <w:t xml:space="preserve">analyses, and </w:t>
      </w:r>
      <w:r w:rsidR="00067E52" w:rsidRPr="00B30232">
        <w:rPr>
          <w:rFonts w:ascii="Arial" w:hAnsi="Arial" w:cs="Arial"/>
          <w:sz w:val="22"/>
          <w:szCs w:val="22"/>
        </w:rPr>
        <w:t xml:space="preserve">LLRW </w:t>
      </w:r>
      <w:r w:rsidR="00A92B1E" w:rsidRPr="00B30232">
        <w:rPr>
          <w:rFonts w:ascii="Arial" w:hAnsi="Arial" w:cs="Arial"/>
          <w:sz w:val="22"/>
          <w:szCs w:val="22"/>
        </w:rPr>
        <w:t>acceptance plan</w:t>
      </w:r>
      <w:r w:rsidR="00DE3176" w:rsidRPr="00B30232">
        <w:rPr>
          <w:rFonts w:ascii="Arial" w:hAnsi="Arial" w:cs="Arial"/>
          <w:sz w:val="22"/>
          <w:szCs w:val="22"/>
        </w:rPr>
        <w:t>.</w:t>
      </w:r>
    </w:p>
    <w:p w:rsidR="00AA6AE5" w:rsidRPr="00B30232" w:rsidRDefault="00AA6AE5" w:rsidP="001E5143">
      <w:pPr>
        <w:widowControl w:val="0"/>
        <w:ind w:left="1440"/>
        <w:rPr>
          <w:rFonts w:ascii="Arial" w:hAnsi="Arial" w:cs="Arial"/>
          <w:sz w:val="22"/>
          <w:szCs w:val="22"/>
        </w:rPr>
      </w:pPr>
    </w:p>
    <w:p w:rsidR="00CB29B1" w:rsidRPr="00B30232" w:rsidRDefault="00CB29B1" w:rsidP="001E5143">
      <w:pPr>
        <w:widowControl w:val="0"/>
        <w:ind w:left="1440"/>
        <w:rPr>
          <w:rFonts w:ascii="Arial" w:hAnsi="Arial" w:cs="Arial"/>
          <w:sz w:val="22"/>
          <w:szCs w:val="22"/>
          <w:u w:val="single"/>
        </w:rPr>
      </w:pPr>
      <w:r w:rsidRPr="00B30232">
        <w:rPr>
          <w:rFonts w:ascii="Arial" w:hAnsi="Arial" w:cs="Arial"/>
          <w:sz w:val="22"/>
          <w:szCs w:val="22"/>
          <w:u w:val="single"/>
        </w:rPr>
        <w:t>REPORTING BURDEN</w:t>
      </w:r>
    </w:p>
    <w:p w:rsidR="00232FDE" w:rsidRPr="00B30232" w:rsidRDefault="00232FDE" w:rsidP="001E5143">
      <w:pPr>
        <w:widowControl w:val="0"/>
        <w:ind w:left="1440"/>
        <w:rPr>
          <w:rFonts w:ascii="Arial" w:hAnsi="Arial" w:cs="Arial"/>
          <w:sz w:val="22"/>
          <w:szCs w:val="22"/>
          <w:u w:val="single"/>
        </w:rPr>
      </w:pPr>
    </w:p>
    <w:p w:rsidR="00DE3176" w:rsidRPr="00B30232" w:rsidRDefault="00B6590C" w:rsidP="001E5143">
      <w:pPr>
        <w:widowControl w:val="0"/>
        <w:ind w:left="1440"/>
        <w:rPr>
          <w:rFonts w:ascii="Arial" w:hAnsi="Arial" w:cs="Arial"/>
          <w:sz w:val="22"/>
          <w:szCs w:val="22"/>
        </w:rPr>
      </w:pPr>
      <w:r w:rsidRPr="00B30232">
        <w:rPr>
          <w:rFonts w:ascii="Arial" w:hAnsi="Arial" w:cs="Arial"/>
          <w:sz w:val="22"/>
          <w:szCs w:val="22"/>
        </w:rPr>
        <w:t xml:space="preserve">The initial </w:t>
      </w:r>
      <w:r w:rsidR="00BD29B1" w:rsidRPr="00B30232">
        <w:rPr>
          <w:rFonts w:ascii="Arial" w:hAnsi="Arial" w:cs="Arial"/>
          <w:sz w:val="22"/>
          <w:szCs w:val="22"/>
        </w:rPr>
        <w:t>burdens would</w:t>
      </w:r>
      <w:r w:rsidRPr="00B30232">
        <w:rPr>
          <w:rFonts w:ascii="Arial" w:hAnsi="Arial" w:cs="Arial"/>
          <w:sz w:val="22"/>
          <w:szCs w:val="22"/>
        </w:rPr>
        <w:t xml:space="preserve"> include:</w:t>
      </w:r>
    </w:p>
    <w:p w:rsidR="00232FDE" w:rsidRPr="00B30232" w:rsidRDefault="00232FDE" w:rsidP="001E5143">
      <w:pPr>
        <w:widowControl w:val="0"/>
        <w:ind w:left="1440"/>
        <w:rPr>
          <w:rFonts w:ascii="Arial" w:hAnsi="Arial" w:cs="Arial"/>
          <w:sz w:val="22"/>
          <w:szCs w:val="22"/>
        </w:rPr>
      </w:pPr>
    </w:p>
    <w:p w:rsidR="00DE3176" w:rsidRPr="00B30232" w:rsidRDefault="00BD29B1" w:rsidP="00DE3176">
      <w:pPr>
        <w:pStyle w:val="ListParagraph"/>
        <w:widowControl w:val="0"/>
        <w:numPr>
          <w:ilvl w:val="0"/>
          <w:numId w:val="13"/>
        </w:numPr>
        <w:rPr>
          <w:rFonts w:ascii="Arial" w:hAnsi="Arial" w:cs="Arial"/>
          <w:sz w:val="22"/>
          <w:szCs w:val="22"/>
        </w:rPr>
      </w:pPr>
      <w:r w:rsidRPr="00B30232">
        <w:rPr>
          <w:rFonts w:ascii="Arial" w:hAnsi="Arial" w:cs="Arial"/>
          <w:sz w:val="22"/>
          <w:szCs w:val="22"/>
        </w:rPr>
        <w:t xml:space="preserve">compliance period </w:t>
      </w:r>
      <w:r w:rsidR="00A16F9A" w:rsidRPr="00B30232">
        <w:rPr>
          <w:rFonts w:ascii="Arial" w:hAnsi="Arial" w:cs="Arial"/>
          <w:sz w:val="22"/>
          <w:szCs w:val="22"/>
        </w:rPr>
        <w:t xml:space="preserve">and protective assessment period </w:t>
      </w:r>
      <w:r w:rsidRPr="00B30232">
        <w:rPr>
          <w:rFonts w:ascii="Arial" w:hAnsi="Arial" w:cs="Arial"/>
          <w:sz w:val="22"/>
          <w:szCs w:val="22"/>
        </w:rPr>
        <w:t>analyses (which include</w:t>
      </w:r>
      <w:r w:rsidR="000A7877" w:rsidRPr="00B30232">
        <w:rPr>
          <w:rFonts w:ascii="Arial" w:hAnsi="Arial" w:cs="Arial"/>
          <w:sz w:val="22"/>
          <w:szCs w:val="22"/>
        </w:rPr>
        <w:t>s</w:t>
      </w:r>
      <w:r w:rsidRPr="00B30232">
        <w:rPr>
          <w:rFonts w:ascii="Arial" w:hAnsi="Arial" w:cs="Arial"/>
          <w:sz w:val="22"/>
          <w:szCs w:val="22"/>
        </w:rPr>
        <w:t xml:space="preserve"> </w:t>
      </w:r>
      <w:r w:rsidR="00C42656" w:rsidRPr="00B30232">
        <w:rPr>
          <w:rFonts w:ascii="Arial" w:hAnsi="Arial" w:cs="Arial"/>
          <w:sz w:val="22"/>
          <w:szCs w:val="22"/>
        </w:rPr>
        <w:t xml:space="preserve">defense-in-depth </w:t>
      </w:r>
      <w:r w:rsidR="00922318" w:rsidRPr="00B30232">
        <w:rPr>
          <w:rFonts w:ascii="Arial" w:hAnsi="Arial" w:cs="Arial"/>
          <w:sz w:val="22"/>
          <w:szCs w:val="22"/>
        </w:rPr>
        <w:t>analyses</w:t>
      </w:r>
      <w:r w:rsidR="00C42656" w:rsidRPr="00B30232">
        <w:rPr>
          <w:rFonts w:ascii="Arial" w:hAnsi="Arial" w:cs="Arial"/>
          <w:sz w:val="22"/>
          <w:szCs w:val="22"/>
        </w:rPr>
        <w:t xml:space="preserve">, as required by 10 CFR 61.13(f), </w:t>
      </w:r>
      <w:r w:rsidRPr="00B30232">
        <w:rPr>
          <w:rFonts w:ascii="Arial" w:hAnsi="Arial" w:cs="Arial"/>
          <w:sz w:val="22"/>
          <w:szCs w:val="22"/>
        </w:rPr>
        <w:t xml:space="preserve">a </w:t>
      </w:r>
      <w:r w:rsidR="00B6590C" w:rsidRPr="00B30232">
        <w:rPr>
          <w:rFonts w:ascii="Arial" w:hAnsi="Arial" w:cs="Arial"/>
          <w:sz w:val="22"/>
          <w:szCs w:val="22"/>
        </w:rPr>
        <w:t>performance assessment</w:t>
      </w:r>
      <w:r w:rsidR="00525A26" w:rsidRPr="00B30232">
        <w:rPr>
          <w:rFonts w:ascii="Arial" w:hAnsi="Arial" w:cs="Arial"/>
          <w:sz w:val="22"/>
          <w:szCs w:val="22"/>
        </w:rPr>
        <w:t xml:space="preserve">, as required by </w:t>
      </w:r>
      <w:r w:rsidR="00894CEE" w:rsidRPr="00B30232">
        <w:rPr>
          <w:rFonts w:ascii="Arial" w:hAnsi="Arial" w:cs="Arial"/>
          <w:sz w:val="22"/>
          <w:szCs w:val="22"/>
        </w:rPr>
        <w:t>10 CFR </w:t>
      </w:r>
      <w:r w:rsidR="00525A26" w:rsidRPr="00B30232">
        <w:rPr>
          <w:rFonts w:ascii="Arial" w:hAnsi="Arial" w:cs="Arial"/>
          <w:sz w:val="22"/>
          <w:szCs w:val="22"/>
        </w:rPr>
        <w:t>61.41</w:t>
      </w:r>
      <w:r w:rsidRPr="00B30232">
        <w:rPr>
          <w:rFonts w:ascii="Arial" w:hAnsi="Arial" w:cs="Arial"/>
          <w:sz w:val="22"/>
          <w:szCs w:val="22"/>
        </w:rPr>
        <w:t xml:space="preserve"> an</w:t>
      </w:r>
      <w:r w:rsidR="00525A26" w:rsidRPr="00B30232">
        <w:rPr>
          <w:rFonts w:ascii="Arial" w:hAnsi="Arial" w:cs="Arial"/>
          <w:sz w:val="22"/>
          <w:szCs w:val="22"/>
        </w:rPr>
        <w:t xml:space="preserve"> intruder assessment, as required by </w:t>
      </w:r>
      <w:r w:rsidR="00004787" w:rsidRPr="00B30232">
        <w:rPr>
          <w:rFonts w:ascii="Arial" w:hAnsi="Arial" w:cs="Arial"/>
          <w:sz w:val="22"/>
          <w:szCs w:val="22"/>
        </w:rPr>
        <w:t>10 CFR </w:t>
      </w:r>
      <w:r w:rsidR="00525A26" w:rsidRPr="00B30232">
        <w:rPr>
          <w:rFonts w:ascii="Arial" w:hAnsi="Arial" w:cs="Arial"/>
          <w:sz w:val="22"/>
          <w:szCs w:val="22"/>
        </w:rPr>
        <w:t>61.42</w:t>
      </w:r>
      <w:r w:rsidR="00922318" w:rsidRPr="00B30232">
        <w:rPr>
          <w:rFonts w:ascii="Arial" w:hAnsi="Arial" w:cs="Arial"/>
          <w:sz w:val="22"/>
          <w:szCs w:val="22"/>
        </w:rPr>
        <w:t>,</w:t>
      </w:r>
      <w:r w:rsidRPr="00B30232">
        <w:rPr>
          <w:rFonts w:ascii="Arial" w:hAnsi="Arial" w:cs="Arial"/>
          <w:sz w:val="22"/>
          <w:szCs w:val="22"/>
        </w:rPr>
        <w:t>)</w:t>
      </w:r>
      <w:r w:rsidR="00525A26" w:rsidRPr="00B30232">
        <w:rPr>
          <w:rFonts w:ascii="Arial" w:hAnsi="Arial" w:cs="Arial"/>
          <w:sz w:val="22"/>
          <w:szCs w:val="22"/>
        </w:rPr>
        <w:t xml:space="preserve">, with an estimated burden of </w:t>
      </w:r>
      <w:r w:rsidR="00C235C8" w:rsidRPr="00B30232">
        <w:rPr>
          <w:rFonts w:ascii="Arial" w:hAnsi="Arial" w:cs="Arial"/>
          <w:sz w:val="22"/>
          <w:szCs w:val="22"/>
        </w:rPr>
        <w:t>8,880</w:t>
      </w:r>
      <w:r w:rsidR="00004787" w:rsidRPr="00B30232">
        <w:rPr>
          <w:rFonts w:ascii="Arial" w:hAnsi="Arial" w:cs="Arial"/>
          <w:sz w:val="22"/>
          <w:szCs w:val="22"/>
        </w:rPr>
        <w:t xml:space="preserve"> </w:t>
      </w:r>
      <w:r w:rsidR="00525A26" w:rsidRPr="00B30232">
        <w:rPr>
          <w:rFonts w:ascii="Arial" w:hAnsi="Arial" w:cs="Arial"/>
          <w:sz w:val="22"/>
          <w:szCs w:val="22"/>
        </w:rPr>
        <w:t xml:space="preserve">hours; </w:t>
      </w:r>
    </w:p>
    <w:p w:rsidR="00DE3176" w:rsidRPr="00B30232" w:rsidRDefault="00BD29B1" w:rsidP="00DE3176">
      <w:pPr>
        <w:pStyle w:val="ListParagraph"/>
        <w:widowControl w:val="0"/>
        <w:numPr>
          <w:ilvl w:val="0"/>
          <w:numId w:val="13"/>
        </w:numPr>
        <w:rPr>
          <w:rFonts w:ascii="Arial" w:hAnsi="Arial" w:cs="Arial"/>
          <w:sz w:val="22"/>
          <w:szCs w:val="22"/>
        </w:rPr>
      </w:pPr>
      <w:r w:rsidRPr="00B30232">
        <w:rPr>
          <w:rFonts w:ascii="Arial" w:hAnsi="Arial" w:cs="Arial"/>
          <w:sz w:val="22"/>
          <w:szCs w:val="22"/>
        </w:rPr>
        <w:t>performance period analyses</w:t>
      </w:r>
      <w:r w:rsidR="00DB1EFD" w:rsidRPr="00B30232">
        <w:rPr>
          <w:rFonts w:ascii="Arial" w:hAnsi="Arial" w:cs="Arial"/>
          <w:sz w:val="22"/>
          <w:szCs w:val="22"/>
        </w:rPr>
        <w:t xml:space="preserve">, as required by </w:t>
      </w:r>
      <w:r w:rsidR="00004787" w:rsidRPr="00B30232">
        <w:rPr>
          <w:rFonts w:ascii="Arial" w:hAnsi="Arial" w:cs="Arial"/>
          <w:sz w:val="22"/>
          <w:szCs w:val="22"/>
        </w:rPr>
        <w:t>10 CFR </w:t>
      </w:r>
      <w:r w:rsidR="00DB1EFD" w:rsidRPr="00B30232">
        <w:rPr>
          <w:rFonts w:ascii="Arial" w:hAnsi="Arial" w:cs="Arial"/>
          <w:sz w:val="22"/>
          <w:szCs w:val="22"/>
        </w:rPr>
        <w:t xml:space="preserve">61.13(e), with an estimated burden of </w:t>
      </w:r>
      <w:r w:rsidR="00C235C8" w:rsidRPr="00B30232">
        <w:rPr>
          <w:rFonts w:ascii="Arial" w:hAnsi="Arial" w:cs="Arial"/>
          <w:sz w:val="22"/>
          <w:szCs w:val="22"/>
        </w:rPr>
        <w:t>1,776</w:t>
      </w:r>
      <w:r w:rsidR="00DB1EFD" w:rsidRPr="00B30232">
        <w:rPr>
          <w:rFonts w:ascii="Arial" w:hAnsi="Arial" w:cs="Arial"/>
          <w:sz w:val="22"/>
          <w:szCs w:val="22"/>
        </w:rPr>
        <w:t xml:space="preserve"> hours; and </w:t>
      </w:r>
    </w:p>
    <w:p w:rsidR="00DE3176" w:rsidRPr="00B30232" w:rsidRDefault="00BD29B1" w:rsidP="00DE3176">
      <w:pPr>
        <w:pStyle w:val="ListParagraph"/>
        <w:widowControl w:val="0"/>
        <w:numPr>
          <w:ilvl w:val="0"/>
          <w:numId w:val="13"/>
        </w:numPr>
        <w:rPr>
          <w:rFonts w:ascii="Arial" w:hAnsi="Arial" w:cs="Arial"/>
          <w:sz w:val="22"/>
          <w:szCs w:val="22"/>
        </w:rPr>
      </w:pPr>
      <w:r w:rsidRPr="00B30232">
        <w:rPr>
          <w:rFonts w:ascii="Arial" w:hAnsi="Arial" w:cs="Arial"/>
          <w:sz w:val="22"/>
          <w:szCs w:val="22"/>
        </w:rPr>
        <w:t xml:space="preserve">LLRW acceptance plan as </w:t>
      </w:r>
      <w:r w:rsidR="00DB1EFD" w:rsidRPr="00B30232">
        <w:rPr>
          <w:rFonts w:ascii="Arial" w:hAnsi="Arial" w:cs="Arial"/>
          <w:sz w:val="22"/>
          <w:szCs w:val="22"/>
        </w:rPr>
        <w:t xml:space="preserve">required by </w:t>
      </w:r>
      <w:r w:rsidR="00004787" w:rsidRPr="00B30232">
        <w:rPr>
          <w:rFonts w:ascii="Arial" w:hAnsi="Arial" w:cs="Arial"/>
          <w:sz w:val="22"/>
          <w:szCs w:val="22"/>
        </w:rPr>
        <w:t>10 CFR </w:t>
      </w:r>
      <w:r w:rsidR="00DB1EFD" w:rsidRPr="00B30232">
        <w:rPr>
          <w:rFonts w:ascii="Arial" w:hAnsi="Arial" w:cs="Arial"/>
          <w:sz w:val="22"/>
          <w:szCs w:val="22"/>
        </w:rPr>
        <w:t>61.</w:t>
      </w:r>
      <w:r w:rsidRPr="00B30232">
        <w:rPr>
          <w:rFonts w:ascii="Arial" w:hAnsi="Arial" w:cs="Arial"/>
          <w:sz w:val="22"/>
          <w:szCs w:val="22"/>
        </w:rPr>
        <w:t>58</w:t>
      </w:r>
      <w:r w:rsidR="00DB1EFD" w:rsidRPr="00B30232">
        <w:rPr>
          <w:rFonts w:ascii="Arial" w:hAnsi="Arial" w:cs="Arial"/>
          <w:sz w:val="22"/>
          <w:szCs w:val="22"/>
        </w:rPr>
        <w:t xml:space="preserve">, with an estimated burden of </w:t>
      </w:r>
      <w:r w:rsidR="00002662" w:rsidRPr="00B30232">
        <w:rPr>
          <w:rFonts w:ascii="Arial" w:hAnsi="Arial" w:cs="Arial"/>
          <w:sz w:val="22"/>
          <w:szCs w:val="22"/>
        </w:rPr>
        <w:t>1,776</w:t>
      </w:r>
      <w:r w:rsidR="00DB1EFD" w:rsidRPr="00B30232">
        <w:rPr>
          <w:rFonts w:ascii="Arial" w:hAnsi="Arial" w:cs="Arial"/>
          <w:sz w:val="22"/>
          <w:szCs w:val="22"/>
        </w:rPr>
        <w:t xml:space="preserve"> hours.</w:t>
      </w:r>
    </w:p>
    <w:p w:rsidR="00232FDE" w:rsidRPr="00B30232" w:rsidRDefault="00232FDE" w:rsidP="00660499">
      <w:pPr>
        <w:pStyle w:val="ListParagraph"/>
        <w:widowControl w:val="0"/>
        <w:ind w:left="2220"/>
        <w:rPr>
          <w:rFonts w:ascii="Arial" w:hAnsi="Arial" w:cs="Arial"/>
          <w:sz w:val="22"/>
          <w:szCs w:val="22"/>
        </w:rPr>
      </w:pPr>
    </w:p>
    <w:p w:rsidR="00B6590C" w:rsidRPr="00B30232" w:rsidRDefault="00DB1EFD" w:rsidP="00AB6D74">
      <w:pPr>
        <w:widowControl w:val="0"/>
        <w:ind w:left="1440"/>
        <w:rPr>
          <w:rFonts w:ascii="Arial" w:hAnsi="Arial" w:cs="Arial"/>
          <w:sz w:val="22"/>
          <w:szCs w:val="22"/>
        </w:rPr>
      </w:pPr>
      <w:r w:rsidRPr="00B30232">
        <w:rPr>
          <w:rFonts w:ascii="Arial" w:hAnsi="Arial" w:cs="Arial"/>
          <w:sz w:val="22"/>
          <w:szCs w:val="22"/>
        </w:rPr>
        <w:t>The total estimated burden to</w:t>
      </w:r>
      <w:r w:rsidR="004D59E0" w:rsidRPr="00B30232">
        <w:rPr>
          <w:rFonts w:ascii="Arial" w:hAnsi="Arial" w:cs="Arial"/>
          <w:sz w:val="22"/>
          <w:szCs w:val="22"/>
        </w:rPr>
        <w:t xml:space="preserve"> conduct the initial site-specific analyses would be </w:t>
      </w:r>
      <w:r w:rsidR="00C235C8" w:rsidRPr="00B30232">
        <w:rPr>
          <w:rFonts w:ascii="Arial" w:hAnsi="Arial" w:cs="Arial"/>
          <w:sz w:val="22"/>
          <w:szCs w:val="22"/>
        </w:rPr>
        <w:t>12,</w:t>
      </w:r>
      <w:r w:rsidR="00210DA4">
        <w:rPr>
          <w:rFonts w:ascii="Arial" w:hAnsi="Arial" w:cs="Arial"/>
          <w:sz w:val="22"/>
          <w:szCs w:val="22"/>
        </w:rPr>
        <w:t>43</w:t>
      </w:r>
      <w:r w:rsidR="00210DA4" w:rsidRPr="00B30232">
        <w:rPr>
          <w:rFonts w:ascii="Arial" w:hAnsi="Arial" w:cs="Arial"/>
          <w:sz w:val="22"/>
          <w:szCs w:val="22"/>
        </w:rPr>
        <w:t xml:space="preserve">2 </w:t>
      </w:r>
      <w:r w:rsidR="004D59E0" w:rsidRPr="00B30232">
        <w:rPr>
          <w:rFonts w:ascii="Arial" w:hAnsi="Arial" w:cs="Arial"/>
          <w:sz w:val="22"/>
          <w:szCs w:val="22"/>
        </w:rPr>
        <w:t>hours (</w:t>
      </w:r>
      <w:r w:rsidR="00C235C8" w:rsidRPr="00B30232">
        <w:rPr>
          <w:rFonts w:ascii="Arial" w:hAnsi="Arial" w:cs="Arial"/>
          <w:sz w:val="22"/>
          <w:szCs w:val="22"/>
        </w:rPr>
        <w:t>8,880</w:t>
      </w:r>
      <w:r w:rsidR="004D59E0" w:rsidRPr="00B30232">
        <w:rPr>
          <w:rFonts w:ascii="Arial" w:hAnsi="Arial" w:cs="Arial"/>
          <w:sz w:val="22"/>
          <w:szCs w:val="22"/>
        </w:rPr>
        <w:t xml:space="preserve"> + </w:t>
      </w:r>
      <w:r w:rsidR="00C235C8" w:rsidRPr="00B30232">
        <w:rPr>
          <w:rFonts w:ascii="Arial" w:hAnsi="Arial" w:cs="Arial"/>
          <w:sz w:val="22"/>
          <w:szCs w:val="22"/>
        </w:rPr>
        <w:t>1,776</w:t>
      </w:r>
      <w:r w:rsidR="004D59E0" w:rsidRPr="00B30232">
        <w:rPr>
          <w:rFonts w:ascii="Arial" w:hAnsi="Arial" w:cs="Arial"/>
          <w:sz w:val="22"/>
          <w:szCs w:val="22"/>
        </w:rPr>
        <w:t xml:space="preserve"> + </w:t>
      </w:r>
      <w:r w:rsidR="00002662" w:rsidRPr="00B30232">
        <w:rPr>
          <w:rFonts w:ascii="Arial" w:hAnsi="Arial" w:cs="Arial"/>
          <w:sz w:val="22"/>
          <w:szCs w:val="22"/>
        </w:rPr>
        <w:t>1,776</w:t>
      </w:r>
      <w:r w:rsidR="004D59E0" w:rsidRPr="00B30232">
        <w:rPr>
          <w:rFonts w:ascii="Arial" w:hAnsi="Arial" w:cs="Arial"/>
          <w:sz w:val="22"/>
          <w:szCs w:val="22"/>
        </w:rPr>
        <w:t>).</w:t>
      </w:r>
    </w:p>
    <w:p w:rsidR="004D59E0" w:rsidRPr="00B30232" w:rsidRDefault="004D59E0" w:rsidP="001E5143">
      <w:pPr>
        <w:widowControl w:val="0"/>
        <w:ind w:left="1440"/>
        <w:rPr>
          <w:rFonts w:ascii="Arial" w:hAnsi="Arial" w:cs="Arial"/>
          <w:sz w:val="22"/>
          <w:szCs w:val="22"/>
        </w:rPr>
      </w:pPr>
    </w:p>
    <w:p w:rsidR="00DE3176" w:rsidRPr="00B30232" w:rsidRDefault="004D59E0" w:rsidP="001E5143">
      <w:pPr>
        <w:widowControl w:val="0"/>
        <w:ind w:left="1440"/>
        <w:rPr>
          <w:rFonts w:ascii="Arial" w:hAnsi="Arial" w:cs="Arial"/>
          <w:sz w:val="22"/>
          <w:szCs w:val="22"/>
        </w:rPr>
      </w:pPr>
      <w:r w:rsidRPr="00B30232">
        <w:rPr>
          <w:rFonts w:ascii="Arial" w:hAnsi="Arial" w:cs="Arial"/>
          <w:sz w:val="22"/>
          <w:szCs w:val="22"/>
        </w:rPr>
        <w:t xml:space="preserve">The </w:t>
      </w:r>
      <w:r w:rsidR="00BD29B1" w:rsidRPr="00B30232">
        <w:rPr>
          <w:rFonts w:ascii="Arial" w:hAnsi="Arial" w:cs="Arial"/>
          <w:sz w:val="22"/>
          <w:szCs w:val="22"/>
        </w:rPr>
        <w:t>burdens</w:t>
      </w:r>
      <w:r w:rsidR="004904D0" w:rsidRPr="00B30232">
        <w:rPr>
          <w:rFonts w:ascii="Arial" w:hAnsi="Arial" w:cs="Arial"/>
          <w:sz w:val="22"/>
          <w:szCs w:val="22"/>
        </w:rPr>
        <w:t xml:space="preserve"> for updating analyses</w:t>
      </w:r>
      <w:r w:rsidRPr="00B30232">
        <w:rPr>
          <w:rFonts w:ascii="Arial" w:hAnsi="Arial" w:cs="Arial"/>
          <w:sz w:val="22"/>
          <w:szCs w:val="22"/>
        </w:rPr>
        <w:t xml:space="preserve"> </w:t>
      </w:r>
      <w:r w:rsidR="00AA6AE5" w:rsidRPr="00B30232">
        <w:rPr>
          <w:rFonts w:ascii="Arial" w:hAnsi="Arial" w:cs="Arial"/>
          <w:sz w:val="22"/>
          <w:szCs w:val="22"/>
        </w:rPr>
        <w:t xml:space="preserve">during </w:t>
      </w:r>
      <w:r w:rsidR="007026EC" w:rsidRPr="00B30232">
        <w:rPr>
          <w:rFonts w:ascii="Arial" w:hAnsi="Arial" w:cs="Arial"/>
          <w:sz w:val="22"/>
          <w:szCs w:val="22"/>
        </w:rPr>
        <w:t xml:space="preserve">normal </w:t>
      </w:r>
      <w:r w:rsidR="00AA6AE5" w:rsidRPr="00B30232">
        <w:rPr>
          <w:rFonts w:ascii="Arial" w:hAnsi="Arial" w:cs="Arial"/>
          <w:sz w:val="22"/>
          <w:szCs w:val="22"/>
        </w:rPr>
        <w:t xml:space="preserve">facility operation </w:t>
      </w:r>
      <w:r w:rsidRPr="00B30232">
        <w:rPr>
          <w:rFonts w:ascii="Arial" w:hAnsi="Arial" w:cs="Arial"/>
          <w:sz w:val="22"/>
          <w:szCs w:val="22"/>
        </w:rPr>
        <w:t>include:</w:t>
      </w:r>
    </w:p>
    <w:p w:rsidR="00232FDE" w:rsidRPr="00B30232" w:rsidRDefault="00232FDE" w:rsidP="001E5143">
      <w:pPr>
        <w:widowControl w:val="0"/>
        <w:ind w:left="1440"/>
        <w:rPr>
          <w:rFonts w:ascii="Arial" w:hAnsi="Arial" w:cs="Arial"/>
          <w:sz w:val="22"/>
          <w:szCs w:val="22"/>
        </w:rPr>
      </w:pPr>
    </w:p>
    <w:p w:rsidR="00DE3176" w:rsidRPr="00B30232" w:rsidRDefault="00AA6AE5" w:rsidP="00922318">
      <w:pPr>
        <w:pStyle w:val="ListParagraph"/>
        <w:widowControl w:val="0"/>
        <w:numPr>
          <w:ilvl w:val="0"/>
          <w:numId w:val="15"/>
        </w:numPr>
        <w:rPr>
          <w:rFonts w:ascii="Arial" w:hAnsi="Arial" w:cs="Arial"/>
          <w:sz w:val="22"/>
          <w:szCs w:val="22"/>
        </w:rPr>
      </w:pPr>
      <w:r w:rsidRPr="00B30232">
        <w:rPr>
          <w:rFonts w:ascii="Arial" w:hAnsi="Arial" w:cs="Arial"/>
          <w:sz w:val="22"/>
          <w:szCs w:val="22"/>
        </w:rPr>
        <w:t xml:space="preserve">updated </w:t>
      </w:r>
      <w:r w:rsidR="00BD29B1" w:rsidRPr="00B30232">
        <w:rPr>
          <w:rFonts w:ascii="Arial" w:hAnsi="Arial" w:cs="Arial"/>
          <w:sz w:val="22"/>
          <w:szCs w:val="22"/>
        </w:rPr>
        <w:t xml:space="preserve">compliance period </w:t>
      </w:r>
      <w:r w:rsidR="00922318" w:rsidRPr="00B30232">
        <w:rPr>
          <w:rFonts w:ascii="Arial" w:hAnsi="Arial" w:cs="Arial"/>
          <w:sz w:val="22"/>
          <w:szCs w:val="22"/>
        </w:rPr>
        <w:t xml:space="preserve">and protective assurance period </w:t>
      </w:r>
      <w:r w:rsidR="00BD29B1" w:rsidRPr="00B30232">
        <w:rPr>
          <w:rFonts w:ascii="Arial" w:hAnsi="Arial" w:cs="Arial"/>
          <w:sz w:val="22"/>
          <w:szCs w:val="22"/>
        </w:rPr>
        <w:t>analyses (which include</w:t>
      </w:r>
      <w:r w:rsidR="000A7877" w:rsidRPr="00B30232">
        <w:rPr>
          <w:rFonts w:ascii="Arial" w:hAnsi="Arial" w:cs="Arial"/>
          <w:sz w:val="22"/>
          <w:szCs w:val="22"/>
        </w:rPr>
        <w:t>s</w:t>
      </w:r>
      <w:r w:rsidR="00BD29B1" w:rsidRPr="00B30232">
        <w:rPr>
          <w:rFonts w:ascii="Arial" w:hAnsi="Arial" w:cs="Arial"/>
          <w:sz w:val="22"/>
          <w:szCs w:val="22"/>
        </w:rPr>
        <w:t xml:space="preserve"> </w:t>
      </w:r>
      <w:r w:rsidR="00922318" w:rsidRPr="00B30232">
        <w:rPr>
          <w:rFonts w:ascii="Arial" w:hAnsi="Arial" w:cs="Arial"/>
          <w:sz w:val="22"/>
          <w:szCs w:val="22"/>
        </w:rPr>
        <w:t xml:space="preserve">and updated defense-in-depth analyses, as required by 10 CFR 61.13(f), </w:t>
      </w:r>
      <w:r w:rsidR="00BD29B1" w:rsidRPr="00B30232">
        <w:rPr>
          <w:rFonts w:ascii="Arial" w:hAnsi="Arial" w:cs="Arial"/>
          <w:sz w:val="22"/>
          <w:szCs w:val="22"/>
        </w:rPr>
        <w:t xml:space="preserve">an updated performance assessment, as required by </w:t>
      </w:r>
      <w:r w:rsidR="00004787" w:rsidRPr="00B30232">
        <w:rPr>
          <w:rFonts w:ascii="Arial" w:hAnsi="Arial" w:cs="Arial"/>
          <w:sz w:val="22"/>
          <w:szCs w:val="22"/>
        </w:rPr>
        <w:t>10 CFR </w:t>
      </w:r>
      <w:r w:rsidR="00BD29B1" w:rsidRPr="00B30232">
        <w:rPr>
          <w:rFonts w:ascii="Arial" w:hAnsi="Arial" w:cs="Arial"/>
          <w:sz w:val="22"/>
          <w:szCs w:val="22"/>
        </w:rPr>
        <w:t xml:space="preserve">61.41, an updated intruder assessment, as required by </w:t>
      </w:r>
      <w:r w:rsidR="00004787" w:rsidRPr="00B30232">
        <w:rPr>
          <w:rFonts w:ascii="Arial" w:hAnsi="Arial" w:cs="Arial"/>
          <w:sz w:val="22"/>
          <w:szCs w:val="22"/>
        </w:rPr>
        <w:t>10 CFR </w:t>
      </w:r>
      <w:r w:rsidR="00BD29B1" w:rsidRPr="00B30232">
        <w:rPr>
          <w:rFonts w:ascii="Arial" w:hAnsi="Arial" w:cs="Arial"/>
          <w:sz w:val="22"/>
          <w:szCs w:val="22"/>
        </w:rPr>
        <w:t>61.42</w:t>
      </w:r>
      <w:r w:rsidR="00922318" w:rsidRPr="00B30232">
        <w:rPr>
          <w:rFonts w:ascii="Arial" w:hAnsi="Arial" w:cs="Arial"/>
          <w:sz w:val="22"/>
          <w:szCs w:val="22"/>
        </w:rPr>
        <w:t>,</w:t>
      </w:r>
      <w:r w:rsidR="00BD29B1" w:rsidRPr="00B30232">
        <w:rPr>
          <w:rFonts w:ascii="Arial" w:hAnsi="Arial" w:cs="Arial"/>
          <w:sz w:val="22"/>
          <w:szCs w:val="22"/>
        </w:rPr>
        <w:t xml:space="preserve">), with an estimated burden of </w:t>
      </w:r>
      <w:r w:rsidR="00C235C8" w:rsidRPr="00B30232">
        <w:rPr>
          <w:rFonts w:ascii="Arial" w:hAnsi="Arial" w:cs="Arial"/>
          <w:sz w:val="22"/>
          <w:szCs w:val="22"/>
        </w:rPr>
        <w:t>3,552</w:t>
      </w:r>
      <w:r w:rsidR="00004787" w:rsidRPr="00B30232">
        <w:rPr>
          <w:rFonts w:ascii="Arial" w:hAnsi="Arial" w:cs="Arial"/>
          <w:sz w:val="22"/>
          <w:szCs w:val="22"/>
        </w:rPr>
        <w:t xml:space="preserve"> </w:t>
      </w:r>
      <w:r w:rsidR="00BD29B1" w:rsidRPr="00B30232">
        <w:rPr>
          <w:rFonts w:ascii="Arial" w:hAnsi="Arial" w:cs="Arial"/>
          <w:sz w:val="22"/>
          <w:szCs w:val="22"/>
        </w:rPr>
        <w:t>hours</w:t>
      </w:r>
      <w:r w:rsidRPr="00B30232">
        <w:rPr>
          <w:rFonts w:ascii="Arial" w:hAnsi="Arial" w:cs="Arial"/>
          <w:sz w:val="22"/>
          <w:szCs w:val="22"/>
        </w:rPr>
        <w:t>;</w:t>
      </w:r>
    </w:p>
    <w:p w:rsidR="00DE3176" w:rsidRPr="00B30232" w:rsidRDefault="00AA6AE5" w:rsidP="00AB6D74">
      <w:pPr>
        <w:pStyle w:val="ListParagraph"/>
        <w:widowControl w:val="0"/>
        <w:numPr>
          <w:ilvl w:val="0"/>
          <w:numId w:val="15"/>
        </w:numPr>
        <w:rPr>
          <w:rFonts w:ascii="Arial" w:hAnsi="Arial" w:cs="Arial"/>
          <w:sz w:val="22"/>
          <w:szCs w:val="22"/>
        </w:rPr>
      </w:pPr>
      <w:r w:rsidRPr="00B30232">
        <w:rPr>
          <w:rFonts w:ascii="Arial" w:hAnsi="Arial" w:cs="Arial"/>
          <w:sz w:val="22"/>
          <w:szCs w:val="22"/>
        </w:rPr>
        <w:t xml:space="preserve">updated </w:t>
      </w:r>
      <w:r w:rsidR="00BD29B1" w:rsidRPr="00B30232">
        <w:rPr>
          <w:rFonts w:ascii="Arial" w:hAnsi="Arial" w:cs="Arial"/>
          <w:sz w:val="22"/>
          <w:szCs w:val="22"/>
        </w:rPr>
        <w:t xml:space="preserve">performance period analyses, as required by </w:t>
      </w:r>
      <w:r w:rsidR="00004787" w:rsidRPr="00B30232">
        <w:rPr>
          <w:rFonts w:ascii="Arial" w:hAnsi="Arial" w:cs="Arial"/>
          <w:sz w:val="22"/>
          <w:szCs w:val="22"/>
        </w:rPr>
        <w:t>10 CFR </w:t>
      </w:r>
      <w:r w:rsidR="00BD29B1" w:rsidRPr="00B30232">
        <w:rPr>
          <w:rFonts w:ascii="Arial" w:hAnsi="Arial" w:cs="Arial"/>
          <w:sz w:val="22"/>
          <w:szCs w:val="22"/>
        </w:rPr>
        <w:t xml:space="preserve">61.13(e), with an estimated burden of </w:t>
      </w:r>
      <w:r w:rsidR="00C235C8" w:rsidRPr="00B30232">
        <w:rPr>
          <w:rFonts w:ascii="Arial" w:hAnsi="Arial" w:cs="Arial"/>
          <w:sz w:val="22"/>
          <w:szCs w:val="22"/>
        </w:rPr>
        <w:t>888</w:t>
      </w:r>
      <w:r w:rsidR="00BD29B1" w:rsidRPr="00B30232">
        <w:rPr>
          <w:rFonts w:ascii="Arial" w:hAnsi="Arial" w:cs="Arial"/>
          <w:sz w:val="22"/>
          <w:szCs w:val="22"/>
        </w:rPr>
        <w:t xml:space="preserve"> hours</w:t>
      </w:r>
      <w:r w:rsidRPr="00B30232">
        <w:rPr>
          <w:rFonts w:ascii="Arial" w:hAnsi="Arial" w:cs="Arial"/>
          <w:sz w:val="22"/>
          <w:szCs w:val="22"/>
        </w:rPr>
        <w:t xml:space="preserve">; </w:t>
      </w:r>
      <w:r w:rsidR="00BD29B1" w:rsidRPr="00B30232">
        <w:rPr>
          <w:rFonts w:ascii="Arial" w:hAnsi="Arial" w:cs="Arial"/>
          <w:sz w:val="22"/>
          <w:szCs w:val="22"/>
        </w:rPr>
        <w:t xml:space="preserve">and </w:t>
      </w:r>
    </w:p>
    <w:p w:rsidR="00DE3176" w:rsidRPr="00B30232" w:rsidRDefault="00AA6AE5" w:rsidP="00AB6D74">
      <w:pPr>
        <w:pStyle w:val="ListParagraph"/>
        <w:widowControl w:val="0"/>
        <w:numPr>
          <w:ilvl w:val="0"/>
          <w:numId w:val="15"/>
        </w:numPr>
        <w:rPr>
          <w:rFonts w:ascii="Arial" w:hAnsi="Arial" w:cs="Arial"/>
          <w:sz w:val="22"/>
          <w:szCs w:val="22"/>
        </w:rPr>
      </w:pPr>
      <w:r w:rsidRPr="00B30232">
        <w:rPr>
          <w:rFonts w:ascii="Arial" w:hAnsi="Arial" w:cs="Arial"/>
          <w:sz w:val="22"/>
          <w:szCs w:val="22"/>
        </w:rPr>
        <w:t xml:space="preserve">updated </w:t>
      </w:r>
      <w:r w:rsidR="00BD29B1" w:rsidRPr="00B30232">
        <w:rPr>
          <w:rFonts w:ascii="Arial" w:hAnsi="Arial" w:cs="Arial"/>
          <w:sz w:val="22"/>
          <w:szCs w:val="22"/>
        </w:rPr>
        <w:t xml:space="preserve">LLRW acceptance plan as required by </w:t>
      </w:r>
      <w:r w:rsidR="00004787" w:rsidRPr="00B30232">
        <w:rPr>
          <w:rFonts w:ascii="Arial" w:hAnsi="Arial" w:cs="Arial"/>
          <w:sz w:val="22"/>
          <w:szCs w:val="22"/>
        </w:rPr>
        <w:t>10 CFR </w:t>
      </w:r>
      <w:r w:rsidR="00BD29B1" w:rsidRPr="00B30232">
        <w:rPr>
          <w:rFonts w:ascii="Arial" w:hAnsi="Arial" w:cs="Arial"/>
          <w:sz w:val="22"/>
          <w:szCs w:val="22"/>
        </w:rPr>
        <w:t xml:space="preserve">61.58, with an estimated burden of </w:t>
      </w:r>
      <w:r w:rsidR="00DB0204" w:rsidRPr="00B30232">
        <w:rPr>
          <w:rFonts w:ascii="Arial" w:hAnsi="Arial" w:cs="Arial"/>
          <w:sz w:val="22"/>
          <w:szCs w:val="22"/>
        </w:rPr>
        <w:t>888</w:t>
      </w:r>
      <w:r w:rsidR="00BD29B1" w:rsidRPr="00B30232">
        <w:rPr>
          <w:rFonts w:ascii="Arial" w:hAnsi="Arial" w:cs="Arial"/>
          <w:sz w:val="22"/>
          <w:szCs w:val="22"/>
        </w:rPr>
        <w:t xml:space="preserve"> hours</w:t>
      </w:r>
      <w:r w:rsidR="00DE3176" w:rsidRPr="00B30232">
        <w:rPr>
          <w:rFonts w:ascii="Arial" w:hAnsi="Arial" w:cs="Arial"/>
          <w:sz w:val="22"/>
          <w:szCs w:val="22"/>
        </w:rPr>
        <w:t>.</w:t>
      </w:r>
    </w:p>
    <w:p w:rsidR="00232FDE" w:rsidRPr="00B30232" w:rsidRDefault="00232FDE" w:rsidP="00660499">
      <w:pPr>
        <w:pStyle w:val="ListParagraph"/>
        <w:widowControl w:val="0"/>
        <w:ind w:left="2520"/>
        <w:rPr>
          <w:rFonts w:ascii="Arial" w:hAnsi="Arial" w:cs="Arial"/>
          <w:sz w:val="22"/>
          <w:szCs w:val="22"/>
        </w:rPr>
      </w:pPr>
    </w:p>
    <w:p w:rsidR="004D59E0" w:rsidRPr="00B30232" w:rsidRDefault="00AA6AE5" w:rsidP="00DE3176">
      <w:pPr>
        <w:widowControl w:val="0"/>
        <w:ind w:left="1440"/>
        <w:rPr>
          <w:rFonts w:ascii="Arial" w:hAnsi="Arial" w:cs="Arial"/>
          <w:sz w:val="22"/>
          <w:szCs w:val="22"/>
        </w:rPr>
      </w:pPr>
      <w:r w:rsidRPr="00B30232">
        <w:rPr>
          <w:rFonts w:ascii="Arial" w:hAnsi="Arial" w:cs="Arial"/>
          <w:sz w:val="22"/>
          <w:szCs w:val="22"/>
        </w:rPr>
        <w:t xml:space="preserve">The total estimated burden to conduct the updated site-specific </w:t>
      </w:r>
      <w:r w:rsidR="006A12BE" w:rsidRPr="00B30232">
        <w:rPr>
          <w:rFonts w:ascii="Arial" w:hAnsi="Arial" w:cs="Arial"/>
          <w:sz w:val="22"/>
          <w:szCs w:val="22"/>
        </w:rPr>
        <w:t xml:space="preserve">technical </w:t>
      </w:r>
      <w:r w:rsidRPr="00B30232">
        <w:rPr>
          <w:rFonts w:ascii="Arial" w:hAnsi="Arial" w:cs="Arial"/>
          <w:sz w:val="22"/>
          <w:szCs w:val="22"/>
        </w:rPr>
        <w:t>analyses</w:t>
      </w:r>
      <w:r w:rsidR="006A12BE" w:rsidRPr="00B30232">
        <w:rPr>
          <w:rFonts w:ascii="Arial" w:hAnsi="Arial" w:cs="Arial"/>
          <w:sz w:val="22"/>
          <w:szCs w:val="22"/>
        </w:rPr>
        <w:t xml:space="preserve"> and LLRW acceptance plan</w:t>
      </w:r>
      <w:r w:rsidRPr="00B30232">
        <w:rPr>
          <w:rFonts w:ascii="Arial" w:hAnsi="Arial" w:cs="Arial"/>
          <w:sz w:val="22"/>
          <w:szCs w:val="22"/>
        </w:rPr>
        <w:t xml:space="preserve">, during facility operation, would be </w:t>
      </w:r>
      <w:r w:rsidR="00C235C8" w:rsidRPr="00B30232">
        <w:rPr>
          <w:rFonts w:ascii="Arial" w:hAnsi="Arial" w:cs="Arial"/>
          <w:sz w:val="22"/>
          <w:szCs w:val="22"/>
        </w:rPr>
        <w:t>5,328</w:t>
      </w:r>
      <w:r w:rsidR="00004787" w:rsidRPr="00B30232">
        <w:rPr>
          <w:rFonts w:ascii="Arial" w:hAnsi="Arial" w:cs="Arial"/>
          <w:sz w:val="22"/>
          <w:szCs w:val="22"/>
        </w:rPr>
        <w:t xml:space="preserve"> </w:t>
      </w:r>
      <w:r w:rsidRPr="00B30232">
        <w:rPr>
          <w:rFonts w:ascii="Arial" w:hAnsi="Arial" w:cs="Arial"/>
          <w:sz w:val="22"/>
          <w:szCs w:val="22"/>
        </w:rPr>
        <w:t>hours (</w:t>
      </w:r>
      <w:r w:rsidR="00C235C8" w:rsidRPr="00B30232">
        <w:rPr>
          <w:rFonts w:ascii="Arial" w:hAnsi="Arial" w:cs="Arial"/>
          <w:sz w:val="22"/>
          <w:szCs w:val="22"/>
        </w:rPr>
        <w:t>3,552</w:t>
      </w:r>
      <w:r w:rsidR="00004787" w:rsidRPr="00B30232">
        <w:rPr>
          <w:rFonts w:ascii="Arial" w:hAnsi="Arial" w:cs="Arial"/>
          <w:sz w:val="22"/>
          <w:szCs w:val="22"/>
        </w:rPr>
        <w:t xml:space="preserve"> </w:t>
      </w:r>
      <w:r w:rsidRPr="00B30232">
        <w:rPr>
          <w:rFonts w:ascii="Arial" w:hAnsi="Arial" w:cs="Arial"/>
          <w:sz w:val="22"/>
          <w:szCs w:val="22"/>
        </w:rPr>
        <w:t xml:space="preserve">+ </w:t>
      </w:r>
      <w:r w:rsidR="00C235C8" w:rsidRPr="00B30232">
        <w:rPr>
          <w:rFonts w:ascii="Arial" w:hAnsi="Arial" w:cs="Arial"/>
          <w:sz w:val="22"/>
          <w:szCs w:val="22"/>
        </w:rPr>
        <w:t>888</w:t>
      </w:r>
      <w:r w:rsidRPr="00B30232">
        <w:rPr>
          <w:rFonts w:ascii="Arial" w:hAnsi="Arial" w:cs="Arial"/>
          <w:sz w:val="22"/>
          <w:szCs w:val="22"/>
        </w:rPr>
        <w:t xml:space="preserve"> + </w:t>
      </w:r>
      <w:r w:rsidR="00DB0204" w:rsidRPr="00B30232">
        <w:rPr>
          <w:rFonts w:ascii="Arial" w:hAnsi="Arial" w:cs="Arial"/>
          <w:sz w:val="22"/>
          <w:szCs w:val="22"/>
        </w:rPr>
        <w:t>888</w:t>
      </w:r>
      <w:r w:rsidRPr="00B30232">
        <w:rPr>
          <w:rFonts w:ascii="Arial" w:hAnsi="Arial" w:cs="Arial"/>
          <w:sz w:val="22"/>
          <w:szCs w:val="22"/>
        </w:rPr>
        <w:t xml:space="preserve">). </w:t>
      </w:r>
    </w:p>
    <w:p w:rsidR="00DB1EFD" w:rsidRPr="00B30232" w:rsidRDefault="00DB1EFD" w:rsidP="001E5143">
      <w:pPr>
        <w:widowControl w:val="0"/>
        <w:ind w:left="1440"/>
        <w:rPr>
          <w:rFonts w:ascii="Arial" w:hAnsi="Arial" w:cs="Arial"/>
          <w:sz w:val="22"/>
          <w:szCs w:val="22"/>
        </w:rPr>
      </w:pPr>
    </w:p>
    <w:p w:rsidR="00DE3176" w:rsidRPr="00B30232" w:rsidRDefault="00AA6AE5" w:rsidP="006A12BE">
      <w:pPr>
        <w:widowControl w:val="0"/>
        <w:ind w:left="1440"/>
        <w:rPr>
          <w:rFonts w:ascii="Arial" w:hAnsi="Arial" w:cs="Arial"/>
          <w:sz w:val="22"/>
          <w:szCs w:val="22"/>
        </w:rPr>
      </w:pPr>
      <w:r w:rsidRPr="00B30232">
        <w:rPr>
          <w:rFonts w:ascii="Arial" w:hAnsi="Arial" w:cs="Arial"/>
          <w:sz w:val="22"/>
          <w:szCs w:val="22"/>
        </w:rPr>
        <w:t xml:space="preserve">The </w:t>
      </w:r>
      <w:r w:rsidR="006A12BE" w:rsidRPr="00B30232">
        <w:rPr>
          <w:rFonts w:ascii="Arial" w:hAnsi="Arial" w:cs="Arial"/>
          <w:sz w:val="22"/>
          <w:szCs w:val="22"/>
        </w:rPr>
        <w:t>burdens</w:t>
      </w:r>
      <w:r w:rsidR="004904D0" w:rsidRPr="00B30232">
        <w:rPr>
          <w:rFonts w:ascii="Arial" w:hAnsi="Arial" w:cs="Arial"/>
          <w:sz w:val="22"/>
          <w:szCs w:val="22"/>
        </w:rPr>
        <w:t xml:space="preserve"> for updating analyses</w:t>
      </w:r>
      <w:r w:rsidRPr="00B30232">
        <w:rPr>
          <w:rFonts w:ascii="Arial" w:hAnsi="Arial" w:cs="Arial"/>
          <w:sz w:val="22"/>
          <w:szCs w:val="22"/>
        </w:rPr>
        <w:t xml:space="preserve"> during facility closure as required by </w:t>
      </w:r>
      <w:r w:rsidR="00004787" w:rsidRPr="00B30232">
        <w:rPr>
          <w:rFonts w:ascii="Arial" w:hAnsi="Arial" w:cs="Arial"/>
          <w:sz w:val="22"/>
          <w:szCs w:val="22"/>
        </w:rPr>
        <w:t>10 CFR </w:t>
      </w:r>
      <w:r w:rsidRPr="00B30232">
        <w:rPr>
          <w:rFonts w:ascii="Arial" w:hAnsi="Arial" w:cs="Arial"/>
          <w:sz w:val="22"/>
          <w:szCs w:val="22"/>
        </w:rPr>
        <w:t>61.28, include:</w:t>
      </w:r>
    </w:p>
    <w:p w:rsidR="00DE3176" w:rsidRPr="00B30232" w:rsidRDefault="006A12BE" w:rsidP="00C92484">
      <w:pPr>
        <w:pStyle w:val="ListParagraph"/>
        <w:widowControl w:val="0"/>
        <w:numPr>
          <w:ilvl w:val="0"/>
          <w:numId w:val="17"/>
        </w:numPr>
        <w:rPr>
          <w:rFonts w:ascii="Arial" w:hAnsi="Arial" w:cs="Arial"/>
          <w:sz w:val="22"/>
          <w:szCs w:val="22"/>
        </w:rPr>
      </w:pPr>
      <w:r w:rsidRPr="00B30232">
        <w:rPr>
          <w:rFonts w:ascii="Arial" w:hAnsi="Arial" w:cs="Arial"/>
          <w:sz w:val="22"/>
          <w:szCs w:val="22"/>
        </w:rPr>
        <w:t xml:space="preserve">updated compliance period </w:t>
      </w:r>
      <w:r w:rsidR="00C92484" w:rsidRPr="00B30232">
        <w:rPr>
          <w:rFonts w:ascii="Arial" w:hAnsi="Arial" w:cs="Arial"/>
          <w:sz w:val="22"/>
          <w:szCs w:val="22"/>
        </w:rPr>
        <w:t xml:space="preserve">and protective assurance period </w:t>
      </w:r>
      <w:r w:rsidRPr="00B30232">
        <w:rPr>
          <w:rFonts w:ascii="Arial" w:hAnsi="Arial" w:cs="Arial"/>
          <w:sz w:val="22"/>
          <w:szCs w:val="22"/>
        </w:rPr>
        <w:t>analyses (which include</w:t>
      </w:r>
      <w:r w:rsidR="00C92484" w:rsidRPr="00B30232">
        <w:rPr>
          <w:rFonts w:ascii="Arial" w:hAnsi="Arial" w:cs="Arial"/>
          <w:sz w:val="22"/>
          <w:szCs w:val="22"/>
        </w:rPr>
        <w:t>s</w:t>
      </w:r>
      <w:r w:rsidRPr="00B30232">
        <w:rPr>
          <w:rFonts w:ascii="Arial" w:hAnsi="Arial" w:cs="Arial"/>
          <w:sz w:val="22"/>
          <w:szCs w:val="22"/>
        </w:rPr>
        <w:t xml:space="preserve"> </w:t>
      </w:r>
      <w:r w:rsidR="00C92484" w:rsidRPr="00B30232">
        <w:rPr>
          <w:rFonts w:ascii="Arial" w:hAnsi="Arial" w:cs="Arial"/>
          <w:sz w:val="22"/>
          <w:szCs w:val="22"/>
        </w:rPr>
        <w:t xml:space="preserve">and updated defense-in-depth analyses, as required by 10 CFR 61.13(f), </w:t>
      </w:r>
      <w:r w:rsidRPr="00B30232">
        <w:rPr>
          <w:rFonts w:ascii="Arial" w:hAnsi="Arial" w:cs="Arial"/>
          <w:sz w:val="22"/>
          <w:szCs w:val="22"/>
        </w:rPr>
        <w:t xml:space="preserve">an updated performance assessment, as required by </w:t>
      </w:r>
      <w:r w:rsidR="00004787" w:rsidRPr="00B30232">
        <w:rPr>
          <w:rFonts w:ascii="Arial" w:hAnsi="Arial" w:cs="Arial"/>
          <w:sz w:val="22"/>
          <w:szCs w:val="22"/>
        </w:rPr>
        <w:t>10 CFR </w:t>
      </w:r>
      <w:r w:rsidRPr="00B30232">
        <w:rPr>
          <w:rFonts w:ascii="Arial" w:hAnsi="Arial" w:cs="Arial"/>
          <w:sz w:val="22"/>
          <w:szCs w:val="22"/>
        </w:rPr>
        <w:t xml:space="preserve">61.41, an updated intruder assessment, as required by </w:t>
      </w:r>
      <w:r w:rsidR="00004787" w:rsidRPr="00B30232">
        <w:rPr>
          <w:rFonts w:ascii="Arial" w:hAnsi="Arial" w:cs="Arial"/>
          <w:sz w:val="22"/>
          <w:szCs w:val="22"/>
        </w:rPr>
        <w:t>10 CFR </w:t>
      </w:r>
      <w:r w:rsidRPr="00B30232">
        <w:rPr>
          <w:rFonts w:ascii="Arial" w:hAnsi="Arial" w:cs="Arial"/>
          <w:sz w:val="22"/>
          <w:szCs w:val="22"/>
        </w:rPr>
        <w:t>61.42</w:t>
      </w:r>
      <w:r w:rsidR="00C92484" w:rsidRPr="00B30232">
        <w:rPr>
          <w:rFonts w:ascii="Arial" w:hAnsi="Arial" w:cs="Arial"/>
          <w:sz w:val="22"/>
          <w:szCs w:val="22"/>
        </w:rPr>
        <w:t>,</w:t>
      </w:r>
      <w:r w:rsidRPr="00B30232">
        <w:rPr>
          <w:rFonts w:ascii="Arial" w:hAnsi="Arial" w:cs="Arial"/>
          <w:sz w:val="22"/>
          <w:szCs w:val="22"/>
        </w:rPr>
        <w:t xml:space="preserve">), with an estimated burden of </w:t>
      </w:r>
      <w:r w:rsidR="00C235C8" w:rsidRPr="00B30232">
        <w:rPr>
          <w:rFonts w:ascii="Arial" w:hAnsi="Arial" w:cs="Arial"/>
          <w:sz w:val="22"/>
          <w:szCs w:val="22"/>
        </w:rPr>
        <w:t>3,552</w:t>
      </w:r>
      <w:r w:rsidR="00004787" w:rsidRPr="00B30232">
        <w:rPr>
          <w:rFonts w:ascii="Arial" w:hAnsi="Arial" w:cs="Arial"/>
          <w:sz w:val="22"/>
          <w:szCs w:val="22"/>
        </w:rPr>
        <w:t xml:space="preserve"> </w:t>
      </w:r>
      <w:r w:rsidRPr="00B30232">
        <w:rPr>
          <w:rFonts w:ascii="Arial" w:hAnsi="Arial" w:cs="Arial"/>
          <w:sz w:val="22"/>
          <w:szCs w:val="22"/>
        </w:rPr>
        <w:t>hours;</w:t>
      </w:r>
    </w:p>
    <w:p w:rsidR="00C92484" w:rsidRPr="00B30232" w:rsidRDefault="006A12BE" w:rsidP="00C92484">
      <w:pPr>
        <w:pStyle w:val="ListParagraph"/>
        <w:widowControl w:val="0"/>
        <w:numPr>
          <w:ilvl w:val="0"/>
          <w:numId w:val="17"/>
        </w:numPr>
        <w:rPr>
          <w:rFonts w:ascii="Arial" w:hAnsi="Arial" w:cs="Arial"/>
          <w:sz w:val="22"/>
          <w:szCs w:val="22"/>
        </w:rPr>
      </w:pPr>
      <w:r w:rsidRPr="00B30232">
        <w:rPr>
          <w:rFonts w:ascii="Arial" w:hAnsi="Arial" w:cs="Arial"/>
          <w:sz w:val="22"/>
          <w:szCs w:val="22"/>
        </w:rPr>
        <w:t xml:space="preserve">updated performance period analyses, as required by </w:t>
      </w:r>
      <w:r w:rsidR="00004787" w:rsidRPr="00B30232">
        <w:rPr>
          <w:rFonts w:ascii="Arial" w:hAnsi="Arial" w:cs="Arial"/>
          <w:sz w:val="22"/>
          <w:szCs w:val="22"/>
        </w:rPr>
        <w:t>10 CFR </w:t>
      </w:r>
      <w:r w:rsidRPr="00B30232">
        <w:rPr>
          <w:rFonts w:ascii="Arial" w:hAnsi="Arial" w:cs="Arial"/>
          <w:sz w:val="22"/>
          <w:szCs w:val="22"/>
        </w:rPr>
        <w:t xml:space="preserve">61.13(e), with an estimated burden of </w:t>
      </w:r>
      <w:r w:rsidR="00C235C8" w:rsidRPr="00B30232">
        <w:rPr>
          <w:rFonts w:ascii="Arial" w:hAnsi="Arial" w:cs="Arial"/>
          <w:sz w:val="22"/>
          <w:szCs w:val="22"/>
        </w:rPr>
        <w:t>888</w:t>
      </w:r>
      <w:r w:rsidRPr="00B30232">
        <w:rPr>
          <w:rFonts w:ascii="Arial" w:hAnsi="Arial" w:cs="Arial"/>
          <w:sz w:val="22"/>
          <w:szCs w:val="22"/>
        </w:rPr>
        <w:t xml:space="preserve"> hours</w:t>
      </w:r>
      <w:r w:rsidR="00C109DB" w:rsidRPr="00B30232">
        <w:rPr>
          <w:rFonts w:ascii="Arial" w:hAnsi="Arial" w:cs="Arial"/>
          <w:sz w:val="22"/>
          <w:szCs w:val="22"/>
        </w:rPr>
        <w:t>.</w:t>
      </w:r>
    </w:p>
    <w:p w:rsidR="00C92484" w:rsidRPr="00660499" w:rsidRDefault="00C92484" w:rsidP="00660499">
      <w:pPr>
        <w:pStyle w:val="ListParagraph"/>
        <w:widowControl w:val="0"/>
        <w:ind w:left="2640"/>
        <w:rPr>
          <w:rFonts w:ascii="Arial" w:hAnsi="Arial" w:cs="Arial"/>
          <w:sz w:val="22"/>
          <w:szCs w:val="22"/>
        </w:rPr>
      </w:pPr>
    </w:p>
    <w:p w:rsidR="006A12BE" w:rsidRPr="00B30232" w:rsidRDefault="006A12BE" w:rsidP="00DE3176">
      <w:pPr>
        <w:widowControl w:val="0"/>
        <w:ind w:left="1440"/>
        <w:rPr>
          <w:rFonts w:ascii="Arial" w:hAnsi="Arial" w:cs="Arial"/>
          <w:sz w:val="22"/>
          <w:szCs w:val="22"/>
        </w:rPr>
      </w:pPr>
      <w:r w:rsidRPr="00B30232">
        <w:rPr>
          <w:rFonts w:ascii="Arial" w:hAnsi="Arial" w:cs="Arial"/>
          <w:sz w:val="22"/>
          <w:szCs w:val="22"/>
        </w:rPr>
        <w:t xml:space="preserve">The total estimated annualized burden to conduct the updated site-specific technical analyses </w:t>
      </w:r>
      <w:r w:rsidR="00A9088B" w:rsidRPr="00B30232">
        <w:rPr>
          <w:rFonts w:ascii="Arial" w:hAnsi="Arial" w:cs="Arial"/>
          <w:sz w:val="22"/>
          <w:szCs w:val="22"/>
        </w:rPr>
        <w:t>during facility closure</w:t>
      </w:r>
      <w:r w:rsidRPr="00B30232">
        <w:rPr>
          <w:rFonts w:ascii="Arial" w:hAnsi="Arial" w:cs="Arial"/>
          <w:sz w:val="22"/>
          <w:szCs w:val="22"/>
        </w:rPr>
        <w:t xml:space="preserve"> would be</w:t>
      </w:r>
      <w:r w:rsidR="00C92484" w:rsidRPr="00B30232">
        <w:rPr>
          <w:rFonts w:ascii="Arial" w:hAnsi="Arial" w:cs="Arial"/>
          <w:sz w:val="22"/>
          <w:szCs w:val="22"/>
        </w:rPr>
        <w:t xml:space="preserve"> </w:t>
      </w:r>
      <w:r w:rsidR="00C235C8" w:rsidRPr="00B30232">
        <w:rPr>
          <w:rFonts w:ascii="Arial" w:hAnsi="Arial" w:cs="Arial"/>
          <w:sz w:val="22"/>
          <w:szCs w:val="22"/>
        </w:rPr>
        <w:t>4,440</w:t>
      </w:r>
      <w:r w:rsidR="00A9088B" w:rsidRPr="00B30232">
        <w:rPr>
          <w:rFonts w:ascii="Arial" w:hAnsi="Arial" w:cs="Arial"/>
          <w:sz w:val="22"/>
          <w:szCs w:val="22"/>
        </w:rPr>
        <w:t xml:space="preserve"> </w:t>
      </w:r>
      <w:r w:rsidRPr="00B30232">
        <w:rPr>
          <w:rFonts w:ascii="Arial" w:hAnsi="Arial" w:cs="Arial"/>
          <w:sz w:val="22"/>
          <w:szCs w:val="22"/>
        </w:rPr>
        <w:t>hours (</w:t>
      </w:r>
      <w:r w:rsidR="00C235C8" w:rsidRPr="00B30232">
        <w:rPr>
          <w:rFonts w:ascii="Arial" w:hAnsi="Arial" w:cs="Arial"/>
          <w:sz w:val="22"/>
          <w:szCs w:val="22"/>
        </w:rPr>
        <w:t>3,552</w:t>
      </w:r>
      <w:r w:rsidRPr="00B30232">
        <w:rPr>
          <w:rFonts w:ascii="Arial" w:hAnsi="Arial" w:cs="Arial"/>
          <w:sz w:val="22"/>
          <w:szCs w:val="22"/>
        </w:rPr>
        <w:t xml:space="preserve"> + </w:t>
      </w:r>
      <w:r w:rsidR="00C235C8" w:rsidRPr="00B30232">
        <w:rPr>
          <w:rFonts w:ascii="Arial" w:hAnsi="Arial" w:cs="Arial"/>
          <w:sz w:val="22"/>
          <w:szCs w:val="22"/>
        </w:rPr>
        <w:t>888</w:t>
      </w:r>
      <w:r w:rsidRPr="00B30232">
        <w:rPr>
          <w:rFonts w:ascii="Arial" w:hAnsi="Arial" w:cs="Arial"/>
          <w:sz w:val="22"/>
          <w:szCs w:val="22"/>
        </w:rPr>
        <w:t xml:space="preserve">). </w:t>
      </w:r>
    </w:p>
    <w:p w:rsidR="00A9088B" w:rsidRPr="00B30232" w:rsidRDefault="00A9088B" w:rsidP="006A12BE">
      <w:pPr>
        <w:widowControl w:val="0"/>
        <w:ind w:left="1440"/>
        <w:rPr>
          <w:rFonts w:ascii="Arial" w:hAnsi="Arial" w:cs="Arial"/>
          <w:sz w:val="22"/>
          <w:szCs w:val="22"/>
        </w:rPr>
      </w:pPr>
    </w:p>
    <w:p w:rsidR="00CB29B1" w:rsidRPr="00B30232" w:rsidRDefault="00CB29B1" w:rsidP="00A9088B">
      <w:pPr>
        <w:widowControl w:val="0"/>
        <w:ind w:left="1440"/>
        <w:rPr>
          <w:rFonts w:ascii="Arial" w:hAnsi="Arial" w:cs="Arial"/>
          <w:sz w:val="22"/>
          <w:szCs w:val="22"/>
          <w:u w:val="single"/>
        </w:rPr>
      </w:pPr>
      <w:r w:rsidRPr="00B30232">
        <w:rPr>
          <w:rFonts w:ascii="Arial" w:hAnsi="Arial" w:cs="Arial"/>
          <w:sz w:val="22"/>
          <w:szCs w:val="22"/>
          <w:u w:val="single"/>
        </w:rPr>
        <w:t>RECORDKEEPING BURDEN</w:t>
      </w:r>
    </w:p>
    <w:p w:rsidR="00232FDE" w:rsidRPr="00B30232" w:rsidRDefault="00232FDE" w:rsidP="00A9088B">
      <w:pPr>
        <w:widowControl w:val="0"/>
        <w:ind w:left="1440"/>
        <w:rPr>
          <w:rFonts w:ascii="Arial" w:hAnsi="Arial" w:cs="Arial"/>
          <w:sz w:val="22"/>
          <w:szCs w:val="22"/>
          <w:u w:val="single"/>
        </w:rPr>
      </w:pPr>
    </w:p>
    <w:p w:rsidR="00CB29B1" w:rsidRPr="00B30232" w:rsidRDefault="00CB29B1" w:rsidP="00A9088B">
      <w:pPr>
        <w:widowControl w:val="0"/>
        <w:ind w:left="1440"/>
        <w:rPr>
          <w:rFonts w:ascii="Arial" w:hAnsi="Arial" w:cs="Arial"/>
          <w:sz w:val="22"/>
        </w:rPr>
      </w:pPr>
      <w:r w:rsidRPr="00B30232">
        <w:rPr>
          <w:rFonts w:ascii="Arial" w:hAnsi="Arial" w:cs="Arial"/>
          <w:sz w:val="22"/>
        </w:rPr>
        <w:t xml:space="preserve">Under proposed 10 CFR 61.80(m), licensees would be required to maintain LLRW acceptance records for three years after the record is made.  The estimated annual burden for recordkeeping is </w:t>
      </w:r>
      <w:r w:rsidR="00A72549" w:rsidRPr="00B30232">
        <w:rPr>
          <w:rFonts w:ascii="Arial" w:hAnsi="Arial" w:cs="Arial"/>
          <w:sz w:val="22"/>
        </w:rPr>
        <w:t>40</w:t>
      </w:r>
      <w:r w:rsidRPr="00B30232">
        <w:rPr>
          <w:rFonts w:ascii="Arial" w:hAnsi="Arial" w:cs="Arial"/>
          <w:sz w:val="22"/>
        </w:rPr>
        <w:t xml:space="preserve"> hours.</w:t>
      </w:r>
    </w:p>
    <w:p w:rsidR="00CB29B1" w:rsidRPr="00B30232" w:rsidRDefault="00CB29B1" w:rsidP="00A9088B">
      <w:pPr>
        <w:widowControl w:val="0"/>
        <w:ind w:left="1440"/>
        <w:rPr>
          <w:rFonts w:ascii="Arial" w:hAnsi="Arial" w:cs="Arial"/>
          <w:sz w:val="22"/>
        </w:rPr>
      </w:pPr>
    </w:p>
    <w:p w:rsidR="00A9088B" w:rsidRPr="00B30232" w:rsidRDefault="00A9088B" w:rsidP="00A9088B">
      <w:pPr>
        <w:widowControl w:val="0"/>
        <w:ind w:left="1440"/>
        <w:rPr>
          <w:rFonts w:ascii="Arial" w:hAnsi="Arial" w:cs="Arial"/>
          <w:sz w:val="22"/>
          <w:szCs w:val="22"/>
        </w:rPr>
      </w:pPr>
      <w:r w:rsidRPr="00B30232">
        <w:rPr>
          <w:rFonts w:ascii="Arial" w:hAnsi="Arial" w:cs="Arial"/>
          <w:sz w:val="22"/>
          <w:szCs w:val="22"/>
        </w:rPr>
        <w:t>In addition</w:t>
      </w:r>
      <w:r w:rsidR="00CB29B1" w:rsidRPr="00B30232">
        <w:rPr>
          <w:rFonts w:ascii="Arial" w:hAnsi="Arial" w:cs="Arial"/>
          <w:sz w:val="22"/>
          <w:szCs w:val="22"/>
        </w:rPr>
        <w:t>,</w:t>
      </w:r>
      <w:r w:rsidR="00DB0204" w:rsidRPr="00B30232">
        <w:rPr>
          <w:rFonts w:ascii="Arial" w:hAnsi="Arial" w:cs="Arial"/>
          <w:sz w:val="22"/>
          <w:szCs w:val="22"/>
        </w:rPr>
        <w:t xml:space="preserve"> </w:t>
      </w:r>
      <w:r w:rsidRPr="00B30232">
        <w:rPr>
          <w:rFonts w:ascii="Arial" w:hAnsi="Arial" w:cs="Arial"/>
          <w:sz w:val="22"/>
          <w:szCs w:val="22"/>
        </w:rPr>
        <w:t xml:space="preserve">licensees would also be </w:t>
      </w:r>
      <w:r w:rsidRPr="00B30232">
        <w:rPr>
          <w:rFonts w:ascii="Arial" w:hAnsi="Arial" w:cs="Arial"/>
          <w:sz w:val="22"/>
        </w:rPr>
        <w:t>required, by the proposed 10 CFR 61.58(f), to conduct an annual review of the LLRW acceptance plan to determine if they need to be updated, to ensure that the LLRW disposal facility continues to comply with the Subpart C performance objectives.</w:t>
      </w:r>
      <w:r w:rsidR="00E06BDE" w:rsidRPr="00B30232">
        <w:rPr>
          <w:rFonts w:ascii="Arial" w:hAnsi="Arial" w:cs="Arial"/>
          <w:sz w:val="22"/>
          <w:szCs w:val="22"/>
        </w:rPr>
        <w:t xml:space="preserve"> The NRC estimated this burden to be </w:t>
      </w:r>
      <w:r w:rsidR="00A72549" w:rsidRPr="00B30232">
        <w:rPr>
          <w:rFonts w:ascii="Arial" w:hAnsi="Arial" w:cs="Arial"/>
          <w:sz w:val="22"/>
          <w:szCs w:val="22"/>
        </w:rPr>
        <w:t>40</w:t>
      </w:r>
      <w:r w:rsidR="00E06BDE" w:rsidRPr="00B30232">
        <w:rPr>
          <w:rFonts w:ascii="Arial" w:hAnsi="Arial" w:cs="Arial"/>
          <w:sz w:val="22"/>
          <w:szCs w:val="22"/>
        </w:rPr>
        <w:t xml:space="preserve"> hours</w:t>
      </w:r>
      <w:r w:rsidR="00CB29B1" w:rsidRPr="00B30232">
        <w:rPr>
          <w:rFonts w:ascii="Arial" w:hAnsi="Arial" w:cs="Arial"/>
          <w:sz w:val="22"/>
          <w:szCs w:val="22"/>
        </w:rPr>
        <w:t>.</w:t>
      </w:r>
    </w:p>
    <w:p w:rsidR="006B42C1" w:rsidRPr="00B30232" w:rsidRDefault="006B42C1" w:rsidP="001E5143">
      <w:pPr>
        <w:widowControl w:val="0"/>
        <w:ind w:left="1440"/>
        <w:rPr>
          <w:rFonts w:ascii="Arial" w:hAnsi="Arial" w:cs="Arial"/>
          <w:sz w:val="22"/>
        </w:rPr>
      </w:pPr>
    </w:p>
    <w:p w:rsidR="00DE3176" w:rsidRPr="00B30232" w:rsidRDefault="001626E4" w:rsidP="001E5143">
      <w:pPr>
        <w:widowControl w:val="0"/>
        <w:ind w:left="1440"/>
        <w:rPr>
          <w:rFonts w:ascii="Arial" w:hAnsi="Arial" w:cs="Arial"/>
          <w:sz w:val="22"/>
        </w:rPr>
      </w:pPr>
      <w:r w:rsidRPr="00B30232">
        <w:rPr>
          <w:rFonts w:ascii="Arial" w:hAnsi="Arial" w:cs="Arial"/>
          <w:sz w:val="22"/>
        </w:rPr>
        <w:t xml:space="preserve">The total annual recordkeeping burden is estimated to be </w:t>
      </w:r>
      <w:r w:rsidR="00A72549" w:rsidRPr="00B30232">
        <w:rPr>
          <w:rFonts w:ascii="Arial" w:hAnsi="Arial" w:cs="Arial"/>
          <w:sz w:val="22"/>
        </w:rPr>
        <w:t>80</w:t>
      </w:r>
      <w:r w:rsidRPr="00B30232">
        <w:rPr>
          <w:rFonts w:ascii="Arial" w:hAnsi="Arial" w:cs="Arial"/>
          <w:sz w:val="22"/>
        </w:rPr>
        <w:t xml:space="preserve"> hours (</w:t>
      </w:r>
      <w:r w:rsidR="00A72549" w:rsidRPr="00B30232">
        <w:rPr>
          <w:rFonts w:ascii="Arial" w:hAnsi="Arial" w:cs="Arial"/>
          <w:sz w:val="22"/>
        </w:rPr>
        <w:t>40</w:t>
      </w:r>
      <w:r w:rsidRPr="00B30232">
        <w:rPr>
          <w:rFonts w:ascii="Arial" w:hAnsi="Arial" w:cs="Arial"/>
          <w:sz w:val="22"/>
        </w:rPr>
        <w:t xml:space="preserve"> + </w:t>
      </w:r>
      <w:r w:rsidR="00A72549" w:rsidRPr="00B30232">
        <w:rPr>
          <w:rFonts w:ascii="Arial" w:hAnsi="Arial" w:cs="Arial"/>
          <w:sz w:val="22"/>
        </w:rPr>
        <w:t>40</w:t>
      </w:r>
      <w:r w:rsidRPr="00B30232">
        <w:rPr>
          <w:rFonts w:ascii="Arial" w:hAnsi="Arial" w:cs="Arial"/>
          <w:sz w:val="22"/>
        </w:rPr>
        <w:t>)</w:t>
      </w:r>
      <w:r w:rsidR="00C109DB" w:rsidRPr="00B30232">
        <w:rPr>
          <w:rFonts w:ascii="Arial" w:hAnsi="Arial" w:cs="Arial"/>
          <w:sz w:val="22"/>
        </w:rPr>
        <w:t>, as shown in Table 2.</w:t>
      </w:r>
    </w:p>
    <w:p w:rsidR="005806C4" w:rsidRPr="00B30232" w:rsidRDefault="005806C4" w:rsidP="001E5143">
      <w:pPr>
        <w:widowControl w:val="0"/>
        <w:ind w:left="1440"/>
        <w:rPr>
          <w:rFonts w:ascii="Arial" w:hAnsi="Arial" w:cs="Arial"/>
          <w:sz w:val="22"/>
        </w:rPr>
      </w:pPr>
    </w:p>
    <w:p w:rsidR="00DE3176" w:rsidRPr="00B30232" w:rsidRDefault="001626E4" w:rsidP="001E5143">
      <w:pPr>
        <w:widowControl w:val="0"/>
        <w:ind w:left="1440"/>
        <w:rPr>
          <w:rFonts w:ascii="Arial" w:hAnsi="Arial" w:cs="Arial"/>
          <w:sz w:val="22"/>
          <w:u w:val="single"/>
        </w:rPr>
      </w:pPr>
      <w:r w:rsidRPr="00B30232">
        <w:rPr>
          <w:rFonts w:ascii="Arial" w:hAnsi="Arial" w:cs="Arial"/>
          <w:sz w:val="22"/>
          <w:u w:val="single"/>
        </w:rPr>
        <w:t>BURDEN DURING THE CURRENT CLEARANCE PERIOD</w:t>
      </w:r>
    </w:p>
    <w:p w:rsidR="00232FDE" w:rsidRPr="00B30232" w:rsidRDefault="00232FDE" w:rsidP="001E5143">
      <w:pPr>
        <w:widowControl w:val="0"/>
        <w:ind w:left="1440"/>
        <w:rPr>
          <w:rFonts w:ascii="Arial" w:hAnsi="Arial" w:cs="Arial"/>
          <w:sz w:val="22"/>
          <w:u w:val="single"/>
        </w:rPr>
      </w:pPr>
    </w:p>
    <w:p w:rsidR="001626E4" w:rsidRPr="00B30232" w:rsidRDefault="00AA6AE5" w:rsidP="001E5143">
      <w:pPr>
        <w:widowControl w:val="0"/>
        <w:ind w:left="1440"/>
        <w:rPr>
          <w:rFonts w:ascii="Arial" w:hAnsi="Arial" w:cs="Arial"/>
          <w:sz w:val="22"/>
        </w:rPr>
      </w:pPr>
      <w:r w:rsidRPr="00B30232">
        <w:rPr>
          <w:rFonts w:ascii="Arial" w:hAnsi="Arial" w:cs="Arial"/>
          <w:sz w:val="22"/>
        </w:rPr>
        <w:t xml:space="preserve">This supporting statement assumes that the burden to conduct the initial site-specific </w:t>
      </w:r>
      <w:r w:rsidR="00A9088B" w:rsidRPr="00B30232">
        <w:rPr>
          <w:rFonts w:ascii="Arial" w:hAnsi="Arial" w:cs="Arial"/>
          <w:sz w:val="22"/>
        </w:rPr>
        <w:t xml:space="preserve">technical </w:t>
      </w:r>
      <w:r w:rsidRPr="00B30232">
        <w:rPr>
          <w:rFonts w:ascii="Arial" w:hAnsi="Arial" w:cs="Arial"/>
          <w:sz w:val="22"/>
        </w:rPr>
        <w:t xml:space="preserve">analyses will be incurred in calendar year </w:t>
      </w:r>
      <w:r w:rsidR="005806C4" w:rsidRPr="00B30232">
        <w:rPr>
          <w:rFonts w:ascii="Arial" w:hAnsi="Arial" w:cs="Arial"/>
          <w:sz w:val="22"/>
        </w:rPr>
        <w:t>201</w:t>
      </w:r>
      <w:r w:rsidR="00232FDE" w:rsidRPr="00B30232">
        <w:rPr>
          <w:rFonts w:ascii="Arial" w:hAnsi="Arial" w:cs="Arial"/>
          <w:sz w:val="22"/>
        </w:rPr>
        <w:t>9</w:t>
      </w:r>
      <w:r w:rsidRPr="00B30232">
        <w:rPr>
          <w:rFonts w:ascii="Arial" w:hAnsi="Arial" w:cs="Arial"/>
          <w:sz w:val="22"/>
        </w:rPr>
        <w:t xml:space="preserve">, based on the assumption that the NRC will publish the final rule in </w:t>
      </w:r>
      <w:r w:rsidR="005806C4" w:rsidRPr="00B30232">
        <w:rPr>
          <w:rFonts w:ascii="Arial" w:hAnsi="Arial" w:cs="Arial"/>
          <w:sz w:val="22"/>
        </w:rPr>
        <w:t>201</w:t>
      </w:r>
      <w:r w:rsidR="00232FDE" w:rsidRPr="00B30232">
        <w:rPr>
          <w:rFonts w:ascii="Arial" w:hAnsi="Arial" w:cs="Arial"/>
          <w:sz w:val="22"/>
        </w:rPr>
        <w:t>6</w:t>
      </w:r>
      <w:r w:rsidR="005806C4" w:rsidRPr="00B30232">
        <w:rPr>
          <w:rFonts w:ascii="Arial" w:hAnsi="Arial" w:cs="Arial"/>
          <w:sz w:val="22"/>
        </w:rPr>
        <w:t xml:space="preserve"> </w:t>
      </w:r>
      <w:r w:rsidRPr="00B30232">
        <w:rPr>
          <w:rFonts w:ascii="Arial" w:hAnsi="Arial" w:cs="Arial"/>
          <w:sz w:val="22"/>
        </w:rPr>
        <w:t xml:space="preserve">and the Agreement States will take 3 years to develop their conforming regulations and to adopt the </w:t>
      </w:r>
      <w:r w:rsidR="00A9088B" w:rsidRPr="00B30232">
        <w:rPr>
          <w:rFonts w:ascii="Arial" w:hAnsi="Arial" w:cs="Arial"/>
          <w:sz w:val="22"/>
        </w:rPr>
        <w:t xml:space="preserve">final </w:t>
      </w:r>
      <w:r w:rsidRPr="00B30232">
        <w:rPr>
          <w:rFonts w:ascii="Arial" w:hAnsi="Arial" w:cs="Arial"/>
          <w:sz w:val="22"/>
        </w:rPr>
        <w:t>10 CFR Part 61</w:t>
      </w:r>
      <w:r w:rsidR="00A9088B" w:rsidRPr="00B30232">
        <w:rPr>
          <w:rFonts w:ascii="Arial" w:hAnsi="Arial" w:cs="Arial"/>
          <w:sz w:val="22"/>
        </w:rPr>
        <w:t xml:space="preserve"> regulations</w:t>
      </w:r>
      <w:r w:rsidRPr="00B30232">
        <w:rPr>
          <w:rFonts w:ascii="Arial" w:hAnsi="Arial" w:cs="Arial"/>
          <w:sz w:val="22"/>
        </w:rPr>
        <w:t xml:space="preserve">.  </w:t>
      </w:r>
      <w:r w:rsidR="001626E4" w:rsidRPr="00B30232">
        <w:rPr>
          <w:rFonts w:ascii="Arial" w:hAnsi="Arial" w:cs="Arial"/>
          <w:sz w:val="22"/>
        </w:rPr>
        <w:t xml:space="preserve">(All four existing LLRW disposal facility licensee are in Agreement States).  </w:t>
      </w:r>
      <w:r w:rsidRPr="00660499">
        <w:rPr>
          <w:rFonts w:ascii="Arial" w:hAnsi="Arial" w:cs="Arial"/>
          <w:sz w:val="22"/>
        </w:rPr>
        <w:t>Thus, t</w:t>
      </w:r>
      <w:r w:rsidR="001E5143" w:rsidRPr="00660499">
        <w:rPr>
          <w:rFonts w:ascii="Arial" w:hAnsi="Arial" w:cs="Arial"/>
          <w:sz w:val="22"/>
        </w:rPr>
        <w:t>he</w:t>
      </w:r>
      <w:r w:rsidR="00610724" w:rsidRPr="00660499">
        <w:rPr>
          <w:rFonts w:ascii="Arial" w:hAnsi="Arial" w:cs="Arial"/>
          <w:sz w:val="22"/>
        </w:rPr>
        <w:t xml:space="preserve"> total burden and cost for </w:t>
      </w:r>
      <w:r w:rsidR="006A12BE" w:rsidRPr="00660499">
        <w:rPr>
          <w:rFonts w:ascii="Arial" w:hAnsi="Arial" w:cs="Arial"/>
          <w:sz w:val="22"/>
        </w:rPr>
        <w:t>10 CFR </w:t>
      </w:r>
      <w:r w:rsidR="004F47CC" w:rsidRPr="00660499">
        <w:rPr>
          <w:rFonts w:ascii="Arial" w:hAnsi="Arial" w:cs="Arial"/>
          <w:sz w:val="22"/>
        </w:rPr>
        <w:t xml:space="preserve">Part 61 </w:t>
      </w:r>
      <w:r w:rsidR="00A92BC3" w:rsidRPr="00660499">
        <w:rPr>
          <w:rFonts w:ascii="Arial" w:hAnsi="Arial" w:cs="Arial"/>
          <w:sz w:val="22"/>
        </w:rPr>
        <w:t>site</w:t>
      </w:r>
      <w:r w:rsidR="007026EC" w:rsidRPr="00660499">
        <w:rPr>
          <w:rFonts w:ascii="Arial" w:hAnsi="Arial" w:cs="Arial"/>
          <w:sz w:val="22"/>
        </w:rPr>
        <w:t>-</w:t>
      </w:r>
      <w:r w:rsidR="00A92BC3" w:rsidRPr="00660499">
        <w:rPr>
          <w:rFonts w:ascii="Arial" w:hAnsi="Arial" w:cs="Arial"/>
          <w:sz w:val="22"/>
        </w:rPr>
        <w:t xml:space="preserve">specific </w:t>
      </w:r>
      <w:r w:rsidR="006A12BE" w:rsidRPr="00660499">
        <w:rPr>
          <w:rFonts w:ascii="Arial" w:hAnsi="Arial" w:cs="Arial"/>
          <w:sz w:val="22"/>
        </w:rPr>
        <w:t xml:space="preserve">technical </w:t>
      </w:r>
      <w:r w:rsidR="00A92BC3" w:rsidRPr="00660499">
        <w:rPr>
          <w:rFonts w:ascii="Arial" w:hAnsi="Arial" w:cs="Arial"/>
          <w:sz w:val="22"/>
        </w:rPr>
        <w:t>analyses</w:t>
      </w:r>
      <w:r w:rsidR="006A12BE" w:rsidRPr="00660499">
        <w:rPr>
          <w:rFonts w:ascii="Arial" w:hAnsi="Arial" w:cs="Arial"/>
          <w:sz w:val="22"/>
        </w:rPr>
        <w:t xml:space="preserve"> and LLRW acceptance plan</w:t>
      </w:r>
      <w:r w:rsidR="00A92BC3" w:rsidRPr="00660499">
        <w:rPr>
          <w:rFonts w:ascii="Arial" w:hAnsi="Arial" w:cs="Arial"/>
          <w:sz w:val="22"/>
        </w:rPr>
        <w:t xml:space="preserve"> requirements </w:t>
      </w:r>
      <w:r w:rsidR="001E5143" w:rsidRPr="00660499">
        <w:rPr>
          <w:rFonts w:ascii="Arial" w:hAnsi="Arial" w:cs="Arial"/>
          <w:sz w:val="22"/>
        </w:rPr>
        <w:t xml:space="preserve">for respondents to respond to the information collection activities is </w:t>
      </w:r>
      <w:r w:rsidR="004A3C6A" w:rsidRPr="00660499">
        <w:rPr>
          <w:rFonts w:ascii="Arial" w:hAnsi="Arial" w:cs="Arial"/>
          <w:sz w:val="22"/>
        </w:rPr>
        <w:t>0</w:t>
      </w:r>
      <w:r w:rsidR="001E5143" w:rsidRPr="00660499">
        <w:rPr>
          <w:rFonts w:ascii="Arial" w:hAnsi="Arial" w:cs="Arial"/>
          <w:sz w:val="22"/>
        </w:rPr>
        <w:t xml:space="preserve"> hours</w:t>
      </w:r>
      <w:r w:rsidR="00A9088B" w:rsidRPr="00660499">
        <w:rPr>
          <w:rFonts w:ascii="Arial" w:hAnsi="Arial" w:cs="Arial"/>
          <w:sz w:val="22"/>
        </w:rPr>
        <w:t>,</w:t>
      </w:r>
      <w:r w:rsidR="001E5143" w:rsidRPr="00660499">
        <w:rPr>
          <w:rFonts w:ascii="Arial" w:hAnsi="Arial" w:cs="Arial"/>
          <w:sz w:val="22"/>
        </w:rPr>
        <w:t xml:space="preserve"> </w:t>
      </w:r>
      <w:r w:rsidR="004A3C6A" w:rsidRPr="00660499">
        <w:rPr>
          <w:rFonts w:ascii="Arial" w:hAnsi="Arial" w:cs="Arial"/>
          <w:sz w:val="22"/>
        </w:rPr>
        <w:t xml:space="preserve">because no licensees are expected to </w:t>
      </w:r>
      <w:r w:rsidR="00311032" w:rsidRPr="00660499">
        <w:rPr>
          <w:rFonts w:ascii="Arial" w:hAnsi="Arial" w:cs="Arial"/>
          <w:sz w:val="22"/>
        </w:rPr>
        <w:t xml:space="preserve">amend the existing license </w:t>
      </w:r>
      <w:r w:rsidR="004A3C6A" w:rsidRPr="00660499">
        <w:rPr>
          <w:rFonts w:ascii="Arial" w:hAnsi="Arial" w:cs="Arial"/>
          <w:sz w:val="22"/>
        </w:rPr>
        <w:t>or apply for new license during this clearance period.</w:t>
      </w:r>
      <w:r w:rsidRPr="00B30232">
        <w:rPr>
          <w:rFonts w:ascii="Arial" w:hAnsi="Arial" w:cs="Arial"/>
          <w:sz w:val="22"/>
        </w:rPr>
        <w:t xml:space="preserve">  The NRC has estimated burden for each of the site specific </w:t>
      </w:r>
      <w:r w:rsidR="00A9088B" w:rsidRPr="00B30232">
        <w:rPr>
          <w:rFonts w:ascii="Arial" w:hAnsi="Arial" w:cs="Arial"/>
          <w:sz w:val="22"/>
        </w:rPr>
        <w:t xml:space="preserve">technical </w:t>
      </w:r>
      <w:r w:rsidRPr="00B30232">
        <w:rPr>
          <w:rFonts w:ascii="Arial" w:hAnsi="Arial" w:cs="Arial"/>
          <w:sz w:val="22"/>
        </w:rPr>
        <w:t>analyses requirements by the proposed rule and are included in Table 1.</w:t>
      </w:r>
    </w:p>
    <w:p w:rsidR="001626E4" w:rsidRPr="00B30232" w:rsidRDefault="001626E4" w:rsidP="001E5143">
      <w:pPr>
        <w:widowControl w:val="0"/>
        <w:ind w:left="1440"/>
        <w:rPr>
          <w:rFonts w:ascii="Arial" w:hAnsi="Arial" w:cs="Arial"/>
          <w:sz w:val="22"/>
        </w:rPr>
      </w:pPr>
    </w:p>
    <w:p w:rsidR="001626E4" w:rsidRPr="00B30232" w:rsidRDefault="001626E4" w:rsidP="001626E4">
      <w:pPr>
        <w:widowControl w:val="0"/>
        <w:ind w:left="1440"/>
        <w:rPr>
          <w:rFonts w:ascii="Arial" w:hAnsi="Arial" w:cs="Arial"/>
          <w:sz w:val="22"/>
        </w:rPr>
      </w:pPr>
      <w:r w:rsidRPr="00B30232">
        <w:rPr>
          <w:rFonts w:ascii="Arial" w:hAnsi="Arial" w:cs="Arial"/>
          <w:sz w:val="22"/>
        </w:rPr>
        <w:t>In addition, the site specific technical analyses requirements are not retroactive.  Licensees are not required to provide these analyses until the time of license amendment or new license application.  No licensees are expected to renew or apply for new license during this clearance period.</w:t>
      </w:r>
    </w:p>
    <w:p w:rsidR="001626E4" w:rsidRPr="00B30232" w:rsidRDefault="001626E4" w:rsidP="001E5143">
      <w:pPr>
        <w:widowControl w:val="0"/>
        <w:ind w:left="1440"/>
        <w:rPr>
          <w:rFonts w:ascii="Arial" w:hAnsi="Arial" w:cs="Arial"/>
          <w:sz w:val="22"/>
        </w:rPr>
      </w:pPr>
    </w:p>
    <w:p w:rsidR="005806C4" w:rsidRPr="00B30232" w:rsidRDefault="004904D0" w:rsidP="001E5143">
      <w:pPr>
        <w:widowControl w:val="0"/>
        <w:ind w:left="1440"/>
        <w:rPr>
          <w:rFonts w:ascii="Arial" w:hAnsi="Arial" w:cs="Arial"/>
          <w:sz w:val="22"/>
          <w:u w:val="single"/>
        </w:rPr>
      </w:pPr>
      <w:r w:rsidRPr="00B30232">
        <w:rPr>
          <w:rFonts w:ascii="Arial" w:hAnsi="Arial" w:cs="Arial"/>
          <w:sz w:val="22"/>
          <w:u w:val="single"/>
        </w:rPr>
        <w:t>FUTURE BURDEN</w:t>
      </w:r>
    </w:p>
    <w:p w:rsidR="00232FDE" w:rsidRPr="00B30232" w:rsidRDefault="00232FDE" w:rsidP="001E5143">
      <w:pPr>
        <w:widowControl w:val="0"/>
        <w:ind w:left="1440"/>
        <w:rPr>
          <w:rFonts w:ascii="Arial" w:hAnsi="Arial" w:cs="Arial"/>
          <w:sz w:val="22"/>
          <w:u w:val="single"/>
        </w:rPr>
      </w:pPr>
    </w:p>
    <w:p w:rsidR="004904D0" w:rsidRPr="00B30232" w:rsidRDefault="004904D0" w:rsidP="001E5143">
      <w:pPr>
        <w:widowControl w:val="0"/>
        <w:ind w:left="1440"/>
        <w:rPr>
          <w:rFonts w:ascii="Arial" w:hAnsi="Arial" w:cs="Arial"/>
          <w:sz w:val="22"/>
        </w:rPr>
      </w:pPr>
      <w:r w:rsidRPr="00B30232">
        <w:rPr>
          <w:rFonts w:ascii="Arial" w:hAnsi="Arial" w:cs="Arial"/>
          <w:sz w:val="22"/>
        </w:rPr>
        <w:t xml:space="preserve">As estimated above, implementation of this proposed rule would require an estimated </w:t>
      </w:r>
      <w:r w:rsidR="00C235C8" w:rsidRPr="00B30232">
        <w:rPr>
          <w:rFonts w:ascii="Arial" w:hAnsi="Arial" w:cs="Arial"/>
          <w:sz w:val="22"/>
        </w:rPr>
        <w:t>12,</w:t>
      </w:r>
      <w:r w:rsidR="00265DF8">
        <w:rPr>
          <w:rFonts w:ascii="Arial" w:hAnsi="Arial" w:cs="Arial"/>
          <w:sz w:val="22"/>
        </w:rPr>
        <w:t>43</w:t>
      </w:r>
      <w:r w:rsidR="00265DF8" w:rsidRPr="00B30232">
        <w:rPr>
          <w:rFonts w:ascii="Arial" w:hAnsi="Arial" w:cs="Arial"/>
          <w:sz w:val="22"/>
        </w:rPr>
        <w:t xml:space="preserve">2 </w:t>
      </w:r>
      <w:r w:rsidRPr="00B30232">
        <w:rPr>
          <w:rFonts w:ascii="Arial" w:hAnsi="Arial" w:cs="Arial"/>
          <w:sz w:val="22"/>
        </w:rPr>
        <w:t>hours per licensee (</w:t>
      </w:r>
      <w:r w:rsidR="00C235C8" w:rsidRPr="00B30232">
        <w:rPr>
          <w:rFonts w:ascii="Arial" w:hAnsi="Arial" w:cs="Arial"/>
          <w:sz w:val="22"/>
        </w:rPr>
        <w:t>4,</w:t>
      </w:r>
      <w:r w:rsidR="00265DF8" w:rsidRPr="00B30232">
        <w:rPr>
          <w:rFonts w:ascii="Arial" w:hAnsi="Arial" w:cs="Arial"/>
          <w:sz w:val="22"/>
        </w:rPr>
        <w:t>1</w:t>
      </w:r>
      <w:r w:rsidR="00265DF8">
        <w:rPr>
          <w:rFonts w:ascii="Arial" w:hAnsi="Arial" w:cs="Arial"/>
          <w:sz w:val="22"/>
        </w:rPr>
        <w:t>44</w:t>
      </w:r>
      <w:r w:rsidR="00265DF8" w:rsidRPr="00B30232">
        <w:rPr>
          <w:rFonts w:ascii="Arial" w:hAnsi="Arial" w:cs="Arial"/>
          <w:sz w:val="22"/>
        </w:rPr>
        <w:t xml:space="preserve"> </w:t>
      </w:r>
      <w:r w:rsidRPr="00B30232">
        <w:rPr>
          <w:rFonts w:ascii="Arial" w:hAnsi="Arial" w:cs="Arial"/>
          <w:sz w:val="22"/>
        </w:rPr>
        <w:t xml:space="preserve">hours annualized); updating analyses during operation would require </w:t>
      </w:r>
      <w:r w:rsidR="00C235C8" w:rsidRPr="00B30232">
        <w:rPr>
          <w:rFonts w:ascii="Arial" w:hAnsi="Arial" w:cs="Arial"/>
          <w:sz w:val="22"/>
        </w:rPr>
        <w:t>5,328</w:t>
      </w:r>
      <w:r w:rsidRPr="00B30232">
        <w:rPr>
          <w:rFonts w:ascii="Arial" w:hAnsi="Arial" w:cs="Arial"/>
          <w:sz w:val="22"/>
        </w:rPr>
        <w:t xml:space="preserve"> hours per licensee (</w:t>
      </w:r>
      <w:r w:rsidR="00C235C8" w:rsidRPr="00B30232">
        <w:rPr>
          <w:rFonts w:ascii="Arial" w:hAnsi="Arial" w:cs="Arial"/>
          <w:sz w:val="22"/>
        </w:rPr>
        <w:t>1,776</w:t>
      </w:r>
      <w:r w:rsidRPr="00B30232">
        <w:rPr>
          <w:rFonts w:ascii="Arial" w:hAnsi="Arial" w:cs="Arial"/>
          <w:sz w:val="22"/>
        </w:rPr>
        <w:t xml:space="preserve"> hours annualized); and updating analyses at closure would require </w:t>
      </w:r>
      <w:r w:rsidR="00C235C8" w:rsidRPr="00B30232">
        <w:rPr>
          <w:rFonts w:ascii="Arial" w:hAnsi="Arial" w:cs="Arial"/>
          <w:sz w:val="22"/>
        </w:rPr>
        <w:t>4,440</w:t>
      </w:r>
      <w:r w:rsidRPr="00B30232">
        <w:rPr>
          <w:rFonts w:ascii="Arial" w:hAnsi="Arial" w:cs="Arial"/>
          <w:sz w:val="22"/>
        </w:rPr>
        <w:t xml:space="preserve"> hours per licensee (</w:t>
      </w:r>
      <w:r w:rsidR="00C235C8" w:rsidRPr="00B30232">
        <w:rPr>
          <w:rFonts w:ascii="Arial" w:hAnsi="Arial" w:cs="Arial"/>
          <w:sz w:val="22"/>
        </w:rPr>
        <w:t>1,480</w:t>
      </w:r>
      <w:r w:rsidR="00C109DB" w:rsidRPr="00B30232">
        <w:rPr>
          <w:rFonts w:ascii="Arial" w:hAnsi="Arial" w:cs="Arial"/>
          <w:sz w:val="22"/>
        </w:rPr>
        <w:t xml:space="preserve"> </w:t>
      </w:r>
      <w:r w:rsidRPr="00B30232">
        <w:rPr>
          <w:rFonts w:ascii="Arial" w:hAnsi="Arial" w:cs="Arial"/>
          <w:sz w:val="22"/>
        </w:rPr>
        <w:t>hours annualized)</w:t>
      </w:r>
      <w:r w:rsidR="007518B1" w:rsidRPr="00B30232">
        <w:rPr>
          <w:rFonts w:ascii="Arial" w:hAnsi="Arial" w:cs="Arial"/>
          <w:sz w:val="22"/>
        </w:rPr>
        <w:t xml:space="preserve">, for a total of </w:t>
      </w:r>
      <w:r w:rsidR="00C235C8" w:rsidRPr="00B30232">
        <w:rPr>
          <w:rFonts w:ascii="Arial" w:hAnsi="Arial" w:cs="Arial"/>
          <w:sz w:val="22"/>
        </w:rPr>
        <w:t>22,</w:t>
      </w:r>
      <w:r w:rsidR="00265DF8">
        <w:rPr>
          <w:rFonts w:ascii="Arial" w:hAnsi="Arial" w:cs="Arial"/>
          <w:sz w:val="22"/>
        </w:rPr>
        <w:t>20</w:t>
      </w:r>
      <w:r w:rsidR="00265DF8" w:rsidRPr="00B30232">
        <w:rPr>
          <w:rFonts w:ascii="Arial" w:hAnsi="Arial" w:cs="Arial"/>
          <w:sz w:val="22"/>
        </w:rPr>
        <w:t xml:space="preserve">0 </w:t>
      </w:r>
      <w:r w:rsidR="007518B1" w:rsidRPr="00B30232">
        <w:rPr>
          <w:rFonts w:ascii="Arial" w:hAnsi="Arial" w:cs="Arial"/>
          <w:sz w:val="22"/>
        </w:rPr>
        <w:t>hours reporting burden per licensee (</w:t>
      </w:r>
      <w:r w:rsidR="00C235C8" w:rsidRPr="00B30232">
        <w:rPr>
          <w:rFonts w:ascii="Arial" w:hAnsi="Arial" w:cs="Arial"/>
          <w:sz w:val="22"/>
        </w:rPr>
        <w:t>7,</w:t>
      </w:r>
      <w:r w:rsidR="00265DF8">
        <w:rPr>
          <w:rFonts w:ascii="Arial" w:hAnsi="Arial" w:cs="Arial"/>
          <w:sz w:val="22"/>
        </w:rPr>
        <w:t>400</w:t>
      </w:r>
      <w:r w:rsidR="00265DF8" w:rsidRPr="00B30232">
        <w:rPr>
          <w:rFonts w:ascii="Arial" w:hAnsi="Arial" w:cs="Arial"/>
          <w:sz w:val="22"/>
        </w:rPr>
        <w:t xml:space="preserve"> </w:t>
      </w:r>
      <w:r w:rsidR="007518B1" w:rsidRPr="00B30232">
        <w:rPr>
          <w:rFonts w:ascii="Arial" w:hAnsi="Arial" w:cs="Arial"/>
          <w:sz w:val="22"/>
        </w:rPr>
        <w:t>hours annualized)</w:t>
      </w:r>
      <w:r w:rsidRPr="00B30232">
        <w:rPr>
          <w:rFonts w:ascii="Arial" w:hAnsi="Arial" w:cs="Arial"/>
          <w:sz w:val="22"/>
        </w:rPr>
        <w:t xml:space="preserve">.  Each of these </w:t>
      </w:r>
      <w:r w:rsidR="007518B1" w:rsidRPr="00B30232">
        <w:rPr>
          <w:rFonts w:ascii="Arial" w:hAnsi="Arial" w:cs="Arial"/>
          <w:sz w:val="22"/>
        </w:rPr>
        <w:t xml:space="preserve">reporting </w:t>
      </w:r>
      <w:r w:rsidRPr="00B30232">
        <w:rPr>
          <w:rFonts w:ascii="Arial" w:hAnsi="Arial" w:cs="Arial"/>
          <w:sz w:val="22"/>
        </w:rPr>
        <w:t>burdens are one-time burdens, and will be reflected in the supporting statement for Part 61 as the licensees perform the requirements.</w:t>
      </w:r>
    </w:p>
    <w:p w:rsidR="004904D0" w:rsidRPr="00B30232" w:rsidRDefault="004904D0" w:rsidP="001E5143">
      <w:pPr>
        <w:widowControl w:val="0"/>
        <w:ind w:left="1440"/>
        <w:rPr>
          <w:rFonts w:ascii="Arial" w:hAnsi="Arial" w:cs="Arial"/>
          <w:sz w:val="22"/>
        </w:rPr>
      </w:pPr>
    </w:p>
    <w:p w:rsidR="00E06BDE" w:rsidRPr="00B30232" w:rsidRDefault="004904D0" w:rsidP="001E5143">
      <w:pPr>
        <w:widowControl w:val="0"/>
        <w:ind w:left="1440"/>
        <w:rPr>
          <w:rFonts w:ascii="Arial" w:hAnsi="Arial" w:cs="Arial"/>
          <w:sz w:val="22"/>
        </w:rPr>
      </w:pPr>
      <w:r w:rsidRPr="00B30232">
        <w:rPr>
          <w:rFonts w:ascii="Arial" w:hAnsi="Arial" w:cs="Arial"/>
          <w:sz w:val="22"/>
        </w:rPr>
        <w:t xml:space="preserve">Once licensees have updated their waste acceptance plans, they will incur an additional annual recordkeeping burden of </w:t>
      </w:r>
      <w:r w:rsidR="00581C87" w:rsidRPr="00B30232">
        <w:rPr>
          <w:rFonts w:ascii="Arial" w:hAnsi="Arial" w:cs="Arial"/>
          <w:sz w:val="22"/>
        </w:rPr>
        <w:t>80</w:t>
      </w:r>
      <w:r w:rsidRPr="00B30232">
        <w:rPr>
          <w:rFonts w:ascii="Arial" w:hAnsi="Arial" w:cs="Arial"/>
          <w:sz w:val="22"/>
        </w:rPr>
        <w:t xml:space="preserve"> hours.</w:t>
      </w:r>
    </w:p>
    <w:p w:rsidR="00E06BDE" w:rsidRPr="00B30232" w:rsidRDefault="00E06BDE" w:rsidP="001E5143">
      <w:pPr>
        <w:widowControl w:val="0"/>
        <w:ind w:left="144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Estimate of Other Additional Costs</w:t>
      </w:r>
      <w:r w:rsidRPr="00B30232">
        <w:rPr>
          <w:rFonts w:ascii="Arial" w:hAnsi="Arial" w:cs="Arial"/>
          <w:sz w:val="22"/>
        </w:rPr>
        <w:t xml:space="preserve"> </w:t>
      </w:r>
    </w:p>
    <w:p w:rsidR="001E5143" w:rsidRPr="00B30232" w:rsidRDefault="001E5143" w:rsidP="001E5143">
      <w:pPr>
        <w:widowControl w:val="0"/>
        <w:ind w:left="1440"/>
        <w:rPr>
          <w:rFonts w:ascii="Arial" w:hAnsi="Arial" w:cs="Arial"/>
          <w:sz w:val="22"/>
        </w:rPr>
      </w:pPr>
    </w:p>
    <w:p w:rsidR="001E5143" w:rsidRPr="00B30232" w:rsidRDefault="002B36E8" w:rsidP="001E5143">
      <w:pPr>
        <w:widowControl w:val="0"/>
        <w:ind w:left="1440"/>
        <w:rPr>
          <w:rFonts w:ascii="Arial" w:hAnsi="Arial" w:cs="Arial"/>
          <w:b/>
          <w:sz w:val="22"/>
        </w:rPr>
      </w:pPr>
      <w:r w:rsidRPr="00B30232">
        <w:rPr>
          <w:rFonts w:ascii="Arial" w:hAnsi="Arial" w:cs="Arial"/>
          <w:sz w:val="22"/>
        </w:rPr>
        <w:t>There are no additional costs.</w:t>
      </w:r>
    </w:p>
    <w:p w:rsidR="001E5143" w:rsidRPr="00B30232" w:rsidRDefault="001E5143" w:rsidP="001E5143">
      <w:pPr>
        <w:widowControl w:val="0"/>
        <w:rPr>
          <w:rFonts w:ascii="Arial" w:hAnsi="Arial" w:cs="Arial"/>
          <w:b/>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Estimated Annualized Cost to Federal Government</w:t>
      </w:r>
    </w:p>
    <w:p w:rsidR="001E5143" w:rsidRPr="00B30232" w:rsidRDefault="001E5143" w:rsidP="001E5143">
      <w:pPr>
        <w:widowControl w:val="0"/>
        <w:rPr>
          <w:rFonts w:ascii="Arial" w:hAnsi="Arial" w:cs="Arial"/>
          <w:sz w:val="22"/>
        </w:rPr>
      </w:pPr>
    </w:p>
    <w:p w:rsidR="001E5143" w:rsidRPr="00B30232" w:rsidRDefault="001E5143" w:rsidP="001E5143">
      <w:pPr>
        <w:widowControl w:val="0"/>
        <w:ind w:left="1440"/>
        <w:rPr>
          <w:rFonts w:ascii="Arial" w:hAnsi="Arial" w:cs="Arial"/>
          <w:sz w:val="22"/>
        </w:rPr>
      </w:pPr>
      <w:r w:rsidRPr="00B30232">
        <w:rPr>
          <w:rFonts w:ascii="Arial" w:hAnsi="Arial" w:cs="Arial"/>
          <w:sz w:val="22"/>
        </w:rPr>
        <w:t xml:space="preserve">There is no estimated annual cost to the Federal government for reviewing applications and reports, responding to notifications, and inspecting applicable records.  Because the four </w:t>
      </w:r>
      <w:r w:rsidR="00311032" w:rsidRPr="00B30232">
        <w:rPr>
          <w:rFonts w:ascii="Arial" w:hAnsi="Arial" w:cs="Arial"/>
          <w:sz w:val="22"/>
        </w:rPr>
        <w:t xml:space="preserve">existing </w:t>
      </w:r>
      <w:r w:rsidRPr="00B30232">
        <w:rPr>
          <w:rFonts w:ascii="Arial" w:hAnsi="Arial" w:cs="Arial"/>
          <w:sz w:val="22"/>
        </w:rPr>
        <w:t>licensees are in Agreement States, the States in which they are located are responsible for these functions.</w:t>
      </w:r>
    </w:p>
    <w:p w:rsidR="001E5143" w:rsidRPr="00B30232" w:rsidRDefault="001E5143" w:rsidP="001E5143">
      <w:pPr>
        <w:widowControl w:val="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Reasons for Changes in Burden or Cost</w:t>
      </w:r>
      <w:r w:rsidRPr="00B30232">
        <w:rPr>
          <w:rFonts w:ascii="Arial" w:hAnsi="Arial" w:cs="Arial"/>
          <w:sz w:val="22"/>
        </w:rPr>
        <w:t xml:space="preserve"> </w:t>
      </w:r>
    </w:p>
    <w:p w:rsidR="001E5143" w:rsidRPr="00B30232" w:rsidRDefault="001E5143" w:rsidP="001E5143">
      <w:pPr>
        <w:widowControl w:val="0"/>
        <w:rPr>
          <w:rFonts w:ascii="Arial" w:hAnsi="Arial" w:cs="Arial"/>
          <w:sz w:val="22"/>
        </w:rPr>
      </w:pPr>
    </w:p>
    <w:p w:rsidR="007518B1" w:rsidRPr="00B30232" w:rsidRDefault="007518B1" w:rsidP="001E5143">
      <w:pPr>
        <w:widowControl w:val="0"/>
        <w:ind w:left="1440"/>
        <w:rPr>
          <w:rFonts w:ascii="Arial" w:hAnsi="Arial" w:cs="Arial"/>
          <w:sz w:val="22"/>
        </w:rPr>
      </w:pPr>
      <w:r w:rsidRPr="00B30232">
        <w:rPr>
          <w:rFonts w:ascii="Arial" w:hAnsi="Arial" w:cs="Arial"/>
          <w:sz w:val="22"/>
        </w:rPr>
        <w:t>The burden for this information collection has not changed for the upcoming 3-year clearance period, because the four existing LLRW licensees located in Agreement States will not implement the changes for four years after publication of the final rule.</w:t>
      </w:r>
      <w:r w:rsidR="00232F6D" w:rsidRPr="00B30232">
        <w:rPr>
          <w:rFonts w:ascii="Arial" w:hAnsi="Arial" w:cs="Arial"/>
          <w:sz w:val="22"/>
        </w:rPr>
        <w:t xml:space="preserve">  </w:t>
      </w:r>
      <w:r w:rsidR="00232F6D" w:rsidRPr="00B30232">
        <w:rPr>
          <w:rFonts w:ascii="Arial" w:hAnsi="Arial" w:cs="Arial"/>
          <w:sz w:val="22"/>
          <w:szCs w:val="22"/>
        </w:rPr>
        <w:t>No licensees are expected to amend or apply for new license during this clearance period.</w:t>
      </w:r>
    </w:p>
    <w:p w:rsidR="007518B1" w:rsidRPr="00B30232" w:rsidRDefault="007518B1" w:rsidP="001E5143">
      <w:pPr>
        <w:widowControl w:val="0"/>
        <w:ind w:left="1440"/>
        <w:rPr>
          <w:rFonts w:ascii="Arial" w:hAnsi="Arial" w:cs="Arial"/>
          <w:sz w:val="22"/>
        </w:rPr>
      </w:pPr>
    </w:p>
    <w:p w:rsidR="001E5143" w:rsidRPr="00B30232" w:rsidRDefault="007518B1" w:rsidP="001E5143">
      <w:pPr>
        <w:widowControl w:val="0"/>
        <w:ind w:left="1440"/>
        <w:rPr>
          <w:rFonts w:ascii="Arial" w:hAnsi="Arial" w:cs="Arial"/>
          <w:sz w:val="22"/>
        </w:rPr>
      </w:pPr>
      <w:r w:rsidRPr="00B30232">
        <w:rPr>
          <w:rFonts w:ascii="Arial" w:hAnsi="Arial" w:cs="Arial"/>
          <w:sz w:val="22"/>
        </w:rPr>
        <w:t>The burden impact of the information</w:t>
      </w:r>
      <w:r w:rsidR="00C109DB" w:rsidRPr="00B30232">
        <w:rPr>
          <w:rFonts w:ascii="Arial" w:hAnsi="Arial" w:cs="Arial"/>
          <w:sz w:val="22"/>
        </w:rPr>
        <w:t xml:space="preserve"> collection will be a fu</w:t>
      </w:r>
      <w:r w:rsidRPr="00B30232">
        <w:rPr>
          <w:rFonts w:ascii="Arial" w:hAnsi="Arial" w:cs="Arial"/>
          <w:sz w:val="22"/>
        </w:rPr>
        <w:t xml:space="preserve">ture increase </w:t>
      </w:r>
      <w:r w:rsidR="007026EC" w:rsidRPr="00B30232">
        <w:rPr>
          <w:rFonts w:ascii="Arial" w:hAnsi="Arial" w:cs="Arial"/>
          <w:sz w:val="22"/>
        </w:rPr>
        <w:t>due to the site-specific</w:t>
      </w:r>
      <w:r w:rsidR="006A12BE" w:rsidRPr="00B30232">
        <w:rPr>
          <w:rFonts w:ascii="Arial" w:hAnsi="Arial" w:cs="Arial"/>
          <w:sz w:val="22"/>
        </w:rPr>
        <w:t xml:space="preserve"> technical</w:t>
      </w:r>
      <w:r w:rsidR="007026EC" w:rsidRPr="00B30232">
        <w:rPr>
          <w:rFonts w:ascii="Arial" w:hAnsi="Arial" w:cs="Arial"/>
          <w:sz w:val="22"/>
        </w:rPr>
        <w:t xml:space="preserve"> analyses </w:t>
      </w:r>
      <w:r w:rsidR="006A12BE" w:rsidRPr="00B30232">
        <w:rPr>
          <w:rFonts w:ascii="Arial" w:hAnsi="Arial" w:cs="Arial"/>
          <w:sz w:val="22"/>
        </w:rPr>
        <w:t xml:space="preserve">and LLRW acceptance plan </w:t>
      </w:r>
      <w:r w:rsidR="007026EC" w:rsidRPr="00B30232">
        <w:rPr>
          <w:rFonts w:ascii="Arial" w:hAnsi="Arial" w:cs="Arial"/>
          <w:sz w:val="22"/>
        </w:rPr>
        <w:t>requirement</w:t>
      </w:r>
      <w:r w:rsidR="006A12BE" w:rsidRPr="00B30232">
        <w:rPr>
          <w:rFonts w:ascii="Arial" w:hAnsi="Arial" w:cs="Arial"/>
          <w:sz w:val="22"/>
        </w:rPr>
        <w:t>s</w:t>
      </w:r>
      <w:r w:rsidR="007026EC" w:rsidRPr="00B30232">
        <w:rPr>
          <w:rFonts w:ascii="Arial" w:hAnsi="Arial" w:cs="Arial"/>
          <w:sz w:val="22"/>
        </w:rPr>
        <w:t xml:space="preserve"> in this rule.  The changes in burden for this rulemaking will impose </w:t>
      </w:r>
      <w:r w:rsidRPr="00B30232">
        <w:rPr>
          <w:rFonts w:ascii="Arial" w:hAnsi="Arial" w:cs="Arial"/>
          <w:sz w:val="22"/>
        </w:rPr>
        <w:t xml:space="preserve">a total </w:t>
      </w:r>
      <w:r w:rsidR="007026EC" w:rsidRPr="00B30232">
        <w:rPr>
          <w:rFonts w:ascii="Arial" w:hAnsi="Arial" w:cs="Arial"/>
          <w:sz w:val="22"/>
        </w:rPr>
        <w:t xml:space="preserve">estimated </w:t>
      </w:r>
      <w:r w:rsidRPr="00B30232">
        <w:rPr>
          <w:rFonts w:ascii="Arial" w:hAnsi="Arial" w:cs="Arial"/>
          <w:sz w:val="22"/>
        </w:rPr>
        <w:t xml:space="preserve">reporting burden of </w:t>
      </w:r>
      <w:r w:rsidR="005D2E80" w:rsidRPr="00B30232">
        <w:rPr>
          <w:rFonts w:ascii="Arial" w:hAnsi="Arial" w:cs="Arial"/>
          <w:sz w:val="22"/>
        </w:rPr>
        <w:t>up to</w:t>
      </w:r>
      <w:r w:rsidR="00232FDE" w:rsidRPr="00B30232">
        <w:rPr>
          <w:rFonts w:ascii="Arial" w:hAnsi="Arial" w:cs="Arial"/>
          <w:sz w:val="22"/>
        </w:rPr>
        <w:t xml:space="preserve"> </w:t>
      </w:r>
      <w:r w:rsidR="00457F4E" w:rsidRPr="00B30232">
        <w:rPr>
          <w:rFonts w:ascii="Arial" w:hAnsi="Arial" w:cs="Arial"/>
          <w:sz w:val="22"/>
        </w:rPr>
        <w:t>22,</w:t>
      </w:r>
      <w:r w:rsidR="00904DB1">
        <w:rPr>
          <w:rFonts w:ascii="Arial" w:hAnsi="Arial" w:cs="Arial"/>
          <w:sz w:val="22"/>
        </w:rPr>
        <w:t>200</w:t>
      </w:r>
      <w:r w:rsidR="00744EFE" w:rsidRPr="00B30232">
        <w:rPr>
          <w:rFonts w:ascii="Arial" w:hAnsi="Arial" w:cs="Arial"/>
          <w:sz w:val="22"/>
        </w:rPr>
        <w:t xml:space="preserve"> hours on </w:t>
      </w:r>
      <w:r w:rsidRPr="00B30232">
        <w:rPr>
          <w:rFonts w:ascii="Arial" w:hAnsi="Arial" w:cs="Arial"/>
          <w:sz w:val="22"/>
        </w:rPr>
        <w:t>each of four LLRW</w:t>
      </w:r>
      <w:r w:rsidR="00744EFE" w:rsidRPr="00B30232">
        <w:rPr>
          <w:rFonts w:ascii="Arial" w:hAnsi="Arial" w:cs="Arial"/>
          <w:sz w:val="22"/>
        </w:rPr>
        <w:t xml:space="preserve"> licen</w:t>
      </w:r>
      <w:r w:rsidR="007026EC" w:rsidRPr="00B30232">
        <w:rPr>
          <w:rFonts w:ascii="Arial" w:hAnsi="Arial" w:cs="Arial"/>
          <w:sz w:val="22"/>
        </w:rPr>
        <w:t>see</w:t>
      </w:r>
      <w:r w:rsidRPr="00B30232">
        <w:rPr>
          <w:rFonts w:ascii="Arial" w:hAnsi="Arial" w:cs="Arial"/>
          <w:sz w:val="22"/>
        </w:rPr>
        <w:t>s</w:t>
      </w:r>
      <w:r w:rsidR="007026EC" w:rsidRPr="00B30232">
        <w:rPr>
          <w:rFonts w:ascii="Arial" w:hAnsi="Arial" w:cs="Arial"/>
          <w:sz w:val="22"/>
        </w:rPr>
        <w:t xml:space="preserve"> who </w:t>
      </w:r>
      <w:r w:rsidR="00232F6D" w:rsidRPr="00B30232">
        <w:rPr>
          <w:rFonts w:ascii="Arial" w:hAnsi="Arial" w:cs="Arial"/>
          <w:sz w:val="22"/>
        </w:rPr>
        <w:t xml:space="preserve">are </w:t>
      </w:r>
      <w:r w:rsidR="007026EC" w:rsidRPr="00B30232">
        <w:rPr>
          <w:rFonts w:ascii="Arial" w:hAnsi="Arial" w:cs="Arial"/>
          <w:sz w:val="22"/>
        </w:rPr>
        <w:t xml:space="preserve">submitting a license application or amending an existing license to accept </w:t>
      </w:r>
      <w:r w:rsidR="006A12BE" w:rsidRPr="00B30232">
        <w:rPr>
          <w:rFonts w:ascii="Arial" w:hAnsi="Arial" w:cs="Arial"/>
          <w:sz w:val="22"/>
        </w:rPr>
        <w:t>LLRW</w:t>
      </w:r>
      <w:r w:rsidR="00CC58BF" w:rsidRPr="00B30232">
        <w:rPr>
          <w:rFonts w:ascii="Arial" w:hAnsi="Arial" w:cs="Arial"/>
          <w:sz w:val="22"/>
        </w:rPr>
        <w:t>.</w:t>
      </w:r>
      <w:r w:rsidR="007026EC" w:rsidRPr="00B30232">
        <w:rPr>
          <w:rFonts w:ascii="Arial" w:hAnsi="Arial" w:cs="Arial"/>
          <w:sz w:val="22"/>
        </w:rPr>
        <w:t xml:space="preserve">  </w:t>
      </w:r>
      <w:r w:rsidRPr="00B30232">
        <w:rPr>
          <w:rFonts w:ascii="Arial" w:hAnsi="Arial" w:cs="Arial"/>
          <w:sz w:val="22"/>
        </w:rPr>
        <w:t xml:space="preserve">In addition, once licensees have updated their waste acceptance plans, they will incur an additional annual recordkeeping burden of </w:t>
      </w:r>
      <w:r w:rsidR="00464CCD">
        <w:rPr>
          <w:rFonts w:ascii="Arial" w:hAnsi="Arial" w:cs="Arial"/>
          <w:sz w:val="22"/>
        </w:rPr>
        <w:t>80</w:t>
      </w:r>
      <w:r w:rsidRPr="00B30232">
        <w:rPr>
          <w:rFonts w:ascii="Arial" w:hAnsi="Arial" w:cs="Arial"/>
          <w:sz w:val="22"/>
        </w:rPr>
        <w:t xml:space="preserve"> hours.</w:t>
      </w:r>
    </w:p>
    <w:p w:rsidR="00744EFE" w:rsidRPr="00B30232" w:rsidRDefault="00744EFE" w:rsidP="001E5143">
      <w:pPr>
        <w:widowControl w:val="0"/>
        <w:ind w:left="1440"/>
        <w:rPr>
          <w:rFonts w:ascii="Arial" w:hAnsi="Arial" w:cs="Arial"/>
          <w:sz w:val="22"/>
        </w:rPr>
      </w:pPr>
    </w:p>
    <w:p w:rsidR="00744EFE" w:rsidRPr="00B30232" w:rsidRDefault="006A12BE" w:rsidP="001E5143">
      <w:pPr>
        <w:widowControl w:val="0"/>
        <w:ind w:left="1440"/>
        <w:rPr>
          <w:rFonts w:ascii="Arial" w:hAnsi="Arial" w:cs="Arial"/>
          <w:sz w:val="22"/>
        </w:rPr>
      </w:pPr>
      <w:r w:rsidRPr="00B30232">
        <w:rPr>
          <w:rFonts w:ascii="Arial" w:hAnsi="Arial" w:cs="Arial"/>
          <w:sz w:val="22"/>
        </w:rPr>
        <w:t>Compliance period</w:t>
      </w:r>
      <w:r w:rsidR="00744EFE" w:rsidRPr="00B30232">
        <w:rPr>
          <w:rFonts w:ascii="Arial" w:hAnsi="Arial" w:cs="Arial"/>
          <w:sz w:val="22"/>
        </w:rPr>
        <w:t xml:space="preserve"> </w:t>
      </w:r>
      <w:r w:rsidR="005806C4" w:rsidRPr="00B30232">
        <w:rPr>
          <w:rFonts w:ascii="Arial" w:hAnsi="Arial" w:cs="Arial"/>
          <w:sz w:val="22"/>
        </w:rPr>
        <w:t xml:space="preserve">and protective assurance period </w:t>
      </w:r>
      <w:r w:rsidRPr="00B30232">
        <w:rPr>
          <w:rFonts w:ascii="Arial" w:hAnsi="Arial" w:cs="Arial"/>
          <w:sz w:val="22"/>
        </w:rPr>
        <w:t xml:space="preserve">site-specific technical </w:t>
      </w:r>
      <w:r w:rsidR="00744EFE" w:rsidRPr="00B30232">
        <w:rPr>
          <w:rFonts w:ascii="Arial" w:hAnsi="Arial" w:cs="Arial"/>
          <w:sz w:val="22"/>
        </w:rPr>
        <w:t xml:space="preserve">analyses are performance assessments and intruder assessments that estimate peak annual doses that occur within </w:t>
      </w:r>
      <w:r w:rsidRPr="00B30232">
        <w:rPr>
          <w:rFonts w:ascii="Arial" w:hAnsi="Arial" w:cs="Arial"/>
          <w:sz w:val="22"/>
        </w:rPr>
        <w:t>10</w:t>
      </w:r>
      <w:r w:rsidR="00744EFE" w:rsidRPr="00B30232">
        <w:rPr>
          <w:rFonts w:ascii="Arial" w:hAnsi="Arial" w:cs="Arial"/>
          <w:sz w:val="22"/>
        </w:rPr>
        <w:t xml:space="preserve">,000 years, as required by </w:t>
      </w:r>
      <w:r w:rsidR="005806C4" w:rsidRPr="00B30232">
        <w:rPr>
          <w:rFonts w:ascii="Arial" w:hAnsi="Arial" w:cs="Arial"/>
          <w:sz w:val="22"/>
        </w:rPr>
        <w:t>10 CFR 61.13(f),</w:t>
      </w:r>
      <w:r w:rsidR="00E06BDE" w:rsidRPr="00B30232">
        <w:rPr>
          <w:rFonts w:ascii="Arial" w:hAnsi="Arial" w:cs="Arial"/>
          <w:sz w:val="22"/>
        </w:rPr>
        <w:t>10 CFR </w:t>
      </w:r>
      <w:r w:rsidR="00744EFE" w:rsidRPr="00B30232">
        <w:rPr>
          <w:rFonts w:ascii="Arial" w:hAnsi="Arial" w:cs="Arial"/>
          <w:sz w:val="22"/>
        </w:rPr>
        <w:t>61.41</w:t>
      </w:r>
      <w:r w:rsidR="00A76EF5" w:rsidRPr="00B30232">
        <w:rPr>
          <w:rFonts w:ascii="Arial" w:hAnsi="Arial" w:cs="Arial"/>
          <w:sz w:val="22"/>
        </w:rPr>
        <w:t>,</w:t>
      </w:r>
      <w:r w:rsidR="00744EFE" w:rsidRPr="00B30232">
        <w:rPr>
          <w:rFonts w:ascii="Arial" w:hAnsi="Arial" w:cs="Arial"/>
          <w:sz w:val="22"/>
        </w:rPr>
        <w:t xml:space="preserve"> and </w:t>
      </w:r>
      <w:r w:rsidR="00E06BDE" w:rsidRPr="00B30232">
        <w:rPr>
          <w:rFonts w:ascii="Arial" w:hAnsi="Arial" w:cs="Arial"/>
          <w:sz w:val="22"/>
        </w:rPr>
        <w:t>10 CFR </w:t>
      </w:r>
      <w:r w:rsidR="00744EFE" w:rsidRPr="00B30232">
        <w:rPr>
          <w:rFonts w:ascii="Arial" w:hAnsi="Arial" w:cs="Arial"/>
          <w:sz w:val="22"/>
        </w:rPr>
        <w:t xml:space="preserve">61.42, respectively.  </w:t>
      </w:r>
      <w:r w:rsidRPr="00B30232">
        <w:rPr>
          <w:rFonts w:ascii="Arial" w:hAnsi="Arial" w:cs="Arial"/>
          <w:sz w:val="22"/>
        </w:rPr>
        <w:t>Compliance period</w:t>
      </w:r>
      <w:r w:rsidR="00744EFE" w:rsidRPr="00B30232">
        <w:rPr>
          <w:rFonts w:ascii="Arial" w:hAnsi="Arial" w:cs="Arial"/>
          <w:sz w:val="22"/>
        </w:rPr>
        <w:t xml:space="preserve"> updated site</w:t>
      </w:r>
      <w:r w:rsidRPr="00B30232">
        <w:rPr>
          <w:rFonts w:ascii="Arial" w:hAnsi="Arial" w:cs="Arial"/>
          <w:sz w:val="22"/>
        </w:rPr>
        <w:t>-</w:t>
      </w:r>
      <w:r w:rsidR="00744EFE" w:rsidRPr="00B30232">
        <w:rPr>
          <w:rFonts w:ascii="Arial" w:hAnsi="Arial" w:cs="Arial"/>
          <w:sz w:val="22"/>
        </w:rPr>
        <w:t xml:space="preserve">specific </w:t>
      </w:r>
      <w:r w:rsidRPr="00B30232">
        <w:rPr>
          <w:rFonts w:ascii="Arial" w:hAnsi="Arial" w:cs="Arial"/>
          <w:sz w:val="22"/>
        </w:rPr>
        <w:t xml:space="preserve">technical </w:t>
      </w:r>
      <w:r w:rsidR="00744EFE" w:rsidRPr="00B30232">
        <w:rPr>
          <w:rFonts w:ascii="Arial" w:hAnsi="Arial" w:cs="Arial"/>
          <w:sz w:val="22"/>
        </w:rPr>
        <w:t xml:space="preserve">analyses are also required by </w:t>
      </w:r>
      <w:r w:rsidR="00E06BDE" w:rsidRPr="00B30232">
        <w:rPr>
          <w:rFonts w:ascii="Arial" w:hAnsi="Arial" w:cs="Arial"/>
          <w:sz w:val="22"/>
        </w:rPr>
        <w:t>10 CFR </w:t>
      </w:r>
      <w:r w:rsidR="00744EFE" w:rsidRPr="00B30232">
        <w:rPr>
          <w:rFonts w:ascii="Arial" w:hAnsi="Arial" w:cs="Arial"/>
          <w:sz w:val="22"/>
        </w:rPr>
        <w:t xml:space="preserve">61.28.  </w:t>
      </w:r>
      <w:r w:rsidRPr="00B30232">
        <w:rPr>
          <w:rFonts w:ascii="Arial" w:hAnsi="Arial" w:cs="Arial"/>
          <w:sz w:val="22"/>
        </w:rPr>
        <w:t>Compliance period</w:t>
      </w:r>
      <w:r w:rsidR="00744EFE" w:rsidRPr="00B30232">
        <w:rPr>
          <w:rFonts w:ascii="Arial" w:hAnsi="Arial" w:cs="Arial"/>
          <w:sz w:val="22"/>
        </w:rPr>
        <w:t xml:space="preserve"> site-specific </w:t>
      </w:r>
      <w:r w:rsidRPr="00B30232">
        <w:rPr>
          <w:rFonts w:ascii="Arial" w:hAnsi="Arial" w:cs="Arial"/>
          <w:sz w:val="22"/>
        </w:rPr>
        <w:t xml:space="preserve">technical </w:t>
      </w:r>
      <w:r w:rsidR="00744EFE" w:rsidRPr="00B30232">
        <w:rPr>
          <w:rFonts w:ascii="Arial" w:hAnsi="Arial" w:cs="Arial"/>
          <w:sz w:val="22"/>
        </w:rPr>
        <w:t xml:space="preserve">analyses are needed to demonstrate compliance with Subpart C performance objectives </w:t>
      </w:r>
      <w:r w:rsidR="004D26DA" w:rsidRPr="00B30232">
        <w:rPr>
          <w:rFonts w:ascii="Arial" w:hAnsi="Arial" w:cs="Arial"/>
          <w:sz w:val="22"/>
        </w:rPr>
        <w:t xml:space="preserve">and </w:t>
      </w:r>
      <w:r w:rsidR="00744EFE" w:rsidRPr="00B30232">
        <w:rPr>
          <w:rFonts w:ascii="Arial" w:hAnsi="Arial" w:cs="Arial"/>
          <w:sz w:val="22"/>
        </w:rPr>
        <w:t>to ensure the continued protection of the public health and safety.</w:t>
      </w:r>
    </w:p>
    <w:p w:rsidR="00744EFE" w:rsidRPr="00B30232" w:rsidRDefault="00744EFE" w:rsidP="001E5143">
      <w:pPr>
        <w:widowControl w:val="0"/>
        <w:ind w:left="1440"/>
        <w:rPr>
          <w:rFonts w:ascii="Arial" w:hAnsi="Arial" w:cs="Arial"/>
          <w:sz w:val="22"/>
        </w:rPr>
      </w:pPr>
    </w:p>
    <w:p w:rsidR="00744EFE" w:rsidRPr="00B30232" w:rsidRDefault="006A12BE" w:rsidP="001E5143">
      <w:pPr>
        <w:widowControl w:val="0"/>
        <w:ind w:left="1440"/>
        <w:rPr>
          <w:rFonts w:ascii="Arial" w:hAnsi="Arial" w:cs="Arial"/>
          <w:sz w:val="22"/>
        </w:rPr>
      </w:pPr>
      <w:r w:rsidRPr="00B30232">
        <w:rPr>
          <w:rFonts w:ascii="Arial" w:hAnsi="Arial" w:cs="Arial"/>
          <w:sz w:val="22"/>
        </w:rPr>
        <w:t>Performance period technical</w:t>
      </w:r>
      <w:r w:rsidR="00744EFE" w:rsidRPr="00B30232">
        <w:rPr>
          <w:rFonts w:ascii="Arial" w:hAnsi="Arial" w:cs="Arial"/>
          <w:sz w:val="22"/>
        </w:rPr>
        <w:t xml:space="preserve"> site-specific </w:t>
      </w:r>
      <w:r w:rsidR="00E06BDE" w:rsidRPr="00B30232">
        <w:rPr>
          <w:rFonts w:ascii="Arial" w:hAnsi="Arial" w:cs="Arial"/>
          <w:sz w:val="22"/>
        </w:rPr>
        <w:t xml:space="preserve">technical </w:t>
      </w:r>
      <w:r w:rsidR="00744EFE" w:rsidRPr="00B30232">
        <w:rPr>
          <w:rFonts w:ascii="Arial" w:hAnsi="Arial" w:cs="Arial"/>
          <w:sz w:val="22"/>
        </w:rPr>
        <w:t xml:space="preserve">analyses are </w:t>
      </w:r>
      <w:r w:rsidRPr="00B30232">
        <w:rPr>
          <w:rFonts w:ascii="Arial" w:hAnsi="Arial" w:cs="Arial"/>
          <w:sz w:val="22"/>
        </w:rPr>
        <w:t>analyses</w:t>
      </w:r>
      <w:r w:rsidR="00744EFE" w:rsidRPr="00B30232">
        <w:rPr>
          <w:rFonts w:ascii="Arial" w:hAnsi="Arial" w:cs="Arial"/>
          <w:sz w:val="22"/>
        </w:rPr>
        <w:t xml:space="preserve"> that estimate </w:t>
      </w:r>
      <w:r w:rsidRPr="00B30232">
        <w:rPr>
          <w:rFonts w:ascii="Arial" w:hAnsi="Arial" w:cs="Arial"/>
          <w:sz w:val="22"/>
        </w:rPr>
        <w:t>impacts from disposal of LLRW</w:t>
      </w:r>
      <w:r w:rsidR="00744EFE" w:rsidRPr="00B30232">
        <w:rPr>
          <w:rFonts w:ascii="Arial" w:hAnsi="Arial" w:cs="Arial"/>
          <w:sz w:val="22"/>
        </w:rPr>
        <w:t xml:space="preserve"> that occur beyond </w:t>
      </w:r>
      <w:r w:rsidRPr="00B30232">
        <w:rPr>
          <w:rFonts w:ascii="Arial" w:hAnsi="Arial" w:cs="Arial"/>
          <w:sz w:val="22"/>
        </w:rPr>
        <w:t>10</w:t>
      </w:r>
      <w:r w:rsidR="00744EFE" w:rsidRPr="00B30232">
        <w:rPr>
          <w:rFonts w:ascii="Arial" w:hAnsi="Arial" w:cs="Arial"/>
          <w:sz w:val="22"/>
        </w:rPr>
        <w:t xml:space="preserve">,000 years, as required by </w:t>
      </w:r>
      <w:r w:rsidR="00E06BDE" w:rsidRPr="00B30232">
        <w:rPr>
          <w:rFonts w:ascii="Arial" w:hAnsi="Arial" w:cs="Arial"/>
          <w:sz w:val="22"/>
        </w:rPr>
        <w:t>10 CFR </w:t>
      </w:r>
      <w:r w:rsidR="00744EFE" w:rsidRPr="00B30232">
        <w:rPr>
          <w:rFonts w:ascii="Arial" w:hAnsi="Arial" w:cs="Arial"/>
          <w:sz w:val="22"/>
        </w:rPr>
        <w:t xml:space="preserve">61.13(e).  </w:t>
      </w:r>
      <w:r w:rsidRPr="00B30232">
        <w:rPr>
          <w:rFonts w:ascii="Arial" w:hAnsi="Arial" w:cs="Arial"/>
          <w:sz w:val="22"/>
        </w:rPr>
        <w:t>Performance period</w:t>
      </w:r>
      <w:r w:rsidR="00744EFE" w:rsidRPr="00B30232">
        <w:rPr>
          <w:rFonts w:ascii="Arial" w:hAnsi="Arial" w:cs="Arial"/>
          <w:sz w:val="22"/>
        </w:rPr>
        <w:t xml:space="preserve"> updated site specific </w:t>
      </w:r>
      <w:r w:rsidRPr="00B30232">
        <w:rPr>
          <w:rFonts w:ascii="Arial" w:hAnsi="Arial" w:cs="Arial"/>
          <w:sz w:val="22"/>
        </w:rPr>
        <w:t xml:space="preserve">technical </w:t>
      </w:r>
      <w:r w:rsidR="00744EFE" w:rsidRPr="00B30232">
        <w:rPr>
          <w:rFonts w:ascii="Arial" w:hAnsi="Arial" w:cs="Arial"/>
          <w:sz w:val="22"/>
        </w:rPr>
        <w:t xml:space="preserve">analyses are also required by </w:t>
      </w:r>
      <w:r w:rsidR="00E06BDE" w:rsidRPr="00B30232">
        <w:rPr>
          <w:rFonts w:ascii="Arial" w:hAnsi="Arial" w:cs="Arial"/>
          <w:sz w:val="22"/>
        </w:rPr>
        <w:t>10 CFR </w:t>
      </w:r>
      <w:r w:rsidR="00744EFE" w:rsidRPr="00B30232">
        <w:rPr>
          <w:rFonts w:ascii="Arial" w:hAnsi="Arial" w:cs="Arial"/>
          <w:sz w:val="22"/>
        </w:rPr>
        <w:t xml:space="preserve">61.28.  The </w:t>
      </w:r>
      <w:r w:rsidRPr="00B30232">
        <w:rPr>
          <w:rFonts w:ascii="Arial" w:hAnsi="Arial" w:cs="Arial"/>
          <w:sz w:val="22"/>
        </w:rPr>
        <w:t>performance period</w:t>
      </w:r>
      <w:r w:rsidR="00744EFE" w:rsidRPr="00B30232">
        <w:rPr>
          <w:rFonts w:ascii="Arial" w:hAnsi="Arial" w:cs="Arial"/>
          <w:sz w:val="22"/>
        </w:rPr>
        <w:t xml:space="preserve"> site-specific </w:t>
      </w:r>
      <w:r w:rsidRPr="00B30232">
        <w:rPr>
          <w:rFonts w:ascii="Arial" w:hAnsi="Arial" w:cs="Arial"/>
          <w:sz w:val="22"/>
        </w:rPr>
        <w:t xml:space="preserve">technical </w:t>
      </w:r>
      <w:r w:rsidR="00744EFE" w:rsidRPr="00B30232">
        <w:rPr>
          <w:rFonts w:ascii="Arial" w:hAnsi="Arial" w:cs="Arial"/>
          <w:sz w:val="22"/>
        </w:rPr>
        <w:t xml:space="preserve">analyses are needed to ensure the protection of the general population and inadvertent intruder from long-lived </w:t>
      </w:r>
      <w:r w:rsidRPr="00B30232">
        <w:rPr>
          <w:rFonts w:ascii="Arial" w:hAnsi="Arial" w:cs="Arial"/>
          <w:sz w:val="22"/>
        </w:rPr>
        <w:t xml:space="preserve">LLRW </w:t>
      </w:r>
      <w:r w:rsidR="00744EFE" w:rsidRPr="00B30232">
        <w:rPr>
          <w:rFonts w:ascii="Arial" w:hAnsi="Arial" w:cs="Arial"/>
          <w:sz w:val="22"/>
        </w:rPr>
        <w:t>and to determine whether limitations on the disposal of some LLRW streams at certain sites may be needed to properly manage the disposal of LLRW.</w:t>
      </w:r>
    </w:p>
    <w:p w:rsidR="004D26DA" w:rsidRPr="00B30232" w:rsidRDefault="004D26DA" w:rsidP="001E5143">
      <w:pPr>
        <w:widowControl w:val="0"/>
        <w:ind w:left="1440"/>
        <w:rPr>
          <w:rFonts w:ascii="Arial" w:hAnsi="Arial" w:cs="Arial"/>
          <w:sz w:val="22"/>
        </w:rPr>
      </w:pPr>
    </w:p>
    <w:p w:rsidR="00311032" w:rsidRPr="00B30232" w:rsidRDefault="004D26DA" w:rsidP="00311032">
      <w:pPr>
        <w:widowControl w:val="0"/>
        <w:ind w:left="1440"/>
        <w:rPr>
          <w:rFonts w:ascii="Arial" w:hAnsi="Arial" w:cs="Arial"/>
          <w:sz w:val="22"/>
        </w:rPr>
      </w:pPr>
      <w:r w:rsidRPr="00B30232">
        <w:rPr>
          <w:rFonts w:ascii="Arial" w:hAnsi="Arial" w:cs="Arial"/>
          <w:sz w:val="22"/>
        </w:rPr>
        <w:t xml:space="preserve">Licensees would amend their licenses when new activities occur at their site, during normal facility operation, or are undergoing facility closure.  New activities could range from accepting new </w:t>
      </w:r>
      <w:r w:rsidR="006A12BE" w:rsidRPr="00B30232">
        <w:rPr>
          <w:rFonts w:ascii="Arial" w:hAnsi="Arial" w:cs="Arial"/>
          <w:sz w:val="22"/>
        </w:rPr>
        <w:t xml:space="preserve">unanalyzed LLRW </w:t>
      </w:r>
      <w:r w:rsidRPr="00B30232">
        <w:rPr>
          <w:rFonts w:ascii="Arial" w:hAnsi="Arial" w:cs="Arial"/>
          <w:sz w:val="22"/>
        </w:rPr>
        <w:t>streams, installing new engineer</w:t>
      </w:r>
      <w:r w:rsidR="005806C4" w:rsidRPr="00B30232">
        <w:rPr>
          <w:rFonts w:ascii="Arial" w:hAnsi="Arial" w:cs="Arial"/>
          <w:sz w:val="22"/>
        </w:rPr>
        <w:t>ed</w:t>
      </w:r>
      <w:r w:rsidRPr="00B30232">
        <w:rPr>
          <w:rFonts w:ascii="Arial" w:hAnsi="Arial" w:cs="Arial"/>
          <w:sz w:val="22"/>
        </w:rPr>
        <w:t xml:space="preserve"> barriers, and/or having new information pertaining to site characteristics or behavior.  Updated site-specific </w:t>
      </w:r>
      <w:r w:rsidR="006A12BE" w:rsidRPr="00B30232">
        <w:rPr>
          <w:rFonts w:ascii="Arial" w:hAnsi="Arial" w:cs="Arial"/>
          <w:sz w:val="22"/>
        </w:rPr>
        <w:t xml:space="preserve">technical </w:t>
      </w:r>
      <w:r w:rsidRPr="00B30232">
        <w:rPr>
          <w:rFonts w:ascii="Arial" w:hAnsi="Arial" w:cs="Arial"/>
          <w:sz w:val="22"/>
        </w:rPr>
        <w:t>analyses are needed</w:t>
      </w:r>
      <w:r w:rsidR="006A12BE" w:rsidRPr="00B30232">
        <w:rPr>
          <w:rFonts w:ascii="Arial" w:hAnsi="Arial" w:cs="Arial"/>
          <w:sz w:val="22"/>
        </w:rPr>
        <w:t xml:space="preserve"> for</w:t>
      </w:r>
      <w:r w:rsidRPr="00B30232">
        <w:rPr>
          <w:rFonts w:ascii="Arial" w:hAnsi="Arial" w:cs="Arial"/>
          <w:sz w:val="22"/>
        </w:rPr>
        <w:t xml:space="preserve"> license amendments to demonstrate compliance with Subpart C performance </w:t>
      </w:r>
      <w:r w:rsidRPr="00B30232">
        <w:rPr>
          <w:rFonts w:ascii="Arial" w:hAnsi="Arial" w:cs="Arial"/>
          <w:sz w:val="22"/>
        </w:rPr>
        <w:lastRenderedPageBreak/>
        <w:t>objectives</w:t>
      </w:r>
      <w:r w:rsidR="00311032" w:rsidRPr="00B30232">
        <w:rPr>
          <w:rFonts w:ascii="Arial" w:hAnsi="Arial" w:cs="Arial"/>
          <w:sz w:val="22"/>
        </w:rPr>
        <w:t xml:space="preserve"> </w:t>
      </w:r>
      <w:r w:rsidRPr="00B30232">
        <w:rPr>
          <w:rFonts w:ascii="Arial" w:hAnsi="Arial" w:cs="Arial"/>
          <w:sz w:val="22"/>
        </w:rPr>
        <w:t>and to ensure the continued protection of the public health and safety.</w:t>
      </w:r>
      <w:r w:rsidR="00311032" w:rsidRPr="00B30232">
        <w:rPr>
          <w:rFonts w:ascii="Arial" w:hAnsi="Arial" w:cs="Arial"/>
          <w:sz w:val="22"/>
        </w:rPr>
        <w:t xml:space="preserve">  No licensees are expected to amend or apply for new license during this clearance period.</w:t>
      </w:r>
    </w:p>
    <w:p w:rsidR="001E5143" w:rsidRPr="00B30232" w:rsidRDefault="001E5143" w:rsidP="00230468">
      <w:pPr>
        <w:widowControl w:val="0"/>
        <w:ind w:left="1440"/>
        <w:rPr>
          <w:rFonts w:ascii="Arial" w:hAnsi="Arial" w:cs="Arial"/>
          <w:sz w:val="22"/>
        </w:rPr>
      </w:pPr>
    </w:p>
    <w:p w:rsidR="001E5143" w:rsidRPr="00B30232" w:rsidRDefault="001E5143" w:rsidP="001E5143">
      <w:pPr>
        <w:widowControl w:val="0"/>
        <w:numPr>
          <w:ilvl w:val="0"/>
          <w:numId w:val="1"/>
        </w:numPr>
        <w:rPr>
          <w:rFonts w:ascii="Arial" w:hAnsi="Arial" w:cs="Arial"/>
          <w:sz w:val="22"/>
        </w:rPr>
      </w:pPr>
      <w:r w:rsidRPr="00B30232">
        <w:rPr>
          <w:rFonts w:ascii="Arial" w:hAnsi="Arial" w:cs="Arial"/>
          <w:sz w:val="22"/>
          <w:u w:val="single"/>
        </w:rPr>
        <w:t>Publication for Statistical Use</w:t>
      </w:r>
    </w:p>
    <w:p w:rsidR="001E5143" w:rsidRPr="00B30232" w:rsidRDefault="001E5143" w:rsidP="001E5143">
      <w:pPr>
        <w:widowControl w:val="0"/>
        <w:rPr>
          <w:rFonts w:ascii="Arial" w:hAnsi="Arial" w:cs="Arial"/>
          <w:sz w:val="22"/>
        </w:rPr>
      </w:pPr>
    </w:p>
    <w:p w:rsidR="001E5143" w:rsidRPr="00B30232" w:rsidRDefault="001E5143" w:rsidP="001E5143">
      <w:pPr>
        <w:widowControl w:val="0"/>
        <w:ind w:left="720"/>
        <w:rPr>
          <w:rFonts w:ascii="Arial" w:hAnsi="Arial" w:cs="Arial"/>
          <w:sz w:val="22"/>
        </w:rPr>
      </w:pPr>
      <w:r w:rsidRPr="00B30232">
        <w:rPr>
          <w:rFonts w:ascii="Arial" w:hAnsi="Arial" w:cs="Arial"/>
          <w:sz w:val="22"/>
        </w:rPr>
        <w:tab/>
        <w:t>None.</w:t>
      </w:r>
    </w:p>
    <w:p w:rsidR="001E5143" w:rsidRPr="00B30232" w:rsidRDefault="001E5143" w:rsidP="001E5143">
      <w:pPr>
        <w:widowControl w:val="0"/>
        <w:rPr>
          <w:rFonts w:ascii="Arial" w:hAnsi="Arial" w:cs="Arial"/>
          <w:sz w:val="22"/>
        </w:rPr>
      </w:pPr>
    </w:p>
    <w:p w:rsidR="001E5143" w:rsidRPr="00B30232" w:rsidRDefault="001E5143" w:rsidP="001E5143">
      <w:pPr>
        <w:keepNext/>
        <w:keepLines/>
        <w:widowControl w:val="0"/>
        <w:rPr>
          <w:rFonts w:ascii="Arial" w:hAnsi="Arial" w:cs="Arial"/>
          <w:sz w:val="22"/>
        </w:rPr>
      </w:pPr>
      <w:r w:rsidRPr="00B30232">
        <w:rPr>
          <w:rFonts w:ascii="Arial" w:hAnsi="Arial" w:cs="Arial"/>
          <w:sz w:val="22"/>
        </w:rPr>
        <w:tab/>
        <w:t>17.</w:t>
      </w:r>
      <w:r w:rsidRPr="00B30232">
        <w:rPr>
          <w:rFonts w:ascii="Arial" w:hAnsi="Arial" w:cs="Arial"/>
          <w:sz w:val="22"/>
        </w:rPr>
        <w:tab/>
      </w:r>
      <w:r w:rsidRPr="00B30232">
        <w:rPr>
          <w:rFonts w:ascii="Arial" w:hAnsi="Arial" w:cs="Arial"/>
          <w:sz w:val="22"/>
          <w:u w:val="single"/>
        </w:rPr>
        <w:t>Reason for Not Displaying the Expiration Date</w:t>
      </w:r>
    </w:p>
    <w:p w:rsidR="001E5143" w:rsidRPr="00B30232" w:rsidRDefault="001E5143" w:rsidP="001E5143">
      <w:pPr>
        <w:keepNext/>
        <w:keepLines/>
        <w:widowControl w:val="0"/>
        <w:rPr>
          <w:rFonts w:ascii="Arial" w:hAnsi="Arial" w:cs="Arial"/>
          <w:sz w:val="22"/>
        </w:rPr>
      </w:pPr>
    </w:p>
    <w:p w:rsidR="001E5143" w:rsidRPr="00B30232" w:rsidRDefault="001E5143" w:rsidP="001E5143">
      <w:pPr>
        <w:keepNext/>
        <w:keepLines/>
        <w:widowControl w:val="0"/>
        <w:ind w:left="1440"/>
        <w:rPr>
          <w:rFonts w:ascii="Arial" w:hAnsi="Arial" w:cs="Arial"/>
          <w:sz w:val="22"/>
        </w:rPr>
      </w:pPr>
      <w:r w:rsidRPr="00B30232">
        <w:rPr>
          <w:rFonts w:ascii="Arial" w:hAnsi="Arial" w:cs="Arial"/>
          <w:sz w:val="22"/>
        </w:rPr>
        <w:t xml:space="preserve">The requirements are contained in a regulation.  Amending the </w:t>
      </w:r>
      <w:r w:rsidRPr="00B30232">
        <w:rPr>
          <w:rFonts w:ascii="Arial" w:hAnsi="Arial" w:cs="Arial"/>
          <w:i/>
          <w:sz w:val="22"/>
        </w:rPr>
        <w:t xml:space="preserve">Code of Federal Regulations </w:t>
      </w:r>
      <w:r w:rsidRPr="00B30232">
        <w:rPr>
          <w:rFonts w:ascii="Arial" w:hAnsi="Arial" w:cs="Arial"/>
          <w:sz w:val="22"/>
        </w:rPr>
        <w:t xml:space="preserve">to display information </w:t>
      </w:r>
      <w:r w:rsidR="00CC58BF" w:rsidRPr="00B30232">
        <w:rPr>
          <w:rFonts w:ascii="Arial" w:hAnsi="Arial" w:cs="Arial"/>
          <w:sz w:val="22"/>
        </w:rPr>
        <w:t>in an annual publication</w:t>
      </w:r>
      <w:r w:rsidRPr="00B30232">
        <w:rPr>
          <w:rFonts w:ascii="Arial" w:hAnsi="Arial" w:cs="Arial"/>
          <w:sz w:val="22"/>
        </w:rPr>
        <w:t xml:space="preserve"> could become </w:t>
      </w:r>
      <w:r w:rsidR="00CC58BF" w:rsidRPr="00B30232">
        <w:rPr>
          <w:rFonts w:ascii="Arial" w:hAnsi="Arial" w:cs="Arial"/>
          <w:sz w:val="22"/>
        </w:rPr>
        <w:t>obsolete, would be burdensome, and would be too difficult to keep current.</w:t>
      </w:r>
    </w:p>
    <w:p w:rsidR="001E5143" w:rsidRPr="00B30232" w:rsidRDefault="001E5143" w:rsidP="001E5143">
      <w:pPr>
        <w:widowControl w:val="0"/>
        <w:rPr>
          <w:rFonts w:ascii="Arial" w:hAnsi="Arial" w:cs="Arial"/>
          <w:sz w:val="22"/>
        </w:rPr>
      </w:pPr>
    </w:p>
    <w:p w:rsidR="001E5143" w:rsidRPr="00B30232" w:rsidRDefault="001E5143" w:rsidP="001E5143">
      <w:pPr>
        <w:widowControl w:val="0"/>
        <w:rPr>
          <w:rFonts w:ascii="Arial" w:hAnsi="Arial" w:cs="Arial"/>
          <w:sz w:val="22"/>
        </w:rPr>
      </w:pPr>
      <w:r w:rsidRPr="00B30232">
        <w:rPr>
          <w:rFonts w:ascii="Arial" w:hAnsi="Arial" w:cs="Arial"/>
          <w:sz w:val="22"/>
        </w:rPr>
        <w:tab/>
        <w:t>18.</w:t>
      </w:r>
      <w:r w:rsidRPr="00B30232">
        <w:rPr>
          <w:rFonts w:ascii="Arial" w:hAnsi="Arial" w:cs="Arial"/>
          <w:sz w:val="22"/>
        </w:rPr>
        <w:tab/>
      </w:r>
      <w:r w:rsidRPr="00B30232">
        <w:rPr>
          <w:rFonts w:ascii="Arial" w:hAnsi="Arial" w:cs="Arial"/>
          <w:sz w:val="22"/>
          <w:u w:val="single"/>
        </w:rPr>
        <w:t>Exceptions to the Certification Statement</w:t>
      </w:r>
    </w:p>
    <w:p w:rsidR="001E5143" w:rsidRPr="00B30232" w:rsidRDefault="001E5143" w:rsidP="001E5143">
      <w:pPr>
        <w:widowControl w:val="0"/>
        <w:rPr>
          <w:rFonts w:ascii="Arial" w:hAnsi="Arial" w:cs="Arial"/>
          <w:sz w:val="22"/>
        </w:rPr>
      </w:pPr>
    </w:p>
    <w:p w:rsidR="001E5143" w:rsidRPr="00B30232" w:rsidRDefault="001E5143" w:rsidP="001E5143">
      <w:pPr>
        <w:widowControl w:val="0"/>
        <w:ind w:left="720"/>
        <w:rPr>
          <w:rFonts w:ascii="Arial" w:hAnsi="Arial" w:cs="Arial"/>
          <w:sz w:val="22"/>
        </w:rPr>
      </w:pPr>
      <w:r w:rsidRPr="00B30232">
        <w:rPr>
          <w:rFonts w:ascii="Arial" w:hAnsi="Arial" w:cs="Arial"/>
          <w:sz w:val="22"/>
        </w:rPr>
        <w:tab/>
        <w:t>None.</w:t>
      </w:r>
    </w:p>
    <w:p w:rsidR="001E5143" w:rsidRPr="00B30232" w:rsidRDefault="001E5143" w:rsidP="001E5143">
      <w:pPr>
        <w:widowControl w:val="0"/>
        <w:rPr>
          <w:rFonts w:ascii="Arial" w:hAnsi="Arial" w:cs="Arial"/>
          <w:sz w:val="22"/>
        </w:rPr>
      </w:pPr>
    </w:p>
    <w:p w:rsidR="001E5143" w:rsidRPr="00B30232" w:rsidRDefault="001E5143" w:rsidP="001E5143">
      <w:pPr>
        <w:widowControl w:val="0"/>
        <w:rPr>
          <w:rFonts w:ascii="Arial" w:hAnsi="Arial" w:cs="Arial"/>
          <w:sz w:val="22"/>
        </w:rPr>
      </w:pPr>
      <w:r w:rsidRPr="00B30232">
        <w:rPr>
          <w:rFonts w:ascii="Arial" w:hAnsi="Arial" w:cs="Arial"/>
          <w:sz w:val="22"/>
        </w:rPr>
        <w:t xml:space="preserve">B. </w:t>
      </w:r>
      <w:r w:rsidRPr="00B30232">
        <w:rPr>
          <w:rFonts w:ascii="Arial" w:hAnsi="Arial" w:cs="Arial"/>
          <w:sz w:val="22"/>
        </w:rPr>
        <w:tab/>
        <w:t>COLLECTIONS OF INFORMATION EMPLOYING STATISTICAL METHODS</w:t>
      </w:r>
    </w:p>
    <w:p w:rsidR="001E5143" w:rsidRPr="00B30232" w:rsidRDefault="001E5143" w:rsidP="001E5143">
      <w:pPr>
        <w:widowControl w:val="0"/>
        <w:rPr>
          <w:rFonts w:ascii="Arial" w:hAnsi="Arial" w:cs="Arial"/>
          <w:sz w:val="22"/>
        </w:rPr>
      </w:pPr>
    </w:p>
    <w:p w:rsidR="00161DA5" w:rsidRPr="00B30232" w:rsidRDefault="001E5143" w:rsidP="00B01656">
      <w:pPr>
        <w:widowControl w:val="0"/>
        <w:rPr>
          <w:rFonts w:ascii="Arial" w:hAnsi="Arial" w:cs="Arial"/>
          <w:sz w:val="22"/>
        </w:rPr>
      </w:pPr>
      <w:r w:rsidRPr="00B30232">
        <w:rPr>
          <w:rFonts w:ascii="Arial" w:hAnsi="Arial" w:cs="Arial"/>
          <w:sz w:val="22"/>
        </w:rPr>
        <w:t>Statistical methods a</w:t>
      </w:r>
      <w:bookmarkStart w:id="1" w:name="QuickMark_1"/>
      <w:bookmarkEnd w:id="1"/>
      <w:r w:rsidRPr="00B30232">
        <w:rPr>
          <w:rFonts w:ascii="Arial" w:hAnsi="Arial" w:cs="Arial"/>
          <w:sz w:val="22"/>
        </w:rPr>
        <w:t>re not used in this collection of information.</w:t>
      </w:r>
      <w:r w:rsidR="00161DA5" w:rsidRPr="00B30232">
        <w:rPr>
          <w:rFonts w:ascii="Arial" w:hAnsi="Arial" w:cs="Arial"/>
          <w:sz w:val="22"/>
        </w:rPr>
        <w:br w:type="page"/>
      </w:r>
    </w:p>
    <w:p w:rsidR="00B47BDF" w:rsidRPr="00B30232" w:rsidRDefault="00B47BDF" w:rsidP="001E5143">
      <w:pPr>
        <w:widowControl w:val="0"/>
        <w:tabs>
          <w:tab w:val="center" w:pos="4680"/>
        </w:tabs>
        <w:jc w:val="center"/>
        <w:rPr>
          <w:rFonts w:ascii="Arial" w:hAnsi="Arial" w:cs="Arial"/>
          <w:b/>
          <w:sz w:val="22"/>
        </w:rPr>
        <w:sectPr w:rsidR="00B47BDF" w:rsidRPr="00B30232" w:rsidSect="00610FF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cols w:space="720"/>
          <w:docGrid w:linePitch="360"/>
        </w:sectPr>
      </w:pPr>
    </w:p>
    <w:p w:rsidR="00B47BDF" w:rsidRPr="00B30232" w:rsidRDefault="002D2E38" w:rsidP="00B47BDF">
      <w:pPr>
        <w:widowControl w:val="0"/>
        <w:tabs>
          <w:tab w:val="center" w:pos="4680"/>
        </w:tabs>
        <w:jc w:val="center"/>
        <w:rPr>
          <w:rFonts w:ascii="Arial" w:hAnsi="Arial" w:cs="Arial"/>
          <w:b/>
          <w:sz w:val="22"/>
        </w:rPr>
      </w:pPr>
      <w:r w:rsidRPr="00B30232">
        <w:rPr>
          <w:rFonts w:ascii="Arial" w:hAnsi="Arial" w:cs="Arial"/>
          <w:b/>
          <w:sz w:val="22"/>
        </w:rPr>
        <w:lastRenderedPageBreak/>
        <w:t>Table 1</w:t>
      </w:r>
    </w:p>
    <w:p w:rsidR="00B47BDF" w:rsidRPr="00B30232" w:rsidRDefault="008F23EC" w:rsidP="00B47BDF">
      <w:pPr>
        <w:widowControl w:val="0"/>
        <w:tabs>
          <w:tab w:val="center" w:pos="4680"/>
        </w:tabs>
        <w:jc w:val="center"/>
        <w:rPr>
          <w:rFonts w:ascii="Arial" w:hAnsi="Arial" w:cs="Arial"/>
          <w:b/>
          <w:sz w:val="22"/>
        </w:rPr>
      </w:pPr>
      <w:r>
        <w:rPr>
          <w:rFonts w:ascii="Arial" w:hAnsi="Arial" w:cs="Arial"/>
          <w:b/>
          <w:sz w:val="22"/>
        </w:rPr>
        <w:t xml:space="preserve">One-time </w:t>
      </w:r>
      <w:r w:rsidR="00B47BDF" w:rsidRPr="00B30232">
        <w:rPr>
          <w:rFonts w:ascii="Arial" w:hAnsi="Arial" w:cs="Arial"/>
          <w:b/>
          <w:sz w:val="22"/>
        </w:rPr>
        <w:t xml:space="preserve">Reporting Requirements </w:t>
      </w:r>
      <w:r w:rsidR="002D2E38" w:rsidRPr="00B30232">
        <w:rPr>
          <w:rFonts w:ascii="Arial" w:hAnsi="Arial" w:cs="Arial"/>
          <w:b/>
          <w:sz w:val="22"/>
        </w:rPr>
        <w:t>under</w:t>
      </w:r>
      <w:r w:rsidR="00B47BDF" w:rsidRPr="00B30232">
        <w:rPr>
          <w:rFonts w:ascii="Arial" w:hAnsi="Arial" w:cs="Arial"/>
          <w:b/>
          <w:sz w:val="22"/>
        </w:rPr>
        <w:t xml:space="preserve"> 10 CFR Part 61</w:t>
      </w:r>
    </w:p>
    <w:p w:rsidR="00B47BDF" w:rsidRPr="00B30232" w:rsidRDefault="00B47BDF" w:rsidP="00B47BDF">
      <w:pPr>
        <w:widowControl w:val="0"/>
        <w:tabs>
          <w:tab w:val="center" w:pos="4680"/>
        </w:tabs>
        <w:jc w:val="center"/>
        <w:rPr>
          <w:rFonts w:ascii="Arial" w:hAnsi="Arial" w:cs="Arial"/>
          <w:b/>
          <w:sz w:val="22"/>
        </w:rPr>
      </w:pPr>
    </w:p>
    <w:tbl>
      <w:tblPr>
        <w:tblStyle w:val="TableGrid"/>
        <w:tblW w:w="13518" w:type="dxa"/>
        <w:tblLayout w:type="fixed"/>
        <w:tblLook w:val="01E0" w:firstRow="1" w:lastRow="1" w:firstColumn="1" w:lastColumn="1" w:noHBand="0" w:noVBand="0"/>
      </w:tblPr>
      <w:tblGrid>
        <w:gridCol w:w="1728"/>
        <w:gridCol w:w="4500"/>
        <w:gridCol w:w="1458"/>
        <w:gridCol w:w="1458"/>
        <w:gridCol w:w="1458"/>
        <w:gridCol w:w="1458"/>
        <w:gridCol w:w="1458"/>
      </w:tblGrid>
      <w:tr w:rsidR="00350524" w:rsidRPr="00B30232" w:rsidTr="00B01656">
        <w:tc>
          <w:tcPr>
            <w:tcW w:w="1728" w:type="dxa"/>
          </w:tcPr>
          <w:p w:rsidR="00350524" w:rsidRPr="00B30232" w:rsidRDefault="00350524" w:rsidP="0035052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Section</w:t>
            </w:r>
          </w:p>
        </w:tc>
        <w:tc>
          <w:tcPr>
            <w:tcW w:w="4500" w:type="dxa"/>
          </w:tcPr>
          <w:p w:rsidR="00350524" w:rsidRPr="00B30232" w:rsidRDefault="00350524" w:rsidP="0035052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Description</w:t>
            </w:r>
          </w:p>
        </w:tc>
        <w:tc>
          <w:tcPr>
            <w:tcW w:w="1458" w:type="dxa"/>
          </w:tcPr>
          <w:p w:rsidR="00350524" w:rsidRPr="00B30232" w:rsidRDefault="00350524" w:rsidP="0035052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No. of Respondents</w:t>
            </w:r>
          </w:p>
        </w:tc>
        <w:tc>
          <w:tcPr>
            <w:tcW w:w="1458" w:type="dxa"/>
          </w:tcPr>
          <w:p w:rsidR="00350524" w:rsidRPr="00B30232" w:rsidRDefault="00350524" w:rsidP="0035052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Responses per Respondent</w:t>
            </w:r>
          </w:p>
        </w:tc>
        <w:tc>
          <w:tcPr>
            <w:tcW w:w="1458" w:type="dxa"/>
          </w:tcPr>
          <w:p w:rsidR="00350524" w:rsidRPr="00B30232" w:rsidRDefault="00350524" w:rsidP="0035052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Total Responses</w:t>
            </w:r>
          </w:p>
        </w:tc>
        <w:tc>
          <w:tcPr>
            <w:tcW w:w="1458" w:type="dxa"/>
          </w:tcPr>
          <w:p w:rsidR="00350524" w:rsidRPr="00B30232" w:rsidRDefault="00350524" w:rsidP="0035052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Burden Hours per Response</w:t>
            </w:r>
          </w:p>
        </w:tc>
        <w:tc>
          <w:tcPr>
            <w:tcW w:w="1458" w:type="dxa"/>
          </w:tcPr>
          <w:p w:rsidR="00350524" w:rsidRDefault="00350524" w:rsidP="0035052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Total Annual Burden (Hrs)</w:t>
            </w:r>
          </w:p>
          <w:p w:rsidR="00A77444" w:rsidRPr="00B30232" w:rsidRDefault="00A77444" w:rsidP="0035052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Pr>
                <w:rFonts w:ascii="Arial" w:hAnsi="Arial" w:cs="Arial"/>
                <w:sz w:val="20"/>
              </w:rPr>
              <w:t>$279</w:t>
            </w:r>
          </w:p>
        </w:tc>
      </w:tr>
      <w:tr w:rsidR="00B56F83" w:rsidRPr="00B30232" w:rsidTr="00B01656">
        <w:trPr>
          <w:trHeight w:val="143"/>
        </w:trPr>
        <w:tc>
          <w:tcPr>
            <w:tcW w:w="1728" w:type="dxa"/>
          </w:tcPr>
          <w:p w:rsidR="00B56F83" w:rsidRPr="00B30232" w:rsidRDefault="00B56F83" w:rsidP="00BC5621">
            <w:pPr>
              <w:widowControl w:val="0"/>
              <w:spacing w:line="240" w:lineRule="exact"/>
              <w:rPr>
                <w:rFonts w:ascii="Arial" w:hAnsi="Arial" w:cs="Arial"/>
                <w:sz w:val="20"/>
              </w:rPr>
            </w:pPr>
            <w:r w:rsidRPr="00B30232">
              <w:rPr>
                <w:rFonts w:ascii="Arial" w:hAnsi="Arial" w:cs="Arial"/>
                <w:sz w:val="20"/>
              </w:rPr>
              <w:t xml:space="preserve">61.13(a)&amp;(b), </w:t>
            </w:r>
            <w:r w:rsidR="005806C4" w:rsidRPr="00B30232">
              <w:rPr>
                <w:rFonts w:ascii="Arial" w:hAnsi="Arial" w:cs="Arial"/>
                <w:sz w:val="20"/>
              </w:rPr>
              <w:t xml:space="preserve">61.13(f), </w:t>
            </w:r>
            <w:r w:rsidRPr="00B30232">
              <w:rPr>
                <w:rFonts w:ascii="Arial" w:hAnsi="Arial" w:cs="Arial"/>
                <w:sz w:val="20"/>
              </w:rPr>
              <w:t xml:space="preserve">61.41, </w:t>
            </w:r>
            <w:r w:rsidR="00BC5621" w:rsidRPr="00B30232">
              <w:rPr>
                <w:rFonts w:ascii="Arial" w:hAnsi="Arial" w:cs="Arial"/>
                <w:sz w:val="20"/>
              </w:rPr>
              <w:t xml:space="preserve">and </w:t>
            </w:r>
            <w:r w:rsidRPr="00B30232">
              <w:rPr>
                <w:rFonts w:ascii="Arial" w:hAnsi="Arial" w:cs="Arial"/>
                <w:sz w:val="20"/>
              </w:rPr>
              <w:t>61.42</w:t>
            </w:r>
            <w:r w:rsidR="00BC5621" w:rsidRPr="00B30232">
              <w:rPr>
                <w:rFonts w:ascii="Arial" w:hAnsi="Arial" w:cs="Arial"/>
                <w:sz w:val="20"/>
              </w:rPr>
              <w:t>.</w:t>
            </w:r>
          </w:p>
        </w:tc>
        <w:tc>
          <w:tcPr>
            <w:tcW w:w="4500" w:type="dxa"/>
          </w:tcPr>
          <w:p w:rsidR="00B56F83" w:rsidRPr="00B30232" w:rsidRDefault="00B56F83" w:rsidP="00EE5C7D">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sz w:val="20"/>
              </w:rPr>
            </w:pPr>
            <w:r w:rsidRPr="00B30232">
              <w:rPr>
                <w:rFonts w:ascii="Arial" w:hAnsi="Arial" w:cs="Arial"/>
                <w:sz w:val="20"/>
              </w:rPr>
              <w:t xml:space="preserve">Initial compliance period </w:t>
            </w:r>
            <w:r w:rsidR="005806C4" w:rsidRPr="00B30232">
              <w:rPr>
                <w:rFonts w:ascii="Arial" w:hAnsi="Arial" w:cs="Arial"/>
                <w:sz w:val="20"/>
              </w:rPr>
              <w:t xml:space="preserve">and protective assurance period </w:t>
            </w:r>
            <w:r w:rsidR="005D2E80" w:rsidRPr="00B30232">
              <w:rPr>
                <w:rFonts w:ascii="Arial" w:hAnsi="Arial" w:cs="Arial"/>
                <w:sz w:val="20"/>
              </w:rPr>
              <w:t>analyses</w:t>
            </w:r>
            <w:r w:rsidR="00EE5C7D" w:rsidRPr="00B30232">
              <w:rPr>
                <w:rStyle w:val="FootnoteReference"/>
                <w:rFonts w:ascii="Arial" w:hAnsi="Arial" w:cs="Arial"/>
                <w:sz w:val="20"/>
              </w:rPr>
              <w:footnoteReference w:id="1"/>
            </w:r>
            <w:r w:rsidR="005D2E80" w:rsidRPr="00B30232">
              <w:rPr>
                <w:rFonts w:ascii="Arial" w:hAnsi="Arial" w:cs="Arial"/>
                <w:sz w:val="20"/>
              </w:rPr>
              <w:t xml:space="preserve"> </w:t>
            </w:r>
            <w:r w:rsidRPr="00B30232">
              <w:rPr>
                <w:rFonts w:ascii="Arial" w:hAnsi="Arial" w:cs="Arial"/>
                <w:sz w:val="20"/>
              </w:rPr>
              <w:t>(within 10,000 years</w:t>
            </w:r>
            <w:r w:rsidR="005806C4" w:rsidRPr="00B30232">
              <w:rPr>
                <w:rFonts w:ascii="Arial" w:hAnsi="Arial" w:cs="Arial"/>
                <w:sz w:val="20"/>
              </w:rPr>
              <w:t>)</w:t>
            </w:r>
          </w:p>
        </w:tc>
        <w:tc>
          <w:tcPr>
            <w:tcW w:w="1458" w:type="dxa"/>
          </w:tcPr>
          <w:p w:rsidR="00B56F83" w:rsidRPr="00B30232" w:rsidRDefault="00B56F83" w:rsidP="004E3657">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B56F83" w:rsidRPr="00B30232" w:rsidRDefault="00B56F83" w:rsidP="004E3657">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w:t>
            </w:r>
          </w:p>
        </w:tc>
        <w:tc>
          <w:tcPr>
            <w:tcW w:w="1458" w:type="dxa"/>
          </w:tcPr>
          <w:p w:rsidR="00B56F83" w:rsidRPr="00B30232" w:rsidRDefault="00B56F83" w:rsidP="004E3657">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B56F83" w:rsidRPr="00660499" w:rsidRDefault="009A3156" w:rsidP="00210DA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660499">
              <w:rPr>
                <w:rFonts w:ascii="Arial" w:hAnsi="Arial" w:cs="Arial"/>
                <w:sz w:val="20"/>
              </w:rPr>
              <w:fldChar w:fldCharType="begin"/>
            </w:r>
            <w:r w:rsidRPr="00B30232">
              <w:rPr>
                <w:rFonts w:ascii="Arial" w:hAnsi="Arial" w:cs="Arial"/>
                <w:sz w:val="20"/>
              </w:rPr>
              <w:instrText xml:space="preserve"> SUM() \# "#,##0" </w:instrText>
            </w:r>
            <w:r w:rsidRPr="00660499">
              <w:rPr>
                <w:rFonts w:ascii="Arial" w:hAnsi="Arial" w:cs="Arial"/>
                <w:sz w:val="20"/>
              </w:rPr>
              <w:fldChar w:fldCharType="end"/>
            </w:r>
            <w:r w:rsidR="0029776A" w:rsidRPr="00B30232">
              <w:rPr>
                <w:rFonts w:ascii="Arial" w:hAnsi="Arial" w:cs="Arial"/>
                <w:sz w:val="20"/>
              </w:rPr>
              <w:t>8,</w:t>
            </w:r>
            <w:r w:rsidR="00210DA4" w:rsidRPr="00B30232">
              <w:rPr>
                <w:rFonts w:ascii="Arial" w:hAnsi="Arial" w:cs="Arial"/>
                <w:sz w:val="20"/>
              </w:rPr>
              <w:t>8</w:t>
            </w:r>
            <w:r w:rsidR="00210DA4">
              <w:rPr>
                <w:rFonts w:ascii="Arial" w:hAnsi="Arial" w:cs="Arial"/>
                <w:sz w:val="20"/>
              </w:rPr>
              <w:t>8</w:t>
            </w:r>
            <w:r w:rsidR="00210DA4" w:rsidRPr="00B30232">
              <w:rPr>
                <w:rFonts w:ascii="Arial" w:hAnsi="Arial" w:cs="Arial"/>
                <w:sz w:val="20"/>
              </w:rPr>
              <w:t>0</w:t>
            </w:r>
          </w:p>
        </w:tc>
        <w:tc>
          <w:tcPr>
            <w:tcW w:w="1458" w:type="dxa"/>
          </w:tcPr>
          <w:p w:rsidR="00B56F83" w:rsidRPr="00B30232" w:rsidRDefault="00B56F83" w:rsidP="004E3657">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r>
      <w:tr w:rsidR="00B56F83" w:rsidRPr="00B30232" w:rsidTr="00B01656">
        <w:trPr>
          <w:trHeight w:val="143"/>
        </w:trPr>
        <w:tc>
          <w:tcPr>
            <w:tcW w:w="1728" w:type="dxa"/>
          </w:tcPr>
          <w:p w:rsidR="00B56F83" w:rsidRPr="00B30232" w:rsidRDefault="00B56F83" w:rsidP="00BC5621">
            <w:pPr>
              <w:widowControl w:val="0"/>
              <w:spacing w:line="240" w:lineRule="exact"/>
              <w:rPr>
                <w:rFonts w:ascii="Arial" w:hAnsi="Arial" w:cs="Arial"/>
                <w:sz w:val="20"/>
              </w:rPr>
            </w:pPr>
            <w:r w:rsidRPr="00B30232">
              <w:rPr>
                <w:rFonts w:ascii="Arial" w:hAnsi="Arial" w:cs="Arial"/>
                <w:sz w:val="20"/>
              </w:rPr>
              <w:t xml:space="preserve">61.13(a)&amp;(b), </w:t>
            </w:r>
            <w:r w:rsidR="00424F8F" w:rsidRPr="00B30232">
              <w:rPr>
                <w:rFonts w:ascii="Arial" w:hAnsi="Arial" w:cs="Arial"/>
                <w:sz w:val="20"/>
              </w:rPr>
              <w:t xml:space="preserve">61.13(f), </w:t>
            </w:r>
            <w:r w:rsidRPr="00B30232">
              <w:rPr>
                <w:rFonts w:ascii="Arial" w:hAnsi="Arial" w:cs="Arial"/>
                <w:sz w:val="20"/>
              </w:rPr>
              <w:t xml:space="preserve">61.41, </w:t>
            </w:r>
            <w:r w:rsidR="00BC5621" w:rsidRPr="00B30232">
              <w:rPr>
                <w:rFonts w:ascii="Arial" w:hAnsi="Arial" w:cs="Arial"/>
                <w:sz w:val="20"/>
              </w:rPr>
              <w:t xml:space="preserve">and </w:t>
            </w:r>
            <w:r w:rsidRPr="00B30232">
              <w:rPr>
                <w:rFonts w:ascii="Arial" w:hAnsi="Arial" w:cs="Arial"/>
                <w:sz w:val="20"/>
              </w:rPr>
              <w:t>61.42</w:t>
            </w:r>
            <w:r w:rsidR="00BC5621" w:rsidRPr="00B30232">
              <w:rPr>
                <w:rFonts w:ascii="Arial" w:hAnsi="Arial" w:cs="Arial"/>
                <w:sz w:val="20"/>
              </w:rPr>
              <w:t>.</w:t>
            </w:r>
          </w:p>
        </w:tc>
        <w:tc>
          <w:tcPr>
            <w:tcW w:w="4500" w:type="dxa"/>
          </w:tcPr>
          <w:p w:rsidR="00B56F83" w:rsidRPr="00B30232" w:rsidRDefault="00B56F83" w:rsidP="00EE5C7D">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sz w:val="20"/>
              </w:rPr>
            </w:pPr>
            <w:r w:rsidRPr="00B30232">
              <w:rPr>
                <w:rFonts w:ascii="Arial" w:hAnsi="Arial" w:cs="Arial"/>
                <w:sz w:val="20"/>
              </w:rPr>
              <w:t xml:space="preserve">Updated compliance period </w:t>
            </w:r>
            <w:r w:rsidR="00424F8F" w:rsidRPr="00B30232">
              <w:rPr>
                <w:rFonts w:ascii="Arial" w:hAnsi="Arial" w:cs="Arial"/>
                <w:sz w:val="20"/>
              </w:rPr>
              <w:t xml:space="preserve">and protective assurance period </w:t>
            </w:r>
            <w:r w:rsidR="005D2E80" w:rsidRPr="00B30232">
              <w:rPr>
                <w:rFonts w:ascii="Arial" w:hAnsi="Arial" w:cs="Arial"/>
                <w:sz w:val="20"/>
              </w:rPr>
              <w:t xml:space="preserve">analyses </w:t>
            </w:r>
            <w:r w:rsidRPr="00B30232">
              <w:rPr>
                <w:rFonts w:ascii="Arial" w:hAnsi="Arial" w:cs="Arial"/>
                <w:sz w:val="20"/>
              </w:rPr>
              <w:t>(within 10,000 years) during normal facility operation</w:t>
            </w:r>
          </w:p>
        </w:tc>
        <w:tc>
          <w:tcPr>
            <w:tcW w:w="1458" w:type="dxa"/>
          </w:tcPr>
          <w:p w:rsidR="00B56F83" w:rsidRPr="00B30232" w:rsidRDefault="00B56F83" w:rsidP="004E3657">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B56F83" w:rsidRPr="00B30232" w:rsidRDefault="00B56F83" w:rsidP="004E3657">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w:t>
            </w:r>
          </w:p>
        </w:tc>
        <w:tc>
          <w:tcPr>
            <w:tcW w:w="1458" w:type="dxa"/>
          </w:tcPr>
          <w:p w:rsidR="00B56F83" w:rsidRPr="00B30232" w:rsidRDefault="00B56F83" w:rsidP="004E3657">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B56F83" w:rsidRPr="00660499" w:rsidRDefault="0029776A" w:rsidP="004E3657">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3,552</w:t>
            </w:r>
          </w:p>
        </w:tc>
        <w:tc>
          <w:tcPr>
            <w:tcW w:w="1458" w:type="dxa"/>
          </w:tcPr>
          <w:p w:rsidR="00B56F83" w:rsidRPr="00B30232" w:rsidRDefault="00B56F83" w:rsidP="004E3657">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r>
      <w:tr w:rsidR="00A17214" w:rsidRPr="00B30232" w:rsidTr="00B01656">
        <w:trPr>
          <w:trHeight w:val="143"/>
        </w:trPr>
        <w:tc>
          <w:tcPr>
            <w:tcW w:w="1728" w:type="dxa"/>
          </w:tcPr>
          <w:p w:rsidR="00A17214" w:rsidRPr="00B30232" w:rsidRDefault="00A17214" w:rsidP="0058533A">
            <w:pPr>
              <w:widowControl w:val="0"/>
              <w:spacing w:line="240" w:lineRule="exact"/>
              <w:rPr>
                <w:rFonts w:ascii="Arial" w:hAnsi="Arial" w:cs="Arial"/>
                <w:sz w:val="20"/>
              </w:rPr>
            </w:pPr>
            <w:r w:rsidRPr="00B30232">
              <w:rPr>
                <w:rFonts w:ascii="Arial" w:hAnsi="Arial" w:cs="Arial"/>
                <w:sz w:val="20"/>
              </w:rPr>
              <w:t>61.13(e)</w:t>
            </w:r>
            <w:r w:rsidR="00424F8F" w:rsidRPr="00B30232">
              <w:rPr>
                <w:rFonts w:ascii="Arial" w:hAnsi="Arial" w:cs="Arial"/>
                <w:sz w:val="20"/>
              </w:rPr>
              <w:t xml:space="preserve"> and 61.13(f)</w:t>
            </w:r>
          </w:p>
        </w:tc>
        <w:tc>
          <w:tcPr>
            <w:tcW w:w="4500" w:type="dxa"/>
          </w:tcPr>
          <w:p w:rsidR="00A17214" w:rsidRPr="00B30232" w:rsidRDefault="00DE3176" w:rsidP="00EE5C7D">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sz w:val="20"/>
              </w:rPr>
            </w:pPr>
            <w:r w:rsidRPr="00B30232">
              <w:rPr>
                <w:rFonts w:ascii="Arial" w:hAnsi="Arial" w:cs="Arial"/>
                <w:sz w:val="20"/>
              </w:rPr>
              <w:t>I</w:t>
            </w:r>
            <w:r w:rsidR="00A17214" w:rsidRPr="00B30232">
              <w:rPr>
                <w:rFonts w:ascii="Arial" w:hAnsi="Arial" w:cs="Arial"/>
                <w:sz w:val="20"/>
              </w:rPr>
              <w:t>nitial performance period analyses</w:t>
            </w:r>
            <w:r w:rsidR="00EE5C7D" w:rsidRPr="00B30232">
              <w:rPr>
                <w:rStyle w:val="FootnoteReference"/>
                <w:rFonts w:ascii="Arial" w:hAnsi="Arial" w:cs="Arial"/>
                <w:sz w:val="20"/>
              </w:rPr>
              <w:footnoteReference w:id="2"/>
            </w:r>
            <w:r w:rsidR="00232FDE" w:rsidRPr="00B30232">
              <w:rPr>
                <w:rFonts w:ascii="Arial" w:hAnsi="Arial" w:cs="Arial"/>
                <w:sz w:val="20"/>
              </w:rPr>
              <w:t xml:space="preserve"> </w:t>
            </w:r>
            <w:r w:rsidR="00A17214" w:rsidRPr="00B30232">
              <w:rPr>
                <w:rFonts w:ascii="Arial" w:hAnsi="Arial" w:cs="Arial"/>
                <w:sz w:val="20"/>
              </w:rPr>
              <w:t xml:space="preserve">(&gt;10,000 years) </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660499" w:rsidRDefault="0029776A"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1,776</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r>
      <w:tr w:rsidR="00A17214" w:rsidRPr="00B30232" w:rsidTr="00B01656">
        <w:trPr>
          <w:trHeight w:val="143"/>
        </w:trPr>
        <w:tc>
          <w:tcPr>
            <w:tcW w:w="1728" w:type="dxa"/>
          </w:tcPr>
          <w:p w:rsidR="00A17214" w:rsidRPr="00B30232" w:rsidRDefault="00A17214" w:rsidP="0058533A">
            <w:pPr>
              <w:widowControl w:val="0"/>
              <w:spacing w:line="240" w:lineRule="exact"/>
              <w:rPr>
                <w:rFonts w:ascii="Arial" w:hAnsi="Arial" w:cs="Arial"/>
                <w:sz w:val="20"/>
              </w:rPr>
            </w:pPr>
            <w:r w:rsidRPr="00B30232">
              <w:rPr>
                <w:rFonts w:ascii="Arial" w:hAnsi="Arial" w:cs="Arial"/>
                <w:sz w:val="20"/>
              </w:rPr>
              <w:t>61.13(e)</w:t>
            </w:r>
            <w:r w:rsidR="00424F8F" w:rsidRPr="00B30232">
              <w:rPr>
                <w:rFonts w:ascii="Arial" w:hAnsi="Arial" w:cs="Arial"/>
                <w:sz w:val="20"/>
              </w:rPr>
              <w:t xml:space="preserve"> and 61.13(f)</w:t>
            </w:r>
          </w:p>
        </w:tc>
        <w:tc>
          <w:tcPr>
            <w:tcW w:w="4500" w:type="dxa"/>
          </w:tcPr>
          <w:p w:rsidR="00A17214" w:rsidRPr="00B30232" w:rsidRDefault="00DE3176" w:rsidP="00EE5C7D">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sz w:val="20"/>
              </w:rPr>
            </w:pPr>
            <w:r w:rsidRPr="00B30232">
              <w:rPr>
                <w:rFonts w:ascii="Arial" w:hAnsi="Arial" w:cs="Arial"/>
                <w:sz w:val="20"/>
              </w:rPr>
              <w:t>U</w:t>
            </w:r>
            <w:r w:rsidR="00A17214" w:rsidRPr="00B30232">
              <w:rPr>
                <w:rFonts w:ascii="Arial" w:hAnsi="Arial" w:cs="Arial"/>
                <w:sz w:val="20"/>
              </w:rPr>
              <w:t>pdated performance period analyses</w:t>
            </w:r>
            <w:r w:rsidR="00EE5C7D" w:rsidRPr="00B30232">
              <w:rPr>
                <w:rFonts w:ascii="Arial" w:hAnsi="Arial" w:cs="Arial"/>
                <w:sz w:val="20"/>
              </w:rPr>
              <w:t xml:space="preserve"> </w:t>
            </w:r>
            <w:r w:rsidR="00A17214" w:rsidRPr="00B30232">
              <w:rPr>
                <w:rFonts w:ascii="Arial" w:hAnsi="Arial" w:cs="Arial"/>
                <w:sz w:val="20"/>
              </w:rPr>
              <w:t>(&gt;10,000 years) during normal facility operation</w:t>
            </w:r>
            <w:r w:rsidR="00B01656" w:rsidRPr="00B30232">
              <w:rPr>
                <w:rFonts w:ascii="Arial" w:hAnsi="Arial" w:cs="Arial"/>
                <w:sz w:val="20"/>
              </w:rPr>
              <w:t xml:space="preserve"> </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B30232" w:rsidRDefault="00DE3176" w:rsidP="00DE3176">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660499" w:rsidRDefault="0029776A"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888</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r>
      <w:tr w:rsidR="00A17214" w:rsidRPr="00B30232" w:rsidTr="00B01656">
        <w:trPr>
          <w:trHeight w:val="143"/>
        </w:trPr>
        <w:tc>
          <w:tcPr>
            <w:tcW w:w="1728" w:type="dxa"/>
          </w:tcPr>
          <w:p w:rsidR="00A17214" w:rsidRPr="00B30232" w:rsidRDefault="00A17214" w:rsidP="0058533A">
            <w:pPr>
              <w:widowControl w:val="0"/>
              <w:spacing w:line="240" w:lineRule="exact"/>
              <w:rPr>
                <w:rFonts w:ascii="Arial" w:hAnsi="Arial" w:cs="Arial"/>
                <w:sz w:val="20"/>
              </w:rPr>
            </w:pPr>
            <w:r w:rsidRPr="00B30232">
              <w:rPr>
                <w:rFonts w:ascii="Arial" w:hAnsi="Arial" w:cs="Arial"/>
                <w:sz w:val="20"/>
              </w:rPr>
              <w:t>61.28</w:t>
            </w:r>
          </w:p>
        </w:tc>
        <w:tc>
          <w:tcPr>
            <w:tcW w:w="4500" w:type="dxa"/>
          </w:tcPr>
          <w:p w:rsidR="00A17214" w:rsidRPr="00B30232" w:rsidRDefault="00DE3176"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sz w:val="20"/>
              </w:rPr>
            </w:pPr>
            <w:r w:rsidRPr="00B30232">
              <w:rPr>
                <w:rFonts w:ascii="Arial" w:hAnsi="Arial" w:cs="Arial"/>
                <w:sz w:val="20"/>
              </w:rPr>
              <w:t>U</w:t>
            </w:r>
            <w:r w:rsidR="00A17214" w:rsidRPr="00B30232">
              <w:rPr>
                <w:rFonts w:ascii="Arial" w:hAnsi="Arial" w:cs="Arial"/>
                <w:sz w:val="20"/>
              </w:rPr>
              <w:t xml:space="preserve">pdated compliance period </w:t>
            </w:r>
            <w:r w:rsidR="00424F8F" w:rsidRPr="00B30232">
              <w:rPr>
                <w:rFonts w:ascii="Arial" w:hAnsi="Arial" w:cs="Arial"/>
                <w:sz w:val="20"/>
              </w:rPr>
              <w:t xml:space="preserve">and protective assurance period </w:t>
            </w:r>
            <w:r w:rsidR="00A17214" w:rsidRPr="00B30232">
              <w:rPr>
                <w:rFonts w:ascii="Arial" w:hAnsi="Arial" w:cs="Arial"/>
                <w:sz w:val="20"/>
              </w:rPr>
              <w:t>analyses</w:t>
            </w:r>
            <w:r w:rsidR="00B16230" w:rsidRPr="00B30232">
              <w:rPr>
                <w:rStyle w:val="FootnoteReference"/>
                <w:rFonts w:ascii="Arial" w:hAnsi="Arial" w:cs="Arial"/>
                <w:sz w:val="20"/>
              </w:rPr>
              <w:footnoteReference w:id="3"/>
            </w:r>
            <w:r w:rsidR="00A17214" w:rsidRPr="00B30232">
              <w:rPr>
                <w:rFonts w:ascii="Arial" w:hAnsi="Arial" w:cs="Arial"/>
                <w:sz w:val="20"/>
              </w:rPr>
              <w:t xml:space="preserve"> (within 10,000 years) during facility closure.</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660499" w:rsidRDefault="0029776A"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3,552</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r>
      <w:tr w:rsidR="00A17214" w:rsidRPr="00B30232" w:rsidTr="00B01656">
        <w:trPr>
          <w:trHeight w:val="143"/>
        </w:trPr>
        <w:tc>
          <w:tcPr>
            <w:tcW w:w="1728" w:type="dxa"/>
          </w:tcPr>
          <w:p w:rsidR="00A17214" w:rsidRPr="00B30232" w:rsidRDefault="00A17214" w:rsidP="0058533A">
            <w:pPr>
              <w:widowControl w:val="0"/>
              <w:spacing w:line="240" w:lineRule="exact"/>
              <w:rPr>
                <w:rFonts w:ascii="Arial" w:hAnsi="Arial" w:cs="Arial"/>
                <w:sz w:val="20"/>
              </w:rPr>
            </w:pPr>
            <w:r w:rsidRPr="00B30232">
              <w:rPr>
                <w:rFonts w:ascii="Arial" w:hAnsi="Arial" w:cs="Arial"/>
                <w:sz w:val="20"/>
              </w:rPr>
              <w:t>61.28</w:t>
            </w:r>
          </w:p>
        </w:tc>
        <w:tc>
          <w:tcPr>
            <w:tcW w:w="4500" w:type="dxa"/>
          </w:tcPr>
          <w:p w:rsidR="00A17214" w:rsidRPr="00B30232" w:rsidRDefault="00DE3176" w:rsidP="00EE5C7D">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sz w:val="20"/>
              </w:rPr>
            </w:pPr>
            <w:r w:rsidRPr="00B30232">
              <w:rPr>
                <w:rFonts w:ascii="Arial" w:hAnsi="Arial" w:cs="Arial"/>
                <w:sz w:val="20"/>
              </w:rPr>
              <w:t>U</w:t>
            </w:r>
            <w:r w:rsidR="00A17214" w:rsidRPr="00B30232">
              <w:rPr>
                <w:rFonts w:ascii="Arial" w:hAnsi="Arial" w:cs="Arial"/>
                <w:sz w:val="20"/>
              </w:rPr>
              <w:t>pdated performance period analyses</w:t>
            </w:r>
            <w:r w:rsidR="00A17214" w:rsidRPr="00B30232">
              <w:rPr>
                <w:rFonts w:ascii="Arial" w:hAnsi="Arial" w:cs="Arial"/>
                <w:sz w:val="20"/>
                <w:vertAlign w:val="superscript"/>
              </w:rPr>
              <w:t xml:space="preserve"> </w:t>
            </w:r>
            <w:r w:rsidR="00A17214" w:rsidRPr="00B30232">
              <w:rPr>
                <w:rFonts w:ascii="Arial" w:hAnsi="Arial" w:cs="Arial"/>
                <w:sz w:val="20"/>
              </w:rPr>
              <w:t>(&gt;10,000 years) during facility closure.</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660499" w:rsidRDefault="0029776A"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888</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r>
      <w:tr w:rsidR="00A17214" w:rsidRPr="00B30232" w:rsidTr="00B01656">
        <w:tc>
          <w:tcPr>
            <w:tcW w:w="1728" w:type="dxa"/>
          </w:tcPr>
          <w:p w:rsidR="00A17214" w:rsidRPr="00B30232" w:rsidRDefault="00A17214" w:rsidP="0058533A">
            <w:pPr>
              <w:widowControl w:val="0"/>
              <w:spacing w:line="240" w:lineRule="exact"/>
              <w:rPr>
                <w:rFonts w:ascii="Arial" w:hAnsi="Arial" w:cs="Arial"/>
                <w:sz w:val="20"/>
              </w:rPr>
            </w:pPr>
            <w:r w:rsidRPr="00B30232">
              <w:rPr>
                <w:rFonts w:ascii="Arial" w:hAnsi="Arial" w:cs="Arial"/>
                <w:sz w:val="20"/>
              </w:rPr>
              <w:t>61.58</w:t>
            </w:r>
          </w:p>
        </w:tc>
        <w:tc>
          <w:tcPr>
            <w:tcW w:w="4500" w:type="dxa"/>
          </w:tcPr>
          <w:p w:rsidR="00A17214" w:rsidRPr="00B30232" w:rsidRDefault="00DE3176" w:rsidP="00A1721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sz w:val="20"/>
              </w:rPr>
            </w:pPr>
            <w:r w:rsidRPr="00B30232">
              <w:rPr>
                <w:rFonts w:ascii="Arial" w:hAnsi="Arial" w:cs="Arial"/>
                <w:sz w:val="20"/>
              </w:rPr>
              <w:t>I</w:t>
            </w:r>
            <w:r w:rsidR="00A17214" w:rsidRPr="00B30232">
              <w:rPr>
                <w:rFonts w:ascii="Arial" w:hAnsi="Arial" w:cs="Arial"/>
                <w:sz w:val="20"/>
              </w:rPr>
              <w:t xml:space="preserve">nitial LLRW acceptance plan </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660499" w:rsidRDefault="00296B85"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1,776</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r>
      <w:tr w:rsidR="00A17214" w:rsidRPr="00B30232" w:rsidTr="00B01656">
        <w:tc>
          <w:tcPr>
            <w:tcW w:w="1728" w:type="dxa"/>
          </w:tcPr>
          <w:p w:rsidR="00A17214" w:rsidRPr="00B30232" w:rsidRDefault="00A17214" w:rsidP="0058533A">
            <w:pPr>
              <w:widowControl w:val="0"/>
              <w:spacing w:line="240" w:lineRule="exact"/>
              <w:rPr>
                <w:rFonts w:ascii="Arial" w:hAnsi="Arial" w:cs="Arial"/>
                <w:sz w:val="20"/>
              </w:rPr>
            </w:pPr>
            <w:r w:rsidRPr="00B30232">
              <w:rPr>
                <w:rFonts w:ascii="Arial" w:hAnsi="Arial" w:cs="Arial"/>
                <w:sz w:val="20"/>
              </w:rPr>
              <w:t>61.58</w:t>
            </w:r>
          </w:p>
        </w:tc>
        <w:tc>
          <w:tcPr>
            <w:tcW w:w="4500" w:type="dxa"/>
          </w:tcPr>
          <w:p w:rsidR="00A17214" w:rsidRPr="00B30232" w:rsidRDefault="00DE3176" w:rsidP="00A1721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sz w:val="20"/>
              </w:rPr>
            </w:pPr>
            <w:r w:rsidRPr="00B30232">
              <w:rPr>
                <w:rFonts w:ascii="Arial" w:hAnsi="Arial" w:cs="Arial"/>
                <w:sz w:val="20"/>
              </w:rPr>
              <w:t>U</w:t>
            </w:r>
            <w:r w:rsidR="00A17214" w:rsidRPr="00B30232">
              <w:rPr>
                <w:rFonts w:ascii="Arial" w:hAnsi="Arial" w:cs="Arial"/>
                <w:sz w:val="20"/>
              </w:rPr>
              <w:t xml:space="preserve">pdated LLRW acceptance plan </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B30232" w:rsidRDefault="00DE3176"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58" w:type="dxa"/>
          </w:tcPr>
          <w:p w:rsidR="00A17214" w:rsidRPr="00660499" w:rsidRDefault="00296B85"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888</w:t>
            </w:r>
          </w:p>
        </w:tc>
        <w:tc>
          <w:tcPr>
            <w:tcW w:w="145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r>
      <w:tr w:rsidR="00A17214" w:rsidRPr="00B30232" w:rsidTr="00B01656">
        <w:trPr>
          <w:trHeight w:val="63"/>
        </w:trPr>
        <w:tc>
          <w:tcPr>
            <w:tcW w:w="1728" w:type="dxa"/>
          </w:tcPr>
          <w:p w:rsidR="00A17214" w:rsidRPr="00B30232" w:rsidRDefault="00A17214" w:rsidP="009B7576">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b/>
                <w:sz w:val="20"/>
              </w:rPr>
            </w:pPr>
            <w:r w:rsidRPr="00B30232">
              <w:rPr>
                <w:rFonts w:ascii="Arial" w:hAnsi="Arial" w:cs="Arial"/>
                <w:b/>
                <w:sz w:val="20"/>
              </w:rPr>
              <w:t>Total</w:t>
            </w:r>
          </w:p>
        </w:tc>
        <w:tc>
          <w:tcPr>
            <w:tcW w:w="4500" w:type="dxa"/>
          </w:tcPr>
          <w:p w:rsidR="00A17214" w:rsidRPr="00B30232" w:rsidRDefault="00A17214" w:rsidP="009B7576">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b/>
                <w:sz w:val="20"/>
              </w:rPr>
            </w:pPr>
          </w:p>
        </w:tc>
        <w:tc>
          <w:tcPr>
            <w:tcW w:w="1458" w:type="dxa"/>
          </w:tcPr>
          <w:p w:rsidR="00A17214" w:rsidRPr="00B30232" w:rsidRDefault="00A17214" w:rsidP="009B7576">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b/>
                <w:sz w:val="20"/>
              </w:rPr>
            </w:pPr>
            <w:r w:rsidRPr="00B30232">
              <w:rPr>
                <w:rFonts w:ascii="Arial" w:hAnsi="Arial" w:cs="Arial"/>
                <w:b/>
                <w:sz w:val="20"/>
              </w:rPr>
              <w:t>0</w:t>
            </w:r>
          </w:p>
        </w:tc>
        <w:tc>
          <w:tcPr>
            <w:tcW w:w="1458" w:type="dxa"/>
          </w:tcPr>
          <w:p w:rsidR="00A17214" w:rsidRPr="00B30232" w:rsidRDefault="00A17214" w:rsidP="009B7576">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b/>
                <w:sz w:val="20"/>
              </w:rPr>
            </w:pPr>
          </w:p>
        </w:tc>
        <w:tc>
          <w:tcPr>
            <w:tcW w:w="1458" w:type="dxa"/>
          </w:tcPr>
          <w:p w:rsidR="00A17214" w:rsidRPr="00B30232" w:rsidRDefault="00A17214" w:rsidP="009B7576">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b/>
                <w:sz w:val="20"/>
              </w:rPr>
            </w:pPr>
            <w:r w:rsidRPr="00B30232">
              <w:rPr>
                <w:rFonts w:ascii="Arial" w:hAnsi="Arial" w:cs="Arial"/>
                <w:b/>
                <w:sz w:val="20"/>
              </w:rPr>
              <w:t>0</w:t>
            </w:r>
          </w:p>
        </w:tc>
        <w:tc>
          <w:tcPr>
            <w:tcW w:w="1458" w:type="dxa"/>
          </w:tcPr>
          <w:p w:rsidR="00A17214" w:rsidRPr="00B30232" w:rsidRDefault="0029776A" w:rsidP="00210DA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b/>
                <w:sz w:val="20"/>
              </w:rPr>
            </w:pPr>
            <w:r w:rsidRPr="00B30232">
              <w:rPr>
                <w:rFonts w:ascii="Arial" w:hAnsi="Arial" w:cs="Arial"/>
                <w:b/>
                <w:sz w:val="20"/>
              </w:rPr>
              <w:t>22,</w:t>
            </w:r>
            <w:r w:rsidR="00210DA4">
              <w:rPr>
                <w:rFonts w:ascii="Arial" w:hAnsi="Arial" w:cs="Arial"/>
                <w:b/>
                <w:sz w:val="20"/>
              </w:rPr>
              <w:t>200</w:t>
            </w:r>
          </w:p>
        </w:tc>
        <w:tc>
          <w:tcPr>
            <w:tcW w:w="1458" w:type="dxa"/>
          </w:tcPr>
          <w:p w:rsidR="00A17214" w:rsidRPr="00B30232" w:rsidRDefault="00A17214" w:rsidP="009B7576">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b/>
                <w:sz w:val="20"/>
              </w:rPr>
            </w:pPr>
            <w:r w:rsidRPr="00B30232">
              <w:rPr>
                <w:rFonts w:ascii="Arial" w:hAnsi="Arial" w:cs="Arial"/>
                <w:b/>
                <w:sz w:val="20"/>
              </w:rPr>
              <w:t>0</w:t>
            </w:r>
          </w:p>
        </w:tc>
      </w:tr>
    </w:tbl>
    <w:p w:rsidR="00AF0504" w:rsidRPr="00B30232" w:rsidRDefault="00AF0504" w:rsidP="002D2E38">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18"/>
          <w:szCs w:val="18"/>
        </w:rPr>
      </w:pPr>
    </w:p>
    <w:p w:rsidR="00B16230" w:rsidRPr="00B30232" w:rsidRDefault="002D2E38" w:rsidP="00B01656">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0"/>
          <w:szCs w:val="18"/>
        </w:rPr>
      </w:pPr>
      <w:r w:rsidRPr="00B30232">
        <w:rPr>
          <w:rFonts w:ascii="Arial" w:hAnsi="Arial" w:cs="Arial"/>
          <w:b/>
          <w:sz w:val="20"/>
          <w:szCs w:val="18"/>
        </w:rPr>
        <w:t>NOTE:</w:t>
      </w:r>
      <w:r w:rsidRPr="00B30232">
        <w:rPr>
          <w:rFonts w:ascii="Arial" w:hAnsi="Arial" w:cs="Arial"/>
          <w:sz w:val="20"/>
          <w:szCs w:val="18"/>
        </w:rPr>
        <w:t xml:space="preserve"> The four current licensees are Agreement State licensees (SC, WA, UT, and TX).  Assuming that all four licensees choose to submit a license amendment to change waste streams, they will need to incur one-time burdens to conduct </w:t>
      </w:r>
      <w:r w:rsidR="00311032" w:rsidRPr="00B30232">
        <w:rPr>
          <w:rFonts w:ascii="Arial" w:hAnsi="Arial" w:cs="Arial"/>
          <w:sz w:val="20"/>
          <w:szCs w:val="18"/>
        </w:rPr>
        <w:t xml:space="preserve">the initial site-specific </w:t>
      </w:r>
      <w:r w:rsidR="000F48B0" w:rsidRPr="00B30232">
        <w:rPr>
          <w:rFonts w:ascii="Arial" w:hAnsi="Arial" w:cs="Arial"/>
          <w:sz w:val="20"/>
          <w:szCs w:val="18"/>
        </w:rPr>
        <w:t xml:space="preserve">technical </w:t>
      </w:r>
      <w:r w:rsidR="00311032" w:rsidRPr="00B30232">
        <w:rPr>
          <w:rFonts w:ascii="Arial" w:hAnsi="Arial" w:cs="Arial"/>
          <w:sz w:val="20"/>
          <w:szCs w:val="18"/>
        </w:rPr>
        <w:t xml:space="preserve">analyses, which </w:t>
      </w:r>
      <w:r w:rsidR="00311032" w:rsidRPr="00B30232">
        <w:rPr>
          <w:rFonts w:ascii="Arial" w:hAnsi="Arial" w:cs="Arial"/>
          <w:sz w:val="20"/>
          <w:szCs w:val="18"/>
        </w:rPr>
        <w:lastRenderedPageBreak/>
        <w:t xml:space="preserve">include: 1) </w:t>
      </w:r>
      <w:r w:rsidR="000F48B0" w:rsidRPr="00B30232">
        <w:rPr>
          <w:rFonts w:ascii="Arial" w:hAnsi="Arial" w:cs="Arial"/>
          <w:sz w:val="20"/>
          <w:szCs w:val="18"/>
        </w:rPr>
        <w:t xml:space="preserve">the compliance period </w:t>
      </w:r>
      <w:r w:rsidR="00424F8F" w:rsidRPr="00B30232">
        <w:rPr>
          <w:rFonts w:ascii="Arial" w:hAnsi="Arial" w:cs="Arial"/>
          <w:sz w:val="20"/>
          <w:szCs w:val="18"/>
        </w:rPr>
        <w:t xml:space="preserve">and protective assurance period </w:t>
      </w:r>
      <w:r w:rsidR="000F48B0" w:rsidRPr="00B30232">
        <w:rPr>
          <w:rFonts w:ascii="Arial" w:hAnsi="Arial" w:cs="Arial"/>
          <w:sz w:val="20"/>
          <w:szCs w:val="18"/>
        </w:rPr>
        <w:t>analyses</w:t>
      </w:r>
      <w:r w:rsidRPr="00B30232">
        <w:rPr>
          <w:rFonts w:ascii="Arial" w:hAnsi="Arial" w:cs="Arial"/>
          <w:sz w:val="20"/>
          <w:szCs w:val="18"/>
        </w:rPr>
        <w:t xml:space="preserve">, </w:t>
      </w:r>
      <w:r w:rsidR="000F48B0" w:rsidRPr="00B30232">
        <w:rPr>
          <w:rFonts w:ascii="Arial" w:hAnsi="Arial" w:cs="Arial"/>
          <w:sz w:val="20"/>
          <w:szCs w:val="18"/>
        </w:rPr>
        <w:t xml:space="preserve">and </w:t>
      </w:r>
      <w:r w:rsidR="00311032" w:rsidRPr="00B30232">
        <w:rPr>
          <w:rFonts w:ascii="Arial" w:hAnsi="Arial" w:cs="Arial"/>
          <w:sz w:val="20"/>
          <w:szCs w:val="18"/>
        </w:rPr>
        <w:t xml:space="preserve">2) </w:t>
      </w:r>
      <w:r w:rsidR="000F48B0" w:rsidRPr="00B30232">
        <w:rPr>
          <w:rFonts w:ascii="Arial" w:hAnsi="Arial" w:cs="Arial"/>
          <w:sz w:val="20"/>
          <w:szCs w:val="18"/>
        </w:rPr>
        <w:t xml:space="preserve">the performance period analyses.  </w:t>
      </w:r>
      <w:r w:rsidRPr="00B30232">
        <w:rPr>
          <w:rFonts w:ascii="Arial" w:hAnsi="Arial" w:cs="Arial"/>
          <w:sz w:val="20"/>
          <w:szCs w:val="18"/>
        </w:rPr>
        <w:t xml:space="preserve">These </w:t>
      </w:r>
      <w:r w:rsidR="00311032" w:rsidRPr="00B30232">
        <w:rPr>
          <w:rFonts w:ascii="Arial" w:hAnsi="Arial" w:cs="Arial"/>
          <w:sz w:val="20"/>
          <w:szCs w:val="18"/>
        </w:rPr>
        <w:t xml:space="preserve">initial site-specific analyses </w:t>
      </w:r>
      <w:r w:rsidRPr="00B30232">
        <w:rPr>
          <w:rFonts w:ascii="Arial" w:hAnsi="Arial" w:cs="Arial"/>
          <w:sz w:val="20"/>
          <w:szCs w:val="18"/>
        </w:rPr>
        <w:t>will be performed four years from rule implementation, due to a three-year delay in the development of Agreement State regulations.</w:t>
      </w:r>
      <w:r w:rsidR="00FE6AD3" w:rsidRPr="00B30232">
        <w:rPr>
          <w:rFonts w:ascii="Arial" w:hAnsi="Arial" w:cs="Arial"/>
          <w:sz w:val="20"/>
          <w:szCs w:val="18"/>
        </w:rPr>
        <w:t xml:space="preserve">  None of the burdens will be incurred during the three year clearance period.</w:t>
      </w:r>
    </w:p>
    <w:p w:rsidR="007518B1" w:rsidRPr="00B30232" w:rsidRDefault="007518B1" w:rsidP="00B01656">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0"/>
          <w:szCs w:val="18"/>
        </w:rPr>
      </w:pPr>
    </w:p>
    <w:p w:rsidR="00B16230" w:rsidRPr="00B30232" w:rsidRDefault="007518B1" w:rsidP="00B01656">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0"/>
        </w:rPr>
      </w:pPr>
      <w:r w:rsidRPr="00B30232">
        <w:rPr>
          <w:rFonts w:ascii="Arial" w:hAnsi="Arial" w:cs="Arial"/>
          <w:sz w:val="20"/>
          <w:szCs w:val="18"/>
        </w:rPr>
        <w:tab/>
        <w:t xml:space="preserve">Each of the above reporting requirements is a one-time requirement, and the totals given reflect the total time to complete analyses.  </w:t>
      </w:r>
      <w:r w:rsidR="00AB6D74" w:rsidRPr="00B30232">
        <w:rPr>
          <w:rFonts w:ascii="Arial" w:hAnsi="Arial" w:cs="Arial"/>
          <w:sz w:val="20"/>
          <w:szCs w:val="18"/>
        </w:rPr>
        <w:t>The total reporting burden impact of the proposed rule on an existing LLRW licensee is</w:t>
      </w:r>
      <w:r w:rsidR="005D2E80" w:rsidRPr="00B30232">
        <w:rPr>
          <w:rFonts w:ascii="Arial" w:hAnsi="Arial" w:cs="Arial"/>
          <w:sz w:val="20"/>
          <w:szCs w:val="18"/>
        </w:rPr>
        <w:t xml:space="preserve"> up to</w:t>
      </w:r>
      <w:r w:rsidR="00AB6D74" w:rsidRPr="00B30232">
        <w:rPr>
          <w:rFonts w:ascii="Arial" w:hAnsi="Arial" w:cs="Arial"/>
          <w:sz w:val="20"/>
          <w:szCs w:val="18"/>
        </w:rPr>
        <w:t xml:space="preserve"> </w:t>
      </w:r>
      <w:r w:rsidR="0029776A" w:rsidRPr="00B30232">
        <w:rPr>
          <w:rFonts w:ascii="Arial" w:hAnsi="Arial" w:cs="Arial"/>
          <w:sz w:val="20"/>
          <w:szCs w:val="18"/>
        </w:rPr>
        <w:t>22,</w:t>
      </w:r>
      <w:r w:rsidR="00265DF8">
        <w:rPr>
          <w:rFonts w:ascii="Arial" w:hAnsi="Arial" w:cs="Arial"/>
          <w:sz w:val="20"/>
          <w:szCs w:val="18"/>
        </w:rPr>
        <w:t>200</w:t>
      </w:r>
      <w:r w:rsidR="00265DF8" w:rsidRPr="00B30232">
        <w:rPr>
          <w:rFonts w:ascii="Arial" w:hAnsi="Arial" w:cs="Arial"/>
          <w:sz w:val="20"/>
          <w:szCs w:val="18"/>
        </w:rPr>
        <w:t xml:space="preserve"> </w:t>
      </w:r>
      <w:r w:rsidR="00AB6D74" w:rsidRPr="00B30232">
        <w:rPr>
          <w:rFonts w:ascii="Arial" w:hAnsi="Arial" w:cs="Arial"/>
          <w:sz w:val="20"/>
          <w:szCs w:val="18"/>
        </w:rPr>
        <w:t>hours (</w:t>
      </w:r>
      <w:r w:rsidR="0029776A" w:rsidRPr="00B30232">
        <w:rPr>
          <w:rFonts w:ascii="Arial" w:hAnsi="Arial" w:cs="Arial"/>
          <w:sz w:val="20"/>
          <w:szCs w:val="18"/>
        </w:rPr>
        <w:t>7,</w:t>
      </w:r>
      <w:r w:rsidR="00265DF8">
        <w:rPr>
          <w:rFonts w:ascii="Arial" w:hAnsi="Arial" w:cs="Arial"/>
          <w:sz w:val="20"/>
          <w:szCs w:val="18"/>
        </w:rPr>
        <w:t>400</w:t>
      </w:r>
      <w:r w:rsidR="00265DF8" w:rsidRPr="00B30232">
        <w:rPr>
          <w:rFonts w:ascii="Arial" w:hAnsi="Arial" w:cs="Arial"/>
          <w:sz w:val="20"/>
          <w:szCs w:val="18"/>
        </w:rPr>
        <w:t xml:space="preserve"> </w:t>
      </w:r>
      <w:r w:rsidR="00AB6D74" w:rsidRPr="00B30232">
        <w:rPr>
          <w:rFonts w:ascii="Arial" w:hAnsi="Arial" w:cs="Arial"/>
          <w:sz w:val="20"/>
          <w:szCs w:val="18"/>
        </w:rPr>
        <w:t>hrs annualized).  These burdens will be reflected in future supporting statements for Part 61, as the licensees perform each of the analyses.</w:t>
      </w:r>
    </w:p>
    <w:p w:rsidR="00A17214" w:rsidRPr="00B30232" w:rsidRDefault="00A17214" w:rsidP="00B01656">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0"/>
        </w:rPr>
      </w:pPr>
      <w:r w:rsidRPr="00B30232">
        <w:rPr>
          <w:rFonts w:ascii="Arial" w:hAnsi="Arial" w:cs="Arial"/>
          <w:sz w:val="20"/>
        </w:rPr>
        <w:br w:type="page"/>
      </w:r>
    </w:p>
    <w:p w:rsidR="00B22F83" w:rsidRPr="00B30232" w:rsidRDefault="00B22F83" w:rsidP="00B22F83">
      <w:pPr>
        <w:widowControl w:val="0"/>
        <w:tabs>
          <w:tab w:val="center" w:pos="4680"/>
        </w:tabs>
        <w:jc w:val="center"/>
        <w:rPr>
          <w:rFonts w:ascii="Arial" w:hAnsi="Arial" w:cs="Arial"/>
          <w:b/>
          <w:sz w:val="22"/>
        </w:rPr>
      </w:pPr>
      <w:r w:rsidRPr="00B30232">
        <w:rPr>
          <w:rFonts w:ascii="Arial" w:hAnsi="Arial" w:cs="Arial"/>
          <w:b/>
          <w:sz w:val="22"/>
        </w:rPr>
        <w:lastRenderedPageBreak/>
        <w:t>Table 2</w:t>
      </w:r>
    </w:p>
    <w:p w:rsidR="00B22F83" w:rsidRPr="00B30232" w:rsidRDefault="00B22F83" w:rsidP="00B22F83">
      <w:pPr>
        <w:widowControl w:val="0"/>
        <w:tabs>
          <w:tab w:val="center" w:pos="4680"/>
        </w:tabs>
        <w:jc w:val="center"/>
        <w:rPr>
          <w:rFonts w:ascii="Arial" w:hAnsi="Arial" w:cs="Arial"/>
          <w:b/>
          <w:sz w:val="22"/>
        </w:rPr>
      </w:pPr>
      <w:r w:rsidRPr="00B30232">
        <w:rPr>
          <w:rFonts w:ascii="Arial" w:hAnsi="Arial" w:cs="Arial"/>
          <w:b/>
          <w:sz w:val="22"/>
        </w:rPr>
        <w:t>Annual Record Keeping Requirements under 10 CFR Part 61</w:t>
      </w:r>
    </w:p>
    <w:p w:rsidR="00B22F83" w:rsidRPr="00B30232" w:rsidRDefault="00B22F83" w:rsidP="00B22F83">
      <w:pPr>
        <w:widowControl w:val="0"/>
        <w:tabs>
          <w:tab w:val="center" w:pos="4680"/>
        </w:tabs>
        <w:jc w:val="center"/>
        <w:rPr>
          <w:rFonts w:ascii="Arial" w:hAnsi="Arial" w:cs="Arial"/>
          <w:b/>
          <w:sz w:val="22"/>
        </w:rPr>
      </w:pPr>
    </w:p>
    <w:tbl>
      <w:tblPr>
        <w:tblStyle w:val="TableGrid"/>
        <w:tblW w:w="13518" w:type="dxa"/>
        <w:tblLayout w:type="fixed"/>
        <w:tblLook w:val="01E0" w:firstRow="1" w:lastRow="1" w:firstColumn="1" w:lastColumn="1" w:noHBand="0" w:noVBand="0"/>
      </w:tblPr>
      <w:tblGrid>
        <w:gridCol w:w="1728"/>
        <w:gridCol w:w="4117"/>
        <w:gridCol w:w="1620"/>
        <w:gridCol w:w="1571"/>
        <w:gridCol w:w="1494"/>
        <w:gridCol w:w="1494"/>
        <w:gridCol w:w="1494"/>
      </w:tblGrid>
      <w:tr w:rsidR="00B22F83" w:rsidRPr="00B30232" w:rsidTr="00EC394E">
        <w:tc>
          <w:tcPr>
            <w:tcW w:w="1728" w:type="dxa"/>
          </w:tcPr>
          <w:p w:rsidR="00B22F83" w:rsidRPr="00B30232" w:rsidRDefault="00B22F83"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Section</w:t>
            </w:r>
          </w:p>
        </w:tc>
        <w:tc>
          <w:tcPr>
            <w:tcW w:w="4117" w:type="dxa"/>
          </w:tcPr>
          <w:p w:rsidR="00B22F83" w:rsidRPr="00B30232" w:rsidRDefault="00B22F83"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Description</w:t>
            </w:r>
          </w:p>
        </w:tc>
        <w:tc>
          <w:tcPr>
            <w:tcW w:w="1620" w:type="dxa"/>
          </w:tcPr>
          <w:p w:rsidR="00B22F83" w:rsidRPr="00B30232" w:rsidRDefault="00B22F83" w:rsidP="00EC394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 xml:space="preserve">No. of </w:t>
            </w:r>
            <w:r w:rsidR="00CC408C" w:rsidRPr="00B30232">
              <w:rPr>
                <w:rFonts w:ascii="Arial" w:hAnsi="Arial" w:cs="Arial"/>
                <w:sz w:val="20"/>
              </w:rPr>
              <w:t>Recordkeeper</w:t>
            </w:r>
          </w:p>
        </w:tc>
        <w:tc>
          <w:tcPr>
            <w:tcW w:w="1571" w:type="dxa"/>
          </w:tcPr>
          <w:p w:rsidR="00B22F83" w:rsidRPr="00B30232" w:rsidRDefault="00B22F83" w:rsidP="00EC394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 xml:space="preserve">Responses per </w:t>
            </w:r>
            <w:r w:rsidR="00EC394E" w:rsidRPr="00B30232">
              <w:rPr>
                <w:rFonts w:ascii="Arial" w:hAnsi="Arial" w:cs="Arial"/>
                <w:sz w:val="20"/>
              </w:rPr>
              <w:t>Recordkeeper</w:t>
            </w:r>
          </w:p>
        </w:tc>
        <w:tc>
          <w:tcPr>
            <w:tcW w:w="1494" w:type="dxa"/>
          </w:tcPr>
          <w:p w:rsidR="00B22F83" w:rsidRPr="00B30232" w:rsidRDefault="00B22F83"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Total Responses</w:t>
            </w:r>
          </w:p>
        </w:tc>
        <w:tc>
          <w:tcPr>
            <w:tcW w:w="1494" w:type="dxa"/>
          </w:tcPr>
          <w:p w:rsidR="00B22F83" w:rsidRPr="00B30232" w:rsidRDefault="00B22F83" w:rsidP="00EC394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 xml:space="preserve">Burden Hours per </w:t>
            </w:r>
            <w:r w:rsidR="00EC394E" w:rsidRPr="00B30232">
              <w:rPr>
                <w:rFonts w:ascii="Arial" w:hAnsi="Arial" w:cs="Arial"/>
                <w:sz w:val="20"/>
              </w:rPr>
              <w:t>Recordkeeper</w:t>
            </w:r>
          </w:p>
        </w:tc>
        <w:tc>
          <w:tcPr>
            <w:tcW w:w="1494" w:type="dxa"/>
          </w:tcPr>
          <w:p w:rsidR="00B22F83" w:rsidRDefault="00B22F83"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sidRPr="00B30232">
              <w:rPr>
                <w:rFonts w:ascii="Arial" w:hAnsi="Arial" w:cs="Arial"/>
                <w:sz w:val="20"/>
              </w:rPr>
              <w:t>Total Annual Burden (Hrs)</w:t>
            </w:r>
          </w:p>
          <w:p w:rsidR="00A77444" w:rsidRPr="00B30232" w:rsidRDefault="00A7744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cs="Arial"/>
                <w:sz w:val="20"/>
              </w:rPr>
            </w:pPr>
            <w:r>
              <w:rPr>
                <w:rFonts w:ascii="Arial" w:hAnsi="Arial" w:cs="Arial"/>
                <w:sz w:val="20"/>
              </w:rPr>
              <w:t>$279</w:t>
            </w:r>
          </w:p>
        </w:tc>
      </w:tr>
      <w:tr w:rsidR="00A17214" w:rsidRPr="00B30232" w:rsidTr="00EC394E">
        <w:trPr>
          <w:trHeight w:val="143"/>
        </w:trPr>
        <w:tc>
          <w:tcPr>
            <w:tcW w:w="1728" w:type="dxa"/>
          </w:tcPr>
          <w:p w:rsidR="00A17214" w:rsidRPr="00B30232" w:rsidDel="009B7576" w:rsidRDefault="00A17214" w:rsidP="0058533A">
            <w:pPr>
              <w:widowControl w:val="0"/>
              <w:spacing w:line="240" w:lineRule="exact"/>
              <w:rPr>
                <w:rFonts w:ascii="Arial" w:hAnsi="Arial" w:cs="Arial"/>
                <w:sz w:val="20"/>
              </w:rPr>
            </w:pPr>
            <w:r w:rsidRPr="00B30232">
              <w:rPr>
                <w:rFonts w:ascii="Arial" w:hAnsi="Arial" w:cs="Arial"/>
                <w:sz w:val="20"/>
              </w:rPr>
              <w:t>61.58(f)</w:t>
            </w:r>
          </w:p>
        </w:tc>
        <w:tc>
          <w:tcPr>
            <w:tcW w:w="4117" w:type="dxa"/>
          </w:tcPr>
          <w:p w:rsidR="00A17214" w:rsidRPr="00B30232" w:rsidDel="009B7576"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sz w:val="20"/>
              </w:rPr>
            </w:pPr>
            <w:r w:rsidRPr="00B30232">
              <w:rPr>
                <w:rFonts w:ascii="Arial" w:hAnsi="Arial" w:cs="Arial"/>
                <w:sz w:val="20"/>
              </w:rPr>
              <w:t>Conduct annual review of LLRW acceptance plan</w:t>
            </w:r>
          </w:p>
        </w:tc>
        <w:tc>
          <w:tcPr>
            <w:tcW w:w="1620" w:type="dxa"/>
          </w:tcPr>
          <w:p w:rsidR="00A17214" w:rsidRPr="00B30232" w:rsidDel="009B7576"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571" w:type="dxa"/>
          </w:tcPr>
          <w:p w:rsidR="00A17214" w:rsidRPr="00B30232" w:rsidDel="009B7576"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w:t>
            </w:r>
          </w:p>
        </w:tc>
        <w:tc>
          <w:tcPr>
            <w:tcW w:w="1494" w:type="dxa"/>
          </w:tcPr>
          <w:p w:rsidR="00A17214" w:rsidRPr="00B30232" w:rsidDel="009B7576"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94" w:type="dxa"/>
          </w:tcPr>
          <w:p w:rsidR="00A17214" w:rsidRPr="00B30232" w:rsidDel="009B7576" w:rsidRDefault="00785743"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40</w:t>
            </w:r>
          </w:p>
        </w:tc>
        <w:tc>
          <w:tcPr>
            <w:tcW w:w="1494" w:type="dxa"/>
          </w:tcPr>
          <w:p w:rsidR="00A17214" w:rsidRPr="00B30232" w:rsidDel="009B7576"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r>
      <w:tr w:rsidR="00A17214" w:rsidRPr="00B30232" w:rsidTr="00EC394E">
        <w:trPr>
          <w:trHeight w:val="143"/>
        </w:trPr>
        <w:tc>
          <w:tcPr>
            <w:tcW w:w="1728" w:type="dxa"/>
          </w:tcPr>
          <w:p w:rsidR="00A17214" w:rsidRPr="00B30232" w:rsidRDefault="00A17214" w:rsidP="0058533A">
            <w:pPr>
              <w:widowControl w:val="0"/>
              <w:spacing w:line="240" w:lineRule="exact"/>
              <w:rPr>
                <w:rFonts w:ascii="Arial" w:hAnsi="Arial" w:cs="Arial"/>
                <w:sz w:val="20"/>
              </w:rPr>
            </w:pPr>
            <w:r w:rsidRPr="00B30232">
              <w:rPr>
                <w:rFonts w:ascii="Arial" w:hAnsi="Arial" w:cs="Arial"/>
                <w:sz w:val="20"/>
              </w:rPr>
              <w:t>61.80(m)</w:t>
            </w:r>
          </w:p>
        </w:tc>
        <w:tc>
          <w:tcPr>
            <w:tcW w:w="4117"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sz w:val="20"/>
              </w:rPr>
            </w:pPr>
            <w:r w:rsidRPr="00B30232">
              <w:rPr>
                <w:rFonts w:ascii="Arial" w:hAnsi="Arial" w:cs="Arial"/>
                <w:sz w:val="20"/>
              </w:rPr>
              <w:t>Maintain LLRW acceptance records for three years after the record is made</w:t>
            </w:r>
          </w:p>
        </w:tc>
        <w:tc>
          <w:tcPr>
            <w:tcW w:w="1620"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571"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1</w:t>
            </w:r>
          </w:p>
        </w:tc>
        <w:tc>
          <w:tcPr>
            <w:tcW w:w="1494"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c>
          <w:tcPr>
            <w:tcW w:w="1494" w:type="dxa"/>
          </w:tcPr>
          <w:p w:rsidR="00A17214" w:rsidRPr="00B30232" w:rsidRDefault="00785743"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40</w:t>
            </w:r>
          </w:p>
        </w:tc>
        <w:tc>
          <w:tcPr>
            <w:tcW w:w="1494"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sz w:val="20"/>
              </w:rPr>
            </w:pPr>
            <w:r w:rsidRPr="00B30232">
              <w:rPr>
                <w:rFonts w:ascii="Arial" w:hAnsi="Arial" w:cs="Arial"/>
                <w:sz w:val="20"/>
              </w:rPr>
              <w:t>0</w:t>
            </w:r>
          </w:p>
        </w:tc>
      </w:tr>
      <w:tr w:rsidR="00A17214" w:rsidRPr="00B30232" w:rsidTr="00EC394E">
        <w:trPr>
          <w:trHeight w:val="63"/>
        </w:trPr>
        <w:tc>
          <w:tcPr>
            <w:tcW w:w="1728"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b/>
                <w:sz w:val="20"/>
              </w:rPr>
            </w:pPr>
            <w:r w:rsidRPr="00B30232">
              <w:rPr>
                <w:rFonts w:ascii="Arial" w:hAnsi="Arial" w:cs="Arial"/>
                <w:b/>
                <w:sz w:val="20"/>
              </w:rPr>
              <w:t>Total</w:t>
            </w:r>
          </w:p>
        </w:tc>
        <w:tc>
          <w:tcPr>
            <w:tcW w:w="4117"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cs="Arial"/>
                <w:b/>
                <w:sz w:val="20"/>
              </w:rPr>
            </w:pPr>
          </w:p>
        </w:tc>
        <w:tc>
          <w:tcPr>
            <w:tcW w:w="1620"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b/>
                <w:sz w:val="20"/>
              </w:rPr>
            </w:pPr>
            <w:r w:rsidRPr="00B30232">
              <w:rPr>
                <w:rFonts w:ascii="Arial" w:hAnsi="Arial" w:cs="Arial"/>
                <w:b/>
                <w:sz w:val="20"/>
              </w:rPr>
              <w:t>0</w:t>
            </w:r>
          </w:p>
        </w:tc>
        <w:tc>
          <w:tcPr>
            <w:tcW w:w="1571"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b/>
                <w:sz w:val="20"/>
              </w:rPr>
            </w:pPr>
          </w:p>
        </w:tc>
        <w:tc>
          <w:tcPr>
            <w:tcW w:w="1494"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b/>
                <w:sz w:val="20"/>
              </w:rPr>
            </w:pPr>
            <w:r w:rsidRPr="00B30232">
              <w:rPr>
                <w:rFonts w:ascii="Arial" w:hAnsi="Arial" w:cs="Arial"/>
                <w:b/>
                <w:sz w:val="20"/>
              </w:rPr>
              <w:t>0</w:t>
            </w:r>
          </w:p>
        </w:tc>
        <w:tc>
          <w:tcPr>
            <w:tcW w:w="1494" w:type="dxa"/>
          </w:tcPr>
          <w:p w:rsidR="00A17214" w:rsidRPr="00B30232" w:rsidRDefault="00210DA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b/>
                <w:sz w:val="20"/>
              </w:rPr>
            </w:pPr>
            <w:r>
              <w:rPr>
                <w:rFonts w:ascii="Arial" w:hAnsi="Arial" w:cs="Arial"/>
                <w:b/>
                <w:sz w:val="20"/>
              </w:rPr>
              <w:t>80</w:t>
            </w:r>
          </w:p>
        </w:tc>
        <w:tc>
          <w:tcPr>
            <w:tcW w:w="1494" w:type="dxa"/>
          </w:tcPr>
          <w:p w:rsidR="00A17214" w:rsidRPr="00B30232" w:rsidRDefault="00A17214" w:rsidP="0058533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cs="Arial"/>
                <w:b/>
                <w:sz w:val="20"/>
              </w:rPr>
            </w:pPr>
            <w:r w:rsidRPr="00B30232">
              <w:rPr>
                <w:rFonts w:ascii="Arial" w:hAnsi="Arial" w:cs="Arial"/>
                <w:b/>
                <w:sz w:val="20"/>
              </w:rPr>
              <w:t>0</w:t>
            </w:r>
          </w:p>
        </w:tc>
      </w:tr>
    </w:tbl>
    <w:p w:rsidR="00B22F83" w:rsidRPr="00B30232" w:rsidRDefault="00B22F83" w:rsidP="00B22F83">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18"/>
          <w:szCs w:val="18"/>
        </w:rPr>
      </w:pPr>
    </w:p>
    <w:p w:rsidR="00B22F83" w:rsidRPr="00B30232" w:rsidRDefault="00B22F83" w:rsidP="00B22F83">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18"/>
          <w:szCs w:val="18"/>
        </w:rPr>
      </w:pPr>
      <w:r w:rsidRPr="00B30232">
        <w:rPr>
          <w:rFonts w:ascii="Arial" w:hAnsi="Arial" w:cs="Arial"/>
          <w:b/>
          <w:sz w:val="18"/>
          <w:szCs w:val="18"/>
        </w:rPr>
        <w:t>NOTE:</w:t>
      </w:r>
      <w:r w:rsidRPr="00B30232">
        <w:rPr>
          <w:rFonts w:ascii="Arial" w:hAnsi="Arial" w:cs="Arial"/>
          <w:sz w:val="18"/>
          <w:szCs w:val="18"/>
        </w:rPr>
        <w:t xml:space="preserve"> The four current licensees are Agreement State licensees (SC, WA, UT, and TX).  Assuming that all four licensees choose to submit a license amendment to change waste streams, they will need to incur burdens </w:t>
      </w:r>
      <w:r w:rsidR="00EC394E" w:rsidRPr="00B30232">
        <w:rPr>
          <w:rFonts w:ascii="Arial" w:hAnsi="Arial" w:cs="Arial"/>
          <w:sz w:val="18"/>
          <w:szCs w:val="18"/>
        </w:rPr>
        <w:t>for record keeping as specified in proposed 10 CFR 61.80(m)</w:t>
      </w:r>
      <w:r w:rsidRPr="00B30232">
        <w:rPr>
          <w:rFonts w:ascii="Arial" w:hAnsi="Arial" w:cs="Arial"/>
          <w:sz w:val="18"/>
          <w:szCs w:val="18"/>
        </w:rPr>
        <w:t xml:space="preserve">.  These </w:t>
      </w:r>
      <w:r w:rsidR="00EC394E" w:rsidRPr="00B30232">
        <w:rPr>
          <w:rFonts w:ascii="Arial" w:hAnsi="Arial" w:cs="Arial"/>
          <w:sz w:val="18"/>
          <w:szCs w:val="18"/>
        </w:rPr>
        <w:t>record keeping burdens</w:t>
      </w:r>
      <w:r w:rsidRPr="00B30232">
        <w:rPr>
          <w:rFonts w:ascii="Arial" w:hAnsi="Arial" w:cs="Arial"/>
          <w:sz w:val="18"/>
          <w:szCs w:val="18"/>
        </w:rPr>
        <w:t xml:space="preserve"> will be </w:t>
      </w:r>
      <w:r w:rsidR="00EC394E" w:rsidRPr="00B30232">
        <w:rPr>
          <w:rFonts w:ascii="Arial" w:hAnsi="Arial" w:cs="Arial"/>
          <w:sz w:val="18"/>
          <w:szCs w:val="18"/>
        </w:rPr>
        <w:t>incurred</w:t>
      </w:r>
      <w:r w:rsidRPr="00B30232">
        <w:rPr>
          <w:rFonts w:ascii="Arial" w:hAnsi="Arial" w:cs="Arial"/>
          <w:sz w:val="18"/>
          <w:szCs w:val="18"/>
        </w:rPr>
        <w:t xml:space="preserve"> four years from rule implementation, due to a three-year delay in the development of Agreement State regulations.  None of the burdens will be incurred during the three year clearance period.</w:t>
      </w:r>
    </w:p>
    <w:p w:rsidR="00AB6D74" w:rsidRPr="00B30232" w:rsidRDefault="00AB6D74" w:rsidP="00B22F83">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18"/>
          <w:szCs w:val="18"/>
        </w:rPr>
      </w:pPr>
    </w:p>
    <w:p w:rsidR="00AB6D74" w:rsidRDefault="00AB6D74" w:rsidP="00B22F83">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18"/>
          <w:szCs w:val="18"/>
        </w:rPr>
      </w:pPr>
      <w:r w:rsidRPr="00B30232">
        <w:rPr>
          <w:rFonts w:ascii="Arial" w:hAnsi="Arial" w:cs="Arial"/>
          <w:sz w:val="18"/>
          <w:szCs w:val="18"/>
        </w:rPr>
        <w:tab/>
        <w:t xml:space="preserve">Once licensees have submitted their LLRW acceptance plan, they will incur annual recordkeeping burdens of </w:t>
      </w:r>
      <w:r w:rsidR="00785743" w:rsidRPr="00B30232">
        <w:rPr>
          <w:rFonts w:ascii="Arial" w:hAnsi="Arial" w:cs="Arial"/>
          <w:sz w:val="18"/>
          <w:szCs w:val="18"/>
        </w:rPr>
        <w:t>80</w:t>
      </w:r>
      <w:r w:rsidRPr="00B30232">
        <w:rPr>
          <w:rFonts w:ascii="Arial" w:hAnsi="Arial" w:cs="Arial"/>
          <w:sz w:val="18"/>
          <w:szCs w:val="18"/>
        </w:rPr>
        <w:t xml:space="preserve"> hours (</w:t>
      </w:r>
      <w:r w:rsidR="00785743" w:rsidRPr="00B30232">
        <w:rPr>
          <w:rFonts w:ascii="Arial" w:hAnsi="Arial" w:cs="Arial"/>
          <w:sz w:val="18"/>
          <w:szCs w:val="18"/>
        </w:rPr>
        <w:t>40</w:t>
      </w:r>
      <w:r w:rsidRPr="00B30232">
        <w:rPr>
          <w:rFonts w:ascii="Arial" w:hAnsi="Arial" w:cs="Arial"/>
          <w:sz w:val="18"/>
          <w:szCs w:val="18"/>
        </w:rPr>
        <w:t xml:space="preserve"> hours + </w:t>
      </w:r>
      <w:r w:rsidR="00785743" w:rsidRPr="00B30232">
        <w:rPr>
          <w:rFonts w:ascii="Arial" w:hAnsi="Arial" w:cs="Arial"/>
          <w:sz w:val="18"/>
          <w:szCs w:val="18"/>
        </w:rPr>
        <w:t>40</w:t>
      </w:r>
      <w:r w:rsidRPr="00B30232">
        <w:rPr>
          <w:rFonts w:ascii="Arial" w:hAnsi="Arial" w:cs="Arial"/>
          <w:sz w:val="18"/>
          <w:szCs w:val="18"/>
        </w:rPr>
        <w:t xml:space="preserve"> hours).  These burdens have been annualized, and reflect the ongoing annual burden for recordkeeping.</w:t>
      </w:r>
    </w:p>
    <w:p w:rsidR="00B22F83" w:rsidRPr="00020472" w:rsidRDefault="00B22F83" w:rsidP="00AF0504">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0"/>
        </w:rPr>
      </w:pPr>
    </w:p>
    <w:sectPr w:rsidR="00B22F83" w:rsidRPr="00020472" w:rsidSect="00AF0504">
      <w:pgSz w:w="15840" w:h="12240" w:orient="landscape"/>
      <w:pgMar w:top="720" w:right="720" w:bottom="72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60F" w:rsidRDefault="0096160F" w:rsidP="008264CC">
      <w:r>
        <w:separator/>
      </w:r>
    </w:p>
  </w:endnote>
  <w:endnote w:type="continuationSeparator" w:id="0">
    <w:p w:rsidR="0096160F" w:rsidRDefault="0096160F" w:rsidP="0082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99" w:rsidRDefault="006604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43001"/>
      <w:docPartObj>
        <w:docPartGallery w:val="Page Numbers (Bottom of Page)"/>
        <w:docPartUnique/>
      </w:docPartObj>
    </w:sdtPr>
    <w:sdtEndPr/>
    <w:sdtContent>
      <w:p w:rsidR="0058533A" w:rsidRDefault="0058533A" w:rsidP="00610FF8">
        <w:pPr>
          <w:pStyle w:val="Footer"/>
          <w:jc w:val="center"/>
        </w:pPr>
        <w:r w:rsidRPr="00610FF8">
          <w:rPr>
            <w:rFonts w:ascii="Arial" w:hAnsi="Arial" w:cs="Arial"/>
            <w:sz w:val="22"/>
            <w:szCs w:val="22"/>
          </w:rPr>
          <w:fldChar w:fldCharType="begin"/>
        </w:r>
        <w:r w:rsidRPr="00610FF8">
          <w:rPr>
            <w:rFonts w:ascii="Arial" w:hAnsi="Arial" w:cs="Arial"/>
            <w:sz w:val="22"/>
            <w:szCs w:val="22"/>
          </w:rPr>
          <w:instrText xml:space="preserve"> PAGE   \* MERGEFORMAT </w:instrText>
        </w:r>
        <w:r w:rsidRPr="00610FF8">
          <w:rPr>
            <w:rFonts w:ascii="Arial" w:hAnsi="Arial" w:cs="Arial"/>
            <w:sz w:val="22"/>
            <w:szCs w:val="22"/>
          </w:rPr>
          <w:fldChar w:fldCharType="separate"/>
        </w:r>
        <w:r w:rsidR="00E337E9">
          <w:rPr>
            <w:rFonts w:ascii="Arial" w:hAnsi="Arial" w:cs="Arial"/>
            <w:noProof/>
            <w:sz w:val="22"/>
            <w:szCs w:val="22"/>
          </w:rPr>
          <w:t>8</w:t>
        </w:r>
        <w:r w:rsidRPr="00610FF8">
          <w:rPr>
            <w:rFonts w:ascii="Arial" w:hAnsi="Arial" w:cs="Arial"/>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99" w:rsidRDefault="00660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60F" w:rsidRDefault="0096160F" w:rsidP="008264CC">
      <w:r>
        <w:separator/>
      </w:r>
    </w:p>
  </w:footnote>
  <w:footnote w:type="continuationSeparator" w:id="0">
    <w:p w:rsidR="0096160F" w:rsidRDefault="0096160F" w:rsidP="008264CC">
      <w:r>
        <w:continuationSeparator/>
      </w:r>
    </w:p>
  </w:footnote>
  <w:footnote w:id="1">
    <w:p w:rsidR="00EE5C7D" w:rsidRDefault="00EE5C7D">
      <w:pPr>
        <w:pStyle w:val="FootnoteText"/>
      </w:pPr>
      <w:r>
        <w:rPr>
          <w:rStyle w:val="FootnoteReference"/>
        </w:rPr>
        <w:footnoteRef/>
      </w:r>
      <w:r>
        <w:t xml:space="preserve"> </w:t>
      </w:r>
      <w:r w:rsidRPr="00EE5C7D">
        <w:t>Compliance period (i.e., the first 1,000 years after site closure) and protective assurance period (i.e., 1,000 to 10,000 years after site closure) analyses include both a performance assessment and an intruder assessment.</w:t>
      </w:r>
    </w:p>
  </w:footnote>
  <w:footnote w:id="2">
    <w:p w:rsidR="00EE5C7D" w:rsidRDefault="00EE5C7D">
      <w:pPr>
        <w:pStyle w:val="FootnoteText"/>
      </w:pPr>
      <w:r>
        <w:rPr>
          <w:rStyle w:val="FootnoteReference"/>
        </w:rPr>
        <w:footnoteRef/>
      </w:r>
      <w:r>
        <w:t xml:space="preserve"> Performance period analyses (i.e., 10,000 years and later after site closure) evaluate how the disposal system could mitigate the risk from long-lived LLRW.  Only facilities possessing long-lived LLRW would have this burden.</w:t>
      </w:r>
    </w:p>
  </w:footnote>
  <w:footnote w:id="3">
    <w:p w:rsidR="0058533A" w:rsidRDefault="0058533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99" w:rsidRDefault="00660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99" w:rsidRDefault="006604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99" w:rsidRDefault="00660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767"/>
    <w:multiLevelType w:val="hybridMultilevel"/>
    <w:tmpl w:val="F9CE0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80E69"/>
    <w:multiLevelType w:val="hybridMultilevel"/>
    <w:tmpl w:val="91F292E8"/>
    <w:lvl w:ilvl="0" w:tplc="285480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6452B8E"/>
    <w:multiLevelType w:val="hybridMultilevel"/>
    <w:tmpl w:val="72A23F6E"/>
    <w:lvl w:ilvl="0" w:tplc="F21A55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BF0EC6"/>
    <w:multiLevelType w:val="hybridMultilevel"/>
    <w:tmpl w:val="93BE6A1A"/>
    <w:lvl w:ilvl="0" w:tplc="AFBA1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524100"/>
    <w:multiLevelType w:val="hybridMultilevel"/>
    <w:tmpl w:val="A9ACD004"/>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5">
    <w:nsid w:val="1D561C10"/>
    <w:multiLevelType w:val="hybridMultilevel"/>
    <w:tmpl w:val="90DEFB18"/>
    <w:lvl w:ilvl="0" w:tplc="285480EE">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DBB506E"/>
    <w:multiLevelType w:val="hybridMultilevel"/>
    <w:tmpl w:val="C5EC616E"/>
    <w:lvl w:ilvl="0" w:tplc="9708B900">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7">
    <w:nsid w:val="264014E0"/>
    <w:multiLevelType w:val="hybridMultilevel"/>
    <w:tmpl w:val="0890F7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C20611"/>
    <w:multiLevelType w:val="hybridMultilevel"/>
    <w:tmpl w:val="D4347C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20D37"/>
    <w:multiLevelType w:val="hybridMultilevel"/>
    <w:tmpl w:val="2DEC183A"/>
    <w:lvl w:ilvl="0" w:tplc="04090001">
      <w:start w:val="6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A619F8"/>
    <w:multiLevelType w:val="hybridMultilevel"/>
    <w:tmpl w:val="E1E6F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972BF4"/>
    <w:multiLevelType w:val="hybridMultilevel"/>
    <w:tmpl w:val="D6FAEA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03B20E4"/>
    <w:multiLevelType w:val="hybridMultilevel"/>
    <w:tmpl w:val="D43ECAE4"/>
    <w:lvl w:ilvl="0" w:tplc="DF4AD9DE">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3">
    <w:nsid w:val="59FB37A1"/>
    <w:multiLevelType w:val="hybridMultilevel"/>
    <w:tmpl w:val="D08E6F56"/>
    <w:lvl w:ilvl="0" w:tplc="9708B900">
      <w:start w:val="1"/>
      <w:numFmt w:val="decimal"/>
      <w:lvlText w:val="%1)"/>
      <w:lvlJc w:val="left"/>
      <w:pPr>
        <w:ind w:left="37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nsid w:val="5CD36746"/>
    <w:multiLevelType w:val="hybridMultilevel"/>
    <w:tmpl w:val="6DC0D436"/>
    <w:lvl w:ilvl="0" w:tplc="0BDC6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3737C7"/>
    <w:multiLevelType w:val="hybridMultilevel"/>
    <w:tmpl w:val="0F06A2B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nsid w:val="78F81FF7"/>
    <w:multiLevelType w:val="hybridMultilevel"/>
    <w:tmpl w:val="9D9AA6BC"/>
    <w:lvl w:ilvl="0" w:tplc="04090001">
      <w:start w:val="6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353E6F"/>
    <w:multiLevelType w:val="hybridMultilevel"/>
    <w:tmpl w:val="D39A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FB58D4"/>
    <w:multiLevelType w:val="hybridMultilevel"/>
    <w:tmpl w:val="FC9A2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6"/>
  </w:num>
  <w:num w:numId="4">
    <w:abstractNumId w:val="15"/>
  </w:num>
  <w:num w:numId="5">
    <w:abstractNumId w:val="14"/>
  </w:num>
  <w:num w:numId="6">
    <w:abstractNumId w:val="7"/>
  </w:num>
  <w:num w:numId="7">
    <w:abstractNumId w:val="3"/>
  </w:num>
  <w:num w:numId="8">
    <w:abstractNumId w:val="18"/>
  </w:num>
  <w:num w:numId="9">
    <w:abstractNumId w:val="8"/>
  </w:num>
  <w:num w:numId="10">
    <w:abstractNumId w:val="10"/>
  </w:num>
  <w:num w:numId="11">
    <w:abstractNumId w:val="4"/>
  </w:num>
  <w:num w:numId="12">
    <w:abstractNumId w:val="11"/>
  </w:num>
  <w:num w:numId="13">
    <w:abstractNumId w:val="6"/>
  </w:num>
  <w:num w:numId="14">
    <w:abstractNumId w:val="13"/>
  </w:num>
  <w:num w:numId="15">
    <w:abstractNumId w:val="1"/>
  </w:num>
  <w:num w:numId="16">
    <w:abstractNumId w:val="5"/>
  </w:num>
  <w:num w:numId="17">
    <w:abstractNumId w:val="12"/>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143"/>
    <w:rsid w:val="00002662"/>
    <w:rsid w:val="00004787"/>
    <w:rsid w:val="000115FF"/>
    <w:rsid w:val="00020472"/>
    <w:rsid w:val="0002411C"/>
    <w:rsid w:val="00024143"/>
    <w:rsid w:val="000246C2"/>
    <w:rsid w:val="000246EC"/>
    <w:rsid w:val="00026271"/>
    <w:rsid w:val="000300CC"/>
    <w:rsid w:val="00030818"/>
    <w:rsid w:val="00033B07"/>
    <w:rsid w:val="000347E5"/>
    <w:rsid w:val="00035DDC"/>
    <w:rsid w:val="000366E1"/>
    <w:rsid w:val="000427B0"/>
    <w:rsid w:val="00050DF3"/>
    <w:rsid w:val="00067E52"/>
    <w:rsid w:val="00072ACC"/>
    <w:rsid w:val="00077BFE"/>
    <w:rsid w:val="00077F06"/>
    <w:rsid w:val="0009231A"/>
    <w:rsid w:val="000A0BF7"/>
    <w:rsid w:val="000A7877"/>
    <w:rsid w:val="000B12CC"/>
    <w:rsid w:val="000D045F"/>
    <w:rsid w:val="000D520E"/>
    <w:rsid w:val="000D558D"/>
    <w:rsid w:val="000D5933"/>
    <w:rsid w:val="000D7175"/>
    <w:rsid w:val="000E3C65"/>
    <w:rsid w:val="000F1F87"/>
    <w:rsid w:val="000F48B0"/>
    <w:rsid w:val="00102C7F"/>
    <w:rsid w:val="001105F0"/>
    <w:rsid w:val="001204E5"/>
    <w:rsid w:val="00161DA5"/>
    <w:rsid w:val="001626E4"/>
    <w:rsid w:val="00172257"/>
    <w:rsid w:val="00191074"/>
    <w:rsid w:val="00193F53"/>
    <w:rsid w:val="001965A7"/>
    <w:rsid w:val="001A7CCE"/>
    <w:rsid w:val="001B2E84"/>
    <w:rsid w:val="001B6434"/>
    <w:rsid w:val="001B6B21"/>
    <w:rsid w:val="001D2347"/>
    <w:rsid w:val="001D67F2"/>
    <w:rsid w:val="001E5143"/>
    <w:rsid w:val="001F2E89"/>
    <w:rsid w:val="001F510F"/>
    <w:rsid w:val="001F66B9"/>
    <w:rsid w:val="00200286"/>
    <w:rsid w:val="00210DA4"/>
    <w:rsid w:val="00212091"/>
    <w:rsid w:val="00214B0A"/>
    <w:rsid w:val="00216461"/>
    <w:rsid w:val="00216A78"/>
    <w:rsid w:val="00230468"/>
    <w:rsid w:val="00230B26"/>
    <w:rsid w:val="00232AC3"/>
    <w:rsid w:val="00232F6D"/>
    <w:rsid w:val="00232FDE"/>
    <w:rsid w:val="00233732"/>
    <w:rsid w:val="00237AE6"/>
    <w:rsid w:val="00237C73"/>
    <w:rsid w:val="0024192A"/>
    <w:rsid w:val="00243DAF"/>
    <w:rsid w:val="00265DF8"/>
    <w:rsid w:val="00287D18"/>
    <w:rsid w:val="0029396F"/>
    <w:rsid w:val="00296B85"/>
    <w:rsid w:val="0029776A"/>
    <w:rsid w:val="002A0DDE"/>
    <w:rsid w:val="002B36E8"/>
    <w:rsid w:val="002C40C5"/>
    <w:rsid w:val="002C61E4"/>
    <w:rsid w:val="002D2E38"/>
    <w:rsid w:val="002E408D"/>
    <w:rsid w:val="002E561A"/>
    <w:rsid w:val="002F3AB6"/>
    <w:rsid w:val="003003F9"/>
    <w:rsid w:val="003017F6"/>
    <w:rsid w:val="00311032"/>
    <w:rsid w:val="003136F6"/>
    <w:rsid w:val="00325737"/>
    <w:rsid w:val="00334FD0"/>
    <w:rsid w:val="00335230"/>
    <w:rsid w:val="003432CA"/>
    <w:rsid w:val="00343E2C"/>
    <w:rsid w:val="003441A9"/>
    <w:rsid w:val="0034495C"/>
    <w:rsid w:val="00350524"/>
    <w:rsid w:val="00355814"/>
    <w:rsid w:val="00356AC0"/>
    <w:rsid w:val="00362591"/>
    <w:rsid w:val="0038644F"/>
    <w:rsid w:val="00391530"/>
    <w:rsid w:val="003A0881"/>
    <w:rsid w:val="003A3C87"/>
    <w:rsid w:val="003C5020"/>
    <w:rsid w:val="003D367B"/>
    <w:rsid w:val="003E1C00"/>
    <w:rsid w:val="003E40C6"/>
    <w:rsid w:val="003E4669"/>
    <w:rsid w:val="003F17D0"/>
    <w:rsid w:val="00414002"/>
    <w:rsid w:val="00416F5F"/>
    <w:rsid w:val="004213E5"/>
    <w:rsid w:val="00423D17"/>
    <w:rsid w:val="00424F8F"/>
    <w:rsid w:val="004377A8"/>
    <w:rsid w:val="004428D0"/>
    <w:rsid w:val="0044299B"/>
    <w:rsid w:val="004455D5"/>
    <w:rsid w:val="00453123"/>
    <w:rsid w:val="00453501"/>
    <w:rsid w:val="00457F4E"/>
    <w:rsid w:val="00463029"/>
    <w:rsid w:val="00464CCD"/>
    <w:rsid w:val="00466891"/>
    <w:rsid w:val="004728ED"/>
    <w:rsid w:val="00475067"/>
    <w:rsid w:val="00486A98"/>
    <w:rsid w:val="004904D0"/>
    <w:rsid w:val="004A3C6A"/>
    <w:rsid w:val="004A44C3"/>
    <w:rsid w:val="004B3DD6"/>
    <w:rsid w:val="004C1281"/>
    <w:rsid w:val="004C5002"/>
    <w:rsid w:val="004C54B6"/>
    <w:rsid w:val="004C5F66"/>
    <w:rsid w:val="004D26DA"/>
    <w:rsid w:val="004D59E0"/>
    <w:rsid w:val="004E15BD"/>
    <w:rsid w:val="004E3088"/>
    <w:rsid w:val="004E4F67"/>
    <w:rsid w:val="004E7330"/>
    <w:rsid w:val="004F0371"/>
    <w:rsid w:val="004F0DAD"/>
    <w:rsid w:val="004F10AF"/>
    <w:rsid w:val="004F47CC"/>
    <w:rsid w:val="00510E0A"/>
    <w:rsid w:val="00515525"/>
    <w:rsid w:val="0052074F"/>
    <w:rsid w:val="00523E84"/>
    <w:rsid w:val="00525A26"/>
    <w:rsid w:val="00536932"/>
    <w:rsid w:val="00537D92"/>
    <w:rsid w:val="0054309E"/>
    <w:rsid w:val="0054329C"/>
    <w:rsid w:val="00544164"/>
    <w:rsid w:val="005510B0"/>
    <w:rsid w:val="00551FD7"/>
    <w:rsid w:val="00554836"/>
    <w:rsid w:val="00563DB7"/>
    <w:rsid w:val="00566270"/>
    <w:rsid w:val="00567B4C"/>
    <w:rsid w:val="005736FF"/>
    <w:rsid w:val="00574AB4"/>
    <w:rsid w:val="005765A5"/>
    <w:rsid w:val="005806C4"/>
    <w:rsid w:val="00581246"/>
    <w:rsid w:val="00581C87"/>
    <w:rsid w:val="0058533A"/>
    <w:rsid w:val="0059447E"/>
    <w:rsid w:val="005961E9"/>
    <w:rsid w:val="005A08AF"/>
    <w:rsid w:val="005B0769"/>
    <w:rsid w:val="005B75E4"/>
    <w:rsid w:val="005B7C84"/>
    <w:rsid w:val="005C5E56"/>
    <w:rsid w:val="005D2E80"/>
    <w:rsid w:val="005D3BB0"/>
    <w:rsid w:val="005D795A"/>
    <w:rsid w:val="005E0382"/>
    <w:rsid w:val="005E0BA1"/>
    <w:rsid w:val="005E5438"/>
    <w:rsid w:val="005E64B6"/>
    <w:rsid w:val="005F7DB6"/>
    <w:rsid w:val="00601F07"/>
    <w:rsid w:val="0060223E"/>
    <w:rsid w:val="00610724"/>
    <w:rsid w:val="00610FF8"/>
    <w:rsid w:val="0062238F"/>
    <w:rsid w:val="006336EC"/>
    <w:rsid w:val="00645764"/>
    <w:rsid w:val="00645A93"/>
    <w:rsid w:val="00660499"/>
    <w:rsid w:val="00672A90"/>
    <w:rsid w:val="006856C0"/>
    <w:rsid w:val="00686F5B"/>
    <w:rsid w:val="0069402E"/>
    <w:rsid w:val="006A12BE"/>
    <w:rsid w:val="006A195D"/>
    <w:rsid w:val="006A2716"/>
    <w:rsid w:val="006B42C1"/>
    <w:rsid w:val="006B632A"/>
    <w:rsid w:val="006C1C12"/>
    <w:rsid w:val="006C41CE"/>
    <w:rsid w:val="006C6B5A"/>
    <w:rsid w:val="006D429E"/>
    <w:rsid w:val="006E043D"/>
    <w:rsid w:val="006E1183"/>
    <w:rsid w:val="006E7B41"/>
    <w:rsid w:val="006F4F0D"/>
    <w:rsid w:val="006F5363"/>
    <w:rsid w:val="006F61F5"/>
    <w:rsid w:val="007026EC"/>
    <w:rsid w:val="007032FF"/>
    <w:rsid w:val="00707104"/>
    <w:rsid w:val="00711897"/>
    <w:rsid w:val="00714DBA"/>
    <w:rsid w:val="00726CF0"/>
    <w:rsid w:val="00744EFE"/>
    <w:rsid w:val="007461F3"/>
    <w:rsid w:val="007518B1"/>
    <w:rsid w:val="00752178"/>
    <w:rsid w:val="007529FE"/>
    <w:rsid w:val="00753D88"/>
    <w:rsid w:val="00765A9B"/>
    <w:rsid w:val="00785743"/>
    <w:rsid w:val="007865EE"/>
    <w:rsid w:val="00790531"/>
    <w:rsid w:val="007919A4"/>
    <w:rsid w:val="00791AA9"/>
    <w:rsid w:val="007A36CD"/>
    <w:rsid w:val="007A5AA2"/>
    <w:rsid w:val="007B1F4D"/>
    <w:rsid w:val="007B2CCD"/>
    <w:rsid w:val="007C4B13"/>
    <w:rsid w:val="007C61B8"/>
    <w:rsid w:val="007C74AC"/>
    <w:rsid w:val="007D7123"/>
    <w:rsid w:val="007D7AA0"/>
    <w:rsid w:val="007E3C13"/>
    <w:rsid w:val="007F350F"/>
    <w:rsid w:val="007F409A"/>
    <w:rsid w:val="007F6B5E"/>
    <w:rsid w:val="00800F69"/>
    <w:rsid w:val="0082144B"/>
    <w:rsid w:val="008264CC"/>
    <w:rsid w:val="0083388E"/>
    <w:rsid w:val="008401A5"/>
    <w:rsid w:val="00840BE1"/>
    <w:rsid w:val="008419C9"/>
    <w:rsid w:val="008460DE"/>
    <w:rsid w:val="008464BA"/>
    <w:rsid w:val="008472DD"/>
    <w:rsid w:val="00851377"/>
    <w:rsid w:val="00851DD5"/>
    <w:rsid w:val="00854C7F"/>
    <w:rsid w:val="008553F5"/>
    <w:rsid w:val="0086296B"/>
    <w:rsid w:val="008657CA"/>
    <w:rsid w:val="008679BB"/>
    <w:rsid w:val="008812DF"/>
    <w:rsid w:val="00884806"/>
    <w:rsid w:val="008858C8"/>
    <w:rsid w:val="00894591"/>
    <w:rsid w:val="00894CEE"/>
    <w:rsid w:val="00895436"/>
    <w:rsid w:val="008A052D"/>
    <w:rsid w:val="008C15B6"/>
    <w:rsid w:val="008C4E12"/>
    <w:rsid w:val="008E598D"/>
    <w:rsid w:val="008E5F46"/>
    <w:rsid w:val="008F23EC"/>
    <w:rsid w:val="008F7A54"/>
    <w:rsid w:val="00904DB1"/>
    <w:rsid w:val="00906C32"/>
    <w:rsid w:val="00911D80"/>
    <w:rsid w:val="00922318"/>
    <w:rsid w:val="009226B2"/>
    <w:rsid w:val="00925000"/>
    <w:rsid w:val="009365DB"/>
    <w:rsid w:val="009401FF"/>
    <w:rsid w:val="009422BE"/>
    <w:rsid w:val="0094287B"/>
    <w:rsid w:val="00952762"/>
    <w:rsid w:val="00956535"/>
    <w:rsid w:val="0096160F"/>
    <w:rsid w:val="0096245B"/>
    <w:rsid w:val="00964532"/>
    <w:rsid w:val="00965B5D"/>
    <w:rsid w:val="00966337"/>
    <w:rsid w:val="00972E04"/>
    <w:rsid w:val="009738EB"/>
    <w:rsid w:val="0097796F"/>
    <w:rsid w:val="00997D30"/>
    <w:rsid w:val="009A28D3"/>
    <w:rsid w:val="009A3156"/>
    <w:rsid w:val="009B401A"/>
    <w:rsid w:val="009B7576"/>
    <w:rsid w:val="009C48B1"/>
    <w:rsid w:val="009D5AC0"/>
    <w:rsid w:val="009D76C3"/>
    <w:rsid w:val="009D7C3E"/>
    <w:rsid w:val="009E08A3"/>
    <w:rsid w:val="009E172E"/>
    <w:rsid w:val="009E394C"/>
    <w:rsid w:val="009E6451"/>
    <w:rsid w:val="009F3378"/>
    <w:rsid w:val="009F58AF"/>
    <w:rsid w:val="009F6A59"/>
    <w:rsid w:val="00A0768C"/>
    <w:rsid w:val="00A16F9A"/>
    <w:rsid w:val="00A17214"/>
    <w:rsid w:val="00A251CC"/>
    <w:rsid w:val="00A27917"/>
    <w:rsid w:val="00A35775"/>
    <w:rsid w:val="00A44F4C"/>
    <w:rsid w:val="00A45387"/>
    <w:rsid w:val="00A514F4"/>
    <w:rsid w:val="00A63470"/>
    <w:rsid w:val="00A6447C"/>
    <w:rsid w:val="00A65F6D"/>
    <w:rsid w:val="00A72549"/>
    <w:rsid w:val="00A75B87"/>
    <w:rsid w:val="00A76EF5"/>
    <w:rsid w:val="00A77364"/>
    <w:rsid w:val="00A77444"/>
    <w:rsid w:val="00A83649"/>
    <w:rsid w:val="00A8492C"/>
    <w:rsid w:val="00A9088B"/>
    <w:rsid w:val="00A92B1E"/>
    <w:rsid w:val="00A92BC3"/>
    <w:rsid w:val="00AA2A23"/>
    <w:rsid w:val="00AA2CE2"/>
    <w:rsid w:val="00AA5E4A"/>
    <w:rsid w:val="00AA6AE5"/>
    <w:rsid w:val="00AB426A"/>
    <w:rsid w:val="00AB4FC0"/>
    <w:rsid w:val="00AB6D74"/>
    <w:rsid w:val="00AC2E73"/>
    <w:rsid w:val="00AF0504"/>
    <w:rsid w:val="00B000AE"/>
    <w:rsid w:val="00B01656"/>
    <w:rsid w:val="00B0551E"/>
    <w:rsid w:val="00B12E54"/>
    <w:rsid w:val="00B16230"/>
    <w:rsid w:val="00B22F83"/>
    <w:rsid w:val="00B26C8F"/>
    <w:rsid w:val="00B30232"/>
    <w:rsid w:val="00B32E3F"/>
    <w:rsid w:val="00B342F4"/>
    <w:rsid w:val="00B47BDF"/>
    <w:rsid w:val="00B5023C"/>
    <w:rsid w:val="00B56F83"/>
    <w:rsid w:val="00B6590C"/>
    <w:rsid w:val="00B75645"/>
    <w:rsid w:val="00B81084"/>
    <w:rsid w:val="00B91DC5"/>
    <w:rsid w:val="00B929B5"/>
    <w:rsid w:val="00BA0A3D"/>
    <w:rsid w:val="00BC5621"/>
    <w:rsid w:val="00BD29B1"/>
    <w:rsid w:val="00BE0E11"/>
    <w:rsid w:val="00BF2E48"/>
    <w:rsid w:val="00BF3F37"/>
    <w:rsid w:val="00C109DB"/>
    <w:rsid w:val="00C137C5"/>
    <w:rsid w:val="00C1633A"/>
    <w:rsid w:val="00C20B7E"/>
    <w:rsid w:val="00C235C8"/>
    <w:rsid w:val="00C274FF"/>
    <w:rsid w:val="00C42656"/>
    <w:rsid w:val="00C4643B"/>
    <w:rsid w:val="00C500F1"/>
    <w:rsid w:val="00C50889"/>
    <w:rsid w:val="00C51FCB"/>
    <w:rsid w:val="00C62E63"/>
    <w:rsid w:val="00C63B6A"/>
    <w:rsid w:val="00C65498"/>
    <w:rsid w:val="00C67534"/>
    <w:rsid w:val="00C67A8E"/>
    <w:rsid w:val="00C707B5"/>
    <w:rsid w:val="00C7701B"/>
    <w:rsid w:val="00C80427"/>
    <w:rsid w:val="00C80E42"/>
    <w:rsid w:val="00C863ED"/>
    <w:rsid w:val="00C92484"/>
    <w:rsid w:val="00CA1E47"/>
    <w:rsid w:val="00CA3D08"/>
    <w:rsid w:val="00CA4E1A"/>
    <w:rsid w:val="00CA72DD"/>
    <w:rsid w:val="00CB29B1"/>
    <w:rsid w:val="00CB32D2"/>
    <w:rsid w:val="00CB53E7"/>
    <w:rsid w:val="00CB7BDB"/>
    <w:rsid w:val="00CC408C"/>
    <w:rsid w:val="00CC58BF"/>
    <w:rsid w:val="00CC71D3"/>
    <w:rsid w:val="00CD2A08"/>
    <w:rsid w:val="00CE23DC"/>
    <w:rsid w:val="00CF20EE"/>
    <w:rsid w:val="00D01A50"/>
    <w:rsid w:val="00D043E3"/>
    <w:rsid w:val="00D044A1"/>
    <w:rsid w:val="00D166F9"/>
    <w:rsid w:val="00D335EB"/>
    <w:rsid w:val="00D3769F"/>
    <w:rsid w:val="00D46412"/>
    <w:rsid w:val="00D7120C"/>
    <w:rsid w:val="00D763DF"/>
    <w:rsid w:val="00D82E19"/>
    <w:rsid w:val="00D86148"/>
    <w:rsid w:val="00D90575"/>
    <w:rsid w:val="00D91CF8"/>
    <w:rsid w:val="00D96BCA"/>
    <w:rsid w:val="00DA0A34"/>
    <w:rsid w:val="00DB0204"/>
    <w:rsid w:val="00DB1EFD"/>
    <w:rsid w:val="00DB4E03"/>
    <w:rsid w:val="00DB54E8"/>
    <w:rsid w:val="00DB5777"/>
    <w:rsid w:val="00DB7B26"/>
    <w:rsid w:val="00DC23BC"/>
    <w:rsid w:val="00DC44BC"/>
    <w:rsid w:val="00DD09C0"/>
    <w:rsid w:val="00DD5183"/>
    <w:rsid w:val="00DE3176"/>
    <w:rsid w:val="00DF0758"/>
    <w:rsid w:val="00DF1C87"/>
    <w:rsid w:val="00DF553F"/>
    <w:rsid w:val="00E06BDE"/>
    <w:rsid w:val="00E2133F"/>
    <w:rsid w:val="00E246F9"/>
    <w:rsid w:val="00E337E9"/>
    <w:rsid w:val="00E35653"/>
    <w:rsid w:val="00E41B92"/>
    <w:rsid w:val="00E51C7A"/>
    <w:rsid w:val="00E51CB6"/>
    <w:rsid w:val="00E74C00"/>
    <w:rsid w:val="00E76DD0"/>
    <w:rsid w:val="00E77B6F"/>
    <w:rsid w:val="00E9483A"/>
    <w:rsid w:val="00EA0C46"/>
    <w:rsid w:val="00EA6C6E"/>
    <w:rsid w:val="00EB1F46"/>
    <w:rsid w:val="00EC2214"/>
    <w:rsid w:val="00EC394E"/>
    <w:rsid w:val="00EC5F9A"/>
    <w:rsid w:val="00ED14E8"/>
    <w:rsid w:val="00ED2E5A"/>
    <w:rsid w:val="00ED4321"/>
    <w:rsid w:val="00ED5583"/>
    <w:rsid w:val="00ED5F28"/>
    <w:rsid w:val="00ED77E0"/>
    <w:rsid w:val="00EE55CB"/>
    <w:rsid w:val="00EE5C7D"/>
    <w:rsid w:val="00EE73C5"/>
    <w:rsid w:val="00EF112D"/>
    <w:rsid w:val="00EF163E"/>
    <w:rsid w:val="00EF4A90"/>
    <w:rsid w:val="00F0575D"/>
    <w:rsid w:val="00F10AAF"/>
    <w:rsid w:val="00F1360E"/>
    <w:rsid w:val="00F25160"/>
    <w:rsid w:val="00F366AB"/>
    <w:rsid w:val="00F4405F"/>
    <w:rsid w:val="00F45F12"/>
    <w:rsid w:val="00F46907"/>
    <w:rsid w:val="00F7381D"/>
    <w:rsid w:val="00F74013"/>
    <w:rsid w:val="00F759CC"/>
    <w:rsid w:val="00F77C04"/>
    <w:rsid w:val="00F8595B"/>
    <w:rsid w:val="00F97109"/>
    <w:rsid w:val="00FD7C5D"/>
    <w:rsid w:val="00FE4C84"/>
    <w:rsid w:val="00FE6337"/>
    <w:rsid w:val="00FE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4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5143"/>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64CC"/>
    <w:pPr>
      <w:tabs>
        <w:tab w:val="center" w:pos="4680"/>
        <w:tab w:val="right" w:pos="9360"/>
      </w:tabs>
    </w:pPr>
  </w:style>
  <w:style w:type="character" w:customStyle="1" w:styleId="HeaderChar">
    <w:name w:val="Header Char"/>
    <w:basedOn w:val="DefaultParagraphFont"/>
    <w:link w:val="Header"/>
    <w:uiPriority w:val="99"/>
    <w:rsid w:val="008264C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264CC"/>
    <w:pPr>
      <w:tabs>
        <w:tab w:val="center" w:pos="4680"/>
        <w:tab w:val="right" w:pos="9360"/>
      </w:tabs>
    </w:pPr>
  </w:style>
  <w:style w:type="character" w:customStyle="1" w:styleId="FooterChar">
    <w:name w:val="Footer Char"/>
    <w:basedOn w:val="DefaultParagraphFont"/>
    <w:link w:val="Footer"/>
    <w:uiPriority w:val="99"/>
    <w:rsid w:val="008264CC"/>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8553F5"/>
    <w:rPr>
      <w:color w:val="808080"/>
    </w:rPr>
  </w:style>
  <w:style w:type="paragraph" w:styleId="BalloonText">
    <w:name w:val="Balloon Text"/>
    <w:basedOn w:val="Normal"/>
    <w:link w:val="BalloonTextChar"/>
    <w:uiPriority w:val="99"/>
    <w:semiHidden/>
    <w:unhideWhenUsed/>
    <w:rsid w:val="008553F5"/>
    <w:rPr>
      <w:rFonts w:ascii="Tahoma" w:hAnsi="Tahoma" w:cs="Tahoma"/>
      <w:sz w:val="16"/>
      <w:szCs w:val="16"/>
    </w:rPr>
  </w:style>
  <w:style w:type="character" w:customStyle="1" w:styleId="BalloonTextChar">
    <w:name w:val="Balloon Text Char"/>
    <w:basedOn w:val="DefaultParagraphFont"/>
    <w:link w:val="BalloonText"/>
    <w:uiPriority w:val="99"/>
    <w:semiHidden/>
    <w:rsid w:val="008553F5"/>
    <w:rPr>
      <w:rFonts w:ascii="Tahoma" w:eastAsia="Times New Roman" w:hAnsi="Tahoma" w:cs="Tahoma"/>
      <w:sz w:val="16"/>
      <w:szCs w:val="16"/>
    </w:rPr>
  </w:style>
  <w:style w:type="paragraph" w:styleId="ListParagraph">
    <w:name w:val="List Paragraph"/>
    <w:basedOn w:val="Normal"/>
    <w:uiPriority w:val="34"/>
    <w:qFormat/>
    <w:rsid w:val="003441A9"/>
    <w:pPr>
      <w:ind w:left="720"/>
      <w:contextualSpacing/>
    </w:pPr>
  </w:style>
  <w:style w:type="character" w:styleId="CommentReference">
    <w:name w:val="annotation reference"/>
    <w:basedOn w:val="DefaultParagraphFont"/>
    <w:uiPriority w:val="99"/>
    <w:semiHidden/>
    <w:unhideWhenUsed/>
    <w:rsid w:val="00DB5777"/>
    <w:rPr>
      <w:sz w:val="16"/>
      <w:szCs w:val="16"/>
    </w:rPr>
  </w:style>
  <w:style w:type="paragraph" w:styleId="CommentText">
    <w:name w:val="annotation text"/>
    <w:basedOn w:val="Normal"/>
    <w:link w:val="CommentTextChar"/>
    <w:uiPriority w:val="99"/>
    <w:semiHidden/>
    <w:unhideWhenUsed/>
    <w:rsid w:val="00DB5777"/>
    <w:rPr>
      <w:sz w:val="20"/>
    </w:rPr>
  </w:style>
  <w:style w:type="character" w:customStyle="1" w:styleId="CommentTextChar">
    <w:name w:val="Comment Text Char"/>
    <w:basedOn w:val="DefaultParagraphFont"/>
    <w:link w:val="CommentText"/>
    <w:uiPriority w:val="99"/>
    <w:semiHidden/>
    <w:rsid w:val="00DB57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5777"/>
    <w:rPr>
      <w:b/>
      <w:bCs/>
    </w:rPr>
  </w:style>
  <w:style w:type="character" w:customStyle="1" w:styleId="CommentSubjectChar">
    <w:name w:val="Comment Subject Char"/>
    <w:basedOn w:val="CommentTextChar"/>
    <w:link w:val="CommentSubject"/>
    <w:uiPriority w:val="99"/>
    <w:semiHidden/>
    <w:rsid w:val="00DB577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B16230"/>
    <w:pPr>
      <w:spacing w:line="240" w:lineRule="auto"/>
    </w:pPr>
    <w:rPr>
      <w:sz w:val="20"/>
    </w:rPr>
  </w:style>
  <w:style w:type="character" w:customStyle="1" w:styleId="FootnoteTextChar">
    <w:name w:val="Footnote Text Char"/>
    <w:basedOn w:val="DefaultParagraphFont"/>
    <w:link w:val="FootnoteText"/>
    <w:uiPriority w:val="99"/>
    <w:semiHidden/>
    <w:rsid w:val="00B1623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62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4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5143"/>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64CC"/>
    <w:pPr>
      <w:tabs>
        <w:tab w:val="center" w:pos="4680"/>
        <w:tab w:val="right" w:pos="9360"/>
      </w:tabs>
    </w:pPr>
  </w:style>
  <w:style w:type="character" w:customStyle="1" w:styleId="HeaderChar">
    <w:name w:val="Header Char"/>
    <w:basedOn w:val="DefaultParagraphFont"/>
    <w:link w:val="Header"/>
    <w:uiPriority w:val="99"/>
    <w:rsid w:val="008264C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264CC"/>
    <w:pPr>
      <w:tabs>
        <w:tab w:val="center" w:pos="4680"/>
        <w:tab w:val="right" w:pos="9360"/>
      </w:tabs>
    </w:pPr>
  </w:style>
  <w:style w:type="character" w:customStyle="1" w:styleId="FooterChar">
    <w:name w:val="Footer Char"/>
    <w:basedOn w:val="DefaultParagraphFont"/>
    <w:link w:val="Footer"/>
    <w:uiPriority w:val="99"/>
    <w:rsid w:val="008264CC"/>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8553F5"/>
    <w:rPr>
      <w:color w:val="808080"/>
    </w:rPr>
  </w:style>
  <w:style w:type="paragraph" w:styleId="BalloonText">
    <w:name w:val="Balloon Text"/>
    <w:basedOn w:val="Normal"/>
    <w:link w:val="BalloonTextChar"/>
    <w:uiPriority w:val="99"/>
    <w:semiHidden/>
    <w:unhideWhenUsed/>
    <w:rsid w:val="008553F5"/>
    <w:rPr>
      <w:rFonts w:ascii="Tahoma" w:hAnsi="Tahoma" w:cs="Tahoma"/>
      <w:sz w:val="16"/>
      <w:szCs w:val="16"/>
    </w:rPr>
  </w:style>
  <w:style w:type="character" w:customStyle="1" w:styleId="BalloonTextChar">
    <w:name w:val="Balloon Text Char"/>
    <w:basedOn w:val="DefaultParagraphFont"/>
    <w:link w:val="BalloonText"/>
    <w:uiPriority w:val="99"/>
    <w:semiHidden/>
    <w:rsid w:val="008553F5"/>
    <w:rPr>
      <w:rFonts w:ascii="Tahoma" w:eastAsia="Times New Roman" w:hAnsi="Tahoma" w:cs="Tahoma"/>
      <w:sz w:val="16"/>
      <w:szCs w:val="16"/>
    </w:rPr>
  </w:style>
  <w:style w:type="paragraph" w:styleId="ListParagraph">
    <w:name w:val="List Paragraph"/>
    <w:basedOn w:val="Normal"/>
    <w:uiPriority w:val="34"/>
    <w:qFormat/>
    <w:rsid w:val="003441A9"/>
    <w:pPr>
      <w:ind w:left="720"/>
      <w:contextualSpacing/>
    </w:pPr>
  </w:style>
  <w:style w:type="character" w:styleId="CommentReference">
    <w:name w:val="annotation reference"/>
    <w:basedOn w:val="DefaultParagraphFont"/>
    <w:uiPriority w:val="99"/>
    <w:semiHidden/>
    <w:unhideWhenUsed/>
    <w:rsid w:val="00DB5777"/>
    <w:rPr>
      <w:sz w:val="16"/>
      <w:szCs w:val="16"/>
    </w:rPr>
  </w:style>
  <w:style w:type="paragraph" w:styleId="CommentText">
    <w:name w:val="annotation text"/>
    <w:basedOn w:val="Normal"/>
    <w:link w:val="CommentTextChar"/>
    <w:uiPriority w:val="99"/>
    <w:semiHidden/>
    <w:unhideWhenUsed/>
    <w:rsid w:val="00DB5777"/>
    <w:rPr>
      <w:sz w:val="20"/>
    </w:rPr>
  </w:style>
  <w:style w:type="character" w:customStyle="1" w:styleId="CommentTextChar">
    <w:name w:val="Comment Text Char"/>
    <w:basedOn w:val="DefaultParagraphFont"/>
    <w:link w:val="CommentText"/>
    <w:uiPriority w:val="99"/>
    <w:semiHidden/>
    <w:rsid w:val="00DB57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5777"/>
    <w:rPr>
      <w:b/>
      <w:bCs/>
    </w:rPr>
  </w:style>
  <w:style w:type="character" w:customStyle="1" w:styleId="CommentSubjectChar">
    <w:name w:val="Comment Subject Char"/>
    <w:basedOn w:val="CommentTextChar"/>
    <w:link w:val="CommentSubject"/>
    <w:uiPriority w:val="99"/>
    <w:semiHidden/>
    <w:rsid w:val="00DB577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B16230"/>
    <w:pPr>
      <w:spacing w:line="240" w:lineRule="auto"/>
    </w:pPr>
    <w:rPr>
      <w:sz w:val="20"/>
    </w:rPr>
  </w:style>
  <w:style w:type="character" w:customStyle="1" w:styleId="FootnoteTextChar">
    <w:name w:val="Footnote Text Char"/>
    <w:basedOn w:val="DefaultParagraphFont"/>
    <w:link w:val="FootnoteText"/>
    <w:uiPriority w:val="99"/>
    <w:semiHidden/>
    <w:rsid w:val="00B1623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62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47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CB0A0-DDEB-4D58-BB3C-B7C5E70B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6032</Words>
  <Characters>34388</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2015-03-18T19:07:00Z</dcterms:created>
  <dcterms:modified xsi:type="dcterms:W3CDTF">2015-03-18T19:07:00Z</dcterms:modified>
</cp:coreProperties>
</file>