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F3" w:rsidRPr="006B0C6A" w:rsidRDefault="002547F3" w:rsidP="002547F3">
      <w:pPr>
        <w:jc w:val="center"/>
        <w:rPr>
          <w:rFonts w:cs="Arial"/>
          <w:szCs w:val="22"/>
        </w:rPr>
      </w:pPr>
      <w:bookmarkStart w:id="0" w:name="_GoBack"/>
      <w:bookmarkEnd w:id="0"/>
    </w:p>
    <w:p w:rsidR="002547F3" w:rsidRPr="006B0C6A" w:rsidRDefault="002547F3" w:rsidP="002547F3">
      <w:pPr>
        <w:jc w:val="center"/>
        <w:rPr>
          <w:rFonts w:cs="Arial"/>
          <w:b/>
          <w:szCs w:val="22"/>
        </w:rPr>
      </w:pPr>
    </w:p>
    <w:p w:rsidR="002547F3" w:rsidRPr="006B0C6A" w:rsidRDefault="002547F3" w:rsidP="002547F3">
      <w:pPr>
        <w:jc w:val="center"/>
        <w:rPr>
          <w:rFonts w:cs="Arial"/>
          <w:b/>
          <w:szCs w:val="22"/>
        </w:rPr>
      </w:pPr>
    </w:p>
    <w:p w:rsidR="00475ABA" w:rsidRDefault="00475ABA" w:rsidP="00D461FE">
      <w:pPr>
        <w:pStyle w:val="Heading1"/>
        <w:rPr>
          <w:rStyle w:val="Heading1Char"/>
          <w:rFonts w:cs="Arial"/>
          <w:szCs w:val="22"/>
        </w:rPr>
      </w:pPr>
    </w:p>
    <w:p w:rsidR="00475ABA" w:rsidRDefault="00475ABA" w:rsidP="00D461FE">
      <w:pPr>
        <w:pStyle w:val="Heading1"/>
        <w:rPr>
          <w:rStyle w:val="Heading1Char"/>
          <w:rFonts w:cs="Arial"/>
          <w:szCs w:val="22"/>
        </w:rPr>
      </w:pPr>
    </w:p>
    <w:p w:rsidR="00475ABA" w:rsidRDefault="00475ABA" w:rsidP="00D461FE">
      <w:pPr>
        <w:pStyle w:val="Heading1"/>
        <w:rPr>
          <w:rStyle w:val="Heading1Char"/>
          <w:rFonts w:cs="Arial"/>
          <w:szCs w:val="22"/>
        </w:rPr>
      </w:pPr>
    </w:p>
    <w:p w:rsidR="00475ABA" w:rsidRDefault="00475ABA" w:rsidP="00D461FE">
      <w:pPr>
        <w:pStyle w:val="Heading1"/>
        <w:rPr>
          <w:rStyle w:val="Heading1Char"/>
          <w:rFonts w:cs="Arial"/>
          <w:szCs w:val="22"/>
        </w:rPr>
      </w:pPr>
    </w:p>
    <w:p w:rsidR="00D461FE" w:rsidRPr="006B0C6A" w:rsidRDefault="00D461FE" w:rsidP="00475ABA">
      <w:pPr>
        <w:pStyle w:val="Heading1"/>
        <w:rPr>
          <w:rFonts w:cs="Arial"/>
          <w:strike/>
          <w:szCs w:val="22"/>
        </w:rPr>
      </w:pPr>
      <w:r w:rsidRPr="006B0C6A">
        <w:rPr>
          <w:rStyle w:val="Heading1Char"/>
          <w:rFonts w:cs="Arial"/>
          <w:szCs w:val="22"/>
        </w:rPr>
        <w:t>MEMORANDUM TO:</w:t>
      </w:r>
      <w:r w:rsidRPr="006B0C6A">
        <w:rPr>
          <w:rStyle w:val="Heading1Char"/>
          <w:rFonts w:cs="Arial"/>
          <w:szCs w:val="22"/>
        </w:rPr>
        <w:tab/>
      </w:r>
      <w:r w:rsidRPr="006B0C6A">
        <w:rPr>
          <w:rStyle w:val="Heading1Char"/>
          <w:rFonts w:cs="Arial"/>
          <w:szCs w:val="22"/>
        </w:rPr>
        <w:tab/>
        <w:t>Marissa G. Bailey, Directo</w:t>
      </w:r>
      <w:r w:rsidRPr="006B0C6A">
        <w:rPr>
          <w:rFonts w:cs="Arial"/>
          <w:szCs w:val="22"/>
        </w:rPr>
        <w:t>r</w:t>
      </w:r>
    </w:p>
    <w:p w:rsidR="00475ABA" w:rsidRDefault="00D461FE" w:rsidP="00475ABA">
      <w:pPr>
        <w:ind w:left="2880"/>
        <w:rPr>
          <w:rFonts w:cs="Arial"/>
          <w:szCs w:val="22"/>
        </w:rPr>
      </w:pPr>
      <w:r w:rsidRPr="006B0C6A">
        <w:rPr>
          <w:rFonts w:cs="Arial"/>
          <w:szCs w:val="22"/>
        </w:rPr>
        <w:t>Division of Fuel Cycle Safety,</w:t>
      </w:r>
      <w:r w:rsidR="00475ABA">
        <w:rPr>
          <w:rFonts w:cs="Arial"/>
          <w:szCs w:val="22"/>
        </w:rPr>
        <w:t xml:space="preserve"> Safeguards</w:t>
      </w:r>
      <w:r w:rsidR="00730975">
        <w:rPr>
          <w:rFonts w:cs="Arial"/>
          <w:szCs w:val="22"/>
        </w:rPr>
        <w:t>,</w:t>
      </w:r>
    </w:p>
    <w:p w:rsidR="00D461FE" w:rsidRPr="006B0C6A" w:rsidRDefault="00D461FE" w:rsidP="00475ABA">
      <w:pPr>
        <w:ind w:left="2880"/>
        <w:rPr>
          <w:rFonts w:cs="Arial"/>
          <w:szCs w:val="22"/>
        </w:rPr>
      </w:pPr>
      <w:r w:rsidRPr="006B0C6A">
        <w:rPr>
          <w:rFonts w:cs="Arial"/>
          <w:szCs w:val="22"/>
        </w:rPr>
        <w:t xml:space="preserve"> </w:t>
      </w:r>
      <w:r w:rsidR="00475ABA">
        <w:rPr>
          <w:rFonts w:cs="Arial"/>
          <w:szCs w:val="22"/>
        </w:rPr>
        <w:t xml:space="preserve"> </w:t>
      </w:r>
      <w:r w:rsidRPr="006B0C6A">
        <w:rPr>
          <w:rFonts w:cs="Arial"/>
          <w:szCs w:val="22"/>
        </w:rPr>
        <w:t xml:space="preserve">and Environmental Review </w:t>
      </w:r>
    </w:p>
    <w:p w:rsidR="00D461FE" w:rsidRPr="006B0C6A" w:rsidRDefault="00D461FE" w:rsidP="00475ABA">
      <w:pPr>
        <w:ind w:left="2880"/>
        <w:rPr>
          <w:rFonts w:cs="Arial"/>
          <w:szCs w:val="22"/>
        </w:rPr>
      </w:pPr>
      <w:r w:rsidRPr="006B0C6A">
        <w:rPr>
          <w:rFonts w:cs="Arial"/>
          <w:szCs w:val="22"/>
        </w:rPr>
        <w:t xml:space="preserve">Office of Nuclear Materials Safety </w:t>
      </w:r>
      <w:r w:rsidRPr="006B0C6A">
        <w:rPr>
          <w:rFonts w:cs="Arial"/>
          <w:szCs w:val="22"/>
        </w:rPr>
        <w:br/>
        <w:t xml:space="preserve">  and Safeguards</w:t>
      </w:r>
    </w:p>
    <w:p w:rsidR="00D461FE" w:rsidRPr="006B0C6A" w:rsidRDefault="00D461FE" w:rsidP="00475ABA">
      <w:pPr>
        <w:rPr>
          <w:rFonts w:cs="Arial"/>
          <w:szCs w:val="22"/>
        </w:rPr>
      </w:pPr>
    </w:p>
    <w:p w:rsidR="00D461FE" w:rsidRPr="006B0C6A" w:rsidRDefault="00D461FE" w:rsidP="00475ABA">
      <w:pPr>
        <w:ind w:left="2434" w:hanging="2434"/>
        <w:rPr>
          <w:rFonts w:cs="Arial"/>
          <w:b/>
          <w:szCs w:val="22"/>
        </w:rPr>
      </w:pPr>
      <w:r w:rsidRPr="006B0C6A">
        <w:rPr>
          <w:rFonts w:cs="Arial"/>
          <w:szCs w:val="22"/>
        </w:rPr>
        <w:t>FROM:</w:t>
      </w:r>
      <w:r w:rsidRPr="006B0C6A">
        <w:rPr>
          <w:rFonts w:cs="Arial"/>
          <w:szCs w:val="22"/>
        </w:rPr>
        <w:tab/>
      </w:r>
      <w:r w:rsidRPr="006B0C6A">
        <w:rPr>
          <w:rFonts w:cs="Arial"/>
          <w:szCs w:val="22"/>
        </w:rPr>
        <w:tab/>
        <w:t>Margie Kotzalas, Chief</w:t>
      </w:r>
    </w:p>
    <w:p w:rsidR="00D461FE" w:rsidRPr="006B0C6A" w:rsidRDefault="00D461FE" w:rsidP="00475ABA">
      <w:pPr>
        <w:ind w:left="446" w:firstLine="2434"/>
        <w:rPr>
          <w:rFonts w:cs="Arial"/>
          <w:szCs w:val="22"/>
        </w:rPr>
      </w:pPr>
      <w:r w:rsidRPr="006B0C6A">
        <w:rPr>
          <w:rFonts w:cs="Arial"/>
          <w:szCs w:val="22"/>
        </w:rPr>
        <w:t xml:space="preserve">Programmatic Oversight and </w:t>
      </w:r>
    </w:p>
    <w:p w:rsidR="00D461FE" w:rsidRPr="006B0C6A" w:rsidRDefault="00D461FE" w:rsidP="00475ABA">
      <w:pPr>
        <w:ind w:left="1886" w:firstLine="994"/>
        <w:rPr>
          <w:rFonts w:cs="Arial"/>
          <w:szCs w:val="22"/>
        </w:rPr>
      </w:pPr>
      <w:r w:rsidRPr="006B0C6A">
        <w:rPr>
          <w:rFonts w:cs="Arial"/>
          <w:szCs w:val="22"/>
        </w:rPr>
        <w:t xml:space="preserve">  Regional Support Branch</w:t>
      </w:r>
    </w:p>
    <w:p w:rsidR="00475ABA" w:rsidRDefault="00D461FE" w:rsidP="00475ABA">
      <w:pPr>
        <w:ind w:left="446" w:firstLine="2434"/>
        <w:rPr>
          <w:rFonts w:cs="Arial"/>
          <w:szCs w:val="22"/>
        </w:rPr>
      </w:pPr>
      <w:r w:rsidRPr="006B0C6A">
        <w:rPr>
          <w:rFonts w:cs="Arial"/>
          <w:szCs w:val="22"/>
        </w:rPr>
        <w:t>Division of Fuel Cycle Safety,</w:t>
      </w:r>
      <w:r w:rsidR="00475ABA">
        <w:rPr>
          <w:rFonts w:cs="Arial"/>
          <w:szCs w:val="22"/>
        </w:rPr>
        <w:t xml:space="preserve"> Safeguards</w:t>
      </w:r>
      <w:r w:rsidR="00730975">
        <w:rPr>
          <w:rFonts w:cs="Arial"/>
          <w:szCs w:val="22"/>
        </w:rPr>
        <w:t>,</w:t>
      </w:r>
    </w:p>
    <w:p w:rsidR="00D461FE" w:rsidRPr="006B0C6A" w:rsidRDefault="00475ABA" w:rsidP="00475ABA">
      <w:pPr>
        <w:ind w:left="446" w:firstLine="2434"/>
        <w:rPr>
          <w:rFonts w:cs="Arial"/>
          <w:szCs w:val="22"/>
        </w:rPr>
      </w:pPr>
      <w:r>
        <w:rPr>
          <w:rFonts w:cs="Arial"/>
          <w:szCs w:val="22"/>
        </w:rPr>
        <w:t xml:space="preserve">  </w:t>
      </w:r>
      <w:r w:rsidR="00D461FE" w:rsidRPr="006B0C6A">
        <w:rPr>
          <w:rFonts w:cs="Arial"/>
          <w:szCs w:val="22"/>
        </w:rPr>
        <w:t>and Environmental Review</w:t>
      </w:r>
    </w:p>
    <w:p w:rsidR="00D461FE" w:rsidRPr="006B0C6A" w:rsidRDefault="00D461FE" w:rsidP="00475ABA">
      <w:pPr>
        <w:ind w:left="446" w:firstLine="2434"/>
        <w:rPr>
          <w:rFonts w:cs="Arial"/>
          <w:szCs w:val="22"/>
        </w:rPr>
      </w:pPr>
      <w:r w:rsidRPr="006B0C6A">
        <w:rPr>
          <w:rFonts w:cs="Arial"/>
          <w:szCs w:val="22"/>
        </w:rPr>
        <w:t xml:space="preserve">Office of Nuclear Materials Safety </w:t>
      </w:r>
    </w:p>
    <w:p w:rsidR="00D461FE" w:rsidRPr="006B0C6A" w:rsidRDefault="00D461FE" w:rsidP="00475ABA">
      <w:pPr>
        <w:ind w:left="446" w:firstLine="2434"/>
        <w:rPr>
          <w:rFonts w:cs="Arial"/>
          <w:szCs w:val="22"/>
        </w:rPr>
      </w:pPr>
      <w:r w:rsidRPr="006B0C6A">
        <w:rPr>
          <w:rFonts w:cs="Arial"/>
          <w:szCs w:val="22"/>
        </w:rPr>
        <w:t xml:space="preserve">  and Safeguards</w:t>
      </w:r>
    </w:p>
    <w:p w:rsidR="00D461FE" w:rsidRPr="006B0C6A" w:rsidRDefault="00D461FE" w:rsidP="00475ABA">
      <w:pPr>
        <w:rPr>
          <w:rFonts w:cs="Arial"/>
          <w:szCs w:val="22"/>
        </w:rPr>
      </w:pPr>
    </w:p>
    <w:p w:rsidR="00D461FE" w:rsidRDefault="00D461FE" w:rsidP="00475ABA">
      <w:pPr>
        <w:ind w:left="2880" w:hanging="2880"/>
        <w:rPr>
          <w:rFonts w:cs="Arial"/>
          <w:szCs w:val="22"/>
        </w:rPr>
      </w:pPr>
      <w:r w:rsidRPr="006B0C6A">
        <w:rPr>
          <w:rFonts w:cs="Arial"/>
          <w:szCs w:val="22"/>
        </w:rPr>
        <w:t>SUBJECT:</w:t>
      </w:r>
      <w:r w:rsidRPr="006B0C6A">
        <w:rPr>
          <w:rFonts w:cs="Arial"/>
          <w:szCs w:val="22"/>
        </w:rPr>
        <w:tab/>
      </w:r>
      <w:r w:rsidRPr="006B0C6A">
        <w:rPr>
          <w:rFonts w:eastAsiaTheme="minorHAnsi" w:cs="Arial"/>
          <w:szCs w:val="22"/>
        </w:rPr>
        <w:t xml:space="preserve">RESPONSE TO PUBLIC COMMENTS ON DRAFT NRC </w:t>
      </w:r>
      <w:r w:rsidRPr="006B0C6A">
        <w:rPr>
          <w:rFonts w:cs="Arial"/>
          <w:szCs w:val="22"/>
        </w:rPr>
        <w:t xml:space="preserve">GENERIC LETTER 20XX-XX, “TREATMENT OF NATURAL PHENOMENA HAZARDS AT FUEL CYCLE FACILITIES” </w:t>
      </w:r>
    </w:p>
    <w:p w:rsidR="00730975" w:rsidRPr="006B0C6A" w:rsidRDefault="00730975" w:rsidP="00475ABA">
      <w:pPr>
        <w:ind w:left="2880" w:hanging="2880"/>
        <w:rPr>
          <w:rFonts w:cs="Arial"/>
          <w:szCs w:val="22"/>
        </w:rPr>
      </w:pPr>
    </w:p>
    <w:p w:rsidR="00D461FE" w:rsidRPr="006B0C6A" w:rsidRDefault="00D461FE" w:rsidP="00475ABA">
      <w:pPr>
        <w:autoSpaceDE w:val="0"/>
        <w:autoSpaceDN w:val="0"/>
        <w:adjustRightInd w:val="0"/>
        <w:rPr>
          <w:rFonts w:cs="Arial"/>
          <w:szCs w:val="22"/>
        </w:rPr>
      </w:pPr>
    </w:p>
    <w:p w:rsidR="00D461FE" w:rsidRPr="006B0C6A" w:rsidRDefault="00D461FE" w:rsidP="00475ABA">
      <w:pPr>
        <w:autoSpaceDE w:val="0"/>
        <w:autoSpaceDN w:val="0"/>
        <w:adjustRightInd w:val="0"/>
        <w:rPr>
          <w:rFonts w:eastAsiaTheme="minorHAnsi" w:cs="Arial"/>
          <w:szCs w:val="22"/>
        </w:rPr>
      </w:pPr>
      <w:r w:rsidRPr="006B0C6A">
        <w:rPr>
          <w:rFonts w:eastAsiaTheme="minorHAnsi" w:cs="Arial"/>
          <w:szCs w:val="22"/>
        </w:rPr>
        <w:t>A notice of opportunity for public comment on Draft Generic Letter 20XX-XX</w:t>
      </w:r>
      <w:r w:rsidR="00730975">
        <w:rPr>
          <w:rFonts w:eastAsiaTheme="minorHAnsi" w:cs="Arial"/>
          <w:szCs w:val="22"/>
        </w:rPr>
        <w:t>,</w:t>
      </w:r>
      <w:r w:rsidRPr="006B0C6A">
        <w:rPr>
          <w:rFonts w:eastAsiaTheme="minorHAnsi" w:cs="Arial"/>
          <w:szCs w:val="22"/>
        </w:rPr>
        <w:t xml:space="preserve"> “Treatment of Natural Phenomena Hazards at Fuel Cycle Facilities” was published in the </w:t>
      </w:r>
      <w:r w:rsidRPr="006B0C6A">
        <w:rPr>
          <w:rFonts w:eastAsiaTheme="minorHAnsi" w:cs="Arial"/>
          <w:i/>
          <w:iCs/>
          <w:szCs w:val="22"/>
        </w:rPr>
        <w:t xml:space="preserve">Federal Register </w:t>
      </w:r>
      <w:r w:rsidR="00730975">
        <w:rPr>
          <w:rFonts w:eastAsiaTheme="minorHAnsi" w:cs="Arial"/>
          <w:i/>
          <w:iCs/>
          <w:szCs w:val="22"/>
        </w:rPr>
        <w:t xml:space="preserve">on </w:t>
      </w:r>
      <w:r w:rsidR="00730975" w:rsidRPr="00730975">
        <w:rPr>
          <w:rFonts w:eastAsiaTheme="minorHAnsi" w:cs="Arial"/>
          <w:iCs/>
          <w:szCs w:val="22"/>
        </w:rPr>
        <w:t>August 8, 2014</w:t>
      </w:r>
      <w:r w:rsidR="00C27BFF">
        <w:rPr>
          <w:rFonts w:eastAsiaTheme="minorHAnsi" w:cs="Arial"/>
          <w:i/>
          <w:iCs/>
          <w:szCs w:val="22"/>
        </w:rPr>
        <w:t xml:space="preserve"> </w:t>
      </w:r>
      <w:r w:rsidRPr="006B0C6A">
        <w:rPr>
          <w:rFonts w:eastAsiaTheme="minorHAnsi" w:cs="Arial"/>
          <w:szCs w:val="22"/>
        </w:rPr>
        <w:t>(79 FR 46472)</w:t>
      </w:r>
      <w:r w:rsidR="00730975">
        <w:rPr>
          <w:rFonts w:eastAsiaTheme="minorHAnsi" w:cs="Arial"/>
          <w:szCs w:val="22"/>
        </w:rPr>
        <w:t>.</w:t>
      </w:r>
      <w:r w:rsidRPr="006B0C6A">
        <w:rPr>
          <w:rFonts w:eastAsiaTheme="minorHAnsi" w:cs="Arial"/>
          <w:szCs w:val="22"/>
        </w:rPr>
        <w:t xml:space="preserve">  Comments were received from </w:t>
      </w:r>
      <w:r w:rsidRPr="006B0C6A">
        <w:rPr>
          <w:rFonts w:cs="Arial"/>
          <w:szCs w:val="22"/>
        </w:rPr>
        <w:t>Stephen McDuffie</w:t>
      </w:r>
      <w:r w:rsidRPr="006B0C6A">
        <w:rPr>
          <w:rFonts w:eastAsiaTheme="minorHAnsi" w:cs="Arial"/>
          <w:szCs w:val="22"/>
        </w:rPr>
        <w:t xml:space="preserve"> (Agencywide Document and Management System (ADAMS) Accession No. ML14281A266) and the Nuclear Energy Institute (ADAMS Accession No. </w:t>
      </w:r>
      <w:r w:rsidRPr="006B0C6A">
        <w:rPr>
          <w:rFonts w:cs="Arial"/>
          <w:szCs w:val="22"/>
        </w:rPr>
        <w:t>ML14316A411</w:t>
      </w:r>
      <w:r w:rsidRPr="006B0C6A">
        <w:rPr>
          <w:rFonts w:eastAsiaTheme="minorHAnsi" w:cs="Arial"/>
          <w:szCs w:val="22"/>
        </w:rPr>
        <w:t>).  Enclosed are the staff responses to the</w:t>
      </w:r>
      <w:r w:rsidR="00730975">
        <w:rPr>
          <w:rFonts w:eastAsiaTheme="minorHAnsi" w:cs="Arial"/>
          <w:szCs w:val="22"/>
        </w:rPr>
        <w:t>se</w:t>
      </w:r>
      <w:r w:rsidRPr="006B0C6A">
        <w:rPr>
          <w:rFonts w:eastAsiaTheme="minorHAnsi" w:cs="Arial"/>
          <w:szCs w:val="22"/>
        </w:rPr>
        <w:t xml:space="preserve"> comments.  </w:t>
      </w:r>
    </w:p>
    <w:p w:rsidR="00D461FE" w:rsidRPr="006B0C6A" w:rsidRDefault="00D461FE" w:rsidP="00475ABA">
      <w:pPr>
        <w:autoSpaceDE w:val="0"/>
        <w:autoSpaceDN w:val="0"/>
        <w:adjustRightInd w:val="0"/>
        <w:rPr>
          <w:rFonts w:eastAsiaTheme="minorHAnsi" w:cs="Arial"/>
          <w:szCs w:val="22"/>
        </w:rPr>
      </w:pPr>
    </w:p>
    <w:p w:rsidR="00D461FE" w:rsidRPr="006B0C6A" w:rsidRDefault="00D461FE" w:rsidP="00475ABA">
      <w:pPr>
        <w:autoSpaceDE w:val="0"/>
        <w:autoSpaceDN w:val="0"/>
        <w:adjustRightInd w:val="0"/>
        <w:rPr>
          <w:rFonts w:cs="Arial"/>
          <w:szCs w:val="22"/>
        </w:rPr>
      </w:pPr>
      <w:r w:rsidRPr="006B0C6A">
        <w:rPr>
          <w:rFonts w:cs="Arial"/>
          <w:szCs w:val="22"/>
        </w:rPr>
        <w:t xml:space="preserve">For the NRC’s generic communications program, the staff solicited external stakeholder feedback on the cumulative effects of regulation (CER) in the </w:t>
      </w:r>
      <w:r w:rsidRPr="006B0C6A">
        <w:rPr>
          <w:rFonts w:cs="Arial"/>
          <w:i/>
          <w:szCs w:val="22"/>
        </w:rPr>
        <w:t>Federal Register</w:t>
      </w:r>
      <w:r w:rsidRPr="006B0C6A">
        <w:rPr>
          <w:rFonts w:cs="Arial"/>
          <w:szCs w:val="22"/>
        </w:rPr>
        <w:t xml:space="preserve"> notice for this generic letter.</w:t>
      </w:r>
      <w:r w:rsidRPr="006B0C6A">
        <w:rPr>
          <w:rFonts w:eastAsiaTheme="minorHAnsi" w:cs="Arial"/>
          <w:szCs w:val="22"/>
        </w:rPr>
        <w:t xml:space="preserve">  The </w:t>
      </w:r>
      <w:r w:rsidR="00730975">
        <w:rPr>
          <w:rFonts w:eastAsiaTheme="minorHAnsi" w:cs="Arial"/>
          <w:szCs w:val="22"/>
        </w:rPr>
        <w:t xml:space="preserve">enclosure </w:t>
      </w:r>
      <w:r w:rsidRPr="006B0C6A">
        <w:rPr>
          <w:rFonts w:eastAsiaTheme="minorHAnsi" w:cs="Arial"/>
          <w:szCs w:val="22"/>
        </w:rPr>
        <w:t>also provides responses to Nuclear Energy Institute comments regarding CE</w:t>
      </w:r>
      <w:r w:rsidR="00730975">
        <w:rPr>
          <w:rFonts w:eastAsiaTheme="minorHAnsi" w:cs="Arial"/>
          <w:szCs w:val="22"/>
        </w:rPr>
        <w:t>R</w:t>
      </w:r>
      <w:r w:rsidRPr="006B0C6A">
        <w:rPr>
          <w:rFonts w:eastAsiaTheme="minorHAnsi" w:cs="Arial"/>
          <w:szCs w:val="22"/>
        </w:rPr>
        <w:t xml:space="preserve"> for this generic letter.</w:t>
      </w:r>
    </w:p>
    <w:p w:rsidR="007002C6" w:rsidRPr="006B0C6A" w:rsidRDefault="007002C6" w:rsidP="007002C6">
      <w:pPr>
        <w:rPr>
          <w:rFonts w:cs="Arial"/>
          <w:szCs w:val="22"/>
        </w:rPr>
      </w:pPr>
    </w:p>
    <w:p w:rsidR="007002C6" w:rsidRPr="006B0C6A" w:rsidRDefault="007002C6" w:rsidP="00475ABA">
      <w:pPr>
        <w:rPr>
          <w:rFonts w:cs="Arial"/>
          <w:szCs w:val="22"/>
        </w:rPr>
      </w:pPr>
      <w:r w:rsidRPr="006B0C6A">
        <w:rPr>
          <w:rFonts w:cs="Arial"/>
          <w:szCs w:val="22"/>
        </w:rPr>
        <w:t>Enclosure:</w:t>
      </w:r>
    </w:p>
    <w:p w:rsidR="007002C6" w:rsidRDefault="00730975" w:rsidP="00475ABA">
      <w:pPr>
        <w:rPr>
          <w:rFonts w:cs="Arial"/>
          <w:szCs w:val="22"/>
        </w:rPr>
      </w:pPr>
      <w:r>
        <w:rPr>
          <w:rFonts w:cs="Arial"/>
          <w:szCs w:val="22"/>
        </w:rPr>
        <w:t>Response to Public Comments</w:t>
      </w:r>
    </w:p>
    <w:p w:rsidR="00730975" w:rsidRDefault="00C27BFF" w:rsidP="00475ABA">
      <w:pPr>
        <w:rPr>
          <w:rFonts w:cs="Arial"/>
          <w:szCs w:val="22"/>
        </w:rPr>
      </w:pPr>
      <w:r>
        <w:rPr>
          <w:rFonts w:cs="Arial"/>
          <w:szCs w:val="22"/>
        </w:rPr>
        <w:t xml:space="preserve">  </w:t>
      </w:r>
      <w:r w:rsidR="00730975">
        <w:rPr>
          <w:rFonts w:cs="Arial"/>
          <w:szCs w:val="22"/>
        </w:rPr>
        <w:t>on Generic Letter</w:t>
      </w:r>
    </w:p>
    <w:p w:rsidR="00DB570B" w:rsidRPr="006B0C6A" w:rsidRDefault="00DB570B" w:rsidP="00475ABA">
      <w:pPr>
        <w:rPr>
          <w:rFonts w:cs="Arial"/>
          <w:szCs w:val="22"/>
        </w:rPr>
      </w:pPr>
    </w:p>
    <w:p w:rsidR="007002C6" w:rsidRPr="006B0C6A" w:rsidRDefault="007002C6" w:rsidP="00475ABA">
      <w:pPr>
        <w:rPr>
          <w:rFonts w:cs="Arial"/>
          <w:szCs w:val="22"/>
        </w:rPr>
      </w:pPr>
    </w:p>
    <w:p w:rsidR="007002C6" w:rsidRPr="006B0C6A" w:rsidRDefault="007002C6" w:rsidP="00475ABA">
      <w:pPr>
        <w:rPr>
          <w:rFonts w:cs="Arial"/>
          <w:szCs w:val="22"/>
        </w:rPr>
      </w:pPr>
      <w:r w:rsidRPr="006B0C6A">
        <w:rPr>
          <w:rFonts w:cs="Arial"/>
          <w:szCs w:val="22"/>
        </w:rPr>
        <w:t>CONTACT:  Jonathan Marcano, NMSS/FCSE/PORSB</w:t>
      </w:r>
    </w:p>
    <w:p w:rsidR="00DB570B" w:rsidRDefault="007002C6" w:rsidP="00475ABA">
      <w:pPr>
        <w:rPr>
          <w:rFonts w:cs="Arial"/>
          <w:szCs w:val="22"/>
        </w:rPr>
        <w:sectPr w:rsidR="00DB570B" w:rsidSect="00A93839">
          <w:footerReference w:type="first" r:id="rId8"/>
          <w:pgSz w:w="12240" w:h="15840"/>
          <w:pgMar w:top="1440" w:right="1440" w:bottom="1440" w:left="1440" w:header="1440" w:footer="1440" w:gutter="0"/>
          <w:cols w:space="720"/>
          <w:titlePg/>
          <w:docGrid w:linePitch="360"/>
        </w:sectPr>
      </w:pPr>
      <w:r w:rsidRPr="006B0C6A">
        <w:rPr>
          <w:rFonts w:cs="Arial"/>
          <w:szCs w:val="22"/>
        </w:rPr>
        <w:tab/>
        <w:t xml:space="preserve">         (301) 287-9063</w:t>
      </w:r>
    </w:p>
    <w:p w:rsidR="00C27BFF" w:rsidRPr="006B0C6A" w:rsidRDefault="00C27BFF" w:rsidP="00C27BFF">
      <w:pPr>
        <w:pStyle w:val="Heading1"/>
        <w:rPr>
          <w:rFonts w:cs="Arial"/>
          <w:strike/>
          <w:szCs w:val="22"/>
        </w:rPr>
      </w:pPr>
      <w:r w:rsidRPr="006B0C6A">
        <w:rPr>
          <w:rStyle w:val="Heading1Char"/>
          <w:rFonts w:cs="Arial"/>
          <w:szCs w:val="22"/>
        </w:rPr>
        <w:lastRenderedPageBreak/>
        <w:t>MEMORANDUM TO:</w:t>
      </w:r>
      <w:r w:rsidRPr="006B0C6A">
        <w:rPr>
          <w:rStyle w:val="Heading1Char"/>
          <w:rFonts w:cs="Arial"/>
          <w:szCs w:val="22"/>
        </w:rPr>
        <w:tab/>
      </w:r>
      <w:r w:rsidRPr="006B0C6A">
        <w:rPr>
          <w:rStyle w:val="Heading1Char"/>
          <w:rFonts w:cs="Arial"/>
          <w:szCs w:val="22"/>
        </w:rPr>
        <w:tab/>
        <w:t>Marissa G. Bailey, Directo</w:t>
      </w:r>
      <w:r w:rsidRPr="006B0C6A">
        <w:rPr>
          <w:rFonts w:cs="Arial"/>
          <w:szCs w:val="22"/>
        </w:rPr>
        <w:t>r</w:t>
      </w:r>
    </w:p>
    <w:p w:rsidR="00C27BFF" w:rsidRDefault="00C27BFF" w:rsidP="00C27BFF">
      <w:pPr>
        <w:ind w:left="2880"/>
        <w:rPr>
          <w:rFonts w:cs="Arial"/>
          <w:szCs w:val="22"/>
        </w:rPr>
      </w:pPr>
      <w:r w:rsidRPr="006B0C6A">
        <w:rPr>
          <w:rFonts w:cs="Arial"/>
          <w:szCs w:val="22"/>
        </w:rPr>
        <w:t>Division of Fuel Cycle Safety,</w:t>
      </w:r>
      <w:r>
        <w:rPr>
          <w:rFonts w:cs="Arial"/>
          <w:szCs w:val="22"/>
        </w:rPr>
        <w:t xml:space="preserve"> Safeguards,</w:t>
      </w:r>
    </w:p>
    <w:p w:rsidR="00C27BFF" w:rsidRPr="006B0C6A" w:rsidRDefault="00C27BFF" w:rsidP="00C27BFF">
      <w:pPr>
        <w:ind w:left="2880"/>
        <w:rPr>
          <w:rFonts w:cs="Arial"/>
          <w:szCs w:val="22"/>
        </w:rPr>
      </w:pPr>
      <w:r w:rsidRPr="006B0C6A">
        <w:rPr>
          <w:rFonts w:cs="Arial"/>
          <w:szCs w:val="22"/>
        </w:rPr>
        <w:t xml:space="preserve"> </w:t>
      </w:r>
      <w:r>
        <w:rPr>
          <w:rFonts w:cs="Arial"/>
          <w:szCs w:val="22"/>
        </w:rPr>
        <w:t xml:space="preserve"> </w:t>
      </w:r>
      <w:r w:rsidRPr="006B0C6A">
        <w:rPr>
          <w:rFonts w:cs="Arial"/>
          <w:szCs w:val="22"/>
        </w:rPr>
        <w:t xml:space="preserve">and Environmental Review </w:t>
      </w:r>
    </w:p>
    <w:p w:rsidR="00C27BFF" w:rsidRPr="006B0C6A" w:rsidRDefault="00C27BFF" w:rsidP="00C27BFF">
      <w:pPr>
        <w:ind w:left="2880"/>
        <w:rPr>
          <w:rFonts w:cs="Arial"/>
          <w:szCs w:val="22"/>
        </w:rPr>
      </w:pPr>
      <w:r w:rsidRPr="006B0C6A">
        <w:rPr>
          <w:rFonts w:cs="Arial"/>
          <w:szCs w:val="22"/>
        </w:rPr>
        <w:t xml:space="preserve">Office of Nuclear Materials Safety </w:t>
      </w:r>
      <w:r w:rsidRPr="006B0C6A">
        <w:rPr>
          <w:rFonts w:cs="Arial"/>
          <w:szCs w:val="22"/>
        </w:rPr>
        <w:br/>
        <w:t xml:space="preserve">  and Safeguards</w:t>
      </w:r>
    </w:p>
    <w:p w:rsidR="00C27BFF" w:rsidRPr="006B0C6A" w:rsidRDefault="00C27BFF" w:rsidP="00C27BFF">
      <w:pPr>
        <w:rPr>
          <w:rFonts w:cs="Arial"/>
          <w:szCs w:val="22"/>
        </w:rPr>
      </w:pPr>
    </w:p>
    <w:p w:rsidR="00C27BFF" w:rsidRPr="006B0C6A" w:rsidRDefault="00C27BFF" w:rsidP="00C27BFF">
      <w:pPr>
        <w:ind w:left="2434" w:hanging="2434"/>
        <w:rPr>
          <w:rFonts w:cs="Arial"/>
          <w:b/>
          <w:szCs w:val="22"/>
        </w:rPr>
      </w:pPr>
      <w:r w:rsidRPr="006B0C6A">
        <w:rPr>
          <w:rFonts w:cs="Arial"/>
          <w:szCs w:val="22"/>
        </w:rPr>
        <w:t>FROM:</w:t>
      </w:r>
      <w:r w:rsidRPr="006B0C6A">
        <w:rPr>
          <w:rFonts w:cs="Arial"/>
          <w:szCs w:val="22"/>
        </w:rPr>
        <w:tab/>
      </w:r>
      <w:r w:rsidRPr="006B0C6A">
        <w:rPr>
          <w:rFonts w:cs="Arial"/>
          <w:szCs w:val="22"/>
        </w:rPr>
        <w:tab/>
        <w:t>Margie Kotzalas, Chief</w:t>
      </w:r>
    </w:p>
    <w:p w:rsidR="00C27BFF" w:rsidRPr="006B0C6A" w:rsidRDefault="00C27BFF" w:rsidP="00C27BFF">
      <w:pPr>
        <w:ind w:left="446" w:firstLine="2434"/>
        <w:rPr>
          <w:rFonts w:cs="Arial"/>
          <w:szCs w:val="22"/>
        </w:rPr>
      </w:pPr>
      <w:r w:rsidRPr="006B0C6A">
        <w:rPr>
          <w:rFonts w:cs="Arial"/>
          <w:szCs w:val="22"/>
        </w:rPr>
        <w:t xml:space="preserve">Programmatic Oversight and </w:t>
      </w:r>
    </w:p>
    <w:p w:rsidR="00C27BFF" w:rsidRPr="006B0C6A" w:rsidRDefault="00C27BFF" w:rsidP="00C27BFF">
      <w:pPr>
        <w:ind w:left="1886" w:firstLine="994"/>
        <w:rPr>
          <w:rFonts w:cs="Arial"/>
          <w:szCs w:val="22"/>
        </w:rPr>
      </w:pPr>
      <w:r w:rsidRPr="006B0C6A">
        <w:rPr>
          <w:rFonts w:cs="Arial"/>
          <w:szCs w:val="22"/>
        </w:rPr>
        <w:t xml:space="preserve">  Regional Support Branch</w:t>
      </w:r>
    </w:p>
    <w:p w:rsidR="00C27BFF" w:rsidRDefault="00C27BFF" w:rsidP="00C27BFF">
      <w:pPr>
        <w:ind w:left="446" w:firstLine="2434"/>
        <w:rPr>
          <w:rFonts w:cs="Arial"/>
          <w:szCs w:val="22"/>
        </w:rPr>
      </w:pPr>
      <w:r w:rsidRPr="006B0C6A">
        <w:rPr>
          <w:rFonts w:cs="Arial"/>
          <w:szCs w:val="22"/>
        </w:rPr>
        <w:t>Division of Fuel Cycle Safety,</w:t>
      </w:r>
      <w:r>
        <w:rPr>
          <w:rFonts w:cs="Arial"/>
          <w:szCs w:val="22"/>
        </w:rPr>
        <w:t xml:space="preserve"> Safeguards,</w:t>
      </w:r>
    </w:p>
    <w:p w:rsidR="00C27BFF" w:rsidRPr="006B0C6A" w:rsidRDefault="00C27BFF" w:rsidP="00C27BFF">
      <w:pPr>
        <w:ind w:left="446" w:firstLine="2434"/>
        <w:rPr>
          <w:rFonts w:cs="Arial"/>
          <w:szCs w:val="22"/>
        </w:rPr>
      </w:pPr>
      <w:r>
        <w:rPr>
          <w:rFonts w:cs="Arial"/>
          <w:szCs w:val="22"/>
        </w:rPr>
        <w:t xml:space="preserve">  </w:t>
      </w:r>
      <w:r w:rsidRPr="006B0C6A">
        <w:rPr>
          <w:rFonts w:cs="Arial"/>
          <w:szCs w:val="22"/>
        </w:rPr>
        <w:t>and Environmental Review</w:t>
      </w:r>
    </w:p>
    <w:p w:rsidR="00C27BFF" w:rsidRPr="006B0C6A" w:rsidRDefault="00C27BFF" w:rsidP="00C27BFF">
      <w:pPr>
        <w:ind w:left="446" w:firstLine="2434"/>
        <w:rPr>
          <w:rFonts w:cs="Arial"/>
          <w:szCs w:val="22"/>
        </w:rPr>
      </w:pPr>
      <w:r w:rsidRPr="006B0C6A">
        <w:rPr>
          <w:rFonts w:cs="Arial"/>
          <w:szCs w:val="22"/>
        </w:rPr>
        <w:t xml:space="preserve">Office of Nuclear Materials Safety </w:t>
      </w:r>
    </w:p>
    <w:p w:rsidR="00C27BFF" w:rsidRPr="006B0C6A" w:rsidRDefault="00C27BFF" w:rsidP="00C27BFF">
      <w:pPr>
        <w:ind w:left="446" w:firstLine="2434"/>
        <w:rPr>
          <w:rFonts w:cs="Arial"/>
          <w:szCs w:val="22"/>
        </w:rPr>
      </w:pPr>
      <w:r w:rsidRPr="006B0C6A">
        <w:rPr>
          <w:rFonts w:cs="Arial"/>
          <w:szCs w:val="22"/>
        </w:rPr>
        <w:t xml:space="preserve">  and Safeguards</w:t>
      </w:r>
    </w:p>
    <w:p w:rsidR="00C27BFF" w:rsidRPr="006B0C6A" w:rsidRDefault="00C27BFF" w:rsidP="00C27BFF">
      <w:pPr>
        <w:rPr>
          <w:rFonts w:cs="Arial"/>
          <w:szCs w:val="22"/>
        </w:rPr>
      </w:pPr>
    </w:p>
    <w:p w:rsidR="00C27BFF" w:rsidRDefault="00C27BFF" w:rsidP="00C27BFF">
      <w:pPr>
        <w:ind w:left="2880" w:hanging="2880"/>
        <w:rPr>
          <w:rFonts w:cs="Arial"/>
          <w:szCs w:val="22"/>
        </w:rPr>
      </w:pPr>
      <w:r w:rsidRPr="006B0C6A">
        <w:rPr>
          <w:rFonts w:cs="Arial"/>
          <w:szCs w:val="22"/>
        </w:rPr>
        <w:t>SUBJECT:</w:t>
      </w:r>
      <w:r w:rsidRPr="006B0C6A">
        <w:rPr>
          <w:rFonts w:cs="Arial"/>
          <w:szCs w:val="22"/>
        </w:rPr>
        <w:tab/>
      </w:r>
      <w:r w:rsidRPr="006B0C6A">
        <w:rPr>
          <w:rFonts w:eastAsiaTheme="minorHAnsi" w:cs="Arial"/>
          <w:szCs w:val="22"/>
        </w:rPr>
        <w:t xml:space="preserve">RESPONSE TO PUBLIC COMMENTS ON DRAFT NRC </w:t>
      </w:r>
      <w:r w:rsidRPr="006B0C6A">
        <w:rPr>
          <w:rFonts w:cs="Arial"/>
          <w:szCs w:val="22"/>
        </w:rPr>
        <w:t xml:space="preserve">GENERIC LETTER 20XX-XX, “TREATMENT OF NATURAL PHENOMENA HAZARDS AT FUEL CYCLE FACILITIES” </w:t>
      </w:r>
    </w:p>
    <w:p w:rsidR="00C27BFF" w:rsidRPr="006B0C6A" w:rsidRDefault="00C27BFF" w:rsidP="00C27BFF">
      <w:pPr>
        <w:ind w:left="2880" w:hanging="2880"/>
        <w:rPr>
          <w:rFonts w:cs="Arial"/>
          <w:szCs w:val="22"/>
        </w:rPr>
      </w:pPr>
    </w:p>
    <w:p w:rsidR="00C27BFF" w:rsidRPr="006B0C6A" w:rsidRDefault="00C27BFF" w:rsidP="00C27BFF">
      <w:pPr>
        <w:autoSpaceDE w:val="0"/>
        <w:autoSpaceDN w:val="0"/>
        <w:adjustRightInd w:val="0"/>
        <w:rPr>
          <w:rFonts w:cs="Arial"/>
          <w:szCs w:val="22"/>
        </w:rPr>
      </w:pPr>
    </w:p>
    <w:p w:rsidR="00C27BFF" w:rsidRPr="006B0C6A" w:rsidRDefault="00C27BFF" w:rsidP="00C27BFF">
      <w:pPr>
        <w:autoSpaceDE w:val="0"/>
        <w:autoSpaceDN w:val="0"/>
        <w:adjustRightInd w:val="0"/>
        <w:rPr>
          <w:rFonts w:eastAsiaTheme="minorHAnsi" w:cs="Arial"/>
          <w:szCs w:val="22"/>
        </w:rPr>
      </w:pPr>
      <w:r w:rsidRPr="006B0C6A">
        <w:rPr>
          <w:rFonts w:eastAsiaTheme="minorHAnsi" w:cs="Arial"/>
          <w:szCs w:val="22"/>
        </w:rPr>
        <w:t>A notice of opportunity for public comment on Draft Generic Letter 20XX-XX</w:t>
      </w:r>
      <w:r>
        <w:rPr>
          <w:rFonts w:eastAsiaTheme="minorHAnsi" w:cs="Arial"/>
          <w:szCs w:val="22"/>
        </w:rPr>
        <w:t>,</w:t>
      </w:r>
      <w:r w:rsidRPr="006B0C6A">
        <w:rPr>
          <w:rFonts w:eastAsiaTheme="minorHAnsi" w:cs="Arial"/>
          <w:szCs w:val="22"/>
        </w:rPr>
        <w:t xml:space="preserve"> “Treatment of Natural Phenomena Hazards at Fuel Cycle Facilities” was published in the </w:t>
      </w:r>
      <w:r w:rsidRPr="006B0C6A">
        <w:rPr>
          <w:rFonts w:eastAsiaTheme="minorHAnsi" w:cs="Arial"/>
          <w:i/>
          <w:iCs/>
          <w:szCs w:val="22"/>
        </w:rPr>
        <w:t xml:space="preserve">Federal Register </w:t>
      </w:r>
      <w:r>
        <w:rPr>
          <w:rFonts w:eastAsiaTheme="minorHAnsi" w:cs="Arial"/>
          <w:i/>
          <w:iCs/>
          <w:szCs w:val="22"/>
        </w:rPr>
        <w:t xml:space="preserve">on </w:t>
      </w:r>
      <w:r w:rsidRPr="00730975">
        <w:rPr>
          <w:rFonts w:eastAsiaTheme="minorHAnsi" w:cs="Arial"/>
          <w:iCs/>
          <w:szCs w:val="22"/>
        </w:rPr>
        <w:t>August 8, 2014</w:t>
      </w:r>
      <w:r>
        <w:rPr>
          <w:rFonts w:eastAsiaTheme="minorHAnsi" w:cs="Arial"/>
          <w:i/>
          <w:iCs/>
          <w:szCs w:val="22"/>
        </w:rPr>
        <w:t xml:space="preserve"> </w:t>
      </w:r>
      <w:r w:rsidRPr="006B0C6A">
        <w:rPr>
          <w:rFonts w:eastAsiaTheme="minorHAnsi" w:cs="Arial"/>
          <w:szCs w:val="22"/>
        </w:rPr>
        <w:t>(79 FR 46472)</w:t>
      </w:r>
      <w:r>
        <w:rPr>
          <w:rFonts w:eastAsiaTheme="minorHAnsi" w:cs="Arial"/>
          <w:szCs w:val="22"/>
        </w:rPr>
        <w:t>.</w:t>
      </w:r>
      <w:r w:rsidRPr="006B0C6A">
        <w:rPr>
          <w:rFonts w:eastAsiaTheme="minorHAnsi" w:cs="Arial"/>
          <w:szCs w:val="22"/>
        </w:rPr>
        <w:t xml:space="preserve">  Comments were received from </w:t>
      </w:r>
      <w:r w:rsidRPr="006B0C6A">
        <w:rPr>
          <w:rFonts w:cs="Arial"/>
          <w:szCs w:val="22"/>
        </w:rPr>
        <w:t>Stephen McDuffie</w:t>
      </w:r>
      <w:r w:rsidRPr="006B0C6A">
        <w:rPr>
          <w:rFonts w:eastAsiaTheme="minorHAnsi" w:cs="Arial"/>
          <w:szCs w:val="22"/>
        </w:rPr>
        <w:t xml:space="preserve"> (Agencywide Document and Management System (ADAMS) Accession No. ML14281A266) and the Nuclear Energy Institute (ADAMS Accession No. </w:t>
      </w:r>
      <w:r w:rsidRPr="006B0C6A">
        <w:rPr>
          <w:rFonts w:cs="Arial"/>
          <w:szCs w:val="22"/>
        </w:rPr>
        <w:t>ML14316A411</w:t>
      </w:r>
      <w:r w:rsidRPr="006B0C6A">
        <w:rPr>
          <w:rFonts w:eastAsiaTheme="minorHAnsi" w:cs="Arial"/>
          <w:szCs w:val="22"/>
        </w:rPr>
        <w:t>).  Enclosed are the staff responses to the</w:t>
      </w:r>
      <w:r>
        <w:rPr>
          <w:rFonts w:eastAsiaTheme="minorHAnsi" w:cs="Arial"/>
          <w:szCs w:val="22"/>
        </w:rPr>
        <w:t>se</w:t>
      </w:r>
      <w:r w:rsidRPr="006B0C6A">
        <w:rPr>
          <w:rFonts w:eastAsiaTheme="minorHAnsi" w:cs="Arial"/>
          <w:szCs w:val="22"/>
        </w:rPr>
        <w:t xml:space="preserve"> comments.  </w:t>
      </w:r>
    </w:p>
    <w:p w:rsidR="00C27BFF" w:rsidRPr="006B0C6A" w:rsidRDefault="00C27BFF" w:rsidP="00C27BFF">
      <w:pPr>
        <w:autoSpaceDE w:val="0"/>
        <w:autoSpaceDN w:val="0"/>
        <w:adjustRightInd w:val="0"/>
        <w:rPr>
          <w:rFonts w:eastAsiaTheme="minorHAnsi" w:cs="Arial"/>
          <w:szCs w:val="22"/>
        </w:rPr>
      </w:pPr>
    </w:p>
    <w:p w:rsidR="00C27BFF" w:rsidRPr="006B0C6A" w:rsidRDefault="00C27BFF" w:rsidP="00C27BFF">
      <w:pPr>
        <w:autoSpaceDE w:val="0"/>
        <w:autoSpaceDN w:val="0"/>
        <w:adjustRightInd w:val="0"/>
        <w:rPr>
          <w:rFonts w:cs="Arial"/>
          <w:szCs w:val="22"/>
        </w:rPr>
      </w:pPr>
      <w:r w:rsidRPr="006B0C6A">
        <w:rPr>
          <w:rFonts w:cs="Arial"/>
          <w:szCs w:val="22"/>
        </w:rPr>
        <w:t xml:space="preserve">For the NRC’s generic communications program, the staff solicited external stakeholder feedback on the cumulative effects of regulation (CER) in the </w:t>
      </w:r>
      <w:r w:rsidRPr="006B0C6A">
        <w:rPr>
          <w:rFonts w:cs="Arial"/>
          <w:i/>
          <w:szCs w:val="22"/>
        </w:rPr>
        <w:t>Federal Register</w:t>
      </w:r>
      <w:r w:rsidRPr="006B0C6A">
        <w:rPr>
          <w:rFonts w:cs="Arial"/>
          <w:szCs w:val="22"/>
        </w:rPr>
        <w:t xml:space="preserve"> notice for this generic letter.</w:t>
      </w:r>
      <w:r w:rsidRPr="006B0C6A">
        <w:rPr>
          <w:rFonts w:eastAsiaTheme="minorHAnsi" w:cs="Arial"/>
          <w:szCs w:val="22"/>
        </w:rPr>
        <w:t xml:space="preserve">  The </w:t>
      </w:r>
      <w:r>
        <w:rPr>
          <w:rFonts w:eastAsiaTheme="minorHAnsi" w:cs="Arial"/>
          <w:szCs w:val="22"/>
        </w:rPr>
        <w:t xml:space="preserve">enclosure </w:t>
      </w:r>
      <w:r w:rsidRPr="006B0C6A">
        <w:rPr>
          <w:rFonts w:eastAsiaTheme="minorHAnsi" w:cs="Arial"/>
          <w:szCs w:val="22"/>
        </w:rPr>
        <w:t>also provides responses to Nuclear Energy Institute comments regarding CE</w:t>
      </w:r>
      <w:r>
        <w:rPr>
          <w:rFonts w:eastAsiaTheme="minorHAnsi" w:cs="Arial"/>
          <w:szCs w:val="22"/>
        </w:rPr>
        <w:t>R</w:t>
      </w:r>
      <w:r w:rsidRPr="006B0C6A">
        <w:rPr>
          <w:rFonts w:eastAsiaTheme="minorHAnsi" w:cs="Arial"/>
          <w:szCs w:val="22"/>
        </w:rPr>
        <w:t xml:space="preserve"> for this generic letter.</w:t>
      </w:r>
    </w:p>
    <w:p w:rsidR="00C27BFF" w:rsidRPr="006B0C6A" w:rsidRDefault="00C27BFF" w:rsidP="00C27BFF">
      <w:pPr>
        <w:rPr>
          <w:rFonts w:cs="Arial"/>
          <w:szCs w:val="22"/>
        </w:rPr>
      </w:pPr>
    </w:p>
    <w:p w:rsidR="00C27BFF" w:rsidRPr="006B0C6A" w:rsidRDefault="00C27BFF" w:rsidP="00C27BFF">
      <w:pPr>
        <w:rPr>
          <w:rFonts w:cs="Arial"/>
          <w:szCs w:val="22"/>
        </w:rPr>
      </w:pPr>
      <w:r w:rsidRPr="006B0C6A">
        <w:rPr>
          <w:rFonts w:cs="Arial"/>
          <w:szCs w:val="22"/>
        </w:rPr>
        <w:t>Enclosure:</w:t>
      </w:r>
    </w:p>
    <w:p w:rsidR="00C27BFF" w:rsidRDefault="00C27BFF" w:rsidP="00C27BFF">
      <w:pPr>
        <w:rPr>
          <w:rFonts w:cs="Arial"/>
          <w:szCs w:val="22"/>
        </w:rPr>
      </w:pPr>
      <w:r>
        <w:rPr>
          <w:rFonts w:cs="Arial"/>
          <w:szCs w:val="22"/>
        </w:rPr>
        <w:t>Response to Public Comments</w:t>
      </w:r>
    </w:p>
    <w:p w:rsidR="00C27BFF" w:rsidRDefault="00C27BFF" w:rsidP="00C27BFF">
      <w:pPr>
        <w:rPr>
          <w:rFonts w:cs="Arial"/>
          <w:szCs w:val="22"/>
        </w:rPr>
      </w:pPr>
      <w:r>
        <w:rPr>
          <w:rFonts w:cs="Arial"/>
          <w:szCs w:val="22"/>
        </w:rPr>
        <w:t xml:space="preserve">  on Generic Letter</w:t>
      </w:r>
    </w:p>
    <w:p w:rsidR="00C27BFF" w:rsidRPr="006B0C6A" w:rsidRDefault="00C27BFF" w:rsidP="00C27BFF">
      <w:pPr>
        <w:rPr>
          <w:rFonts w:cs="Arial"/>
          <w:szCs w:val="22"/>
        </w:rPr>
      </w:pPr>
    </w:p>
    <w:p w:rsidR="00C27BFF" w:rsidRPr="006B0C6A" w:rsidRDefault="00C27BFF" w:rsidP="00C27BFF">
      <w:pPr>
        <w:rPr>
          <w:rFonts w:cs="Arial"/>
          <w:szCs w:val="22"/>
        </w:rPr>
      </w:pPr>
    </w:p>
    <w:p w:rsidR="00C27BFF" w:rsidRPr="006B0C6A" w:rsidRDefault="00C27BFF" w:rsidP="00C27BFF">
      <w:pPr>
        <w:rPr>
          <w:rFonts w:cs="Arial"/>
          <w:szCs w:val="22"/>
        </w:rPr>
      </w:pPr>
      <w:r w:rsidRPr="006B0C6A">
        <w:rPr>
          <w:rFonts w:cs="Arial"/>
          <w:szCs w:val="22"/>
        </w:rPr>
        <w:t>CONTACT:  Jonathan Marcano, NMSS/FCSE/PORSB</w:t>
      </w:r>
    </w:p>
    <w:p w:rsidR="00D17796" w:rsidRDefault="00C27BFF" w:rsidP="00C27BFF">
      <w:pPr>
        <w:rPr>
          <w:rFonts w:cs="Arial"/>
          <w:szCs w:val="22"/>
        </w:rPr>
      </w:pPr>
      <w:r w:rsidRPr="006B0C6A">
        <w:rPr>
          <w:rFonts w:cs="Arial"/>
          <w:szCs w:val="22"/>
        </w:rPr>
        <w:tab/>
        <w:t xml:space="preserve">         (301) 287-9063</w:t>
      </w:r>
    </w:p>
    <w:p w:rsidR="00C27BFF" w:rsidRDefault="00C27BFF" w:rsidP="00C27BFF">
      <w:pPr>
        <w:rPr>
          <w:rFonts w:cs="Arial"/>
          <w:szCs w:val="22"/>
        </w:rPr>
      </w:pPr>
    </w:p>
    <w:p w:rsidR="00C27BFF" w:rsidRPr="006B0C6A" w:rsidRDefault="00C27BFF" w:rsidP="00C27BFF">
      <w:pPr>
        <w:rPr>
          <w:rFonts w:cs="Arial"/>
          <w:szCs w:val="22"/>
        </w:rPr>
      </w:pPr>
    </w:p>
    <w:p w:rsidR="00DB570B" w:rsidRDefault="002547F3" w:rsidP="00DB570B">
      <w:pPr>
        <w:rPr>
          <w:rFonts w:cs="Arial"/>
          <w:kern w:val="16"/>
          <w:szCs w:val="22"/>
        </w:rPr>
      </w:pPr>
      <w:r w:rsidRPr="00DB570B">
        <w:rPr>
          <w:rFonts w:cs="Arial"/>
          <w:b/>
          <w:szCs w:val="22"/>
          <w:u w:val="single"/>
        </w:rPr>
        <w:t>DISTRIBUTION</w:t>
      </w:r>
      <w:r w:rsidR="007F4134">
        <w:rPr>
          <w:rFonts w:cs="Arial"/>
          <w:b/>
          <w:szCs w:val="22"/>
        </w:rPr>
        <w:t>:</w:t>
      </w:r>
      <w:r w:rsidR="007F4134">
        <w:rPr>
          <w:rFonts w:cs="Arial"/>
          <w:b/>
          <w:szCs w:val="22"/>
        </w:rPr>
        <w:tab/>
      </w:r>
      <w:r w:rsidR="008B0409" w:rsidRPr="00DB570B">
        <w:rPr>
          <w:rFonts w:cs="Arial"/>
          <w:kern w:val="16"/>
          <w:szCs w:val="22"/>
        </w:rPr>
        <w:t>CErlanger</w:t>
      </w:r>
      <w:r w:rsidRPr="00DB570B">
        <w:rPr>
          <w:rFonts w:cs="Arial"/>
          <w:kern w:val="16"/>
          <w:szCs w:val="22"/>
        </w:rPr>
        <w:t>, RII</w:t>
      </w:r>
      <w:r w:rsidR="00DB570B" w:rsidRPr="00DB570B">
        <w:rPr>
          <w:rFonts w:cs="Arial"/>
          <w:kern w:val="16"/>
          <w:szCs w:val="22"/>
        </w:rPr>
        <w:t xml:space="preserve">   </w:t>
      </w:r>
      <w:r w:rsidRPr="00DB570B">
        <w:rPr>
          <w:rFonts w:cs="Arial"/>
          <w:kern w:val="16"/>
          <w:szCs w:val="22"/>
        </w:rPr>
        <w:t>TMensah, NRR</w:t>
      </w:r>
      <w:r w:rsidR="007F4134">
        <w:rPr>
          <w:rFonts w:cs="Arial"/>
          <w:kern w:val="16"/>
          <w:szCs w:val="22"/>
        </w:rPr>
        <w:tab/>
        <w:t>AGody, RII</w:t>
      </w:r>
      <w:r w:rsidR="007F4134">
        <w:rPr>
          <w:rFonts w:cs="Arial"/>
          <w:kern w:val="16"/>
          <w:szCs w:val="22"/>
        </w:rPr>
        <w:tab/>
      </w:r>
      <w:r w:rsidR="008B0409" w:rsidRPr="00DB570B">
        <w:rPr>
          <w:rFonts w:cs="Arial"/>
          <w:kern w:val="16"/>
          <w:szCs w:val="22"/>
        </w:rPr>
        <w:t>CEvans</w:t>
      </w:r>
      <w:r w:rsidRPr="00DB570B">
        <w:rPr>
          <w:rFonts w:cs="Arial"/>
          <w:kern w:val="16"/>
          <w:szCs w:val="22"/>
        </w:rPr>
        <w:t>, RII</w:t>
      </w:r>
      <w:r w:rsidR="008B0409" w:rsidRPr="00DB570B">
        <w:rPr>
          <w:rFonts w:cs="Arial"/>
          <w:kern w:val="16"/>
          <w:szCs w:val="22"/>
        </w:rPr>
        <w:t xml:space="preserve">   </w:t>
      </w:r>
      <w:r w:rsidRPr="00DB570B">
        <w:rPr>
          <w:rFonts w:cs="Arial"/>
          <w:kern w:val="16"/>
          <w:szCs w:val="22"/>
        </w:rPr>
        <w:t>SBurnell, OPA</w:t>
      </w:r>
      <w:r w:rsidR="00DC5044" w:rsidRPr="00DB570B">
        <w:rPr>
          <w:rFonts w:cs="Arial"/>
          <w:kern w:val="16"/>
          <w:szCs w:val="22"/>
        </w:rPr>
        <w:tab/>
      </w:r>
      <w:r w:rsidR="007F4134">
        <w:rPr>
          <w:rFonts w:cs="Arial"/>
          <w:kern w:val="16"/>
          <w:szCs w:val="22"/>
        </w:rPr>
        <w:tab/>
      </w:r>
      <w:r w:rsidR="00AD475F" w:rsidRPr="00DB570B">
        <w:rPr>
          <w:rFonts w:cs="Arial"/>
          <w:kern w:val="16"/>
          <w:szCs w:val="22"/>
        </w:rPr>
        <w:t>MSykes</w:t>
      </w:r>
      <w:r w:rsidRPr="00DB570B">
        <w:rPr>
          <w:rFonts w:cs="Arial"/>
          <w:kern w:val="16"/>
          <w:szCs w:val="22"/>
        </w:rPr>
        <w:t xml:space="preserve">, </w:t>
      </w:r>
      <w:r w:rsidR="00AD475F" w:rsidRPr="00DB570B">
        <w:rPr>
          <w:rFonts w:cs="Arial"/>
          <w:kern w:val="16"/>
          <w:szCs w:val="22"/>
        </w:rPr>
        <w:t>RII</w:t>
      </w:r>
      <w:r w:rsidRPr="00DB570B">
        <w:rPr>
          <w:rFonts w:cs="Arial"/>
          <w:kern w:val="16"/>
          <w:szCs w:val="22"/>
        </w:rPr>
        <w:tab/>
      </w:r>
    </w:p>
    <w:p w:rsidR="002547F3" w:rsidRPr="00DB570B" w:rsidRDefault="002547F3" w:rsidP="00DB570B">
      <w:pPr>
        <w:rPr>
          <w:rFonts w:cs="Arial"/>
          <w:kern w:val="16"/>
          <w:szCs w:val="22"/>
        </w:rPr>
      </w:pPr>
      <w:r w:rsidRPr="00DB570B">
        <w:rPr>
          <w:rFonts w:cs="Arial"/>
          <w:kern w:val="16"/>
          <w:szCs w:val="22"/>
        </w:rPr>
        <w:tab/>
      </w:r>
    </w:p>
    <w:p w:rsidR="002547F3" w:rsidRPr="00DB570B" w:rsidRDefault="00475ABA" w:rsidP="00475ABA">
      <w:pPr>
        <w:jc w:val="center"/>
        <w:rPr>
          <w:rFonts w:cs="Arial"/>
          <w:b/>
          <w:szCs w:val="22"/>
        </w:rPr>
      </w:pPr>
      <w:r w:rsidRPr="00DB570B">
        <w:rPr>
          <w:rFonts w:cs="Arial"/>
          <w:b/>
          <w:szCs w:val="22"/>
        </w:rPr>
        <w:t>ML14328A028</w:t>
      </w:r>
    </w:p>
    <w:tbl>
      <w:tblPr>
        <w:tblStyle w:val="TableGrid"/>
        <w:tblW w:w="7428"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3"/>
        <w:gridCol w:w="1635"/>
        <w:gridCol w:w="1635"/>
        <w:gridCol w:w="1635"/>
        <w:gridCol w:w="1500"/>
      </w:tblGrid>
      <w:tr w:rsidR="00475ABA" w:rsidRPr="00DB570B" w:rsidTr="00475ABA">
        <w:trPr>
          <w:trHeight w:val="277"/>
          <w:jc w:val="center"/>
        </w:trPr>
        <w:tc>
          <w:tcPr>
            <w:tcW w:w="1023" w:type="dxa"/>
          </w:tcPr>
          <w:p w:rsidR="00475ABA" w:rsidRPr="00DB570B" w:rsidRDefault="00475ABA" w:rsidP="00475ABA">
            <w:pPr>
              <w:rPr>
                <w:rFonts w:cs="Arial"/>
                <w:b/>
                <w:kern w:val="16"/>
                <w:szCs w:val="22"/>
              </w:rPr>
            </w:pPr>
            <w:r w:rsidRPr="00DB570B">
              <w:rPr>
                <w:rFonts w:cs="Arial"/>
                <w:b/>
                <w:kern w:val="16"/>
                <w:szCs w:val="22"/>
              </w:rPr>
              <w:t>OFFICE</w:t>
            </w:r>
          </w:p>
        </w:tc>
        <w:tc>
          <w:tcPr>
            <w:tcW w:w="1635" w:type="dxa"/>
          </w:tcPr>
          <w:p w:rsidR="00475ABA" w:rsidRPr="00DB570B" w:rsidRDefault="00475ABA" w:rsidP="00475ABA">
            <w:pPr>
              <w:jc w:val="center"/>
              <w:rPr>
                <w:rFonts w:cs="Arial"/>
                <w:kern w:val="16"/>
                <w:szCs w:val="22"/>
              </w:rPr>
            </w:pPr>
            <w:r w:rsidRPr="00DB570B">
              <w:rPr>
                <w:rFonts w:cs="Arial"/>
                <w:kern w:val="16"/>
                <w:szCs w:val="22"/>
              </w:rPr>
              <w:t>NMSS/FCSE</w:t>
            </w:r>
          </w:p>
        </w:tc>
        <w:tc>
          <w:tcPr>
            <w:tcW w:w="1635" w:type="dxa"/>
          </w:tcPr>
          <w:p w:rsidR="00475ABA" w:rsidRPr="00DB570B" w:rsidRDefault="00475ABA" w:rsidP="00475ABA">
            <w:pPr>
              <w:jc w:val="center"/>
              <w:rPr>
                <w:rFonts w:cs="Arial"/>
                <w:kern w:val="16"/>
                <w:szCs w:val="22"/>
              </w:rPr>
            </w:pPr>
            <w:r w:rsidRPr="00DB570B">
              <w:rPr>
                <w:rFonts w:cs="Arial"/>
                <w:kern w:val="16"/>
                <w:szCs w:val="22"/>
              </w:rPr>
              <w:t>NMSS/ECB</w:t>
            </w:r>
          </w:p>
        </w:tc>
        <w:tc>
          <w:tcPr>
            <w:tcW w:w="1635" w:type="dxa"/>
          </w:tcPr>
          <w:p w:rsidR="00475ABA" w:rsidRPr="00DB570B" w:rsidRDefault="00475ABA" w:rsidP="00475ABA">
            <w:pPr>
              <w:jc w:val="center"/>
              <w:rPr>
                <w:rFonts w:cs="Arial"/>
                <w:kern w:val="16"/>
                <w:szCs w:val="22"/>
              </w:rPr>
            </w:pPr>
            <w:r w:rsidRPr="00DB570B">
              <w:rPr>
                <w:rFonts w:cs="Arial"/>
                <w:kern w:val="16"/>
                <w:szCs w:val="22"/>
              </w:rPr>
              <w:t>NMSS/ ECB</w:t>
            </w:r>
          </w:p>
        </w:tc>
        <w:tc>
          <w:tcPr>
            <w:tcW w:w="1500" w:type="dxa"/>
          </w:tcPr>
          <w:p w:rsidR="00475ABA" w:rsidRPr="00DB570B" w:rsidRDefault="00475ABA" w:rsidP="00475ABA">
            <w:pPr>
              <w:jc w:val="center"/>
              <w:rPr>
                <w:rFonts w:cs="Arial"/>
                <w:kern w:val="16"/>
                <w:szCs w:val="22"/>
              </w:rPr>
            </w:pPr>
            <w:r w:rsidRPr="00DB570B">
              <w:rPr>
                <w:rFonts w:cs="Arial"/>
                <w:kern w:val="16"/>
                <w:szCs w:val="22"/>
              </w:rPr>
              <w:t>NMSS/FCSE</w:t>
            </w:r>
          </w:p>
        </w:tc>
      </w:tr>
      <w:tr w:rsidR="00475ABA" w:rsidRPr="00DB570B" w:rsidTr="00475ABA">
        <w:trPr>
          <w:trHeight w:val="277"/>
          <w:jc w:val="center"/>
        </w:trPr>
        <w:tc>
          <w:tcPr>
            <w:tcW w:w="1023" w:type="dxa"/>
          </w:tcPr>
          <w:p w:rsidR="00475ABA" w:rsidRPr="00DB570B" w:rsidRDefault="00475ABA" w:rsidP="00475ABA">
            <w:pPr>
              <w:rPr>
                <w:rFonts w:cs="Arial"/>
                <w:b/>
                <w:kern w:val="16"/>
                <w:szCs w:val="22"/>
              </w:rPr>
            </w:pPr>
            <w:r w:rsidRPr="00DB570B">
              <w:rPr>
                <w:rFonts w:cs="Arial"/>
                <w:b/>
                <w:kern w:val="16"/>
                <w:szCs w:val="22"/>
              </w:rPr>
              <w:t>NAME</w:t>
            </w:r>
          </w:p>
        </w:tc>
        <w:tc>
          <w:tcPr>
            <w:tcW w:w="1635" w:type="dxa"/>
          </w:tcPr>
          <w:p w:rsidR="00475ABA" w:rsidRPr="00DB570B" w:rsidRDefault="00C27BFF" w:rsidP="00475ABA">
            <w:pPr>
              <w:jc w:val="center"/>
              <w:rPr>
                <w:rFonts w:cs="Arial"/>
                <w:kern w:val="16"/>
                <w:szCs w:val="22"/>
              </w:rPr>
            </w:pPr>
            <w:r w:rsidRPr="007F4134">
              <w:rPr>
                <w:rFonts w:cs="Arial"/>
                <w:kern w:val="16"/>
                <w:szCs w:val="22"/>
              </w:rPr>
              <w:t xml:space="preserve">MSemmes for </w:t>
            </w:r>
            <w:r w:rsidR="00475ABA" w:rsidRPr="00DB570B">
              <w:rPr>
                <w:rFonts w:cs="Arial"/>
                <w:kern w:val="16"/>
                <w:szCs w:val="22"/>
              </w:rPr>
              <w:t>JMarcano</w:t>
            </w:r>
          </w:p>
        </w:tc>
        <w:tc>
          <w:tcPr>
            <w:tcW w:w="1635" w:type="dxa"/>
          </w:tcPr>
          <w:p w:rsidR="00475ABA" w:rsidRPr="00DB570B" w:rsidRDefault="00475ABA" w:rsidP="00475ABA">
            <w:pPr>
              <w:jc w:val="center"/>
              <w:rPr>
                <w:rFonts w:cs="Arial"/>
                <w:kern w:val="16"/>
                <w:szCs w:val="22"/>
              </w:rPr>
            </w:pPr>
            <w:r w:rsidRPr="00DB570B">
              <w:rPr>
                <w:rFonts w:cs="Arial"/>
                <w:kern w:val="16"/>
                <w:szCs w:val="22"/>
              </w:rPr>
              <w:t>DMiller</w:t>
            </w:r>
          </w:p>
        </w:tc>
        <w:tc>
          <w:tcPr>
            <w:tcW w:w="1635" w:type="dxa"/>
          </w:tcPr>
          <w:p w:rsidR="00475ABA" w:rsidRPr="00DB570B" w:rsidRDefault="00475ABA" w:rsidP="00475ABA">
            <w:pPr>
              <w:jc w:val="center"/>
              <w:rPr>
                <w:rFonts w:cs="Arial"/>
                <w:kern w:val="16"/>
                <w:szCs w:val="22"/>
              </w:rPr>
            </w:pPr>
            <w:r w:rsidRPr="00DB570B">
              <w:rPr>
                <w:rFonts w:cs="Arial"/>
                <w:kern w:val="16"/>
                <w:szCs w:val="22"/>
              </w:rPr>
              <w:t>MBartlett</w:t>
            </w:r>
          </w:p>
        </w:tc>
        <w:tc>
          <w:tcPr>
            <w:tcW w:w="1500" w:type="dxa"/>
          </w:tcPr>
          <w:p w:rsidR="00475ABA" w:rsidRPr="00DB570B" w:rsidRDefault="00475ABA" w:rsidP="00475ABA">
            <w:pPr>
              <w:jc w:val="center"/>
              <w:rPr>
                <w:rFonts w:cs="Arial"/>
                <w:kern w:val="16"/>
                <w:szCs w:val="22"/>
              </w:rPr>
            </w:pPr>
            <w:r w:rsidRPr="00DB570B">
              <w:rPr>
                <w:rFonts w:cs="Arial"/>
                <w:kern w:val="16"/>
                <w:szCs w:val="22"/>
              </w:rPr>
              <w:t>MKotzalas</w:t>
            </w:r>
          </w:p>
        </w:tc>
      </w:tr>
      <w:tr w:rsidR="00475ABA" w:rsidRPr="00DB570B" w:rsidTr="00475ABA">
        <w:trPr>
          <w:trHeight w:val="301"/>
          <w:jc w:val="center"/>
        </w:trPr>
        <w:tc>
          <w:tcPr>
            <w:tcW w:w="1023" w:type="dxa"/>
          </w:tcPr>
          <w:p w:rsidR="00475ABA" w:rsidRPr="00DB570B" w:rsidRDefault="00475ABA" w:rsidP="00475ABA">
            <w:pPr>
              <w:rPr>
                <w:rFonts w:cs="Arial"/>
                <w:b/>
                <w:kern w:val="16"/>
                <w:szCs w:val="22"/>
              </w:rPr>
            </w:pPr>
            <w:r w:rsidRPr="00DB570B">
              <w:rPr>
                <w:rFonts w:cs="Arial"/>
                <w:b/>
                <w:kern w:val="16"/>
                <w:szCs w:val="22"/>
              </w:rPr>
              <w:t>DATE</w:t>
            </w:r>
          </w:p>
        </w:tc>
        <w:tc>
          <w:tcPr>
            <w:tcW w:w="1635" w:type="dxa"/>
          </w:tcPr>
          <w:p w:rsidR="00475ABA" w:rsidRPr="00DB570B" w:rsidRDefault="00C27BFF" w:rsidP="00C27BFF">
            <w:pPr>
              <w:jc w:val="center"/>
              <w:rPr>
                <w:rFonts w:cs="Arial"/>
                <w:kern w:val="16"/>
                <w:szCs w:val="22"/>
              </w:rPr>
            </w:pPr>
            <w:r>
              <w:rPr>
                <w:rFonts w:cs="Arial"/>
                <w:kern w:val="16"/>
                <w:szCs w:val="22"/>
              </w:rPr>
              <w:t>12</w:t>
            </w:r>
            <w:r w:rsidR="00475ABA" w:rsidRPr="00DB570B">
              <w:rPr>
                <w:rFonts w:cs="Arial"/>
                <w:kern w:val="16"/>
                <w:szCs w:val="22"/>
              </w:rPr>
              <w:t>/</w:t>
            </w:r>
            <w:r>
              <w:rPr>
                <w:rFonts w:cs="Arial"/>
                <w:kern w:val="16"/>
                <w:szCs w:val="22"/>
              </w:rPr>
              <w:t>01</w:t>
            </w:r>
            <w:r w:rsidR="007F4134">
              <w:rPr>
                <w:rFonts w:cs="Arial"/>
                <w:kern w:val="16"/>
                <w:szCs w:val="22"/>
              </w:rPr>
              <w:t>/</w:t>
            </w:r>
            <w:r w:rsidR="00475ABA" w:rsidRPr="00DB570B">
              <w:rPr>
                <w:rFonts w:cs="Arial"/>
                <w:kern w:val="16"/>
                <w:szCs w:val="22"/>
              </w:rPr>
              <w:t>2014</w:t>
            </w:r>
          </w:p>
        </w:tc>
        <w:tc>
          <w:tcPr>
            <w:tcW w:w="1635" w:type="dxa"/>
          </w:tcPr>
          <w:p w:rsidR="00475ABA" w:rsidRPr="00DB570B" w:rsidRDefault="00475ABA" w:rsidP="00C27BFF">
            <w:pPr>
              <w:jc w:val="center"/>
              <w:rPr>
                <w:rFonts w:cs="Arial"/>
                <w:kern w:val="16"/>
                <w:szCs w:val="22"/>
              </w:rPr>
            </w:pPr>
            <w:r w:rsidRPr="00DB570B">
              <w:rPr>
                <w:rFonts w:cs="Arial"/>
                <w:kern w:val="16"/>
                <w:szCs w:val="22"/>
              </w:rPr>
              <w:t>1</w:t>
            </w:r>
            <w:r w:rsidR="00C27BFF">
              <w:rPr>
                <w:rFonts w:cs="Arial"/>
                <w:kern w:val="16"/>
                <w:szCs w:val="22"/>
              </w:rPr>
              <w:t xml:space="preserve">2/   </w:t>
            </w:r>
            <w:r w:rsidR="00D73D7D">
              <w:rPr>
                <w:rFonts w:cs="Arial"/>
                <w:kern w:val="16"/>
                <w:szCs w:val="22"/>
              </w:rPr>
              <w:t>3</w:t>
            </w:r>
            <w:r w:rsidR="00C27BFF">
              <w:rPr>
                <w:rFonts w:cs="Arial"/>
                <w:kern w:val="16"/>
                <w:szCs w:val="22"/>
              </w:rPr>
              <w:t xml:space="preserve">   </w:t>
            </w:r>
            <w:r w:rsidRPr="00DB570B">
              <w:rPr>
                <w:rFonts w:cs="Arial"/>
                <w:kern w:val="16"/>
                <w:szCs w:val="22"/>
              </w:rPr>
              <w:t>/2014</w:t>
            </w:r>
          </w:p>
        </w:tc>
        <w:tc>
          <w:tcPr>
            <w:tcW w:w="1635" w:type="dxa"/>
          </w:tcPr>
          <w:p w:rsidR="00475ABA" w:rsidRPr="00DB570B" w:rsidRDefault="00475ABA" w:rsidP="00C27BFF">
            <w:pPr>
              <w:jc w:val="center"/>
              <w:rPr>
                <w:rFonts w:cs="Arial"/>
                <w:kern w:val="16"/>
                <w:szCs w:val="22"/>
              </w:rPr>
            </w:pPr>
            <w:r w:rsidRPr="00DB570B">
              <w:rPr>
                <w:rFonts w:cs="Arial"/>
                <w:kern w:val="16"/>
                <w:szCs w:val="22"/>
              </w:rPr>
              <w:t>1</w:t>
            </w:r>
            <w:r w:rsidR="00C27BFF">
              <w:rPr>
                <w:rFonts w:cs="Arial"/>
                <w:kern w:val="16"/>
                <w:szCs w:val="22"/>
              </w:rPr>
              <w:t>2</w:t>
            </w:r>
            <w:r w:rsidRPr="00DB570B">
              <w:rPr>
                <w:rFonts w:cs="Arial"/>
                <w:kern w:val="16"/>
                <w:szCs w:val="22"/>
              </w:rPr>
              <w:t xml:space="preserve">/   </w:t>
            </w:r>
            <w:r w:rsidR="00D73D7D">
              <w:rPr>
                <w:rFonts w:cs="Arial"/>
                <w:kern w:val="16"/>
                <w:szCs w:val="22"/>
              </w:rPr>
              <w:t>3</w:t>
            </w:r>
            <w:r w:rsidRPr="00DB570B">
              <w:rPr>
                <w:rFonts w:cs="Arial"/>
                <w:kern w:val="16"/>
                <w:szCs w:val="22"/>
              </w:rPr>
              <w:t xml:space="preserve">    /2014</w:t>
            </w:r>
          </w:p>
        </w:tc>
        <w:tc>
          <w:tcPr>
            <w:tcW w:w="1500" w:type="dxa"/>
          </w:tcPr>
          <w:p w:rsidR="00475ABA" w:rsidRPr="00DB570B" w:rsidRDefault="00475ABA" w:rsidP="00C27BFF">
            <w:pPr>
              <w:jc w:val="center"/>
              <w:rPr>
                <w:rFonts w:cs="Arial"/>
                <w:kern w:val="16"/>
                <w:szCs w:val="22"/>
              </w:rPr>
            </w:pPr>
            <w:r w:rsidRPr="00DB570B">
              <w:rPr>
                <w:rFonts w:cs="Arial"/>
                <w:kern w:val="16"/>
                <w:szCs w:val="22"/>
              </w:rPr>
              <w:t>1</w:t>
            </w:r>
            <w:r w:rsidR="00C27BFF">
              <w:rPr>
                <w:rFonts w:cs="Arial"/>
                <w:kern w:val="16"/>
                <w:szCs w:val="22"/>
              </w:rPr>
              <w:t>2</w:t>
            </w:r>
            <w:r w:rsidRPr="00DB570B">
              <w:rPr>
                <w:rFonts w:cs="Arial"/>
                <w:kern w:val="16"/>
                <w:szCs w:val="22"/>
              </w:rPr>
              <w:t>/      /2014</w:t>
            </w:r>
          </w:p>
        </w:tc>
      </w:tr>
    </w:tbl>
    <w:p w:rsidR="00A93839" w:rsidRDefault="002547F3" w:rsidP="00475ABA">
      <w:pPr>
        <w:jc w:val="center"/>
        <w:rPr>
          <w:rFonts w:cs="Arial"/>
          <w:b/>
          <w:kern w:val="16"/>
          <w:szCs w:val="22"/>
        </w:rPr>
        <w:sectPr w:rsidR="00A93839" w:rsidSect="00DB570B">
          <w:headerReference w:type="default" r:id="rId9"/>
          <w:footerReference w:type="default" r:id="rId10"/>
          <w:pgSz w:w="12240" w:h="15840"/>
          <w:pgMar w:top="1440" w:right="1440" w:bottom="1440" w:left="1440" w:header="720" w:footer="720" w:gutter="0"/>
          <w:cols w:space="720"/>
          <w:docGrid w:linePitch="360"/>
        </w:sectPr>
      </w:pPr>
      <w:r w:rsidRPr="00DB570B">
        <w:rPr>
          <w:rFonts w:cs="Arial"/>
          <w:b/>
          <w:kern w:val="16"/>
          <w:szCs w:val="22"/>
        </w:rPr>
        <w:t>OFFICIAL RECORD COPY</w:t>
      </w:r>
    </w:p>
    <w:p w:rsidR="006737F2" w:rsidRDefault="006737F2" w:rsidP="00475ABA">
      <w:pPr>
        <w:jc w:val="center"/>
        <w:rPr>
          <w:rFonts w:eastAsiaTheme="minorHAnsi" w:cs="Arial"/>
          <w:b/>
          <w:szCs w:val="22"/>
        </w:rPr>
      </w:pPr>
      <w:r>
        <w:rPr>
          <w:rFonts w:eastAsiaTheme="minorHAnsi" w:cs="Arial"/>
          <w:b/>
          <w:szCs w:val="22"/>
        </w:rPr>
        <w:lastRenderedPageBreak/>
        <w:t>RESPONSE TO PUBLIC COMMENTS ON</w:t>
      </w:r>
    </w:p>
    <w:p w:rsidR="00C8736B" w:rsidRPr="006B0C6A" w:rsidRDefault="00C8736B" w:rsidP="00475ABA">
      <w:pPr>
        <w:jc w:val="center"/>
        <w:rPr>
          <w:rFonts w:cs="Arial"/>
          <w:b/>
          <w:szCs w:val="22"/>
        </w:rPr>
      </w:pPr>
      <w:r w:rsidRPr="006B0C6A">
        <w:rPr>
          <w:rFonts w:eastAsiaTheme="minorHAnsi" w:cs="Arial"/>
          <w:b/>
          <w:szCs w:val="22"/>
        </w:rPr>
        <w:t xml:space="preserve">DRAFT NRC </w:t>
      </w:r>
      <w:r w:rsidRPr="006B0C6A">
        <w:rPr>
          <w:rFonts w:cs="Arial"/>
          <w:b/>
          <w:szCs w:val="22"/>
        </w:rPr>
        <w:t>GENERIC LETTER 20XX-XX, “TREATMENT OF NATURAL PHENOMENA HAZARDS AT FUEL CYCLE FACILITIES”</w:t>
      </w:r>
    </w:p>
    <w:p w:rsidR="00C8736B" w:rsidRDefault="00C8736B" w:rsidP="00475ABA">
      <w:pPr>
        <w:jc w:val="center"/>
        <w:rPr>
          <w:rFonts w:cs="Arial"/>
          <w:b/>
          <w:szCs w:val="22"/>
        </w:rPr>
      </w:pPr>
    </w:p>
    <w:p w:rsidR="00E34448" w:rsidRPr="006B0C6A" w:rsidRDefault="00E34448" w:rsidP="00475ABA">
      <w:pPr>
        <w:jc w:val="center"/>
        <w:rPr>
          <w:rFonts w:cs="Arial"/>
          <w:b/>
          <w:szCs w:val="22"/>
        </w:rPr>
      </w:pPr>
    </w:p>
    <w:p w:rsidR="00C8736B" w:rsidRPr="006B0C6A" w:rsidRDefault="00C8736B" w:rsidP="00475ABA">
      <w:pPr>
        <w:rPr>
          <w:rFonts w:cs="Arial"/>
          <w:szCs w:val="22"/>
        </w:rPr>
      </w:pPr>
      <w:r w:rsidRPr="006B0C6A">
        <w:rPr>
          <w:rFonts w:cs="Arial"/>
          <w:szCs w:val="22"/>
        </w:rPr>
        <w:t xml:space="preserve">Comments on this draft generic letter are available electronically at the </w:t>
      </w:r>
      <w:r w:rsidR="008F4692">
        <w:rPr>
          <w:rFonts w:cs="Arial"/>
          <w:szCs w:val="22"/>
        </w:rPr>
        <w:t>U.S. Nuclear Regulatory Commission’s (N</w:t>
      </w:r>
      <w:r w:rsidRPr="006B0C6A">
        <w:rPr>
          <w:rFonts w:cs="Arial"/>
          <w:szCs w:val="22"/>
        </w:rPr>
        <w:t>RC's</w:t>
      </w:r>
      <w:r w:rsidR="008F4692">
        <w:rPr>
          <w:rFonts w:cs="Arial"/>
          <w:szCs w:val="22"/>
        </w:rPr>
        <w:t>)</w:t>
      </w:r>
      <w:r w:rsidRPr="006B0C6A">
        <w:rPr>
          <w:rFonts w:cs="Arial"/>
          <w:szCs w:val="22"/>
        </w:rPr>
        <w:t xml:space="preserve"> electronic Reading Room at </w:t>
      </w:r>
      <w:hyperlink r:id="rId11" w:history="1">
        <w:r w:rsidRPr="006B0C6A">
          <w:rPr>
            <w:rStyle w:val="Hyperlink"/>
            <w:rFonts w:cs="Arial"/>
            <w:szCs w:val="22"/>
          </w:rPr>
          <w:t>http://www.nrc.gov/reading-rm/adams.html</w:t>
        </w:r>
      </w:hyperlink>
      <w:r w:rsidRPr="006B0C6A">
        <w:rPr>
          <w:rFonts w:cs="Arial"/>
          <w:szCs w:val="22"/>
        </w:rPr>
        <w:t xml:space="preserve">.  From this page, the public can gain entry into </w:t>
      </w:r>
      <w:r w:rsidR="00AE106A" w:rsidRPr="006B0C6A">
        <w:rPr>
          <w:rFonts w:eastAsiaTheme="minorHAnsi" w:cs="Arial"/>
          <w:szCs w:val="22"/>
        </w:rPr>
        <w:t>Agencywide Documents Access and Management System (ADAMS)</w:t>
      </w:r>
      <w:r w:rsidRPr="006B0C6A">
        <w:rPr>
          <w:rFonts w:cs="Arial"/>
          <w:szCs w:val="22"/>
        </w:rPr>
        <w:t>, which provides text and image files of NRC's public documents.  Comments were received from the following individuals or groups:</w:t>
      </w:r>
    </w:p>
    <w:p w:rsidR="00C8736B" w:rsidRPr="006B0C6A" w:rsidRDefault="00C8736B" w:rsidP="00475ABA">
      <w:pPr>
        <w:rPr>
          <w:rFonts w:cs="Arial"/>
          <w:szCs w:val="22"/>
        </w:rPr>
      </w:pPr>
    </w:p>
    <w:tbl>
      <w:tblPr>
        <w:tblW w:w="9361" w:type="dxa"/>
        <w:jc w:val="center"/>
        <w:tblInd w:w="-11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68"/>
        <w:gridCol w:w="1710"/>
        <w:gridCol w:w="2604"/>
        <w:gridCol w:w="2160"/>
        <w:gridCol w:w="1619"/>
      </w:tblGrid>
      <w:tr w:rsidR="00C8736B" w:rsidRPr="006B0C6A" w:rsidTr="009C142C">
        <w:trPr>
          <w:trHeight w:val="255"/>
          <w:jc w:val="center"/>
        </w:trPr>
        <w:tc>
          <w:tcPr>
            <w:tcW w:w="1268" w:type="dxa"/>
            <w:shd w:val="clear" w:color="auto" w:fill="auto"/>
            <w:noWrap/>
            <w:vAlign w:val="bottom"/>
          </w:tcPr>
          <w:p w:rsidR="00C8736B" w:rsidRPr="006B0C6A" w:rsidRDefault="00C8736B" w:rsidP="00475ABA">
            <w:pPr>
              <w:jc w:val="center"/>
              <w:rPr>
                <w:rFonts w:cs="Arial"/>
                <w:b/>
                <w:bCs/>
                <w:szCs w:val="22"/>
              </w:rPr>
            </w:pPr>
            <w:r w:rsidRPr="006B0C6A">
              <w:rPr>
                <w:rFonts w:cs="Arial"/>
                <w:b/>
                <w:bCs/>
                <w:szCs w:val="22"/>
              </w:rPr>
              <w:t>Letter No.</w:t>
            </w:r>
          </w:p>
        </w:tc>
        <w:tc>
          <w:tcPr>
            <w:tcW w:w="1710" w:type="dxa"/>
            <w:vAlign w:val="bottom"/>
          </w:tcPr>
          <w:p w:rsidR="00C8736B" w:rsidRPr="006B0C6A" w:rsidRDefault="00C8736B" w:rsidP="00475ABA">
            <w:pPr>
              <w:jc w:val="center"/>
              <w:rPr>
                <w:rFonts w:cs="Arial"/>
                <w:b/>
                <w:bCs/>
                <w:szCs w:val="22"/>
              </w:rPr>
            </w:pPr>
            <w:r w:rsidRPr="006B0C6A">
              <w:rPr>
                <w:rFonts w:cs="Arial"/>
                <w:b/>
                <w:bCs/>
                <w:szCs w:val="22"/>
              </w:rPr>
              <w:t>ADAMS No.</w:t>
            </w:r>
          </w:p>
        </w:tc>
        <w:tc>
          <w:tcPr>
            <w:tcW w:w="2604" w:type="dxa"/>
            <w:shd w:val="clear" w:color="auto" w:fill="auto"/>
            <w:noWrap/>
            <w:vAlign w:val="bottom"/>
          </w:tcPr>
          <w:p w:rsidR="00C8736B" w:rsidRPr="006B0C6A" w:rsidRDefault="00C8736B" w:rsidP="00475ABA">
            <w:pPr>
              <w:rPr>
                <w:rFonts w:cs="Arial"/>
                <w:b/>
                <w:bCs/>
                <w:szCs w:val="22"/>
              </w:rPr>
            </w:pPr>
            <w:r w:rsidRPr="006B0C6A">
              <w:rPr>
                <w:rFonts w:cs="Arial"/>
                <w:b/>
                <w:bCs/>
                <w:szCs w:val="22"/>
              </w:rPr>
              <w:t>Commenter Affiliation</w:t>
            </w:r>
          </w:p>
        </w:tc>
        <w:tc>
          <w:tcPr>
            <w:tcW w:w="2160" w:type="dxa"/>
            <w:shd w:val="clear" w:color="auto" w:fill="auto"/>
            <w:noWrap/>
            <w:vAlign w:val="bottom"/>
          </w:tcPr>
          <w:p w:rsidR="00C8736B" w:rsidRPr="006B0C6A" w:rsidRDefault="00C8736B" w:rsidP="00475ABA">
            <w:pPr>
              <w:rPr>
                <w:rFonts w:cs="Arial"/>
                <w:b/>
                <w:bCs/>
                <w:szCs w:val="22"/>
              </w:rPr>
            </w:pPr>
            <w:r w:rsidRPr="006B0C6A">
              <w:rPr>
                <w:rFonts w:cs="Arial"/>
                <w:b/>
                <w:bCs/>
                <w:szCs w:val="22"/>
              </w:rPr>
              <w:t>Commenter Name</w:t>
            </w:r>
          </w:p>
        </w:tc>
        <w:tc>
          <w:tcPr>
            <w:tcW w:w="1619" w:type="dxa"/>
            <w:vAlign w:val="bottom"/>
          </w:tcPr>
          <w:p w:rsidR="00C8736B" w:rsidRPr="006B0C6A" w:rsidRDefault="00C8736B" w:rsidP="00475ABA">
            <w:pPr>
              <w:rPr>
                <w:rFonts w:cs="Arial"/>
                <w:b/>
                <w:bCs/>
                <w:szCs w:val="22"/>
              </w:rPr>
            </w:pPr>
            <w:r w:rsidRPr="006B0C6A">
              <w:rPr>
                <w:rFonts w:cs="Arial"/>
                <w:b/>
                <w:bCs/>
                <w:szCs w:val="22"/>
              </w:rPr>
              <w:t>Abbreviation</w:t>
            </w:r>
          </w:p>
        </w:tc>
      </w:tr>
      <w:tr w:rsidR="00C8736B" w:rsidRPr="006B0C6A" w:rsidTr="009C142C">
        <w:trPr>
          <w:trHeight w:val="255"/>
          <w:jc w:val="center"/>
        </w:trPr>
        <w:tc>
          <w:tcPr>
            <w:tcW w:w="1268" w:type="dxa"/>
            <w:shd w:val="clear" w:color="auto" w:fill="auto"/>
            <w:noWrap/>
            <w:vAlign w:val="bottom"/>
          </w:tcPr>
          <w:p w:rsidR="00C8736B" w:rsidRPr="006B0C6A" w:rsidRDefault="00C8736B" w:rsidP="00475ABA">
            <w:pPr>
              <w:jc w:val="center"/>
              <w:rPr>
                <w:rFonts w:cs="Arial"/>
                <w:szCs w:val="22"/>
              </w:rPr>
            </w:pPr>
            <w:r w:rsidRPr="006B0C6A">
              <w:rPr>
                <w:rFonts w:cs="Arial"/>
                <w:szCs w:val="22"/>
              </w:rPr>
              <w:t>1</w:t>
            </w:r>
          </w:p>
        </w:tc>
        <w:tc>
          <w:tcPr>
            <w:tcW w:w="1710" w:type="dxa"/>
            <w:vAlign w:val="bottom"/>
          </w:tcPr>
          <w:p w:rsidR="00C8736B" w:rsidRPr="006B0C6A" w:rsidRDefault="00C8736B" w:rsidP="00475ABA">
            <w:pPr>
              <w:jc w:val="center"/>
              <w:rPr>
                <w:rFonts w:cs="Arial"/>
                <w:szCs w:val="22"/>
              </w:rPr>
            </w:pPr>
            <w:r w:rsidRPr="006B0C6A">
              <w:rPr>
                <w:rFonts w:eastAsiaTheme="minorHAnsi" w:cs="Arial"/>
                <w:szCs w:val="22"/>
              </w:rPr>
              <w:t>ML14281A266</w:t>
            </w:r>
          </w:p>
        </w:tc>
        <w:tc>
          <w:tcPr>
            <w:tcW w:w="2604" w:type="dxa"/>
            <w:shd w:val="clear" w:color="auto" w:fill="auto"/>
            <w:noWrap/>
            <w:vAlign w:val="bottom"/>
          </w:tcPr>
          <w:p w:rsidR="00C8736B" w:rsidRPr="006B0C6A" w:rsidRDefault="00C8736B" w:rsidP="00475ABA">
            <w:pPr>
              <w:rPr>
                <w:rFonts w:cs="Arial"/>
                <w:szCs w:val="22"/>
              </w:rPr>
            </w:pPr>
            <w:r w:rsidRPr="006B0C6A">
              <w:rPr>
                <w:rFonts w:cs="Arial"/>
                <w:szCs w:val="22"/>
              </w:rPr>
              <w:t>No Known Affiliation</w:t>
            </w:r>
          </w:p>
        </w:tc>
        <w:tc>
          <w:tcPr>
            <w:tcW w:w="2160" w:type="dxa"/>
            <w:shd w:val="clear" w:color="auto" w:fill="auto"/>
            <w:noWrap/>
            <w:vAlign w:val="bottom"/>
          </w:tcPr>
          <w:p w:rsidR="00C8736B" w:rsidRPr="006B0C6A" w:rsidRDefault="00C8736B" w:rsidP="00475ABA">
            <w:pPr>
              <w:rPr>
                <w:rFonts w:cs="Arial"/>
                <w:szCs w:val="22"/>
              </w:rPr>
            </w:pPr>
            <w:r w:rsidRPr="006B0C6A">
              <w:rPr>
                <w:rFonts w:cs="Arial"/>
                <w:szCs w:val="22"/>
              </w:rPr>
              <w:t>Stephen McDuffie</w:t>
            </w:r>
          </w:p>
        </w:tc>
        <w:tc>
          <w:tcPr>
            <w:tcW w:w="1619" w:type="dxa"/>
            <w:vAlign w:val="bottom"/>
          </w:tcPr>
          <w:p w:rsidR="00C8736B" w:rsidRPr="006B0C6A" w:rsidRDefault="00C8736B" w:rsidP="00475ABA">
            <w:pPr>
              <w:rPr>
                <w:rFonts w:cs="Arial"/>
                <w:szCs w:val="22"/>
              </w:rPr>
            </w:pPr>
            <w:r w:rsidRPr="006B0C6A">
              <w:rPr>
                <w:rFonts w:cs="Arial"/>
                <w:szCs w:val="22"/>
              </w:rPr>
              <w:t>SMcDuffie</w:t>
            </w:r>
          </w:p>
        </w:tc>
      </w:tr>
      <w:tr w:rsidR="00C8736B" w:rsidRPr="006B0C6A" w:rsidTr="009C142C">
        <w:trPr>
          <w:trHeight w:val="255"/>
          <w:jc w:val="center"/>
        </w:trPr>
        <w:tc>
          <w:tcPr>
            <w:tcW w:w="1268" w:type="dxa"/>
            <w:shd w:val="clear" w:color="auto" w:fill="auto"/>
            <w:noWrap/>
            <w:vAlign w:val="bottom"/>
          </w:tcPr>
          <w:p w:rsidR="00C8736B" w:rsidRPr="006B0C6A" w:rsidRDefault="00C8736B" w:rsidP="00475ABA">
            <w:pPr>
              <w:jc w:val="center"/>
              <w:rPr>
                <w:rFonts w:cs="Arial"/>
                <w:szCs w:val="22"/>
              </w:rPr>
            </w:pPr>
            <w:r w:rsidRPr="006B0C6A">
              <w:rPr>
                <w:rFonts w:cs="Arial"/>
                <w:szCs w:val="22"/>
              </w:rPr>
              <w:t>2</w:t>
            </w:r>
          </w:p>
        </w:tc>
        <w:tc>
          <w:tcPr>
            <w:tcW w:w="1710" w:type="dxa"/>
            <w:vAlign w:val="bottom"/>
          </w:tcPr>
          <w:p w:rsidR="00C8736B" w:rsidRPr="006B0C6A" w:rsidRDefault="007914F8" w:rsidP="00475ABA">
            <w:pPr>
              <w:jc w:val="center"/>
              <w:rPr>
                <w:rFonts w:cs="Arial"/>
                <w:szCs w:val="22"/>
              </w:rPr>
            </w:pPr>
            <w:r w:rsidRPr="006B0C6A">
              <w:rPr>
                <w:rFonts w:cs="Arial"/>
                <w:szCs w:val="22"/>
              </w:rPr>
              <w:t>ML14316A411</w:t>
            </w:r>
          </w:p>
        </w:tc>
        <w:tc>
          <w:tcPr>
            <w:tcW w:w="2604" w:type="dxa"/>
            <w:shd w:val="clear" w:color="auto" w:fill="auto"/>
            <w:noWrap/>
            <w:vAlign w:val="bottom"/>
          </w:tcPr>
          <w:p w:rsidR="00C8736B" w:rsidRPr="006B0C6A" w:rsidRDefault="00C8736B" w:rsidP="00475ABA">
            <w:pPr>
              <w:rPr>
                <w:rFonts w:cs="Arial"/>
                <w:szCs w:val="22"/>
              </w:rPr>
            </w:pPr>
            <w:r w:rsidRPr="006B0C6A">
              <w:rPr>
                <w:rFonts w:cs="Arial"/>
                <w:szCs w:val="22"/>
              </w:rPr>
              <w:t xml:space="preserve">Nuclear Energy Institute </w:t>
            </w:r>
          </w:p>
        </w:tc>
        <w:tc>
          <w:tcPr>
            <w:tcW w:w="2160" w:type="dxa"/>
            <w:shd w:val="clear" w:color="auto" w:fill="auto"/>
            <w:noWrap/>
            <w:vAlign w:val="bottom"/>
          </w:tcPr>
          <w:p w:rsidR="00C8736B" w:rsidRPr="006B0C6A" w:rsidRDefault="00C8736B" w:rsidP="00475ABA">
            <w:pPr>
              <w:rPr>
                <w:rFonts w:cs="Arial"/>
                <w:szCs w:val="22"/>
              </w:rPr>
            </w:pPr>
            <w:r w:rsidRPr="006B0C6A">
              <w:rPr>
                <w:rFonts w:cs="Arial"/>
                <w:szCs w:val="22"/>
              </w:rPr>
              <w:t>Janet R. Schlueter</w:t>
            </w:r>
          </w:p>
        </w:tc>
        <w:tc>
          <w:tcPr>
            <w:tcW w:w="1619" w:type="dxa"/>
            <w:vAlign w:val="bottom"/>
          </w:tcPr>
          <w:p w:rsidR="00C8736B" w:rsidRPr="006B0C6A" w:rsidRDefault="00C8736B" w:rsidP="00475ABA">
            <w:pPr>
              <w:rPr>
                <w:rFonts w:cs="Arial"/>
                <w:szCs w:val="22"/>
              </w:rPr>
            </w:pPr>
            <w:r w:rsidRPr="006B0C6A">
              <w:rPr>
                <w:rFonts w:cs="Arial"/>
                <w:szCs w:val="22"/>
              </w:rPr>
              <w:t>NEI</w:t>
            </w:r>
          </w:p>
        </w:tc>
      </w:tr>
    </w:tbl>
    <w:p w:rsidR="00C8736B" w:rsidRPr="006B0C6A" w:rsidRDefault="00C8736B" w:rsidP="00475ABA">
      <w:pPr>
        <w:rPr>
          <w:rFonts w:cs="Arial"/>
          <w:szCs w:val="22"/>
        </w:rPr>
      </w:pPr>
    </w:p>
    <w:p w:rsidR="00C8736B" w:rsidRPr="006B0C6A" w:rsidRDefault="00C8736B" w:rsidP="00475ABA">
      <w:pPr>
        <w:rPr>
          <w:rFonts w:cs="Arial"/>
          <w:szCs w:val="22"/>
        </w:rPr>
      </w:pPr>
      <w:r w:rsidRPr="006B0C6A">
        <w:rPr>
          <w:rFonts w:cs="Arial"/>
          <w:szCs w:val="22"/>
        </w:rPr>
        <w:t>This document lists each public comment by Lette</w:t>
      </w:r>
      <w:r w:rsidR="00254482" w:rsidRPr="006B0C6A">
        <w:rPr>
          <w:rFonts w:cs="Arial"/>
          <w:szCs w:val="22"/>
        </w:rPr>
        <w:t xml:space="preserve">r No.  For each comment, the NRC </w:t>
      </w:r>
      <w:r w:rsidRPr="006B0C6A">
        <w:rPr>
          <w:rFonts w:cs="Arial"/>
          <w:szCs w:val="22"/>
        </w:rPr>
        <w:t xml:space="preserve">has either repeated the comment as written by </w:t>
      </w:r>
      <w:r w:rsidR="00254482" w:rsidRPr="006B0C6A">
        <w:rPr>
          <w:rFonts w:cs="Arial"/>
          <w:szCs w:val="22"/>
        </w:rPr>
        <w:t xml:space="preserve">the commenter or summarized the comment for </w:t>
      </w:r>
      <w:r w:rsidRPr="006B0C6A">
        <w:rPr>
          <w:rFonts w:cs="Arial"/>
          <w:szCs w:val="22"/>
        </w:rPr>
        <w:t xml:space="preserve">conciseness and clarity. </w:t>
      </w:r>
      <w:r w:rsidR="00254482" w:rsidRPr="006B0C6A">
        <w:rPr>
          <w:rFonts w:cs="Arial"/>
          <w:szCs w:val="22"/>
        </w:rPr>
        <w:t xml:space="preserve"> </w:t>
      </w:r>
      <w:r w:rsidRPr="006B0C6A">
        <w:rPr>
          <w:rFonts w:cs="Arial"/>
          <w:szCs w:val="22"/>
        </w:rPr>
        <w:t xml:space="preserve">Each comment is referred to in the form [XXX]-[YYY]-[ZZZ], where: [XXX] represents the </w:t>
      </w:r>
      <w:r w:rsidR="007C7CB1" w:rsidRPr="006B0C6A">
        <w:rPr>
          <w:rFonts w:cs="Arial"/>
          <w:szCs w:val="22"/>
        </w:rPr>
        <w:t>A</w:t>
      </w:r>
      <w:r w:rsidRPr="006B0C6A">
        <w:rPr>
          <w:rFonts w:cs="Arial"/>
          <w:szCs w:val="22"/>
        </w:rPr>
        <w:t>bbreviat</w:t>
      </w:r>
      <w:r w:rsidR="00254482" w:rsidRPr="006B0C6A">
        <w:rPr>
          <w:rFonts w:cs="Arial"/>
          <w:szCs w:val="22"/>
        </w:rPr>
        <w:t xml:space="preserve">ion from the above table, [YYY] </w:t>
      </w:r>
      <w:r w:rsidRPr="006B0C6A">
        <w:rPr>
          <w:rFonts w:cs="Arial"/>
          <w:szCs w:val="22"/>
        </w:rPr>
        <w:t xml:space="preserve">represents the Letter No. from the above table, and </w:t>
      </w:r>
      <w:r w:rsidR="00254482" w:rsidRPr="006B0C6A">
        <w:rPr>
          <w:rFonts w:cs="Arial"/>
          <w:szCs w:val="22"/>
        </w:rPr>
        <w:t xml:space="preserve">[ZZZ] represents the sequential </w:t>
      </w:r>
      <w:r w:rsidRPr="006B0C6A">
        <w:rPr>
          <w:rFonts w:cs="Arial"/>
          <w:szCs w:val="22"/>
        </w:rPr>
        <w:t>comment number from that commenter.</w:t>
      </w:r>
    </w:p>
    <w:p w:rsidR="00071363" w:rsidRPr="006B0C6A" w:rsidRDefault="00071363" w:rsidP="00475ABA">
      <w:pPr>
        <w:rPr>
          <w:rFonts w:cs="Arial"/>
          <w:szCs w:val="22"/>
        </w:rPr>
      </w:pPr>
    </w:p>
    <w:p w:rsidR="00071363" w:rsidRPr="006B0C6A" w:rsidRDefault="00071363" w:rsidP="00475ABA">
      <w:pPr>
        <w:rPr>
          <w:rFonts w:cs="Arial"/>
          <w:i/>
          <w:szCs w:val="22"/>
          <w:u w:val="single"/>
        </w:rPr>
      </w:pPr>
      <w:r w:rsidRPr="006B0C6A">
        <w:rPr>
          <w:rFonts w:cs="Arial"/>
          <w:i/>
          <w:szCs w:val="22"/>
          <w:u w:val="single"/>
        </w:rPr>
        <w:t>SMcDuffie 1-1</w:t>
      </w:r>
    </w:p>
    <w:p w:rsidR="00071363" w:rsidRPr="006B0C6A" w:rsidRDefault="00071363" w:rsidP="00475ABA">
      <w:pPr>
        <w:rPr>
          <w:rFonts w:cs="Arial"/>
          <w:i/>
          <w:szCs w:val="22"/>
          <w:u w:val="single"/>
        </w:rPr>
      </w:pPr>
    </w:p>
    <w:p w:rsidR="00071363" w:rsidRPr="006B0C6A" w:rsidRDefault="00071363" w:rsidP="00475ABA">
      <w:pPr>
        <w:rPr>
          <w:rFonts w:cs="Arial"/>
          <w:szCs w:val="22"/>
        </w:rPr>
      </w:pPr>
      <w:r w:rsidRPr="006B0C6A">
        <w:rPr>
          <w:rFonts w:cs="Arial"/>
          <w:szCs w:val="22"/>
        </w:rPr>
        <w:t>The fourth paragraph of the discussion section of the document refers to updated seismic hazard information from the U.S. Geological Survey</w:t>
      </w:r>
      <w:r w:rsidR="00391B30">
        <w:rPr>
          <w:rFonts w:cs="Arial"/>
          <w:szCs w:val="22"/>
        </w:rPr>
        <w:t xml:space="preserve"> (USGS)</w:t>
      </w:r>
      <w:r w:rsidRPr="006B0C6A">
        <w:rPr>
          <w:rFonts w:cs="Arial"/>
          <w:szCs w:val="22"/>
        </w:rPr>
        <w:t>.</w:t>
      </w:r>
      <w:r w:rsidR="007C7CB1" w:rsidRPr="006B0C6A">
        <w:rPr>
          <w:rFonts w:cs="Arial"/>
          <w:szCs w:val="22"/>
        </w:rPr>
        <w:t xml:space="preserve"> </w:t>
      </w:r>
      <w:r w:rsidRPr="006B0C6A">
        <w:rPr>
          <w:rFonts w:cs="Arial"/>
          <w:szCs w:val="22"/>
        </w:rPr>
        <w:t xml:space="preserve"> Presumably, this means either the 2008 or 2014 updates to the USGS National Seismic Hazard Map (NSHM). </w:t>
      </w:r>
      <w:r w:rsidR="007C7CB1" w:rsidRPr="006B0C6A">
        <w:rPr>
          <w:rFonts w:cs="Arial"/>
          <w:szCs w:val="22"/>
        </w:rPr>
        <w:t xml:space="preserve"> </w:t>
      </w:r>
      <w:r w:rsidR="00391B30">
        <w:rPr>
          <w:rFonts w:cs="Arial"/>
          <w:szCs w:val="22"/>
        </w:rPr>
        <w:t>Given that this g</w:t>
      </w:r>
      <w:r w:rsidR="006737F2">
        <w:rPr>
          <w:rFonts w:cs="Arial"/>
          <w:szCs w:val="22"/>
        </w:rPr>
        <w:t xml:space="preserve">eneric </w:t>
      </w:r>
      <w:r w:rsidR="00391B30">
        <w:rPr>
          <w:rFonts w:cs="Arial"/>
          <w:szCs w:val="22"/>
        </w:rPr>
        <w:t>l</w:t>
      </w:r>
      <w:r w:rsidRPr="006B0C6A">
        <w:rPr>
          <w:rFonts w:cs="Arial"/>
          <w:szCs w:val="22"/>
        </w:rPr>
        <w:t xml:space="preserve">etter is directed at nuclear facilities, was consideration given to instead referring to the updated seismic source characterization provided in 2012 by the </w:t>
      </w:r>
      <w:r w:rsidR="00391B30">
        <w:rPr>
          <w:rFonts w:cs="Arial"/>
          <w:szCs w:val="22"/>
        </w:rPr>
        <w:t>“</w:t>
      </w:r>
      <w:r w:rsidRPr="006B0C6A">
        <w:rPr>
          <w:rFonts w:cs="Arial"/>
          <w:szCs w:val="22"/>
        </w:rPr>
        <w:t>Central and Eastern United States Seismic Source Characterization for Nuclear Facilities</w:t>
      </w:r>
      <w:r w:rsidR="00BB6B3D">
        <w:rPr>
          <w:rFonts w:cs="Arial"/>
          <w:szCs w:val="22"/>
        </w:rPr>
        <w:t>,</w:t>
      </w:r>
      <w:r w:rsidR="00391B30">
        <w:rPr>
          <w:rFonts w:cs="Arial"/>
          <w:szCs w:val="22"/>
        </w:rPr>
        <w:t>”</w:t>
      </w:r>
      <w:r w:rsidRPr="006B0C6A">
        <w:rPr>
          <w:rFonts w:cs="Arial"/>
          <w:szCs w:val="22"/>
        </w:rPr>
        <w:t xml:space="preserve"> NUREG-2115</w:t>
      </w:r>
      <w:r w:rsidR="00391B30">
        <w:rPr>
          <w:rFonts w:cs="Arial"/>
          <w:szCs w:val="22"/>
        </w:rPr>
        <w:t xml:space="preserve"> (CEUS-SSC)</w:t>
      </w:r>
      <w:r w:rsidRPr="006B0C6A">
        <w:rPr>
          <w:rFonts w:cs="Arial"/>
          <w:szCs w:val="22"/>
        </w:rPr>
        <w:t xml:space="preserve">? </w:t>
      </w:r>
      <w:r w:rsidR="007C7CB1" w:rsidRPr="006B0C6A">
        <w:rPr>
          <w:rFonts w:cs="Arial"/>
          <w:szCs w:val="22"/>
        </w:rPr>
        <w:t xml:space="preserve"> </w:t>
      </w:r>
      <w:r w:rsidRPr="006B0C6A">
        <w:rPr>
          <w:rFonts w:cs="Arial"/>
          <w:szCs w:val="22"/>
        </w:rPr>
        <w:t xml:space="preserve">The facilities targeted in this Generic Letter presumably have a number of Structures, Systems, and Components (SSCs) that would be categorized as Seismic Design Category (SDC) 2 or 3 per the categorization scheme of ANSI/ANS-2.26-2004 (R2010), </w:t>
      </w:r>
      <w:r w:rsidR="00391B30">
        <w:rPr>
          <w:rFonts w:cs="Arial"/>
          <w:szCs w:val="22"/>
        </w:rPr>
        <w:t>“</w:t>
      </w:r>
      <w:r w:rsidRPr="006B0C6A">
        <w:rPr>
          <w:rFonts w:cs="Arial"/>
          <w:szCs w:val="22"/>
        </w:rPr>
        <w:t>Categorization of Nuclear Facility Structures, Systems, and Components for Seismic Design.</w:t>
      </w:r>
      <w:r w:rsidR="00391B30">
        <w:rPr>
          <w:rFonts w:cs="Arial"/>
          <w:szCs w:val="22"/>
        </w:rPr>
        <w:t>”</w:t>
      </w:r>
      <w:r w:rsidRPr="006B0C6A">
        <w:rPr>
          <w:rFonts w:cs="Arial"/>
          <w:szCs w:val="22"/>
        </w:rPr>
        <w:t xml:space="preserve"> </w:t>
      </w:r>
      <w:r w:rsidR="007C7CB1" w:rsidRPr="006B0C6A">
        <w:rPr>
          <w:rFonts w:cs="Arial"/>
          <w:szCs w:val="22"/>
        </w:rPr>
        <w:t xml:space="preserve"> </w:t>
      </w:r>
      <w:r w:rsidRPr="006B0C6A">
        <w:rPr>
          <w:rFonts w:cs="Arial"/>
          <w:szCs w:val="22"/>
        </w:rPr>
        <w:t>Although ANS-2.26 Table A.2 recommends using the USGS 2500-year return period ground motion for SDC-2 SSCs, SDC-3 SSCs should use a site-specific uniform hazard response spectrum at the 4E-4 annual frequency of exceedance for the design basis ground motion.</w:t>
      </w:r>
      <w:r w:rsidR="007C7CB1" w:rsidRPr="006B0C6A">
        <w:rPr>
          <w:rFonts w:cs="Arial"/>
          <w:szCs w:val="22"/>
        </w:rPr>
        <w:t xml:space="preserve"> </w:t>
      </w:r>
      <w:r w:rsidRPr="006B0C6A">
        <w:rPr>
          <w:rFonts w:cs="Arial"/>
          <w:szCs w:val="22"/>
        </w:rPr>
        <w:t xml:space="preserve"> Applying the CEUS-SSC model would meet this standard for SDC-3 SSCs.</w:t>
      </w:r>
    </w:p>
    <w:p w:rsidR="00071363" w:rsidRPr="006B0C6A" w:rsidRDefault="00071363" w:rsidP="00475ABA">
      <w:pPr>
        <w:rPr>
          <w:rFonts w:cs="Arial"/>
          <w:szCs w:val="22"/>
        </w:rPr>
      </w:pPr>
    </w:p>
    <w:p w:rsidR="00071363" w:rsidRPr="006B0C6A" w:rsidRDefault="00071363" w:rsidP="00475ABA">
      <w:pPr>
        <w:rPr>
          <w:rFonts w:cs="Arial"/>
          <w:szCs w:val="22"/>
          <w:u w:val="single"/>
        </w:rPr>
      </w:pPr>
      <w:r w:rsidRPr="006B0C6A">
        <w:rPr>
          <w:rFonts w:cs="Arial"/>
          <w:szCs w:val="22"/>
          <w:u w:val="single"/>
        </w:rPr>
        <w:t>NRC Response</w:t>
      </w:r>
    </w:p>
    <w:p w:rsidR="00071363" w:rsidRPr="006B0C6A" w:rsidRDefault="00071363" w:rsidP="00475ABA">
      <w:pPr>
        <w:rPr>
          <w:rFonts w:cs="Arial"/>
          <w:szCs w:val="22"/>
          <w:u w:val="single"/>
        </w:rPr>
      </w:pPr>
    </w:p>
    <w:p w:rsidR="004E234F" w:rsidRPr="006B0C6A" w:rsidRDefault="002B2F8A" w:rsidP="00475ABA">
      <w:pPr>
        <w:pStyle w:val="Default"/>
        <w:rPr>
          <w:rFonts w:eastAsia="Times New Roman"/>
          <w:color w:val="auto"/>
          <w:sz w:val="22"/>
          <w:szCs w:val="22"/>
        </w:rPr>
      </w:pPr>
      <w:r w:rsidRPr="006B0C6A">
        <w:rPr>
          <w:rFonts w:eastAsia="Times New Roman"/>
          <w:color w:val="auto"/>
          <w:sz w:val="22"/>
          <w:szCs w:val="22"/>
        </w:rPr>
        <w:t xml:space="preserve">This comment is outside the scope of this generic letter.  No change was made to the final generic letter as a result of this comment.  </w:t>
      </w:r>
    </w:p>
    <w:p w:rsidR="004E234F" w:rsidRPr="006B0C6A" w:rsidRDefault="004E234F" w:rsidP="00475ABA">
      <w:pPr>
        <w:pStyle w:val="Default"/>
        <w:rPr>
          <w:rFonts w:eastAsia="Times New Roman"/>
          <w:color w:val="auto"/>
          <w:sz w:val="22"/>
          <w:szCs w:val="22"/>
        </w:rPr>
      </w:pPr>
    </w:p>
    <w:p w:rsidR="00865C71" w:rsidRPr="00344F4A" w:rsidRDefault="00344F4A" w:rsidP="00475ABA">
      <w:pPr>
        <w:pStyle w:val="Default"/>
        <w:rPr>
          <w:sz w:val="22"/>
          <w:szCs w:val="22"/>
        </w:rPr>
      </w:pPr>
      <w:r>
        <w:rPr>
          <w:sz w:val="22"/>
          <w:szCs w:val="22"/>
        </w:rPr>
        <w:t xml:space="preserve">The purpose of the draft generic letter is to request addressees to submit information to demonstrate compliance with the regulatory requirements and applicable license conditions regarding the treatment of natural phenomena events in the facilities’ safety assessments.  </w:t>
      </w:r>
      <w:r w:rsidR="009477A9">
        <w:rPr>
          <w:sz w:val="22"/>
          <w:szCs w:val="22"/>
        </w:rPr>
        <w:t xml:space="preserve"> In accordance with </w:t>
      </w:r>
      <w:r w:rsidR="008F4692">
        <w:rPr>
          <w:sz w:val="22"/>
          <w:szCs w:val="22"/>
        </w:rPr>
        <w:t xml:space="preserve">NRC process, guidance for how licensees may respond to a generic </w:t>
      </w:r>
      <w:r w:rsidR="008F4692">
        <w:rPr>
          <w:sz w:val="22"/>
          <w:szCs w:val="22"/>
        </w:rPr>
        <w:lastRenderedPageBreak/>
        <w:t xml:space="preserve">communication (i.e., reference to NUREG-2115) is not included in the communication itself.  NUREG-2115 is, however, available for licensees to use if they chose.  </w:t>
      </w:r>
      <w:r w:rsidR="00BB44E0" w:rsidRPr="00344F4A">
        <w:rPr>
          <w:sz w:val="22"/>
          <w:szCs w:val="22"/>
        </w:rPr>
        <w:t>The NRC will review the licensee’s</w:t>
      </w:r>
      <w:r w:rsidR="00A012B2" w:rsidRPr="00344F4A">
        <w:rPr>
          <w:sz w:val="22"/>
          <w:szCs w:val="22"/>
        </w:rPr>
        <w:t xml:space="preserve"> </w:t>
      </w:r>
      <w:r w:rsidR="00BB44E0" w:rsidRPr="00344F4A">
        <w:rPr>
          <w:sz w:val="22"/>
          <w:szCs w:val="22"/>
        </w:rPr>
        <w:t>responses to ensure that facilities are evaluating natural phenomena events consistent with applicable knowledge and methods to the characterization of site hazards.</w:t>
      </w:r>
      <w:r w:rsidR="000531DE" w:rsidRPr="00344F4A">
        <w:rPr>
          <w:sz w:val="22"/>
          <w:szCs w:val="22"/>
        </w:rPr>
        <w:t xml:space="preserve">  </w:t>
      </w:r>
    </w:p>
    <w:p w:rsidR="00BB44E0" w:rsidRPr="00344F4A" w:rsidRDefault="00BB44E0" w:rsidP="00475ABA">
      <w:pPr>
        <w:pStyle w:val="Default"/>
        <w:rPr>
          <w:sz w:val="22"/>
          <w:szCs w:val="22"/>
        </w:rPr>
      </w:pPr>
    </w:p>
    <w:p w:rsidR="00865C71" w:rsidRPr="00344F4A" w:rsidRDefault="00865C71" w:rsidP="00475ABA">
      <w:pPr>
        <w:rPr>
          <w:rFonts w:cs="Arial"/>
          <w:i/>
          <w:szCs w:val="22"/>
          <w:u w:val="single"/>
        </w:rPr>
      </w:pPr>
      <w:r w:rsidRPr="00344F4A">
        <w:rPr>
          <w:rFonts w:cs="Arial"/>
          <w:i/>
          <w:szCs w:val="22"/>
          <w:u w:val="single"/>
        </w:rPr>
        <w:t>SMcDuffie 1-2</w:t>
      </w:r>
    </w:p>
    <w:p w:rsidR="00865C71" w:rsidRPr="00344F4A" w:rsidRDefault="00865C71" w:rsidP="00475ABA">
      <w:pPr>
        <w:rPr>
          <w:rFonts w:cs="Arial"/>
          <w:szCs w:val="22"/>
        </w:rPr>
      </w:pPr>
    </w:p>
    <w:p w:rsidR="00AC5AAB" w:rsidRPr="006B0C6A" w:rsidRDefault="00325F9E" w:rsidP="00475ABA">
      <w:pPr>
        <w:autoSpaceDE w:val="0"/>
        <w:autoSpaceDN w:val="0"/>
        <w:adjustRightInd w:val="0"/>
        <w:rPr>
          <w:rFonts w:cs="Arial"/>
          <w:szCs w:val="22"/>
        </w:rPr>
      </w:pPr>
      <w:r w:rsidRPr="00344F4A">
        <w:rPr>
          <w:rFonts w:cs="Arial"/>
          <w:szCs w:val="22"/>
        </w:rPr>
        <w:t xml:space="preserve">Requested action </w:t>
      </w:r>
      <w:r w:rsidR="00865C71" w:rsidRPr="00344F4A">
        <w:rPr>
          <w:rFonts w:cs="Arial"/>
          <w:szCs w:val="22"/>
        </w:rPr>
        <w:t>1</w:t>
      </w:r>
      <w:r w:rsidRPr="00344F4A">
        <w:rPr>
          <w:rFonts w:cs="Arial"/>
          <w:szCs w:val="22"/>
        </w:rPr>
        <w:t xml:space="preserve">.a asks the addressees to submit their </w:t>
      </w:r>
      <w:r w:rsidR="00865C71" w:rsidRPr="00344F4A">
        <w:rPr>
          <w:rFonts w:cs="Arial"/>
          <w:szCs w:val="22"/>
        </w:rPr>
        <w:t xml:space="preserve">definitions of unlikely, highly </w:t>
      </w:r>
      <w:r w:rsidRPr="00344F4A">
        <w:rPr>
          <w:rFonts w:cs="Arial"/>
          <w:szCs w:val="22"/>
        </w:rPr>
        <w:t xml:space="preserve">unlikely, and credible for natural phenomena hazard events. </w:t>
      </w:r>
      <w:r w:rsidR="009172DA" w:rsidRPr="00344F4A">
        <w:rPr>
          <w:rFonts w:cs="Arial"/>
          <w:szCs w:val="22"/>
        </w:rPr>
        <w:t xml:space="preserve"> </w:t>
      </w:r>
      <w:r w:rsidRPr="00344F4A">
        <w:rPr>
          <w:rFonts w:cs="Arial"/>
          <w:szCs w:val="22"/>
        </w:rPr>
        <w:t>Why d</w:t>
      </w:r>
      <w:r w:rsidR="00865C71" w:rsidRPr="00344F4A">
        <w:rPr>
          <w:rFonts w:cs="Arial"/>
          <w:szCs w:val="22"/>
        </w:rPr>
        <w:t xml:space="preserve">oes not the NRC provide uniform definitions </w:t>
      </w:r>
      <w:r w:rsidRPr="00344F4A">
        <w:rPr>
          <w:rFonts w:cs="Arial"/>
          <w:szCs w:val="22"/>
        </w:rPr>
        <w:t xml:space="preserve">of these terms, i.e., annual expected frequencies such as 1E-2 for credible, 1E-3 </w:t>
      </w:r>
      <w:r w:rsidR="00865C71" w:rsidRPr="00344F4A">
        <w:rPr>
          <w:rFonts w:cs="Arial"/>
          <w:szCs w:val="22"/>
        </w:rPr>
        <w:t>for</w:t>
      </w:r>
      <w:r w:rsidR="00865C71" w:rsidRPr="006B0C6A">
        <w:rPr>
          <w:rFonts w:cs="Arial"/>
          <w:szCs w:val="22"/>
        </w:rPr>
        <w:t xml:space="preserve"> unlikely, and 1E-4 for </w:t>
      </w:r>
      <w:r w:rsidRPr="006B0C6A">
        <w:rPr>
          <w:rFonts w:cs="Arial"/>
          <w:szCs w:val="22"/>
        </w:rPr>
        <w:t xml:space="preserve">highly unlikely? </w:t>
      </w:r>
      <w:r w:rsidR="009172DA" w:rsidRPr="006B0C6A">
        <w:rPr>
          <w:rFonts w:cs="Arial"/>
          <w:szCs w:val="22"/>
        </w:rPr>
        <w:t xml:space="preserve"> </w:t>
      </w:r>
      <w:r w:rsidRPr="006B0C6A">
        <w:rPr>
          <w:rFonts w:cs="Arial"/>
          <w:szCs w:val="22"/>
        </w:rPr>
        <w:t xml:space="preserve">This should be the role of the regulator. </w:t>
      </w:r>
      <w:r w:rsidR="009172DA" w:rsidRPr="006B0C6A">
        <w:rPr>
          <w:rFonts w:cs="Arial"/>
          <w:szCs w:val="22"/>
        </w:rPr>
        <w:t xml:space="preserve"> </w:t>
      </w:r>
      <w:r w:rsidRPr="006B0C6A">
        <w:rPr>
          <w:rFonts w:cs="Arial"/>
          <w:szCs w:val="22"/>
        </w:rPr>
        <w:t>Varying definitions f</w:t>
      </w:r>
      <w:r w:rsidR="00865C71" w:rsidRPr="006B0C6A">
        <w:rPr>
          <w:rFonts w:cs="Arial"/>
          <w:szCs w:val="22"/>
        </w:rPr>
        <w:t xml:space="preserve">rom each licensee does not seem </w:t>
      </w:r>
      <w:r w:rsidRPr="006B0C6A">
        <w:rPr>
          <w:rFonts w:cs="Arial"/>
          <w:szCs w:val="22"/>
        </w:rPr>
        <w:t>sensible.</w:t>
      </w:r>
    </w:p>
    <w:p w:rsidR="00865C71" w:rsidRPr="006B0C6A" w:rsidRDefault="00865C71" w:rsidP="00475ABA">
      <w:pPr>
        <w:autoSpaceDE w:val="0"/>
        <w:autoSpaceDN w:val="0"/>
        <w:adjustRightInd w:val="0"/>
        <w:rPr>
          <w:rFonts w:cs="Arial"/>
          <w:szCs w:val="22"/>
        </w:rPr>
      </w:pPr>
    </w:p>
    <w:p w:rsidR="00865C71" w:rsidRPr="006B0C6A" w:rsidRDefault="00865C71" w:rsidP="00475ABA">
      <w:pPr>
        <w:autoSpaceDE w:val="0"/>
        <w:autoSpaceDN w:val="0"/>
        <w:adjustRightInd w:val="0"/>
        <w:rPr>
          <w:rFonts w:cs="Arial"/>
          <w:szCs w:val="22"/>
          <w:u w:val="single"/>
        </w:rPr>
      </w:pPr>
      <w:r w:rsidRPr="006B0C6A">
        <w:rPr>
          <w:rFonts w:cs="Arial"/>
          <w:szCs w:val="22"/>
          <w:u w:val="single"/>
        </w:rPr>
        <w:t>NRC Response</w:t>
      </w:r>
    </w:p>
    <w:p w:rsidR="00865C71" w:rsidRPr="006B0C6A" w:rsidRDefault="00865C71" w:rsidP="00475ABA">
      <w:pPr>
        <w:autoSpaceDE w:val="0"/>
        <w:autoSpaceDN w:val="0"/>
        <w:adjustRightInd w:val="0"/>
        <w:rPr>
          <w:rFonts w:cs="Arial"/>
          <w:szCs w:val="22"/>
          <w:u w:val="single"/>
        </w:rPr>
      </w:pPr>
    </w:p>
    <w:p w:rsidR="00AD68C6" w:rsidRPr="006B0C6A" w:rsidRDefault="00391B30" w:rsidP="00475ABA">
      <w:pPr>
        <w:autoSpaceDE w:val="0"/>
        <w:autoSpaceDN w:val="0"/>
        <w:adjustRightInd w:val="0"/>
        <w:rPr>
          <w:rFonts w:cs="Arial"/>
          <w:szCs w:val="22"/>
        </w:rPr>
      </w:pPr>
      <w:r>
        <w:rPr>
          <w:rFonts w:eastAsiaTheme="minorHAnsi" w:cs="Arial"/>
          <w:color w:val="000000"/>
          <w:szCs w:val="22"/>
        </w:rPr>
        <w:t xml:space="preserve">The </w:t>
      </w:r>
      <w:r w:rsidR="009A2293" w:rsidRPr="006B0C6A">
        <w:rPr>
          <w:rFonts w:eastAsiaTheme="minorHAnsi" w:cs="Arial"/>
          <w:color w:val="000000"/>
          <w:szCs w:val="22"/>
        </w:rPr>
        <w:t>NRC disagrees with the comment.</w:t>
      </w:r>
      <w:r w:rsidR="00865C71" w:rsidRPr="006B0C6A">
        <w:rPr>
          <w:rFonts w:cs="Arial"/>
          <w:szCs w:val="22"/>
        </w:rPr>
        <w:t xml:space="preserve">  No change was made to the final generic letter as a result of this comment.</w:t>
      </w:r>
      <w:r w:rsidR="00F1604B" w:rsidRPr="006B0C6A">
        <w:rPr>
          <w:rFonts w:cs="Arial"/>
          <w:szCs w:val="22"/>
        </w:rPr>
        <w:t xml:space="preserve">  </w:t>
      </w:r>
    </w:p>
    <w:p w:rsidR="00AD68C6" w:rsidRPr="006B0C6A" w:rsidRDefault="00AD68C6" w:rsidP="00475ABA">
      <w:pPr>
        <w:autoSpaceDE w:val="0"/>
        <w:autoSpaceDN w:val="0"/>
        <w:adjustRightInd w:val="0"/>
        <w:rPr>
          <w:rFonts w:cs="Arial"/>
          <w:szCs w:val="22"/>
        </w:rPr>
      </w:pPr>
    </w:p>
    <w:p w:rsidR="00E41BE5" w:rsidRDefault="008F4692" w:rsidP="00475ABA">
      <w:pPr>
        <w:autoSpaceDE w:val="0"/>
        <w:autoSpaceDN w:val="0"/>
        <w:adjustRightInd w:val="0"/>
        <w:rPr>
          <w:rFonts w:eastAsiaTheme="minorHAnsi" w:cs="Arial"/>
          <w:szCs w:val="22"/>
        </w:rPr>
      </w:pPr>
      <w:r>
        <w:rPr>
          <w:rFonts w:eastAsiaTheme="minorHAnsi" w:cs="Arial"/>
          <w:szCs w:val="22"/>
        </w:rPr>
        <w:t xml:space="preserve">As explained in the Statements of Consideration for the </w:t>
      </w:r>
      <w:r w:rsidR="000B61EE">
        <w:rPr>
          <w:rFonts w:eastAsiaTheme="minorHAnsi" w:cs="Arial"/>
          <w:szCs w:val="22"/>
        </w:rPr>
        <w:t>10 CFR Part 70 final rule (56211 FR Vol. 65, No. 181, September 18, 2000)</w:t>
      </w:r>
      <w:r>
        <w:rPr>
          <w:rFonts w:eastAsiaTheme="minorHAnsi" w:cs="Arial"/>
          <w:szCs w:val="22"/>
        </w:rPr>
        <w:t xml:space="preserve"> </w:t>
      </w:r>
      <w:r w:rsidR="000B61EE">
        <w:rPr>
          <w:rFonts w:eastAsiaTheme="minorHAnsi" w:cs="Arial"/>
          <w:szCs w:val="22"/>
        </w:rPr>
        <w:t xml:space="preserve">the regulations in Part 70 apply to different types of fuel cycle facilities, some of which are more complex and have more accident sequences than other.  Since the application of the terms </w:t>
      </w:r>
      <w:r w:rsidR="00916533">
        <w:rPr>
          <w:rFonts w:eastAsiaTheme="minorHAnsi" w:cs="Arial"/>
          <w:szCs w:val="22"/>
        </w:rPr>
        <w:t>unlikely, highly unlikely</w:t>
      </w:r>
      <w:r w:rsidR="00BE27E6">
        <w:rPr>
          <w:rFonts w:eastAsiaTheme="minorHAnsi" w:cs="Arial"/>
          <w:szCs w:val="22"/>
        </w:rPr>
        <w:t>,</w:t>
      </w:r>
      <w:r w:rsidR="00916533">
        <w:rPr>
          <w:rFonts w:eastAsiaTheme="minorHAnsi" w:cs="Arial"/>
          <w:szCs w:val="22"/>
        </w:rPr>
        <w:t xml:space="preserve"> and credible</w:t>
      </w:r>
      <w:r w:rsidR="000B61EE">
        <w:rPr>
          <w:rFonts w:eastAsiaTheme="minorHAnsi" w:cs="Arial"/>
          <w:szCs w:val="22"/>
        </w:rPr>
        <w:t xml:space="preserve"> are specific to the individual context in which they are applied; definition of these terms in rule language is impracticable</w:t>
      </w:r>
      <w:r w:rsidR="00BE27E6">
        <w:rPr>
          <w:rFonts w:eastAsiaTheme="minorHAnsi" w:cs="Arial"/>
          <w:szCs w:val="22"/>
        </w:rPr>
        <w:t>.</w:t>
      </w:r>
    </w:p>
    <w:p w:rsidR="000B61EE" w:rsidRPr="006B0C6A" w:rsidRDefault="000B61EE" w:rsidP="00475ABA">
      <w:pPr>
        <w:autoSpaceDE w:val="0"/>
        <w:autoSpaceDN w:val="0"/>
        <w:adjustRightInd w:val="0"/>
        <w:rPr>
          <w:rFonts w:cs="Arial"/>
          <w:szCs w:val="22"/>
        </w:rPr>
      </w:pPr>
    </w:p>
    <w:p w:rsidR="00E41BE5" w:rsidRPr="006B0C6A" w:rsidRDefault="00E41BE5" w:rsidP="00475ABA">
      <w:pPr>
        <w:autoSpaceDE w:val="0"/>
        <w:autoSpaceDN w:val="0"/>
        <w:adjustRightInd w:val="0"/>
        <w:rPr>
          <w:rFonts w:cs="Arial"/>
          <w:i/>
          <w:szCs w:val="22"/>
          <w:u w:val="single"/>
        </w:rPr>
      </w:pPr>
      <w:r w:rsidRPr="006B0C6A">
        <w:rPr>
          <w:rFonts w:cs="Arial"/>
          <w:i/>
          <w:szCs w:val="22"/>
          <w:u w:val="single"/>
        </w:rPr>
        <w:t>NEI 2-1</w:t>
      </w:r>
    </w:p>
    <w:p w:rsidR="00E41BE5" w:rsidRPr="006B0C6A" w:rsidRDefault="00E41BE5" w:rsidP="00475ABA">
      <w:pPr>
        <w:autoSpaceDE w:val="0"/>
        <w:autoSpaceDN w:val="0"/>
        <w:adjustRightInd w:val="0"/>
        <w:rPr>
          <w:rFonts w:eastAsiaTheme="minorHAnsi" w:cs="Arial"/>
          <w:color w:val="000000"/>
          <w:szCs w:val="22"/>
        </w:rPr>
      </w:pPr>
      <w:r w:rsidRPr="006B0C6A">
        <w:rPr>
          <w:rFonts w:eastAsiaTheme="minorHAnsi" w:cs="Arial"/>
          <w:color w:val="000000"/>
          <w:szCs w:val="22"/>
        </w:rPr>
        <w:t xml:space="preserve"> </w:t>
      </w:r>
    </w:p>
    <w:p w:rsidR="00E41BE5" w:rsidRPr="006B0C6A" w:rsidRDefault="00E41BE5" w:rsidP="00475ABA">
      <w:pPr>
        <w:autoSpaceDE w:val="0"/>
        <w:autoSpaceDN w:val="0"/>
        <w:adjustRightInd w:val="0"/>
        <w:rPr>
          <w:rFonts w:eastAsiaTheme="minorHAnsi" w:cs="Arial"/>
          <w:color w:val="000000"/>
          <w:szCs w:val="22"/>
        </w:rPr>
      </w:pPr>
      <w:r w:rsidRPr="006B0C6A">
        <w:rPr>
          <w:rFonts w:eastAsiaTheme="minorHAnsi" w:cs="Arial"/>
          <w:color w:val="000000"/>
          <w:szCs w:val="22"/>
        </w:rPr>
        <w:t xml:space="preserve">Overall, the basis for the generic letter remains unclear given the small number of facilities affected by it and the following facts: 1) the facility-specific ISA, which consider NPH, were reviewed and accepted by NRC and the ISA Summaries are on the docket; 2) NRC has unfettered access to all facility information at any time to supplement its understanding of the ISA; and 3) NRC conducted relevant inspections in accordance with TI 2600/15 at operating facilities, which could be repeated as a less resource intensive alternative for collecting the requested information. </w:t>
      </w:r>
    </w:p>
    <w:p w:rsidR="00E41BE5" w:rsidRPr="006B0C6A" w:rsidRDefault="00E41BE5" w:rsidP="00475ABA">
      <w:pPr>
        <w:autoSpaceDE w:val="0"/>
        <w:autoSpaceDN w:val="0"/>
        <w:adjustRightInd w:val="0"/>
        <w:rPr>
          <w:rFonts w:eastAsiaTheme="minorHAnsi" w:cs="Arial"/>
          <w:color w:val="000000"/>
          <w:szCs w:val="22"/>
        </w:rPr>
      </w:pPr>
    </w:p>
    <w:p w:rsidR="00E41BE5" w:rsidRPr="006B0C6A" w:rsidRDefault="00E41BE5" w:rsidP="00475ABA">
      <w:pPr>
        <w:autoSpaceDE w:val="0"/>
        <w:autoSpaceDN w:val="0"/>
        <w:adjustRightInd w:val="0"/>
        <w:rPr>
          <w:rFonts w:eastAsiaTheme="minorHAnsi" w:cs="Arial"/>
          <w:color w:val="000000"/>
          <w:szCs w:val="22"/>
          <w:u w:val="single"/>
        </w:rPr>
      </w:pPr>
      <w:r w:rsidRPr="006B0C6A">
        <w:rPr>
          <w:rFonts w:eastAsiaTheme="minorHAnsi" w:cs="Arial"/>
          <w:color w:val="000000"/>
          <w:szCs w:val="22"/>
          <w:u w:val="single"/>
        </w:rPr>
        <w:t>NRC Response</w:t>
      </w:r>
    </w:p>
    <w:p w:rsidR="00E41BE5" w:rsidRPr="006B0C6A" w:rsidRDefault="00E41BE5" w:rsidP="00475ABA">
      <w:pPr>
        <w:autoSpaceDE w:val="0"/>
        <w:autoSpaceDN w:val="0"/>
        <w:adjustRightInd w:val="0"/>
        <w:rPr>
          <w:rFonts w:eastAsiaTheme="minorHAnsi" w:cs="Arial"/>
          <w:color w:val="000000"/>
          <w:szCs w:val="22"/>
          <w:u w:val="single"/>
        </w:rPr>
      </w:pPr>
    </w:p>
    <w:p w:rsidR="0001273E" w:rsidRPr="006B0C6A" w:rsidRDefault="00391B30" w:rsidP="00475ABA">
      <w:pPr>
        <w:autoSpaceDE w:val="0"/>
        <w:autoSpaceDN w:val="0"/>
        <w:adjustRightInd w:val="0"/>
        <w:rPr>
          <w:rFonts w:cs="Arial"/>
          <w:szCs w:val="22"/>
        </w:rPr>
      </w:pPr>
      <w:r>
        <w:rPr>
          <w:rFonts w:eastAsiaTheme="minorHAnsi" w:cs="Arial"/>
          <w:color w:val="000000"/>
          <w:szCs w:val="22"/>
        </w:rPr>
        <w:t xml:space="preserve">The </w:t>
      </w:r>
      <w:r w:rsidR="00E41BE5" w:rsidRPr="006B0C6A">
        <w:rPr>
          <w:rFonts w:eastAsiaTheme="minorHAnsi" w:cs="Arial"/>
          <w:color w:val="000000"/>
          <w:szCs w:val="22"/>
        </w:rPr>
        <w:t>NRC disagrees with the comment.</w:t>
      </w:r>
      <w:r w:rsidR="00FE5D80" w:rsidRPr="006B0C6A">
        <w:rPr>
          <w:rFonts w:eastAsiaTheme="minorHAnsi" w:cs="Arial"/>
          <w:color w:val="000000"/>
          <w:szCs w:val="22"/>
        </w:rPr>
        <w:t xml:space="preserve"> </w:t>
      </w:r>
      <w:r w:rsidR="00E41BE5" w:rsidRPr="006B0C6A">
        <w:rPr>
          <w:rFonts w:eastAsiaTheme="minorHAnsi" w:cs="Arial"/>
          <w:color w:val="000000"/>
          <w:szCs w:val="22"/>
        </w:rPr>
        <w:t xml:space="preserve"> </w:t>
      </w:r>
      <w:r w:rsidR="00FE5D80" w:rsidRPr="006B0C6A">
        <w:rPr>
          <w:rFonts w:cs="Arial"/>
          <w:szCs w:val="22"/>
        </w:rPr>
        <w:t>No change</w:t>
      </w:r>
      <w:r w:rsidR="002251B1" w:rsidRPr="006B0C6A">
        <w:rPr>
          <w:rFonts w:cs="Arial"/>
          <w:szCs w:val="22"/>
        </w:rPr>
        <w:t>s</w:t>
      </w:r>
      <w:r w:rsidR="00FE5D80" w:rsidRPr="006B0C6A">
        <w:rPr>
          <w:rFonts w:cs="Arial"/>
          <w:szCs w:val="22"/>
        </w:rPr>
        <w:t xml:space="preserve"> w</w:t>
      </w:r>
      <w:r w:rsidR="002251B1" w:rsidRPr="006B0C6A">
        <w:rPr>
          <w:rFonts w:cs="Arial"/>
          <w:szCs w:val="22"/>
        </w:rPr>
        <w:t>ere</w:t>
      </w:r>
      <w:r w:rsidR="00FE5D80" w:rsidRPr="006B0C6A">
        <w:rPr>
          <w:rFonts w:cs="Arial"/>
          <w:szCs w:val="22"/>
        </w:rPr>
        <w:t xml:space="preserve"> made to the final generic letter as a result of this comment.</w:t>
      </w:r>
      <w:r w:rsidR="007D1BDD" w:rsidRPr="006B0C6A">
        <w:rPr>
          <w:rFonts w:cs="Arial"/>
          <w:szCs w:val="22"/>
        </w:rPr>
        <w:t xml:space="preserve">  </w:t>
      </w:r>
    </w:p>
    <w:p w:rsidR="0001273E" w:rsidRPr="006B0C6A" w:rsidRDefault="0001273E" w:rsidP="00475ABA">
      <w:pPr>
        <w:autoSpaceDE w:val="0"/>
        <w:autoSpaceDN w:val="0"/>
        <w:adjustRightInd w:val="0"/>
        <w:rPr>
          <w:rFonts w:cs="Arial"/>
          <w:szCs w:val="22"/>
        </w:rPr>
      </w:pPr>
    </w:p>
    <w:p w:rsidR="00FE5D80" w:rsidRPr="006B0C6A" w:rsidRDefault="00BF50CE" w:rsidP="00475ABA">
      <w:pPr>
        <w:autoSpaceDE w:val="0"/>
        <w:autoSpaceDN w:val="0"/>
        <w:adjustRightInd w:val="0"/>
        <w:rPr>
          <w:rFonts w:eastAsiaTheme="minorHAnsi" w:cs="Arial"/>
          <w:color w:val="000000"/>
          <w:szCs w:val="22"/>
        </w:rPr>
      </w:pPr>
      <w:r>
        <w:rPr>
          <w:rFonts w:cs="Arial"/>
          <w:szCs w:val="22"/>
        </w:rPr>
        <w:t>After completion of</w:t>
      </w:r>
      <w:r w:rsidR="0001273E" w:rsidRPr="006B0C6A">
        <w:rPr>
          <w:rFonts w:cs="Arial"/>
          <w:szCs w:val="22"/>
        </w:rPr>
        <w:t xml:space="preserve"> inspections under </w:t>
      </w:r>
      <w:r w:rsidR="00F1637B" w:rsidRPr="006B0C6A">
        <w:rPr>
          <w:rFonts w:cs="Arial"/>
          <w:szCs w:val="22"/>
        </w:rPr>
        <w:t>Temporary Instruction (TI) 2600/015</w:t>
      </w:r>
      <w:r w:rsidR="00317B8B">
        <w:rPr>
          <w:rFonts w:cs="Arial"/>
          <w:szCs w:val="22"/>
        </w:rPr>
        <w:t>,</w:t>
      </w:r>
      <w:r w:rsidR="00F1637B" w:rsidRPr="006B0C6A">
        <w:rPr>
          <w:rFonts w:cs="Arial"/>
          <w:szCs w:val="22"/>
        </w:rPr>
        <w:t xml:space="preserve"> “Evaluation of Licensee Strategies for the Prevention and/or Mitigation of Emergencies at Fuel Facilities</w:t>
      </w:r>
      <w:r w:rsidR="0001273E" w:rsidRPr="006B0C6A">
        <w:rPr>
          <w:rFonts w:cs="Arial"/>
          <w:szCs w:val="22"/>
        </w:rPr>
        <w:t>,</w:t>
      </w:r>
      <w:r w:rsidR="00F1637B" w:rsidRPr="006B0C6A">
        <w:rPr>
          <w:rFonts w:cs="Arial"/>
          <w:szCs w:val="22"/>
        </w:rPr>
        <w:t>”</w:t>
      </w:r>
      <w:r w:rsidR="0001273E" w:rsidRPr="006B0C6A">
        <w:rPr>
          <w:rFonts w:cs="Arial"/>
          <w:szCs w:val="22"/>
        </w:rPr>
        <w:t xml:space="preserve"> </w:t>
      </w:r>
      <w:r w:rsidR="00E34448">
        <w:rPr>
          <w:rFonts w:cs="Arial"/>
          <w:szCs w:val="22"/>
        </w:rPr>
        <w:t>t</w:t>
      </w:r>
      <w:r w:rsidR="00317B8B">
        <w:rPr>
          <w:rFonts w:cs="Arial"/>
          <w:szCs w:val="22"/>
        </w:rPr>
        <w:t xml:space="preserve">he </w:t>
      </w:r>
      <w:r w:rsidR="0001273E" w:rsidRPr="006B0C6A">
        <w:rPr>
          <w:rFonts w:cs="Arial"/>
          <w:szCs w:val="22"/>
        </w:rPr>
        <w:t xml:space="preserve">NRC inspectors found, in a number of facilities, insufficient supporting documentation to justify the </w:t>
      </w:r>
      <w:r w:rsidR="003C1521" w:rsidRPr="006B0C6A">
        <w:rPr>
          <w:rFonts w:cs="Arial"/>
          <w:szCs w:val="22"/>
        </w:rPr>
        <w:t>licensees</w:t>
      </w:r>
      <w:r>
        <w:rPr>
          <w:rFonts w:cs="Arial"/>
          <w:szCs w:val="22"/>
        </w:rPr>
        <w:t>’</w:t>
      </w:r>
      <w:r w:rsidR="003C1521" w:rsidRPr="006B0C6A">
        <w:rPr>
          <w:rFonts w:cs="Arial"/>
          <w:szCs w:val="22"/>
        </w:rPr>
        <w:t xml:space="preserve"> </w:t>
      </w:r>
      <w:r w:rsidR="001D35FA" w:rsidRPr="006B0C6A">
        <w:rPr>
          <w:rFonts w:cs="Arial"/>
          <w:szCs w:val="22"/>
        </w:rPr>
        <w:t xml:space="preserve">ISA </w:t>
      </w:r>
      <w:r w:rsidR="0001273E" w:rsidRPr="006B0C6A">
        <w:rPr>
          <w:rFonts w:cs="Arial"/>
          <w:szCs w:val="22"/>
        </w:rPr>
        <w:t>assumption</w:t>
      </w:r>
      <w:r w:rsidR="001D35FA" w:rsidRPr="006B0C6A">
        <w:rPr>
          <w:rFonts w:cs="Arial"/>
          <w:szCs w:val="22"/>
        </w:rPr>
        <w:t>s</w:t>
      </w:r>
      <w:r w:rsidR="0001273E" w:rsidRPr="006B0C6A">
        <w:rPr>
          <w:rFonts w:cs="Arial"/>
          <w:szCs w:val="22"/>
        </w:rPr>
        <w:t xml:space="preserve"> </w:t>
      </w:r>
      <w:r w:rsidR="001142AD" w:rsidRPr="006B0C6A">
        <w:rPr>
          <w:rFonts w:cs="Arial"/>
          <w:szCs w:val="22"/>
        </w:rPr>
        <w:t>used for natural phenomena hazards</w:t>
      </w:r>
      <w:r w:rsidR="003C1521" w:rsidRPr="006B0C6A">
        <w:rPr>
          <w:rFonts w:cs="Arial"/>
          <w:szCs w:val="22"/>
        </w:rPr>
        <w:t xml:space="preserve">.  </w:t>
      </w:r>
      <w:r w:rsidR="00E42339">
        <w:rPr>
          <w:rFonts w:cs="Arial"/>
          <w:szCs w:val="22"/>
        </w:rPr>
        <w:t>I</w:t>
      </w:r>
      <w:r>
        <w:rPr>
          <w:rFonts w:cs="Arial"/>
          <w:szCs w:val="22"/>
        </w:rPr>
        <w:t xml:space="preserve">nsufficient </w:t>
      </w:r>
      <w:r w:rsidR="00E42339">
        <w:rPr>
          <w:rFonts w:cs="Arial"/>
          <w:szCs w:val="22"/>
        </w:rPr>
        <w:t>d</w:t>
      </w:r>
      <w:r w:rsidR="00AB62F7">
        <w:rPr>
          <w:rFonts w:cs="Arial"/>
          <w:szCs w:val="22"/>
        </w:rPr>
        <w:t xml:space="preserve">ocumentation </w:t>
      </w:r>
      <w:r w:rsidR="00BE27E6">
        <w:rPr>
          <w:rFonts w:cs="Arial"/>
          <w:szCs w:val="22"/>
        </w:rPr>
        <w:t xml:space="preserve">to allow NRC inspectors to verify </w:t>
      </w:r>
      <w:r w:rsidR="00E42339">
        <w:rPr>
          <w:rFonts w:cs="Arial"/>
          <w:szCs w:val="22"/>
        </w:rPr>
        <w:t>compliance</w:t>
      </w:r>
      <w:r w:rsidR="00BE27E6">
        <w:rPr>
          <w:rFonts w:cs="Arial"/>
          <w:szCs w:val="22"/>
        </w:rPr>
        <w:t xml:space="preserve"> with the performance requirements </w:t>
      </w:r>
      <w:r w:rsidR="00AB62F7">
        <w:rPr>
          <w:rFonts w:cs="Arial"/>
          <w:szCs w:val="22"/>
        </w:rPr>
        <w:t xml:space="preserve">is the basis </w:t>
      </w:r>
      <w:r w:rsidR="00BE27E6">
        <w:rPr>
          <w:rFonts w:cs="Arial"/>
          <w:szCs w:val="22"/>
        </w:rPr>
        <w:t>for</w:t>
      </w:r>
      <w:r w:rsidR="00AB62F7">
        <w:rPr>
          <w:rFonts w:cs="Arial"/>
          <w:szCs w:val="22"/>
        </w:rPr>
        <w:t xml:space="preserve"> the generic letter.  I</w:t>
      </w:r>
      <w:r w:rsidR="00AB50ED" w:rsidRPr="006B0C6A">
        <w:rPr>
          <w:rFonts w:eastAsiaTheme="minorHAnsi" w:cs="Arial"/>
          <w:color w:val="000000"/>
          <w:szCs w:val="22"/>
        </w:rPr>
        <w:t>ssuance of a ge</w:t>
      </w:r>
      <w:r w:rsidR="00AF43C9" w:rsidRPr="006B0C6A">
        <w:rPr>
          <w:rFonts w:eastAsiaTheme="minorHAnsi" w:cs="Arial"/>
          <w:color w:val="000000"/>
          <w:szCs w:val="22"/>
        </w:rPr>
        <w:t xml:space="preserve">neric letter is </w:t>
      </w:r>
      <w:r w:rsidR="00AB50ED" w:rsidRPr="006B0C6A">
        <w:rPr>
          <w:rFonts w:eastAsiaTheme="minorHAnsi" w:cs="Arial"/>
          <w:color w:val="000000"/>
          <w:szCs w:val="22"/>
        </w:rPr>
        <w:t>appropriate for the purpose of collecting information from licensees on issues of generic applicability</w:t>
      </w:r>
      <w:r w:rsidR="00AF43C9" w:rsidRPr="006B0C6A">
        <w:rPr>
          <w:rFonts w:eastAsiaTheme="minorHAnsi" w:cs="Arial"/>
          <w:color w:val="000000"/>
          <w:szCs w:val="22"/>
        </w:rPr>
        <w:t xml:space="preserve">.  </w:t>
      </w:r>
    </w:p>
    <w:p w:rsidR="005C4DF3" w:rsidRPr="006B0C6A" w:rsidRDefault="005C4DF3" w:rsidP="00475ABA">
      <w:pPr>
        <w:autoSpaceDE w:val="0"/>
        <w:autoSpaceDN w:val="0"/>
        <w:adjustRightInd w:val="0"/>
        <w:rPr>
          <w:rFonts w:eastAsiaTheme="minorHAnsi" w:cs="Arial"/>
          <w:color w:val="000000"/>
          <w:szCs w:val="22"/>
        </w:rPr>
      </w:pPr>
    </w:p>
    <w:p w:rsidR="005C4DF3" w:rsidRPr="006B0C6A" w:rsidRDefault="005C4DF3" w:rsidP="00475ABA">
      <w:pPr>
        <w:autoSpaceDE w:val="0"/>
        <w:autoSpaceDN w:val="0"/>
        <w:adjustRightInd w:val="0"/>
        <w:rPr>
          <w:rFonts w:cs="Arial"/>
          <w:i/>
          <w:szCs w:val="22"/>
          <w:u w:val="single"/>
        </w:rPr>
      </w:pPr>
      <w:r w:rsidRPr="006B0C6A">
        <w:rPr>
          <w:rFonts w:cs="Arial"/>
          <w:i/>
          <w:szCs w:val="22"/>
          <w:u w:val="single"/>
        </w:rPr>
        <w:lastRenderedPageBreak/>
        <w:t>NEI 2-2</w:t>
      </w:r>
    </w:p>
    <w:p w:rsidR="005C4DF3" w:rsidRPr="006B0C6A" w:rsidRDefault="005C4DF3" w:rsidP="00475ABA">
      <w:pPr>
        <w:autoSpaceDE w:val="0"/>
        <w:autoSpaceDN w:val="0"/>
        <w:adjustRightInd w:val="0"/>
        <w:rPr>
          <w:rFonts w:eastAsiaTheme="minorHAnsi" w:cs="Arial"/>
          <w:color w:val="000000"/>
          <w:szCs w:val="22"/>
        </w:rPr>
      </w:pPr>
    </w:p>
    <w:p w:rsidR="005C4DF3" w:rsidRPr="006B0C6A" w:rsidRDefault="005C4DF3" w:rsidP="00475ABA">
      <w:pPr>
        <w:autoSpaceDE w:val="0"/>
        <w:autoSpaceDN w:val="0"/>
        <w:adjustRightInd w:val="0"/>
        <w:rPr>
          <w:rFonts w:eastAsiaTheme="minorHAnsi" w:cs="Arial"/>
          <w:color w:val="000000"/>
          <w:szCs w:val="22"/>
        </w:rPr>
      </w:pPr>
      <w:r w:rsidRPr="006B0C6A">
        <w:rPr>
          <w:rFonts w:eastAsiaTheme="minorHAnsi" w:cs="Arial"/>
          <w:color w:val="000000"/>
          <w:szCs w:val="22"/>
        </w:rPr>
        <w:t>The draft generic letter states that, at a number of facilities, there was insufficient documentation to justify assumptions and the lack of supporting documentation raises questions about the validity of such assumptions.</w:t>
      </w:r>
      <w:r w:rsidR="002251B1" w:rsidRPr="006B0C6A">
        <w:rPr>
          <w:rFonts w:eastAsiaTheme="minorHAnsi" w:cs="Arial"/>
          <w:color w:val="000000"/>
          <w:szCs w:val="22"/>
        </w:rPr>
        <w:t xml:space="preserve"> </w:t>
      </w:r>
      <w:r w:rsidRPr="006B0C6A">
        <w:rPr>
          <w:rFonts w:eastAsiaTheme="minorHAnsi" w:cs="Arial"/>
          <w:color w:val="000000"/>
          <w:szCs w:val="22"/>
        </w:rPr>
        <w:t xml:space="preserve"> However, the NRC issued </w:t>
      </w:r>
      <w:r w:rsidR="002251B1" w:rsidRPr="006B0C6A">
        <w:rPr>
          <w:rFonts w:eastAsiaTheme="minorHAnsi" w:cs="Arial"/>
          <w:color w:val="000000"/>
          <w:szCs w:val="22"/>
        </w:rPr>
        <w:t>U</w:t>
      </w:r>
      <w:r w:rsidRPr="006B0C6A">
        <w:rPr>
          <w:rFonts w:eastAsiaTheme="minorHAnsi" w:cs="Arial"/>
          <w:color w:val="000000"/>
          <w:szCs w:val="22"/>
        </w:rPr>
        <w:t>RIs to further assess whether the evaluated licensees are in compliance with license conditions, and the requirements of 10</w:t>
      </w:r>
      <w:r w:rsidR="002251B1" w:rsidRPr="006B0C6A">
        <w:rPr>
          <w:rFonts w:eastAsiaTheme="minorHAnsi" w:cs="Arial"/>
          <w:color w:val="000000"/>
          <w:szCs w:val="22"/>
        </w:rPr>
        <w:t xml:space="preserve"> </w:t>
      </w:r>
      <w:r w:rsidRPr="006B0C6A">
        <w:rPr>
          <w:rFonts w:eastAsiaTheme="minorHAnsi" w:cs="Arial"/>
          <w:color w:val="000000"/>
          <w:szCs w:val="22"/>
        </w:rPr>
        <w:t>CFR</w:t>
      </w:r>
      <w:r w:rsidR="002251B1" w:rsidRPr="006B0C6A">
        <w:rPr>
          <w:rFonts w:eastAsiaTheme="minorHAnsi" w:cs="Arial"/>
          <w:color w:val="000000"/>
          <w:szCs w:val="22"/>
        </w:rPr>
        <w:t xml:space="preserve"> </w:t>
      </w:r>
      <w:r w:rsidRPr="006B0C6A">
        <w:rPr>
          <w:rFonts w:eastAsiaTheme="minorHAnsi" w:cs="Arial"/>
          <w:color w:val="000000"/>
          <w:szCs w:val="22"/>
        </w:rPr>
        <w:t>70.61 and 10</w:t>
      </w:r>
      <w:r w:rsidR="002251B1" w:rsidRPr="006B0C6A">
        <w:rPr>
          <w:rFonts w:eastAsiaTheme="minorHAnsi" w:cs="Arial"/>
          <w:color w:val="000000"/>
          <w:szCs w:val="22"/>
        </w:rPr>
        <w:t xml:space="preserve"> </w:t>
      </w:r>
      <w:r w:rsidRPr="006B0C6A">
        <w:rPr>
          <w:rFonts w:eastAsiaTheme="minorHAnsi" w:cs="Arial"/>
          <w:color w:val="000000"/>
          <w:szCs w:val="22"/>
        </w:rPr>
        <w:t>CFR</w:t>
      </w:r>
      <w:r w:rsidR="002251B1" w:rsidRPr="006B0C6A">
        <w:rPr>
          <w:rFonts w:eastAsiaTheme="minorHAnsi" w:cs="Arial"/>
          <w:color w:val="000000"/>
          <w:szCs w:val="22"/>
        </w:rPr>
        <w:t xml:space="preserve"> </w:t>
      </w:r>
      <w:r w:rsidRPr="006B0C6A">
        <w:rPr>
          <w:rFonts w:eastAsiaTheme="minorHAnsi" w:cs="Arial"/>
          <w:color w:val="000000"/>
          <w:szCs w:val="22"/>
        </w:rPr>
        <w:t xml:space="preserve">70.62(c). </w:t>
      </w:r>
      <w:r w:rsidR="002251B1" w:rsidRPr="006B0C6A">
        <w:rPr>
          <w:rFonts w:eastAsiaTheme="minorHAnsi" w:cs="Arial"/>
          <w:color w:val="000000"/>
          <w:szCs w:val="22"/>
        </w:rPr>
        <w:t xml:space="preserve"> </w:t>
      </w:r>
      <w:r w:rsidRPr="006B0C6A">
        <w:rPr>
          <w:rFonts w:eastAsiaTheme="minorHAnsi" w:cs="Arial"/>
          <w:color w:val="000000"/>
          <w:szCs w:val="22"/>
        </w:rPr>
        <w:t>Since, as the draft generic letter states, the facilities are adequate to protect public health and safety and individual license conditions are involved, the NRC should continue the resolution of the URIs, as necessary, through the normal process with individual licensees.</w:t>
      </w:r>
      <w:r w:rsidR="002251B1" w:rsidRPr="006B0C6A">
        <w:rPr>
          <w:rFonts w:eastAsiaTheme="minorHAnsi" w:cs="Arial"/>
          <w:color w:val="000000"/>
          <w:szCs w:val="22"/>
        </w:rPr>
        <w:t xml:space="preserve"> </w:t>
      </w:r>
      <w:r w:rsidRPr="006B0C6A">
        <w:rPr>
          <w:rFonts w:eastAsiaTheme="minorHAnsi" w:cs="Arial"/>
          <w:color w:val="000000"/>
          <w:szCs w:val="22"/>
        </w:rPr>
        <w:t xml:space="preserve"> If there are issues that become relevant to the fuel cycle industry at large, a generic communication such as a Regulatory Issue Summary or Information Notice could be issued to alert licensees to these issues and encourage licensee review of facility-specific ISAs for applicability. </w:t>
      </w:r>
    </w:p>
    <w:p w:rsidR="005C4DF3" w:rsidRPr="006B0C6A" w:rsidRDefault="005C4DF3" w:rsidP="00475ABA">
      <w:pPr>
        <w:autoSpaceDE w:val="0"/>
        <w:autoSpaceDN w:val="0"/>
        <w:adjustRightInd w:val="0"/>
        <w:rPr>
          <w:rFonts w:eastAsiaTheme="minorHAnsi" w:cs="Arial"/>
          <w:color w:val="000000"/>
          <w:szCs w:val="22"/>
        </w:rPr>
      </w:pPr>
    </w:p>
    <w:p w:rsidR="005C4DF3" w:rsidRPr="006B0C6A" w:rsidRDefault="005C4DF3" w:rsidP="00475ABA">
      <w:pPr>
        <w:autoSpaceDE w:val="0"/>
        <w:autoSpaceDN w:val="0"/>
        <w:adjustRightInd w:val="0"/>
        <w:rPr>
          <w:rFonts w:eastAsiaTheme="minorHAnsi" w:cs="Arial"/>
          <w:color w:val="000000"/>
          <w:szCs w:val="22"/>
          <w:u w:val="single"/>
        </w:rPr>
      </w:pPr>
      <w:r w:rsidRPr="006B0C6A">
        <w:rPr>
          <w:rFonts w:eastAsiaTheme="minorHAnsi" w:cs="Arial"/>
          <w:color w:val="000000"/>
          <w:szCs w:val="22"/>
          <w:u w:val="single"/>
        </w:rPr>
        <w:t>NRC Response</w:t>
      </w:r>
    </w:p>
    <w:p w:rsidR="005C4DF3" w:rsidRPr="006B0C6A" w:rsidRDefault="005C4DF3" w:rsidP="00475ABA">
      <w:pPr>
        <w:autoSpaceDE w:val="0"/>
        <w:autoSpaceDN w:val="0"/>
        <w:adjustRightInd w:val="0"/>
        <w:rPr>
          <w:rFonts w:eastAsiaTheme="minorHAnsi" w:cs="Arial"/>
          <w:color w:val="000000"/>
          <w:szCs w:val="22"/>
          <w:u w:val="single"/>
        </w:rPr>
      </w:pPr>
    </w:p>
    <w:p w:rsidR="005C4DF3" w:rsidRPr="006B0C6A" w:rsidRDefault="00391B30" w:rsidP="00475ABA">
      <w:pPr>
        <w:autoSpaceDE w:val="0"/>
        <w:autoSpaceDN w:val="0"/>
        <w:adjustRightInd w:val="0"/>
        <w:rPr>
          <w:rFonts w:cs="Arial"/>
          <w:szCs w:val="22"/>
        </w:rPr>
      </w:pPr>
      <w:r>
        <w:rPr>
          <w:rFonts w:eastAsiaTheme="minorHAnsi" w:cs="Arial"/>
          <w:color w:val="000000"/>
          <w:szCs w:val="22"/>
        </w:rPr>
        <w:t xml:space="preserve">The </w:t>
      </w:r>
      <w:r w:rsidR="005C4DF3" w:rsidRPr="006B0C6A">
        <w:rPr>
          <w:rFonts w:eastAsiaTheme="minorHAnsi" w:cs="Arial"/>
          <w:color w:val="000000"/>
          <w:szCs w:val="22"/>
        </w:rPr>
        <w:t xml:space="preserve">NRC disagrees with the comment.  </w:t>
      </w:r>
      <w:r w:rsidR="005C4DF3" w:rsidRPr="006B0C6A">
        <w:rPr>
          <w:rFonts w:cs="Arial"/>
          <w:szCs w:val="22"/>
        </w:rPr>
        <w:t>No change</w:t>
      </w:r>
      <w:r w:rsidR="002251B1" w:rsidRPr="006B0C6A">
        <w:rPr>
          <w:rFonts w:cs="Arial"/>
          <w:szCs w:val="22"/>
        </w:rPr>
        <w:t>s were</w:t>
      </w:r>
      <w:r w:rsidR="005C4DF3" w:rsidRPr="006B0C6A">
        <w:rPr>
          <w:rFonts w:cs="Arial"/>
          <w:szCs w:val="22"/>
        </w:rPr>
        <w:t xml:space="preserve"> made to the final generic letter as a result of this comment.  </w:t>
      </w:r>
    </w:p>
    <w:p w:rsidR="00332E91" w:rsidRPr="006B0C6A" w:rsidRDefault="00332E91" w:rsidP="00475ABA">
      <w:pPr>
        <w:autoSpaceDE w:val="0"/>
        <w:autoSpaceDN w:val="0"/>
        <w:adjustRightInd w:val="0"/>
        <w:rPr>
          <w:rFonts w:cs="Arial"/>
          <w:szCs w:val="22"/>
        </w:rPr>
      </w:pPr>
    </w:p>
    <w:p w:rsidR="00120DFB" w:rsidRPr="006B0C6A" w:rsidRDefault="009A666F" w:rsidP="00475ABA">
      <w:pPr>
        <w:autoSpaceDE w:val="0"/>
        <w:autoSpaceDN w:val="0"/>
        <w:adjustRightInd w:val="0"/>
        <w:rPr>
          <w:rFonts w:cs="Arial"/>
          <w:szCs w:val="22"/>
        </w:rPr>
      </w:pPr>
      <w:r>
        <w:rPr>
          <w:rFonts w:cs="Arial"/>
          <w:szCs w:val="22"/>
        </w:rPr>
        <w:t xml:space="preserve">After completion of TI 2600-015, </w:t>
      </w:r>
      <w:r w:rsidRPr="006B0C6A">
        <w:rPr>
          <w:rFonts w:cs="Arial"/>
          <w:szCs w:val="22"/>
        </w:rPr>
        <w:t xml:space="preserve">NRC inspectors opened unresolved items (URIs) to further assess whether the licensees are in compliance with license conditions, and the requirements of 10 CFR 70.61 and 10 CFR 70.62(c).  </w:t>
      </w:r>
      <w:r>
        <w:rPr>
          <w:rFonts w:cs="Arial"/>
          <w:szCs w:val="22"/>
        </w:rPr>
        <w:t>T</w:t>
      </w:r>
      <w:r w:rsidR="001648FE" w:rsidRPr="006B0C6A">
        <w:rPr>
          <w:rFonts w:cs="Arial"/>
          <w:szCs w:val="22"/>
        </w:rPr>
        <w:t xml:space="preserve">he </w:t>
      </w:r>
      <w:r w:rsidR="00391B30">
        <w:rPr>
          <w:rFonts w:cs="Arial"/>
          <w:szCs w:val="22"/>
        </w:rPr>
        <w:t>URIs</w:t>
      </w:r>
      <w:r w:rsidR="001648FE" w:rsidRPr="006B0C6A">
        <w:rPr>
          <w:rFonts w:cs="Arial"/>
          <w:szCs w:val="22"/>
        </w:rPr>
        <w:t xml:space="preserve"> represent an issue with generic applicability across the nuclear fuel facility industry. </w:t>
      </w:r>
      <w:r w:rsidR="003040A4" w:rsidRPr="006B0C6A">
        <w:rPr>
          <w:rFonts w:cs="Arial"/>
          <w:szCs w:val="22"/>
        </w:rPr>
        <w:t xml:space="preserve"> </w:t>
      </w:r>
      <w:r w:rsidR="001648FE" w:rsidRPr="006B0C6A">
        <w:rPr>
          <w:rFonts w:eastAsiaTheme="minorHAnsi" w:cs="Arial"/>
          <w:szCs w:val="22"/>
        </w:rPr>
        <w:t xml:space="preserve">The NRC is requesting this information because a review of operating fuel cycle facilities and NRC inspections were unable to validate that the facilities were in compliance with their licensing basis for </w:t>
      </w:r>
      <w:r w:rsidR="00391B30">
        <w:rPr>
          <w:rFonts w:eastAsiaTheme="minorHAnsi" w:cs="Arial"/>
          <w:szCs w:val="22"/>
        </w:rPr>
        <w:t>NPH</w:t>
      </w:r>
      <w:r w:rsidR="001648FE" w:rsidRPr="006B0C6A">
        <w:rPr>
          <w:rFonts w:eastAsiaTheme="minorHAnsi" w:cs="Arial"/>
          <w:szCs w:val="22"/>
        </w:rPr>
        <w:t xml:space="preserve">. </w:t>
      </w:r>
      <w:r w:rsidR="003040A4" w:rsidRPr="006B0C6A">
        <w:rPr>
          <w:rFonts w:eastAsiaTheme="minorHAnsi" w:cs="Arial"/>
          <w:szCs w:val="22"/>
        </w:rPr>
        <w:t xml:space="preserve"> </w:t>
      </w:r>
      <w:r w:rsidR="001648FE" w:rsidRPr="006B0C6A">
        <w:rPr>
          <w:rFonts w:eastAsiaTheme="minorHAnsi" w:cs="Arial"/>
          <w:szCs w:val="22"/>
        </w:rPr>
        <w:t>The inspections found that many operating fuel cycle facilities lac</w:t>
      </w:r>
      <w:r w:rsidR="00391B30">
        <w:rPr>
          <w:rFonts w:eastAsiaTheme="minorHAnsi" w:cs="Arial"/>
          <w:szCs w:val="22"/>
        </w:rPr>
        <w:t xml:space="preserve">ked facility design information; </w:t>
      </w:r>
      <w:r w:rsidR="001648FE" w:rsidRPr="006B0C6A">
        <w:rPr>
          <w:rFonts w:eastAsiaTheme="minorHAnsi" w:cs="Arial"/>
          <w:szCs w:val="22"/>
        </w:rPr>
        <w:t>that there were significant variations in the level of detail and rigor in the facility ISAs</w:t>
      </w:r>
      <w:r w:rsidR="00391B30">
        <w:rPr>
          <w:rFonts w:eastAsiaTheme="minorHAnsi" w:cs="Arial"/>
          <w:szCs w:val="22"/>
        </w:rPr>
        <w:t>;</w:t>
      </w:r>
      <w:r w:rsidR="001648FE" w:rsidRPr="006B0C6A">
        <w:rPr>
          <w:rFonts w:eastAsiaTheme="minorHAnsi" w:cs="Arial"/>
          <w:szCs w:val="22"/>
        </w:rPr>
        <w:t xml:space="preserve"> that the assumptions used in developing the safety analysis were not clearly described</w:t>
      </w:r>
      <w:r w:rsidR="00C12749">
        <w:rPr>
          <w:rFonts w:eastAsiaTheme="minorHAnsi" w:cs="Arial"/>
          <w:szCs w:val="22"/>
        </w:rPr>
        <w:t>;</w:t>
      </w:r>
      <w:r w:rsidR="001648FE" w:rsidRPr="006B0C6A">
        <w:rPr>
          <w:rFonts w:eastAsiaTheme="minorHAnsi" w:cs="Arial"/>
          <w:szCs w:val="22"/>
        </w:rPr>
        <w:t xml:space="preserve"> and that some supporting analyses were limited or missing.</w:t>
      </w:r>
      <w:r w:rsidR="001648FE" w:rsidRPr="006B0C6A">
        <w:rPr>
          <w:rFonts w:cs="Arial"/>
          <w:szCs w:val="22"/>
        </w:rPr>
        <w:t xml:space="preserve"> </w:t>
      </w:r>
      <w:r w:rsidR="006A43A3" w:rsidRPr="006B0C6A">
        <w:rPr>
          <w:rFonts w:cs="Arial"/>
          <w:szCs w:val="22"/>
        </w:rPr>
        <w:t xml:space="preserve"> </w:t>
      </w:r>
    </w:p>
    <w:p w:rsidR="00120DFB" w:rsidRPr="006B0C6A" w:rsidRDefault="00120DFB" w:rsidP="00475ABA">
      <w:pPr>
        <w:autoSpaceDE w:val="0"/>
        <w:autoSpaceDN w:val="0"/>
        <w:adjustRightInd w:val="0"/>
        <w:rPr>
          <w:rFonts w:cs="Arial"/>
          <w:szCs w:val="22"/>
        </w:rPr>
      </w:pPr>
    </w:p>
    <w:p w:rsidR="00317B8B" w:rsidRDefault="001648FE" w:rsidP="00475ABA">
      <w:pPr>
        <w:autoSpaceDE w:val="0"/>
        <w:autoSpaceDN w:val="0"/>
        <w:adjustRightInd w:val="0"/>
        <w:rPr>
          <w:rFonts w:cs="Arial"/>
          <w:szCs w:val="22"/>
        </w:rPr>
      </w:pPr>
      <w:r w:rsidRPr="006B0C6A">
        <w:rPr>
          <w:rFonts w:cs="Arial"/>
          <w:szCs w:val="22"/>
        </w:rPr>
        <w:t xml:space="preserve">In accordance with </w:t>
      </w:r>
      <w:r w:rsidRPr="006B0C6A">
        <w:rPr>
          <w:rFonts w:eastAsiaTheme="minorHAnsi" w:cs="Arial"/>
          <w:color w:val="000000"/>
          <w:szCs w:val="22"/>
        </w:rPr>
        <w:t>NRC Management Directive 8.18</w:t>
      </w:r>
      <w:r w:rsidR="00A94783" w:rsidRPr="006B0C6A">
        <w:rPr>
          <w:rFonts w:cs="Arial"/>
          <w:szCs w:val="22"/>
        </w:rPr>
        <w:t>,”</w:t>
      </w:r>
      <w:r w:rsidRPr="006B0C6A">
        <w:rPr>
          <w:rFonts w:cs="Arial"/>
          <w:szCs w:val="22"/>
        </w:rPr>
        <w:t>Generic Communications Program,” a generic letter provides a path for the staff to request information from licensees consistently across the industry.  Although at this time the staff does not believe that the URIs represent an issue of immediate safety concern, failure of properly evaluating the impacts of natural phenomena events may lead to accident</w:t>
      </w:r>
      <w:r w:rsidR="00C12749">
        <w:rPr>
          <w:rFonts w:cs="Arial"/>
          <w:szCs w:val="22"/>
        </w:rPr>
        <w:t xml:space="preserve"> </w:t>
      </w:r>
      <w:r w:rsidRPr="006B0C6A">
        <w:rPr>
          <w:rFonts w:cs="Arial"/>
          <w:szCs w:val="22"/>
        </w:rPr>
        <w:t xml:space="preserve">sequences that exceed the performance requirements in 10 CR 70.61.  </w:t>
      </w:r>
      <w:r w:rsidR="003040A4" w:rsidRPr="006B0C6A">
        <w:rPr>
          <w:rFonts w:cs="Arial"/>
          <w:szCs w:val="22"/>
        </w:rPr>
        <w:t>Responses to the generic letter may</w:t>
      </w:r>
      <w:r w:rsidRPr="006B0C6A">
        <w:rPr>
          <w:rFonts w:cs="Arial"/>
          <w:szCs w:val="22"/>
        </w:rPr>
        <w:t xml:space="preserve"> reveal unanalyzed conditions that may lead to accident sequences that exceed the performance requirements of 10 CFR 70.61 for which prevention or mitigation measures are needed.</w:t>
      </w:r>
      <w:r w:rsidR="00A740FD" w:rsidRPr="006B0C6A">
        <w:rPr>
          <w:rFonts w:cs="Arial"/>
          <w:szCs w:val="22"/>
        </w:rPr>
        <w:t xml:space="preserve"> </w:t>
      </w:r>
    </w:p>
    <w:p w:rsidR="00E34448" w:rsidRDefault="00E34448" w:rsidP="00475ABA">
      <w:pPr>
        <w:autoSpaceDE w:val="0"/>
        <w:autoSpaceDN w:val="0"/>
        <w:adjustRightInd w:val="0"/>
        <w:rPr>
          <w:rFonts w:cs="Arial"/>
          <w:i/>
          <w:szCs w:val="22"/>
          <w:u w:val="single"/>
        </w:rPr>
      </w:pPr>
    </w:p>
    <w:p w:rsidR="000D29A8" w:rsidRPr="006B0C6A" w:rsidRDefault="000D29A8" w:rsidP="00475ABA">
      <w:pPr>
        <w:autoSpaceDE w:val="0"/>
        <w:autoSpaceDN w:val="0"/>
        <w:adjustRightInd w:val="0"/>
        <w:rPr>
          <w:rFonts w:cs="Arial"/>
          <w:i/>
          <w:szCs w:val="22"/>
          <w:u w:val="single"/>
        </w:rPr>
      </w:pPr>
      <w:r w:rsidRPr="006B0C6A">
        <w:rPr>
          <w:rFonts w:cs="Arial"/>
          <w:i/>
          <w:szCs w:val="22"/>
          <w:u w:val="single"/>
        </w:rPr>
        <w:t>NEI 2-3</w:t>
      </w:r>
    </w:p>
    <w:p w:rsidR="000D29A8" w:rsidRPr="006B0C6A" w:rsidRDefault="000D29A8" w:rsidP="00475ABA">
      <w:pPr>
        <w:autoSpaceDE w:val="0"/>
        <w:autoSpaceDN w:val="0"/>
        <w:adjustRightInd w:val="0"/>
        <w:rPr>
          <w:rFonts w:eastAsiaTheme="minorHAnsi" w:cs="Arial"/>
          <w:color w:val="000000"/>
          <w:szCs w:val="22"/>
        </w:rPr>
      </w:pPr>
    </w:p>
    <w:p w:rsidR="000D29A8" w:rsidRPr="006B0C6A" w:rsidRDefault="000D29A8" w:rsidP="00475ABA">
      <w:pPr>
        <w:autoSpaceDE w:val="0"/>
        <w:autoSpaceDN w:val="0"/>
        <w:adjustRightInd w:val="0"/>
        <w:rPr>
          <w:rFonts w:eastAsiaTheme="minorHAnsi" w:cs="Arial"/>
          <w:color w:val="000000"/>
          <w:szCs w:val="22"/>
        </w:rPr>
      </w:pPr>
      <w:r w:rsidRPr="006B0C6A">
        <w:rPr>
          <w:rFonts w:eastAsiaTheme="minorHAnsi" w:cs="Arial"/>
          <w:color w:val="000000"/>
          <w:szCs w:val="22"/>
        </w:rPr>
        <w:t xml:space="preserve">The generic letter should not be addressed to applicants and licensees subject to 70.64, “Requirements for new facilities or new processes at existing facilities.” </w:t>
      </w:r>
      <w:r w:rsidR="00317B8B">
        <w:rPr>
          <w:rFonts w:eastAsiaTheme="minorHAnsi" w:cs="Arial"/>
          <w:color w:val="000000"/>
          <w:szCs w:val="22"/>
        </w:rPr>
        <w:t xml:space="preserve"> </w:t>
      </w:r>
      <w:r w:rsidRPr="006B0C6A">
        <w:rPr>
          <w:rFonts w:eastAsiaTheme="minorHAnsi" w:cs="Arial"/>
          <w:color w:val="000000"/>
          <w:szCs w:val="22"/>
        </w:rPr>
        <w:t xml:space="preserve">Specifically, such entities had to demonstrate that the design provides for adequate protection against natural phenomena hazards with consideration of the most severe documented historical events for the site. </w:t>
      </w:r>
      <w:r w:rsidR="00F97799" w:rsidRPr="006B0C6A">
        <w:rPr>
          <w:rFonts w:eastAsiaTheme="minorHAnsi" w:cs="Arial"/>
          <w:color w:val="000000"/>
          <w:szCs w:val="22"/>
        </w:rPr>
        <w:t xml:space="preserve"> </w:t>
      </w:r>
      <w:r w:rsidRPr="006B0C6A">
        <w:rPr>
          <w:rFonts w:eastAsiaTheme="minorHAnsi" w:cs="Arial"/>
          <w:color w:val="000000"/>
          <w:szCs w:val="22"/>
        </w:rPr>
        <w:t xml:space="preserve">Such designs were recently reviewed and approved by NRC. </w:t>
      </w:r>
      <w:r w:rsidR="00F97799" w:rsidRPr="006B0C6A">
        <w:rPr>
          <w:rFonts w:eastAsiaTheme="minorHAnsi" w:cs="Arial"/>
          <w:color w:val="000000"/>
          <w:szCs w:val="22"/>
        </w:rPr>
        <w:t xml:space="preserve"> </w:t>
      </w:r>
      <w:r w:rsidRPr="006B0C6A">
        <w:rPr>
          <w:rFonts w:eastAsiaTheme="minorHAnsi" w:cs="Arial"/>
          <w:color w:val="000000"/>
          <w:szCs w:val="22"/>
        </w:rPr>
        <w:t xml:space="preserve">Most, if not all, of the requested information is included in the license application and/or ISA Summary and all information is available on site. </w:t>
      </w:r>
      <w:r w:rsidR="00F97799" w:rsidRPr="006B0C6A">
        <w:rPr>
          <w:rFonts w:eastAsiaTheme="minorHAnsi" w:cs="Arial"/>
          <w:color w:val="000000"/>
          <w:szCs w:val="22"/>
        </w:rPr>
        <w:t xml:space="preserve"> </w:t>
      </w:r>
      <w:r w:rsidRPr="006B0C6A">
        <w:rPr>
          <w:rFonts w:eastAsiaTheme="minorHAnsi" w:cs="Arial"/>
          <w:color w:val="000000"/>
          <w:szCs w:val="22"/>
        </w:rPr>
        <w:t xml:space="preserve">Further, the draft generic letter anticipates that </w:t>
      </w:r>
      <w:r w:rsidR="00C12749">
        <w:rPr>
          <w:rFonts w:eastAsiaTheme="minorHAnsi" w:cs="Arial"/>
          <w:color w:val="000000"/>
          <w:szCs w:val="22"/>
        </w:rPr>
        <w:t xml:space="preserve">the </w:t>
      </w:r>
      <w:r w:rsidRPr="006B0C6A">
        <w:rPr>
          <w:rFonts w:eastAsiaTheme="minorHAnsi" w:cs="Arial"/>
          <w:color w:val="000000"/>
          <w:szCs w:val="22"/>
        </w:rPr>
        <w:t xml:space="preserve">NRC may </w:t>
      </w:r>
      <w:r w:rsidRPr="006B0C6A">
        <w:rPr>
          <w:rFonts w:eastAsiaTheme="minorHAnsi" w:cs="Arial"/>
          <w:color w:val="000000"/>
          <w:szCs w:val="22"/>
        </w:rPr>
        <w:lastRenderedPageBreak/>
        <w:t xml:space="preserve">already have the information based on the note on page 7, i.e., licensees or facilities subject to 70.64(a)(2) may reference sections of their license application and/or ISA summaries as a response to applicable requested actions. </w:t>
      </w:r>
      <w:r w:rsidR="00F97799" w:rsidRPr="006B0C6A">
        <w:rPr>
          <w:rFonts w:eastAsiaTheme="minorHAnsi" w:cs="Arial"/>
          <w:color w:val="000000"/>
          <w:szCs w:val="22"/>
        </w:rPr>
        <w:t xml:space="preserve"> </w:t>
      </w:r>
      <w:r w:rsidRPr="006B0C6A">
        <w:rPr>
          <w:rFonts w:eastAsiaTheme="minorHAnsi" w:cs="Arial"/>
          <w:color w:val="000000"/>
          <w:szCs w:val="22"/>
        </w:rPr>
        <w:t>Since this is a small number of facilities and it appears the NRC may already have most, if not all, of the requested i</w:t>
      </w:r>
      <w:r w:rsidR="00C12749">
        <w:rPr>
          <w:rFonts w:eastAsiaTheme="minorHAnsi" w:cs="Arial"/>
          <w:color w:val="000000"/>
          <w:szCs w:val="22"/>
        </w:rPr>
        <w:t>nformation and has access to it,</w:t>
      </w:r>
      <w:r w:rsidRPr="006B0C6A">
        <w:rPr>
          <w:rFonts w:eastAsiaTheme="minorHAnsi" w:cs="Arial"/>
          <w:color w:val="000000"/>
          <w:szCs w:val="22"/>
        </w:rPr>
        <w:t xml:space="preserve"> it would appear more efficient for </w:t>
      </w:r>
      <w:r w:rsidR="00C12749">
        <w:rPr>
          <w:rFonts w:eastAsiaTheme="minorHAnsi" w:cs="Arial"/>
          <w:color w:val="000000"/>
          <w:szCs w:val="22"/>
        </w:rPr>
        <w:t xml:space="preserve">the </w:t>
      </w:r>
      <w:r w:rsidRPr="006B0C6A">
        <w:rPr>
          <w:rFonts w:eastAsiaTheme="minorHAnsi" w:cs="Arial"/>
          <w:color w:val="000000"/>
          <w:szCs w:val="22"/>
        </w:rPr>
        <w:t xml:space="preserve">NRC to address the facilities on an individual basis to obtain any additional information needed. </w:t>
      </w:r>
    </w:p>
    <w:p w:rsidR="005C4DF3" w:rsidRPr="006B0C6A" w:rsidRDefault="005C4DF3" w:rsidP="00475ABA">
      <w:pPr>
        <w:autoSpaceDE w:val="0"/>
        <w:autoSpaceDN w:val="0"/>
        <w:adjustRightInd w:val="0"/>
        <w:rPr>
          <w:rFonts w:eastAsiaTheme="minorHAnsi" w:cs="Arial"/>
          <w:color w:val="000000"/>
          <w:szCs w:val="22"/>
        </w:rPr>
      </w:pPr>
    </w:p>
    <w:p w:rsidR="000D29A8" w:rsidRPr="006B0C6A" w:rsidRDefault="000D29A8" w:rsidP="00475ABA">
      <w:pPr>
        <w:autoSpaceDE w:val="0"/>
        <w:autoSpaceDN w:val="0"/>
        <w:adjustRightInd w:val="0"/>
        <w:rPr>
          <w:rFonts w:eastAsiaTheme="minorHAnsi" w:cs="Arial"/>
          <w:color w:val="000000"/>
          <w:szCs w:val="22"/>
          <w:u w:val="single"/>
        </w:rPr>
      </w:pPr>
      <w:r w:rsidRPr="006B0C6A">
        <w:rPr>
          <w:rFonts w:eastAsiaTheme="minorHAnsi" w:cs="Arial"/>
          <w:color w:val="000000"/>
          <w:szCs w:val="22"/>
          <w:u w:val="single"/>
        </w:rPr>
        <w:t>NRC Response</w:t>
      </w:r>
    </w:p>
    <w:p w:rsidR="00997ADB" w:rsidRPr="006B0C6A" w:rsidRDefault="00997ADB" w:rsidP="00475ABA">
      <w:pPr>
        <w:autoSpaceDE w:val="0"/>
        <w:autoSpaceDN w:val="0"/>
        <w:adjustRightInd w:val="0"/>
        <w:rPr>
          <w:rFonts w:eastAsiaTheme="minorHAnsi" w:cs="Arial"/>
          <w:color w:val="000000"/>
          <w:szCs w:val="22"/>
        </w:rPr>
      </w:pPr>
    </w:p>
    <w:p w:rsidR="00C266EF" w:rsidRPr="006B0C6A" w:rsidRDefault="00C12749" w:rsidP="00475ABA">
      <w:pPr>
        <w:autoSpaceDE w:val="0"/>
        <w:autoSpaceDN w:val="0"/>
        <w:adjustRightInd w:val="0"/>
        <w:rPr>
          <w:rFonts w:cs="Arial"/>
          <w:i/>
          <w:szCs w:val="22"/>
          <w:u w:val="single"/>
        </w:rPr>
      </w:pPr>
      <w:r>
        <w:rPr>
          <w:rFonts w:eastAsiaTheme="minorHAnsi" w:cs="Arial"/>
          <w:color w:val="000000"/>
          <w:szCs w:val="22"/>
        </w:rPr>
        <w:t xml:space="preserve">The </w:t>
      </w:r>
      <w:r w:rsidR="00997ADB" w:rsidRPr="006B0C6A">
        <w:rPr>
          <w:rFonts w:eastAsiaTheme="minorHAnsi" w:cs="Arial"/>
          <w:color w:val="000000"/>
          <w:szCs w:val="22"/>
        </w:rPr>
        <w:t xml:space="preserve">NRC disagrees with the comment.  </w:t>
      </w:r>
      <w:r w:rsidR="00997ADB" w:rsidRPr="006B0C6A">
        <w:rPr>
          <w:rFonts w:cs="Arial"/>
          <w:szCs w:val="22"/>
        </w:rPr>
        <w:t>No changes were made to the final generic letter as a result of this comment.</w:t>
      </w:r>
    </w:p>
    <w:p w:rsidR="00997ADB" w:rsidRPr="006B0C6A" w:rsidRDefault="00997ADB" w:rsidP="00475ABA">
      <w:pPr>
        <w:autoSpaceDE w:val="0"/>
        <w:autoSpaceDN w:val="0"/>
        <w:adjustRightInd w:val="0"/>
        <w:rPr>
          <w:rFonts w:cs="Arial"/>
          <w:szCs w:val="22"/>
        </w:rPr>
      </w:pPr>
    </w:p>
    <w:p w:rsidR="00997ADB" w:rsidRPr="006B0C6A" w:rsidRDefault="001D3677" w:rsidP="00475ABA">
      <w:pPr>
        <w:autoSpaceDE w:val="0"/>
        <w:autoSpaceDN w:val="0"/>
        <w:adjustRightInd w:val="0"/>
        <w:rPr>
          <w:rFonts w:cs="Arial"/>
          <w:szCs w:val="22"/>
        </w:rPr>
      </w:pPr>
      <w:r w:rsidRPr="006B0C6A">
        <w:rPr>
          <w:rFonts w:cs="Arial"/>
          <w:szCs w:val="22"/>
        </w:rPr>
        <w:t>As stated in responses to NEI 2-1 and NEI 2-2</w:t>
      </w:r>
      <w:r w:rsidR="00F1637B" w:rsidRPr="006B0C6A">
        <w:rPr>
          <w:rFonts w:cs="Arial"/>
          <w:szCs w:val="22"/>
        </w:rPr>
        <w:t>, the results of the TI 2600/015 identified issues of generic applicability to the fuel cycle industry</w:t>
      </w:r>
      <w:r w:rsidR="00687BB9" w:rsidRPr="006B0C6A">
        <w:rPr>
          <w:rFonts w:cs="Arial"/>
          <w:szCs w:val="22"/>
        </w:rPr>
        <w:t xml:space="preserve"> and thus a response is required from all addressees</w:t>
      </w:r>
      <w:r w:rsidR="00F1637B" w:rsidRPr="006B0C6A">
        <w:rPr>
          <w:rFonts w:cs="Arial"/>
          <w:szCs w:val="22"/>
        </w:rPr>
        <w:t xml:space="preserve">.  As outlined in the generic letter, </w:t>
      </w:r>
      <w:r w:rsidR="009548EA" w:rsidRPr="006B0C6A">
        <w:rPr>
          <w:rFonts w:cs="Arial"/>
          <w:szCs w:val="22"/>
        </w:rPr>
        <w:t xml:space="preserve">licensees subjected to </w:t>
      </w:r>
      <w:r w:rsidR="00C12749">
        <w:rPr>
          <w:rFonts w:cs="Arial"/>
          <w:szCs w:val="22"/>
        </w:rPr>
        <w:t xml:space="preserve">10 CFR </w:t>
      </w:r>
      <w:r w:rsidR="009548EA" w:rsidRPr="006B0C6A">
        <w:rPr>
          <w:rFonts w:cs="Arial"/>
          <w:szCs w:val="22"/>
        </w:rPr>
        <w:t xml:space="preserve">70.64(a)(2) may reference sections of their license application and/or ISA summaries as a response to applicable requested actions.  In addition, if </w:t>
      </w:r>
      <w:r w:rsidR="00D85B18" w:rsidRPr="006B0C6A">
        <w:rPr>
          <w:rFonts w:cs="Arial"/>
          <w:szCs w:val="22"/>
        </w:rPr>
        <w:t>an</w:t>
      </w:r>
      <w:r w:rsidR="009548EA" w:rsidRPr="006B0C6A">
        <w:rPr>
          <w:rFonts w:cs="Arial"/>
          <w:szCs w:val="22"/>
        </w:rPr>
        <w:t xml:space="preserve"> addressee cannot meet the requested response date, the addressee can provide a description of the alternative course of action that it proposes to take, including the basis of the acceptability of the proposed alternative course of action and estimated completion dates. </w:t>
      </w:r>
    </w:p>
    <w:p w:rsidR="009548EA" w:rsidRPr="006B0C6A" w:rsidRDefault="009548EA" w:rsidP="00475ABA">
      <w:pPr>
        <w:autoSpaceDE w:val="0"/>
        <w:autoSpaceDN w:val="0"/>
        <w:adjustRightInd w:val="0"/>
        <w:rPr>
          <w:rFonts w:cs="Arial"/>
          <w:szCs w:val="22"/>
        </w:rPr>
      </w:pPr>
    </w:p>
    <w:p w:rsidR="003114A9" w:rsidRPr="006B0C6A" w:rsidRDefault="00D87E38" w:rsidP="00475ABA">
      <w:pPr>
        <w:autoSpaceDE w:val="0"/>
        <w:autoSpaceDN w:val="0"/>
        <w:adjustRightInd w:val="0"/>
        <w:rPr>
          <w:rFonts w:cs="Arial"/>
          <w:i/>
          <w:szCs w:val="22"/>
          <w:u w:val="single"/>
        </w:rPr>
      </w:pPr>
      <w:r w:rsidRPr="006B0C6A">
        <w:rPr>
          <w:rFonts w:cs="Arial"/>
          <w:i/>
          <w:szCs w:val="22"/>
          <w:u w:val="single"/>
        </w:rPr>
        <w:t>NEI 2-4</w:t>
      </w:r>
    </w:p>
    <w:p w:rsidR="003114A9" w:rsidRPr="006B0C6A" w:rsidRDefault="003114A9" w:rsidP="00475ABA">
      <w:pPr>
        <w:autoSpaceDE w:val="0"/>
        <w:autoSpaceDN w:val="0"/>
        <w:adjustRightInd w:val="0"/>
        <w:rPr>
          <w:rFonts w:eastAsiaTheme="minorHAnsi" w:cs="Arial"/>
          <w:color w:val="000000"/>
          <w:szCs w:val="22"/>
        </w:rPr>
      </w:pPr>
    </w:p>
    <w:p w:rsidR="003114A9" w:rsidRPr="006B0C6A" w:rsidRDefault="003114A9" w:rsidP="00475ABA">
      <w:pPr>
        <w:autoSpaceDE w:val="0"/>
        <w:autoSpaceDN w:val="0"/>
        <w:adjustRightInd w:val="0"/>
        <w:rPr>
          <w:rFonts w:eastAsiaTheme="minorHAnsi" w:cs="Arial"/>
          <w:color w:val="000000"/>
          <w:szCs w:val="22"/>
        </w:rPr>
      </w:pPr>
      <w:r w:rsidRPr="006B0C6A">
        <w:rPr>
          <w:rFonts w:eastAsiaTheme="minorHAnsi" w:cs="Arial"/>
          <w:color w:val="000000"/>
          <w:szCs w:val="22"/>
        </w:rPr>
        <w:t>During the September 2014 public meeting, industry understood NRC to state that draft generic letter item (2)a.,</w:t>
      </w:r>
      <w:r w:rsidR="00023E60" w:rsidRPr="006B0C6A">
        <w:rPr>
          <w:rFonts w:eastAsiaTheme="minorHAnsi" w:cs="Arial"/>
          <w:color w:val="000000"/>
          <w:szCs w:val="22"/>
        </w:rPr>
        <w:t xml:space="preserve"> </w:t>
      </w:r>
      <w:r w:rsidRPr="006B0C6A">
        <w:rPr>
          <w:rFonts w:eastAsiaTheme="minorHAnsi" w:cs="Arial"/>
          <w:color w:val="000000"/>
          <w:szCs w:val="22"/>
        </w:rPr>
        <w:t xml:space="preserve">“evaluation basis for natural phenomenon events” is the licensee’s site specific design basis determination (magnitude and likelihood) for the applicable natural events. </w:t>
      </w:r>
      <w:r w:rsidR="00023E60" w:rsidRPr="006B0C6A">
        <w:rPr>
          <w:rFonts w:eastAsiaTheme="minorHAnsi" w:cs="Arial"/>
          <w:color w:val="000000"/>
          <w:szCs w:val="22"/>
        </w:rPr>
        <w:t xml:space="preserve"> </w:t>
      </w:r>
      <w:r w:rsidRPr="006B0C6A">
        <w:rPr>
          <w:rFonts w:eastAsiaTheme="minorHAnsi" w:cs="Arial"/>
          <w:color w:val="000000"/>
          <w:szCs w:val="22"/>
        </w:rPr>
        <w:t xml:space="preserve">If this is the case, it would appear that this information would be needed prior to performing item (1)b.iii, “assessment of consequences….that result in intermediate or high consequence events.” </w:t>
      </w:r>
      <w:r w:rsidR="00317B8B">
        <w:rPr>
          <w:rFonts w:eastAsiaTheme="minorHAnsi" w:cs="Arial"/>
          <w:color w:val="000000"/>
          <w:szCs w:val="22"/>
        </w:rPr>
        <w:t xml:space="preserve"> </w:t>
      </w:r>
      <w:r w:rsidRPr="006B0C6A">
        <w:rPr>
          <w:rFonts w:eastAsiaTheme="minorHAnsi" w:cs="Arial"/>
          <w:color w:val="000000"/>
          <w:szCs w:val="22"/>
        </w:rPr>
        <w:t xml:space="preserve">NRC should clarify its expectations on this issue in the draft guidance and final generic letter. </w:t>
      </w:r>
    </w:p>
    <w:p w:rsidR="00E41BE5" w:rsidRPr="006B0C6A" w:rsidRDefault="00E41BE5" w:rsidP="00475ABA">
      <w:pPr>
        <w:autoSpaceDE w:val="0"/>
        <w:autoSpaceDN w:val="0"/>
        <w:adjustRightInd w:val="0"/>
        <w:rPr>
          <w:rFonts w:eastAsiaTheme="minorHAnsi" w:cs="Arial"/>
          <w:szCs w:val="22"/>
        </w:rPr>
      </w:pPr>
    </w:p>
    <w:p w:rsidR="003114A9" w:rsidRPr="006B0C6A" w:rsidRDefault="003114A9" w:rsidP="00475ABA">
      <w:pPr>
        <w:autoSpaceDE w:val="0"/>
        <w:autoSpaceDN w:val="0"/>
        <w:adjustRightInd w:val="0"/>
        <w:rPr>
          <w:rFonts w:eastAsiaTheme="minorHAnsi" w:cs="Arial"/>
          <w:color w:val="000000"/>
          <w:szCs w:val="22"/>
          <w:u w:val="single"/>
        </w:rPr>
      </w:pPr>
      <w:r w:rsidRPr="006B0C6A">
        <w:rPr>
          <w:rFonts w:eastAsiaTheme="minorHAnsi" w:cs="Arial"/>
          <w:color w:val="000000"/>
          <w:szCs w:val="22"/>
          <w:u w:val="single"/>
        </w:rPr>
        <w:t>NRC Response</w:t>
      </w:r>
    </w:p>
    <w:p w:rsidR="003114A9" w:rsidRPr="006B0C6A" w:rsidRDefault="003114A9" w:rsidP="00475ABA">
      <w:pPr>
        <w:autoSpaceDE w:val="0"/>
        <w:autoSpaceDN w:val="0"/>
        <w:adjustRightInd w:val="0"/>
        <w:rPr>
          <w:rFonts w:eastAsiaTheme="minorHAnsi" w:cs="Arial"/>
          <w:szCs w:val="22"/>
        </w:rPr>
      </w:pPr>
    </w:p>
    <w:p w:rsidR="003B112B" w:rsidRPr="006B0C6A" w:rsidRDefault="00C12749" w:rsidP="00475ABA">
      <w:pPr>
        <w:rPr>
          <w:rFonts w:eastAsiaTheme="minorHAnsi" w:cs="Arial"/>
          <w:color w:val="000000"/>
          <w:szCs w:val="22"/>
        </w:rPr>
      </w:pPr>
      <w:r>
        <w:rPr>
          <w:rFonts w:eastAsiaTheme="minorHAnsi" w:cs="Arial"/>
          <w:color w:val="000000"/>
          <w:szCs w:val="22"/>
        </w:rPr>
        <w:t xml:space="preserve">The </w:t>
      </w:r>
      <w:r w:rsidR="003114A9" w:rsidRPr="006B0C6A">
        <w:rPr>
          <w:rFonts w:eastAsiaTheme="minorHAnsi" w:cs="Arial"/>
          <w:color w:val="000000"/>
          <w:szCs w:val="22"/>
        </w:rPr>
        <w:t>NRC disagrees with the comment.</w:t>
      </w:r>
      <w:r w:rsidR="004D3611" w:rsidRPr="006B0C6A">
        <w:rPr>
          <w:rFonts w:eastAsiaTheme="minorHAnsi" w:cs="Arial"/>
          <w:color w:val="000000"/>
          <w:szCs w:val="22"/>
        </w:rPr>
        <w:t xml:space="preserve"> </w:t>
      </w:r>
      <w:r w:rsidR="003114A9" w:rsidRPr="006B0C6A">
        <w:rPr>
          <w:rFonts w:eastAsiaTheme="minorHAnsi" w:cs="Arial"/>
          <w:color w:val="000000"/>
          <w:szCs w:val="22"/>
        </w:rPr>
        <w:t xml:space="preserve"> </w:t>
      </w:r>
      <w:r w:rsidR="004D3611" w:rsidRPr="006B0C6A">
        <w:rPr>
          <w:rFonts w:cs="Arial"/>
          <w:szCs w:val="22"/>
        </w:rPr>
        <w:t xml:space="preserve">No </w:t>
      </w:r>
      <w:r w:rsidR="0094749C" w:rsidRPr="006B0C6A">
        <w:rPr>
          <w:rFonts w:cs="Arial"/>
          <w:szCs w:val="22"/>
        </w:rPr>
        <w:t>changes were</w:t>
      </w:r>
      <w:r w:rsidR="004D3611" w:rsidRPr="006B0C6A">
        <w:rPr>
          <w:rFonts w:cs="Arial"/>
          <w:szCs w:val="22"/>
        </w:rPr>
        <w:t xml:space="preserve"> made to the final generic letter as a result of this comment.</w:t>
      </w:r>
      <w:r w:rsidR="003114A9" w:rsidRPr="006B0C6A">
        <w:rPr>
          <w:rFonts w:eastAsiaTheme="minorHAnsi" w:cs="Arial"/>
          <w:color w:val="000000"/>
          <w:szCs w:val="22"/>
        </w:rPr>
        <w:t xml:space="preserve"> </w:t>
      </w:r>
    </w:p>
    <w:p w:rsidR="003B112B" w:rsidRPr="006B0C6A" w:rsidRDefault="003B112B" w:rsidP="00475ABA">
      <w:pPr>
        <w:rPr>
          <w:rFonts w:eastAsiaTheme="minorHAnsi" w:cs="Arial"/>
          <w:color w:val="000000"/>
          <w:szCs w:val="22"/>
        </w:rPr>
      </w:pPr>
    </w:p>
    <w:p w:rsidR="003114A9" w:rsidRPr="006B0C6A" w:rsidRDefault="00E0629F" w:rsidP="00475ABA">
      <w:pPr>
        <w:rPr>
          <w:rFonts w:cs="Arial"/>
          <w:szCs w:val="22"/>
        </w:rPr>
      </w:pPr>
      <w:r w:rsidRPr="006B0C6A">
        <w:rPr>
          <w:rFonts w:eastAsiaTheme="minorHAnsi" w:cs="Arial"/>
          <w:color w:val="000000"/>
          <w:szCs w:val="22"/>
        </w:rPr>
        <w:t xml:space="preserve">Requested action </w:t>
      </w:r>
      <w:r w:rsidR="008202A9" w:rsidRPr="006B0C6A">
        <w:rPr>
          <w:rFonts w:eastAsiaTheme="minorHAnsi" w:cs="Arial"/>
          <w:color w:val="000000"/>
          <w:szCs w:val="22"/>
        </w:rPr>
        <w:t xml:space="preserve">item </w:t>
      </w:r>
      <w:r w:rsidRPr="006B0C6A">
        <w:rPr>
          <w:rFonts w:eastAsiaTheme="minorHAnsi" w:cs="Arial"/>
          <w:color w:val="000000"/>
          <w:szCs w:val="22"/>
        </w:rPr>
        <w:t>(1)b.i.</w:t>
      </w:r>
      <w:r w:rsidR="00C12749">
        <w:rPr>
          <w:rFonts w:eastAsiaTheme="minorHAnsi" w:cs="Arial"/>
          <w:color w:val="000000"/>
          <w:szCs w:val="22"/>
        </w:rPr>
        <w:t>,</w:t>
      </w:r>
      <w:r w:rsidRPr="006B0C6A">
        <w:rPr>
          <w:rFonts w:eastAsiaTheme="minorHAnsi" w:cs="Arial"/>
          <w:color w:val="000000"/>
          <w:szCs w:val="22"/>
        </w:rPr>
        <w:t xml:space="preserve"> “</w:t>
      </w:r>
      <w:r w:rsidR="00C12749">
        <w:rPr>
          <w:rFonts w:eastAsiaTheme="minorHAnsi" w:cs="Arial"/>
          <w:color w:val="000000"/>
          <w:szCs w:val="22"/>
        </w:rPr>
        <w:t>L</w:t>
      </w:r>
      <w:r w:rsidRPr="006B0C6A">
        <w:rPr>
          <w:rFonts w:cs="Arial"/>
          <w:szCs w:val="22"/>
        </w:rPr>
        <w:t>ikelihood and severity of the natural phenomena events, such as earthquakes, tornadoes, floods, hurricanes, and other wind storms</w:t>
      </w:r>
      <w:r w:rsidR="00BD093C" w:rsidRPr="006B0C6A">
        <w:rPr>
          <w:rFonts w:cs="Arial"/>
          <w:szCs w:val="22"/>
        </w:rPr>
        <w:t>,</w:t>
      </w:r>
      <w:r w:rsidRPr="006B0C6A">
        <w:rPr>
          <w:rFonts w:cs="Arial"/>
          <w:szCs w:val="22"/>
        </w:rPr>
        <w:t xml:space="preserve">” </w:t>
      </w:r>
      <w:r w:rsidR="00BD093C" w:rsidRPr="006B0C6A">
        <w:rPr>
          <w:rFonts w:cs="Arial"/>
          <w:szCs w:val="22"/>
        </w:rPr>
        <w:t>is</w:t>
      </w:r>
      <w:r w:rsidRPr="006B0C6A">
        <w:rPr>
          <w:rFonts w:cs="Arial"/>
          <w:szCs w:val="22"/>
        </w:rPr>
        <w:t xml:space="preserve"> the original design basis events for the facility </w:t>
      </w:r>
      <w:r w:rsidR="00F20F2B" w:rsidRPr="006B0C6A">
        <w:rPr>
          <w:rFonts w:cs="Arial"/>
          <w:szCs w:val="22"/>
        </w:rPr>
        <w:t>SSC</w:t>
      </w:r>
      <w:r w:rsidRPr="006B0C6A">
        <w:rPr>
          <w:rFonts w:cs="Arial"/>
          <w:szCs w:val="22"/>
        </w:rPr>
        <w:t xml:space="preserve">.  The design basis </w:t>
      </w:r>
      <w:r w:rsidR="00F20F2B" w:rsidRPr="006B0C6A">
        <w:rPr>
          <w:rFonts w:cs="Arial"/>
          <w:szCs w:val="22"/>
        </w:rPr>
        <w:t xml:space="preserve">for the facility may come from building codes </w:t>
      </w:r>
      <w:r w:rsidR="00BD093C" w:rsidRPr="006B0C6A">
        <w:rPr>
          <w:rFonts w:cs="Arial"/>
          <w:szCs w:val="22"/>
        </w:rPr>
        <w:t xml:space="preserve">at the time of construction </w:t>
      </w:r>
      <w:r w:rsidR="00F20F2B" w:rsidRPr="006B0C6A">
        <w:rPr>
          <w:rFonts w:cs="Arial"/>
          <w:szCs w:val="22"/>
        </w:rPr>
        <w:t xml:space="preserve">or from hazard evaluations performed to evaluate the </w:t>
      </w:r>
      <w:r w:rsidR="00CC0733" w:rsidRPr="006B0C6A">
        <w:rPr>
          <w:rFonts w:cs="Arial"/>
          <w:szCs w:val="22"/>
        </w:rPr>
        <w:t>impacts of natural phenomena events.</w:t>
      </w:r>
      <w:r w:rsidR="00317B8B">
        <w:rPr>
          <w:rFonts w:cs="Arial"/>
          <w:szCs w:val="22"/>
        </w:rPr>
        <w:t xml:space="preserve">  </w:t>
      </w:r>
      <w:r w:rsidR="003B112B" w:rsidRPr="006B0C6A">
        <w:rPr>
          <w:rFonts w:cs="Arial"/>
          <w:szCs w:val="22"/>
        </w:rPr>
        <w:t xml:space="preserve">If </w:t>
      </w:r>
      <w:r w:rsidR="003B112B" w:rsidRPr="006B0C6A">
        <w:rPr>
          <w:rFonts w:eastAsiaTheme="minorHAnsi" w:cs="Arial"/>
          <w:color w:val="000000"/>
          <w:szCs w:val="22"/>
        </w:rPr>
        <w:t xml:space="preserve">a change </w:t>
      </w:r>
      <w:r w:rsidR="00CC0733" w:rsidRPr="006B0C6A">
        <w:rPr>
          <w:rFonts w:eastAsiaTheme="minorHAnsi" w:cs="Arial"/>
          <w:color w:val="000000"/>
          <w:szCs w:val="22"/>
        </w:rPr>
        <w:t xml:space="preserve">to the assumptions used in the facility safety analysis </w:t>
      </w:r>
      <w:r w:rsidR="003B112B" w:rsidRPr="006B0C6A">
        <w:rPr>
          <w:rFonts w:eastAsiaTheme="minorHAnsi" w:cs="Arial"/>
          <w:color w:val="000000"/>
          <w:szCs w:val="22"/>
        </w:rPr>
        <w:t>is identified as a result of requested action</w:t>
      </w:r>
      <w:r w:rsidR="00023E60" w:rsidRPr="006B0C6A">
        <w:rPr>
          <w:rFonts w:eastAsiaTheme="minorHAnsi" w:cs="Arial"/>
          <w:color w:val="000000"/>
          <w:szCs w:val="22"/>
        </w:rPr>
        <w:t xml:space="preserve"> item</w:t>
      </w:r>
      <w:r w:rsidR="003B112B" w:rsidRPr="006B0C6A">
        <w:rPr>
          <w:rFonts w:eastAsiaTheme="minorHAnsi" w:cs="Arial"/>
          <w:color w:val="000000"/>
          <w:szCs w:val="22"/>
        </w:rPr>
        <w:t xml:space="preserve"> (1) that results in </w:t>
      </w:r>
      <w:r w:rsidR="0094749C" w:rsidRPr="006B0C6A">
        <w:rPr>
          <w:rFonts w:eastAsiaTheme="minorHAnsi" w:cs="Arial"/>
          <w:color w:val="000000"/>
          <w:szCs w:val="22"/>
        </w:rPr>
        <w:t xml:space="preserve">new accidents sequences that exceed the performance requirements of 10 CFR 70.61, </w:t>
      </w:r>
      <w:r w:rsidR="003B112B" w:rsidRPr="006B0C6A">
        <w:rPr>
          <w:rFonts w:eastAsiaTheme="minorHAnsi" w:cs="Arial"/>
          <w:color w:val="000000"/>
          <w:szCs w:val="22"/>
        </w:rPr>
        <w:t>then the licensee should identify the evaluation basis hazard that will be used in the new assessment.  For example, in the case of non-existent design calculations for seismic loading, a licensee can opt for performing a seismic evaluation of the facility</w:t>
      </w:r>
      <w:r w:rsidR="00CC0733" w:rsidRPr="006B0C6A">
        <w:rPr>
          <w:rFonts w:eastAsiaTheme="minorHAnsi" w:cs="Arial"/>
          <w:color w:val="000000"/>
          <w:szCs w:val="22"/>
        </w:rPr>
        <w:t xml:space="preserve"> to demonstrate compliance with the 10 CFR 70</w:t>
      </w:r>
      <w:r w:rsidR="00C12749">
        <w:rPr>
          <w:rFonts w:eastAsiaTheme="minorHAnsi" w:cs="Arial"/>
          <w:color w:val="000000"/>
          <w:szCs w:val="22"/>
        </w:rPr>
        <w:t>,</w:t>
      </w:r>
      <w:r w:rsidR="00CC0733" w:rsidRPr="006B0C6A">
        <w:rPr>
          <w:rFonts w:eastAsiaTheme="minorHAnsi" w:cs="Arial"/>
          <w:color w:val="000000"/>
          <w:szCs w:val="22"/>
        </w:rPr>
        <w:t xml:space="preserve"> Subpart H requirements</w:t>
      </w:r>
      <w:r w:rsidR="003B112B" w:rsidRPr="006B0C6A">
        <w:rPr>
          <w:rFonts w:eastAsiaTheme="minorHAnsi" w:cs="Arial"/>
          <w:color w:val="000000"/>
          <w:szCs w:val="22"/>
        </w:rPr>
        <w:t xml:space="preserve">.  Requested </w:t>
      </w:r>
      <w:r w:rsidR="00427E8A" w:rsidRPr="006B0C6A">
        <w:rPr>
          <w:rFonts w:eastAsiaTheme="minorHAnsi" w:cs="Arial"/>
          <w:color w:val="000000"/>
          <w:szCs w:val="22"/>
        </w:rPr>
        <w:t>action item (2</w:t>
      </w:r>
      <w:r w:rsidR="008775CE" w:rsidRPr="006B0C6A">
        <w:rPr>
          <w:rFonts w:eastAsiaTheme="minorHAnsi" w:cs="Arial"/>
          <w:color w:val="000000"/>
          <w:szCs w:val="22"/>
        </w:rPr>
        <w:t>) a</w:t>
      </w:r>
      <w:r w:rsidR="00427E8A" w:rsidRPr="006B0C6A">
        <w:rPr>
          <w:rFonts w:eastAsiaTheme="minorHAnsi" w:cs="Arial"/>
          <w:color w:val="000000"/>
          <w:szCs w:val="22"/>
        </w:rPr>
        <w:t>.</w:t>
      </w:r>
      <w:r w:rsidR="00C12749">
        <w:rPr>
          <w:rFonts w:eastAsiaTheme="minorHAnsi" w:cs="Arial"/>
          <w:color w:val="000000"/>
          <w:szCs w:val="22"/>
        </w:rPr>
        <w:t>,</w:t>
      </w:r>
      <w:r w:rsidR="00427E8A" w:rsidRPr="006B0C6A">
        <w:rPr>
          <w:rFonts w:eastAsiaTheme="minorHAnsi" w:cs="Arial"/>
          <w:color w:val="000000"/>
          <w:szCs w:val="22"/>
        </w:rPr>
        <w:t xml:space="preserve"> “The evaluation basis for natural phenomena </w:t>
      </w:r>
      <w:r w:rsidR="00427E8A" w:rsidRPr="006B0C6A">
        <w:rPr>
          <w:rFonts w:eastAsiaTheme="minorHAnsi" w:cs="Arial"/>
          <w:color w:val="000000"/>
          <w:szCs w:val="22"/>
        </w:rPr>
        <w:lastRenderedPageBreak/>
        <w:t xml:space="preserve">hazard events” is the </w:t>
      </w:r>
      <w:r w:rsidR="008202A9" w:rsidRPr="006B0C6A">
        <w:rPr>
          <w:rFonts w:eastAsiaTheme="minorHAnsi" w:cs="Arial"/>
          <w:color w:val="000000"/>
          <w:szCs w:val="22"/>
        </w:rPr>
        <w:t>information that describes the basis</w:t>
      </w:r>
      <w:r w:rsidR="00427E8A" w:rsidRPr="006B0C6A">
        <w:rPr>
          <w:rFonts w:eastAsiaTheme="minorHAnsi" w:cs="Arial"/>
          <w:color w:val="000000"/>
          <w:szCs w:val="22"/>
        </w:rPr>
        <w:t xml:space="preserve"> </w:t>
      </w:r>
      <w:r w:rsidR="008202A9" w:rsidRPr="006B0C6A">
        <w:rPr>
          <w:rFonts w:eastAsiaTheme="minorHAnsi" w:cs="Arial"/>
          <w:color w:val="000000"/>
          <w:szCs w:val="22"/>
        </w:rPr>
        <w:t xml:space="preserve">for </w:t>
      </w:r>
      <w:r w:rsidR="00427E8A" w:rsidRPr="006B0C6A">
        <w:rPr>
          <w:rFonts w:eastAsiaTheme="minorHAnsi" w:cs="Arial"/>
          <w:color w:val="000000"/>
          <w:szCs w:val="22"/>
        </w:rPr>
        <w:t xml:space="preserve">the selection of a hazard </w:t>
      </w:r>
      <w:r w:rsidR="003B112B" w:rsidRPr="006B0C6A">
        <w:rPr>
          <w:rFonts w:eastAsiaTheme="minorHAnsi" w:cs="Arial"/>
          <w:color w:val="000000"/>
          <w:szCs w:val="22"/>
        </w:rPr>
        <w:t xml:space="preserve">that will </w:t>
      </w:r>
      <w:r w:rsidR="000A2F4E" w:rsidRPr="006B0C6A">
        <w:rPr>
          <w:rFonts w:eastAsiaTheme="minorHAnsi" w:cs="Arial"/>
          <w:color w:val="000000"/>
          <w:szCs w:val="22"/>
        </w:rPr>
        <w:t>b</w:t>
      </w:r>
      <w:r w:rsidR="003B112B" w:rsidRPr="006B0C6A">
        <w:rPr>
          <w:rFonts w:eastAsiaTheme="minorHAnsi" w:cs="Arial"/>
          <w:color w:val="000000"/>
          <w:szCs w:val="22"/>
        </w:rPr>
        <w:t xml:space="preserve">e used </w:t>
      </w:r>
      <w:r w:rsidR="000A2F4E" w:rsidRPr="006B0C6A">
        <w:rPr>
          <w:rFonts w:eastAsiaTheme="minorHAnsi" w:cs="Arial"/>
          <w:color w:val="000000"/>
          <w:szCs w:val="22"/>
        </w:rPr>
        <w:t>in the new assessment</w:t>
      </w:r>
      <w:r w:rsidR="00427E8A" w:rsidRPr="006B0C6A">
        <w:rPr>
          <w:rFonts w:eastAsiaTheme="minorHAnsi" w:cs="Arial"/>
          <w:color w:val="000000"/>
          <w:szCs w:val="22"/>
        </w:rPr>
        <w:t xml:space="preserve">.  </w:t>
      </w:r>
    </w:p>
    <w:p w:rsidR="00A26A00" w:rsidRPr="006B0C6A" w:rsidRDefault="00A26A00" w:rsidP="00475ABA">
      <w:pPr>
        <w:rPr>
          <w:rFonts w:eastAsiaTheme="minorHAnsi" w:cs="Arial"/>
          <w:szCs w:val="22"/>
        </w:rPr>
      </w:pPr>
    </w:p>
    <w:p w:rsidR="00A26A00" w:rsidRPr="006B0C6A" w:rsidRDefault="00D87E38" w:rsidP="00475ABA">
      <w:pPr>
        <w:autoSpaceDE w:val="0"/>
        <w:autoSpaceDN w:val="0"/>
        <w:adjustRightInd w:val="0"/>
        <w:rPr>
          <w:rFonts w:cs="Arial"/>
          <w:i/>
          <w:szCs w:val="22"/>
          <w:u w:val="single"/>
        </w:rPr>
      </w:pPr>
      <w:r w:rsidRPr="006B0C6A">
        <w:rPr>
          <w:rFonts w:cs="Arial"/>
          <w:i/>
          <w:szCs w:val="22"/>
          <w:u w:val="single"/>
        </w:rPr>
        <w:t>NEI 2-5</w:t>
      </w:r>
    </w:p>
    <w:p w:rsidR="00A26A00" w:rsidRPr="006B0C6A" w:rsidRDefault="00A26A00" w:rsidP="00475ABA">
      <w:pPr>
        <w:autoSpaceDE w:val="0"/>
        <w:autoSpaceDN w:val="0"/>
        <w:adjustRightInd w:val="0"/>
        <w:rPr>
          <w:rFonts w:eastAsiaTheme="minorHAnsi" w:cs="Arial"/>
          <w:color w:val="000000"/>
          <w:szCs w:val="22"/>
        </w:rPr>
      </w:pPr>
    </w:p>
    <w:p w:rsidR="00A26A00" w:rsidRPr="006B0C6A" w:rsidRDefault="00A26A00" w:rsidP="00475ABA">
      <w:pPr>
        <w:autoSpaceDE w:val="0"/>
        <w:autoSpaceDN w:val="0"/>
        <w:adjustRightInd w:val="0"/>
        <w:rPr>
          <w:rFonts w:eastAsiaTheme="minorHAnsi" w:cs="Arial"/>
          <w:color w:val="000000"/>
          <w:szCs w:val="22"/>
        </w:rPr>
      </w:pPr>
      <w:r w:rsidRPr="006B0C6A">
        <w:rPr>
          <w:rFonts w:eastAsiaTheme="minorHAnsi" w:cs="Arial"/>
          <w:color w:val="000000"/>
          <w:szCs w:val="22"/>
        </w:rPr>
        <w:t xml:space="preserve">NRC should clarify whether a response to Question (1)c. is required only if there is a change in methodology, likelihood and severity of NPH with that used in the original design/evaluation of the facility (this assumes responses to (1)a. and (1)b. provide the bases for existing NPH used by the licensee). </w:t>
      </w:r>
      <w:r w:rsidR="00023E60" w:rsidRPr="006B0C6A">
        <w:rPr>
          <w:rFonts w:eastAsiaTheme="minorHAnsi" w:cs="Arial"/>
          <w:color w:val="000000"/>
          <w:szCs w:val="22"/>
        </w:rPr>
        <w:t xml:space="preserve"> </w:t>
      </w:r>
      <w:r w:rsidRPr="006B0C6A">
        <w:rPr>
          <w:rFonts w:eastAsiaTheme="minorHAnsi" w:cs="Arial"/>
          <w:color w:val="000000"/>
          <w:szCs w:val="22"/>
        </w:rPr>
        <w:t xml:space="preserve">Also, this question appears to be similar to question (2) with the exception that any required actions have been completed. </w:t>
      </w:r>
    </w:p>
    <w:p w:rsidR="00A26A00" w:rsidRPr="006B0C6A" w:rsidRDefault="00A26A00" w:rsidP="00475ABA">
      <w:pPr>
        <w:autoSpaceDE w:val="0"/>
        <w:autoSpaceDN w:val="0"/>
        <w:adjustRightInd w:val="0"/>
        <w:rPr>
          <w:rFonts w:cs="Arial"/>
          <w:szCs w:val="22"/>
        </w:rPr>
      </w:pPr>
    </w:p>
    <w:p w:rsidR="00A26A00" w:rsidRPr="006B0C6A" w:rsidRDefault="00A26A00" w:rsidP="00475ABA">
      <w:pPr>
        <w:autoSpaceDE w:val="0"/>
        <w:autoSpaceDN w:val="0"/>
        <w:adjustRightInd w:val="0"/>
        <w:rPr>
          <w:rFonts w:eastAsiaTheme="minorHAnsi" w:cs="Arial"/>
          <w:color w:val="000000"/>
          <w:szCs w:val="22"/>
          <w:u w:val="single"/>
        </w:rPr>
      </w:pPr>
      <w:r w:rsidRPr="006B0C6A">
        <w:rPr>
          <w:rFonts w:eastAsiaTheme="minorHAnsi" w:cs="Arial"/>
          <w:color w:val="000000"/>
          <w:szCs w:val="22"/>
          <w:u w:val="single"/>
        </w:rPr>
        <w:t>NRC Response</w:t>
      </w:r>
    </w:p>
    <w:p w:rsidR="00902DF0" w:rsidRPr="006B0C6A" w:rsidRDefault="00902DF0" w:rsidP="00475ABA">
      <w:pPr>
        <w:rPr>
          <w:rFonts w:eastAsiaTheme="minorHAnsi" w:cs="Arial"/>
          <w:szCs w:val="22"/>
        </w:rPr>
      </w:pPr>
    </w:p>
    <w:p w:rsidR="00D03AAE" w:rsidRPr="006B0C6A" w:rsidRDefault="009A666F" w:rsidP="00475ABA">
      <w:pPr>
        <w:rPr>
          <w:rFonts w:cs="Arial"/>
          <w:szCs w:val="22"/>
        </w:rPr>
      </w:pPr>
      <w:r>
        <w:rPr>
          <w:rFonts w:cs="Arial"/>
          <w:szCs w:val="22"/>
        </w:rPr>
        <w:t xml:space="preserve">The NRC disagrees with this comment.  </w:t>
      </w:r>
      <w:r w:rsidR="00D03AAE" w:rsidRPr="006B0C6A">
        <w:rPr>
          <w:rFonts w:cs="Arial"/>
          <w:szCs w:val="22"/>
        </w:rPr>
        <w:t>No changes were made to the final generic letter as a result of this comment.</w:t>
      </w:r>
      <w:r w:rsidR="007021CE" w:rsidRPr="006B0C6A">
        <w:rPr>
          <w:rFonts w:cs="Arial"/>
          <w:szCs w:val="22"/>
        </w:rPr>
        <w:t xml:space="preserve">  </w:t>
      </w:r>
    </w:p>
    <w:p w:rsidR="00D03AAE" w:rsidRPr="006B0C6A" w:rsidRDefault="00D03AAE" w:rsidP="00475ABA">
      <w:pPr>
        <w:rPr>
          <w:rFonts w:cs="Arial"/>
          <w:szCs w:val="22"/>
        </w:rPr>
      </w:pPr>
    </w:p>
    <w:p w:rsidR="0092096D" w:rsidRPr="006B0C6A" w:rsidRDefault="00437421" w:rsidP="00475ABA">
      <w:pPr>
        <w:rPr>
          <w:rFonts w:eastAsiaTheme="minorHAnsi" w:cs="Arial"/>
          <w:szCs w:val="22"/>
        </w:rPr>
      </w:pPr>
      <w:r w:rsidRPr="006B0C6A">
        <w:rPr>
          <w:rFonts w:eastAsiaTheme="minorHAnsi" w:cs="Arial"/>
          <w:szCs w:val="22"/>
        </w:rPr>
        <w:t xml:space="preserve">Requested action item </w:t>
      </w:r>
      <w:r w:rsidR="00113274" w:rsidRPr="006B0C6A">
        <w:rPr>
          <w:rFonts w:eastAsiaTheme="minorHAnsi" w:cs="Arial"/>
          <w:szCs w:val="22"/>
        </w:rPr>
        <w:t>(1)c.</w:t>
      </w:r>
      <w:r w:rsidR="00865721" w:rsidRPr="006B0C6A">
        <w:rPr>
          <w:rFonts w:eastAsiaTheme="minorHAnsi" w:cs="Arial"/>
          <w:szCs w:val="22"/>
        </w:rPr>
        <w:t xml:space="preserve"> requests</w:t>
      </w:r>
      <w:r w:rsidR="00113274" w:rsidRPr="006B0C6A">
        <w:rPr>
          <w:rFonts w:eastAsiaTheme="minorHAnsi" w:cs="Arial"/>
          <w:szCs w:val="22"/>
        </w:rPr>
        <w:t xml:space="preserve"> licensees </w:t>
      </w:r>
      <w:r w:rsidR="00865721" w:rsidRPr="006B0C6A">
        <w:rPr>
          <w:rFonts w:eastAsiaTheme="minorHAnsi" w:cs="Arial"/>
          <w:szCs w:val="22"/>
        </w:rPr>
        <w:t xml:space="preserve">to submit a summary of an </w:t>
      </w:r>
      <w:r w:rsidR="00113274" w:rsidRPr="006B0C6A">
        <w:rPr>
          <w:rFonts w:eastAsiaTheme="minorHAnsi" w:cs="Arial"/>
          <w:szCs w:val="22"/>
        </w:rPr>
        <w:t>evaluat</w:t>
      </w:r>
      <w:r w:rsidR="00865721" w:rsidRPr="006B0C6A">
        <w:rPr>
          <w:rFonts w:eastAsiaTheme="minorHAnsi" w:cs="Arial"/>
          <w:szCs w:val="22"/>
        </w:rPr>
        <w:t>ion</w:t>
      </w:r>
      <w:r w:rsidR="00113274" w:rsidRPr="006B0C6A">
        <w:rPr>
          <w:rFonts w:eastAsiaTheme="minorHAnsi" w:cs="Arial"/>
          <w:szCs w:val="22"/>
        </w:rPr>
        <w:t xml:space="preserve"> </w:t>
      </w:r>
      <w:r w:rsidR="00865721" w:rsidRPr="006B0C6A">
        <w:rPr>
          <w:rFonts w:eastAsiaTheme="minorHAnsi" w:cs="Arial"/>
          <w:szCs w:val="22"/>
        </w:rPr>
        <w:t xml:space="preserve">between </w:t>
      </w:r>
      <w:r w:rsidR="007F2E17" w:rsidRPr="006B0C6A">
        <w:rPr>
          <w:rFonts w:eastAsiaTheme="minorHAnsi" w:cs="Arial"/>
          <w:szCs w:val="22"/>
        </w:rPr>
        <w:t xml:space="preserve">the </w:t>
      </w:r>
      <w:r w:rsidR="00113274" w:rsidRPr="006B0C6A">
        <w:rPr>
          <w:rFonts w:eastAsiaTheme="minorHAnsi" w:cs="Arial"/>
          <w:szCs w:val="22"/>
        </w:rPr>
        <w:t>original design</w:t>
      </w:r>
      <w:r w:rsidR="00865721" w:rsidRPr="006B0C6A">
        <w:rPr>
          <w:rFonts w:eastAsiaTheme="minorHAnsi" w:cs="Arial"/>
          <w:szCs w:val="22"/>
        </w:rPr>
        <w:t>/evaluation</w:t>
      </w:r>
      <w:r w:rsidR="00113274" w:rsidRPr="006B0C6A">
        <w:rPr>
          <w:rFonts w:eastAsiaTheme="minorHAnsi" w:cs="Arial"/>
          <w:szCs w:val="22"/>
        </w:rPr>
        <w:t xml:space="preserve"> basis of the facility and how changes in the methodology, data or modeling techniques </w:t>
      </w:r>
      <w:r w:rsidR="00934F86" w:rsidRPr="006B0C6A">
        <w:rPr>
          <w:rFonts w:eastAsiaTheme="minorHAnsi" w:cs="Arial"/>
          <w:szCs w:val="22"/>
        </w:rPr>
        <w:t>may impact the ISA assumptions with regards to natural phenomena hazards</w:t>
      </w:r>
      <w:r w:rsidR="00865721" w:rsidRPr="006B0C6A">
        <w:rPr>
          <w:rFonts w:eastAsiaTheme="minorHAnsi" w:cs="Arial"/>
          <w:szCs w:val="22"/>
        </w:rPr>
        <w:t>.  For exampl</w:t>
      </w:r>
      <w:r w:rsidR="00023E60" w:rsidRPr="006B0C6A">
        <w:rPr>
          <w:rFonts w:eastAsiaTheme="minorHAnsi" w:cs="Arial"/>
          <w:szCs w:val="22"/>
        </w:rPr>
        <w:t xml:space="preserve">e, for seismic events, the licensee may provide </w:t>
      </w:r>
      <w:r w:rsidR="00865721" w:rsidRPr="006B0C6A">
        <w:rPr>
          <w:rFonts w:eastAsiaTheme="minorHAnsi" w:cs="Arial"/>
          <w:szCs w:val="22"/>
        </w:rPr>
        <w:t>a summary of how the</w:t>
      </w:r>
      <w:r w:rsidR="00023E60" w:rsidRPr="006B0C6A">
        <w:rPr>
          <w:rFonts w:eastAsiaTheme="minorHAnsi" w:cs="Arial"/>
          <w:szCs w:val="22"/>
        </w:rPr>
        <w:t xml:space="preserve"> hazard applicable to </w:t>
      </w:r>
      <w:r w:rsidR="00BB127E">
        <w:rPr>
          <w:rFonts w:eastAsiaTheme="minorHAnsi" w:cs="Arial"/>
          <w:szCs w:val="22"/>
        </w:rPr>
        <w:t xml:space="preserve">the </w:t>
      </w:r>
      <w:r w:rsidR="00023E60" w:rsidRPr="006B0C6A">
        <w:rPr>
          <w:rFonts w:eastAsiaTheme="minorHAnsi" w:cs="Arial"/>
          <w:szCs w:val="22"/>
        </w:rPr>
        <w:t>site has</w:t>
      </w:r>
      <w:r w:rsidR="00EB2595" w:rsidRPr="006B0C6A">
        <w:rPr>
          <w:rFonts w:eastAsiaTheme="minorHAnsi" w:cs="Arial"/>
          <w:szCs w:val="22"/>
        </w:rPr>
        <w:t xml:space="preserve"> </w:t>
      </w:r>
      <w:r w:rsidR="00023E60" w:rsidRPr="006B0C6A">
        <w:rPr>
          <w:rFonts w:eastAsiaTheme="minorHAnsi" w:cs="Arial"/>
          <w:szCs w:val="22"/>
        </w:rPr>
        <w:t>changed (i.e. increase, decrease</w:t>
      </w:r>
      <w:r w:rsidR="00EB2595" w:rsidRPr="006B0C6A">
        <w:rPr>
          <w:rFonts w:eastAsiaTheme="minorHAnsi" w:cs="Arial"/>
          <w:szCs w:val="22"/>
        </w:rPr>
        <w:t xml:space="preserve">) with regards to the </w:t>
      </w:r>
      <w:r w:rsidR="00745858" w:rsidRPr="006B0C6A">
        <w:rPr>
          <w:rFonts w:eastAsiaTheme="minorHAnsi" w:cs="Arial"/>
          <w:szCs w:val="22"/>
        </w:rPr>
        <w:t xml:space="preserve">original </w:t>
      </w:r>
      <w:r w:rsidR="00817C9B" w:rsidRPr="006B0C6A">
        <w:rPr>
          <w:rFonts w:eastAsiaTheme="minorHAnsi" w:cs="Arial"/>
          <w:szCs w:val="22"/>
        </w:rPr>
        <w:t>design basis</w:t>
      </w:r>
      <w:r w:rsidR="00745858" w:rsidRPr="006B0C6A">
        <w:rPr>
          <w:rFonts w:eastAsiaTheme="minorHAnsi" w:cs="Arial"/>
          <w:szCs w:val="22"/>
        </w:rPr>
        <w:t xml:space="preserve"> (e.g.</w:t>
      </w:r>
      <w:r w:rsidR="00317B8B">
        <w:rPr>
          <w:rFonts w:eastAsiaTheme="minorHAnsi" w:cs="Arial"/>
          <w:szCs w:val="22"/>
        </w:rPr>
        <w:t>,</w:t>
      </w:r>
      <w:r w:rsidR="00745858" w:rsidRPr="006B0C6A">
        <w:rPr>
          <w:rFonts w:eastAsiaTheme="minorHAnsi" w:cs="Arial"/>
          <w:szCs w:val="22"/>
        </w:rPr>
        <w:t xml:space="preserve"> building code us</w:t>
      </w:r>
      <w:r w:rsidR="00EB2595" w:rsidRPr="006B0C6A">
        <w:rPr>
          <w:rFonts w:eastAsiaTheme="minorHAnsi" w:cs="Arial"/>
          <w:szCs w:val="22"/>
        </w:rPr>
        <w:t>ed for original design)</w:t>
      </w:r>
      <w:r w:rsidR="00113274" w:rsidRPr="006B0C6A">
        <w:rPr>
          <w:rFonts w:eastAsiaTheme="minorHAnsi" w:cs="Arial"/>
          <w:szCs w:val="22"/>
        </w:rPr>
        <w:t xml:space="preserve">.  </w:t>
      </w:r>
      <w:r w:rsidR="00EB2595" w:rsidRPr="006B0C6A">
        <w:rPr>
          <w:rFonts w:eastAsiaTheme="minorHAnsi" w:cs="Arial"/>
          <w:szCs w:val="22"/>
        </w:rPr>
        <w:t>This ev</w:t>
      </w:r>
      <w:r w:rsidR="00BB6B79" w:rsidRPr="006B0C6A">
        <w:rPr>
          <w:rFonts w:eastAsiaTheme="minorHAnsi" w:cs="Arial"/>
          <w:szCs w:val="22"/>
        </w:rPr>
        <w:t>a</w:t>
      </w:r>
      <w:r w:rsidR="00EB2595" w:rsidRPr="006B0C6A">
        <w:rPr>
          <w:rFonts w:eastAsiaTheme="minorHAnsi" w:cs="Arial"/>
          <w:szCs w:val="22"/>
        </w:rPr>
        <w:t>lu</w:t>
      </w:r>
      <w:r w:rsidR="00BB6B79" w:rsidRPr="006B0C6A">
        <w:rPr>
          <w:rFonts w:eastAsiaTheme="minorHAnsi" w:cs="Arial"/>
          <w:szCs w:val="22"/>
        </w:rPr>
        <w:t>a</w:t>
      </w:r>
      <w:r w:rsidR="00EB2595" w:rsidRPr="006B0C6A">
        <w:rPr>
          <w:rFonts w:eastAsiaTheme="minorHAnsi" w:cs="Arial"/>
          <w:szCs w:val="22"/>
        </w:rPr>
        <w:t>tion inform</w:t>
      </w:r>
      <w:r w:rsidR="00BB6B79" w:rsidRPr="006B0C6A">
        <w:rPr>
          <w:rFonts w:eastAsiaTheme="minorHAnsi" w:cs="Arial"/>
          <w:szCs w:val="22"/>
        </w:rPr>
        <w:t>s</w:t>
      </w:r>
      <w:r w:rsidR="00EB2595" w:rsidRPr="006B0C6A">
        <w:rPr>
          <w:rFonts w:eastAsiaTheme="minorHAnsi" w:cs="Arial"/>
          <w:szCs w:val="22"/>
        </w:rPr>
        <w:t xml:space="preserve"> whether </w:t>
      </w:r>
      <w:r w:rsidR="00934F86" w:rsidRPr="006B0C6A">
        <w:rPr>
          <w:rFonts w:eastAsiaTheme="minorHAnsi" w:cs="Arial"/>
          <w:szCs w:val="22"/>
        </w:rPr>
        <w:t>the current</w:t>
      </w:r>
      <w:r w:rsidR="00BB6B79" w:rsidRPr="006B0C6A">
        <w:rPr>
          <w:rFonts w:eastAsiaTheme="minorHAnsi" w:cs="Arial"/>
          <w:szCs w:val="22"/>
        </w:rPr>
        <w:t xml:space="preserve"> condition of the facility can cope with the hazards or if </w:t>
      </w:r>
      <w:r w:rsidR="00EB2595" w:rsidRPr="006B0C6A">
        <w:rPr>
          <w:rFonts w:eastAsiaTheme="minorHAnsi" w:cs="Arial"/>
          <w:szCs w:val="22"/>
        </w:rPr>
        <w:t xml:space="preserve">there </w:t>
      </w:r>
      <w:r w:rsidR="00BB6B79" w:rsidRPr="006B0C6A">
        <w:rPr>
          <w:rFonts w:eastAsiaTheme="minorHAnsi" w:cs="Arial"/>
          <w:szCs w:val="22"/>
        </w:rPr>
        <w:t>are</w:t>
      </w:r>
      <w:r w:rsidR="00EB2595" w:rsidRPr="006B0C6A">
        <w:rPr>
          <w:rFonts w:eastAsiaTheme="minorHAnsi" w:cs="Arial"/>
          <w:szCs w:val="22"/>
        </w:rPr>
        <w:t xml:space="preserve"> additional mitigation strategies needed to reduce the overall risk of potential impacts from natural phenomena events.</w:t>
      </w:r>
    </w:p>
    <w:p w:rsidR="0092096D" w:rsidRPr="006B0C6A" w:rsidRDefault="0092096D" w:rsidP="00475ABA">
      <w:pPr>
        <w:rPr>
          <w:rFonts w:eastAsiaTheme="minorHAnsi" w:cs="Arial"/>
          <w:szCs w:val="22"/>
        </w:rPr>
      </w:pPr>
    </w:p>
    <w:p w:rsidR="00A26A00" w:rsidRPr="006B0C6A" w:rsidRDefault="0092096D" w:rsidP="00475ABA">
      <w:pPr>
        <w:rPr>
          <w:rFonts w:eastAsiaTheme="minorHAnsi" w:cs="Arial"/>
          <w:szCs w:val="22"/>
        </w:rPr>
      </w:pPr>
      <w:r w:rsidRPr="006B0C6A">
        <w:rPr>
          <w:rFonts w:eastAsiaTheme="minorHAnsi" w:cs="Arial"/>
          <w:szCs w:val="22"/>
        </w:rPr>
        <w:t>If as a result of the evaluations from requested</w:t>
      </w:r>
      <w:r w:rsidR="00023E60" w:rsidRPr="006B0C6A">
        <w:rPr>
          <w:rFonts w:eastAsiaTheme="minorHAnsi" w:cs="Arial"/>
          <w:szCs w:val="22"/>
        </w:rPr>
        <w:t xml:space="preserve"> action</w:t>
      </w:r>
      <w:r w:rsidRPr="006B0C6A">
        <w:rPr>
          <w:rFonts w:eastAsiaTheme="minorHAnsi" w:cs="Arial"/>
          <w:szCs w:val="22"/>
        </w:rPr>
        <w:t xml:space="preserve"> item (</w:t>
      </w:r>
      <w:r w:rsidR="00023E60" w:rsidRPr="006B0C6A">
        <w:rPr>
          <w:rFonts w:eastAsiaTheme="minorHAnsi" w:cs="Arial"/>
          <w:szCs w:val="22"/>
        </w:rPr>
        <w:t>1</w:t>
      </w:r>
      <w:r w:rsidR="00934F86" w:rsidRPr="006B0C6A">
        <w:rPr>
          <w:rFonts w:eastAsiaTheme="minorHAnsi" w:cs="Arial"/>
          <w:szCs w:val="22"/>
        </w:rPr>
        <w:t>)c</w:t>
      </w:r>
      <w:r w:rsidRPr="006B0C6A">
        <w:rPr>
          <w:rFonts w:eastAsiaTheme="minorHAnsi" w:cs="Arial"/>
          <w:szCs w:val="22"/>
        </w:rPr>
        <w:t xml:space="preserve">. a licensee identifies a change in the assumptions used in the ISA </w:t>
      </w:r>
      <w:r w:rsidR="00934F86" w:rsidRPr="006B0C6A">
        <w:rPr>
          <w:rFonts w:eastAsiaTheme="minorHAnsi" w:cs="Arial"/>
          <w:szCs w:val="22"/>
        </w:rPr>
        <w:t xml:space="preserve">that affects the basis to show compliance with regulatory requirements, requested </w:t>
      </w:r>
      <w:r w:rsidRPr="006B0C6A">
        <w:rPr>
          <w:rFonts w:eastAsiaTheme="minorHAnsi" w:cs="Arial"/>
          <w:szCs w:val="22"/>
        </w:rPr>
        <w:t>action item</w:t>
      </w:r>
      <w:r w:rsidR="009224D1">
        <w:rPr>
          <w:rFonts w:eastAsiaTheme="minorHAnsi" w:cs="Arial"/>
          <w:szCs w:val="22"/>
        </w:rPr>
        <w:t>s</w:t>
      </w:r>
      <w:r w:rsidRPr="006B0C6A">
        <w:rPr>
          <w:rFonts w:eastAsiaTheme="minorHAnsi" w:cs="Arial"/>
          <w:szCs w:val="22"/>
        </w:rPr>
        <w:t xml:space="preserve"> (2)</w:t>
      </w:r>
      <w:r w:rsidR="00317B8B">
        <w:rPr>
          <w:rFonts w:eastAsiaTheme="minorHAnsi" w:cs="Arial"/>
          <w:szCs w:val="22"/>
        </w:rPr>
        <w:t>a</w:t>
      </w:r>
      <w:r w:rsidR="00934F86" w:rsidRPr="006B0C6A">
        <w:rPr>
          <w:rFonts w:eastAsiaTheme="minorHAnsi" w:cs="Arial"/>
          <w:szCs w:val="22"/>
        </w:rPr>
        <w:t>-e.</w:t>
      </w:r>
      <w:r w:rsidRPr="006B0C6A">
        <w:rPr>
          <w:rFonts w:eastAsiaTheme="minorHAnsi" w:cs="Arial"/>
          <w:szCs w:val="22"/>
        </w:rPr>
        <w:t xml:space="preserve"> </w:t>
      </w:r>
      <w:r w:rsidR="009224D1">
        <w:rPr>
          <w:rFonts w:eastAsiaTheme="minorHAnsi" w:cs="Arial"/>
          <w:szCs w:val="22"/>
        </w:rPr>
        <w:t>request</w:t>
      </w:r>
      <w:r w:rsidRPr="006B0C6A">
        <w:rPr>
          <w:rFonts w:eastAsiaTheme="minorHAnsi" w:cs="Arial"/>
          <w:szCs w:val="22"/>
        </w:rPr>
        <w:t xml:space="preserve"> additional information to support the basis for the “new” assessment</w:t>
      </w:r>
      <w:r w:rsidR="00934F86" w:rsidRPr="006B0C6A">
        <w:rPr>
          <w:rFonts w:eastAsiaTheme="minorHAnsi" w:cs="Arial"/>
          <w:szCs w:val="22"/>
        </w:rPr>
        <w:t xml:space="preserve"> to restore compliance</w:t>
      </w:r>
      <w:r w:rsidRPr="006B0C6A">
        <w:rPr>
          <w:rFonts w:eastAsiaTheme="minorHAnsi" w:cs="Arial"/>
          <w:szCs w:val="22"/>
        </w:rPr>
        <w:t xml:space="preserve">.  </w:t>
      </w:r>
    </w:p>
    <w:p w:rsidR="00113274" w:rsidRDefault="00113274" w:rsidP="00475ABA">
      <w:pPr>
        <w:ind w:left="360"/>
        <w:rPr>
          <w:rFonts w:eastAsiaTheme="minorHAnsi" w:cs="Arial"/>
          <w:szCs w:val="22"/>
        </w:rPr>
      </w:pPr>
    </w:p>
    <w:p w:rsidR="00113274" w:rsidRPr="006B0C6A" w:rsidRDefault="00D87E38" w:rsidP="00475ABA">
      <w:pPr>
        <w:autoSpaceDE w:val="0"/>
        <w:autoSpaceDN w:val="0"/>
        <w:adjustRightInd w:val="0"/>
        <w:rPr>
          <w:rFonts w:cs="Arial"/>
          <w:i/>
          <w:szCs w:val="22"/>
          <w:u w:val="single"/>
        </w:rPr>
      </w:pPr>
      <w:r w:rsidRPr="006B0C6A">
        <w:rPr>
          <w:rFonts w:cs="Arial"/>
          <w:i/>
          <w:szCs w:val="22"/>
          <w:u w:val="single"/>
        </w:rPr>
        <w:t>NEI 2-6</w:t>
      </w:r>
    </w:p>
    <w:p w:rsidR="00317B8B" w:rsidRDefault="00317B8B" w:rsidP="00475ABA">
      <w:pPr>
        <w:pStyle w:val="Default"/>
        <w:rPr>
          <w:sz w:val="22"/>
          <w:szCs w:val="22"/>
        </w:rPr>
      </w:pPr>
    </w:p>
    <w:p w:rsidR="00113274" w:rsidRPr="006B0C6A" w:rsidRDefault="00113274" w:rsidP="00475ABA">
      <w:pPr>
        <w:pStyle w:val="Default"/>
        <w:rPr>
          <w:sz w:val="22"/>
          <w:szCs w:val="22"/>
        </w:rPr>
      </w:pPr>
      <w:r w:rsidRPr="006B0C6A">
        <w:rPr>
          <w:sz w:val="22"/>
          <w:szCs w:val="22"/>
        </w:rPr>
        <w:t xml:space="preserve">NRC should clarify whether a response to Question (2) is required only if additional actions are needed to validate assumptions used by the licensee in their NPH assessments. </w:t>
      </w:r>
      <w:r w:rsidR="003C5900" w:rsidRPr="006B0C6A">
        <w:rPr>
          <w:sz w:val="22"/>
          <w:szCs w:val="22"/>
        </w:rPr>
        <w:t xml:space="preserve"> </w:t>
      </w:r>
      <w:r w:rsidRPr="006B0C6A">
        <w:rPr>
          <w:sz w:val="22"/>
          <w:szCs w:val="22"/>
        </w:rPr>
        <w:t xml:space="preserve">If true, it is anticipated that few, if any, fuel cycle facilities would be required to provide a response to Question (2). </w:t>
      </w:r>
    </w:p>
    <w:p w:rsidR="00113274" w:rsidRPr="006B0C6A" w:rsidRDefault="00113274" w:rsidP="00475ABA">
      <w:pPr>
        <w:autoSpaceDE w:val="0"/>
        <w:autoSpaceDN w:val="0"/>
        <w:adjustRightInd w:val="0"/>
        <w:rPr>
          <w:rFonts w:eastAsiaTheme="minorHAnsi" w:cs="Arial"/>
          <w:color w:val="000000"/>
          <w:szCs w:val="22"/>
        </w:rPr>
      </w:pPr>
    </w:p>
    <w:p w:rsidR="00113274" w:rsidRPr="006B0C6A" w:rsidRDefault="00113274" w:rsidP="00475ABA">
      <w:pPr>
        <w:autoSpaceDE w:val="0"/>
        <w:autoSpaceDN w:val="0"/>
        <w:adjustRightInd w:val="0"/>
        <w:rPr>
          <w:rFonts w:eastAsiaTheme="minorHAnsi" w:cs="Arial"/>
          <w:color w:val="000000"/>
          <w:szCs w:val="22"/>
          <w:u w:val="single"/>
        </w:rPr>
      </w:pPr>
      <w:r w:rsidRPr="006B0C6A">
        <w:rPr>
          <w:rFonts w:eastAsiaTheme="minorHAnsi" w:cs="Arial"/>
          <w:color w:val="000000"/>
          <w:szCs w:val="22"/>
          <w:u w:val="single"/>
        </w:rPr>
        <w:t>NRC Response</w:t>
      </w:r>
    </w:p>
    <w:p w:rsidR="00113274" w:rsidRPr="006B0C6A" w:rsidRDefault="00113274" w:rsidP="00475ABA">
      <w:pPr>
        <w:rPr>
          <w:rFonts w:eastAsiaTheme="minorHAnsi" w:cs="Arial"/>
          <w:szCs w:val="22"/>
        </w:rPr>
      </w:pPr>
    </w:p>
    <w:p w:rsidR="007F4134" w:rsidRDefault="009A666F" w:rsidP="00475ABA">
      <w:pPr>
        <w:rPr>
          <w:rFonts w:cs="Arial"/>
          <w:szCs w:val="22"/>
        </w:rPr>
      </w:pPr>
      <w:r>
        <w:rPr>
          <w:rFonts w:cs="Arial"/>
          <w:szCs w:val="22"/>
        </w:rPr>
        <w:t xml:space="preserve">The NRC </w:t>
      </w:r>
      <w:r w:rsidR="00F9222C">
        <w:rPr>
          <w:rFonts w:cs="Arial"/>
          <w:szCs w:val="22"/>
        </w:rPr>
        <w:t>agrees</w:t>
      </w:r>
      <w:r>
        <w:rPr>
          <w:rFonts w:cs="Arial"/>
          <w:szCs w:val="22"/>
        </w:rPr>
        <w:t xml:space="preserve"> with this comment.  </w:t>
      </w:r>
      <w:r w:rsidR="006E0474" w:rsidRPr="006B0C6A">
        <w:rPr>
          <w:rFonts w:cs="Arial"/>
          <w:szCs w:val="22"/>
        </w:rPr>
        <w:t>No changes were made to the final generic letter as a result of this comment.</w:t>
      </w:r>
      <w:r w:rsidR="00317B8B">
        <w:rPr>
          <w:rFonts w:cs="Arial"/>
          <w:szCs w:val="22"/>
        </w:rPr>
        <w:t xml:space="preserve">  </w:t>
      </w:r>
    </w:p>
    <w:p w:rsidR="007F4134" w:rsidRDefault="007F4134" w:rsidP="00475ABA">
      <w:pPr>
        <w:rPr>
          <w:rFonts w:cs="Arial"/>
          <w:szCs w:val="22"/>
        </w:rPr>
      </w:pPr>
    </w:p>
    <w:p w:rsidR="00D87E38" w:rsidRPr="006B0C6A" w:rsidRDefault="00E027B1" w:rsidP="00475ABA">
      <w:pPr>
        <w:rPr>
          <w:rFonts w:eastAsiaTheme="minorHAnsi" w:cs="Arial"/>
          <w:szCs w:val="22"/>
        </w:rPr>
      </w:pPr>
      <w:r w:rsidRPr="006B0C6A">
        <w:rPr>
          <w:rFonts w:eastAsiaTheme="minorHAnsi" w:cs="Arial"/>
          <w:szCs w:val="22"/>
        </w:rPr>
        <w:t>Refer to response to NEI 2-5.  As stated in the draft generic letter, response to the set of requested action items</w:t>
      </w:r>
      <w:r w:rsidR="00E34448">
        <w:rPr>
          <w:rFonts w:eastAsiaTheme="minorHAnsi" w:cs="Arial"/>
          <w:szCs w:val="22"/>
        </w:rPr>
        <w:t xml:space="preserve"> </w:t>
      </w:r>
      <w:r w:rsidR="00317B8B">
        <w:rPr>
          <w:rFonts w:eastAsiaTheme="minorHAnsi" w:cs="Arial"/>
          <w:szCs w:val="22"/>
        </w:rPr>
        <w:t>(2)a</w:t>
      </w:r>
      <w:r w:rsidR="00F63959" w:rsidRPr="006B0C6A">
        <w:rPr>
          <w:rFonts w:eastAsiaTheme="minorHAnsi" w:cs="Arial"/>
          <w:szCs w:val="22"/>
        </w:rPr>
        <w:t xml:space="preserve">-e. </w:t>
      </w:r>
      <w:r w:rsidRPr="006B0C6A">
        <w:rPr>
          <w:rFonts w:eastAsiaTheme="minorHAnsi" w:cs="Arial"/>
          <w:szCs w:val="22"/>
        </w:rPr>
        <w:t>is</w:t>
      </w:r>
      <w:r w:rsidR="003C5900" w:rsidRPr="006B0C6A">
        <w:rPr>
          <w:rFonts w:eastAsiaTheme="minorHAnsi" w:cs="Arial"/>
          <w:szCs w:val="22"/>
        </w:rPr>
        <w:t xml:space="preserve"> only</w:t>
      </w:r>
      <w:r w:rsidRPr="006B0C6A">
        <w:rPr>
          <w:rFonts w:eastAsiaTheme="minorHAnsi" w:cs="Arial"/>
          <w:szCs w:val="22"/>
        </w:rPr>
        <w:t xml:space="preserve"> </w:t>
      </w:r>
      <w:r w:rsidR="00F63959" w:rsidRPr="006B0C6A">
        <w:rPr>
          <w:rFonts w:eastAsiaTheme="minorHAnsi" w:cs="Arial"/>
          <w:szCs w:val="22"/>
        </w:rPr>
        <w:t>needed</w:t>
      </w:r>
      <w:r w:rsidRPr="006B0C6A">
        <w:rPr>
          <w:rFonts w:eastAsiaTheme="minorHAnsi" w:cs="Arial"/>
          <w:szCs w:val="22"/>
        </w:rPr>
        <w:t xml:space="preserve"> if </w:t>
      </w:r>
      <w:r w:rsidR="00F63959" w:rsidRPr="006B0C6A">
        <w:rPr>
          <w:rFonts w:eastAsiaTheme="minorHAnsi" w:cs="Arial"/>
          <w:szCs w:val="22"/>
        </w:rPr>
        <w:t xml:space="preserve">an addressee identifies </w:t>
      </w:r>
      <w:r w:rsidRPr="006B0C6A">
        <w:rPr>
          <w:rFonts w:eastAsiaTheme="minorHAnsi" w:cs="Arial"/>
          <w:szCs w:val="22"/>
        </w:rPr>
        <w:t xml:space="preserve">a change in the assumptions used in the </w:t>
      </w:r>
      <w:r w:rsidR="00F63959" w:rsidRPr="006B0C6A">
        <w:rPr>
          <w:rFonts w:eastAsiaTheme="minorHAnsi" w:cs="Arial"/>
          <w:szCs w:val="22"/>
        </w:rPr>
        <w:t>ISA that affects the basis for compliance with regulatory requirements.</w:t>
      </w:r>
    </w:p>
    <w:p w:rsidR="00D87E38" w:rsidRDefault="00D87E38" w:rsidP="00475ABA">
      <w:pPr>
        <w:rPr>
          <w:rFonts w:eastAsiaTheme="minorHAnsi" w:cs="Arial"/>
          <w:szCs w:val="22"/>
        </w:rPr>
      </w:pPr>
    </w:p>
    <w:p w:rsidR="00F9222C" w:rsidRPr="006B0C6A" w:rsidRDefault="00F9222C" w:rsidP="00475ABA">
      <w:pPr>
        <w:rPr>
          <w:rFonts w:eastAsiaTheme="minorHAnsi" w:cs="Arial"/>
          <w:szCs w:val="22"/>
        </w:rPr>
      </w:pPr>
    </w:p>
    <w:p w:rsidR="00D87E38" w:rsidRPr="006B0C6A" w:rsidRDefault="00D87E38" w:rsidP="00475ABA">
      <w:pPr>
        <w:autoSpaceDE w:val="0"/>
        <w:autoSpaceDN w:val="0"/>
        <w:adjustRightInd w:val="0"/>
        <w:rPr>
          <w:rFonts w:cs="Arial"/>
          <w:i/>
          <w:szCs w:val="22"/>
          <w:u w:val="single"/>
        </w:rPr>
      </w:pPr>
      <w:r w:rsidRPr="006B0C6A">
        <w:rPr>
          <w:rFonts w:cs="Arial"/>
          <w:i/>
          <w:szCs w:val="22"/>
          <w:u w:val="single"/>
        </w:rPr>
        <w:lastRenderedPageBreak/>
        <w:t>NEI 2-7</w:t>
      </w:r>
    </w:p>
    <w:p w:rsidR="00D87E38" w:rsidRPr="006B0C6A" w:rsidRDefault="00D87E38" w:rsidP="00475ABA">
      <w:pPr>
        <w:autoSpaceDE w:val="0"/>
        <w:autoSpaceDN w:val="0"/>
        <w:adjustRightInd w:val="0"/>
        <w:rPr>
          <w:rFonts w:eastAsiaTheme="minorHAnsi" w:cs="Arial"/>
          <w:color w:val="000000"/>
          <w:szCs w:val="22"/>
        </w:rPr>
      </w:pPr>
    </w:p>
    <w:p w:rsidR="00D87E38" w:rsidRPr="006B0C6A" w:rsidRDefault="00D87E38" w:rsidP="00475ABA">
      <w:pPr>
        <w:autoSpaceDE w:val="0"/>
        <w:autoSpaceDN w:val="0"/>
        <w:adjustRightInd w:val="0"/>
        <w:rPr>
          <w:rFonts w:eastAsiaTheme="minorHAnsi" w:cs="Arial"/>
          <w:color w:val="000000"/>
          <w:szCs w:val="22"/>
        </w:rPr>
      </w:pPr>
      <w:r w:rsidRPr="006B0C6A">
        <w:rPr>
          <w:rFonts w:eastAsiaTheme="minorHAnsi" w:cs="Arial"/>
          <w:color w:val="000000"/>
          <w:szCs w:val="22"/>
        </w:rPr>
        <w:t xml:space="preserve">NRC should clarify how the generic letter will be closed. </w:t>
      </w:r>
      <w:r w:rsidR="00572E91" w:rsidRPr="006B0C6A">
        <w:rPr>
          <w:rFonts w:eastAsiaTheme="minorHAnsi" w:cs="Arial"/>
          <w:color w:val="000000"/>
          <w:szCs w:val="22"/>
        </w:rPr>
        <w:t xml:space="preserve"> </w:t>
      </w:r>
      <w:r w:rsidRPr="006B0C6A">
        <w:rPr>
          <w:rFonts w:eastAsiaTheme="minorHAnsi" w:cs="Arial"/>
          <w:color w:val="000000"/>
          <w:szCs w:val="22"/>
        </w:rPr>
        <w:t>During the</w:t>
      </w:r>
      <w:r w:rsidR="00317B8B">
        <w:rPr>
          <w:rFonts w:eastAsiaTheme="minorHAnsi" w:cs="Arial"/>
          <w:color w:val="000000"/>
          <w:szCs w:val="22"/>
        </w:rPr>
        <w:t xml:space="preserve"> September 2014 public meeting,</w:t>
      </w:r>
      <w:r w:rsidR="00C12749">
        <w:rPr>
          <w:rFonts w:eastAsiaTheme="minorHAnsi" w:cs="Arial"/>
          <w:color w:val="000000"/>
          <w:szCs w:val="22"/>
        </w:rPr>
        <w:t xml:space="preserve"> </w:t>
      </w:r>
      <w:r w:rsidRPr="006B0C6A">
        <w:rPr>
          <w:rFonts w:eastAsiaTheme="minorHAnsi" w:cs="Arial"/>
          <w:color w:val="000000"/>
          <w:szCs w:val="22"/>
        </w:rPr>
        <w:t xml:space="preserve">NRC staff stated that it would issue a letter to document closure of the generic letter response review process. </w:t>
      </w:r>
      <w:r w:rsidR="00572E91" w:rsidRPr="006B0C6A">
        <w:rPr>
          <w:rFonts w:eastAsiaTheme="minorHAnsi" w:cs="Arial"/>
          <w:color w:val="000000"/>
          <w:szCs w:val="22"/>
        </w:rPr>
        <w:t xml:space="preserve"> </w:t>
      </w:r>
      <w:r w:rsidRPr="006B0C6A">
        <w:rPr>
          <w:rFonts w:eastAsiaTheme="minorHAnsi" w:cs="Arial"/>
          <w:color w:val="000000"/>
          <w:szCs w:val="22"/>
        </w:rPr>
        <w:t>As such, industry assumes that NRC would issue</w:t>
      </w:r>
      <w:r w:rsidR="00317B8B">
        <w:rPr>
          <w:rFonts w:eastAsiaTheme="minorHAnsi" w:cs="Arial"/>
          <w:color w:val="000000"/>
          <w:szCs w:val="22"/>
        </w:rPr>
        <w:t xml:space="preserve"> a letter to each facility when</w:t>
      </w:r>
      <w:r w:rsidR="00C12749">
        <w:rPr>
          <w:rFonts w:eastAsiaTheme="minorHAnsi" w:cs="Arial"/>
          <w:color w:val="000000"/>
          <w:szCs w:val="22"/>
        </w:rPr>
        <w:t xml:space="preserve"> </w:t>
      </w:r>
      <w:r w:rsidRPr="006B0C6A">
        <w:rPr>
          <w:rFonts w:eastAsiaTheme="minorHAnsi" w:cs="Arial"/>
          <w:color w:val="000000"/>
          <w:szCs w:val="22"/>
        </w:rPr>
        <w:t xml:space="preserve">NRC completes its review of that facility, rather than NRC issuing a single letter to summarize the aggregated review of all facilities. </w:t>
      </w:r>
      <w:r w:rsidR="00572E91" w:rsidRPr="006B0C6A">
        <w:rPr>
          <w:rFonts w:eastAsiaTheme="minorHAnsi" w:cs="Arial"/>
          <w:color w:val="000000"/>
          <w:szCs w:val="22"/>
        </w:rPr>
        <w:t xml:space="preserve"> </w:t>
      </w:r>
      <w:r w:rsidRPr="006B0C6A">
        <w:rPr>
          <w:rFonts w:eastAsiaTheme="minorHAnsi" w:cs="Arial"/>
          <w:color w:val="000000"/>
          <w:szCs w:val="22"/>
        </w:rPr>
        <w:t xml:space="preserve">Therefore, we request NRC clarification on the process to be used. </w:t>
      </w:r>
    </w:p>
    <w:p w:rsidR="00D87E38" w:rsidRPr="006B0C6A" w:rsidRDefault="00D87E38" w:rsidP="00475ABA">
      <w:pPr>
        <w:rPr>
          <w:rFonts w:eastAsiaTheme="minorHAnsi" w:cs="Arial"/>
          <w:szCs w:val="22"/>
        </w:rPr>
      </w:pPr>
    </w:p>
    <w:p w:rsidR="00D87E38" w:rsidRPr="006B0C6A" w:rsidRDefault="00D87E38" w:rsidP="00475ABA">
      <w:pPr>
        <w:autoSpaceDE w:val="0"/>
        <w:autoSpaceDN w:val="0"/>
        <w:adjustRightInd w:val="0"/>
        <w:rPr>
          <w:rFonts w:eastAsiaTheme="minorHAnsi" w:cs="Arial"/>
          <w:color w:val="000000"/>
          <w:szCs w:val="22"/>
          <w:u w:val="single"/>
        </w:rPr>
      </w:pPr>
      <w:r w:rsidRPr="006B0C6A">
        <w:rPr>
          <w:rFonts w:eastAsiaTheme="minorHAnsi" w:cs="Arial"/>
          <w:color w:val="000000"/>
          <w:szCs w:val="22"/>
          <w:u w:val="single"/>
        </w:rPr>
        <w:t>NRC Response</w:t>
      </w:r>
    </w:p>
    <w:p w:rsidR="00D87E38" w:rsidRPr="006B0C6A" w:rsidRDefault="00D87E38" w:rsidP="00475ABA">
      <w:pPr>
        <w:rPr>
          <w:rFonts w:eastAsiaTheme="minorHAnsi" w:cs="Arial"/>
          <w:szCs w:val="22"/>
        </w:rPr>
      </w:pPr>
    </w:p>
    <w:p w:rsidR="00F63959" w:rsidRPr="006B0C6A" w:rsidRDefault="009A666F" w:rsidP="00475ABA">
      <w:pPr>
        <w:rPr>
          <w:rFonts w:cs="Arial"/>
          <w:szCs w:val="22"/>
        </w:rPr>
      </w:pPr>
      <w:r>
        <w:rPr>
          <w:rFonts w:cs="Arial"/>
          <w:szCs w:val="22"/>
        </w:rPr>
        <w:t xml:space="preserve">The NRC </w:t>
      </w:r>
      <w:r w:rsidR="00F9222C">
        <w:rPr>
          <w:rFonts w:cs="Arial"/>
          <w:szCs w:val="22"/>
        </w:rPr>
        <w:t xml:space="preserve">agrees </w:t>
      </w:r>
      <w:r>
        <w:rPr>
          <w:rFonts w:cs="Arial"/>
          <w:szCs w:val="22"/>
        </w:rPr>
        <w:t xml:space="preserve">with this comment.  </w:t>
      </w:r>
      <w:r w:rsidR="00F63959" w:rsidRPr="006B0C6A">
        <w:rPr>
          <w:rFonts w:cs="Arial"/>
          <w:szCs w:val="22"/>
        </w:rPr>
        <w:t>No changes were made to the final generic letter as a result of this comment.</w:t>
      </w:r>
    </w:p>
    <w:p w:rsidR="00F63959" w:rsidRPr="006B0C6A" w:rsidRDefault="00F63959" w:rsidP="00475ABA">
      <w:pPr>
        <w:rPr>
          <w:rFonts w:eastAsiaTheme="minorHAnsi" w:cs="Arial"/>
          <w:szCs w:val="22"/>
        </w:rPr>
      </w:pPr>
    </w:p>
    <w:p w:rsidR="003C2DAD" w:rsidRPr="006B0C6A" w:rsidRDefault="00F63959" w:rsidP="00475ABA">
      <w:pPr>
        <w:autoSpaceDE w:val="0"/>
        <w:autoSpaceDN w:val="0"/>
        <w:adjustRightInd w:val="0"/>
        <w:rPr>
          <w:rFonts w:eastAsiaTheme="minorHAnsi" w:cs="Arial"/>
          <w:szCs w:val="22"/>
        </w:rPr>
      </w:pPr>
      <w:r w:rsidRPr="006B0C6A">
        <w:rPr>
          <w:rFonts w:eastAsiaTheme="minorHAnsi" w:cs="Arial"/>
          <w:szCs w:val="22"/>
        </w:rPr>
        <w:t>As part of the generic letter closure process, the NRC will provide a closure letter to each individual licensee documenting the review of the generic letter responses.</w:t>
      </w:r>
      <w:r w:rsidR="007021CE" w:rsidRPr="006B0C6A">
        <w:rPr>
          <w:rFonts w:eastAsiaTheme="minorHAnsi" w:cs="Arial"/>
          <w:szCs w:val="22"/>
        </w:rPr>
        <w:t xml:space="preserve">  </w:t>
      </w:r>
      <w:r w:rsidRPr="006B0C6A">
        <w:rPr>
          <w:rFonts w:cs="Arial"/>
          <w:szCs w:val="22"/>
        </w:rPr>
        <w:t xml:space="preserve">In accordance with </w:t>
      </w:r>
      <w:r w:rsidRPr="006B0C6A">
        <w:rPr>
          <w:rFonts w:eastAsiaTheme="minorHAnsi" w:cs="Arial"/>
          <w:color w:val="000000"/>
          <w:szCs w:val="22"/>
        </w:rPr>
        <w:t>NRC Management Directive 8.18</w:t>
      </w:r>
      <w:r w:rsidRPr="006B0C6A">
        <w:rPr>
          <w:rFonts w:cs="Arial"/>
          <w:szCs w:val="22"/>
        </w:rPr>
        <w:t>,</w:t>
      </w:r>
      <w:r w:rsidR="00C12749">
        <w:rPr>
          <w:rFonts w:cs="Arial"/>
          <w:szCs w:val="22"/>
        </w:rPr>
        <w:t xml:space="preserve"> </w:t>
      </w:r>
      <w:r w:rsidR="00317B8B">
        <w:rPr>
          <w:rFonts w:cs="Arial"/>
          <w:szCs w:val="22"/>
        </w:rPr>
        <w:t>“</w:t>
      </w:r>
      <w:r w:rsidRPr="006B0C6A">
        <w:rPr>
          <w:rFonts w:cs="Arial"/>
          <w:szCs w:val="22"/>
        </w:rPr>
        <w:t xml:space="preserve">Generic Communications Program,” once the licensee responses to the generic letter </w:t>
      </w:r>
      <w:r w:rsidR="001551A9" w:rsidRPr="006B0C6A">
        <w:rPr>
          <w:rFonts w:cs="Arial"/>
          <w:szCs w:val="22"/>
        </w:rPr>
        <w:t>ha</w:t>
      </w:r>
      <w:r w:rsidR="00C12749">
        <w:rPr>
          <w:rFonts w:cs="Arial"/>
          <w:szCs w:val="22"/>
        </w:rPr>
        <w:t>ve</w:t>
      </w:r>
      <w:r w:rsidRPr="006B0C6A">
        <w:rPr>
          <w:rFonts w:cs="Arial"/>
          <w:szCs w:val="22"/>
        </w:rPr>
        <w:t xml:space="preserve"> been submitted to the NRC, the staff will perform its review</w:t>
      </w:r>
      <w:r w:rsidR="001551A9" w:rsidRPr="006B0C6A">
        <w:rPr>
          <w:rFonts w:cs="Arial"/>
          <w:szCs w:val="22"/>
        </w:rPr>
        <w:t xml:space="preserve"> of the responses and </w:t>
      </w:r>
      <w:r w:rsidR="00C12749">
        <w:rPr>
          <w:rFonts w:cs="Arial"/>
          <w:szCs w:val="22"/>
        </w:rPr>
        <w:t>issue</w:t>
      </w:r>
      <w:r w:rsidRPr="006B0C6A">
        <w:rPr>
          <w:rFonts w:cs="Arial"/>
          <w:szCs w:val="22"/>
        </w:rPr>
        <w:t xml:space="preserve"> request</w:t>
      </w:r>
      <w:r w:rsidR="00C12749">
        <w:rPr>
          <w:rFonts w:cs="Arial"/>
          <w:szCs w:val="22"/>
        </w:rPr>
        <w:t>s</w:t>
      </w:r>
      <w:r w:rsidRPr="006B0C6A">
        <w:rPr>
          <w:rFonts w:cs="Arial"/>
          <w:szCs w:val="22"/>
        </w:rPr>
        <w:t xml:space="preserve"> for additional information as appropriate</w:t>
      </w:r>
      <w:r w:rsidR="001551A9" w:rsidRPr="006B0C6A">
        <w:rPr>
          <w:rFonts w:cs="Arial"/>
          <w:szCs w:val="22"/>
        </w:rPr>
        <w:t xml:space="preserve">.  In addition, the staff may perform </w:t>
      </w:r>
      <w:r w:rsidR="001551A9" w:rsidRPr="006B0C6A">
        <w:rPr>
          <w:rFonts w:eastAsiaTheme="minorHAnsi" w:cs="Arial"/>
          <w:szCs w:val="22"/>
        </w:rPr>
        <w:t>site inspections or other follow-up actions as applicable to complement the review/closure process</w:t>
      </w:r>
      <w:r w:rsidRPr="006B0C6A">
        <w:rPr>
          <w:rFonts w:cs="Arial"/>
          <w:szCs w:val="22"/>
        </w:rPr>
        <w:t xml:space="preserve">. </w:t>
      </w:r>
      <w:r w:rsidR="001551A9" w:rsidRPr="006B0C6A">
        <w:rPr>
          <w:rFonts w:cs="Arial"/>
          <w:szCs w:val="22"/>
        </w:rPr>
        <w:t xml:space="preserve"> </w:t>
      </w:r>
      <w:r w:rsidRPr="006B0C6A">
        <w:rPr>
          <w:rFonts w:cs="Arial"/>
          <w:szCs w:val="22"/>
        </w:rPr>
        <w:t>Once the staff confirms that a licensee h</w:t>
      </w:r>
      <w:r w:rsidR="001551A9" w:rsidRPr="006B0C6A">
        <w:rPr>
          <w:rFonts w:cs="Arial"/>
          <w:szCs w:val="22"/>
        </w:rPr>
        <w:t>as responded adequately to the generic letter</w:t>
      </w:r>
      <w:r w:rsidRPr="006B0C6A">
        <w:rPr>
          <w:rFonts w:cs="Arial"/>
          <w:szCs w:val="22"/>
        </w:rPr>
        <w:t>, the</w:t>
      </w:r>
      <w:r w:rsidR="001551A9" w:rsidRPr="006B0C6A">
        <w:rPr>
          <w:rFonts w:cs="Arial"/>
          <w:szCs w:val="22"/>
        </w:rPr>
        <w:t xml:space="preserve"> staff will provide a letter to each individual licensee</w:t>
      </w:r>
      <w:r w:rsidRPr="006B0C6A">
        <w:rPr>
          <w:rFonts w:cs="Arial"/>
          <w:szCs w:val="22"/>
        </w:rPr>
        <w:t xml:space="preserve"> stating that the NRC’s review is complete and that</w:t>
      </w:r>
      <w:r w:rsidR="00214B87" w:rsidRPr="006B0C6A">
        <w:rPr>
          <w:rFonts w:cs="Arial"/>
          <w:szCs w:val="22"/>
        </w:rPr>
        <w:t xml:space="preserve"> the generic letter</w:t>
      </w:r>
      <w:r w:rsidRPr="006B0C6A">
        <w:rPr>
          <w:rFonts w:cs="Arial"/>
          <w:szCs w:val="22"/>
        </w:rPr>
        <w:t xml:space="preserve"> is closed for that facility.</w:t>
      </w:r>
    </w:p>
    <w:p w:rsidR="003C2DAD" w:rsidRPr="006B0C6A" w:rsidRDefault="003C2DAD" w:rsidP="00475ABA">
      <w:pPr>
        <w:rPr>
          <w:rFonts w:eastAsiaTheme="minorHAnsi" w:cs="Arial"/>
          <w:szCs w:val="22"/>
        </w:rPr>
      </w:pPr>
    </w:p>
    <w:p w:rsidR="003C2DAD" w:rsidRPr="006B0C6A" w:rsidRDefault="003C2DAD" w:rsidP="00475ABA">
      <w:pPr>
        <w:autoSpaceDE w:val="0"/>
        <w:autoSpaceDN w:val="0"/>
        <w:adjustRightInd w:val="0"/>
        <w:rPr>
          <w:rFonts w:cs="Arial"/>
          <w:i/>
          <w:szCs w:val="22"/>
          <w:u w:val="single"/>
        </w:rPr>
      </w:pPr>
      <w:r w:rsidRPr="006B0C6A">
        <w:rPr>
          <w:rFonts w:cs="Arial"/>
          <w:i/>
          <w:szCs w:val="22"/>
          <w:u w:val="single"/>
        </w:rPr>
        <w:t>NEI 2-8</w:t>
      </w:r>
    </w:p>
    <w:p w:rsidR="003C2DAD" w:rsidRPr="006B0C6A" w:rsidRDefault="003C2DAD" w:rsidP="00475ABA">
      <w:pPr>
        <w:rPr>
          <w:rFonts w:eastAsiaTheme="minorHAnsi" w:cs="Arial"/>
          <w:szCs w:val="22"/>
        </w:rPr>
      </w:pPr>
    </w:p>
    <w:p w:rsidR="003C2DAD" w:rsidRPr="006B0C6A" w:rsidRDefault="003C2DAD" w:rsidP="00475ABA">
      <w:pPr>
        <w:autoSpaceDE w:val="0"/>
        <w:autoSpaceDN w:val="0"/>
        <w:adjustRightInd w:val="0"/>
        <w:rPr>
          <w:rFonts w:eastAsiaTheme="minorHAnsi" w:cs="Arial"/>
          <w:color w:val="000000"/>
          <w:szCs w:val="22"/>
        </w:rPr>
      </w:pPr>
      <w:r w:rsidRPr="006B0C6A">
        <w:rPr>
          <w:rFonts w:eastAsiaTheme="minorHAnsi" w:cs="Arial"/>
          <w:color w:val="000000"/>
          <w:szCs w:val="22"/>
        </w:rPr>
        <w:t xml:space="preserve">Also during the September 2014 public meeting, NRC stated that an Interim Staff Guidance (ISG) is being developed to facilitate licensee responses to and compliance with the generic letter. </w:t>
      </w:r>
      <w:r w:rsidR="004B5A37" w:rsidRPr="006B0C6A">
        <w:rPr>
          <w:rFonts w:eastAsiaTheme="minorHAnsi" w:cs="Arial"/>
          <w:color w:val="000000"/>
          <w:szCs w:val="22"/>
        </w:rPr>
        <w:t xml:space="preserve"> </w:t>
      </w:r>
      <w:r w:rsidRPr="006B0C6A">
        <w:rPr>
          <w:rFonts w:eastAsiaTheme="minorHAnsi" w:cs="Arial"/>
          <w:color w:val="000000"/>
          <w:szCs w:val="22"/>
        </w:rPr>
        <w:t>The timing of such guidance is unclear, and was not reflected in the September version of NRC’s regulatory initiatives integrated schedule.</w:t>
      </w:r>
      <w:r w:rsidR="004B5A37" w:rsidRPr="006B0C6A">
        <w:rPr>
          <w:rFonts w:eastAsiaTheme="minorHAnsi" w:cs="Arial"/>
          <w:color w:val="000000"/>
          <w:szCs w:val="22"/>
        </w:rPr>
        <w:t xml:space="preserve"> </w:t>
      </w:r>
      <w:r w:rsidRPr="006B0C6A">
        <w:rPr>
          <w:rFonts w:eastAsiaTheme="minorHAnsi" w:cs="Arial"/>
          <w:color w:val="000000"/>
          <w:szCs w:val="22"/>
        </w:rPr>
        <w:t xml:space="preserve"> Admittedly, there are pros and cons to issuing a final ISG before or after issuance of a final generic letter. </w:t>
      </w:r>
      <w:r w:rsidR="004B5A37" w:rsidRPr="006B0C6A">
        <w:rPr>
          <w:rFonts w:eastAsiaTheme="minorHAnsi" w:cs="Arial"/>
          <w:color w:val="000000"/>
          <w:szCs w:val="22"/>
        </w:rPr>
        <w:t xml:space="preserve"> </w:t>
      </w:r>
      <w:r w:rsidRPr="006B0C6A">
        <w:rPr>
          <w:rFonts w:eastAsiaTheme="minorHAnsi" w:cs="Arial"/>
          <w:color w:val="000000"/>
          <w:szCs w:val="22"/>
        </w:rPr>
        <w:t xml:space="preserve">For example, the final generic letter could be issued first, thereby informing the final ISG or vice versa. </w:t>
      </w:r>
      <w:r w:rsidR="004B5A37" w:rsidRPr="006B0C6A">
        <w:rPr>
          <w:rFonts w:eastAsiaTheme="minorHAnsi" w:cs="Arial"/>
          <w:color w:val="000000"/>
          <w:szCs w:val="22"/>
        </w:rPr>
        <w:t xml:space="preserve"> </w:t>
      </w:r>
      <w:r w:rsidRPr="006B0C6A">
        <w:rPr>
          <w:rFonts w:eastAsiaTheme="minorHAnsi" w:cs="Arial"/>
          <w:color w:val="000000"/>
          <w:szCs w:val="22"/>
        </w:rPr>
        <w:t xml:space="preserve">That being said, we suggest that a draft ISG be issued for comment with a due date in advance of the final generic letter being issued for the following reasons: 1) review of the draft ISG could reveal to NRC different interpretations of what is expected in the industry responses to the generic letter that would need to be resolved prior to issuing the final generic letter; 2) stakeholder comments on the draft ISG could further inform the contents and scope, and improve the clarity, of the final generic letter; and 3) licensees would gain the insights provided by the draft ISG and, in practical terms, be afforded additional time to prepare their responses. </w:t>
      </w:r>
      <w:r w:rsidR="004B5A37" w:rsidRPr="006B0C6A">
        <w:rPr>
          <w:rFonts w:eastAsiaTheme="minorHAnsi" w:cs="Arial"/>
          <w:color w:val="000000"/>
          <w:szCs w:val="22"/>
        </w:rPr>
        <w:t xml:space="preserve"> </w:t>
      </w:r>
      <w:r w:rsidRPr="006B0C6A">
        <w:rPr>
          <w:rFonts w:eastAsiaTheme="minorHAnsi" w:cs="Arial"/>
          <w:color w:val="000000"/>
          <w:szCs w:val="22"/>
        </w:rPr>
        <w:t xml:space="preserve">With this approach, the final ISG could be issued simultaneously with issuance of the final generic letter. </w:t>
      </w:r>
    </w:p>
    <w:p w:rsidR="003C2DAD" w:rsidRPr="006B0C6A" w:rsidRDefault="003C2DAD" w:rsidP="00475ABA">
      <w:pPr>
        <w:rPr>
          <w:rFonts w:eastAsiaTheme="minorHAnsi" w:cs="Arial"/>
          <w:szCs w:val="22"/>
        </w:rPr>
      </w:pPr>
    </w:p>
    <w:p w:rsidR="003C2DAD" w:rsidRPr="006B0C6A" w:rsidRDefault="003C2DAD" w:rsidP="00475ABA">
      <w:pPr>
        <w:autoSpaceDE w:val="0"/>
        <w:autoSpaceDN w:val="0"/>
        <w:adjustRightInd w:val="0"/>
        <w:rPr>
          <w:rFonts w:eastAsiaTheme="minorHAnsi" w:cs="Arial"/>
          <w:color w:val="000000"/>
          <w:szCs w:val="22"/>
          <w:u w:val="single"/>
        </w:rPr>
      </w:pPr>
      <w:r w:rsidRPr="006B0C6A">
        <w:rPr>
          <w:rFonts w:eastAsiaTheme="minorHAnsi" w:cs="Arial"/>
          <w:color w:val="000000"/>
          <w:szCs w:val="22"/>
          <w:u w:val="single"/>
        </w:rPr>
        <w:t>NRC Response</w:t>
      </w:r>
    </w:p>
    <w:p w:rsidR="003C2DAD" w:rsidRPr="006B0C6A" w:rsidRDefault="003C2DAD" w:rsidP="00475ABA">
      <w:pPr>
        <w:rPr>
          <w:rFonts w:eastAsiaTheme="minorHAnsi" w:cs="Arial"/>
          <w:szCs w:val="22"/>
        </w:rPr>
      </w:pPr>
    </w:p>
    <w:p w:rsidR="00317B8B" w:rsidRDefault="00E9089C" w:rsidP="00475ABA">
      <w:pPr>
        <w:rPr>
          <w:rFonts w:eastAsiaTheme="minorHAnsi" w:cs="Arial"/>
          <w:color w:val="000000"/>
          <w:szCs w:val="22"/>
        </w:rPr>
      </w:pPr>
      <w:r>
        <w:rPr>
          <w:rFonts w:eastAsiaTheme="minorHAnsi" w:cs="Arial"/>
          <w:color w:val="000000"/>
          <w:szCs w:val="22"/>
        </w:rPr>
        <w:t xml:space="preserve">The </w:t>
      </w:r>
      <w:r w:rsidR="00DE443B" w:rsidRPr="006B0C6A">
        <w:rPr>
          <w:rFonts w:eastAsiaTheme="minorHAnsi" w:cs="Arial"/>
          <w:color w:val="000000"/>
          <w:szCs w:val="22"/>
        </w:rPr>
        <w:t xml:space="preserve">NRC agrees with the comment.  </w:t>
      </w:r>
      <w:r w:rsidR="00A66847" w:rsidRPr="006B0C6A">
        <w:rPr>
          <w:rFonts w:eastAsiaTheme="minorHAnsi" w:cs="Arial"/>
          <w:color w:val="000000"/>
          <w:szCs w:val="22"/>
        </w:rPr>
        <w:t xml:space="preserve">However, no changes were made to the generic letter as a result of this comment. </w:t>
      </w:r>
    </w:p>
    <w:p w:rsidR="00E34448" w:rsidRDefault="00E34448" w:rsidP="00475ABA">
      <w:pPr>
        <w:rPr>
          <w:rFonts w:eastAsiaTheme="minorHAnsi" w:cs="Arial"/>
          <w:color w:val="000000"/>
          <w:szCs w:val="22"/>
        </w:rPr>
      </w:pPr>
    </w:p>
    <w:p w:rsidR="00DC477C" w:rsidRPr="006B0C6A" w:rsidRDefault="00FD46BF" w:rsidP="00475ABA">
      <w:pPr>
        <w:rPr>
          <w:rFonts w:eastAsiaTheme="minorHAnsi" w:cs="Arial"/>
          <w:color w:val="000000"/>
          <w:szCs w:val="22"/>
        </w:rPr>
      </w:pPr>
      <w:r w:rsidRPr="006B0C6A">
        <w:rPr>
          <w:rFonts w:eastAsiaTheme="minorHAnsi" w:cs="Arial"/>
          <w:color w:val="000000"/>
          <w:szCs w:val="22"/>
        </w:rPr>
        <w:t xml:space="preserve">The </w:t>
      </w:r>
      <w:r w:rsidRPr="006B0C6A">
        <w:rPr>
          <w:rFonts w:eastAsiaTheme="minorHAnsi" w:cs="Arial"/>
          <w:szCs w:val="22"/>
        </w:rPr>
        <w:t xml:space="preserve">NRC will develop general staff guidance on the topic of treatment of </w:t>
      </w:r>
      <w:r w:rsidR="00E9089C">
        <w:rPr>
          <w:rFonts w:eastAsiaTheme="minorHAnsi" w:cs="Arial"/>
          <w:szCs w:val="22"/>
        </w:rPr>
        <w:t>NPH</w:t>
      </w:r>
      <w:r w:rsidRPr="006B0C6A">
        <w:rPr>
          <w:rFonts w:eastAsiaTheme="minorHAnsi" w:cs="Arial"/>
          <w:szCs w:val="22"/>
        </w:rPr>
        <w:t xml:space="preserve"> (e.g.</w:t>
      </w:r>
      <w:r w:rsidR="00E9089C">
        <w:rPr>
          <w:rFonts w:eastAsiaTheme="minorHAnsi" w:cs="Arial"/>
          <w:szCs w:val="22"/>
        </w:rPr>
        <w:t>,</w:t>
      </w:r>
      <w:r w:rsidRPr="006B0C6A">
        <w:rPr>
          <w:rFonts w:eastAsiaTheme="minorHAnsi" w:cs="Arial"/>
          <w:szCs w:val="22"/>
        </w:rPr>
        <w:t xml:space="preserve"> seismic hazards) and </w:t>
      </w:r>
      <w:r w:rsidRPr="006B0C6A">
        <w:rPr>
          <w:rFonts w:eastAsiaTheme="minorHAnsi" w:cs="Arial"/>
          <w:color w:val="000000"/>
          <w:szCs w:val="22"/>
        </w:rPr>
        <w:t xml:space="preserve">will notice it in the </w:t>
      </w:r>
      <w:r w:rsidRPr="00E9089C">
        <w:rPr>
          <w:rFonts w:eastAsiaTheme="minorHAnsi" w:cs="Arial"/>
          <w:i/>
          <w:color w:val="000000"/>
          <w:szCs w:val="22"/>
        </w:rPr>
        <w:t>Federal Register</w:t>
      </w:r>
      <w:r w:rsidRPr="006B0C6A">
        <w:rPr>
          <w:rFonts w:eastAsiaTheme="minorHAnsi" w:cs="Arial"/>
          <w:color w:val="000000"/>
          <w:szCs w:val="22"/>
        </w:rPr>
        <w:t xml:space="preserve">. </w:t>
      </w:r>
      <w:r w:rsidR="00CD1B6B" w:rsidRPr="006B0C6A">
        <w:rPr>
          <w:rFonts w:eastAsiaTheme="minorHAnsi" w:cs="Arial"/>
          <w:color w:val="000000"/>
          <w:szCs w:val="22"/>
        </w:rPr>
        <w:t xml:space="preserve"> </w:t>
      </w:r>
      <w:r w:rsidRPr="006B0C6A">
        <w:rPr>
          <w:rFonts w:eastAsiaTheme="minorHAnsi" w:cs="Arial"/>
          <w:color w:val="000000"/>
          <w:szCs w:val="22"/>
        </w:rPr>
        <w:t xml:space="preserve">The staff guidance will be generic to address </w:t>
      </w:r>
      <w:r w:rsidRPr="006B0C6A">
        <w:rPr>
          <w:rFonts w:eastAsiaTheme="minorHAnsi" w:cs="Arial"/>
          <w:color w:val="000000"/>
          <w:szCs w:val="22"/>
        </w:rPr>
        <w:lastRenderedPageBreak/>
        <w:t xml:space="preserve">the topic and will not be linked with the closure of the </w:t>
      </w:r>
      <w:r w:rsidR="00E9089C">
        <w:rPr>
          <w:rFonts w:eastAsiaTheme="minorHAnsi" w:cs="Arial"/>
          <w:color w:val="000000"/>
          <w:szCs w:val="22"/>
        </w:rPr>
        <w:t>generic letter</w:t>
      </w:r>
      <w:r w:rsidRPr="006B0C6A">
        <w:rPr>
          <w:rFonts w:eastAsiaTheme="minorHAnsi" w:cs="Arial"/>
          <w:color w:val="000000"/>
          <w:szCs w:val="22"/>
        </w:rPr>
        <w:t>.  To ensure that external stakeholders have the opportunity to see the staff’s guidance, it will be issued for public comment with a due date in advance of the final generic letter.  In addition, as part of the agenc</w:t>
      </w:r>
      <w:r w:rsidR="00BB127E">
        <w:rPr>
          <w:rFonts w:eastAsiaTheme="minorHAnsi" w:cs="Arial"/>
          <w:color w:val="000000"/>
          <w:szCs w:val="22"/>
        </w:rPr>
        <w:t>y</w:t>
      </w:r>
      <w:r w:rsidR="00E9089C">
        <w:rPr>
          <w:rFonts w:eastAsiaTheme="minorHAnsi" w:cs="Arial"/>
          <w:color w:val="000000"/>
          <w:szCs w:val="22"/>
        </w:rPr>
        <w:t>’</w:t>
      </w:r>
      <w:r w:rsidR="00BB127E">
        <w:rPr>
          <w:rFonts w:eastAsiaTheme="minorHAnsi" w:cs="Arial"/>
          <w:color w:val="000000"/>
          <w:szCs w:val="22"/>
        </w:rPr>
        <w:t>s</w:t>
      </w:r>
      <w:r w:rsidRPr="006B0C6A">
        <w:rPr>
          <w:rFonts w:eastAsiaTheme="minorHAnsi" w:cs="Arial"/>
          <w:color w:val="000000"/>
          <w:szCs w:val="22"/>
        </w:rPr>
        <w:t xml:space="preserve"> effort to consider C</w:t>
      </w:r>
      <w:r w:rsidR="00E9089C">
        <w:rPr>
          <w:rFonts w:eastAsiaTheme="minorHAnsi" w:cs="Arial"/>
          <w:color w:val="000000"/>
          <w:szCs w:val="22"/>
        </w:rPr>
        <w:t>ER</w:t>
      </w:r>
      <w:r w:rsidRPr="006B0C6A">
        <w:rPr>
          <w:rFonts w:eastAsiaTheme="minorHAnsi" w:cs="Arial"/>
          <w:color w:val="000000"/>
          <w:szCs w:val="22"/>
        </w:rPr>
        <w:t>, the schedule for the issuance of the staff guidance will be included in the NRC’s regulatory initiatives integrated schedule.</w:t>
      </w:r>
      <w:r w:rsidR="00501B64" w:rsidRPr="006B0C6A">
        <w:rPr>
          <w:rFonts w:cs="Arial"/>
          <w:szCs w:val="22"/>
        </w:rPr>
        <w:t xml:space="preserve">  The NRC staff will track the status for development of the generic letter and ISG using the fuel cycle facilities </w:t>
      </w:r>
      <w:r w:rsidR="00E9089C">
        <w:rPr>
          <w:rFonts w:cs="Arial"/>
          <w:szCs w:val="22"/>
        </w:rPr>
        <w:t>“</w:t>
      </w:r>
      <w:r w:rsidR="00501B64" w:rsidRPr="006B0C6A">
        <w:rPr>
          <w:rFonts w:cs="Arial"/>
          <w:szCs w:val="22"/>
        </w:rPr>
        <w:t>Integrated Schedule for Cumulative Effects of Regulation</w:t>
      </w:r>
      <w:r w:rsidR="00631D0F">
        <w:rPr>
          <w:rFonts w:cs="Arial"/>
          <w:szCs w:val="22"/>
        </w:rPr>
        <w:t xml:space="preserve">,” </w:t>
      </w:r>
      <w:r w:rsidR="00501B64" w:rsidRPr="006B0C6A">
        <w:rPr>
          <w:rFonts w:cs="Arial"/>
          <w:szCs w:val="22"/>
        </w:rPr>
        <w:t xml:space="preserve">available on the NRC public website at </w:t>
      </w:r>
      <w:hyperlink r:id="rId12" w:anchor="cumeffects" w:history="1">
        <w:r w:rsidR="00501B64" w:rsidRPr="006B0C6A">
          <w:rPr>
            <w:rStyle w:val="Hyperlink"/>
            <w:rFonts w:cs="Arial"/>
            <w:szCs w:val="22"/>
          </w:rPr>
          <w:t>http://www.nrc.gov/materials/fuel-cycle-fac/regs-guides-comm.html#cumeffects</w:t>
        </w:r>
      </w:hyperlink>
      <w:r w:rsidR="00501B64" w:rsidRPr="006B0C6A">
        <w:rPr>
          <w:rFonts w:cs="Arial"/>
          <w:szCs w:val="22"/>
        </w:rPr>
        <w:t>.</w:t>
      </w:r>
    </w:p>
    <w:p w:rsidR="00FD46BF" w:rsidRPr="006B0C6A" w:rsidRDefault="00FD46BF" w:rsidP="00475ABA">
      <w:pPr>
        <w:rPr>
          <w:rFonts w:eastAsiaTheme="minorHAnsi" w:cs="Arial"/>
          <w:color w:val="000000"/>
          <w:szCs w:val="22"/>
        </w:rPr>
      </w:pPr>
    </w:p>
    <w:p w:rsidR="00DC477C" w:rsidRPr="006B0C6A" w:rsidRDefault="00DC477C" w:rsidP="00475ABA">
      <w:pPr>
        <w:rPr>
          <w:rFonts w:eastAsiaTheme="minorHAnsi" w:cs="Arial"/>
          <w:color w:val="000000"/>
          <w:szCs w:val="22"/>
        </w:rPr>
      </w:pPr>
      <w:r w:rsidRPr="006B0C6A">
        <w:rPr>
          <w:rFonts w:eastAsiaTheme="minorHAnsi" w:cs="Arial"/>
          <w:i/>
          <w:color w:val="000000"/>
          <w:szCs w:val="22"/>
          <w:u w:val="single"/>
        </w:rPr>
        <w:t>NEI 2-Attachment 1</w:t>
      </w:r>
      <w:r w:rsidR="005438E9" w:rsidRPr="006B0C6A">
        <w:rPr>
          <w:rFonts w:eastAsiaTheme="minorHAnsi" w:cs="Arial"/>
          <w:i/>
          <w:color w:val="000000"/>
          <w:szCs w:val="22"/>
          <w:u w:val="single"/>
        </w:rPr>
        <w:t xml:space="preserve"> (Cumulative Effects of </w:t>
      </w:r>
      <w:r w:rsidR="00CD5FE4" w:rsidRPr="006B0C6A">
        <w:rPr>
          <w:rFonts w:eastAsiaTheme="minorHAnsi" w:cs="Arial"/>
          <w:i/>
          <w:color w:val="000000"/>
          <w:szCs w:val="22"/>
          <w:u w:val="single"/>
        </w:rPr>
        <w:t>Regulation</w:t>
      </w:r>
      <w:r w:rsidR="005438E9" w:rsidRPr="006B0C6A">
        <w:rPr>
          <w:rFonts w:eastAsiaTheme="minorHAnsi" w:cs="Arial"/>
          <w:i/>
          <w:color w:val="000000"/>
          <w:szCs w:val="22"/>
          <w:u w:val="single"/>
        </w:rPr>
        <w:t xml:space="preserve">) </w:t>
      </w:r>
    </w:p>
    <w:p w:rsidR="00D70040" w:rsidRPr="006B0C6A" w:rsidRDefault="00D70040" w:rsidP="00475ABA">
      <w:pPr>
        <w:rPr>
          <w:rFonts w:eastAsiaTheme="minorHAnsi" w:cs="Arial"/>
          <w:szCs w:val="22"/>
        </w:rPr>
      </w:pPr>
    </w:p>
    <w:p w:rsidR="00144758" w:rsidRPr="006B0C6A" w:rsidRDefault="00D70040" w:rsidP="00475ABA">
      <w:pPr>
        <w:rPr>
          <w:rFonts w:eastAsiaTheme="minorHAnsi" w:cs="Arial"/>
          <w:szCs w:val="22"/>
        </w:rPr>
      </w:pPr>
      <w:r w:rsidRPr="006B0C6A">
        <w:rPr>
          <w:rFonts w:eastAsiaTheme="minorHAnsi" w:cs="Arial"/>
          <w:szCs w:val="22"/>
        </w:rPr>
        <w:t>In addition to comments provided to the draft generic letter, the Nuclear Energy Institute (NEI) provided responses to the questions with regards to this generic letter as it relates to CER.  No changes were made to the GL as a result of NEI’s responses to the CER-questions.</w:t>
      </w:r>
    </w:p>
    <w:p w:rsidR="00144758" w:rsidRPr="006B0C6A" w:rsidRDefault="00144758" w:rsidP="00475ABA">
      <w:pPr>
        <w:rPr>
          <w:rFonts w:eastAsiaTheme="minorHAnsi" w:cs="Arial"/>
          <w:szCs w:val="22"/>
        </w:rPr>
      </w:pPr>
    </w:p>
    <w:p w:rsidR="007F4134" w:rsidRDefault="007F4134" w:rsidP="007F4134">
      <w:pPr>
        <w:tabs>
          <w:tab w:val="left" w:pos="540"/>
        </w:tabs>
        <w:rPr>
          <w:rFonts w:eastAsia="Tahoma" w:cs="Arial"/>
          <w:b/>
          <w:bCs/>
          <w:szCs w:val="22"/>
        </w:rPr>
      </w:pPr>
      <w:r>
        <w:rPr>
          <w:rFonts w:eastAsia="Tahoma" w:cs="Arial"/>
          <w:b/>
          <w:bCs/>
          <w:szCs w:val="22"/>
        </w:rPr>
        <w:t>a.</w:t>
      </w:r>
      <w:r>
        <w:rPr>
          <w:rFonts w:eastAsia="Tahoma" w:cs="Arial"/>
          <w:b/>
          <w:bCs/>
          <w:szCs w:val="22"/>
        </w:rPr>
        <w:tab/>
      </w:r>
      <w:r w:rsidR="00883BC7" w:rsidRPr="006B0C6A">
        <w:rPr>
          <w:rFonts w:eastAsia="Tahoma" w:cs="Arial"/>
          <w:b/>
          <w:bCs/>
          <w:szCs w:val="22"/>
        </w:rPr>
        <w:t>In light of any current or projected cumulative effects, does this generic letter</w:t>
      </w:r>
      <w:r>
        <w:rPr>
          <w:rFonts w:eastAsia="Tahoma" w:cs="Arial"/>
          <w:b/>
          <w:bCs/>
          <w:szCs w:val="22"/>
        </w:rPr>
        <w:t xml:space="preserve"> </w:t>
      </w:r>
    </w:p>
    <w:p w:rsidR="00883BC7" w:rsidRPr="006B0C6A" w:rsidRDefault="00883BC7" w:rsidP="007F4134">
      <w:pPr>
        <w:tabs>
          <w:tab w:val="left" w:pos="540"/>
        </w:tabs>
        <w:ind w:left="540"/>
        <w:rPr>
          <w:rFonts w:eastAsia="Tahoma" w:cs="Arial"/>
          <w:b/>
          <w:szCs w:val="22"/>
        </w:rPr>
      </w:pPr>
      <w:r w:rsidRPr="006B0C6A">
        <w:rPr>
          <w:rFonts w:eastAsia="Tahoma" w:cs="Arial"/>
          <w:b/>
          <w:bCs/>
          <w:szCs w:val="22"/>
        </w:rPr>
        <w:t>request provide sufficient time for licensees to respond with the information requested, including any need to develop this information through supporting engineering calculation or analyses?</w:t>
      </w:r>
    </w:p>
    <w:p w:rsidR="00883BC7" w:rsidRPr="006B0C6A" w:rsidRDefault="00883BC7" w:rsidP="00475ABA">
      <w:pPr>
        <w:rPr>
          <w:rFonts w:cs="Arial"/>
          <w:szCs w:val="22"/>
        </w:rPr>
      </w:pPr>
    </w:p>
    <w:p w:rsidR="00883BC7" w:rsidRPr="006B0C6A" w:rsidRDefault="00883BC7" w:rsidP="00475ABA">
      <w:pPr>
        <w:rPr>
          <w:rFonts w:cs="Arial"/>
          <w:szCs w:val="22"/>
          <w:u w:val="single"/>
        </w:rPr>
      </w:pPr>
      <w:r w:rsidRPr="006B0C6A">
        <w:rPr>
          <w:rFonts w:cs="Arial"/>
          <w:szCs w:val="22"/>
          <w:u w:val="single"/>
        </w:rPr>
        <w:t xml:space="preserve">NEI Response </w:t>
      </w:r>
    </w:p>
    <w:p w:rsidR="00883BC7" w:rsidRPr="006B0C6A" w:rsidRDefault="00883BC7" w:rsidP="00475ABA">
      <w:pPr>
        <w:rPr>
          <w:rFonts w:cs="Arial"/>
          <w:szCs w:val="22"/>
        </w:rPr>
      </w:pPr>
    </w:p>
    <w:p w:rsidR="00883BC7" w:rsidRPr="006B0C6A" w:rsidRDefault="00883BC7" w:rsidP="00475ABA">
      <w:pPr>
        <w:rPr>
          <w:rFonts w:eastAsiaTheme="minorHAnsi" w:cs="Arial"/>
          <w:szCs w:val="22"/>
        </w:rPr>
      </w:pPr>
      <w:r w:rsidRPr="006B0C6A">
        <w:rPr>
          <w:rFonts w:eastAsia="Tahoma" w:cs="Arial"/>
          <w:szCs w:val="22"/>
        </w:rPr>
        <w:t xml:space="preserve">At this time, the draft generic letter appears to provide sufficient time for licensees to respond with the information requested or make a determination on whether to request an extension of time to respond. </w:t>
      </w:r>
      <w:r w:rsidR="002550E1">
        <w:rPr>
          <w:rFonts w:eastAsia="Tahoma" w:cs="Arial"/>
          <w:szCs w:val="22"/>
        </w:rPr>
        <w:t xml:space="preserve"> </w:t>
      </w:r>
      <w:r w:rsidRPr="006B0C6A">
        <w:rPr>
          <w:rFonts w:eastAsia="Tahoma" w:cs="Arial"/>
          <w:szCs w:val="22"/>
        </w:rPr>
        <w:t xml:space="preserve">This position is based on the fact that the draft generic letter was issued in August 2014 for public comment by November 6, 2014, a public meeting was held in September 2014 and the final generic letter is not expected until winter 2015. </w:t>
      </w:r>
      <w:r w:rsidR="002550E1">
        <w:rPr>
          <w:rFonts w:eastAsia="Tahoma" w:cs="Arial"/>
          <w:szCs w:val="22"/>
        </w:rPr>
        <w:t xml:space="preserve"> </w:t>
      </w:r>
      <w:r w:rsidRPr="006B0C6A">
        <w:rPr>
          <w:rFonts w:eastAsia="Tahoma" w:cs="Arial"/>
          <w:szCs w:val="22"/>
        </w:rPr>
        <w:t>Had it been issued in final without this draft and discussion phase, the time allowed for response and any analyses would likely have been inadequate.</w:t>
      </w:r>
    </w:p>
    <w:p w:rsidR="00883BC7" w:rsidRPr="006B0C6A" w:rsidRDefault="00883BC7" w:rsidP="00475ABA">
      <w:pPr>
        <w:rPr>
          <w:rFonts w:eastAsia="Tahoma" w:cs="Arial"/>
          <w:szCs w:val="22"/>
        </w:rPr>
      </w:pPr>
    </w:p>
    <w:p w:rsidR="00883BC7" w:rsidRPr="006B0C6A" w:rsidRDefault="00883BC7" w:rsidP="00475ABA">
      <w:pPr>
        <w:rPr>
          <w:rFonts w:eastAsia="Tahoma" w:cs="Arial"/>
          <w:szCs w:val="22"/>
          <w:u w:val="single"/>
        </w:rPr>
      </w:pPr>
      <w:r w:rsidRPr="006B0C6A">
        <w:rPr>
          <w:rFonts w:eastAsia="Tahoma" w:cs="Arial"/>
          <w:szCs w:val="22"/>
          <w:u w:val="single"/>
        </w:rPr>
        <w:t>NRC Response</w:t>
      </w:r>
    </w:p>
    <w:p w:rsidR="00883BC7" w:rsidRPr="006B0C6A" w:rsidRDefault="00883BC7" w:rsidP="00475ABA">
      <w:pPr>
        <w:rPr>
          <w:rFonts w:eastAsia="Tahoma" w:cs="Arial"/>
          <w:szCs w:val="22"/>
        </w:rPr>
      </w:pPr>
    </w:p>
    <w:p w:rsidR="00883BC7" w:rsidRPr="006B0C6A" w:rsidRDefault="00883BC7" w:rsidP="00475ABA">
      <w:pPr>
        <w:rPr>
          <w:rFonts w:eastAsia="Tahoma" w:cs="Arial"/>
          <w:szCs w:val="22"/>
        </w:rPr>
      </w:pPr>
      <w:r w:rsidRPr="006B0C6A">
        <w:rPr>
          <w:rFonts w:eastAsia="Tahoma" w:cs="Arial"/>
          <w:szCs w:val="22"/>
        </w:rPr>
        <w:t xml:space="preserve">No change resulted to the </w:t>
      </w:r>
      <w:r w:rsidR="00FF4E78">
        <w:rPr>
          <w:rFonts w:eastAsia="Tahoma" w:cs="Arial"/>
          <w:szCs w:val="22"/>
        </w:rPr>
        <w:t>generic letter</w:t>
      </w:r>
      <w:r w:rsidRPr="006B0C6A">
        <w:rPr>
          <w:rFonts w:eastAsia="Tahoma" w:cs="Arial"/>
          <w:szCs w:val="22"/>
        </w:rPr>
        <w:t xml:space="preserve"> as a result of this response. </w:t>
      </w:r>
    </w:p>
    <w:p w:rsidR="00883BC7" w:rsidRPr="006B0C6A" w:rsidRDefault="00883BC7" w:rsidP="00475ABA">
      <w:pPr>
        <w:rPr>
          <w:rFonts w:eastAsia="Tahoma" w:cs="Arial"/>
          <w:szCs w:val="22"/>
        </w:rPr>
      </w:pPr>
    </w:p>
    <w:p w:rsidR="007F4134" w:rsidRDefault="00883BC7" w:rsidP="00BB127E">
      <w:pPr>
        <w:rPr>
          <w:rFonts w:eastAsia="Tahoma" w:cs="Arial"/>
          <w:szCs w:val="22"/>
        </w:rPr>
      </w:pPr>
      <w:r w:rsidRPr="006B0C6A">
        <w:rPr>
          <w:rFonts w:eastAsia="Tahoma" w:cs="Arial"/>
          <w:szCs w:val="22"/>
        </w:rPr>
        <w:t xml:space="preserve">The NRC is committed to minimizing CER impacts by providing adequate time and opportunities (i.e., public comment via the </w:t>
      </w:r>
      <w:r w:rsidRPr="006B0C6A">
        <w:rPr>
          <w:rFonts w:eastAsia="Tahoma" w:cs="Arial"/>
          <w:i/>
          <w:szCs w:val="22"/>
        </w:rPr>
        <w:t>Federal Register</w:t>
      </w:r>
      <w:r w:rsidRPr="006B0C6A">
        <w:rPr>
          <w:rFonts w:eastAsia="Tahoma" w:cs="Arial"/>
          <w:szCs w:val="22"/>
        </w:rPr>
        <w:t xml:space="preserve"> and/or public meetings) for stakeholders to provide feedback on NRC regulatory issues.</w:t>
      </w:r>
    </w:p>
    <w:p w:rsidR="00BB127E" w:rsidRDefault="00BB127E" w:rsidP="00BB127E">
      <w:pPr>
        <w:rPr>
          <w:rFonts w:eastAsia="Tahoma" w:cs="Arial"/>
          <w:b/>
          <w:bCs/>
          <w:szCs w:val="22"/>
        </w:rPr>
      </w:pPr>
    </w:p>
    <w:p w:rsidR="00A012B2" w:rsidRDefault="007F4134" w:rsidP="007F4134">
      <w:pPr>
        <w:tabs>
          <w:tab w:val="left" w:pos="540"/>
        </w:tabs>
        <w:ind w:left="540" w:hanging="540"/>
        <w:rPr>
          <w:rFonts w:eastAsia="Tahoma" w:cs="Arial"/>
          <w:b/>
          <w:bCs/>
          <w:szCs w:val="22"/>
        </w:rPr>
      </w:pPr>
      <w:r>
        <w:rPr>
          <w:rFonts w:eastAsia="Tahoma" w:cs="Arial"/>
          <w:b/>
          <w:bCs/>
          <w:szCs w:val="22"/>
        </w:rPr>
        <w:t>b.</w:t>
      </w:r>
      <w:r>
        <w:rPr>
          <w:rFonts w:eastAsia="Tahoma" w:cs="Arial"/>
          <w:b/>
          <w:bCs/>
          <w:szCs w:val="22"/>
        </w:rPr>
        <w:tab/>
      </w:r>
      <w:r w:rsidR="00883BC7" w:rsidRPr="006B0C6A">
        <w:rPr>
          <w:rFonts w:eastAsia="Tahoma" w:cs="Arial"/>
          <w:b/>
          <w:bCs/>
          <w:szCs w:val="22"/>
        </w:rPr>
        <w:t xml:space="preserve">If a current or projected cumulative effect poses a significant challenge, what should be done to address it? </w:t>
      </w:r>
      <w:r w:rsidR="002550E1">
        <w:rPr>
          <w:rFonts w:eastAsia="Tahoma" w:cs="Arial"/>
          <w:b/>
          <w:bCs/>
          <w:szCs w:val="22"/>
        </w:rPr>
        <w:t xml:space="preserve"> </w:t>
      </w:r>
      <w:r w:rsidR="00883BC7" w:rsidRPr="006B0C6A">
        <w:rPr>
          <w:rFonts w:eastAsia="Tahoma" w:cs="Arial"/>
          <w:b/>
          <w:bCs/>
          <w:szCs w:val="22"/>
        </w:rPr>
        <w:t xml:space="preserve">For example, if more time is required to develop and provide information, what period of time is sufficient? </w:t>
      </w:r>
      <w:r w:rsidR="002550E1">
        <w:rPr>
          <w:rFonts w:eastAsia="Tahoma" w:cs="Arial"/>
          <w:b/>
          <w:bCs/>
          <w:szCs w:val="22"/>
        </w:rPr>
        <w:t xml:space="preserve"> </w:t>
      </w:r>
      <w:r w:rsidR="00883BC7" w:rsidRPr="006B0C6A">
        <w:rPr>
          <w:rFonts w:eastAsia="Tahoma" w:cs="Arial"/>
          <w:b/>
          <w:bCs/>
          <w:szCs w:val="22"/>
        </w:rPr>
        <w:t>Are there equally effective alternatives to providing the requested information to the NRC that reduce the cumulative effect?</w:t>
      </w:r>
    </w:p>
    <w:p w:rsidR="00317B8B" w:rsidRDefault="00317B8B" w:rsidP="00475ABA">
      <w:pPr>
        <w:rPr>
          <w:rFonts w:cs="Arial"/>
          <w:szCs w:val="22"/>
          <w:u w:val="single"/>
        </w:rPr>
      </w:pPr>
    </w:p>
    <w:p w:rsidR="00883BC7" w:rsidRPr="006B0C6A" w:rsidRDefault="00883BC7" w:rsidP="00475ABA">
      <w:pPr>
        <w:rPr>
          <w:rFonts w:cs="Arial"/>
          <w:szCs w:val="22"/>
          <w:u w:val="single"/>
        </w:rPr>
      </w:pPr>
      <w:r w:rsidRPr="006B0C6A">
        <w:rPr>
          <w:rFonts w:cs="Arial"/>
          <w:szCs w:val="22"/>
          <w:u w:val="single"/>
        </w:rPr>
        <w:t xml:space="preserve">NEI Response </w:t>
      </w:r>
    </w:p>
    <w:p w:rsidR="00883BC7" w:rsidRPr="006B0C6A" w:rsidRDefault="00883BC7" w:rsidP="00475ABA">
      <w:pPr>
        <w:rPr>
          <w:rFonts w:cs="Arial"/>
          <w:szCs w:val="22"/>
        </w:rPr>
      </w:pPr>
    </w:p>
    <w:p w:rsidR="00883BC7" w:rsidRPr="006B0C6A" w:rsidRDefault="00883BC7" w:rsidP="00475ABA">
      <w:pPr>
        <w:rPr>
          <w:rFonts w:eastAsia="Tahoma" w:cs="Arial"/>
          <w:szCs w:val="22"/>
        </w:rPr>
      </w:pPr>
      <w:r w:rsidRPr="006B0C6A">
        <w:rPr>
          <w:rFonts w:eastAsia="Tahoma" w:cs="Arial"/>
          <w:szCs w:val="22"/>
        </w:rPr>
        <w:t xml:space="preserve">The necessary time and appropriate mechanism used by NRC or industry to address the cumulative impact from a specific regulatory initiative will vary depending on its safety or </w:t>
      </w:r>
      <w:r w:rsidRPr="006B0C6A">
        <w:rPr>
          <w:rFonts w:eastAsia="Tahoma" w:cs="Arial"/>
          <w:szCs w:val="22"/>
        </w:rPr>
        <w:lastRenderedPageBreak/>
        <w:t>security significance, and corresponding level of effort, resources and time to address it as well as other priorities.</w:t>
      </w:r>
      <w:r w:rsidR="00240E38">
        <w:rPr>
          <w:rFonts w:eastAsia="Tahoma" w:cs="Arial"/>
          <w:szCs w:val="22"/>
        </w:rPr>
        <w:t xml:space="preserve"> </w:t>
      </w:r>
      <w:r w:rsidRPr="006B0C6A">
        <w:rPr>
          <w:rFonts w:eastAsia="Tahoma" w:cs="Arial"/>
          <w:szCs w:val="22"/>
        </w:rPr>
        <w:t xml:space="preserve"> In this case, NRC has in its possession or has access on-site at the licensed facility to a large portion if not all of the information requested in the draft generic letter. Therefore, requiring the licensee to replicate and consolidate it (e.g., definitions of “highly unlikely”) and, in the absence of an identified safety issue, submit it in a different format simply for a different regulatory purpose appears to be a poor use of limited industry and NRC resources.</w:t>
      </w:r>
    </w:p>
    <w:p w:rsidR="003337D6" w:rsidRPr="006B0C6A" w:rsidRDefault="003337D6" w:rsidP="00475ABA">
      <w:pPr>
        <w:rPr>
          <w:rFonts w:eastAsia="Tahoma" w:cs="Arial"/>
          <w:szCs w:val="22"/>
        </w:rPr>
      </w:pPr>
    </w:p>
    <w:p w:rsidR="00883BC7" w:rsidRPr="006B0C6A" w:rsidRDefault="00883BC7" w:rsidP="00475ABA">
      <w:pPr>
        <w:rPr>
          <w:rFonts w:eastAsia="Tahoma" w:cs="Arial"/>
          <w:szCs w:val="22"/>
          <w:u w:val="single"/>
        </w:rPr>
      </w:pPr>
      <w:r w:rsidRPr="006B0C6A">
        <w:rPr>
          <w:rFonts w:eastAsia="Tahoma" w:cs="Arial"/>
          <w:szCs w:val="22"/>
          <w:u w:val="single"/>
        </w:rPr>
        <w:t>NRC Response</w:t>
      </w:r>
    </w:p>
    <w:p w:rsidR="00883BC7" w:rsidRPr="006B0C6A" w:rsidRDefault="00883BC7" w:rsidP="00475ABA">
      <w:pPr>
        <w:rPr>
          <w:rFonts w:eastAsia="Tahoma" w:cs="Arial"/>
          <w:szCs w:val="22"/>
          <w:u w:val="single"/>
        </w:rPr>
      </w:pPr>
    </w:p>
    <w:p w:rsidR="00883BC7" w:rsidRPr="006B0C6A" w:rsidRDefault="00883BC7" w:rsidP="00475ABA">
      <w:pPr>
        <w:autoSpaceDE w:val="0"/>
        <w:autoSpaceDN w:val="0"/>
        <w:adjustRightInd w:val="0"/>
        <w:rPr>
          <w:rFonts w:cs="Arial"/>
          <w:szCs w:val="22"/>
        </w:rPr>
      </w:pPr>
      <w:r w:rsidRPr="006B0C6A">
        <w:rPr>
          <w:rFonts w:eastAsia="Tahoma" w:cs="Arial"/>
          <w:szCs w:val="22"/>
        </w:rPr>
        <w:t xml:space="preserve">No change resulted to the </w:t>
      </w:r>
      <w:r w:rsidR="003337D6">
        <w:rPr>
          <w:rFonts w:eastAsia="Tahoma" w:cs="Arial"/>
          <w:szCs w:val="22"/>
        </w:rPr>
        <w:t>generic letter</w:t>
      </w:r>
      <w:r w:rsidRPr="006B0C6A">
        <w:rPr>
          <w:rFonts w:eastAsia="Tahoma" w:cs="Arial"/>
          <w:szCs w:val="22"/>
        </w:rPr>
        <w:t xml:space="preserve"> as a result of this response.  Please refer to the NRC’s responses to </w:t>
      </w:r>
      <w:r w:rsidRPr="006B0C6A">
        <w:rPr>
          <w:rFonts w:cs="Arial"/>
          <w:szCs w:val="22"/>
        </w:rPr>
        <w:t>NEI 2-1 and NEI 2-2.</w:t>
      </w:r>
    </w:p>
    <w:p w:rsidR="00883BC7" w:rsidRPr="006B0C6A" w:rsidRDefault="00883BC7" w:rsidP="00475ABA">
      <w:pPr>
        <w:rPr>
          <w:rFonts w:eastAsia="Tahoma" w:cs="Arial"/>
          <w:b/>
          <w:bCs/>
          <w:szCs w:val="22"/>
        </w:rPr>
      </w:pPr>
    </w:p>
    <w:p w:rsidR="00883BC7" w:rsidRPr="006B0C6A" w:rsidRDefault="007F4134" w:rsidP="007F4134">
      <w:pPr>
        <w:tabs>
          <w:tab w:val="left" w:pos="540"/>
        </w:tabs>
        <w:ind w:left="540" w:hanging="540"/>
        <w:rPr>
          <w:rFonts w:eastAsia="Tahoma" w:cs="Arial"/>
          <w:szCs w:val="22"/>
        </w:rPr>
      </w:pPr>
      <w:r>
        <w:rPr>
          <w:rFonts w:eastAsia="Tahoma" w:cs="Arial"/>
          <w:b/>
          <w:bCs/>
          <w:szCs w:val="22"/>
        </w:rPr>
        <w:t>c.</w:t>
      </w:r>
      <w:r>
        <w:rPr>
          <w:rFonts w:eastAsia="Tahoma" w:cs="Arial"/>
          <w:b/>
          <w:bCs/>
          <w:szCs w:val="22"/>
        </w:rPr>
        <w:tab/>
      </w:r>
      <w:r w:rsidR="00883BC7" w:rsidRPr="006B0C6A">
        <w:rPr>
          <w:rFonts w:eastAsia="Tahoma" w:cs="Arial"/>
          <w:b/>
          <w:bCs/>
          <w:szCs w:val="22"/>
        </w:rPr>
        <w:t xml:space="preserve">Do other (NRC or other regulatory agency) regulatory actions (e.g., Orders, rules, generic letter, bulletins, 50.54(f) requests) influence licensee responses to this draft generic letter? </w:t>
      </w:r>
      <w:r w:rsidR="003337D6">
        <w:rPr>
          <w:rFonts w:eastAsia="Tahoma" w:cs="Arial"/>
          <w:b/>
          <w:bCs/>
          <w:szCs w:val="22"/>
        </w:rPr>
        <w:t xml:space="preserve"> </w:t>
      </w:r>
      <w:r w:rsidR="00883BC7" w:rsidRPr="006B0C6A">
        <w:rPr>
          <w:rFonts w:eastAsia="Tahoma" w:cs="Arial"/>
          <w:b/>
          <w:bCs/>
          <w:szCs w:val="22"/>
        </w:rPr>
        <w:t>If so what are they and do you have a suggested approach to reduce the cumulative effects in light of these other regulatory actions?</w:t>
      </w:r>
    </w:p>
    <w:p w:rsidR="00883BC7" w:rsidRPr="006B0C6A" w:rsidRDefault="00883BC7" w:rsidP="00475ABA">
      <w:pPr>
        <w:rPr>
          <w:rFonts w:cs="Arial"/>
          <w:szCs w:val="22"/>
        </w:rPr>
      </w:pPr>
    </w:p>
    <w:p w:rsidR="00883BC7" w:rsidRPr="006B0C6A" w:rsidRDefault="00883BC7" w:rsidP="00475ABA">
      <w:pPr>
        <w:rPr>
          <w:rFonts w:cs="Arial"/>
          <w:szCs w:val="22"/>
          <w:u w:val="single"/>
        </w:rPr>
      </w:pPr>
      <w:r w:rsidRPr="006B0C6A">
        <w:rPr>
          <w:rFonts w:cs="Arial"/>
          <w:szCs w:val="22"/>
          <w:u w:val="single"/>
        </w:rPr>
        <w:t xml:space="preserve">NEI Response </w:t>
      </w:r>
    </w:p>
    <w:p w:rsidR="00883BC7" w:rsidRPr="006B0C6A" w:rsidRDefault="00883BC7" w:rsidP="00475ABA">
      <w:pPr>
        <w:rPr>
          <w:rFonts w:cs="Arial"/>
          <w:szCs w:val="22"/>
        </w:rPr>
      </w:pPr>
    </w:p>
    <w:p w:rsidR="00883BC7" w:rsidRPr="006B0C6A" w:rsidRDefault="00883BC7" w:rsidP="00475ABA">
      <w:pPr>
        <w:rPr>
          <w:rFonts w:eastAsia="Tahoma" w:cs="Arial"/>
          <w:szCs w:val="22"/>
        </w:rPr>
      </w:pPr>
      <w:r w:rsidRPr="006B0C6A">
        <w:rPr>
          <w:rFonts w:eastAsia="Tahoma" w:cs="Arial"/>
          <w:szCs w:val="22"/>
        </w:rPr>
        <w:t xml:space="preserve">Yes. </w:t>
      </w:r>
      <w:r w:rsidR="00240E38">
        <w:rPr>
          <w:rFonts w:eastAsia="Tahoma" w:cs="Arial"/>
          <w:szCs w:val="22"/>
        </w:rPr>
        <w:t xml:space="preserve"> </w:t>
      </w:r>
      <w:r w:rsidRPr="006B0C6A">
        <w:rPr>
          <w:rFonts w:eastAsia="Tahoma" w:cs="Arial"/>
          <w:szCs w:val="22"/>
        </w:rPr>
        <w:t xml:space="preserve">NRC staff stated its intent to issue guidance to help licensees inform their responses to a generic letter on natural phenomena hazards during the winter of 2015. </w:t>
      </w:r>
      <w:r w:rsidR="00240E38">
        <w:rPr>
          <w:rFonts w:eastAsia="Tahoma" w:cs="Arial"/>
          <w:szCs w:val="22"/>
        </w:rPr>
        <w:t xml:space="preserve"> </w:t>
      </w:r>
      <w:r w:rsidRPr="006B0C6A">
        <w:rPr>
          <w:rFonts w:eastAsia="Tahoma" w:cs="Arial"/>
          <w:szCs w:val="22"/>
        </w:rPr>
        <w:t xml:space="preserve">As noted in item 7 of our cover letter on this matter, a draft Interim Staff Guidance (ISG) should be issued for comment with a due date in advance of the final generic letter being issued for the following reasons: </w:t>
      </w:r>
      <w:r w:rsidR="00240E38">
        <w:rPr>
          <w:rFonts w:eastAsia="Tahoma" w:cs="Arial"/>
          <w:szCs w:val="22"/>
        </w:rPr>
        <w:t xml:space="preserve"> </w:t>
      </w:r>
      <w:r w:rsidRPr="006B0C6A">
        <w:rPr>
          <w:rFonts w:eastAsia="Tahoma" w:cs="Arial"/>
          <w:szCs w:val="22"/>
        </w:rPr>
        <w:t xml:space="preserve">1) review of the draft ISG could reveal to NRC different interpretations of what is expected in the industry responses to the generic letter that would need to be resolved prior to issuing the final generic letter; 2) stakeholder comments on the draft ISG could further inform the contents and scope, and improve the clarity, of the final generic letter; and 3) licensees would gain the insights provided by the ISG and, in practical terms, be afforded additional time to prepare their responses. </w:t>
      </w:r>
      <w:r w:rsidR="00240E38">
        <w:rPr>
          <w:rFonts w:eastAsia="Tahoma" w:cs="Arial"/>
          <w:szCs w:val="22"/>
        </w:rPr>
        <w:t xml:space="preserve"> </w:t>
      </w:r>
      <w:r w:rsidRPr="006B0C6A">
        <w:rPr>
          <w:rFonts w:eastAsia="Tahoma" w:cs="Arial"/>
          <w:szCs w:val="22"/>
        </w:rPr>
        <w:t>With this approach, the final ISG could be issued simultaneously with issuance of the final generic letter.</w:t>
      </w:r>
    </w:p>
    <w:p w:rsidR="00883BC7" w:rsidRDefault="00883BC7" w:rsidP="00475ABA">
      <w:pPr>
        <w:rPr>
          <w:rFonts w:cs="Arial"/>
          <w:szCs w:val="22"/>
        </w:rPr>
      </w:pPr>
    </w:p>
    <w:p w:rsidR="00883BC7" w:rsidRPr="006B0C6A" w:rsidRDefault="00883BC7" w:rsidP="00475ABA">
      <w:pPr>
        <w:autoSpaceDE w:val="0"/>
        <w:autoSpaceDN w:val="0"/>
        <w:adjustRightInd w:val="0"/>
        <w:rPr>
          <w:rFonts w:cs="Arial"/>
          <w:szCs w:val="22"/>
          <w:u w:val="single"/>
        </w:rPr>
      </w:pPr>
      <w:r w:rsidRPr="006B0C6A">
        <w:rPr>
          <w:rFonts w:cs="Arial"/>
          <w:szCs w:val="22"/>
          <w:u w:val="single"/>
        </w:rPr>
        <w:t>NRC Response</w:t>
      </w:r>
    </w:p>
    <w:p w:rsidR="00D85533" w:rsidRPr="006B0C6A" w:rsidRDefault="00D85533" w:rsidP="00475ABA">
      <w:pPr>
        <w:autoSpaceDE w:val="0"/>
        <w:autoSpaceDN w:val="0"/>
        <w:adjustRightInd w:val="0"/>
        <w:rPr>
          <w:rFonts w:cs="Arial"/>
          <w:szCs w:val="22"/>
          <w:u w:val="single"/>
        </w:rPr>
      </w:pPr>
    </w:p>
    <w:p w:rsidR="00883BC7" w:rsidRDefault="00883BC7" w:rsidP="00475ABA">
      <w:pPr>
        <w:autoSpaceDE w:val="0"/>
        <w:autoSpaceDN w:val="0"/>
        <w:adjustRightInd w:val="0"/>
        <w:rPr>
          <w:rFonts w:cs="Arial"/>
          <w:szCs w:val="22"/>
        </w:rPr>
      </w:pPr>
      <w:r w:rsidRPr="006B0C6A">
        <w:rPr>
          <w:rFonts w:cs="Arial"/>
          <w:szCs w:val="22"/>
        </w:rPr>
        <w:t xml:space="preserve">No change was made to the </w:t>
      </w:r>
      <w:r w:rsidR="003337D6">
        <w:rPr>
          <w:rFonts w:cs="Arial"/>
          <w:szCs w:val="22"/>
        </w:rPr>
        <w:t>generic letter</w:t>
      </w:r>
      <w:r w:rsidRPr="006B0C6A">
        <w:rPr>
          <w:rFonts w:cs="Arial"/>
          <w:szCs w:val="22"/>
        </w:rPr>
        <w:t xml:space="preserve"> as a result of this comment.  </w:t>
      </w:r>
      <w:r w:rsidRPr="006B0C6A">
        <w:rPr>
          <w:rFonts w:eastAsia="Tahoma" w:cs="Arial"/>
          <w:szCs w:val="22"/>
        </w:rPr>
        <w:t xml:space="preserve">Please refer to the NRC’s response to </w:t>
      </w:r>
      <w:r w:rsidRPr="006B0C6A">
        <w:rPr>
          <w:rFonts w:cs="Arial"/>
          <w:szCs w:val="22"/>
        </w:rPr>
        <w:t xml:space="preserve">NEI 2-8 regarding the staff’s plans to issue an ISG. </w:t>
      </w:r>
    </w:p>
    <w:p w:rsidR="003337D6" w:rsidRPr="006B0C6A" w:rsidRDefault="003337D6" w:rsidP="00475ABA">
      <w:pPr>
        <w:autoSpaceDE w:val="0"/>
        <w:autoSpaceDN w:val="0"/>
        <w:adjustRightInd w:val="0"/>
        <w:rPr>
          <w:rFonts w:cs="Arial"/>
          <w:szCs w:val="22"/>
        </w:rPr>
      </w:pPr>
    </w:p>
    <w:p w:rsidR="00A012B2" w:rsidRDefault="007F4134" w:rsidP="007F4134">
      <w:pPr>
        <w:tabs>
          <w:tab w:val="left" w:pos="540"/>
        </w:tabs>
        <w:ind w:left="540" w:hanging="540"/>
        <w:rPr>
          <w:rFonts w:eastAsia="Tahoma" w:cs="Arial"/>
          <w:b/>
          <w:bCs/>
          <w:szCs w:val="22"/>
        </w:rPr>
      </w:pPr>
      <w:r>
        <w:rPr>
          <w:rFonts w:eastAsia="Tahoma" w:cs="Arial"/>
          <w:b/>
          <w:bCs/>
          <w:szCs w:val="22"/>
        </w:rPr>
        <w:t>d.</w:t>
      </w:r>
      <w:r>
        <w:rPr>
          <w:rFonts w:eastAsia="Tahoma" w:cs="Arial"/>
          <w:b/>
          <w:bCs/>
          <w:szCs w:val="22"/>
        </w:rPr>
        <w:tab/>
      </w:r>
      <w:r w:rsidR="00883BC7" w:rsidRPr="006B0C6A">
        <w:rPr>
          <w:rFonts w:eastAsia="Tahoma" w:cs="Arial"/>
          <w:b/>
          <w:bCs/>
          <w:szCs w:val="22"/>
        </w:rPr>
        <w:t>Are there other projects that licensees are undertaking, plan to undertake, or should be undertaking that provide greater safety benefit, that might be displaced or delayed as a result of the expenditure of effort and resources to respond to this generic letter?</w:t>
      </w:r>
    </w:p>
    <w:p w:rsidR="00E34448" w:rsidRDefault="00E34448" w:rsidP="00240E38">
      <w:pPr>
        <w:rPr>
          <w:rFonts w:eastAsia="Tahoma" w:cs="Arial"/>
          <w:b/>
          <w:bCs/>
          <w:szCs w:val="22"/>
        </w:rPr>
      </w:pPr>
    </w:p>
    <w:p w:rsidR="00883BC7" w:rsidRPr="006B0C6A" w:rsidRDefault="00883BC7" w:rsidP="00475ABA">
      <w:pPr>
        <w:rPr>
          <w:rFonts w:cs="Arial"/>
          <w:szCs w:val="22"/>
          <w:u w:val="single"/>
        </w:rPr>
      </w:pPr>
      <w:r w:rsidRPr="006B0C6A">
        <w:rPr>
          <w:rFonts w:cs="Arial"/>
          <w:szCs w:val="22"/>
          <w:u w:val="single"/>
        </w:rPr>
        <w:t xml:space="preserve">NEI Response </w:t>
      </w:r>
    </w:p>
    <w:p w:rsidR="00883BC7" w:rsidRPr="006B0C6A" w:rsidRDefault="00883BC7" w:rsidP="00475ABA">
      <w:pPr>
        <w:rPr>
          <w:rFonts w:cs="Arial"/>
          <w:szCs w:val="22"/>
        </w:rPr>
      </w:pPr>
    </w:p>
    <w:p w:rsidR="00883BC7" w:rsidRPr="006B0C6A" w:rsidRDefault="00883BC7" w:rsidP="00475ABA">
      <w:pPr>
        <w:rPr>
          <w:rFonts w:eastAsia="Tahoma" w:cs="Arial"/>
          <w:szCs w:val="22"/>
        </w:rPr>
      </w:pPr>
      <w:r w:rsidRPr="006B0C6A">
        <w:rPr>
          <w:rFonts w:eastAsia="Tahoma" w:cs="Arial"/>
          <w:szCs w:val="22"/>
        </w:rPr>
        <w:t xml:space="preserve">Yes. </w:t>
      </w:r>
      <w:r w:rsidR="00C401EC">
        <w:rPr>
          <w:rFonts w:eastAsia="Tahoma" w:cs="Arial"/>
          <w:szCs w:val="22"/>
        </w:rPr>
        <w:t xml:space="preserve"> </w:t>
      </w:r>
      <w:r w:rsidRPr="006B0C6A">
        <w:rPr>
          <w:rFonts w:eastAsia="Tahoma" w:cs="Arial"/>
          <w:szCs w:val="22"/>
        </w:rPr>
        <w:t xml:space="preserve">As we have stated on several occasions, industry has delayed or protracted its efforts to implement certain facility-initiated program or operational improvements due to the heavy workload associated with the many ongoing NRC-initiated regulatory initiatives (See the integrated schedule for fuel cycle industry initiatives on NRC’s website). </w:t>
      </w:r>
      <w:r w:rsidR="00C401EC">
        <w:rPr>
          <w:rFonts w:eastAsia="Tahoma" w:cs="Arial"/>
          <w:szCs w:val="22"/>
        </w:rPr>
        <w:t xml:space="preserve"> </w:t>
      </w:r>
      <w:r w:rsidRPr="006B0C6A">
        <w:rPr>
          <w:rFonts w:eastAsia="Tahoma" w:cs="Arial"/>
          <w:szCs w:val="22"/>
        </w:rPr>
        <w:t xml:space="preserve">Consistent with our </w:t>
      </w:r>
      <w:r w:rsidRPr="006B0C6A">
        <w:rPr>
          <w:rFonts w:eastAsia="Tahoma" w:cs="Arial"/>
          <w:szCs w:val="22"/>
        </w:rPr>
        <w:lastRenderedPageBreak/>
        <w:t>letter dated April 3, 2013, the following are a few examples of such facility-initiated improvements that are delayed or protracted yet would yield greater safety benefit if pursued than most if not all of the current regulatory initiatives underway.</w:t>
      </w:r>
    </w:p>
    <w:p w:rsidR="00883BC7" w:rsidRPr="006B0C6A" w:rsidRDefault="00883BC7" w:rsidP="00475ABA">
      <w:pPr>
        <w:rPr>
          <w:rFonts w:cs="Arial"/>
          <w:szCs w:val="22"/>
        </w:rPr>
      </w:pPr>
    </w:p>
    <w:p w:rsidR="00883BC7" w:rsidRPr="006B0C6A" w:rsidRDefault="00883BC7" w:rsidP="00475ABA">
      <w:pPr>
        <w:pStyle w:val="ListParagraph"/>
        <w:widowControl w:val="0"/>
        <w:numPr>
          <w:ilvl w:val="0"/>
          <w:numId w:val="6"/>
        </w:numPr>
        <w:tabs>
          <w:tab w:val="left" w:pos="840"/>
        </w:tabs>
        <w:rPr>
          <w:rFonts w:eastAsia="Tahoma" w:cs="Arial"/>
          <w:szCs w:val="22"/>
        </w:rPr>
      </w:pPr>
      <w:r w:rsidRPr="006B0C6A">
        <w:rPr>
          <w:rFonts w:eastAsia="Tahoma" w:cs="Arial"/>
          <w:szCs w:val="22"/>
        </w:rPr>
        <w:t>Increase the periodicity of station-specific worker training</w:t>
      </w:r>
    </w:p>
    <w:p w:rsidR="00883BC7" w:rsidRPr="006B0C6A" w:rsidRDefault="00883BC7" w:rsidP="00475ABA">
      <w:pPr>
        <w:pStyle w:val="ListParagraph"/>
        <w:widowControl w:val="0"/>
        <w:numPr>
          <w:ilvl w:val="0"/>
          <w:numId w:val="6"/>
        </w:numPr>
        <w:tabs>
          <w:tab w:val="left" w:pos="840"/>
        </w:tabs>
        <w:rPr>
          <w:rFonts w:eastAsia="Tahoma" w:cs="Arial"/>
          <w:szCs w:val="22"/>
        </w:rPr>
      </w:pPr>
      <w:r w:rsidRPr="006B0C6A">
        <w:rPr>
          <w:rFonts w:eastAsia="Tahoma" w:cs="Arial"/>
          <w:szCs w:val="22"/>
        </w:rPr>
        <w:t>Improve the timeliness of field labeling of certain Items Relied On For Safety</w:t>
      </w:r>
    </w:p>
    <w:p w:rsidR="00883BC7" w:rsidRPr="006B0C6A" w:rsidRDefault="00883BC7" w:rsidP="00475ABA">
      <w:pPr>
        <w:pStyle w:val="ListParagraph"/>
        <w:widowControl w:val="0"/>
        <w:numPr>
          <w:ilvl w:val="0"/>
          <w:numId w:val="6"/>
        </w:numPr>
        <w:tabs>
          <w:tab w:val="left" w:pos="820"/>
        </w:tabs>
        <w:rPr>
          <w:rFonts w:eastAsia="Tahoma" w:cs="Arial"/>
          <w:szCs w:val="22"/>
        </w:rPr>
      </w:pPr>
      <w:r w:rsidRPr="006B0C6A">
        <w:rPr>
          <w:rFonts w:eastAsia="Tahoma" w:cs="Arial"/>
          <w:szCs w:val="22"/>
        </w:rPr>
        <w:t>Improve the pace of systematic elimination of administrative controls - where engineered controls could be used</w:t>
      </w:r>
    </w:p>
    <w:p w:rsidR="00883BC7" w:rsidRPr="006B0C6A" w:rsidRDefault="00883BC7" w:rsidP="00475ABA">
      <w:pPr>
        <w:pStyle w:val="ListParagraph"/>
        <w:widowControl w:val="0"/>
        <w:numPr>
          <w:ilvl w:val="0"/>
          <w:numId w:val="6"/>
        </w:numPr>
        <w:tabs>
          <w:tab w:val="left" w:pos="840"/>
        </w:tabs>
        <w:rPr>
          <w:rFonts w:eastAsia="Tahoma" w:cs="Arial"/>
          <w:szCs w:val="22"/>
        </w:rPr>
      </w:pPr>
      <w:r w:rsidRPr="006B0C6A">
        <w:rPr>
          <w:rFonts w:eastAsia="Tahoma" w:cs="Arial"/>
          <w:szCs w:val="22"/>
        </w:rPr>
        <w:t>Improve on meeting the goal of conducting a systematic re-review of the ISA at a specified periodicity</w:t>
      </w:r>
    </w:p>
    <w:p w:rsidR="00883BC7" w:rsidRPr="006B0C6A" w:rsidRDefault="00883BC7" w:rsidP="00475ABA">
      <w:pPr>
        <w:pStyle w:val="ListParagraph"/>
        <w:widowControl w:val="0"/>
        <w:numPr>
          <w:ilvl w:val="0"/>
          <w:numId w:val="6"/>
        </w:numPr>
        <w:tabs>
          <w:tab w:val="left" w:pos="820"/>
        </w:tabs>
        <w:rPr>
          <w:rFonts w:eastAsia="Tahoma" w:cs="Arial"/>
          <w:szCs w:val="22"/>
        </w:rPr>
      </w:pPr>
      <w:r w:rsidRPr="006B0C6A">
        <w:rPr>
          <w:rFonts w:eastAsia="Tahoma" w:cs="Arial"/>
          <w:szCs w:val="22"/>
        </w:rPr>
        <w:t>Improve the periodicity of the conduct of self-assessments and efforts to implement best practices</w:t>
      </w:r>
    </w:p>
    <w:p w:rsidR="00883BC7" w:rsidRPr="006B0C6A" w:rsidRDefault="00883BC7" w:rsidP="00475ABA">
      <w:pPr>
        <w:pStyle w:val="ListParagraph"/>
        <w:widowControl w:val="0"/>
        <w:numPr>
          <w:ilvl w:val="0"/>
          <w:numId w:val="6"/>
        </w:numPr>
        <w:tabs>
          <w:tab w:val="left" w:pos="820"/>
        </w:tabs>
        <w:rPr>
          <w:rFonts w:eastAsia="Tahoma" w:cs="Arial"/>
          <w:szCs w:val="22"/>
        </w:rPr>
      </w:pPr>
      <w:r w:rsidRPr="006B0C6A">
        <w:rPr>
          <w:rFonts w:eastAsia="Tahoma" w:cs="Arial"/>
          <w:szCs w:val="22"/>
        </w:rPr>
        <w:t>Increase the amount of time that managers and senior experts spend on the facility floor</w:t>
      </w:r>
    </w:p>
    <w:p w:rsidR="00883BC7" w:rsidRPr="006B0C6A" w:rsidRDefault="00883BC7" w:rsidP="00475ABA">
      <w:pPr>
        <w:pStyle w:val="ListParagraph"/>
        <w:widowControl w:val="0"/>
        <w:numPr>
          <w:ilvl w:val="0"/>
          <w:numId w:val="6"/>
        </w:numPr>
        <w:tabs>
          <w:tab w:val="left" w:pos="820"/>
        </w:tabs>
        <w:rPr>
          <w:rFonts w:eastAsia="Tahoma" w:cs="Arial"/>
          <w:szCs w:val="22"/>
        </w:rPr>
      </w:pPr>
      <w:r w:rsidRPr="006B0C6A">
        <w:rPr>
          <w:rFonts w:eastAsia="Tahoma" w:cs="Arial"/>
          <w:szCs w:val="22"/>
        </w:rPr>
        <w:t>Improve the time to develop new processes to recover special nuclear material</w:t>
      </w:r>
    </w:p>
    <w:p w:rsidR="00883BC7" w:rsidRPr="006B0C6A" w:rsidRDefault="00883BC7" w:rsidP="00475ABA">
      <w:pPr>
        <w:pStyle w:val="ListParagraph"/>
        <w:widowControl w:val="0"/>
        <w:numPr>
          <w:ilvl w:val="0"/>
          <w:numId w:val="6"/>
        </w:numPr>
        <w:tabs>
          <w:tab w:val="left" w:pos="820"/>
        </w:tabs>
        <w:rPr>
          <w:rFonts w:eastAsia="Tahoma" w:cs="Arial"/>
          <w:szCs w:val="22"/>
        </w:rPr>
      </w:pPr>
      <w:r w:rsidRPr="006B0C6A">
        <w:rPr>
          <w:rFonts w:eastAsia="Tahoma" w:cs="Arial"/>
          <w:szCs w:val="22"/>
        </w:rPr>
        <w:t>Improve the time to develop new or improved low-level waste minimization efforts</w:t>
      </w:r>
    </w:p>
    <w:p w:rsidR="00883BC7" w:rsidRPr="006B0C6A" w:rsidRDefault="00883BC7" w:rsidP="00475ABA">
      <w:pPr>
        <w:rPr>
          <w:rFonts w:cs="Arial"/>
          <w:szCs w:val="22"/>
        </w:rPr>
      </w:pPr>
    </w:p>
    <w:p w:rsidR="00883BC7" w:rsidRPr="006B0C6A" w:rsidRDefault="00883BC7" w:rsidP="00475ABA">
      <w:pPr>
        <w:rPr>
          <w:rFonts w:cs="Arial"/>
          <w:szCs w:val="22"/>
        </w:rPr>
      </w:pPr>
      <w:r w:rsidRPr="006B0C6A">
        <w:rPr>
          <w:rFonts w:cs="Arial"/>
          <w:szCs w:val="22"/>
          <w:u w:val="single"/>
        </w:rPr>
        <w:t>NRC Response</w:t>
      </w:r>
    </w:p>
    <w:p w:rsidR="00883BC7" w:rsidRPr="006B0C6A" w:rsidRDefault="00883BC7" w:rsidP="00475ABA">
      <w:pPr>
        <w:rPr>
          <w:rFonts w:cs="Arial"/>
          <w:szCs w:val="22"/>
        </w:rPr>
      </w:pPr>
    </w:p>
    <w:p w:rsidR="00883BC7" w:rsidRPr="006B0C6A" w:rsidRDefault="00883BC7" w:rsidP="00475ABA">
      <w:pPr>
        <w:rPr>
          <w:rFonts w:cs="Arial"/>
          <w:szCs w:val="22"/>
        </w:rPr>
      </w:pPr>
      <w:r w:rsidRPr="006B0C6A">
        <w:rPr>
          <w:rFonts w:cs="Arial"/>
          <w:szCs w:val="22"/>
        </w:rPr>
        <w:t xml:space="preserve">No changes were made to the </w:t>
      </w:r>
      <w:r w:rsidR="003337D6">
        <w:rPr>
          <w:rFonts w:cs="Arial"/>
          <w:szCs w:val="22"/>
        </w:rPr>
        <w:t>generic letter</w:t>
      </w:r>
      <w:r w:rsidRPr="006B0C6A">
        <w:rPr>
          <w:rFonts w:cs="Arial"/>
          <w:szCs w:val="22"/>
        </w:rPr>
        <w:t xml:space="preserve"> as a result of this comment.  </w:t>
      </w:r>
    </w:p>
    <w:p w:rsidR="00883BC7" w:rsidRPr="006B0C6A" w:rsidRDefault="00883BC7" w:rsidP="00475ABA">
      <w:pPr>
        <w:rPr>
          <w:rFonts w:cs="Arial"/>
          <w:szCs w:val="22"/>
        </w:rPr>
      </w:pPr>
    </w:p>
    <w:p w:rsidR="00883BC7" w:rsidRPr="006B0C6A" w:rsidRDefault="00883BC7" w:rsidP="00475ABA">
      <w:pPr>
        <w:rPr>
          <w:rFonts w:cs="Arial"/>
          <w:szCs w:val="22"/>
        </w:rPr>
      </w:pPr>
      <w:r w:rsidRPr="006B0C6A">
        <w:rPr>
          <w:rFonts w:cs="Arial"/>
          <w:szCs w:val="22"/>
        </w:rPr>
        <w:t>As discussed in the NRC’s response to comment NEI 2-8 above, the status of the generic letter and related I</w:t>
      </w:r>
      <w:r w:rsidR="003337D6">
        <w:rPr>
          <w:rFonts w:cs="Arial"/>
          <w:szCs w:val="22"/>
        </w:rPr>
        <w:t>SG</w:t>
      </w:r>
      <w:r w:rsidRPr="006B0C6A">
        <w:rPr>
          <w:rFonts w:cs="Arial"/>
          <w:szCs w:val="22"/>
        </w:rPr>
        <w:t xml:space="preserve"> are tracked on the fuel cycle C</w:t>
      </w:r>
      <w:r w:rsidR="003337D6">
        <w:rPr>
          <w:rFonts w:cs="Arial"/>
          <w:szCs w:val="22"/>
        </w:rPr>
        <w:t>ER</w:t>
      </w:r>
      <w:r w:rsidRPr="006B0C6A">
        <w:rPr>
          <w:rFonts w:cs="Arial"/>
          <w:szCs w:val="22"/>
        </w:rPr>
        <w:t xml:space="preserve"> Integrated Schedule (Integrated Schedule)</w:t>
      </w:r>
      <w:r w:rsidR="009224D1">
        <w:rPr>
          <w:rFonts w:cs="Arial"/>
          <w:szCs w:val="22"/>
        </w:rPr>
        <w:t xml:space="preserve"> along with other regulatory activities</w:t>
      </w:r>
      <w:r w:rsidRPr="006B0C6A">
        <w:rPr>
          <w:rFonts w:cs="Arial"/>
          <w:szCs w:val="22"/>
        </w:rPr>
        <w:t xml:space="preserve">.  Although the facility-initiated projects (e.g., those listed in the comment) are not tracked on the Integrated Schedule, the NRC </w:t>
      </w:r>
      <w:r w:rsidR="009224D1">
        <w:rPr>
          <w:rFonts w:cs="Arial"/>
          <w:szCs w:val="22"/>
        </w:rPr>
        <w:t>is open to feedback</w:t>
      </w:r>
      <w:r w:rsidRPr="006B0C6A">
        <w:rPr>
          <w:rFonts w:cs="Arial"/>
          <w:szCs w:val="22"/>
        </w:rPr>
        <w:t xml:space="preserve"> from stakeholders during quarterly CER meetings on the need to adjust milestones on the Integrated Schedule </w:t>
      </w:r>
      <w:r w:rsidR="009224D1">
        <w:rPr>
          <w:rFonts w:cs="Arial"/>
          <w:szCs w:val="22"/>
        </w:rPr>
        <w:t>due to</w:t>
      </w:r>
      <w:r w:rsidR="009224D1" w:rsidRPr="009224D1">
        <w:rPr>
          <w:rFonts w:cs="Arial"/>
          <w:szCs w:val="22"/>
        </w:rPr>
        <w:t xml:space="preserve"> </w:t>
      </w:r>
      <w:r w:rsidR="009224D1" w:rsidRPr="006B0C6A">
        <w:rPr>
          <w:rFonts w:cs="Arial"/>
          <w:szCs w:val="22"/>
        </w:rPr>
        <w:t>facility-initiated</w:t>
      </w:r>
      <w:r w:rsidR="009224D1">
        <w:rPr>
          <w:rFonts w:cs="Arial"/>
          <w:szCs w:val="22"/>
        </w:rPr>
        <w:t xml:space="preserve"> projects.</w:t>
      </w:r>
      <w:r w:rsidRPr="006B0C6A">
        <w:rPr>
          <w:rFonts w:cs="Arial"/>
          <w:szCs w:val="22"/>
        </w:rPr>
        <w:t xml:space="preserve">  </w:t>
      </w:r>
    </w:p>
    <w:p w:rsidR="00883BC7" w:rsidRPr="006B0C6A" w:rsidRDefault="00883BC7" w:rsidP="00475ABA">
      <w:pPr>
        <w:rPr>
          <w:rFonts w:cs="Arial"/>
          <w:szCs w:val="22"/>
        </w:rPr>
      </w:pPr>
    </w:p>
    <w:p w:rsidR="00883BC7" w:rsidRPr="006B0C6A" w:rsidRDefault="00883BC7" w:rsidP="00475ABA">
      <w:pPr>
        <w:rPr>
          <w:rFonts w:cs="Arial"/>
          <w:szCs w:val="22"/>
        </w:rPr>
      </w:pPr>
      <w:r w:rsidRPr="006B0C6A">
        <w:rPr>
          <w:rFonts w:cs="Arial"/>
          <w:szCs w:val="22"/>
        </w:rPr>
        <w:t>Note:  Regulatory activities with safety or security significance and items with Commission directed due dates may have milestones which are not open for adjustment.</w:t>
      </w:r>
    </w:p>
    <w:p w:rsidR="00883BC7" w:rsidRPr="006B0C6A" w:rsidRDefault="00883BC7" w:rsidP="00475ABA">
      <w:pPr>
        <w:rPr>
          <w:rFonts w:cs="Arial"/>
          <w:szCs w:val="22"/>
        </w:rPr>
      </w:pPr>
    </w:p>
    <w:p w:rsidR="00883BC7" w:rsidRPr="006B0C6A" w:rsidRDefault="007F4134" w:rsidP="007F4134">
      <w:pPr>
        <w:tabs>
          <w:tab w:val="left" w:pos="540"/>
        </w:tabs>
        <w:ind w:left="540" w:hanging="540"/>
        <w:rPr>
          <w:rFonts w:eastAsia="Tahoma" w:cs="Arial"/>
          <w:szCs w:val="22"/>
        </w:rPr>
      </w:pPr>
      <w:r>
        <w:rPr>
          <w:rFonts w:eastAsia="Tahoma" w:cs="Arial"/>
          <w:b/>
          <w:bCs/>
          <w:szCs w:val="22"/>
        </w:rPr>
        <w:t>e.</w:t>
      </w:r>
      <w:r>
        <w:rPr>
          <w:rFonts w:eastAsia="Tahoma" w:cs="Arial"/>
          <w:b/>
          <w:bCs/>
          <w:szCs w:val="22"/>
        </w:rPr>
        <w:tab/>
      </w:r>
      <w:r w:rsidR="00883BC7" w:rsidRPr="006B0C6A">
        <w:rPr>
          <w:rFonts w:eastAsia="Tahoma" w:cs="Arial"/>
          <w:b/>
          <w:bCs/>
          <w:szCs w:val="22"/>
        </w:rPr>
        <w:t>Are there unintended consequences associated with responding to this generic letter at this time?</w:t>
      </w:r>
    </w:p>
    <w:p w:rsidR="00883BC7" w:rsidRPr="006B0C6A" w:rsidRDefault="00883BC7" w:rsidP="00475ABA">
      <w:pPr>
        <w:rPr>
          <w:rFonts w:cs="Arial"/>
          <w:szCs w:val="22"/>
          <w:u w:val="single"/>
        </w:rPr>
      </w:pPr>
    </w:p>
    <w:p w:rsidR="00883BC7" w:rsidRPr="006B0C6A" w:rsidRDefault="00883BC7" w:rsidP="00475ABA">
      <w:pPr>
        <w:rPr>
          <w:rFonts w:cs="Arial"/>
          <w:szCs w:val="22"/>
          <w:u w:val="single"/>
        </w:rPr>
      </w:pPr>
      <w:r w:rsidRPr="006B0C6A">
        <w:rPr>
          <w:rFonts w:cs="Arial"/>
          <w:szCs w:val="22"/>
          <w:u w:val="single"/>
        </w:rPr>
        <w:t xml:space="preserve">NEI Response </w:t>
      </w:r>
    </w:p>
    <w:p w:rsidR="00883BC7" w:rsidRPr="006B0C6A" w:rsidRDefault="00883BC7" w:rsidP="00475ABA">
      <w:pPr>
        <w:rPr>
          <w:rFonts w:cs="Arial"/>
          <w:szCs w:val="22"/>
        </w:rPr>
      </w:pPr>
    </w:p>
    <w:p w:rsidR="00883BC7" w:rsidRPr="006B0C6A" w:rsidRDefault="00883BC7" w:rsidP="00475ABA">
      <w:pPr>
        <w:rPr>
          <w:rFonts w:eastAsia="Tahoma" w:cs="Arial"/>
          <w:szCs w:val="22"/>
        </w:rPr>
      </w:pPr>
      <w:r w:rsidRPr="006B0C6A">
        <w:rPr>
          <w:rFonts w:eastAsia="Tahoma" w:cs="Arial"/>
          <w:szCs w:val="22"/>
        </w:rPr>
        <w:t>Due to the sheer number of regulatory initiatives with due dates by year’s end and other concurrent initiatives, the time to conduct a critical review and provide insightful comments on this draft generic letter and has been relatively limited and less than one would prefer.</w:t>
      </w:r>
    </w:p>
    <w:p w:rsidR="00883BC7" w:rsidRPr="006B0C6A" w:rsidRDefault="00883BC7" w:rsidP="00475ABA">
      <w:pPr>
        <w:rPr>
          <w:rFonts w:cs="Arial"/>
          <w:szCs w:val="22"/>
        </w:rPr>
      </w:pPr>
    </w:p>
    <w:p w:rsidR="00883BC7" w:rsidRPr="006B0C6A" w:rsidRDefault="00883BC7" w:rsidP="00475ABA">
      <w:pPr>
        <w:rPr>
          <w:rFonts w:cs="Arial"/>
          <w:szCs w:val="22"/>
        </w:rPr>
      </w:pPr>
      <w:r w:rsidRPr="006B0C6A">
        <w:rPr>
          <w:rFonts w:cs="Arial"/>
          <w:szCs w:val="22"/>
          <w:u w:val="single"/>
        </w:rPr>
        <w:t>NRC Response</w:t>
      </w:r>
    </w:p>
    <w:p w:rsidR="00883BC7" w:rsidRPr="006B0C6A" w:rsidRDefault="00883BC7" w:rsidP="00475ABA">
      <w:pPr>
        <w:rPr>
          <w:rFonts w:cs="Arial"/>
          <w:szCs w:val="22"/>
        </w:rPr>
      </w:pPr>
    </w:p>
    <w:p w:rsidR="00317B8B" w:rsidRDefault="00883BC7" w:rsidP="00475ABA">
      <w:pPr>
        <w:rPr>
          <w:rFonts w:cs="Arial"/>
          <w:szCs w:val="22"/>
        </w:rPr>
      </w:pPr>
      <w:r w:rsidRPr="006B0C6A">
        <w:rPr>
          <w:rFonts w:cs="Arial"/>
          <w:szCs w:val="22"/>
        </w:rPr>
        <w:t xml:space="preserve">No changes were made to the </w:t>
      </w:r>
      <w:r w:rsidR="00C401EC">
        <w:rPr>
          <w:rFonts w:cs="Arial"/>
          <w:szCs w:val="22"/>
        </w:rPr>
        <w:t>generic letter</w:t>
      </w:r>
      <w:r w:rsidRPr="006B0C6A">
        <w:rPr>
          <w:rFonts w:cs="Arial"/>
          <w:szCs w:val="22"/>
        </w:rPr>
        <w:t xml:space="preserve"> as a result of this comment.  </w:t>
      </w:r>
    </w:p>
    <w:p w:rsidR="00E34448" w:rsidRDefault="00E34448" w:rsidP="00475ABA">
      <w:pPr>
        <w:rPr>
          <w:rFonts w:cs="Arial"/>
          <w:szCs w:val="22"/>
        </w:rPr>
      </w:pPr>
    </w:p>
    <w:p w:rsidR="00883BC7" w:rsidRPr="006B0C6A" w:rsidRDefault="00883BC7" w:rsidP="00475ABA">
      <w:pPr>
        <w:rPr>
          <w:rFonts w:cs="Arial"/>
          <w:szCs w:val="22"/>
        </w:rPr>
      </w:pPr>
      <w:r w:rsidRPr="006B0C6A">
        <w:rPr>
          <w:rFonts w:cs="Arial"/>
          <w:szCs w:val="22"/>
        </w:rPr>
        <w:t xml:space="preserve">The NRC staff recognizes the Agency has multiple fuel cycle regulatory activities that are under development concurrently with the generic letter, many of which are tracked on the fuel cycle Cumulative Effects of Regulation Integrated Schedule.  As part of NRC’s continuing CER </w:t>
      </w:r>
      <w:r w:rsidRPr="006B0C6A">
        <w:rPr>
          <w:rFonts w:cs="Arial"/>
          <w:szCs w:val="22"/>
        </w:rPr>
        <w:lastRenderedPageBreak/>
        <w:t xml:space="preserve">efforts, the NRC </w:t>
      </w:r>
      <w:r w:rsidR="006073DF">
        <w:rPr>
          <w:rFonts w:cs="Arial"/>
          <w:szCs w:val="22"/>
        </w:rPr>
        <w:t>adjust when possible</w:t>
      </w:r>
      <w:r w:rsidRPr="006B0C6A">
        <w:rPr>
          <w:rFonts w:cs="Arial"/>
          <w:szCs w:val="22"/>
        </w:rPr>
        <w:t xml:space="preserve"> its regulatory milestones to </w:t>
      </w:r>
      <w:r w:rsidR="006073DF">
        <w:rPr>
          <w:rFonts w:cs="Arial"/>
          <w:szCs w:val="22"/>
        </w:rPr>
        <w:t>provide</w:t>
      </w:r>
      <w:r w:rsidRPr="006B0C6A">
        <w:rPr>
          <w:rFonts w:cs="Arial"/>
          <w:szCs w:val="22"/>
        </w:rPr>
        <w:t xml:space="preserve"> stakeholders</w:t>
      </w:r>
      <w:r w:rsidR="006073DF">
        <w:rPr>
          <w:rFonts w:cs="Arial"/>
          <w:szCs w:val="22"/>
        </w:rPr>
        <w:t xml:space="preserve"> </w:t>
      </w:r>
      <w:r w:rsidRPr="006B0C6A">
        <w:rPr>
          <w:rFonts w:cs="Arial"/>
          <w:szCs w:val="22"/>
        </w:rPr>
        <w:t xml:space="preserve">adequate time to provide comments.  </w:t>
      </w:r>
    </w:p>
    <w:p w:rsidR="00883BC7" w:rsidRPr="006B0C6A" w:rsidRDefault="00883BC7" w:rsidP="00475ABA">
      <w:pPr>
        <w:rPr>
          <w:rFonts w:cs="Arial"/>
          <w:szCs w:val="22"/>
        </w:rPr>
      </w:pPr>
    </w:p>
    <w:p w:rsidR="00883BC7" w:rsidRPr="006B0C6A" w:rsidRDefault="00883BC7" w:rsidP="007F4134">
      <w:pPr>
        <w:tabs>
          <w:tab w:val="left" w:pos="540"/>
        </w:tabs>
        <w:rPr>
          <w:rFonts w:eastAsia="Tahoma" w:cs="Arial"/>
          <w:szCs w:val="22"/>
        </w:rPr>
      </w:pPr>
      <w:r w:rsidRPr="006B0C6A">
        <w:rPr>
          <w:rFonts w:eastAsia="Tahoma" w:cs="Arial"/>
          <w:b/>
          <w:bCs/>
          <w:szCs w:val="22"/>
        </w:rPr>
        <w:t>f.</w:t>
      </w:r>
      <w:r w:rsidR="007F4134">
        <w:rPr>
          <w:rFonts w:eastAsia="Tahoma" w:cs="Arial"/>
          <w:b/>
          <w:bCs/>
          <w:szCs w:val="22"/>
        </w:rPr>
        <w:tab/>
      </w:r>
      <w:r w:rsidRPr="006B0C6A">
        <w:rPr>
          <w:rFonts w:eastAsia="Tahoma" w:cs="Arial"/>
          <w:b/>
          <w:bCs/>
          <w:szCs w:val="22"/>
        </w:rPr>
        <w:t>Please comment on the NRC’s supporting justification for this generic letter.</w:t>
      </w:r>
    </w:p>
    <w:p w:rsidR="00883BC7" w:rsidRPr="006B0C6A" w:rsidRDefault="00883BC7" w:rsidP="00475ABA">
      <w:pPr>
        <w:rPr>
          <w:rFonts w:cs="Arial"/>
          <w:szCs w:val="22"/>
        </w:rPr>
      </w:pPr>
    </w:p>
    <w:p w:rsidR="00883BC7" w:rsidRPr="006B0C6A" w:rsidRDefault="00883BC7" w:rsidP="00475ABA">
      <w:pPr>
        <w:rPr>
          <w:rFonts w:cs="Arial"/>
          <w:szCs w:val="22"/>
          <w:u w:val="single"/>
        </w:rPr>
      </w:pPr>
      <w:r w:rsidRPr="006B0C6A">
        <w:rPr>
          <w:rFonts w:cs="Arial"/>
          <w:szCs w:val="22"/>
          <w:u w:val="single"/>
        </w:rPr>
        <w:t xml:space="preserve">NEI Response </w:t>
      </w:r>
    </w:p>
    <w:p w:rsidR="00883BC7" w:rsidRPr="006B0C6A" w:rsidRDefault="00883BC7" w:rsidP="00475ABA">
      <w:pPr>
        <w:rPr>
          <w:rFonts w:eastAsia="Tahoma" w:cs="Arial"/>
          <w:szCs w:val="22"/>
        </w:rPr>
      </w:pPr>
    </w:p>
    <w:p w:rsidR="00883BC7" w:rsidRPr="006B0C6A" w:rsidRDefault="00883BC7" w:rsidP="00475ABA">
      <w:pPr>
        <w:rPr>
          <w:rFonts w:eastAsia="Tahoma" w:cs="Arial"/>
          <w:szCs w:val="22"/>
        </w:rPr>
      </w:pPr>
      <w:r w:rsidRPr="006B0C6A">
        <w:rPr>
          <w:rFonts w:eastAsia="Tahoma" w:cs="Arial"/>
          <w:szCs w:val="22"/>
        </w:rPr>
        <w:t>Given the relatively low risk of consequences of concern to the public or environment as a result of a natural phenomenon event at a fuel cycle facility, the resources expended to conduct any necessary analyses, assimilate and submit the information and potentially respond to Requests for Additional Information or related inspection findings is difficult to justify from a cost-benefit perspective.</w:t>
      </w:r>
    </w:p>
    <w:p w:rsidR="00883BC7" w:rsidRPr="006B0C6A" w:rsidRDefault="00883BC7" w:rsidP="00475ABA">
      <w:pPr>
        <w:rPr>
          <w:rFonts w:eastAsia="Tahoma" w:cs="Arial"/>
          <w:szCs w:val="22"/>
        </w:rPr>
      </w:pPr>
    </w:p>
    <w:p w:rsidR="00883BC7" w:rsidRPr="006B0C6A" w:rsidRDefault="00883BC7" w:rsidP="00475ABA">
      <w:pPr>
        <w:rPr>
          <w:rFonts w:eastAsia="Tahoma" w:cs="Arial"/>
          <w:szCs w:val="22"/>
          <w:u w:val="single"/>
        </w:rPr>
      </w:pPr>
      <w:r w:rsidRPr="006B0C6A">
        <w:rPr>
          <w:rFonts w:eastAsia="Tahoma" w:cs="Arial"/>
          <w:szCs w:val="22"/>
          <w:u w:val="single"/>
        </w:rPr>
        <w:t>NRC Response</w:t>
      </w:r>
    </w:p>
    <w:p w:rsidR="00883BC7" w:rsidRPr="006B0C6A" w:rsidRDefault="00883BC7" w:rsidP="00475ABA">
      <w:pPr>
        <w:rPr>
          <w:rFonts w:eastAsia="Tahoma" w:cs="Arial"/>
          <w:szCs w:val="22"/>
          <w:u w:val="single"/>
        </w:rPr>
      </w:pPr>
    </w:p>
    <w:p w:rsidR="00883BC7" w:rsidRPr="006B0C6A" w:rsidRDefault="00883BC7" w:rsidP="00475ABA">
      <w:pPr>
        <w:rPr>
          <w:rFonts w:cs="Arial"/>
          <w:szCs w:val="22"/>
        </w:rPr>
      </w:pPr>
      <w:r w:rsidRPr="006B0C6A">
        <w:rPr>
          <w:rFonts w:cs="Arial"/>
          <w:szCs w:val="22"/>
        </w:rPr>
        <w:t xml:space="preserve">No changes were made to the GL as a result of this comment.  </w:t>
      </w:r>
    </w:p>
    <w:p w:rsidR="00883BC7" w:rsidRPr="006B0C6A" w:rsidRDefault="00883BC7" w:rsidP="00475ABA">
      <w:pPr>
        <w:rPr>
          <w:rFonts w:cs="Arial"/>
          <w:szCs w:val="22"/>
        </w:rPr>
      </w:pPr>
    </w:p>
    <w:p w:rsidR="000531DE" w:rsidRPr="006B0C6A" w:rsidRDefault="001C18DE" w:rsidP="00475ABA">
      <w:pPr>
        <w:tabs>
          <w:tab w:val="left" w:pos="1427"/>
        </w:tabs>
        <w:rPr>
          <w:rFonts w:eastAsiaTheme="minorHAnsi" w:cs="Arial"/>
          <w:szCs w:val="22"/>
        </w:rPr>
      </w:pPr>
      <w:r>
        <w:rPr>
          <w:rFonts w:eastAsia="Tahoma" w:cs="Arial"/>
          <w:szCs w:val="22"/>
        </w:rPr>
        <w:t xml:space="preserve">The information requested in the generic letter will be used </w:t>
      </w:r>
      <w:r w:rsidRPr="006B0C6A">
        <w:rPr>
          <w:rFonts w:cs="Arial"/>
          <w:szCs w:val="22"/>
        </w:rPr>
        <w:t xml:space="preserve">to further assess whether licensees are in compliance with license conditions and </w:t>
      </w:r>
      <w:r>
        <w:rPr>
          <w:rFonts w:cs="Arial"/>
          <w:szCs w:val="22"/>
        </w:rPr>
        <w:t>regulatory requirements</w:t>
      </w:r>
      <w:r w:rsidR="00883BC7" w:rsidRPr="006B0C6A">
        <w:rPr>
          <w:rFonts w:eastAsia="Tahoma" w:cs="Arial"/>
          <w:szCs w:val="22"/>
        </w:rPr>
        <w:t>.  Please refer to the NRC response to comment NEI 2-1 for additional detail.</w:t>
      </w:r>
      <w:r w:rsidR="001872D3" w:rsidRPr="006B0C6A">
        <w:rPr>
          <w:rFonts w:eastAsiaTheme="minorHAnsi" w:cs="Arial"/>
          <w:szCs w:val="22"/>
        </w:rPr>
        <w:tab/>
      </w:r>
    </w:p>
    <w:sectPr w:rsidR="000531DE" w:rsidRPr="006B0C6A" w:rsidSect="008162EA">
      <w:headerReference w:type="default" r:id="rId13"/>
      <w:footerReference w:type="default" r:id="rId14"/>
      <w:headerReference w:type="first" r:id="rId15"/>
      <w:footerReference w:type="first" r:id="rId16"/>
      <w:pgSz w:w="12240" w:h="15840"/>
      <w:pgMar w:top="1440" w:right="1440" w:bottom="1440" w:left="1440" w:header="144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73C" w:rsidRDefault="0062273C" w:rsidP="0001273E">
      <w:r>
        <w:separator/>
      </w:r>
    </w:p>
  </w:endnote>
  <w:endnote w:type="continuationSeparator" w:id="0">
    <w:p w:rsidR="0062273C" w:rsidRDefault="0062273C" w:rsidP="000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448" w:rsidRDefault="00E34448">
    <w:pPr>
      <w:pStyle w:val="Footer"/>
    </w:pPr>
  </w:p>
  <w:p w:rsidR="00E34448" w:rsidRDefault="00E34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EB3" w:rsidRDefault="00DC3E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EB3" w:rsidRDefault="00DC3E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448" w:rsidRDefault="00E34448">
    <w:pPr>
      <w:pStyle w:val="Footer"/>
    </w:pPr>
  </w:p>
  <w:p w:rsidR="00E34448" w:rsidRDefault="00E34448" w:rsidP="00E344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73C" w:rsidRDefault="0062273C" w:rsidP="0001273E">
      <w:r>
        <w:separator/>
      </w:r>
    </w:p>
  </w:footnote>
  <w:footnote w:type="continuationSeparator" w:id="0">
    <w:p w:rsidR="0062273C" w:rsidRDefault="0062273C" w:rsidP="00012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D0" w:rsidRDefault="006941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EB" w:rsidRDefault="00E34448" w:rsidP="008A06EB">
    <w:pPr>
      <w:pStyle w:val="Header"/>
      <w:jc w:val="center"/>
    </w:pPr>
    <w:r>
      <w:fldChar w:fldCharType="begin"/>
    </w:r>
    <w:r>
      <w:instrText xml:space="preserve"> PAGE   \* MERGEFORMAT </w:instrText>
    </w:r>
    <w:r>
      <w:fldChar w:fldCharType="separate"/>
    </w:r>
    <w:r w:rsidR="00B15F28">
      <w:rPr>
        <w:noProof/>
      </w:rPr>
      <w:t>10</w:t>
    </w:r>
    <w:r>
      <w:rPr>
        <w:noProof/>
      </w:rPr>
      <w:fldChar w:fldCharType="end"/>
    </w:r>
  </w:p>
  <w:p w:rsidR="00E34448" w:rsidRDefault="00E34448" w:rsidP="008A06E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D0" w:rsidRDefault="006941D0" w:rsidP="006941D0">
    <w:pPr>
      <w:pStyle w:val="Header"/>
      <w:jc w:val="center"/>
    </w:pPr>
  </w:p>
  <w:p w:rsidR="00E34448" w:rsidRDefault="00E34448" w:rsidP="006941D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00942"/>
    <w:multiLevelType w:val="hybridMultilevel"/>
    <w:tmpl w:val="D09A4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E810B72"/>
    <w:multiLevelType w:val="hybridMultilevel"/>
    <w:tmpl w:val="ACE8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3352F0"/>
    <w:multiLevelType w:val="hybridMultilevel"/>
    <w:tmpl w:val="DFA6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47061A"/>
    <w:multiLevelType w:val="hybridMultilevel"/>
    <w:tmpl w:val="697C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C64C4A"/>
    <w:multiLevelType w:val="hybridMultilevel"/>
    <w:tmpl w:val="0600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4744A7"/>
    <w:multiLevelType w:val="hybridMultilevel"/>
    <w:tmpl w:val="DFE2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F3"/>
    <w:rsid w:val="0001273E"/>
    <w:rsid w:val="00023E60"/>
    <w:rsid w:val="00033F99"/>
    <w:rsid w:val="000515F9"/>
    <w:rsid w:val="000531DE"/>
    <w:rsid w:val="00071363"/>
    <w:rsid w:val="0007632B"/>
    <w:rsid w:val="000A1317"/>
    <w:rsid w:val="000A2F4E"/>
    <w:rsid w:val="000B61EE"/>
    <w:rsid w:val="000D0C13"/>
    <w:rsid w:val="000D29A8"/>
    <w:rsid w:val="000D7461"/>
    <w:rsid w:val="000D7FE8"/>
    <w:rsid w:val="00106B3B"/>
    <w:rsid w:val="001078DF"/>
    <w:rsid w:val="00113274"/>
    <w:rsid w:val="001142AD"/>
    <w:rsid w:val="00120DFB"/>
    <w:rsid w:val="00144758"/>
    <w:rsid w:val="00154E93"/>
    <w:rsid w:val="001551A9"/>
    <w:rsid w:val="001648FE"/>
    <w:rsid w:val="001872D3"/>
    <w:rsid w:val="0019794C"/>
    <w:rsid w:val="001A67A9"/>
    <w:rsid w:val="001C18DE"/>
    <w:rsid w:val="001D35FA"/>
    <w:rsid w:val="001D3677"/>
    <w:rsid w:val="001F6532"/>
    <w:rsid w:val="00214B87"/>
    <w:rsid w:val="002251B1"/>
    <w:rsid w:val="00240E38"/>
    <w:rsid w:val="00250556"/>
    <w:rsid w:val="00254482"/>
    <w:rsid w:val="002547F3"/>
    <w:rsid w:val="002550E1"/>
    <w:rsid w:val="00290B75"/>
    <w:rsid w:val="002B2F8A"/>
    <w:rsid w:val="003040A4"/>
    <w:rsid w:val="003114A9"/>
    <w:rsid w:val="00314D5F"/>
    <w:rsid w:val="0031775B"/>
    <w:rsid w:val="00317B8B"/>
    <w:rsid w:val="00325F9E"/>
    <w:rsid w:val="00331B02"/>
    <w:rsid w:val="00332E91"/>
    <w:rsid w:val="003337D6"/>
    <w:rsid w:val="003414FF"/>
    <w:rsid w:val="00344F4A"/>
    <w:rsid w:val="00367C6E"/>
    <w:rsid w:val="00373BE0"/>
    <w:rsid w:val="00391B30"/>
    <w:rsid w:val="003B112B"/>
    <w:rsid w:val="003B7A23"/>
    <w:rsid w:val="003C1521"/>
    <w:rsid w:val="003C2DAD"/>
    <w:rsid w:val="003C5900"/>
    <w:rsid w:val="003D059E"/>
    <w:rsid w:val="003D4973"/>
    <w:rsid w:val="00427E8A"/>
    <w:rsid w:val="00437421"/>
    <w:rsid w:val="00457A3C"/>
    <w:rsid w:val="00460300"/>
    <w:rsid w:val="00474A6C"/>
    <w:rsid w:val="00475ABA"/>
    <w:rsid w:val="00477C04"/>
    <w:rsid w:val="004842A1"/>
    <w:rsid w:val="004A68F9"/>
    <w:rsid w:val="004B5A37"/>
    <w:rsid w:val="004D3611"/>
    <w:rsid w:val="004E234F"/>
    <w:rsid w:val="004F0113"/>
    <w:rsid w:val="00501B64"/>
    <w:rsid w:val="00534AA6"/>
    <w:rsid w:val="005438E9"/>
    <w:rsid w:val="00550CA8"/>
    <w:rsid w:val="005609FE"/>
    <w:rsid w:val="00572E91"/>
    <w:rsid w:val="00581CCC"/>
    <w:rsid w:val="005C4DF3"/>
    <w:rsid w:val="005F7153"/>
    <w:rsid w:val="006073DF"/>
    <w:rsid w:val="0062273C"/>
    <w:rsid w:val="00631D0F"/>
    <w:rsid w:val="006371FE"/>
    <w:rsid w:val="006737F2"/>
    <w:rsid w:val="00680805"/>
    <w:rsid w:val="00687BB9"/>
    <w:rsid w:val="00693695"/>
    <w:rsid w:val="006941D0"/>
    <w:rsid w:val="006A0186"/>
    <w:rsid w:val="006A43A3"/>
    <w:rsid w:val="006B0C6A"/>
    <w:rsid w:val="006B0CC1"/>
    <w:rsid w:val="006E0474"/>
    <w:rsid w:val="007002C6"/>
    <w:rsid w:val="007021CE"/>
    <w:rsid w:val="00703723"/>
    <w:rsid w:val="007224C8"/>
    <w:rsid w:val="00730975"/>
    <w:rsid w:val="0073568F"/>
    <w:rsid w:val="007414CA"/>
    <w:rsid w:val="00745858"/>
    <w:rsid w:val="00763588"/>
    <w:rsid w:val="007914F8"/>
    <w:rsid w:val="00793D91"/>
    <w:rsid w:val="007B55CC"/>
    <w:rsid w:val="007C7CB1"/>
    <w:rsid w:val="007D1BDD"/>
    <w:rsid w:val="007F2E17"/>
    <w:rsid w:val="007F4134"/>
    <w:rsid w:val="0080492A"/>
    <w:rsid w:val="008162EA"/>
    <w:rsid w:val="00817C9B"/>
    <w:rsid w:val="008202A9"/>
    <w:rsid w:val="008326D9"/>
    <w:rsid w:val="00865721"/>
    <w:rsid w:val="00865C71"/>
    <w:rsid w:val="008735BB"/>
    <w:rsid w:val="008775CE"/>
    <w:rsid w:val="00883BC7"/>
    <w:rsid w:val="008A06EB"/>
    <w:rsid w:val="008B0409"/>
    <w:rsid w:val="008B18A9"/>
    <w:rsid w:val="008B66B6"/>
    <w:rsid w:val="008C6055"/>
    <w:rsid w:val="008D7772"/>
    <w:rsid w:val="008E5B2B"/>
    <w:rsid w:val="008F4692"/>
    <w:rsid w:val="00902DF0"/>
    <w:rsid w:val="00903B1D"/>
    <w:rsid w:val="00916533"/>
    <w:rsid w:val="009172DA"/>
    <w:rsid w:val="0092096D"/>
    <w:rsid w:val="009224D1"/>
    <w:rsid w:val="00934F86"/>
    <w:rsid w:val="009448D7"/>
    <w:rsid w:val="0094749C"/>
    <w:rsid w:val="009477A9"/>
    <w:rsid w:val="00954599"/>
    <w:rsid w:val="009548EA"/>
    <w:rsid w:val="0097099E"/>
    <w:rsid w:val="00972967"/>
    <w:rsid w:val="00972C24"/>
    <w:rsid w:val="00997ADB"/>
    <w:rsid w:val="009A2293"/>
    <w:rsid w:val="009A666F"/>
    <w:rsid w:val="009C142C"/>
    <w:rsid w:val="009D7F1E"/>
    <w:rsid w:val="009F7FDC"/>
    <w:rsid w:val="00A012B2"/>
    <w:rsid w:val="00A26A00"/>
    <w:rsid w:val="00A47FB0"/>
    <w:rsid w:val="00A51C0D"/>
    <w:rsid w:val="00A66847"/>
    <w:rsid w:val="00A740FD"/>
    <w:rsid w:val="00A85B7E"/>
    <w:rsid w:val="00A93839"/>
    <w:rsid w:val="00A94783"/>
    <w:rsid w:val="00A951F2"/>
    <w:rsid w:val="00AB50ED"/>
    <w:rsid w:val="00AB62F7"/>
    <w:rsid w:val="00AB6FF7"/>
    <w:rsid w:val="00AC5AAB"/>
    <w:rsid w:val="00AD475F"/>
    <w:rsid w:val="00AD68C6"/>
    <w:rsid w:val="00AE106A"/>
    <w:rsid w:val="00AE26C6"/>
    <w:rsid w:val="00AF43C9"/>
    <w:rsid w:val="00B02E0B"/>
    <w:rsid w:val="00B15F28"/>
    <w:rsid w:val="00B65D33"/>
    <w:rsid w:val="00B71A95"/>
    <w:rsid w:val="00BB127E"/>
    <w:rsid w:val="00BB44E0"/>
    <w:rsid w:val="00BB6B3D"/>
    <w:rsid w:val="00BB6B79"/>
    <w:rsid w:val="00BD093C"/>
    <w:rsid w:val="00BE27E6"/>
    <w:rsid w:val="00BE6A84"/>
    <w:rsid w:val="00BF50CE"/>
    <w:rsid w:val="00C12749"/>
    <w:rsid w:val="00C266EF"/>
    <w:rsid w:val="00C27BFF"/>
    <w:rsid w:val="00C37F40"/>
    <w:rsid w:val="00C401EC"/>
    <w:rsid w:val="00C4741F"/>
    <w:rsid w:val="00C57A2D"/>
    <w:rsid w:val="00C6685F"/>
    <w:rsid w:val="00C760EC"/>
    <w:rsid w:val="00C778D3"/>
    <w:rsid w:val="00C8736B"/>
    <w:rsid w:val="00C90C6D"/>
    <w:rsid w:val="00C94ADA"/>
    <w:rsid w:val="00CC0733"/>
    <w:rsid w:val="00CD1B6B"/>
    <w:rsid w:val="00CD5FE4"/>
    <w:rsid w:val="00D03AAE"/>
    <w:rsid w:val="00D17796"/>
    <w:rsid w:val="00D461FE"/>
    <w:rsid w:val="00D70040"/>
    <w:rsid w:val="00D73D7D"/>
    <w:rsid w:val="00D85533"/>
    <w:rsid w:val="00D857A1"/>
    <w:rsid w:val="00D85B18"/>
    <w:rsid w:val="00D87E38"/>
    <w:rsid w:val="00DA44EB"/>
    <w:rsid w:val="00DB0880"/>
    <w:rsid w:val="00DB570B"/>
    <w:rsid w:val="00DB7CAC"/>
    <w:rsid w:val="00DC3EB3"/>
    <w:rsid w:val="00DC477C"/>
    <w:rsid w:val="00DC5044"/>
    <w:rsid w:val="00DD24C2"/>
    <w:rsid w:val="00DE443B"/>
    <w:rsid w:val="00E027B1"/>
    <w:rsid w:val="00E0629F"/>
    <w:rsid w:val="00E33DC2"/>
    <w:rsid w:val="00E34448"/>
    <w:rsid w:val="00E369B6"/>
    <w:rsid w:val="00E41BE5"/>
    <w:rsid w:val="00E42339"/>
    <w:rsid w:val="00E7498C"/>
    <w:rsid w:val="00E9089C"/>
    <w:rsid w:val="00EA617C"/>
    <w:rsid w:val="00EB0300"/>
    <w:rsid w:val="00EB2595"/>
    <w:rsid w:val="00EC07C4"/>
    <w:rsid w:val="00ED5FE4"/>
    <w:rsid w:val="00F1604B"/>
    <w:rsid w:val="00F1637B"/>
    <w:rsid w:val="00F20F2B"/>
    <w:rsid w:val="00F5629D"/>
    <w:rsid w:val="00F63959"/>
    <w:rsid w:val="00F71552"/>
    <w:rsid w:val="00F86D8D"/>
    <w:rsid w:val="00F9222C"/>
    <w:rsid w:val="00F92CFB"/>
    <w:rsid w:val="00F97475"/>
    <w:rsid w:val="00F97799"/>
    <w:rsid w:val="00FD46BF"/>
    <w:rsid w:val="00FE06A5"/>
    <w:rsid w:val="00FE5D80"/>
    <w:rsid w:val="00FF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F3"/>
    <w:pPr>
      <w:spacing w:line="240" w:lineRule="auto"/>
    </w:pPr>
    <w:rPr>
      <w:rFonts w:eastAsia="Times New Roman" w:cs="Times New Roman"/>
      <w:szCs w:val="24"/>
    </w:rPr>
  </w:style>
  <w:style w:type="paragraph" w:styleId="Heading1">
    <w:name w:val="heading 1"/>
    <w:basedOn w:val="Normal"/>
    <w:next w:val="Normal"/>
    <w:link w:val="Heading1Char"/>
    <w:qFormat/>
    <w:rsid w:val="002547F3"/>
    <w:pPr>
      <w:ind w:left="2430" w:hanging="243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7F3"/>
    <w:rPr>
      <w:rFonts w:eastAsia="Times New Roman" w:cs="Times New Roman"/>
      <w:szCs w:val="24"/>
    </w:rPr>
  </w:style>
  <w:style w:type="table" w:styleId="TableGrid">
    <w:name w:val="Table Grid"/>
    <w:basedOn w:val="TableNormal"/>
    <w:rsid w:val="002547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8736B"/>
    <w:rPr>
      <w:color w:val="0000FF"/>
      <w:u w:val="single"/>
    </w:rPr>
  </w:style>
  <w:style w:type="paragraph" w:styleId="ListParagraph">
    <w:name w:val="List Paragraph"/>
    <w:basedOn w:val="Normal"/>
    <w:uiPriority w:val="34"/>
    <w:qFormat/>
    <w:rsid w:val="002B2F8A"/>
    <w:pPr>
      <w:ind w:left="720"/>
      <w:contextualSpacing/>
    </w:pPr>
  </w:style>
  <w:style w:type="paragraph" w:customStyle="1" w:styleId="Default">
    <w:name w:val="Default"/>
    <w:rsid w:val="002B2F8A"/>
    <w:pPr>
      <w:autoSpaceDE w:val="0"/>
      <w:autoSpaceDN w:val="0"/>
      <w:adjustRightInd w:val="0"/>
      <w:spacing w:line="240" w:lineRule="auto"/>
    </w:pPr>
    <w:rPr>
      <w:color w:val="000000"/>
      <w:sz w:val="24"/>
      <w:szCs w:val="24"/>
    </w:rPr>
  </w:style>
  <w:style w:type="character" w:styleId="FootnoteReference">
    <w:name w:val="footnote reference"/>
    <w:rsid w:val="0001273E"/>
  </w:style>
  <w:style w:type="paragraph" w:styleId="FootnoteText">
    <w:name w:val="footnote text"/>
    <w:basedOn w:val="Normal"/>
    <w:link w:val="FootnoteTextChar"/>
    <w:rsid w:val="0001273E"/>
    <w:pPr>
      <w:widowControl w:val="0"/>
      <w:autoSpaceDE w:val="0"/>
      <w:autoSpaceDN w:val="0"/>
      <w:adjustRightInd w:val="0"/>
    </w:pPr>
    <w:rPr>
      <w:rFonts w:ascii="Times New Roman" w:hAnsi="Times New Roman"/>
      <w:sz w:val="20"/>
      <w:szCs w:val="20"/>
    </w:rPr>
  </w:style>
  <w:style w:type="character" w:customStyle="1" w:styleId="FootnoteTextChar">
    <w:name w:val="Footnote Text Char"/>
    <w:basedOn w:val="DefaultParagraphFont"/>
    <w:link w:val="FootnoteText"/>
    <w:rsid w:val="0001273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44EB"/>
    <w:pPr>
      <w:tabs>
        <w:tab w:val="center" w:pos="4680"/>
        <w:tab w:val="right" w:pos="9360"/>
      </w:tabs>
    </w:pPr>
  </w:style>
  <w:style w:type="character" w:customStyle="1" w:styleId="HeaderChar">
    <w:name w:val="Header Char"/>
    <w:basedOn w:val="DefaultParagraphFont"/>
    <w:link w:val="Header"/>
    <w:uiPriority w:val="99"/>
    <w:rsid w:val="00DA44EB"/>
    <w:rPr>
      <w:rFonts w:eastAsia="Times New Roman" w:cs="Times New Roman"/>
      <w:szCs w:val="24"/>
    </w:rPr>
  </w:style>
  <w:style w:type="paragraph" w:styleId="Footer">
    <w:name w:val="footer"/>
    <w:basedOn w:val="Normal"/>
    <w:link w:val="FooterChar"/>
    <w:uiPriority w:val="99"/>
    <w:unhideWhenUsed/>
    <w:rsid w:val="00DA44EB"/>
    <w:pPr>
      <w:tabs>
        <w:tab w:val="center" w:pos="4680"/>
        <w:tab w:val="right" w:pos="9360"/>
      </w:tabs>
    </w:pPr>
  </w:style>
  <w:style w:type="character" w:customStyle="1" w:styleId="FooterChar">
    <w:name w:val="Footer Char"/>
    <w:basedOn w:val="DefaultParagraphFont"/>
    <w:link w:val="Footer"/>
    <w:uiPriority w:val="99"/>
    <w:rsid w:val="00DA44EB"/>
    <w:rPr>
      <w:rFonts w:eastAsia="Times New Roman" w:cs="Times New Roman"/>
      <w:szCs w:val="24"/>
    </w:rPr>
  </w:style>
  <w:style w:type="paragraph" w:styleId="BalloonText">
    <w:name w:val="Balloon Text"/>
    <w:basedOn w:val="Normal"/>
    <w:link w:val="BalloonTextChar"/>
    <w:uiPriority w:val="99"/>
    <w:semiHidden/>
    <w:unhideWhenUsed/>
    <w:rsid w:val="00F20F2B"/>
    <w:rPr>
      <w:rFonts w:ascii="Tahoma" w:hAnsi="Tahoma" w:cs="Tahoma"/>
      <w:sz w:val="16"/>
      <w:szCs w:val="16"/>
    </w:rPr>
  </w:style>
  <w:style w:type="character" w:customStyle="1" w:styleId="BalloonTextChar">
    <w:name w:val="Balloon Text Char"/>
    <w:basedOn w:val="DefaultParagraphFont"/>
    <w:link w:val="BalloonText"/>
    <w:uiPriority w:val="99"/>
    <w:semiHidden/>
    <w:rsid w:val="00F20F2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021CE"/>
    <w:rPr>
      <w:sz w:val="16"/>
      <w:szCs w:val="16"/>
    </w:rPr>
  </w:style>
  <w:style w:type="paragraph" w:styleId="CommentText">
    <w:name w:val="annotation text"/>
    <w:basedOn w:val="Normal"/>
    <w:link w:val="CommentTextChar"/>
    <w:uiPriority w:val="99"/>
    <w:semiHidden/>
    <w:unhideWhenUsed/>
    <w:rsid w:val="007021CE"/>
    <w:rPr>
      <w:sz w:val="20"/>
      <w:szCs w:val="20"/>
    </w:rPr>
  </w:style>
  <w:style w:type="character" w:customStyle="1" w:styleId="CommentTextChar">
    <w:name w:val="Comment Text Char"/>
    <w:basedOn w:val="DefaultParagraphFont"/>
    <w:link w:val="CommentText"/>
    <w:uiPriority w:val="99"/>
    <w:semiHidden/>
    <w:rsid w:val="007021C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1CE"/>
    <w:rPr>
      <w:b/>
      <w:bCs/>
    </w:rPr>
  </w:style>
  <w:style w:type="character" w:customStyle="1" w:styleId="CommentSubjectChar">
    <w:name w:val="Comment Subject Char"/>
    <w:basedOn w:val="CommentTextChar"/>
    <w:link w:val="CommentSubject"/>
    <w:uiPriority w:val="99"/>
    <w:semiHidden/>
    <w:rsid w:val="007021CE"/>
    <w:rPr>
      <w:rFonts w:eastAsia="Times New Roman" w:cs="Times New Roman"/>
      <w:b/>
      <w:bCs/>
      <w:sz w:val="20"/>
      <w:szCs w:val="20"/>
    </w:rPr>
  </w:style>
  <w:style w:type="character" w:styleId="FollowedHyperlink">
    <w:name w:val="FollowedHyperlink"/>
    <w:basedOn w:val="DefaultParagraphFont"/>
    <w:uiPriority w:val="99"/>
    <w:semiHidden/>
    <w:unhideWhenUsed/>
    <w:rsid w:val="00501B64"/>
    <w:rPr>
      <w:color w:val="800080" w:themeColor="followedHyperlink"/>
      <w:u w:val="single"/>
    </w:rPr>
  </w:style>
  <w:style w:type="character" w:styleId="LineNumber">
    <w:name w:val="line number"/>
    <w:basedOn w:val="DefaultParagraphFont"/>
    <w:uiPriority w:val="99"/>
    <w:semiHidden/>
    <w:unhideWhenUsed/>
    <w:rsid w:val="00475A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F3"/>
    <w:pPr>
      <w:spacing w:line="240" w:lineRule="auto"/>
    </w:pPr>
    <w:rPr>
      <w:rFonts w:eastAsia="Times New Roman" w:cs="Times New Roman"/>
      <w:szCs w:val="24"/>
    </w:rPr>
  </w:style>
  <w:style w:type="paragraph" w:styleId="Heading1">
    <w:name w:val="heading 1"/>
    <w:basedOn w:val="Normal"/>
    <w:next w:val="Normal"/>
    <w:link w:val="Heading1Char"/>
    <w:qFormat/>
    <w:rsid w:val="002547F3"/>
    <w:pPr>
      <w:ind w:left="2430" w:hanging="243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7F3"/>
    <w:rPr>
      <w:rFonts w:eastAsia="Times New Roman" w:cs="Times New Roman"/>
      <w:szCs w:val="24"/>
    </w:rPr>
  </w:style>
  <w:style w:type="table" w:styleId="TableGrid">
    <w:name w:val="Table Grid"/>
    <w:basedOn w:val="TableNormal"/>
    <w:rsid w:val="002547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8736B"/>
    <w:rPr>
      <w:color w:val="0000FF"/>
      <w:u w:val="single"/>
    </w:rPr>
  </w:style>
  <w:style w:type="paragraph" w:styleId="ListParagraph">
    <w:name w:val="List Paragraph"/>
    <w:basedOn w:val="Normal"/>
    <w:uiPriority w:val="34"/>
    <w:qFormat/>
    <w:rsid w:val="002B2F8A"/>
    <w:pPr>
      <w:ind w:left="720"/>
      <w:contextualSpacing/>
    </w:pPr>
  </w:style>
  <w:style w:type="paragraph" w:customStyle="1" w:styleId="Default">
    <w:name w:val="Default"/>
    <w:rsid w:val="002B2F8A"/>
    <w:pPr>
      <w:autoSpaceDE w:val="0"/>
      <w:autoSpaceDN w:val="0"/>
      <w:adjustRightInd w:val="0"/>
      <w:spacing w:line="240" w:lineRule="auto"/>
    </w:pPr>
    <w:rPr>
      <w:color w:val="000000"/>
      <w:sz w:val="24"/>
      <w:szCs w:val="24"/>
    </w:rPr>
  </w:style>
  <w:style w:type="character" w:styleId="FootnoteReference">
    <w:name w:val="footnote reference"/>
    <w:rsid w:val="0001273E"/>
  </w:style>
  <w:style w:type="paragraph" w:styleId="FootnoteText">
    <w:name w:val="footnote text"/>
    <w:basedOn w:val="Normal"/>
    <w:link w:val="FootnoteTextChar"/>
    <w:rsid w:val="0001273E"/>
    <w:pPr>
      <w:widowControl w:val="0"/>
      <w:autoSpaceDE w:val="0"/>
      <w:autoSpaceDN w:val="0"/>
      <w:adjustRightInd w:val="0"/>
    </w:pPr>
    <w:rPr>
      <w:rFonts w:ascii="Times New Roman" w:hAnsi="Times New Roman"/>
      <w:sz w:val="20"/>
      <w:szCs w:val="20"/>
    </w:rPr>
  </w:style>
  <w:style w:type="character" w:customStyle="1" w:styleId="FootnoteTextChar">
    <w:name w:val="Footnote Text Char"/>
    <w:basedOn w:val="DefaultParagraphFont"/>
    <w:link w:val="FootnoteText"/>
    <w:rsid w:val="0001273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44EB"/>
    <w:pPr>
      <w:tabs>
        <w:tab w:val="center" w:pos="4680"/>
        <w:tab w:val="right" w:pos="9360"/>
      </w:tabs>
    </w:pPr>
  </w:style>
  <w:style w:type="character" w:customStyle="1" w:styleId="HeaderChar">
    <w:name w:val="Header Char"/>
    <w:basedOn w:val="DefaultParagraphFont"/>
    <w:link w:val="Header"/>
    <w:uiPriority w:val="99"/>
    <w:rsid w:val="00DA44EB"/>
    <w:rPr>
      <w:rFonts w:eastAsia="Times New Roman" w:cs="Times New Roman"/>
      <w:szCs w:val="24"/>
    </w:rPr>
  </w:style>
  <w:style w:type="paragraph" w:styleId="Footer">
    <w:name w:val="footer"/>
    <w:basedOn w:val="Normal"/>
    <w:link w:val="FooterChar"/>
    <w:uiPriority w:val="99"/>
    <w:unhideWhenUsed/>
    <w:rsid w:val="00DA44EB"/>
    <w:pPr>
      <w:tabs>
        <w:tab w:val="center" w:pos="4680"/>
        <w:tab w:val="right" w:pos="9360"/>
      </w:tabs>
    </w:pPr>
  </w:style>
  <w:style w:type="character" w:customStyle="1" w:styleId="FooterChar">
    <w:name w:val="Footer Char"/>
    <w:basedOn w:val="DefaultParagraphFont"/>
    <w:link w:val="Footer"/>
    <w:uiPriority w:val="99"/>
    <w:rsid w:val="00DA44EB"/>
    <w:rPr>
      <w:rFonts w:eastAsia="Times New Roman" w:cs="Times New Roman"/>
      <w:szCs w:val="24"/>
    </w:rPr>
  </w:style>
  <w:style w:type="paragraph" w:styleId="BalloonText">
    <w:name w:val="Balloon Text"/>
    <w:basedOn w:val="Normal"/>
    <w:link w:val="BalloonTextChar"/>
    <w:uiPriority w:val="99"/>
    <w:semiHidden/>
    <w:unhideWhenUsed/>
    <w:rsid w:val="00F20F2B"/>
    <w:rPr>
      <w:rFonts w:ascii="Tahoma" w:hAnsi="Tahoma" w:cs="Tahoma"/>
      <w:sz w:val="16"/>
      <w:szCs w:val="16"/>
    </w:rPr>
  </w:style>
  <w:style w:type="character" w:customStyle="1" w:styleId="BalloonTextChar">
    <w:name w:val="Balloon Text Char"/>
    <w:basedOn w:val="DefaultParagraphFont"/>
    <w:link w:val="BalloonText"/>
    <w:uiPriority w:val="99"/>
    <w:semiHidden/>
    <w:rsid w:val="00F20F2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021CE"/>
    <w:rPr>
      <w:sz w:val="16"/>
      <w:szCs w:val="16"/>
    </w:rPr>
  </w:style>
  <w:style w:type="paragraph" w:styleId="CommentText">
    <w:name w:val="annotation text"/>
    <w:basedOn w:val="Normal"/>
    <w:link w:val="CommentTextChar"/>
    <w:uiPriority w:val="99"/>
    <w:semiHidden/>
    <w:unhideWhenUsed/>
    <w:rsid w:val="007021CE"/>
    <w:rPr>
      <w:sz w:val="20"/>
      <w:szCs w:val="20"/>
    </w:rPr>
  </w:style>
  <w:style w:type="character" w:customStyle="1" w:styleId="CommentTextChar">
    <w:name w:val="Comment Text Char"/>
    <w:basedOn w:val="DefaultParagraphFont"/>
    <w:link w:val="CommentText"/>
    <w:uiPriority w:val="99"/>
    <w:semiHidden/>
    <w:rsid w:val="007021C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1CE"/>
    <w:rPr>
      <w:b/>
      <w:bCs/>
    </w:rPr>
  </w:style>
  <w:style w:type="character" w:customStyle="1" w:styleId="CommentSubjectChar">
    <w:name w:val="Comment Subject Char"/>
    <w:basedOn w:val="CommentTextChar"/>
    <w:link w:val="CommentSubject"/>
    <w:uiPriority w:val="99"/>
    <w:semiHidden/>
    <w:rsid w:val="007021CE"/>
    <w:rPr>
      <w:rFonts w:eastAsia="Times New Roman" w:cs="Times New Roman"/>
      <w:b/>
      <w:bCs/>
      <w:sz w:val="20"/>
      <w:szCs w:val="20"/>
    </w:rPr>
  </w:style>
  <w:style w:type="character" w:styleId="FollowedHyperlink">
    <w:name w:val="FollowedHyperlink"/>
    <w:basedOn w:val="DefaultParagraphFont"/>
    <w:uiPriority w:val="99"/>
    <w:semiHidden/>
    <w:unhideWhenUsed/>
    <w:rsid w:val="00501B64"/>
    <w:rPr>
      <w:color w:val="800080" w:themeColor="followedHyperlink"/>
      <w:u w:val="single"/>
    </w:rPr>
  </w:style>
  <w:style w:type="character" w:styleId="LineNumber">
    <w:name w:val="line number"/>
    <w:basedOn w:val="DefaultParagraphFont"/>
    <w:uiPriority w:val="99"/>
    <w:semiHidden/>
    <w:unhideWhenUsed/>
    <w:rsid w:val="0047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642515">
      <w:bodyDiv w:val="1"/>
      <w:marLeft w:val="0"/>
      <w:marRight w:val="0"/>
      <w:marTop w:val="0"/>
      <w:marBottom w:val="0"/>
      <w:divBdr>
        <w:top w:val="none" w:sz="0" w:space="0" w:color="auto"/>
        <w:left w:val="none" w:sz="0" w:space="0" w:color="auto"/>
        <w:bottom w:val="none" w:sz="0" w:space="0" w:color="auto"/>
        <w:right w:val="none" w:sz="0" w:space="0" w:color="auto"/>
      </w:divBdr>
      <w:divsChild>
        <w:div w:id="1684237492">
          <w:marLeft w:val="0"/>
          <w:marRight w:val="0"/>
          <w:marTop w:val="0"/>
          <w:marBottom w:val="0"/>
          <w:divBdr>
            <w:top w:val="none" w:sz="0" w:space="0" w:color="auto"/>
            <w:left w:val="none" w:sz="0" w:space="0" w:color="auto"/>
            <w:bottom w:val="none" w:sz="0" w:space="0" w:color="auto"/>
            <w:right w:val="none" w:sz="0" w:space="0" w:color="auto"/>
          </w:divBdr>
          <w:divsChild>
            <w:div w:id="917209046">
              <w:marLeft w:val="0"/>
              <w:marRight w:val="0"/>
              <w:marTop w:val="0"/>
              <w:marBottom w:val="0"/>
              <w:divBdr>
                <w:top w:val="none" w:sz="0" w:space="0" w:color="auto"/>
                <w:left w:val="none" w:sz="0" w:space="0" w:color="auto"/>
                <w:bottom w:val="none" w:sz="0" w:space="0" w:color="auto"/>
                <w:right w:val="none" w:sz="0" w:space="0" w:color="auto"/>
              </w:divBdr>
              <w:divsChild>
                <w:div w:id="974333933">
                  <w:marLeft w:val="0"/>
                  <w:marRight w:val="0"/>
                  <w:marTop w:val="225"/>
                  <w:marBottom w:val="0"/>
                  <w:divBdr>
                    <w:top w:val="none" w:sz="0" w:space="0" w:color="auto"/>
                    <w:left w:val="none" w:sz="0" w:space="0" w:color="auto"/>
                    <w:bottom w:val="none" w:sz="0" w:space="0" w:color="auto"/>
                    <w:right w:val="none" w:sz="0" w:space="0" w:color="auto"/>
                  </w:divBdr>
                  <w:divsChild>
                    <w:div w:id="7343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rc.gov/materials/fuel-cycle-fac/regs-guides-comm.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rc.gov/reading-rm/adams.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4522</Words>
  <Characters>25777</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jml5</dc:creator>
  <cp:lastModifiedBy>Donnell, Tremaine</cp:lastModifiedBy>
  <cp:revision>2</cp:revision>
  <cp:lastPrinted>2014-12-03T14:01:00Z</cp:lastPrinted>
  <dcterms:created xsi:type="dcterms:W3CDTF">2015-03-24T14:23:00Z</dcterms:created>
  <dcterms:modified xsi:type="dcterms:W3CDTF">2015-03-24T14:23:00Z</dcterms:modified>
</cp:coreProperties>
</file>