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B01" w:rsidRPr="00FC148D" w:rsidRDefault="00654B01" w:rsidP="00BE23F5">
      <w:pPr>
        <w:jc w:val="both"/>
        <w:rPr>
          <w:rFonts w:cs="Times New Roman"/>
          <w:b/>
          <w:szCs w:val="24"/>
        </w:rPr>
      </w:pPr>
    </w:p>
    <w:p w:rsidR="00FC148D" w:rsidRPr="00FC148D" w:rsidRDefault="00FC148D" w:rsidP="00BE23F5">
      <w:pPr>
        <w:spacing w:after="0"/>
        <w:jc w:val="both"/>
        <w:rPr>
          <w:rFonts w:cs="Times New Roman"/>
          <w:b/>
          <w:szCs w:val="24"/>
        </w:rPr>
      </w:pPr>
    </w:p>
    <w:p w:rsidR="007237F7" w:rsidRDefault="007237F7" w:rsidP="007237F7">
      <w:pPr>
        <w:pStyle w:val="Heading1"/>
        <w:jc w:val="both"/>
        <w:rPr>
          <w:rFonts w:cs="Times New Roman"/>
          <w:szCs w:val="24"/>
        </w:rPr>
      </w:pPr>
      <w:bookmarkStart w:id="0" w:name="_Toc411430379"/>
      <w:bookmarkStart w:id="1" w:name="_Toc413831954"/>
      <w:bookmarkStart w:id="2" w:name="_GoBack"/>
      <w:bookmarkEnd w:id="2"/>
      <w:r w:rsidRPr="0004763D">
        <w:rPr>
          <w:rFonts w:cs="Times New Roman"/>
          <w:szCs w:val="24"/>
        </w:rPr>
        <w:t>PART A. Justification</w:t>
      </w:r>
      <w:bookmarkEnd w:id="0"/>
      <w:bookmarkEnd w:id="1"/>
    </w:p>
    <w:p w:rsidR="007237F7" w:rsidRPr="00224047" w:rsidRDefault="007237F7" w:rsidP="00D97E89">
      <w:pPr>
        <w:pStyle w:val="Heading2"/>
        <w:spacing w:after="0" w:line="240" w:lineRule="auto"/>
        <w:jc w:val="both"/>
        <w:rPr>
          <w:rFonts w:cs="Times New Roman"/>
          <w:szCs w:val="24"/>
          <w:u w:val="single"/>
        </w:rPr>
      </w:pPr>
      <w:bookmarkStart w:id="3" w:name="_Toc411410175"/>
      <w:bookmarkStart w:id="4" w:name="_Toc411430380"/>
      <w:bookmarkStart w:id="5" w:name="_Toc413831955"/>
      <w:r w:rsidRPr="00224047">
        <w:rPr>
          <w:rFonts w:eastAsiaTheme="majorBidi" w:cs="Times New Roman"/>
          <w:szCs w:val="24"/>
          <w:u w:val="single"/>
        </w:rPr>
        <w:t>Circumstances Making the Collection of Information Necessary</w:t>
      </w:r>
      <w:bookmarkEnd w:id="3"/>
      <w:bookmarkEnd w:id="4"/>
      <w:bookmarkEnd w:id="5"/>
      <w:r w:rsidRPr="00224047">
        <w:rPr>
          <w:rFonts w:eastAsiaTheme="majorBidi" w:cs="Times New Roman"/>
          <w:szCs w:val="24"/>
          <w:u w:val="single"/>
        </w:rPr>
        <w:t xml:space="preserve"> </w:t>
      </w:r>
    </w:p>
    <w:p w:rsidR="007237F7" w:rsidRPr="00224047" w:rsidRDefault="007237F7" w:rsidP="00224047">
      <w:pPr>
        <w:spacing w:after="160" w:line="240" w:lineRule="auto"/>
        <w:jc w:val="both"/>
        <w:rPr>
          <w:rFonts w:cs="Times New Roman"/>
          <w:b/>
          <w:bCs/>
          <w:i/>
          <w:szCs w:val="24"/>
        </w:rPr>
      </w:pPr>
      <w:r w:rsidRPr="00224047">
        <w:rPr>
          <w:rFonts w:cs="Times New Roman"/>
          <w:b/>
          <w:bCs/>
          <w:i/>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237F7" w:rsidRDefault="007237F7" w:rsidP="00224047">
      <w:pPr>
        <w:spacing w:after="0" w:line="240" w:lineRule="auto"/>
        <w:jc w:val="both"/>
        <w:rPr>
          <w:rFonts w:cs="Times New Roman"/>
          <w:szCs w:val="24"/>
        </w:rPr>
      </w:pPr>
      <w:r w:rsidRPr="007237F7">
        <w:rPr>
          <w:rFonts w:cs="Times New Roman"/>
          <w:szCs w:val="24"/>
        </w:rPr>
        <w:t>The Women’s Business Center (WBC) program was established by the Women’s Business Ownership Act of 1988. The program provides entrepreneurial development services, such as business training, counseling, mentoring, and referrals, for business owners and those considering starting a business through a network of approximately 100 centers.</w:t>
      </w:r>
      <w:r w:rsidR="00224047">
        <w:rPr>
          <w:rFonts w:cs="Times New Roman"/>
          <w:szCs w:val="24"/>
        </w:rPr>
        <w:t xml:space="preserve"> </w:t>
      </w:r>
      <w:r w:rsidRPr="007237F7">
        <w:rPr>
          <w:rFonts w:cs="Times New Roman"/>
          <w:szCs w:val="24"/>
        </w:rPr>
        <w:t xml:space="preserve"> SBA </w:t>
      </w:r>
      <w:r w:rsidR="00224047">
        <w:rPr>
          <w:rFonts w:cs="Times New Roman"/>
          <w:szCs w:val="24"/>
        </w:rPr>
        <w:t xml:space="preserve">is required to </w:t>
      </w:r>
      <w:r w:rsidR="00510784">
        <w:rPr>
          <w:rFonts w:cs="Times New Roman"/>
          <w:szCs w:val="24"/>
        </w:rPr>
        <w:t xml:space="preserve">report </w:t>
      </w:r>
      <w:r w:rsidR="00224047">
        <w:rPr>
          <w:rFonts w:cs="Times New Roman"/>
          <w:szCs w:val="24"/>
        </w:rPr>
        <w:t xml:space="preserve">including </w:t>
      </w:r>
      <w:r w:rsidR="00294994">
        <w:rPr>
          <w:rFonts w:cs="Times New Roman"/>
          <w:szCs w:val="24"/>
        </w:rPr>
        <w:t>its</w:t>
      </w:r>
      <w:r w:rsidR="00294994" w:rsidRPr="007237F7">
        <w:rPr>
          <w:rFonts w:cs="Times New Roman"/>
          <w:szCs w:val="24"/>
        </w:rPr>
        <w:t xml:space="preserve"> </w:t>
      </w:r>
      <w:r w:rsidR="00294994">
        <w:rPr>
          <w:rFonts w:cs="Times New Roman"/>
          <w:szCs w:val="24"/>
        </w:rPr>
        <w:t>own</w:t>
      </w:r>
      <w:r w:rsidR="005600FE">
        <w:rPr>
          <w:rFonts w:cs="Times New Roman"/>
          <w:szCs w:val="24"/>
        </w:rPr>
        <w:t xml:space="preserve"> program </w:t>
      </w:r>
      <w:r w:rsidRPr="007237F7">
        <w:rPr>
          <w:rFonts w:cs="Times New Roman"/>
          <w:szCs w:val="24"/>
        </w:rPr>
        <w:t xml:space="preserve">performance for all its funded programs, including the WBC program. However, there is no data collection currently in place to </w:t>
      </w:r>
      <w:r w:rsidRPr="007237F7">
        <w:rPr>
          <w:rFonts w:cs="Times New Roman"/>
          <w:i/>
          <w:szCs w:val="24"/>
        </w:rPr>
        <w:t>systematically</w:t>
      </w:r>
      <w:r w:rsidRPr="007237F7">
        <w:rPr>
          <w:rFonts w:cs="Times New Roman"/>
          <w:szCs w:val="24"/>
        </w:rPr>
        <w:t xml:space="preserve"> track </w:t>
      </w:r>
      <w:r w:rsidR="005600FE">
        <w:rPr>
          <w:rFonts w:cs="Times New Roman"/>
          <w:szCs w:val="24"/>
        </w:rPr>
        <w:t xml:space="preserve">WBC </w:t>
      </w:r>
      <w:r w:rsidRPr="007237F7">
        <w:rPr>
          <w:rFonts w:cs="Times New Roman"/>
          <w:szCs w:val="24"/>
        </w:rPr>
        <w:t xml:space="preserve">program outcomes such as client satisfaction, adoption of new business practices, or changes in business size or scope. </w:t>
      </w:r>
      <w:r w:rsidR="00154365">
        <w:rPr>
          <w:rFonts w:cs="Times New Roman"/>
          <w:szCs w:val="24"/>
        </w:rPr>
        <w:t>WBC administrators are not required to systematically contact clients regarding the outcomes of their visit.</w:t>
      </w:r>
      <w:r w:rsidR="00154365">
        <w:rPr>
          <w:rStyle w:val="CommentReference"/>
          <w:rFonts w:eastAsia="Times New Roman" w:cs="Times New Roman"/>
        </w:rPr>
        <w:t xml:space="preserve"> </w:t>
      </w:r>
      <w:r w:rsidRPr="007237F7">
        <w:rPr>
          <w:rFonts w:cs="Times New Roman"/>
          <w:szCs w:val="24"/>
        </w:rPr>
        <w:t>The client data collected by SBA (i.e. OMB-approved Form 641) are obtained only from clients returning to the WBC for more than one visit</w:t>
      </w:r>
      <w:r w:rsidR="00154365">
        <w:rPr>
          <w:rFonts w:cs="Times New Roman"/>
          <w:szCs w:val="24"/>
        </w:rPr>
        <w:t>. In addition,</w:t>
      </w:r>
      <w:r w:rsidRPr="007237F7">
        <w:rPr>
          <w:rFonts w:cs="Times New Roman"/>
          <w:szCs w:val="24"/>
        </w:rPr>
        <w:t xml:space="preserve"> </w:t>
      </w:r>
      <w:r w:rsidR="00154365">
        <w:rPr>
          <w:rFonts w:cs="Times New Roman"/>
          <w:szCs w:val="24"/>
        </w:rPr>
        <w:t>OMB-approved Form 888</w:t>
      </w:r>
      <w:r w:rsidRPr="007237F7">
        <w:rPr>
          <w:rFonts w:cs="Times New Roman"/>
          <w:szCs w:val="24"/>
        </w:rPr>
        <w:t xml:space="preserve"> </w:t>
      </w:r>
      <w:r w:rsidR="00251916">
        <w:rPr>
          <w:rFonts w:cs="Times New Roman"/>
          <w:szCs w:val="24"/>
        </w:rPr>
        <w:t>collects aggregate information on client training sessions (e.g. total attendees) so there is no</w:t>
      </w:r>
      <w:r w:rsidR="00154365">
        <w:rPr>
          <w:rFonts w:cs="Times New Roman"/>
          <w:szCs w:val="24"/>
        </w:rPr>
        <w:t xml:space="preserve"> outcome </w:t>
      </w:r>
      <w:r w:rsidR="00251916">
        <w:rPr>
          <w:rFonts w:cs="Times New Roman"/>
          <w:szCs w:val="24"/>
        </w:rPr>
        <w:t xml:space="preserve">information for </w:t>
      </w:r>
      <w:r w:rsidRPr="007237F7">
        <w:rPr>
          <w:rFonts w:cs="Times New Roman"/>
          <w:szCs w:val="24"/>
        </w:rPr>
        <w:t xml:space="preserve">clients that solely attend trainings provided by WBC. This data collection </w:t>
      </w:r>
      <w:r w:rsidR="001E3CAB">
        <w:rPr>
          <w:rFonts w:cs="Times New Roman"/>
          <w:szCs w:val="24"/>
        </w:rPr>
        <w:t xml:space="preserve">will </w:t>
      </w:r>
      <w:r w:rsidRPr="007237F7">
        <w:rPr>
          <w:rFonts w:cs="Times New Roman"/>
          <w:szCs w:val="24"/>
        </w:rPr>
        <w:t xml:space="preserve">fill the gap by administering </w:t>
      </w:r>
      <w:r w:rsidR="00294994" w:rsidRPr="007237F7">
        <w:rPr>
          <w:rFonts w:cs="Times New Roman"/>
          <w:szCs w:val="24"/>
        </w:rPr>
        <w:t>an</w:t>
      </w:r>
      <w:r w:rsidRPr="007237F7">
        <w:rPr>
          <w:rFonts w:cs="Times New Roman"/>
          <w:szCs w:val="24"/>
        </w:rPr>
        <w:t xml:space="preserve"> outcome survey to a random sample of WBC clients</w:t>
      </w:r>
      <w:r w:rsidR="00C55148">
        <w:rPr>
          <w:rFonts w:cs="Times New Roman"/>
          <w:szCs w:val="24"/>
        </w:rPr>
        <w:t xml:space="preserve"> receiving counseling or training</w:t>
      </w:r>
      <w:r w:rsidRPr="007237F7">
        <w:rPr>
          <w:rFonts w:cs="Times New Roman"/>
          <w:szCs w:val="24"/>
        </w:rPr>
        <w:t xml:space="preserve"> (see </w:t>
      </w:r>
      <w:r w:rsidR="001A5859">
        <w:rPr>
          <w:rFonts w:cs="Times New Roman"/>
          <w:szCs w:val="24"/>
        </w:rPr>
        <w:t>a</w:t>
      </w:r>
      <w:r w:rsidRPr="007237F7">
        <w:rPr>
          <w:rFonts w:cs="Times New Roman"/>
          <w:szCs w:val="24"/>
        </w:rPr>
        <w:t>ppendix I. Survey Instrument).</w:t>
      </w:r>
      <w:r w:rsidRPr="0004763D">
        <w:rPr>
          <w:rFonts w:cs="Times New Roman"/>
          <w:szCs w:val="24"/>
        </w:rPr>
        <w:t xml:space="preserve"> </w:t>
      </w:r>
    </w:p>
    <w:p w:rsidR="006D7EF4" w:rsidRPr="0004763D" w:rsidRDefault="006D7EF4" w:rsidP="00224047">
      <w:pPr>
        <w:spacing w:after="0" w:line="240" w:lineRule="auto"/>
        <w:jc w:val="both"/>
        <w:rPr>
          <w:rFonts w:cs="Times New Roman"/>
          <w:szCs w:val="24"/>
        </w:rPr>
      </w:pPr>
    </w:p>
    <w:p w:rsidR="007237F7" w:rsidRPr="001E3CAB" w:rsidRDefault="007237F7" w:rsidP="001E3CAB">
      <w:pPr>
        <w:pStyle w:val="Heading2"/>
        <w:spacing w:after="0" w:line="240" w:lineRule="auto"/>
        <w:jc w:val="both"/>
        <w:rPr>
          <w:rFonts w:cs="Times New Roman"/>
          <w:szCs w:val="24"/>
          <w:u w:val="single"/>
        </w:rPr>
      </w:pPr>
      <w:bookmarkStart w:id="6" w:name="_Toc411410176"/>
      <w:bookmarkStart w:id="7" w:name="_Toc411430381"/>
      <w:bookmarkStart w:id="8" w:name="_Toc413831956"/>
      <w:r w:rsidRPr="001E3CAB">
        <w:rPr>
          <w:rFonts w:eastAsiaTheme="majorBidi" w:cs="Times New Roman"/>
          <w:szCs w:val="24"/>
          <w:u w:val="single"/>
        </w:rPr>
        <w:t>Purpose and Use of the Information Collected</w:t>
      </w:r>
      <w:bookmarkEnd w:id="6"/>
      <w:bookmarkEnd w:id="7"/>
      <w:bookmarkEnd w:id="8"/>
      <w:r w:rsidRPr="001E3CAB">
        <w:rPr>
          <w:rFonts w:eastAsiaTheme="majorBidi" w:cs="Times New Roman"/>
          <w:szCs w:val="24"/>
          <w:u w:val="single"/>
        </w:rPr>
        <w:t xml:space="preserve"> </w:t>
      </w:r>
    </w:p>
    <w:p w:rsidR="007237F7" w:rsidRDefault="007237F7" w:rsidP="001E3CAB">
      <w:pPr>
        <w:spacing w:after="0" w:line="240" w:lineRule="auto"/>
        <w:jc w:val="both"/>
        <w:rPr>
          <w:rFonts w:cs="Times New Roman"/>
          <w:b/>
          <w:bCs/>
          <w:i/>
          <w:szCs w:val="24"/>
        </w:rPr>
      </w:pPr>
      <w:r w:rsidRPr="001E3CAB">
        <w:rPr>
          <w:rFonts w:cs="Times New Roman"/>
          <w:b/>
          <w:bCs/>
          <w:i/>
          <w:szCs w:val="24"/>
        </w:rPr>
        <w:t>Indicate how,</w:t>
      </w:r>
      <w:r w:rsidRPr="001E3CAB" w:rsidDel="00DB6E51">
        <w:rPr>
          <w:rFonts w:cs="Times New Roman"/>
          <w:b/>
          <w:bCs/>
          <w:i/>
          <w:szCs w:val="24"/>
        </w:rPr>
        <w:t xml:space="preserve"> </w:t>
      </w:r>
      <w:r w:rsidRPr="001E3CAB">
        <w:rPr>
          <w:rFonts w:cs="Times New Roman"/>
          <w:b/>
          <w:bCs/>
          <w:i/>
          <w:szCs w:val="24"/>
        </w:rPr>
        <w:t>by whom, how frequently</w:t>
      </w:r>
      <w:r w:rsidRPr="001E3CAB" w:rsidDel="00DB6E51">
        <w:rPr>
          <w:rFonts w:cs="Times New Roman"/>
          <w:b/>
          <w:bCs/>
          <w:i/>
          <w:szCs w:val="24"/>
        </w:rPr>
        <w:t>,</w:t>
      </w:r>
      <w:r w:rsidRPr="001E3CAB">
        <w:rPr>
          <w:rFonts w:cs="Times New Roman"/>
          <w:b/>
          <w:bCs/>
          <w:i/>
          <w:szCs w:val="24"/>
        </w:rPr>
        <w:t xml:space="preserve"> and for what purpose, the information is to be used. Except for a new collection, indicate the actual use the agency has made of the information received from the current collection.</w:t>
      </w:r>
    </w:p>
    <w:p w:rsidR="006D7EF4" w:rsidRPr="001E3CAB" w:rsidRDefault="006D7EF4" w:rsidP="001E3CAB">
      <w:pPr>
        <w:spacing w:after="0" w:line="240" w:lineRule="auto"/>
        <w:jc w:val="both"/>
        <w:rPr>
          <w:rFonts w:cs="Times New Roman"/>
          <w:b/>
          <w:bCs/>
          <w:i/>
          <w:szCs w:val="24"/>
        </w:rPr>
      </w:pPr>
    </w:p>
    <w:p w:rsidR="006D7EF4" w:rsidRDefault="007237F7" w:rsidP="001E3CAB">
      <w:pPr>
        <w:spacing w:after="0" w:line="240" w:lineRule="auto"/>
        <w:jc w:val="both"/>
        <w:rPr>
          <w:rFonts w:cs="Times New Roman"/>
          <w:szCs w:val="24"/>
        </w:rPr>
      </w:pPr>
      <w:r w:rsidRPr="0004763D">
        <w:rPr>
          <w:rFonts w:cs="Times New Roman"/>
          <w:szCs w:val="24"/>
        </w:rPr>
        <w:t xml:space="preserve">SBA will use the data from this information collection to monitor and report the performance of the WBC program to stakeholders (e.g. Congress, WBC leadership). The survey is not designed to make causal claims about the impact of WBC services on clients. However it is sufficiently designed to produce representative results of client attitudes and stated changes in business practices and performance after receiving one or more services from WBC. </w:t>
      </w:r>
      <w:r w:rsidR="001E5BB5">
        <w:rPr>
          <w:rFonts w:cs="Times New Roman"/>
          <w:szCs w:val="24"/>
        </w:rPr>
        <w:t xml:space="preserve">Moreover, it provides clients the opportunity to suggest improvements to the program. </w:t>
      </w:r>
      <w:r w:rsidRPr="0004763D">
        <w:rPr>
          <w:rFonts w:cs="Times New Roman"/>
          <w:szCs w:val="24"/>
        </w:rPr>
        <w:t xml:space="preserve">SBA will monitor these </w:t>
      </w:r>
      <w:r w:rsidR="001E5BB5">
        <w:rPr>
          <w:rFonts w:cs="Times New Roman"/>
          <w:szCs w:val="24"/>
        </w:rPr>
        <w:t xml:space="preserve">suggestions and </w:t>
      </w:r>
      <w:r w:rsidRPr="0004763D">
        <w:rPr>
          <w:rFonts w:cs="Times New Roman"/>
          <w:szCs w:val="24"/>
        </w:rPr>
        <w:t>performance outcomes over time</w:t>
      </w:r>
      <w:r w:rsidR="00F97EFD">
        <w:rPr>
          <w:rFonts w:cs="Times New Roman"/>
          <w:szCs w:val="24"/>
        </w:rPr>
        <w:t xml:space="preserve"> and</w:t>
      </w:r>
      <w:r w:rsidR="00BA7309">
        <w:rPr>
          <w:rFonts w:cs="Times New Roman"/>
          <w:szCs w:val="24"/>
        </w:rPr>
        <w:t xml:space="preserve"> provide the information to the Association of Women’s Business Centers (A</w:t>
      </w:r>
      <w:r w:rsidR="00F97EFD">
        <w:rPr>
          <w:rFonts w:cs="Times New Roman"/>
          <w:szCs w:val="24"/>
        </w:rPr>
        <w:t>WBC</w:t>
      </w:r>
      <w:r w:rsidR="00BA7309">
        <w:rPr>
          <w:rFonts w:cs="Times New Roman"/>
          <w:szCs w:val="24"/>
        </w:rPr>
        <w:t>)</w:t>
      </w:r>
      <w:r w:rsidR="00A61A16">
        <w:rPr>
          <w:rFonts w:cs="Times New Roman"/>
          <w:szCs w:val="24"/>
        </w:rPr>
        <w:t xml:space="preserve"> to limit their need for a duplicative survey</w:t>
      </w:r>
      <w:r w:rsidR="00F97EFD">
        <w:rPr>
          <w:rFonts w:cs="Times New Roman"/>
          <w:szCs w:val="24"/>
        </w:rPr>
        <w:t>.</w:t>
      </w:r>
      <w:r w:rsidRPr="0004763D">
        <w:rPr>
          <w:rFonts w:cs="Times New Roman"/>
          <w:szCs w:val="24"/>
        </w:rPr>
        <w:t xml:space="preserve">   </w:t>
      </w:r>
    </w:p>
    <w:p w:rsidR="003A2FCD" w:rsidRDefault="003A2FCD" w:rsidP="001E3CAB">
      <w:pPr>
        <w:spacing w:after="0" w:line="240" w:lineRule="auto"/>
        <w:jc w:val="both"/>
        <w:rPr>
          <w:rFonts w:cs="Times New Roman"/>
          <w:szCs w:val="24"/>
        </w:rPr>
      </w:pPr>
    </w:p>
    <w:p w:rsidR="003A2FCD" w:rsidRDefault="003A2FCD" w:rsidP="003A2FCD">
      <w:pPr>
        <w:spacing w:after="0" w:line="240" w:lineRule="auto"/>
        <w:jc w:val="both"/>
        <w:rPr>
          <w:rFonts w:cs="Times New Roman"/>
          <w:szCs w:val="24"/>
        </w:rPr>
      </w:pPr>
      <w:r w:rsidRPr="0004763D">
        <w:rPr>
          <w:rFonts w:cs="Times New Roman"/>
          <w:szCs w:val="24"/>
        </w:rPr>
        <w:t>This outcome information</w:t>
      </w:r>
      <w:r>
        <w:rPr>
          <w:rFonts w:cs="Times New Roman"/>
          <w:szCs w:val="24"/>
        </w:rPr>
        <w:t xml:space="preserve"> will allow administrators to improve the program. </w:t>
      </w:r>
      <w:r w:rsidR="00383487">
        <w:rPr>
          <w:rFonts w:cs="Times New Roman"/>
          <w:szCs w:val="24"/>
        </w:rPr>
        <w:t xml:space="preserve"> </w:t>
      </w:r>
      <w:r>
        <w:rPr>
          <w:rFonts w:cs="Times New Roman"/>
          <w:szCs w:val="24"/>
        </w:rPr>
        <w:t xml:space="preserve">Moreover, it </w:t>
      </w:r>
      <w:r w:rsidRPr="0004763D">
        <w:rPr>
          <w:rFonts w:cs="Times New Roman"/>
          <w:szCs w:val="24"/>
        </w:rPr>
        <w:t xml:space="preserve">allows WBC program administrators and SBA to identify whether trends </w:t>
      </w:r>
      <w:r>
        <w:rPr>
          <w:rFonts w:cs="Times New Roman"/>
          <w:szCs w:val="24"/>
        </w:rPr>
        <w:t>correspond to</w:t>
      </w:r>
      <w:r w:rsidRPr="0004763D">
        <w:rPr>
          <w:rFonts w:cs="Times New Roman"/>
          <w:szCs w:val="24"/>
        </w:rPr>
        <w:t xml:space="preserve"> intentional changes in program strategy and implementation.</w:t>
      </w:r>
      <w:r>
        <w:rPr>
          <w:rFonts w:cs="Times New Roman"/>
          <w:szCs w:val="24"/>
        </w:rPr>
        <w:t xml:space="preserve"> </w:t>
      </w:r>
    </w:p>
    <w:p w:rsidR="003A2FCD" w:rsidRDefault="003A2FCD" w:rsidP="001E3CAB">
      <w:pPr>
        <w:spacing w:after="0" w:line="240" w:lineRule="auto"/>
        <w:jc w:val="both"/>
        <w:rPr>
          <w:rFonts w:cs="Times New Roman"/>
          <w:szCs w:val="24"/>
        </w:rPr>
      </w:pPr>
    </w:p>
    <w:p w:rsidR="007237F7" w:rsidRPr="0004763D" w:rsidRDefault="007237F7" w:rsidP="001E3CAB">
      <w:pPr>
        <w:spacing w:after="0" w:line="240" w:lineRule="auto"/>
        <w:jc w:val="both"/>
        <w:rPr>
          <w:rFonts w:cs="Times New Roman"/>
          <w:szCs w:val="24"/>
        </w:rPr>
      </w:pPr>
      <w:r w:rsidRPr="0004763D">
        <w:rPr>
          <w:rFonts w:cs="Times New Roman"/>
          <w:szCs w:val="24"/>
        </w:rPr>
        <w:t xml:space="preserve">   </w:t>
      </w:r>
    </w:p>
    <w:p w:rsidR="007237F7" w:rsidRPr="001E3CAB" w:rsidRDefault="007237F7" w:rsidP="001E3CAB">
      <w:pPr>
        <w:pStyle w:val="Heading2"/>
        <w:spacing w:after="0" w:line="240" w:lineRule="auto"/>
        <w:jc w:val="both"/>
        <w:rPr>
          <w:rFonts w:eastAsiaTheme="majorBidi" w:cs="Times New Roman"/>
          <w:b w:val="0"/>
          <w:szCs w:val="24"/>
          <w:u w:val="single"/>
        </w:rPr>
      </w:pPr>
      <w:bookmarkStart w:id="9" w:name="_Toc381944828"/>
      <w:bookmarkStart w:id="10" w:name="_Toc411410177"/>
      <w:bookmarkStart w:id="11" w:name="_Toc411430382"/>
      <w:bookmarkStart w:id="12" w:name="_Toc413831957"/>
      <w:r w:rsidRPr="001E3CAB">
        <w:rPr>
          <w:rFonts w:eastAsiaTheme="majorBidi" w:cs="Times New Roman"/>
          <w:b w:val="0"/>
          <w:szCs w:val="24"/>
          <w:u w:val="single"/>
        </w:rPr>
        <w:lastRenderedPageBreak/>
        <w:t>Use of Information Technology and Burden Reduction</w:t>
      </w:r>
      <w:bookmarkEnd w:id="9"/>
      <w:bookmarkEnd w:id="10"/>
      <w:bookmarkEnd w:id="11"/>
      <w:bookmarkEnd w:id="12"/>
    </w:p>
    <w:p w:rsidR="007237F7" w:rsidRPr="001E3CAB" w:rsidRDefault="007237F7" w:rsidP="001E3CAB">
      <w:pPr>
        <w:spacing w:after="0" w:line="240" w:lineRule="auto"/>
        <w:jc w:val="both"/>
        <w:rPr>
          <w:rFonts w:eastAsiaTheme="majorBidi" w:cs="Times New Roman"/>
          <w:b/>
          <w:bCs/>
          <w:i/>
          <w:szCs w:val="24"/>
        </w:rPr>
      </w:pPr>
      <w:r w:rsidRPr="001E3CAB">
        <w:rPr>
          <w:rFonts w:eastAsiaTheme="majorBidi" w:cs="Times New Roman"/>
          <w:b/>
          <w:bCs/>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Insert any applicable electronic web address.</w:t>
      </w:r>
    </w:p>
    <w:p w:rsidR="006D7EF4" w:rsidRPr="0004763D" w:rsidRDefault="006D7EF4" w:rsidP="001E3CAB">
      <w:pPr>
        <w:spacing w:after="0" w:line="240" w:lineRule="auto"/>
        <w:jc w:val="both"/>
        <w:rPr>
          <w:rFonts w:eastAsiaTheme="majorBidi" w:cs="Times New Roman"/>
          <w:b/>
          <w:bCs/>
          <w:szCs w:val="24"/>
        </w:rPr>
      </w:pPr>
    </w:p>
    <w:p w:rsidR="007237F7" w:rsidRDefault="007237F7" w:rsidP="001E3CAB">
      <w:pPr>
        <w:spacing w:after="0" w:line="240" w:lineRule="auto"/>
        <w:jc w:val="both"/>
        <w:rPr>
          <w:rFonts w:cs="Times New Roman"/>
          <w:szCs w:val="24"/>
        </w:rPr>
      </w:pPr>
      <w:r w:rsidRPr="00F45437">
        <w:rPr>
          <w:rFonts w:cs="Times New Roman"/>
          <w:szCs w:val="24"/>
        </w:rPr>
        <w:t xml:space="preserve">SBA is committed to complying with the 2002 E-Government Act to promote the use of technology in order to lessen the burden of data collection on the public. WBC client data will be collected via a </w:t>
      </w:r>
      <w:r w:rsidR="002121F0" w:rsidRPr="00F45437">
        <w:rPr>
          <w:rFonts w:cs="Times New Roman"/>
          <w:szCs w:val="24"/>
        </w:rPr>
        <w:t>w</w:t>
      </w:r>
      <w:r w:rsidRPr="00F45437">
        <w:rPr>
          <w:rFonts w:cs="Times New Roman"/>
          <w:szCs w:val="24"/>
        </w:rPr>
        <w:t>eb-based survey to reduce client burden. The screenshots of</w:t>
      </w:r>
      <w:r w:rsidRPr="007237F7">
        <w:rPr>
          <w:rFonts w:cs="Times New Roman"/>
          <w:szCs w:val="24"/>
        </w:rPr>
        <w:t xml:space="preserve"> the web surveys are presented in </w:t>
      </w:r>
      <w:r w:rsidR="00FC4637">
        <w:rPr>
          <w:rFonts w:cs="Times New Roman"/>
          <w:szCs w:val="24"/>
        </w:rPr>
        <w:t>a</w:t>
      </w:r>
      <w:r w:rsidRPr="007237F7">
        <w:rPr>
          <w:rFonts w:cs="Times New Roman"/>
          <w:szCs w:val="24"/>
        </w:rPr>
        <w:t xml:space="preserve">ppendix I. Web-based Survey. </w:t>
      </w:r>
      <w:r w:rsidR="002121F0" w:rsidRPr="00021C43">
        <w:rPr>
          <w:rFonts w:cs="Times New Roman"/>
          <w:szCs w:val="24"/>
        </w:rPr>
        <w:t>They are a cost-</w:t>
      </w:r>
      <w:r w:rsidR="002121F0">
        <w:rPr>
          <w:rFonts w:cs="Times New Roman"/>
          <w:szCs w:val="24"/>
        </w:rPr>
        <w:t>efficient solution that provide</w:t>
      </w:r>
      <w:r w:rsidR="002121F0" w:rsidRPr="00021C43">
        <w:rPr>
          <w:rFonts w:cs="Times New Roman"/>
          <w:szCs w:val="24"/>
        </w:rPr>
        <w:t xml:space="preserve"> critical information from res</w:t>
      </w:r>
      <w:r w:rsidR="002121F0">
        <w:rPr>
          <w:rFonts w:cs="Times New Roman"/>
          <w:szCs w:val="24"/>
        </w:rPr>
        <w:t>pondents in real time and allow</w:t>
      </w:r>
      <w:r w:rsidR="002121F0" w:rsidRPr="00021C43">
        <w:rPr>
          <w:rFonts w:cs="Times New Roman"/>
          <w:szCs w:val="24"/>
        </w:rPr>
        <w:t xml:space="preserve"> flexibility in the survey’s format, layout, and n</w:t>
      </w:r>
      <w:r w:rsidR="002121F0">
        <w:rPr>
          <w:rFonts w:cs="Times New Roman"/>
          <w:szCs w:val="24"/>
        </w:rPr>
        <w:t>avigation. The web-based survey</w:t>
      </w:r>
      <w:r w:rsidR="002121F0" w:rsidRPr="00021C43">
        <w:rPr>
          <w:rFonts w:cs="Times New Roman"/>
          <w:szCs w:val="24"/>
        </w:rPr>
        <w:t xml:space="preserve"> minimize</w:t>
      </w:r>
      <w:r w:rsidR="002121F0">
        <w:rPr>
          <w:rFonts w:cs="Times New Roman"/>
          <w:szCs w:val="24"/>
        </w:rPr>
        <w:t>s</w:t>
      </w:r>
      <w:r w:rsidR="002121F0" w:rsidRPr="00021C43">
        <w:rPr>
          <w:rFonts w:cs="Times New Roman"/>
          <w:szCs w:val="24"/>
        </w:rPr>
        <w:t xml:space="preserve"> the respondents’ burden and improve</w:t>
      </w:r>
      <w:r w:rsidR="002121F0">
        <w:rPr>
          <w:rFonts w:cs="Times New Roman"/>
          <w:szCs w:val="24"/>
        </w:rPr>
        <w:t>s</w:t>
      </w:r>
      <w:r w:rsidR="002121F0" w:rsidRPr="00021C43">
        <w:rPr>
          <w:rFonts w:cs="Times New Roman"/>
          <w:szCs w:val="24"/>
        </w:rPr>
        <w:t xml:space="preserve"> data quality by providing skip patterns for questions that are not applicable, pop-up instructions to quest</w:t>
      </w:r>
      <w:r w:rsidR="002121F0">
        <w:rPr>
          <w:rFonts w:cs="Times New Roman"/>
          <w:szCs w:val="24"/>
        </w:rPr>
        <w:t>ions, an easy navigation, and the</w:t>
      </w:r>
      <w:r w:rsidR="002121F0" w:rsidRPr="00021C43">
        <w:rPr>
          <w:rFonts w:cs="Times New Roman"/>
          <w:szCs w:val="24"/>
        </w:rPr>
        <w:t xml:space="preserve"> ability to stop and restart the survey at any time convenient to a respondent</w:t>
      </w:r>
      <w:r w:rsidR="002121F0">
        <w:rPr>
          <w:rFonts w:cs="Times New Roman"/>
          <w:szCs w:val="24"/>
        </w:rPr>
        <w:t>, unlike a telephone survey</w:t>
      </w:r>
      <w:r w:rsidR="002121F0" w:rsidRPr="00021C43">
        <w:rPr>
          <w:rFonts w:cs="Times New Roman"/>
          <w:szCs w:val="24"/>
        </w:rPr>
        <w:t>.</w:t>
      </w:r>
      <w:r w:rsidR="002121F0">
        <w:rPr>
          <w:rFonts w:cs="Times New Roman"/>
          <w:szCs w:val="24"/>
        </w:rPr>
        <w:t xml:space="preserve"> </w:t>
      </w:r>
      <w:r w:rsidRPr="007237F7">
        <w:rPr>
          <w:rFonts w:cs="Times New Roman"/>
          <w:szCs w:val="24"/>
        </w:rPr>
        <w:t xml:space="preserve">The </w:t>
      </w:r>
      <w:r w:rsidR="00CF2454">
        <w:rPr>
          <w:rFonts w:cs="Times New Roman"/>
          <w:szCs w:val="24"/>
        </w:rPr>
        <w:t>W</w:t>
      </w:r>
      <w:r w:rsidRPr="007237F7">
        <w:rPr>
          <w:rFonts w:cs="Times New Roman"/>
          <w:szCs w:val="24"/>
        </w:rPr>
        <w:t>eb-based survey also allows respondents to submit the final survey instantaneously</w:t>
      </w:r>
      <w:r w:rsidR="002121F0">
        <w:rPr>
          <w:rFonts w:cs="Times New Roman"/>
          <w:szCs w:val="24"/>
        </w:rPr>
        <w:t xml:space="preserve"> upon completion</w:t>
      </w:r>
      <w:r w:rsidRPr="007237F7">
        <w:rPr>
          <w:rFonts w:cs="Times New Roman"/>
          <w:szCs w:val="24"/>
        </w:rPr>
        <w:t>.</w:t>
      </w:r>
    </w:p>
    <w:p w:rsidR="006D7EF4" w:rsidRPr="0004763D" w:rsidRDefault="006D7EF4" w:rsidP="001E3CAB">
      <w:pPr>
        <w:spacing w:after="0" w:line="240" w:lineRule="auto"/>
        <w:jc w:val="both"/>
        <w:rPr>
          <w:rFonts w:cs="Times New Roman"/>
          <w:szCs w:val="24"/>
        </w:rPr>
      </w:pPr>
    </w:p>
    <w:p w:rsidR="007237F7" w:rsidRPr="00D97E89" w:rsidRDefault="007237F7" w:rsidP="001E3CAB">
      <w:pPr>
        <w:pStyle w:val="Heading2"/>
        <w:spacing w:after="0" w:line="240" w:lineRule="auto"/>
        <w:jc w:val="both"/>
        <w:rPr>
          <w:rFonts w:eastAsiaTheme="majorBidi" w:cs="Times New Roman"/>
          <w:szCs w:val="24"/>
          <w:u w:val="single"/>
        </w:rPr>
      </w:pPr>
      <w:bookmarkStart w:id="13" w:name="_Toc381944829"/>
      <w:bookmarkStart w:id="14" w:name="_Toc411410178"/>
      <w:bookmarkStart w:id="15" w:name="_Toc411430383"/>
      <w:bookmarkStart w:id="16" w:name="_Toc413831958"/>
      <w:r w:rsidRPr="00D97E89">
        <w:rPr>
          <w:rFonts w:eastAsiaTheme="majorBidi" w:cs="Times New Roman"/>
          <w:szCs w:val="24"/>
          <w:u w:val="single"/>
        </w:rPr>
        <w:t>Efforts to Identify Duplication and Use of Similar Information</w:t>
      </w:r>
      <w:bookmarkEnd w:id="13"/>
      <w:bookmarkEnd w:id="14"/>
      <w:bookmarkEnd w:id="15"/>
      <w:bookmarkEnd w:id="16"/>
    </w:p>
    <w:p w:rsidR="007237F7" w:rsidRDefault="007237F7" w:rsidP="001E3CAB">
      <w:pPr>
        <w:spacing w:after="0" w:line="240" w:lineRule="auto"/>
        <w:jc w:val="both"/>
        <w:rPr>
          <w:rFonts w:cs="Times New Roman"/>
          <w:b/>
          <w:i/>
          <w:szCs w:val="24"/>
        </w:rPr>
      </w:pPr>
      <w:r w:rsidRPr="00D97E89">
        <w:rPr>
          <w:rFonts w:cs="Times New Roman"/>
          <w:b/>
          <w:i/>
          <w:szCs w:val="24"/>
        </w:rPr>
        <w:t>Describe efforts to identify duplication. Show specifically why any similar information already available cannot be used or modified for use for the purposes described in Item 2 above.</w:t>
      </w:r>
    </w:p>
    <w:p w:rsidR="006D7EF4" w:rsidRPr="00D97E89" w:rsidRDefault="006D7EF4" w:rsidP="001E3CAB">
      <w:pPr>
        <w:spacing w:after="0" w:line="240" w:lineRule="auto"/>
        <w:jc w:val="both"/>
        <w:rPr>
          <w:rFonts w:cs="Times New Roman"/>
          <w:b/>
          <w:i/>
          <w:szCs w:val="24"/>
        </w:rPr>
      </w:pPr>
    </w:p>
    <w:p w:rsidR="007237F7" w:rsidRDefault="007237F7" w:rsidP="00D97E89">
      <w:pPr>
        <w:spacing w:after="0" w:line="240" w:lineRule="auto"/>
        <w:jc w:val="both"/>
        <w:rPr>
          <w:rFonts w:cs="Times New Roman"/>
          <w:szCs w:val="24"/>
        </w:rPr>
      </w:pPr>
      <w:r w:rsidRPr="0004763D">
        <w:rPr>
          <w:rFonts w:cs="Times New Roman"/>
          <w:szCs w:val="24"/>
        </w:rPr>
        <w:t>R</w:t>
      </w:r>
      <w:r w:rsidR="002121F0">
        <w:rPr>
          <w:rFonts w:cs="Times New Roman"/>
          <w:szCs w:val="24"/>
        </w:rPr>
        <w:t>eview of existing studies</w:t>
      </w:r>
      <w:r w:rsidRPr="0004763D">
        <w:rPr>
          <w:rFonts w:cs="Times New Roman"/>
          <w:szCs w:val="24"/>
        </w:rPr>
        <w:t xml:space="preserve"> </w:t>
      </w:r>
      <w:r w:rsidR="002121F0">
        <w:rPr>
          <w:rFonts w:cs="Times New Roman"/>
          <w:szCs w:val="24"/>
        </w:rPr>
        <w:t>did not</w:t>
      </w:r>
      <w:r w:rsidRPr="0004763D">
        <w:rPr>
          <w:rFonts w:cs="Times New Roman"/>
          <w:szCs w:val="24"/>
        </w:rPr>
        <w:t xml:space="preserve"> identify any duplication of </w:t>
      </w:r>
      <w:r w:rsidR="00A8267C">
        <w:rPr>
          <w:rFonts w:cs="Times New Roman"/>
          <w:szCs w:val="24"/>
        </w:rPr>
        <w:t>efforts in this data collection.</w:t>
      </w:r>
      <w:r w:rsidRPr="0004763D">
        <w:rPr>
          <w:rFonts w:cs="Times New Roman"/>
          <w:szCs w:val="24"/>
        </w:rPr>
        <w:t xml:space="preserve"> SBA’s current data collection efforts (i.e. Forms 641 and 888) do not provide systematic information on client outcomes and do not contain measures of service satisfaction. </w:t>
      </w:r>
      <w:r w:rsidR="0046727B">
        <w:rPr>
          <w:rFonts w:cs="Times New Roman"/>
          <w:szCs w:val="24"/>
        </w:rPr>
        <w:t xml:space="preserve">The AWBC </w:t>
      </w:r>
      <w:r w:rsidR="009F2A6C">
        <w:rPr>
          <w:rFonts w:cs="Times New Roman"/>
          <w:szCs w:val="24"/>
        </w:rPr>
        <w:t xml:space="preserve">has </w:t>
      </w:r>
      <w:r w:rsidR="0046727B">
        <w:rPr>
          <w:rFonts w:cs="Times New Roman"/>
          <w:szCs w:val="24"/>
        </w:rPr>
        <w:t>collect</w:t>
      </w:r>
      <w:r w:rsidR="009F2A6C">
        <w:rPr>
          <w:rFonts w:cs="Times New Roman"/>
          <w:szCs w:val="24"/>
        </w:rPr>
        <w:t>ed</w:t>
      </w:r>
      <w:r w:rsidR="0046727B">
        <w:rPr>
          <w:rFonts w:cs="Times New Roman"/>
          <w:szCs w:val="24"/>
        </w:rPr>
        <w:t xml:space="preserve"> client data periodically</w:t>
      </w:r>
      <w:r w:rsidR="009F2A6C">
        <w:rPr>
          <w:rFonts w:cs="Times New Roman"/>
          <w:szCs w:val="24"/>
        </w:rPr>
        <w:t xml:space="preserve"> (e.g. 2010)</w:t>
      </w:r>
      <w:r w:rsidR="0046727B">
        <w:rPr>
          <w:rFonts w:cs="Times New Roman"/>
          <w:szCs w:val="24"/>
        </w:rPr>
        <w:t xml:space="preserve">, but </w:t>
      </w:r>
      <w:r w:rsidR="00CB58EF">
        <w:rPr>
          <w:rFonts w:cs="Times New Roman"/>
          <w:szCs w:val="24"/>
        </w:rPr>
        <w:t>to our knowledge has no</w:t>
      </w:r>
      <w:r w:rsidR="00AE20B0">
        <w:rPr>
          <w:rFonts w:cs="Times New Roman"/>
          <w:szCs w:val="24"/>
        </w:rPr>
        <w:t xml:space="preserve"> </w:t>
      </w:r>
      <w:r w:rsidR="00CB58EF">
        <w:rPr>
          <w:rFonts w:cs="Times New Roman"/>
          <w:szCs w:val="24"/>
        </w:rPr>
        <w:t xml:space="preserve">future </w:t>
      </w:r>
      <w:r w:rsidR="00AE20B0">
        <w:rPr>
          <w:rFonts w:cs="Times New Roman"/>
          <w:szCs w:val="24"/>
        </w:rPr>
        <w:t>plan</w:t>
      </w:r>
      <w:r w:rsidR="00CB58EF">
        <w:rPr>
          <w:rFonts w:cs="Times New Roman"/>
          <w:szCs w:val="24"/>
        </w:rPr>
        <w:t>s to conduct a client survey</w:t>
      </w:r>
      <w:r w:rsidR="0046727B">
        <w:rPr>
          <w:rFonts w:cs="Times New Roman"/>
          <w:szCs w:val="24"/>
        </w:rPr>
        <w:t xml:space="preserve">. </w:t>
      </w:r>
      <w:r w:rsidRPr="0004763D">
        <w:rPr>
          <w:rFonts w:cs="Times New Roman"/>
          <w:szCs w:val="24"/>
        </w:rPr>
        <w:t>Other identified data</w:t>
      </w:r>
      <w:r w:rsidR="00E41C5C">
        <w:rPr>
          <w:rFonts w:cs="Times New Roman"/>
          <w:szCs w:val="24"/>
        </w:rPr>
        <w:t xml:space="preserve"> collection or analytic </w:t>
      </w:r>
      <w:r w:rsidRPr="0004763D">
        <w:rPr>
          <w:rFonts w:cs="Times New Roman"/>
          <w:szCs w:val="24"/>
        </w:rPr>
        <w:t xml:space="preserve">efforts of women-owned businesses include those conducted by the National Women’s Business Council using federal administrative data, the Aspen Institute’s </w:t>
      </w:r>
      <w:proofErr w:type="spellStart"/>
      <w:r w:rsidRPr="0004763D">
        <w:rPr>
          <w:rFonts w:cs="Times New Roman"/>
          <w:szCs w:val="24"/>
        </w:rPr>
        <w:t>MicroTracker</w:t>
      </w:r>
      <w:proofErr w:type="spellEnd"/>
      <w:r w:rsidRPr="0004763D">
        <w:rPr>
          <w:rFonts w:cs="Times New Roman"/>
          <w:szCs w:val="24"/>
        </w:rPr>
        <w:t xml:space="preserve"> survey, and the Kauffman Foundation’s Firm Survey. These sources cannot be used to monitor performance of the WBC program because they do not adequately represent WBC clients. For example, many of the 107 WBCs do not participate in the </w:t>
      </w:r>
      <w:proofErr w:type="spellStart"/>
      <w:r w:rsidRPr="0004763D">
        <w:rPr>
          <w:rFonts w:cs="Times New Roman"/>
          <w:szCs w:val="24"/>
        </w:rPr>
        <w:t>MicroTracker</w:t>
      </w:r>
      <w:proofErr w:type="spellEnd"/>
      <w:r w:rsidRPr="0004763D">
        <w:rPr>
          <w:rFonts w:cs="Times New Roman"/>
          <w:szCs w:val="24"/>
        </w:rPr>
        <w:t xml:space="preserve"> survey and therefore their clients are not surveyed, and many WBC clients are not in federal administrative datasets (e.g. Survey of Business Owners, Longitudinal Business Database) because they have not yet started a business.</w:t>
      </w:r>
      <w:r w:rsidRPr="0004763D">
        <w:rPr>
          <w:rStyle w:val="FootnoteReference"/>
          <w:rFonts w:eastAsiaTheme="majorBidi" w:cs="Times New Roman"/>
          <w:szCs w:val="24"/>
        </w:rPr>
        <w:footnoteReference w:id="1"/>
      </w:r>
    </w:p>
    <w:p w:rsidR="003A2FCD" w:rsidRPr="0004763D" w:rsidRDefault="003A2FCD" w:rsidP="00D97E89">
      <w:pPr>
        <w:spacing w:after="0" w:line="240" w:lineRule="auto"/>
        <w:jc w:val="both"/>
        <w:rPr>
          <w:rFonts w:cs="Times New Roman"/>
          <w:szCs w:val="24"/>
        </w:rPr>
      </w:pPr>
    </w:p>
    <w:p w:rsidR="007237F7" w:rsidRPr="00D97E89" w:rsidRDefault="007237F7" w:rsidP="00D97E89">
      <w:pPr>
        <w:pStyle w:val="Heading2"/>
        <w:spacing w:after="0" w:line="240" w:lineRule="auto"/>
        <w:jc w:val="both"/>
        <w:rPr>
          <w:rFonts w:eastAsiaTheme="majorBidi" w:cs="Times New Roman"/>
          <w:szCs w:val="24"/>
          <w:u w:val="single"/>
        </w:rPr>
      </w:pPr>
      <w:bookmarkStart w:id="17" w:name="_Toc381944830"/>
      <w:bookmarkStart w:id="18" w:name="_Toc411410179"/>
      <w:bookmarkStart w:id="19" w:name="_Toc411430384"/>
      <w:bookmarkStart w:id="20" w:name="_Toc413831959"/>
      <w:r w:rsidRPr="00D97E89">
        <w:rPr>
          <w:rFonts w:eastAsiaTheme="majorBidi" w:cs="Times New Roman"/>
          <w:szCs w:val="24"/>
          <w:u w:val="single"/>
        </w:rPr>
        <w:t>Impacts on Small Businesses or Other Small Entities</w:t>
      </w:r>
      <w:bookmarkEnd w:id="17"/>
      <w:bookmarkEnd w:id="18"/>
      <w:bookmarkEnd w:id="19"/>
      <w:bookmarkEnd w:id="20"/>
      <w:r w:rsidRPr="00D97E89">
        <w:rPr>
          <w:rFonts w:eastAsiaTheme="majorBidi" w:cs="Times New Roman"/>
          <w:szCs w:val="24"/>
          <w:u w:val="single"/>
        </w:rPr>
        <w:t xml:space="preserve"> </w:t>
      </w:r>
    </w:p>
    <w:p w:rsidR="007237F7" w:rsidRPr="00D97E89" w:rsidRDefault="007237F7" w:rsidP="00D97E89">
      <w:pPr>
        <w:spacing w:after="0" w:line="240" w:lineRule="auto"/>
        <w:jc w:val="both"/>
        <w:rPr>
          <w:rFonts w:eastAsiaTheme="majorBidi" w:cs="Times New Roman"/>
          <w:b/>
          <w:bCs/>
          <w:i/>
          <w:szCs w:val="24"/>
        </w:rPr>
      </w:pPr>
      <w:r w:rsidRPr="00D97E89">
        <w:rPr>
          <w:rFonts w:eastAsiaTheme="majorBidi" w:cs="Times New Roman"/>
          <w:b/>
          <w:bCs/>
          <w:i/>
          <w:szCs w:val="24"/>
        </w:rPr>
        <w:t>If the collection of information impacts small business or other small entities, describe any methods used to minimize burden.</w:t>
      </w:r>
    </w:p>
    <w:p w:rsidR="006D7EF4" w:rsidRDefault="006D7EF4" w:rsidP="007237F7">
      <w:pPr>
        <w:spacing w:line="360" w:lineRule="auto"/>
        <w:jc w:val="both"/>
        <w:rPr>
          <w:rFonts w:cs="Times New Roman"/>
          <w:szCs w:val="24"/>
        </w:rPr>
      </w:pPr>
    </w:p>
    <w:p w:rsidR="007237F7" w:rsidRDefault="007237F7" w:rsidP="00383487">
      <w:pPr>
        <w:spacing w:after="0" w:line="240" w:lineRule="auto"/>
        <w:jc w:val="both"/>
        <w:rPr>
          <w:rFonts w:cs="Times New Roman"/>
          <w:szCs w:val="24"/>
        </w:rPr>
      </w:pPr>
      <w:r w:rsidRPr="0004763D">
        <w:rPr>
          <w:rFonts w:cs="Times New Roman"/>
          <w:szCs w:val="24"/>
        </w:rPr>
        <w:lastRenderedPageBreak/>
        <w:t xml:space="preserve">This data collection </w:t>
      </w:r>
      <w:r w:rsidR="006D3C37">
        <w:rPr>
          <w:rFonts w:cs="Times New Roman"/>
          <w:szCs w:val="24"/>
        </w:rPr>
        <w:t xml:space="preserve">will </w:t>
      </w:r>
      <w:r w:rsidRPr="0004763D">
        <w:rPr>
          <w:rFonts w:cs="Times New Roman"/>
          <w:szCs w:val="24"/>
        </w:rPr>
        <w:t xml:space="preserve">obtain information from small and nascent businesses. To minimize the burden on respondents, efforts have been made to simplify and streamline the survey. The estimated burden for completing the </w:t>
      </w:r>
      <w:r w:rsidRPr="00F45437">
        <w:rPr>
          <w:rFonts w:cs="Times New Roman"/>
          <w:szCs w:val="24"/>
        </w:rPr>
        <w:t xml:space="preserve">survey is </w:t>
      </w:r>
      <w:r w:rsidR="00654B01" w:rsidRPr="00F45437">
        <w:rPr>
          <w:rFonts w:cs="Times New Roman"/>
          <w:szCs w:val="24"/>
        </w:rPr>
        <w:t xml:space="preserve">only </w:t>
      </w:r>
      <w:r w:rsidRPr="00F45437">
        <w:rPr>
          <w:rFonts w:cs="Times New Roman"/>
          <w:szCs w:val="24"/>
        </w:rPr>
        <w:t>6 minutes</w:t>
      </w:r>
      <w:r w:rsidRPr="0004763D">
        <w:rPr>
          <w:rFonts w:cs="Times New Roman"/>
          <w:szCs w:val="24"/>
        </w:rPr>
        <w:t xml:space="preserve"> per respondent, largely due to the focus on</w:t>
      </w:r>
      <w:r w:rsidR="00654B01">
        <w:rPr>
          <w:rFonts w:cs="Times New Roman"/>
          <w:szCs w:val="24"/>
        </w:rPr>
        <w:t xml:space="preserve"> a small number of</w:t>
      </w:r>
      <w:r w:rsidRPr="0004763D">
        <w:rPr>
          <w:rFonts w:cs="Times New Roman"/>
          <w:szCs w:val="24"/>
        </w:rPr>
        <w:t xml:space="preserve"> behavioral questions </w:t>
      </w:r>
      <w:r w:rsidR="00BA7309">
        <w:rPr>
          <w:rFonts w:cs="Times New Roman"/>
          <w:szCs w:val="24"/>
        </w:rPr>
        <w:t xml:space="preserve">and business information </w:t>
      </w:r>
      <w:r w:rsidRPr="0004763D">
        <w:rPr>
          <w:rFonts w:cs="Times New Roman"/>
          <w:szCs w:val="24"/>
        </w:rPr>
        <w:t>that do</w:t>
      </w:r>
      <w:r w:rsidR="00BA7309">
        <w:rPr>
          <w:rFonts w:cs="Times New Roman"/>
          <w:szCs w:val="24"/>
        </w:rPr>
        <w:t>es</w:t>
      </w:r>
      <w:r w:rsidRPr="0004763D">
        <w:rPr>
          <w:rFonts w:cs="Times New Roman"/>
          <w:szCs w:val="24"/>
        </w:rPr>
        <w:t xml:space="preserve"> not require </w:t>
      </w:r>
      <w:r w:rsidR="00BA7309">
        <w:rPr>
          <w:rFonts w:cs="Times New Roman"/>
          <w:szCs w:val="24"/>
        </w:rPr>
        <w:t xml:space="preserve">the respondent to </w:t>
      </w:r>
      <w:r w:rsidRPr="0004763D">
        <w:rPr>
          <w:rFonts w:cs="Times New Roman"/>
          <w:szCs w:val="24"/>
        </w:rPr>
        <w:t>retriev</w:t>
      </w:r>
      <w:r w:rsidR="00BA7309">
        <w:rPr>
          <w:rFonts w:cs="Times New Roman"/>
          <w:szCs w:val="24"/>
        </w:rPr>
        <w:t>e data from a</w:t>
      </w:r>
      <w:r w:rsidRPr="0004763D">
        <w:rPr>
          <w:rFonts w:cs="Times New Roman"/>
          <w:szCs w:val="24"/>
        </w:rPr>
        <w:t xml:space="preserve"> secondary </w:t>
      </w:r>
      <w:r w:rsidR="00BA7309">
        <w:rPr>
          <w:rFonts w:cs="Times New Roman"/>
          <w:szCs w:val="24"/>
        </w:rPr>
        <w:t>source such as a tax return</w:t>
      </w:r>
      <w:r w:rsidRPr="0004763D">
        <w:rPr>
          <w:rFonts w:cs="Times New Roman"/>
          <w:szCs w:val="24"/>
        </w:rPr>
        <w:t>. The survey will be disseminated via an online platform, which will allow small business owners to take the survey at a time that is convenient for them and only answer questions that pertain to their experiences. For example, nascent businesses skip questions that pertain to business performance outcomes. The data collection also uses a sample design to minimize the number of small businesses from whom information is requested.</w:t>
      </w:r>
    </w:p>
    <w:p w:rsidR="006D7EF4" w:rsidRPr="0004763D" w:rsidRDefault="006D7EF4" w:rsidP="00383487">
      <w:pPr>
        <w:spacing w:after="0" w:line="240" w:lineRule="auto"/>
        <w:jc w:val="both"/>
        <w:rPr>
          <w:rFonts w:cs="Times New Roman"/>
          <w:szCs w:val="24"/>
        </w:rPr>
      </w:pPr>
    </w:p>
    <w:p w:rsidR="007237F7" w:rsidRPr="00383487" w:rsidRDefault="007237F7" w:rsidP="00383487">
      <w:pPr>
        <w:pStyle w:val="Heading2"/>
        <w:spacing w:after="0" w:line="240" w:lineRule="auto"/>
        <w:jc w:val="both"/>
        <w:rPr>
          <w:rFonts w:eastAsiaTheme="majorBidi" w:cs="Times New Roman"/>
          <w:szCs w:val="24"/>
          <w:u w:val="single"/>
        </w:rPr>
      </w:pPr>
      <w:bookmarkStart w:id="21" w:name="_Toc411410180"/>
      <w:bookmarkStart w:id="22" w:name="_Toc411430385"/>
      <w:bookmarkStart w:id="23" w:name="_Toc413831960"/>
      <w:r w:rsidRPr="00383487">
        <w:rPr>
          <w:rFonts w:eastAsiaTheme="majorBidi" w:cs="Times New Roman"/>
          <w:szCs w:val="24"/>
          <w:u w:val="single"/>
        </w:rPr>
        <w:t>Consequences of Collecting the Information Less Frequently</w:t>
      </w:r>
      <w:bookmarkEnd w:id="21"/>
      <w:bookmarkEnd w:id="22"/>
      <w:bookmarkEnd w:id="23"/>
      <w:r w:rsidRPr="00383487">
        <w:rPr>
          <w:rFonts w:eastAsiaTheme="majorBidi" w:cs="Times New Roman"/>
          <w:szCs w:val="24"/>
          <w:u w:val="single"/>
        </w:rPr>
        <w:t xml:space="preserve"> </w:t>
      </w:r>
    </w:p>
    <w:p w:rsidR="007237F7" w:rsidRPr="00383487" w:rsidRDefault="007237F7" w:rsidP="00383487">
      <w:pPr>
        <w:spacing w:after="0" w:line="240" w:lineRule="auto"/>
        <w:jc w:val="both"/>
        <w:rPr>
          <w:rFonts w:cs="Times New Roman"/>
          <w:b/>
          <w:bCs/>
          <w:i/>
          <w:szCs w:val="24"/>
        </w:rPr>
      </w:pPr>
      <w:r w:rsidRPr="00383487">
        <w:rPr>
          <w:rFonts w:cs="Times New Roman"/>
          <w:b/>
          <w:bCs/>
          <w:i/>
          <w:szCs w:val="24"/>
        </w:rPr>
        <w:t>Describe the consequence to Federal program or policy activities if the collection is not conducted or is conducted less frequently, as well as any technical or legal obstacles to reducing burden.</w:t>
      </w:r>
    </w:p>
    <w:p w:rsidR="006D7EF4" w:rsidRPr="0004763D" w:rsidRDefault="006D7EF4" w:rsidP="00383487">
      <w:pPr>
        <w:spacing w:after="0" w:line="240" w:lineRule="auto"/>
        <w:jc w:val="both"/>
        <w:rPr>
          <w:rFonts w:cs="Times New Roman"/>
          <w:b/>
          <w:bCs/>
          <w:szCs w:val="24"/>
        </w:rPr>
      </w:pPr>
    </w:p>
    <w:p w:rsidR="007237F7" w:rsidRDefault="007237F7" w:rsidP="00383487">
      <w:pPr>
        <w:spacing w:after="0" w:line="240" w:lineRule="auto"/>
        <w:jc w:val="both"/>
        <w:rPr>
          <w:rFonts w:cs="Times New Roman"/>
          <w:szCs w:val="24"/>
        </w:rPr>
      </w:pPr>
      <w:r w:rsidRPr="0004763D">
        <w:rPr>
          <w:rFonts w:cs="Times New Roman"/>
          <w:szCs w:val="24"/>
        </w:rPr>
        <w:t xml:space="preserve">The consequences of forgoing this data collection are two-fold. </w:t>
      </w:r>
      <w:r w:rsidR="00F5395A">
        <w:rPr>
          <w:rFonts w:cs="Times New Roman"/>
          <w:szCs w:val="24"/>
        </w:rPr>
        <w:t xml:space="preserve">First, </w:t>
      </w:r>
      <w:r w:rsidRPr="0004763D">
        <w:rPr>
          <w:rFonts w:cs="Times New Roman"/>
          <w:szCs w:val="24"/>
        </w:rPr>
        <w:t>SBA’s other resource partners (i.e. SCORE and the Small Business Development Centers) conduct similar client surveys annually</w:t>
      </w:r>
      <w:r w:rsidR="001D26A1">
        <w:rPr>
          <w:rFonts w:cs="Times New Roman"/>
          <w:szCs w:val="24"/>
        </w:rPr>
        <w:t>,</w:t>
      </w:r>
      <w:r w:rsidRPr="0004763D">
        <w:rPr>
          <w:rFonts w:cs="Times New Roman"/>
          <w:szCs w:val="24"/>
        </w:rPr>
        <w:t xml:space="preserve"> so it is important that WBC performance is equally represented to SBA stakeholders</w:t>
      </w:r>
      <w:r w:rsidR="00CB58EF">
        <w:rPr>
          <w:rFonts w:cs="Times New Roman"/>
          <w:szCs w:val="24"/>
        </w:rPr>
        <w:t xml:space="preserve"> annually</w:t>
      </w:r>
      <w:r w:rsidRPr="0004763D">
        <w:rPr>
          <w:rFonts w:cs="Times New Roman"/>
          <w:szCs w:val="24"/>
        </w:rPr>
        <w:t xml:space="preserve">. In addition, without this data collection SBA </w:t>
      </w:r>
      <w:r w:rsidR="00294994" w:rsidRPr="0004763D">
        <w:rPr>
          <w:rFonts w:cs="Times New Roman"/>
          <w:szCs w:val="24"/>
        </w:rPr>
        <w:t>w</w:t>
      </w:r>
      <w:r w:rsidR="00294994">
        <w:rPr>
          <w:rFonts w:cs="Times New Roman"/>
          <w:szCs w:val="24"/>
        </w:rPr>
        <w:t xml:space="preserve">ould </w:t>
      </w:r>
      <w:r w:rsidR="00294994" w:rsidRPr="0004763D">
        <w:rPr>
          <w:rFonts w:cs="Times New Roman"/>
          <w:szCs w:val="24"/>
        </w:rPr>
        <w:t>not</w:t>
      </w:r>
      <w:r w:rsidRPr="0004763D">
        <w:rPr>
          <w:rFonts w:cs="Times New Roman"/>
          <w:szCs w:val="24"/>
        </w:rPr>
        <w:t xml:space="preserve"> have systematic information on WBC clients’ post-service responses to monitor annual trends and changes</w:t>
      </w:r>
      <w:r w:rsidR="00C16723" w:rsidRPr="00C16723">
        <w:rPr>
          <w:rFonts w:cs="Times New Roman"/>
          <w:szCs w:val="24"/>
        </w:rPr>
        <w:t xml:space="preserve"> </w:t>
      </w:r>
      <w:r w:rsidR="00C16723">
        <w:rPr>
          <w:rFonts w:cs="Times New Roman"/>
          <w:szCs w:val="24"/>
        </w:rPr>
        <w:t xml:space="preserve">and determine if the program </w:t>
      </w:r>
      <w:r w:rsidR="00CB58EF">
        <w:rPr>
          <w:rFonts w:cs="Times New Roman"/>
          <w:szCs w:val="24"/>
        </w:rPr>
        <w:t>is</w:t>
      </w:r>
      <w:r w:rsidR="00C16723">
        <w:rPr>
          <w:rFonts w:cs="Times New Roman"/>
          <w:szCs w:val="24"/>
        </w:rPr>
        <w:t xml:space="preserve"> meeting its goals and affecting change in women-owned businesses.</w:t>
      </w:r>
      <w:r w:rsidRPr="0004763D">
        <w:rPr>
          <w:rFonts w:cs="Times New Roman"/>
          <w:szCs w:val="24"/>
        </w:rPr>
        <w:t xml:space="preserve"> </w:t>
      </w:r>
    </w:p>
    <w:p w:rsidR="006D7EF4" w:rsidRPr="0004763D" w:rsidRDefault="006D7EF4" w:rsidP="00383487">
      <w:pPr>
        <w:spacing w:after="0" w:line="240" w:lineRule="auto"/>
        <w:jc w:val="both"/>
        <w:rPr>
          <w:rFonts w:cs="Times New Roman"/>
          <w:szCs w:val="24"/>
        </w:rPr>
      </w:pPr>
    </w:p>
    <w:p w:rsidR="007237F7" w:rsidRPr="0004763D" w:rsidRDefault="007237F7" w:rsidP="00383487">
      <w:pPr>
        <w:pStyle w:val="Heading2"/>
        <w:spacing w:after="0" w:line="240" w:lineRule="auto"/>
        <w:jc w:val="both"/>
        <w:rPr>
          <w:rFonts w:eastAsiaTheme="majorBidi" w:cs="Times New Roman"/>
          <w:szCs w:val="24"/>
        </w:rPr>
      </w:pPr>
      <w:bookmarkStart w:id="24" w:name="_Toc411410181"/>
      <w:bookmarkStart w:id="25" w:name="_Toc411430386"/>
      <w:bookmarkStart w:id="26" w:name="_Toc413831961"/>
      <w:r w:rsidRPr="0004763D">
        <w:rPr>
          <w:rFonts w:eastAsiaTheme="majorBidi" w:cs="Times New Roman"/>
          <w:szCs w:val="24"/>
        </w:rPr>
        <w:t>Special Circumstances Relating to the Guideline of 5 CFR 1320.5</w:t>
      </w:r>
      <w:bookmarkEnd w:id="24"/>
      <w:bookmarkEnd w:id="25"/>
      <w:bookmarkEnd w:id="26"/>
    </w:p>
    <w:p w:rsidR="007237F7" w:rsidRPr="00383487" w:rsidRDefault="007237F7" w:rsidP="00383487">
      <w:pPr>
        <w:spacing w:after="0" w:line="240" w:lineRule="auto"/>
        <w:jc w:val="both"/>
        <w:rPr>
          <w:rFonts w:cs="Times New Roman"/>
          <w:b/>
          <w:bCs/>
          <w:i/>
          <w:szCs w:val="24"/>
        </w:rPr>
      </w:pPr>
      <w:r w:rsidRPr="00383487">
        <w:rPr>
          <w:rFonts w:cs="Times New Roman"/>
          <w:b/>
          <w:bCs/>
          <w:i/>
          <w:szCs w:val="24"/>
        </w:rPr>
        <w:t>Explain any special circumstances that would cause an information collecti</w:t>
      </w:r>
      <w:r w:rsidRPr="00383487">
        <w:rPr>
          <w:rFonts w:cs="Times New Roman"/>
          <w:b/>
          <w:bCs/>
          <w:i/>
          <w:szCs w:val="24"/>
        </w:rPr>
        <w:softHyphen/>
        <w:t>on to be</w:t>
      </w:r>
      <w:r w:rsidR="00E9286A" w:rsidRPr="00383487">
        <w:rPr>
          <w:rFonts w:cs="Times New Roman"/>
          <w:b/>
          <w:bCs/>
          <w:i/>
          <w:szCs w:val="24"/>
        </w:rPr>
        <w:t xml:space="preserve"> </w:t>
      </w:r>
      <w:r w:rsidRPr="00383487">
        <w:rPr>
          <w:rFonts w:cs="Times New Roman"/>
          <w:b/>
          <w:bCs/>
          <w:i/>
          <w:szCs w:val="24"/>
        </w:rPr>
        <w:t>con</w:t>
      </w:r>
      <w:r w:rsidRPr="00383487">
        <w:rPr>
          <w:rFonts w:cs="Times New Roman"/>
          <w:b/>
          <w:bCs/>
          <w:i/>
          <w:szCs w:val="24"/>
        </w:rPr>
        <w:softHyphen/>
        <w:t>ducted in a manner:</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requiring respondents to report information to the agency more often than quarterly;</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requiring respondents to prepare a written response to a collection of information in fewer than 30 days after receipt of it;</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requiring respondents to submit more than an original and two copies of any document;</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requiring respondents to retain records, other than health, medical, government contract, grant-in-aid, or tax records for more than three years;</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in connection with a statistical survey, that is not designed to produce valid and reliable results that can be generalized to the universe of study;</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requiring the use of a statistical data classification that has not been reviewed and approved by OMB;</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b/>
          <w:i/>
          <w:szCs w:val="24"/>
        </w:rPr>
      </w:pPr>
      <w:r w:rsidRPr="00383487">
        <w:rPr>
          <w:rFonts w:eastAsiaTheme="majorBidi" w:cs="Times New Roman"/>
          <w:b/>
          <w:bCs/>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237F7" w:rsidRPr="00383487" w:rsidRDefault="007237F7" w:rsidP="00D97E89">
      <w:pPr>
        <w:pStyle w:val="ListParagraph"/>
        <w:numPr>
          <w:ilvl w:val="0"/>
          <w:numId w:val="5"/>
        </w:numPr>
        <w:tabs>
          <w:tab w:val="left" w:pos="9630"/>
          <w:tab w:val="left" w:pos="9810"/>
        </w:tabs>
        <w:spacing w:after="0" w:line="240" w:lineRule="auto"/>
        <w:ind w:right="792"/>
        <w:jc w:val="both"/>
        <w:rPr>
          <w:rFonts w:cs="Times New Roman"/>
          <w:i/>
          <w:szCs w:val="24"/>
        </w:rPr>
      </w:pPr>
      <w:proofErr w:type="gramStart"/>
      <w:r w:rsidRPr="00383487">
        <w:rPr>
          <w:rFonts w:eastAsiaTheme="majorBidi" w:cs="Times New Roman"/>
          <w:b/>
          <w:bCs/>
          <w:i/>
          <w:szCs w:val="24"/>
        </w:rPr>
        <w:t>requiring</w:t>
      </w:r>
      <w:proofErr w:type="gramEnd"/>
      <w:r w:rsidRPr="00383487">
        <w:rPr>
          <w:rFonts w:eastAsiaTheme="majorBidi" w:cs="Times New Roman"/>
          <w:b/>
          <w:bCs/>
          <w:i/>
          <w:szCs w:val="24"/>
        </w:rPr>
        <w:t xml:space="preserve"> respondents to submit proprietary, trade secret, or other confidential information unless the agency can demonstrate that it has instituted </w:t>
      </w:r>
      <w:r w:rsidRPr="00383487">
        <w:rPr>
          <w:rFonts w:eastAsiaTheme="majorBidi" w:cs="Times New Roman"/>
          <w:b/>
          <w:bCs/>
          <w:i/>
          <w:szCs w:val="24"/>
        </w:rPr>
        <w:lastRenderedPageBreak/>
        <w:t>procedures to protect the information's confidentiality to the</w:t>
      </w:r>
      <w:r w:rsidR="00E9286A" w:rsidRPr="00383487">
        <w:rPr>
          <w:rFonts w:eastAsiaTheme="majorBidi" w:cs="Times New Roman"/>
          <w:b/>
          <w:bCs/>
          <w:i/>
          <w:szCs w:val="24"/>
        </w:rPr>
        <w:t xml:space="preserve"> </w:t>
      </w:r>
      <w:r w:rsidRPr="00383487">
        <w:rPr>
          <w:rFonts w:eastAsiaTheme="majorBidi" w:cs="Times New Roman"/>
          <w:b/>
          <w:bCs/>
          <w:i/>
          <w:szCs w:val="24"/>
        </w:rPr>
        <w:t>extent permitted by law.</w:t>
      </w:r>
    </w:p>
    <w:p w:rsidR="008D0360" w:rsidRDefault="008D0360" w:rsidP="00D97E89">
      <w:pPr>
        <w:spacing w:after="0" w:line="240" w:lineRule="auto"/>
        <w:jc w:val="both"/>
        <w:rPr>
          <w:rFonts w:cs="Times New Roman"/>
          <w:szCs w:val="24"/>
        </w:rPr>
      </w:pPr>
    </w:p>
    <w:p w:rsidR="00DB0268" w:rsidRDefault="007237F7" w:rsidP="00D97E89">
      <w:pPr>
        <w:spacing w:after="0" w:line="240" w:lineRule="auto"/>
        <w:jc w:val="both"/>
        <w:rPr>
          <w:rFonts w:cs="Times New Roman"/>
          <w:szCs w:val="24"/>
        </w:rPr>
      </w:pPr>
      <w:r w:rsidRPr="007237F7">
        <w:rPr>
          <w:rFonts w:cs="Times New Roman"/>
          <w:szCs w:val="24"/>
        </w:rPr>
        <w:t xml:space="preserve">SBA requests review of </w:t>
      </w:r>
      <w:r w:rsidR="008D0360">
        <w:rPr>
          <w:rFonts w:cs="Times New Roman"/>
          <w:szCs w:val="24"/>
        </w:rPr>
        <w:t xml:space="preserve">three </w:t>
      </w:r>
      <w:r w:rsidRPr="007237F7">
        <w:rPr>
          <w:rFonts w:cs="Times New Roman"/>
          <w:szCs w:val="24"/>
        </w:rPr>
        <w:t>special circumstance</w:t>
      </w:r>
      <w:r w:rsidR="00674417">
        <w:rPr>
          <w:rFonts w:cs="Times New Roman"/>
          <w:szCs w:val="24"/>
        </w:rPr>
        <w:t>s.</w:t>
      </w:r>
      <w:r w:rsidRPr="007237F7">
        <w:rPr>
          <w:rFonts w:cs="Times New Roman"/>
          <w:szCs w:val="24"/>
        </w:rPr>
        <w:t xml:space="preserve"> </w:t>
      </w:r>
      <w:r w:rsidR="00674417">
        <w:rPr>
          <w:rFonts w:cs="Times New Roman"/>
          <w:szCs w:val="24"/>
        </w:rPr>
        <w:t xml:space="preserve">First, SBA requests the use of slightly different </w:t>
      </w:r>
      <w:r w:rsidRPr="007237F7">
        <w:rPr>
          <w:rFonts w:cs="Times New Roman"/>
          <w:szCs w:val="24"/>
        </w:rPr>
        <w:t xml:space="preserve">industry </w:t>
      </w:r>
      <w:r w:rsidR="00674417">
        <w:rPr>
          <w:rFonts w:cs="Times New Roman"/>
          <w:szCs w:val="24"/>
        </w:rPr>
        <w:t>categories than the OMB standards in order to improve data quality and lower respondent burden</w:t>
      </w:r>
      <w:r w:rsidRPr="007237F7">
        <w:rPr>
          <w:rFonts w:cs="Times New Roman"/>
          <w:szCs w:val="24"/>
        </w:rPr>
        <w:t xml:space="preserve">. The survey provides respondents with </w:t>
      </w:r>
      <w:r w:rsidR="00583C3E">
        <w:rPr>
          <w:rFonts w:cs="Times New Roman"/>
          <w:szCs w:val="24"/>
        </w:rPr>
        <w:t>8</w:t>
      </w:r>
      <w:r w:rsidRPr="007237F7">
        <w:rPr>
          <w:rFonts w:cs="Times New Roman"/>
          <w:szCs w:val="24"/>
        </w:rPr>
        <w:t xml:space="preserve"> rather than 20 industry categories to choose from</w:t>
      </w:r>
      <w:r w:rsidR="00674417">
        <w:rPr>
          <w:rFonts w:cs="Times New Roman"/>
          <w:szCs w:val="24"/>
        </w:rPr>
        <w:t>. They</w:t>
      </w:r>
      <w:r w:rsidRPr="007237F7">
        <w:rPr>
          <w:rFonts w:cs="Times New Roman"/>
          <w:szCs w:val="24"/>
        </w:rPr>
        <w:t xml:space="preserve"> </w:t>
      </w:r>
      <w:r w:rsidR="00674417">
        <w:rPr>
          <w:rFonts w:cs="Times New Roman"/>
          <w:szCs w:val="24"/>
        </w:rPr>
        <w:t>are</w:t>
      </w:r>
      <w:r w:rsidR="000D4486">
        <w:rPr>
          <w:rFonts w:cs="Times New Roman"/>
          <w:szCs w:val="24"/>
        </w:rPr>
        <w:t xml:space="preserve"> a mix of</w:t>
      </w:r>
      <w:r w:rsidRPr="007237F7">
        <w:rPr>
          <w:rFonts w:cs="Times New Roman"/>
          <w:szCs w:val="24"/>
        </w:rPr>
        <w:t xml:space="preserve"> </w:t>
      </w:r>
      <w:r w:rsidR="00B97AB0">
        <w:rPr>
          <w:rFonts w:cs="Times New Roman"/>
          <w:szCs w:val="24"/>
        </w:rPr>
        <w:t>two</w:t>
      </w:r>
      <w:r w:rsidRPr="007237F7">
        <w:rPr>
          <w:rFonts w:cs="Times New Roman"/>
          <w:szCs w:val="24"/>
        </w:rPr>
        <w:t xml:space="preserve">-digit and </w:t>
      </w:r>
      <w:r w:rsidR="00B97AB0">
        <w:rPr>
          <w:rFonts w:cs="Times New Roman"/>
          <w:szCs w:val="24"/>
        </w:rPr>
        <w:t>four</w:t>
      </w:r>
      <w:r w:rsidRPr="007237F7">
        <w:rPr>
          <w:rFonts w:cs="Times New Roman"/>
          <w:szCs w:val="24"/>
        </w:rPr>
        <w:t xml:space="preserve">-digit NAICS </w:t>
      </w:r>
      <w:r w:rsidR="00C25450">
        <w:rPr>
          <w:rFonts w:cs="Times New Roman"/>
          <w:szCs w:val="24"/>
        </w:rPr>
        <w:t xml:space="preserve">codes </w:t>
      </w:r>
      <w:r w:rsidR="00674417">
        <w:rPr>
          <w:rFonts w:cs="Times New Roman"/>
          <w:szCs w:val="24"/>
        </w:rPr>
        <w:t>that are most relevant to sole proprietors</w:t>
      </w:r>
      <w:r w:rsidR="000D4486">
        <w:rPr>
          <w:rFonts w:cs="Times New Roman"/>
          <w:szCs w:val="24"/>
        </w:rPr>
        <w:t>hips</w:t>
      </w:r>
      <w:r w:rsidR="00674417">
        <w:rPr>
          <w:rFonts w:cs="Times New Roman"/>
          <w:szCs w:val="24"/>
        </w:rPr>
        <w:t xml:space="preserve"> and other micro businesses </w:t>
      </w:r>
      <w:r w:rsidR="000D4486">
        <w:rPr>
          <w:rFonts w:cs="Times New Roman"/>
          <w:szCs w:val="24"/>
        </w:rPr>
        <w:t>operated by WBC clients</w:t>
      </w:r>
      <w:r w:rsidR="000D4486" w:rsidRPr="007237F7">
        <w:rPr>
          <w:rStyle w:val="FootnoteReference"/>
          <w:rFonts w:cs="Times New Roman"/>
          <w:szCs w:val="24"/>
        </w:rPr>
        <w:footnoteReference w:id="2"/>
      </w:r>
      <w:r w:rsidRPr="007237F7">
        <w:rPr>
          <w:rFonts w:cs="Times New Roman"/>
          <w:szCs w:val="24"/>
        </w:rPr>
        <w:t xml:space="preserve"> (see question 16 in </w:t>
      </w:r>
      <w:r w:rsidR="00F962F0">
        <w:rPr>
          <w:rFonts w:cs="Times New Roman"/>
          <w:szCs w:val="24"/>
        </w:rPr>
        <w:t>a</w:t>
      </w:r>
      <w:r w:rsidRPr="007237F7">
        <w:rPr>
          <w:rFonts w:cs="Times New Roman"/>
          <w:szCs w:val="24"/>
        </w:rPr>
        <w:t xml:space="preserve">ppendix I. Survey Instrument). The standard </w:t>
      </w:r>
      <w:r w:rsidR="000D4486">
        <w:rPr>
          <w:rFonts w:cs="Times New Roman"/>
          <w:szCs w:val="24"/>
        </w:rPr>
        <w:t>20 categories</w:t>
      </w:r>
      <w:r w:rsidR="00F962F0">
        <w:rPr>
          <w:rFonts w:cs="Times New Roman"/>
          <w:szCs w:val="24"/>
        </w:rPr>
        <w:t xml:space="preserve"> </w:t>
      </w:r>
      <w:r w:rsidRPr="007237F7">
        <w:rPr>
          <w:rFonts w:cs="Times New Roman"/>
          <w:szCs w:val="24"/>
        </w:rPr>
        <w:t>do not provide an adequate description of the rel</w:t>
      </w:r>
      <w:r w:rsidR="00564883">
        <w:rPr>
          <w:rFonts w:cs="Times New Roman"/>
          <w:szCs w:val="24"/>
        </w:rPr>
        <w:t>evant industries contained in them</w:t>
      </w:r>
      <w:r w:rsidR="00F962F0">
        <w:rPr>
          <w:rFonts w:cs="Times New Roman"/>
          <w:szCs w:val="24"/>
        </w:rPr>
        <w:t>,</w:t>
      </w:r>
      <w:r w:rsidRPr="007237F7">
        <w:rPr>
          <w:rFonts w:cs="Times New Roman"/>
          <w:szCs w:val="24"/>
        </w:rPr>
        <w:t xml:space="preserve"> </w:t>
      </w:r>
      <w:r w:rsidR="000D4486">
        <w:rPr>
          <w:rFonts w:cs="Times New Roman"/>
          <w:szCs w:val="24"/>
        </w:rPr>
        <w:t>which makes it difficult for client</w:t>
      </w:r>
      <w:r w:rsidR="00564883">
        <w:rPr>
          <w:rFonts w:cs="Times New Roman"/>
          <w:szCs w:val="24"/>
        </w:rPr>
        <w:t>s</w:t>
      </w:r>
      <w:r w:rsidR="000D4486">
        <w:rPr>
          <w:rFonts w:cs="Times New Roman"/>
          <w:szCs w:val="24"/>
        </w:rPr>
        <w:t xml:space="preserve"> to correctly self-classify. </w:t>
      </w:r>
      <w:r w:rsidR="00564883">
        <w:rPr>
          <w:rFonts w:cs="Times New Roman"/>
          <w:szCs w:val="24"/>
        </w:rPr>
        <w:t>Having clients select from t</w:t>
      </w:r>
      <w:r w:rsidR="000D4486">
        <w:rPr>
          <w:rFonts w:cs="Times New Roman"/>
          <w:szCs w:val="24"/>
        </w:rPr>
        <w:t xml:space="preserve">he </w:t>
      </w:r>
      <w:r w:rsidRPr="007237F7">
        <w:rPr>
          <w:rFonts w:cs="Times New Roman"/>
          <w:szCs w:val="24"/>
        </w:rPr>
        <w:t xml:space="preserve">full list of </w:t>
      </w:r>
      <w:r w:rsidR="000D4486">
        <w:rPr>
          <w:rFonts w:cs="Times New Roman"/>
          <w:szCs w:val="24"/>
        </w:rPr>
        <w:t xml:space="preserve">hundreds of </w:t>
      </w:r>
      <w:r w:rsidR="00B97AB0">
        <w:rPr>
          <w:rFonts w:cs="Times New Roman"/>
          <w:szCs w:val="24"/>
        </w:rPr>
        <w:t>four</w:t>
      </w:r>
      <w:r w:rsidR="00F962F0">
        <w:rPr>
          <w:rFonts w:cs="Times New Roman"/>
          <w:szCs w:val="24"/>
        </w:rPr>
        <w:t>-</w:t>
      </w:r>
      <w:r w:rsidRPr="007237F7">
        <w:rPr>
          <w:rFonts w:cs="Times New Roman"/>
          <w:szCs w:val="24"/>
        </w:rPr>
        <w:t xml:space="preserve"> or </w:t>
      </w:r>
      <w:r w:rsidR="00B97AB0">
        <w:rPr>
          <w:rFonts w:cs="Times New Roman"/>
          <w:szCs w:val="24"/>
        </w:rPr>
        <w:t>six</w:t>
      </w:r>
      <w:r w:rsidR="00F962F0">
        <w:rPr>
          <w:rFonts w:cs="Times New Roman"/>
          <w:szCs w:val="24"/>
        </w:rPr>
        <w:t>-</w:t>
      </w:r>
      <w:r w:rsidRPr="007237F7">
        <w:rPr>
          <w:rFonts w:cs="Times New Roman"/>
          <w:szCs w:val="24"/>
        </w:rPr>
        <w:t xml:space="preserve">digit </w:t>
      </w:r>
      <w:r w:rsidR="000D4486">
        <w:rPr>
          <w:rFonts w:cs="Times New Roman"/>
          <w:szCs w:val="24"/>
        </w:rPr>
        <w:t>categories</w:t>
      </w:r>
      <w:r w:rsidR="00F962F0">
        <w:rPr>
          <w:rFonts w:cs="Times New Roman"/>
          <w:szCs w:val="24"/>
        </w:rPr>
        <w:t xml:space="preserve"> </w:t>
      </w:r>
      <w:r w:rsidRPr="007237F7">
        <w:rPr>
          <w:rFonts w:cs="Times New Roman"/>
          <w:szCs w:val="24"/>
        </w:rPr>
        <w:t>would increase the</w:t>
      </w:r>
      <w:r w:rsidR="000D4486">
        <w:rPr>
          <w:rFonts w:cs="Times New Roman"/>
          <w:szCs w:val="24"/>
        </w:rPr>
        <w:t xml:space="preserve"> respondent</w:t>
      </w:r>
      <w:r w:rsidRPr="007237F7">
        <w:rPr>
          <w:rFonts w:cs="Times New Roman"/>
          <w:szCs w:val="24"/>
        </w:rPr>
        <w:t xml:space="preserve"> burden. The </w:t>
      </w:r>
      <w:r w:rsidR="000D4486">
        <w:rPr>
          <w:rFonts w:cs="Times New Roman"/>
          <w:szCs w:val="24"/>
        </w:rPr>
        <w:t>8</w:t>
      </w:r>
      <w:r w:rsidR="00564883">
        <w:rPr>
          <w:rFonts w:cs="Times New Roman"/>
          <w:szCs w:val="24"/>
        </w:rPr>
        <w:t xml:space="preserve"> relevant categories, plus an “other” category </w:t>
      </w:r>
      <w:r w:rsidRPr="007237F7">
        <w:rPr>
          <w:rFonts w:cs="Times New Roman"/>
          <w:szCs w:val="24"/>
        </w:rPr>
        <w:t xml:space="preserve">are requested to minimize measurement error </w:t>
      </w:r>
      <w:r w:rsidR="00564883">
        <w:rPr>
          <w:rFonts w:cs="Times New Roman"/>
          <w:szCs w:val="24"/>
        </w:rPr>
        <w:t>and minimize burden</w:t>
      </w:r>
      <w:r w:rsidRPr="007237F7">
        <w:rPr>
          <w:rFonts w:cs="Times New Roman"/>
          <w:szCs w:val="24"/>
        </w:rPr>
        <w:t xml:space="preserve">. </w:t>
      </w:r>
    </w:p>
    <w:p w:rsidR="005C3EA9" w:rsidRDefault="005C3EA9" w:rsidP="00D97E89">
      <w:pPr>
        <w:spacing w:after="0" w:line="240" w:lineRule="auto"/>
        <w:jc w:val="both"/>
        <w:rPr>
          <w:rFonts w:cs="Times New Roman"/>
          <w:szCs w:val="24"/>
        </w:rPr>
      </w:pPr>
    </w:p>
    <w:p w:rsidR="007237F7" w:rsidRDefault="009A28F1" w:rsidP="00D97E89">
      <w:pPr>
        <w:spacing w:after="0" w:line="240" w:lineRule="auto"/>
        <w:jc w:val="both"/>
        <w:rPr>
          <w:rFonts w:cs="Times New Roman"/>
          <w:szCs w:val="24"/>
        </w:rPr>
      </w:pPr>
      <w:r>
        <w:rPr>
          <w:rFonts w:cs="Times New Roman"/>
          <w:szCs w:val="24"/>
        </w:rPr>
        <w:t>Second, t</w:t>
      </w:r>
      <w:r w:rsidR="007237F7" w:rsidRPr="007237F7">
        <w:rPr>
          <w:rFonts w:cs="Times New Roman"/>
          <w:szCs w:val="24"/>
        </w:rPr>
        <w:t>he race</w:t>
      </w:r>
      <w:r w:rsidR="009752FB">
        <w:rPr>
          <w:rFonts w:cs="Times New Roman"/>
          <w:szCs w:val="24"/>
        </w:rPr>
        <w:t xml:space="preserve"> and </w:t>
      </w:r>
      <w:r w:rsidR="007237F7" w:rsidRPr="007237F7">
        <w:rPr>
          <w:rFonts w:cs="Times New Roman"/>
          <w:szCs w:val="24"/>
        </w:rPr>
        <w:t xml:space="preserve">ethnicity categories used in the survey largely reflect the OMB Standards for the Classification of Federal Data on Race and Ethnicity. However, significant measurement error </w:t>
      </w:r>
      <w:r w:rsidR="002F498D">
        <w:rPr>
          <w:rFonts w:cs="Times New Roman"/>
          <w:szCs w:val="24"/>
        </w:rPr>
        <w:t xml:space="preserve">has been found </w:t>
      </w:r>
      <w:r w:rsidR="007237F7" w:rsidRPr="007237F7">
        <w:rPr>
          <w:rFonts w:cs="Times New Roman"/>
          <w:szCs w:val="24"/>
        </w:rPr>
        <w:t xml:space="preserve">in the standard, </w:t>
      </w:r>
      <w:r w:rsidR="003C6844">
        <w:rPr>
          <w:rFonts w:cs="Times New Roman"/>
          <w:szCs w:val="24"/>
        </w:rPr>
        <w:t>two</w:t>
      </w:r>
      <w:r w:rsidR="007237F7" w:rsidRPr="007237F7">
        <w:rPr>
          <w:rFonts w:cs="Times New Roman"/>
          <w:szCs w:val="24"/>
        </w:rPr>
        <w:t>-question format on race and ethnicity.</w:t>
      </w:r>
      <w:r w:rsidR="007237F7" w:rsidRPr="007237F7">
        <w:rPr>
          <w:rStyle w:val="FootnoteReference"/>
          <w:rFonts w:cs="Times New Roman"/>
          <w:szCs w:val="24"/>
        </w:rPr>
        <w:footnoteReference w:id="3"/>
      </w:r>
      <w:r w:rsidR="007237F7" w:rsidRPr="007237F7">
        <w:rPr>
          <w:rFonts w:cs="Times New Roman"/>
          <w:szCs w:val="24"/>
        </w:rPr>
        <w:t xml:space="preserve"> </w:t>
      </w:r>
      <w:r w:rsidR="003313A7">
        <w:rPr>
          <w:rFonts w:cs="Times New Roman"/>
          <w:szCs w:val="24"/>
        </w:rPr>
        <w:t xml:space="preserve">SBA hopes to improve self-categorization </w:t>
      </w:r>
      <w:r w:rsidR="00FC2E74">
        <w:rPr>
          <w:rFonts w:cs="Times New Roman"/>
          <w:szCs w:val="24"/>
        </w:rPr>
        <w:t>by</w:t>
      </w:r>
      <w:r w:rsidR="003313A7">
        <w:rPr>
          <w:rFonts w:cs="Times New Roman"/>
          <w:szCs w:val="24"/>
        </w:rPr>
        <w:t xml:space="preserve"> WBC clients by combining the question on Hispanic ethnicity and the question on race. </w:t>
      </w:r>
      <w:r w:rsidR="007237F7" w:rsidRPr="007237F7">
        <w:rPr>
          <w:rFonts w:cs="Times New Roman"/>
          <w:szCs w:val="24"/>
        </w:rPr>
        <w:t>SBA requests that the race categories allow respondents to select of one or more of the following options: American Indian or Alaskan Native, Asian, Black or African American, Hispanic or Latino, Native Hawaiian or Other Pacific Islander, White, Other race (see question 28)</w:t>
      </w:r>
      <w:r w:rsidR="00564883">
        <w:rPr>
          <w:rFonts w:cs="Times New Roman"/>
          <w:szCs w:val="24"/>
        </w:rPr>
        <w:t xml:space="preserve"> rather than use the two-question format</w:t>
      </w:r>
      <w:r w:rsidR="007237F7" w:rsidRPr="007237F7">
        <w:rPr>
          <w:rFonts w:cs="Times New Roman"/>
          <w:szCs w:val="24"/>
        </w:rPr>
        <w:t>.</w:t>
      </w:r>
      <w:r w:rsidR="003313A7">
        <w:rPr>
          <w:rFonts w:cs="Times New Roman"/>
          <w:szCs w:val="24"/>
        </w:rPr>
        <w:t xml:space="preserve"> </w:t>
      </w:r>
      <w:r w:rsidR="007237F7" w:rsidRPr="0004763D">
        <w:rPr>
          <w:rFonts w:cs="Times New Roman"/>
          <w:szCs w:val="24"/>
        </w:rPr>
        <w:t xml:space="preserve"> </w:t>
      </w:r>
    </w:p>
    <w:p w:rsidR="005C3EA9" w:rsidRDefault="005C3EA9" w:rsidP="00D97E89">
      <w:pPr>
        <w:spacing w:after="0" w:line="240" w:lineRule="auto"/>
        <w:jc w:val="both"/>
        <w:rPr>
          <w:rFonts w:cs="Times New Roman"/>
          <w:szCs w:val="24"/>
        </w:rPr>
      </w:pPr>
    </w:p>
    <w:p w:rsidR="00A1293A" w:rsidRDefault="009A28F1" w:rsidP="00A1293A">
      <w:pPr>
        <w:spacing w:after="240"/>
      </w:pPr>
      <w:r>
        <w:rPr>
          <w:rFonts w:cs="Times New Roman"/>
          <w:szCs w:val="24"/>
        </w:rPr>
        <w:t>Third</w:t>
      </w:r>
      <w:r w:rsidR="00185EB9">
        <w:rPr>
          <w:rFonts w:cs="Times New Roman"/>
          <w:szCs w:val="24"/>
        </w:rPr>
        <w:t>,</w:t>
      </w:r>
      <w:r w:rsidR="00722596">
        <w:rPr>
          <w:rFonts w:cs="Times New Roman"/>
          <w:szCs w:val="24"/>
        </w:rPr>
        <w:t xml:space="preserve"> SBA requests that the data </w:t>
      </w:r>
      <w:r w:rsidR="00185EB9">
        <w:rPr>
          <w:rFonts w:cs="Times New Roman"/>
          <w:szCs w:val="24"/>
        </w:rPr>
        <w:t xml:space="preserve">submission period be less than 30 days. </w:t>
      </w:r>
      <w:r w:rsidR="00CF5A30">
        <w:rPr>
          <w:rFonts w:cs="Times New Roman"/>
          <w:szCs w:val="24"/>
        </w:rPr>
        <w:t>The</w:t>
      </w:r>
      <w:r w:rsidR="00722596">
        <w:rPr>
          <w:rFonts w:cs="Times New Roman"/>
          <w:szCs w:val="24"/>
        </w:rPr>
        <w:t xml:space="preserve"> shorter time frame allows for the survey request to remain more prominent in clients’ minds through frequent noti</w:t>
      </w:r>
      <w:r w:rsidR="00A1293A">
        <w:rPr>
          <w:rFonts w:cs="Times New Roman"/>
          <w:szCs w:val="24"/>
        </w:rPr>
        <w:t xml:space="preserve">fication from multiple sources and </w:t>
      </w:r>
      <w:r w:rsidR="00A1293A">
        <w:t>increasing the immediacy of the survey can help increase the response rate by reducing the likelihood that a client will choose to procrastinate.</w:t>
      </w:r>
    </w:p>
    <w:p w:rsidR="006D7EF4" w:rsidRPr="0004763D" w:rsidRDefault="006D7EF4" w:rsidP="00D97E89">
      <w:pPr>
        <w:spacing w:after="0" w:line="240" w:lineRule="auto"/>
        <w:jc w:val="both"/>
        <w:rPr>
          <w:rFonts w:cs="Times New Roman"/>
          <w:szCs w:val="24"/>
        </w:rPr>
      </w:pPr>
    </w:p>
    <w:p w:rsidR="007237F7" w:rsidRPr="00E66BA3" w:rsidRDefault="007237F7" w:rsidP="00E66BA3">
      <w:pPr>
        <w:pStyle w:val="Heading2"/>
        <w:spacing w:after="0" w:line="240" w:lineRule="auto"/>
        <w:rPr>
          <w:rFonts w:eastAsiaTheme="majorBidi" w:cs="Times New Roman"/>
          <w:szCs w:val="24"/>
          <w:u w:val="single"/>
        </w:rPr>
      </w:pPr>
      <w:bookmarkStart w:id="27" w:name="_Toc411410182"/>
      <w:bookmarkStart w:id="28" w:name="_Toc411430387"/>
      <w:bookmarkStart w:id="29" w:name="_Toc413831962"/>
      <w:r w:rsidRPr="00E66BA3">
        <w:rPr>
          <w:rFonts w:eastAsiaTheme="majorBidi" w:cs="Times New Roman"/>
          <w:szCs w:val="24"/>
          <w:u w:val="single"/>
        </w:rPr>
        <w:t>Comments in Response to the Federal Register Notice and Efforts to Consult Outside Agency</w:t>
      </w:r>
      <w:bookmarkEnd w:id="27"/>
      <w:bookmarkEnd w:id="28"/>
      <w:bookmarkEnd w:id="29"/>
      <w:r w:rsidRPr="00E66BA3">
        <w:rPr>
          <w:rFonts w:eastAsiaTheme="majorBidi" w:cs="Times New Roman"/>
          <w:szCs w:val="24"/>
          <w:u w:val="single"/>
        </w:rPr>
        <w:t xml:space="preserve"> </w:t>
      </w:r>
    </w:p>
    <w:p w:rsidR="007237F7" w:rsidRPr="00E66BA3" w:rsidRDefault="007237F7" w:rsidP="00E66BA3">
      <w:pPr>
        <w:tabs>
          <w:tab w:val="left" w:pos="-720"/>
          <w:tab w:val="left" w:pos="9630"/>
          <w:tab w:val="left" w:pos="9810"/>
        </w:tabs>
        <w:suppressAutoHyphens/>
        <w:overflowPunct w:val="0"/>
        <w:autoSpaceDE w:val="0"/>
        <w:autoSpaceDN w:val="0"/>
        <w:adjustRightInd w:val="0"/>
        <w:spacing w:after="0" w:line="240" w:lineRule="auto"/>
        <w:ind w:right="792"/>
        <w:jc w:val="both"/>
        <w:textAlignment w:val="baseline"/>
        <w:rPr>
          <w:rFonts w:cs="Times New Roman"/>
          <w:b/>
          <w:i/>
          <w:szCs w:val="24"/>
        </w:rPr>
      </w:pPr>
      <w:r w:rsidRPr="00E66BA3">
        <w:rPr>
          <w:rFonts w:eastAsiaTheme="majorBidi" w:cs="Times New Roman"/>
          <w:b/>
          <w:bCs/>
          <w:i/>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Pr="00E66BA3">
        <w:rPr>
          <w:rFonts w:eastAsiaTheme="majorBidi" w:cs="Times New Roman"/>
          <w:i/>
          <w:szCs w:val="24"/>
        </w:rPr>
        <w:t xml:space="preserve"> </w:t>
      </w:r>
      <w:r w:rsidRPr="00E66BA3">
        <w:rPr>
          <w:rFonts w:eastAsiaTheme="majorBidi" w:cs="Times New Roman"/>
          <w:b/>
          <w:bCs/>
          <w:i/>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rsidR="00141C43" w:rsidRDefault="007237F7" w:rsidP="00E66BA3">
      <w:pPr>
        <w:spacing w:after="0" w:line="240" w:lineRule="auto"/>
        <w:jc w:val="both"/>
        <w:rPr>
          <w:rFonts w:eastAsiaTheme="majorBidi" w:cs="Times New Roman"/>
          <w:szCs w:val="24"/>
        </w:rPr>
      </w:pPr>
      <w:r w:rsidRPr="007237F7">
        <w:rPr>
          <w:rFonts w:cs="Times New Roman"/>
          <w:szCs w:val="24"/>
        </w:rPr>
        <w:lastRenderedPageBreak/>
        <w:t>A notice of this data collection was p</w:t>
      </w:r>
      <w:r w:rsidR="00141C43">
        <w:rPr>
          <w:rFonts w:cs="Times New Roman"/>
          <w:szCs w:val="24"/>
        </w:rPr>
        <w:t xml:space="preserve">ublished </w:t>
      </w:r>
      <w:r w:rsidRPr="007237F7">
        <w:rPr>
          <w:rFonts w:cs="Times New Roman"/>
          <w:szCs w:val="24"/>
        </w:rPr>
        <w:t>in the Federal Register on June 4, 2014</w:t>
      </w:r>
      <w:r w:rsidR="00141C43">
        <w:rPr>
          <w:rFonts w:cs="Times New Roman"/>
          <w:szCs w:val="24"/>
        </w:rPr>
        <w:t>,</w:t>
      </w:r>
      <w:r w:rsidRPr="007237F7">
        <w:rPr>
          <w:rFonts w:cs="Times New Roman"/>
          <w:szCs w:val="24"/>
        </w:rPr>
        <w:t xml:space="preserve"> </w:t>
      </w:r>
      <w:r w:rsidR="00141C43">
        <w:rPr>
          <w:rFonts w:cs="Times New Roman"/>
          <w:szCs w:val="24"/>
        </w:rPr>
        <w:t xml:space="preserve">at 79 FR 32356 </w:t>
      </w:r>
      <w:r w:rsidRPr="007237F7">
        <w:rPr>
          <w:rFonts w:cs="Times New Roman"/>
          <w:szCs w:val="24"/>
        </w:rPr>
        <w:t xml:space="preserve">to solicit comments on the survey and burden as required by </w:t>
      </w:r>
      <w:r w:rsidRPr="007237F7">
        <w:rPr>
          <w:rFonts w:eastAsiaTheme="majorBidi" w:cs="Times New Roman"/>
          <w:szCs w:val="24"/>
        </w:rPr>
        <w:t xml:space="preserve">the </w:t>
      </w:r>
      <w:r w:rsidR="00141C43">
        <w:rPr>
          <w:rFonts w:eastAsiaTheme="majorBidi" w:cs="Times New Roman"/>
          <w:szCs w:val="24"/>
        </w:rPr>
        <w:t xml:space="preserve">regulations </w:t>
      </w:r>
      <w:r w:rsidRPr="007237F7">
        <w:rPr>
          <w:rFonts w:eastAsiaTheme="majorBidi" w:cs="Times New Roman"/>
          <w:szCs w:val="24"/>
        </w:rPr>
        <w:t xml:space="preserve"> in 5 CFR 1320.5 (see </w:t>
      </w:r>
      <w:r w:rsidR="00AB2FDB">
        <w:rPr>
          <w:rFonts w:eastAsiaTheme="majorBidi" w:cs="Times New Roman"/>
          <w:szCs w:val="24"/>
        </w:rPr>
        <w:t>a</w:t>
      </w:r>
      <w:r w:rsidRPr="007237F7">
        <w:rPr>
          <w:rFonts w:eastAsiaTheme="majorBidi" w:cs="Times New Roman"/>
          <w:szCs w:val="24"/>
        </w:rPr>
        <w:t xml:space="preserve">ppendix II. Notice </w:t>
      </w:r>
      <w:r w:rsidR="004B52C4">
        <w:rPr>
          <w:rFonts w:cs="Times New Roman"/>
          <w:szCs w:val="24"/>
        </w:rPr>
        <w:t>79 FR 32356</w:t>
      </w:r>
      <w:r w:rsidRPr="007237F7">
        <w:rPr>
          <w:rFonts w:eastAsiaTheme="majorBidi" w:cs="Times New Roman"/>
          <w:szCs w:val="24"/>
        </w:rPr>
        <w:t xml:space="preserve">). SBA received no comments from its solicitation. </w:t>
      </w:r>
    </w:p>
    <w:p w:rsidR="007237F7" w:rsidRDefault="007237F7" w:rsidP="00E66BA3">
      <w:pPr>
        <w:spacing w:after="0" w:line="240" w:lineRule="auto"/>
        <w:jc w:val="both"/>
        <w:rPr>
          <w:rFonts w:eastAsiaTheme="majorBidi" w:cs="Times New Roman"/>
          <w:szCs w:val="24"/>
        </w:rPr>
      </w:pPr>
      <w:r w:rsidRPr="007237F7">
        <w:rPr>
          <w:rFonts w:eastAsiaTheme="majorBidi" w:cs="Times New Roman"/>
          <w:szCs w:val="24"/>
        </w:rPr>
        <w:t xml:space="preserve">SBA consulted with Optimal Solutions Group, LLC (Optimal) to design the methodological approach for data collection and the survey instrument. </w:t>
      </w:r>
      <w:proofErr w:type="spellStart"/>
      <w:r w:rsidRPr="007237F7">
        <w:rPr>
          <w:rFonts w:eastAsiaTheme="majorBidi" w:cs="Times New Roman"/>
          <w:szCs w:val="24"/>
        </w:rPr>
        <w:t>Optimal’s</w:t>
      </w:r>
      <w:proofErr w:type="spellEnd"/>
      <w:r w:rsidRPr="007237F7">
        <w:rPr>
          <w:rFonts w:eastAsiaTheme="majorBidi" w:cs="Times New Roman"/>
          <w:szCs w:val="24"/>
        </w:rPr>
        <w:t xml:space="preserve"> team is composed of researchers with experience in diverse disciplines from labor economics to entrepren</w:t>
      </w:r>
      <w:r w:rsidR="00A1293A">
        <w:rPr>
          <w:rFonts w:eastAsiaTheme="majorBidi" w:cs="Times New Roman"/>
          <w:szCs w:val="24"/>
        </w:rPr>
        <w:t>eurship and program evaluation</w:t>
      </w:r>
      <w:r w:rsidRPr="007237F7">
        <w:rPr>
          <w:rFonts w:eastAsiaTheme="majorBidi" w:cs="Times New Roman"/>
          <w:szCs w:val="24"/>
        </w:rPr>
        <w:t xml:space="preserve">. </w:t>
      </w:r>
      <w:r w:rsidR="00DB0268">
        <w:rPr>
          <w:rFonts w:eastAsiaTheme="majorBidi" w:cs="Times New Roman"/>
          <w:szCs w:val="24"/>
        </w:rPr>
        <w:t>SBA</w:t>
      </w:r>
      <w:r w:rsidRPr="007237F7">
        <w:rPr>
          <w:rFonts w:eastAsiaTheme="majorBidi" w:cs="Times New Roman"/>
          <w:szCs w:val="24"/>
        </w:rPr>
        <w:t xml:space="preserve"> also consulted with program administrators at three WBCs to provide additional information on aspects of the collection such as its frequency, the clarity of instructions</w:t>
      </w:r>
      <w:r w:rsidR="00AB2FDB">
        <w:rPr>
          <w:rFonts w:eastAsiaTheme="majorBidi" w:cs="Times New Roman"/>
          <w:szCs w:val="24"/>
        </w:rPr>
        <w:t>,</w:t>
      </w:r>
      <w:r w:rsidRPr="007237F7">
        <w:rPr>
          <w:rFonts w:eastAsiaTheme="majorBidi" w:cs="Times New Roman"/>
          <w:szCs w:val="24"/>
        </w:rPr>
        <w:t xml:space="preserve"> and which data elements to record.</w:t>
      </w:r>
    </w:p>
    <w:p w:rsidR="006D7EF4" w:rsidRPr="0004763D" w:rsidRDefault="006D7EF4" w:rsidP="00E66BA3">
      <w:pPr>
        <w:spacing w:after="0" w:line="240" w:lineRule="auto"/>
        <w:jc w:val="both"/>
        <w:rPr>
          <w:rFonts w:eastAsiaTheme="majorBidi" w:cs="Times New Roman"/>
          <w:b/>
          <w:bCs/>
          <w:szCs w:val="24"/>
        </w:rPr>
      </w:pPr>
    </w:p>
    <w:p w:rsidR="007237F7" w:rsidRPr="00D97E89" w:rsidRDefault="007237F7" w:rsidP="00E66BA3">
      <w:pPr>
        <w:pStyle w:val="Heading2"/>
        <w:spacing w:after="0" w:line="240" w:lineRule="auto"/>
        <w:jc w:val="both"/>
        <w:rPr>
          <w:rFonts w:cs="Times New Roman"/>
          <w:szCs w:val="24"/>
          <w:u w:val="single"/>
        </w:rPr>
      </w:pPr>
      <w:bookmarkStart w:id="30" w:name="_Toc381944834"/>
      <w:bookmarkStart w:id="31" w:name="_Toc411410183"/>
      <w:bookmarkStart w:id="32" w:name="_Toc411430388"/>
      <w:bookmarkStart w:id="33" w:name="_Toc413831963"/>
      <w:r w:rsidRPr="00D97E89">
        <w:rPr>
          <w:rFonts w:eastAsiaTheme="majorBidi" w:cs="Times New Roman"/>
          <w:szCs w:val="24"/>
          <w:u w:val="single"/>
        </w:rPr>
        <w:t>Explanation of Any Payment or Gift to the Respondents</w:t>
      </w:r>
      <w:bookmarkEnd w:id="30"/>
      <w:bookmarkEnd w:id="31"/>
      <w:bookmarkEnd w:id="32"/>
      <w:bookmarkEnd w:id="33"/>
    </w:p>
    <w:p w:rsidR="007237F7" w:rsidRDefault="007237F7" w:rsidP="00E66BA3">
      <w:pPr>
        <w:spacing w:after="0" w:line="240" w:lineRule="auto"/>
        <w:jc w:val="both"/>
        <w:rPr>
          <w:rFonts w:eastAsiaTheme="majorBidi" w:cs="Times New Roman"/>
          <w:b/>
          <w:bCs/>
          <w:i/>
          <w:szCs w:val="24"/>
        </w:rPr>
      </w:pPr>
      <w:r w:rsidRPr="00D97E89">
        <w:rPr>
          <w:rFonts w:eastAsiaTheme="majorBidi" w:cs="Times New Roman"/>
          <w:b/>
          <w:bCs/>
          <w:i/>
          <w:szCs w:val="24"/>
        </w:rPr>
        <w:t>Explain any decision to provide any payment or gift to respondents, other than re-enumeration of contractors or grantees.</w:t>
      </w:r>
    </w:p>
    <w:p w:rsidR="006D7EF4" w:rsidRPr="00D97E89" w:rsidRDefault="006D7EF4" w:rsidP="00E66BA3">
      <w:pPr>
        <w:spacing w:after="0" w:line="240" w:lineRule="auto"/>
        <w:jc w:val="both"/>
        <w:rPr>
          <w:rFonts w:eastAsiaTheme="majorBidi" w:cs="Times New Roman"/>
          <w:b/>
          <w:bCs/>
          <w:i/>
          <w:szCs w:val="24"/>
        </w:rPr>
      </w:pPr>
    </w:p>
    <w:p w:rsidR="006D7EF4" w:rsidRPr="00A1293A" w:rsidRDefault="00A1293A" w:rsidP="00E66BA3">
      <w:pPr>
        <w:spacing w:after="0" w:line="240" w:lineRule="auto"/>
        <w:jc w:val="both"/>
        <w:rPr>
          <w:rFonts w:eastAsiaTheme="majorBidi" w:cs="Times New Roman"/>
          <w:szCs w:val="24"/>
        </w:rPr>
      </w:pPr>
      <w:r w:rsidRPr="00A1293A">
        <w:rPr>
          <w:rFonts w:eastAsiaTheme="majorBidi" w:cs="Times New Roman"/>
          <w:szCs w:val="24"/>
        </w:rPr>
        <w:t>No payment will be made to the respondents.</w:t>
      </w:r>
    </w:p>
    <w:p w:rsidR="00A1293A" w:rsidRPr="0004763D" w:rsidRDefault="00A1293A" w:rsidP="00E66BA3">
      <w:pPr>
        <w:spacing w:after="0" w:line="240" w:lineRule="auto"/>
        <w:jc w:val="both"/>
        <w:rPr>
          <w:rFonts w:cs="Times New Roman"/>
          <w:b/>
          <w:szCs w:val="24"/>
        </w:rPr>
      </w:pPr>
    </w:p>
    <w:p w:rsidR="007237F7" w:rsidRPr="00D97E89" w:rsidRDefault="007237F7" w:rsidP="00E66BA3">
      <w:pPr>
        <w:pStyle w:val="Heading2"/>
        <w:spacing w:after="0" w:line="240" w:lineRule="auto"/>
        <w:jc w:val="both"/>
        <w:rPr>
          <w:rFonts w:eastAsiaTheme="majorBidi" w:cs="Times New Roman"/>
          <w:szCs w:val="24"/>
          <w:u w:val="single"/>
        </w:rPr>
      </w:pPr>
      <w:bookmarkStart w:id="34" w:name="_Toc381944835"/>
      <w:bookmarkStart w:id="35" w:name="_Toc411410184"/>
      <w:bookmarkStart w:id="36" w:name="_Toc411430389"/>
      <w:bookmarkStart w:id="37" w:name="_Toc413831964"/>
      <w:r w:rsidRPr="00D97E89">
        <w:rPr>
          <w:rFonts w:eastAsiaTheme="majorBidi" w:cs="Times New Roman"/>
          <w:szCs w:val="24"/>
          <w:u w:val="single"/>
        </w:rPr>
        <w:t>Assurance of Confidentiality Provided to Respondents</w:t>
      </w:r>
      <w:bookmarkEnd w:id="34"/>
      <w:bookmarkEnd w:id="35"/>
      <w:bookmarkEnd w:id="36"/>
      <w:bookmarkEnd w:id="37"/>
    </w:p>
    <w:p w:rsidR="007237F7" w:rsidRPr="00D97E89" w:rsidRDefault="007237F7" w:rsidP="00E66BA3">
      <w:pPr>
        <w:spacing w:after="0" w:line="240" w:lineRule="auto"/>
        <w:jc w:val="both"/>
        <w:rPr>
          <w:rFonts w:cs="Times New Roman"/>
          <w:b/>
          <w:bCs/>
          <w:i/>
          <w:szCs w:val="24"/>
        </w:rPr>
      </w:pPr>
      <w:r w:rsidRPr="00D97E89">
        <w:rPr>
          <w:rFonts w:cs="Times New Roman"/>
          <w:b/>
          <w:bCs/>
          <w:i/>
          <w:szCs w:val="24"/>
        </w:rPr>
        <w:t xml:space="preserve">Describe any assurance of confidentiality provided to respondents and the basis for the assurance in statute, regulation, or agency policy. </w:t>
      </w:r>
    </w:p>
    <w:p w:rsidR="006D7EF4" w:rsidRPr="0004763D" w:rsidRDefault="006D7EF4" w:rsidP="00E66BA3">
      <w:pPr>
        <w:spacing w:after="0" w:line="240" w:lineRule="auto"/>
        <w:jc w:val="both"/>
        <w:rPr>
          <w:rFonts w:cs="Times New Roman"/>
          <w:b/>
          <w:bCs/>
          <w:szCs w:val="24"/>
        </w:rPr>
      </w:pPr>
    </w:p>
    <w:p w:rsidR="00DB0268" w:rsidRDefault="007237F7" w:rsidP="00E66BA3">
      <w:pPr>
        <w:spacing w:after="0" w:line="240" w:lineRule="auto"/>
        <w:jc w:val="both"/>
        <w:rPr>
          <w:rFonts w:cs="Times New Roman"/>
          <w:szCs w:val="24"/>
        </w:rPr>
      </w:pPr>
      <w:r w:rsidRPr="007237F7">
        <w:rPr>
          <w:rFonts w:cs="Times New Roman"/>
          <w:szCs w:val="24"/>
        </w:rPr>
        <w:t>A</w:t>
      </w:r>
      <w:r w:rsidR="007D21A5">
        <w:rPr>
          <w:rFonts w:cs="Times New Roman"/>
          <w:szCs w:val="24"/>
        </w:rPr>
        <w:t>n independent</w:t>
      </w:r>
      <w:r w:rsidRPr="007237F7">
        <w:rPr>
          <w:rFonts w:cs="Times New Roman"/>
          <w:szCs w:val="24"/>
        </w:rPr>
        <w:t xml:space="preserve"> third-party contractor, Optimal, will be collecting, compiling, and analyzing all data collected on WBC clients. The survey invitation letter informs the respondent that the survey data will be held in confidence by SBA </w:t>
      </w:r>
      <w:r w:rsidRPr="00024898">
        <w:rPr>
          <w:rFonts w:cs="Times New Roman"/>
          <w:szCs w:val="24"/>
        </w:rPr>
        <w:t xml:space="preserve">and </w:t>
      </w:r>
      <w:r w:rsidR="00BD7DFD" w:rsidRPr="00024898">
        <w:rPr>
          <w:rFonts w:cs="Times New Roman"/>
          <w:szCs w:val="24"/>
        </w:rPr>
        <w:t xml:space="preserve">Optimal (see </w:t>
      </w:r>
      <w:r w:rsidR="004D15A6">
        <w:rPr>
          <w:rFonts w:cs="Times New Roman"/>
          <w:szCs w:val="24"/>
        </w:rPr>
        <w:t>a</w:t>
      </w:r>
      <w:r w:rsidR="00BD7DFD" w:rsidRPr="00024898">
        <w:rPr>
          <w:rFonts w:cs="Times New Roman"/>
          <w:szCs w:val="24"/>
        </w:rPr>
        <w:t>ppendix I</w:t>
      </w:r>
      <w:r w:rsidR="00294994">
        <w:rPr>
          <w:rFonts w:cs="Times New Roman"/>
          <w:szCs w:val="24"/>
        </w:rPr>
        <w:t>II</w:t>
      </w:r>
      <w:r w:rsidRPr="00024898">
        <w:rPr>
          <w:rFonts w:cs="Times New Roman"/>
          <w:szCs w:val="24"/>
        </w:rPr>
        <w:t xml:space="preserve">. </w:t>
      </w:r>
      <w:proofErr w:type="gramStart"/>
      <w:r w:rsidRPr="00177325">
        <w:rPr>
          <w:rFonts w:cs="Times New Roman"/>
          <w:szCs w:val="24"/>
        </w:rPr>
        <w:t>Introduction Letter).</w:t>
      </w:r>
      <w:proofErr w:type="gramEnd"/>
      <w:r w:rsidRPr="00177325">
        <w:rPr>
          <w:rFonts w:cs="Times New Roman"/>
          <w:szCs w:val="24"/>
        </w:rPr>
        <w:t xml:space="preserve"> It states that no survey participants will be identified in any public re</w:t>
      </w:r>
      <w:r w:rsidRPr="007237F7">
        <w:rPr>
          <w:rFonts w:cs="Times New Roman"/>
          <w:szCs w:val="24"/>
        </w:rPr>
        <w:t>ports, as the collection is purely for statistical reporting purposes. Assurance of confidentiality</w:t>
      </w:r>
      <w:r w:rsidR="00101854">
        <w:rPr>
          <w:rFonts w:cs="Times New Roman"/>
          <w:szCs w:val="24"/>
        </w:rPr>
        <w:t>, to the extent permitted,</w:t>
      </w:r>
      <w:r w:rsidRPr="007237F7">
        <w:rPr>
          <w:rFonts w:cs="Times New Roman"/>
          <w:szCs w:val="24"/>
        </w:rPr>
        <w:t xml:space="preserve"> is provided by the Privacy Act of 1974</w:t>
      </w:r>
      <w:r w:rsidR="00101854">
        <w:rPr>
          <w:rFonts w:cs="Times New Roman"/>
          <w:szCs w:val="24"/>
        </w:rPr>
        <w:t xml:space="preserve">, 5 U.S.C. 552a </w:t>
      </w:r>
      <w:r w:rsidRPr="007237F7">
        <w:rPr>
          <w:rFonts w:cs="Times New Roman"/>
          <w:szCs w:val="24"/>
        </w:rPr>
        <w:t>and the Freedom of Information Act</w:t>
      </w:r>
      <w:r w:rsidR="00101854">
        <w:rPr>
          <w:rFonts w:cs="Times New Roman"/>
          <w:szCs w:val="24"/>
        </w:rPr>
        <w:t>, 5 US.C. 552,</w:t>
      </w:r>
      <w:r w:rsidRPr="007237F7">
        <w:rPr>
          <w:rFonts w:cs="Times New Roman"/>
          <w:szCs w:val="24"/>
        </w:rPr>
        <w:t xml:space="preserve"> exception (b</w:t>
      </w:r>
      <w:proofErr w:type="gramStart"/>
      <w:r w:rsidRPr="007237F7">
        <w:rPr>
          <w:rFonts w:cs="Times New Roman"/>
          <w:szCs w:val="24"/>
        </w:rPr>
        <w:t>)(</w:t>
      </w:r>
      <w:proofErr w:type="gramEnd"/>
      <w:r w:rsidRPr="007237F7">
        <w:rPr>
          <w:rFonts w:cs="Times New Roman"/>
          <w:szCs w:val="24"/>
        </w:rPr>
        <w:t xml:space="preserve">4), which allows SBA to deny FOIA requests for information disclosures that could cause substantial competitive harm. Contractors are required to adhere to the Privacy Act, which is stated in the contract with Optimal. </w:t>
      </w:r>
    </w:p>
    <w:p w:rsidR="00101854" w:rsidRDefault="00101854" w:rsidP="00E66BA3">
      <w:pPr>
        <w:spacing w:after="0" w:line="240" w:lineRule="auto"/>
        <w:jc w:val="both"/>
        <w:rPr>
          <w:rFonts w:cs="Times New Roman"/>
          <w:szCs w:val="24"/>
        </w:rPr>
      </w:pPr>
    </w:p>
    <w:p w:rsidR="007237F7" w:rsidRDefault="007237F7" w:rsidP="00E66BA3">
      <w:pPr>
        <w:spacing w:after="0" w:line="240" w:lineRule="auto"/>
        <w:jc w:val="both"/>
        <w:rPr>
          <w:rFonts w:cs="Times New Roman"/>
          <w:szCs w:val="24"/>
        </w:rPr>
      </w:pPr>
      <w:r w:rsidRPr="007237F7">
        <w:rPr>
          <w:rFonts w:cs="Times New Roman"/>
          <w:szCs w:val="24"/>
        </w:rPr>
        <w:t xml:space="preserve">Optimal implements data management security protocols to protect personal and sensitive information. Secure intranets are used to maintain project-related files, and secure servers use industry-standard methods such as firewalls, monitored access logs, virus protection, encrypted connections, password-protected accounts, and user authentication mechanisms to ensure the privacy of personal data. Optimal maintains a biometrically (physically) secure environment and employs a data security officer who oversees </w:t>
      </w:r>
      <w:proofErr w:type="spellStart"/>
      <w:r w:rsidRPr="007237F7">
        <w:rPr>
          <w:rFonts w:cs="Times New Roman"/>
          <w:szCs w:val="24"/>
        </w:rPr>
        <w:t>Optimal’s</w:t>
      </w:r>
      <w:proofErr w:type="spellEnd"/>
      <w:r w:rsidRPr="007237F7">
        <w:rPr>
          <w:rFonts w:cs="Times New Roman"/>
          <w:szCs w:val="24"/>
        </w:rPr>
        <w:t xml:space="preserve"> data. The security approach used to protect the restricted-use data (RUD) is based upon Defense in Depth principles. In general, the RUD enclave consists of a single web portal accessible only via a virtual private network (VPN) and remote desktop software. The server does not have access to the Internet, nor does it have public IP addresses open. Access is only granted via the secure VPN connection. The detailed description of data handling, storage and disposition, and the procedures for privacy safeguards and protec</w:t>
      </w:r>
      <w:r w:rsidR="00BD7DFD">
        <w:rPr>
          <w:rFonts w:cs="Times New Roman"/>
          <w:szCs w:val="24"/>
        </w:rPr>
        <w:t xml:space="preserve">tion are presented in </w:t>
      </w:r>
      <w:r w:rsidR="00FF6379">
        <w:rPr>
          <w:rFonts w:cs="Times New Roman"/>
          <w:szCs w:val="24"/>
        </w:rPr>
        <w:t>a</w:t>
      </w:r>
      <w:r w:rsidR="00BD7DFD">
        <w:rPr>
          <w:rFonts w:cs="Times New Roman"/>
          <w:szCs w:val="24"/>
        </w:rPr>
        <w:t xml:space="preserve">ppendix </w:t>
      </w:r>
      <w:r w:rsidR="00294994">
        <w:rPr>
          <w:rFonts w:cs="Times New Roman"/>
          <w:szCs w:val="24"/>
        </w:rPr>
        <w:t>I</w:t>
      </w:r>
      <w:r w:rsidRPr="007237F7">
        <w:rPr>
          <w:rFonts w:cs="Times New Roman"/>
          <w:szCs w:val="24"/>
        </w:rPr>
        <w:t xml:space="preserve">V. </w:t>
      </w:r>
      <w:proofErr w:type="gramStart"/>
      <w:r w:rsidRPr="007237F7">
        <w:rPr>
          <w:rFonts w:cs="Times New Roman"/>
          <w:szCs w:val="24"/>
        </w:rPr>
        <w:t>Data Security Protocols.</w:t>
      </w:r>
      <w:proofErr w:type="gramEnd"/>
      <w:r w:rsidRPr="0004763D">
        <w:rPr>
          <w:rFonts w:cs="Times New Roman"/>
          <w:szCs w:val="24"/>
        </w:rPr>
        <w:t xml:space="preserve"> </w:t>
      </w:r>
    </w:p>
    <w:p w:rsidR="00C93CA8" w:rsidRPr="0004763D" w:rsidRDefault="00C93CA8" w:rsidP="00E66BA3">
      <w:pPr>
        <w:spacing w:after="0" w:line="240" w:lineRule="auto"/>
        <w:jc w:val="both"/>
        <w:rPr>
          <w:rFonts w:cs="Times New Roman"/>
          <w:szCs w:val="24"/>
        </w:rPr>
      </w:pPr>
    </w:p>
    <w:p w:rsidR="007237F7" w:rsidRPr="00D97E89" w:rsidRDefault="007237F7" w:rsidP="00E66BA3">
      <w:pPr>
        <w:pStyle w:val="Heading2"/>
        <w:spacing w:after="0" w:line="240" w:lineRule="auto"/>
        <w:jc w:val="both"/>
        <w:rPr>
          <w:rFonts w:eastAsiaTheme="majorBidi" w:cs="Times New Roman"/>
          <w:szCs w:val="24"/>
          <w:u w:val="single"/>
        </w:rPr>
      </w:pPr>
      <w:bookmarkStart w:id="38" w:name="_Toc381944836"/>
      <w:bookmarkStart w:id="39" w:name="_Toc411410185"/>
      <w:bookmarkStart w:id="40" w:name="_Toc411430390"/>
      <w:bookmarkStart w:id="41" w:name="_Toc413831965"/>
      <w:r w:rsidRPr="00D97E89">
        <w:rPr>
          <w:rFonts w:eastAsiaTheme="majorBidi" w:cs="Times New Roman"/>
          <w:szCs w:val="24"/>
          <w:u w:val="single"/>
        </w:rPr>
        <w:lastRenderedPageBreak/>
        <w:t>Justification for Sensitive</w:t>
      </w:r>
      <w:bookmarkEnd w:id="38"/>
      <w:r w:rsidRPr="00D97E89">
        <w:rPr>
          <w:rFonts w:eastAsiaTheme="majorBidi" w:cs="Times New Roman"/>
          <w:szCs w:val="24"/>
          <w:u w:val="single"/>
        </w:rPr>
        <w:t xml:space="preserve"> Questions</w:t>
      </w:r>
      <w:bookmarkEnd w:id="39"/>
      <w:bookmarkEnd w:id="40"/>
      <w:bookmarkEnd w:id="41"/>
      <w:r w:rsidRPr="00D97E89">
        <w:rPr>
          <w:rFonts w:eastAsiaTheme="majorBidi" w:cs="Times New Roman"/>
          <w:szCs w:val="24"/>
          <w:u w:val="single"/>
        </w:rPr>
        <w:t xml:space="preserve"> </w:t>
      </w:r>
    </w:p>
    <w:p w:rsidR="007237F7" w:rsidRPr="00D97E89" w:rsidRDefault="007237F7" w:rsidP="00E66BA3">
      <w:pPr>
        <w:spacing w:after="0" w:line="240" w:lineRule="auto"/>
        <w:jc w:val="both"/>
        <w:rPr>
          <w:rFonts w:cs="Times New Roman"/>
          <w:b/>
          <w:bCs/>
          <w:i/>
          <w:szCs w:val="24"/>
        </w:rPr>
      </w:pPr>
      <w:r w:rsidRPr="00D97E89">
        <w:rPr>
          <w:rFonts w:cs="Times New Roman"/>
          <w:b/>
          <w:bCs/>
          <w:i/>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101854" w:rsidRDefault="00101854" w:rsidP="00E66BA3">
      <w:pPr>
        <w:spacing w:after="0" w:line="240" w:lineRule="auto"/>
        <w:jc w:val="both"/>
        <w:rPr>
          <w:rFonts w:cs="Times New Roman"/>
          <w:szCs w:val="24"/>
        </w:rPr>
      </w:pPr>
    </w:p>
    <w:p w:rsidR="00C93CA8" w:rsidRDefault="007237F7" w:rsidP="00E66BA3">
      <w:pPr>
        <w:spacing w:after="0" w:line="240" w:lineRule="auto"/>
        <w:jc w:val="both"/>
        <w:rPr>
          <w:rFonts w:cs="Times New Roman"/>
          <w:szCs w:val="24"/>
        </w:rPr>
      </w:pPr>
      <w:r w:rsidRPr="0004763D">
        <w:rPr>
          <w:rFonts w:cs="Times New Roman"/>
          <w:szCs w:val="24"/>
        </w:rPr>
        <w:t xml:space="preserve">The data collection does not request information typically considered private and sensitive in nature. However, WBC clients will be asked about their businesses’ financial situation, such as total revenue and the value of loans obtained. Although potentially sensitive, </w:t>
      </w:r>
      <w:r w:rsidR="00DB0268">
        <w:rPr>
          <w:rFonts w:cs="Times New Roman"/>
          <w:szCs w:val="24"/>
        </w:rPr>
        <w:t>these measures are</w:t>
      </w:r>
      <w:r w:rsidRPr="0004763D">
        <w:rPr>
          <w:rFonts w:cs="Times New Roman"/>
          <w:szCs w:val="24"/>
        </w:rPr>
        <w:t xml:space="preserve"> essential to the mission of the WBC program and SBA</w:t>
      </w:r>
      <w:r w:rsidR="00DB0268">
        <w:rPr>
          <w:rFonts w:cs="Times New Roman"/>
          <w:szCs w:val="24"/>
        </w:rPr>
        <w:t xml:space="preserve"> to monitor business performance</w:t>
      </w:r>
      <w:r w:rsidRPr="0004763D">
        <w:rPr>
          <w:rFonts w:cs="Times New Roman"/>
          <w:szCs w:val="24"/>
        </w:rPr>
        <w:t>. A reminder of the survey’s confidentiality statement is provided directly prior to these financial questions. Clients will also be asked for their gender, race, ethnicity, veteran status, disability status</w:t>
      </w:r>
      <w:r w:rsidR="002A689F">
        <w:rPr>
          <w:rFonts w:cs="Times New Roman"/>
          <w:szCs w:val="24"/>
        </w:rPr>
        <w:t>,</w:t>
      </w:r>
      <w:r w:rsidRPr="0004763D">
        <w:rPr>
          <w:rFonts w:cs="Times New Roman"/>
          <w:szCs w:val="24"/>
        </w:rPr>
        <w:t xml:space="preserve"> and income in order to determine whether or not the WBC is fulfilling its mission of serving low-income women and the extent to which SBA services are provided with equal opportunity</w:t>
      </w:r>
      <w:r w:rsidR="004B52C4">
        <w:rPr>
          <w:rFonts w:cs="Times New Roman"/>
          <w:szCs w:val="24"/>
        </w:rPr>
        <w:t xml:space="preserve"> across different demographic</w:t>
      </w:r>
      <w:r w:rsidR="00A67EC4">
        <w:rPr>
          <w:rFonts w:cs="Times New Roman"/>
          <w:szCs w:val="24"/>
        </w:rPr>
        <w:t xml:space="preserve"> groups</w:t>
      </w:r>
      <w:r w:rsidRPr="0004763D">
        <w:rPr>
          <w:rFonts w:cs="Times New Roman"/>
          <w:szCs w:val="24"/>
        </w:rPr>
        <w:t>.</w:t>
      </w:r>
      <w:r w:rsidR="00177325">
        <w:rPr>
          <w:rFonts w:cs="Times New Roman"/>
          <w:szCs w:val="24"/>
        </w:rPr>
        <w:t xml:space="preserve"> To determine if clients are l</w:t>
      </w:r>
      <w:r w:rsidR="00B90510">
        <w:rPr>
          <w:rFonts w:cs="Times New Roman"/>
          <w:szCs w:val="24"/>
        </w:rPr>
        <w:t>ow-income, the income categories are specially grouped and</w:t>
      </w:r>
      <w:r w:rsidR="00C069A9">
        <w:rPr>
          <w:rFonts w:cs="Times New Roman"/>
          <w:szCs w:val="24"/>
        </w:rPr>
        <w:t>,</w:t>
      </w:r>
      <w:r w:rsidR="00B90510">
        <w:rPr>
          <w:rFonts w:cs="Times New Roman"/>
          <w:szCs w:val="24"/>
        </w:rPr>
        <w:t xml:space="preserve"> when combined with number of people in the household, can be used to determine poverty status. This </w:t>
      </w:r>
      <w:r w:rsidR="00983CCF">
        <w:rPr>
          <w:rFonts w:cs="Times New Roman"/>
          <w:szCs w:val="24"/>
        </w:rPr>
        <w:t>is</w:t>
      </w:r>
      <w:r w:rsidR="00B90510">
        <w:rPr>
          <w:rFonts w:cs="Times New Roman"/>
          <w:szCs w:val="24"/>
        </w:rPr>
        <w:t xml:space="preserve"> an additional measure taken to limit the sensitivity a client may have about her income status.</w:t>
      </w:r>
      <w:r w:rsidR="00D961BB">
        <w:rPr>
          <w:rFonts w:cs="Times New Roman"/>
          <w:szCs w:val="24"/>
        </w:rPr>
        <w:t xml:space="preserve"> If these demographic data are found to be complete in the administrative records, the questions will be dropped from the survey in subsequent years. </w:t>
      </w:r>
    </w:p>
    <w:p w:rsidR="007237F7" w:rsidRPr="0004763D" w:rsidRDefault="00983CCF" w:rsidP="00E66BA3">
      <w:pPr>
        <w:spacing w:after="0" w:line="240" w:lineRule="auto"/>
        <w:jc w:val="both"/>
        <w:rPr>
          <w:rFonts w:cs="Times New Roman"/>
          <w:szCs w:val="24"/>
        </w:rPr>
      </w:pPr>
      <w:r>
        <w:rPr>
          <w:rFonts w:cs="Times New Roman"/>
          <w:szCs w:val="24"/>
        </w:rPr>
        <w:t xml:space="preserve"> </w:t>
      </w:r>
      <w:r w:rsidR="00B90510">
        <w:rPr>
          <w:rFonts w:cs="Times New Roman"/>
          <w:szCs w:val="24"/>
        </w:rPr>
        <w:t xml:space="preserve"> </w:t>
      </w:r>
    </w:p>
    <w:p w:rsidR="007237F7" w:rsidRPr="00D97E89" w:rsidRDefault="007237F7" w:rsidP="00E66BA3">
      <w:pPr>
        <w:pStyle w:val="Heading2"/>
        <w:spacing w:after="0" w:line="240" w:lineRule="auto"/>
        <w:jc w:val="both"/>
        <w:rPr>
          <w:rFonts w:cs="Times New Roman"/>
          <w:szCs w:val="24"/>
          <w:u w:val="single"/>
        </w:rPr>
      </w:pPr>
      <w:bookmarkStart w:id="42" w:name="_Toc411410186"/>
      <w:bookmarkStart w:id="43" w:name="_Toc411430391"/>
      <w:bookmarkStart w:id="44" w:name="_Toc413831966"/>
      <w:r w:rsidRPr="00D97E89">
        <w:rPr>
          <w:rFonts w:eastAsiaTheme="majorBidi" w:cs="Times New Roman"/>
          <w:szCs w:val="24"/>
          <w:u w:val="single"/>
        </w:rPr>
        <w:t>Estimates of Hour Burden Including Annualized Hourly Costs</w:t>
      </w:r>
      <w:bookmarkEnd w:id="42"/>
      <w:bookmarkEnd w:id="43"/>
      <w:bookmarkEnd w:id="44"/>
    </w:p>
    <w:p w:rsidR="007237F7" w:rsidRPr="00D97E89" w:rsidRDefault="007237F7" w:rsidP="00E66BA3">
      <w:pPr>
        <w:spacing w:after="0" w:line="240" w:lineRule="auto"/>
        <w:jc w:val="both"/>
        <w:rPr>
          <w:rFonts w:eastAsiaTheme="majorBidi" w:cs="Times New Roman"/>
          <w:b/>
          <w:bCs/>
          <w:i/>
          <w:szCs w:val="24"/>
        </w:rPr>
      </w:pPr>
      <w:r w:rsidRPr="00D97E89">
        <w:rPr>
          <w:rFonts w:eastAsiaTheme="majorBidi" w:cs="Times New Roman"/>
          <w:b/>
          <w:bCs/>
          <w:i/>
          <w:szCs w:val="24"/>
        </w:rPr>
        <w:t>Provide estimates of the hour burden of the collection of information. Indicate the affected public, number of respondents, frequency of response, annual hour burden, and an explanation of how the burden was estimated.</w:t>
      </w:r>
    </w:p>
    <w:p w:rsidR="005F33BE" w:rsidRDefault="005F33BE" w:rsidP="00E66BA3">
      <w:pPr>
        <w:spacing w:after="0" w:line="240" w:lineRule="auto"/>
        <w:jc w:val="both"/>
        <w:rPr>
          <w:rFonts w:cs="Times New Roman"/>
          <w:szCs w:val="24"/>
        </w:rPr>
      </w:pPr>
    </w:p>
    <w:p w:rsidR="007237F7" w:rsidRDefault="008A676B" w:rsidP="00E66BA3">
      <w:pPr>
        <w:spacing w:after="0" w:line="240" w:lineRule="auto"/>
        <w:jc w:val="both"/>
      </w:pPr>
      <w:r>
        <w:rPr>
          <w:rFonts w:cs="Times New Roman"/>
          <w:szCs w:val="24"/>
        </w:rPr>
        <w:t>The total number of burden hours is 1496.  The estimate is made of up both administrative and respondent burden. The estimate is based on an anticipated</w:t>
      </w:r>
      <w:r w:rsidR="007237F7" w:rsidRPr="008A676B">
        <w:rPr>
          <w:rFonts w:cs="Times New Roman"/>
          <w:szCs w:val="24"/>
        </w:rPr>
        <w:t xml:space="preserve"> 1,</w:t>
      </w:r>
      <w:r w:rsidR="00C83F67" w:rsidRPr="008A676B">
        <w:rPr>
          <w:rFonts w:cs="Times New Roman"/>
          <w:szCs w:val="24"/>
        </w:rPr>
        <w:t>14</w:t>
      </w:r>
      <w:r w:rsidR="007237F7" w:rsidRPr="008A676B">
        <w:rPr>
          <w:rFonts w:cs="Times New Roman"/>
          <w:szCs w:val="24"/>
        </w:rPr>
        <w:t xml:space="preserve">5 respondents and an average survey completion time of 6 minutes. </w:t>
      </w:r>
      <w:r w:rsidR="00C83F67" w:rsidRPr="008A676B">
        <w:rPr>
          <w:rFonts w:cs="Times New Roman"/>
          <w:szCs w:val="24"/>
        </w:rPr>
        <w:t>T</w:t>
      </w:r>
      <w:r w:rsidR="007237F7" w:rsidRPr="008A676B">
        <w:rPr>
          <w:rFonts w:cs="Times New Roman"/>
          <w:szCs w:val="24"/>
        </w:rPr>
        <w:t>his estimate</w:t>
      </w:r>
      <w:r w:rsidR="00C83F67" w:rsidRPr="008A676B">
        <w:rPr>
          <w:rFonts w:cs="Times New Roman"/>
          <w:szCs w:val="24"/>
        </w:rPr>
        <w:t xml:space="preserve"> was developed</w:t>
      </w:r>
      <w:r w:rsidR="007237F7" w:rsidRPr="008A676B">
        <w:rPr>
          <w:rFonts w:cs="Times New Roman"/>
          <w:szCs w:val="24"/>
        </w:rPr>
        <w:t xml:space="preserve"> by assuming a 25</w:t>
      </w:r>
      <w:r w:rsidR="002A689F" w:rsidRPr="008A676B">
        <w:rPr>
          <w:rFonts w:cs="Times New Roman"/>
          <w:szCs w:val="24"/>
        </w:rPr>
        <w:t xml:space="preserve"> percent</w:t>
      </w:r>
      <w:r w:rsidR="007237F7" w:rsidRPr="008A676B">
        <w:rPr>
          <w:rFonts w:cs="Times New Roman"/>
          <w:szCs w:val="24"/>
        </w:rPr>
        <w:t xml:space="preserve"> re</w:t>
      </w:r>
      <w:r w:rsidR="00C83F67" w:rsidRPr="008A676B">
        <w:rPr>
          <w:rFonts w:cs="Times New Roman"/>
          <w:szCs w:val="24"/>
        </w:rPr>
        <w:t>sponse rate from the sample of 4</w:t>
      </w:r>
      <w:r w:rsidR="007237F7" w:rsidRPr="008A676B">
        <w:rPr>
          <w:rFonts w:cs="Times New Roman"/>
          <w:szCs w:val="24"/>
        </w:rPr>
        <w:t>,</w:t>
      </w:r>
      <w:r w:rsidR="00C83F67" w:rsidRPr="008A676B">
        <w:rPr>
          <w:rFonts w:cs="Times New Roman"/>
          <w:szCs w:val="24"/>
        </w:rPr>
        <w:t>578</w:t>
      </w:r>
      <w:r w:rsidR="007237F7" w:rsidRPr="008A676B">
        <w:rPr>
          <w:rFonts w:cs="Times New Roman"/>
          <w:szCs w:val="24"/>
        </w:rPr>
        <w:t xml:space="preserve"> clients and by testing the time to completion with nascent and in-business clients of the WBC. More information about these estimates is presented in </w:t>
      </w:r>
      <w:r w:rsidR="0068176B" w:rsidRPr="008A676B">
        <w:rPr>
          <w:rFonts w:cs="Times New Roman"/>
          <w:szCs w:val="24"/>
        </w:rPr>
        <w:t>p</w:t>
      </w:r>
      <w:r w:rsidR="007237F7" w:rsidRPr="008A676B">
        <w:rPr>
          <w:rFonts w:cs="Times New Roman"/>
          <w:szCs w:val="24"/>
        </w:rPr>
        <w:t xml:space="preserve">art B of this package. </w:t>
      </w:r>
      <w:r w:rsidR="00D30630" w:rsidRPr="008A676B">
        <w:rPr>
          <w:rFonts w:cs="Times New Roman"/>
          <w:szCs w:val="24"/>
        </w:rPr>
        <w:t xml:space="preserve">The estimated annual costs burden for this data collection is </w:t>
      </w:r>
      <w:r w:rsidR="00D30630" w:rsidRPr="008A676B">
        <w:t>$2</w:t>
      </w:r>
      <w:r w:rsidR="000750E6" w:rsidRPr="008A676B">
        <w:t>0,653</w:t>
      </w:r>
      <w:r w:rsidR="00D30630" w:rsidRPr="008A676B">
        <w:t xml:space="preserve"> to clients</w:t>
      </w:r>
      <w:r w:rsidR="00D30630" w:rsidRPr="008A676B">
        <w:rPr>
          <w:rFonts w:cs="Times New Roman"/>
          <w:szCs w:val="24"/>
        </w:rPr>
        <w:t xml:space="preserve">. </w:t>
      </w:r>
      <w:r w:rsidR="007237F7" w:rsidRPr="008A676B">
        <w:rPr>
          <w:rFonts w:cs="Times New Roman"/>
          <w:szCs w:val="24"/>
        </w:rPr>
        <w:t xml:space="preserve">The cost estimate is based on the </w:t>
      </w:r>
      <w:r w:rsidR="00C3692D" w:rsidRPr="008A676B">
        <w:rPr>
          <w:rFonts w:cs="Times New Roman"/>
          <w:szCs w:val="24"/>
        </w:rPr>
        <w:t xml:space="preserve">average survey </w:t>
      </w:r>
      <w:r w:rsidR="007237F7" w:rsidRPr="008A676B">
        <w:rPr>
          <w:rFonts w:cs="Times New Roman"/>
          <w:szCs w:val="24"/>
        </w:rPr>
        <w:t>hours and</w:t>
      </w:r>
      <w:r w:rsidR="00C3692D" w:rsidRPr="008A676B">
        <w:rPr>
          <w:rFonts w:cs="Times New Roman"/>
          <w:szCs w:val="24"/>
        </w:rPr>
        <w:t xml:space="preserve"> an average hourly wage of </w:t>
      </w:r>
      <w:r w:rsidR="00C3692D" w:rsidRPr="008A676B">
        <w:t>$16.85</w:t>
      </w:r>
      <w:r w:rsidR="00C83F67" w:rsidRPr="008A676B">
        <w:t>.</w:t>
      </w:r>
      <w:r w:rsidR="00C3692D" w:rsidRPr="008A676B">
        <w:rPr>
          <w:rStyle w:val="FootnoteReference"/>
        </w:rPr>
        <w:footnoteReference w:id="4"/>
      </w:r>
      <w:r w:rsidR="00C83F67" w:rsidRPr="008A676B">
        <w:t xml:space="preserve"> The other components of the total </w:t>
      </w:r>
      <w:proofErr w:type="gramStart"/>
      <w:r w:rsidR="00C83F67" w:rsidRPr="008A676B">
        <w:t>hours</w:t>
      </w:r>
      <w:proofErr w:type="gramEnd"/>
      <w:r w:rsidR="00C83F67" w:rsidRPr="008A676B">
        <w:t xml:space="preserve"> burden is shown in the table below.</w:t>
      </w:r>
    </w:p>
    <w:p w:rsidR="00C93CA8" w:rsidRDefault="00C93CA8" w:rsidP="00E66BA3">
      <w:pPr>
        <w:spacing w:after="0" w:line="240" w:lineRule="auto"/>
        <w:jc w:val="both"/>
      </w:pPr>
    </w:p>
    <w:tbl>
      <w:tblPr>
        <w:tblStyle w:val="TableGrid"/>
        <w:tblW w:w="8345" w:type="dxa"/>
        <w:tblLayout w:type="fixed"/>
        <w:tblLook w:val="04A0" w:firstRow="1" w:lastRow="0" w:firstColumn="1" w:lastColumn="0" w:noHBand="0" w:noVBand="1"/>
      </w:tblPr>
      <w:tblGrid>
        <w:gridCol w:w="2103"/>
        <w:gridCol w:w="1446"/>
        <w:gridCol w:w="1140"/>
        <w:gridCol w:w="1260"/>
        <w:gridCol w:w="1352"/>
        <w:gridCol w:w="1044"/>
      </w:tblGrid>
      <w:tr w:rsidR="00CE3E0F" w:rsidRPr="00377521" w:rsidTr="00CE3E0F">
        <w:trPr>
          <w:trHeight w:val="870"/>
        </w:trPr>
        <w:tc>
          <w:tcPr>
            <w:tcW w:w="2103" w:type="dxa"/>
            <w:noWrap/>
            <w:hideMark/>
          </w:tcPr>
          <w:p w:rsidR="00CE3E0F" w:rsidRPr="00377521" w:rsidRDefault="00CE3E0F" w:rsidP="00377521">
            <w:pPr>
              <w:rPr>
                <w:rFonts w:eastAsia="Times New Roman" w:cs="Times New Roman"/>
                <w:b/>
                <w:color w:val="000000"/>
                <w:sz w:val="22"/>
              </w:rPr>
            </w:pPr>
            <w:r w:rsidRPr="00377521">
              <w:rPr>
                <w:rFonts w:eastAsia="Times New Roman" w:cs="Times New Roman"/>
                <w:b/>
                <w:color w:val="000000"/>
                <w:sz w:val="22"/>
              </w:rPr>
              <w:t>Estimates</w:t>
            </w:r>
          </w:p>
        </w:tc>
        <w:tc>
          <w:tcPr>
            <w:tcW w:w="1446" w:type="dxa"/>
            <w:hideMark/>
          </w:tcPr>
          <w:p w:rsidR="00CE3E0F" w:rsidRPr="00377521" w:rsidRDefault="00CE3E0F" w:rsidP="00377521">
            <w:pPr>
              <w:rPr>
                <w:rFonts w:eastAsia="Times New Roman" w:cs="Times New Roman"/>
                <w:b/>
                <w:bCs/>
                <w:color w:val="000000"/>
                <w:sz w:val="22"/>
              </w:rPr>
            </w:pPr>
            <w:r w:rsidRPr="00377521">
              <w:rPr>
                <w:rFonts w:eastAsia="Times New Roman" w:cs="Times New Roman"/>
                <w:b/>
                <w:bCs/>
                <w:color w:val="000000"/>
                <w:sz w:val="22"/>
              </w:rPr>
              <w:t>Survey introduction email</w:t>
            </w:r>
          </w:p>
        </w:tc>
        <w:tc>
          <w:tcPr>
            <w:tcW w:w="1140" w:type="dxa"/>
            <w:hideMark/>
          </w:tcPr>
          <w:p w:rsidR="00CE3E0F" w:rsidRPr="00377521" w:rsidRDefault="00CE3E0F" w:rsidP="00377521">
            <w:pPr>
              <w:rPr>
                <w:rFonts w:eastAsia="Times New Roman" w:cs="Times New Roman"/>
                <w:b/>
                <w:bCs/>
                <w:color w:val="000000"/>
                <w:sz w:val="22"/>
              </w:rPr>
            </w:pPr>
            <w:r w:rsidRPr="00377521">
              <w:rPr>
                <w:rFonts w:eastAsia="Times New Roman" w:cs="Times New Roman"/>
                <w:b/>
                <w:bCs/>
                <w:color w:val="000000"/>
                <w:sz w:val="22"/>
              </w:rPr>
              <w:t>Survey invitation email</w:t>
            </w:r>
          </w:p>
        </w:tc>
        <w:tc>
          <w:tcPr>
            <w:tcW w:w="1260" w:type="dxa"/>
            <w:hideMark/>
          </w:tcPr>
          <w:p w:rsidR="00CE3E0F" w:rsidRPr="00377521" w:rsidRDefault="00CE3E0F" w:rsidP="00377521">
            <w:pPr>
              <w:rPr>
                <w:rFonts w:eastAsia="Times New Roman" w:cs="Times New Roman"/>
                <w:b/>
                <w:bCs/>
                <w:color w:val="000000"/>
                <w:sz w:val="22"/>
              </w:rPr>
            </w:pPr>
            <w:r w:rsidRPr="00377521">
              <w:rPr>
                <w:rFonts w:eastAsia="Times New Roman" w:cs="Times New Roman"/>
                <w:b/>
                <w:bCs/>
                <w:color w:val="000000"/>
                <w:sz w:val="22"/>
              </w:rPr>
              <w:t>Survey reminder emails</w:t>
            </w:r>
          </w:p>
        </w:tc>
        <w:tc>
          <w:tcPr>
            <w:tcW w:w="1352" w:type="dxa"/>
            <w:hideMark/>
          </w:tcPr>
          <w:p w:rsidR="00CE3E0F" w:rsidRPr="00377521" w:rsidRDefault="00CE3E0F" w:rsidP="00E6422D">
            <w:pPr>
              <w:rPr>
                <w:rFonts w:eastAsia="Times New Roman" w:cs="Times New Roman"/>
                <w:b/>
                <w:bCs/>
                <w:color w:val="000000"/>
                <w:sz w:val="22"/>
              </w:rPr>
            </w:pPr>
            <w:r w:rsidRPr="00377521">
              <w:rPr>
                <w:rFonts w:eastAsia="Times New Roman" w:cs="Times New Roman"/>
                <w:b/>
                <w:bCs/>
                <w:color w:val="000000"/>
                <w:sz w:val="22"/>
              </w:rPr>
              <w:t>Survey completion</w:t>
            </w:r>
            <w:r>
              <w:rPr>
                <w:rFonts w:eastAsia="Times New Roman" w:cs="Times New Roman"/>
                <w:b/>
                <w:bCs/>
                <w:color w:val="000000"/>
                <w:sz w:val="22"/>
              </w:rPr>
              <w:t xml:space="preserve"> (</w:t>
            </w:r>
            <w:r w:rsidR="00E6422D">
              <w:rPr>
                <w:rFonts w:eastAsia="Times New Roman" w:cs="Times New Roman"/>
                <w:b/>
                <w:bCs/>
                <w:color w:val="000000"/>
                <w:sz w:val="22"/>
              </w:rPr>
              <w:t>client</w:t>
            </w:r>
            <w:r>
              <w:rPr>
                <w:rFonts w:eastAsia="Times New Roman" w:cs="Times New Roman"/>
                <w:b/>
                <w:bCs/>
                <w:color w:val="000000"/>
                <w:sz w:val="22"/>
              </w:rPr>
              <w:t xml:space="preserve"> burden)</w:t>
            </w:r>
          </w:p>
        </w:tc>
        <w:tc>
          <w:tcPr>
            <w:tcW w:w="1044" w:type="dxa"/>
            <w:hideMark/>
          </w:tcPr>
          <w:p w:rsidR="00CE3E0F" w:rsidRPr="00377521" w:rsidRDefault="00CE3E0F" w:rsidP="00B132CE">
            <w:pPr>
              <w:rPr>
                <w:rFonts w:eastAsia="Times New Roman" w:cs="Times New Roman"/>
                <w:b/>
                <w:bCs/>
                <w:color w:val="000000"/>
                <w:sz w:val="22"/>
              </w:rPr>
            </w:pPr>
            <w:r w:rsidRPr="00377521">
              <w:rPr>
                <w:rFonts w:eastAsia="Times New Roman" w:cs="Times New Roman"/>
                <w:b/>
                <w:bCs/>
                <w:color w:val="000000"/>
                <w:sz w:val="22"/>
              </w:rPr>
              <w:t>Total burden</w:t>
            </w:r>
          </w:p>
        </w:tc>
      </w:tr>
      <w:tr w:rsidR="00CE3E0F" w:rsidRPr="00377521" w:rsidTr="00CE3E0F">
        <w:trPr>
          <w:trHeight w:val="300"/>
        </w:trPr>
        <w:tc>
          <w:tcPr>
            <w:tcW w:w="2103" w:type="dxa"/>
            <w:noWrap/>
            <w:hideMark/>
          </w:tcPr>
          <w:p w:rsidR="00CE3E0F" w:rsidRPr="00377521" w:rsidRDefault="00CE3E0F" w:rsidP="00377521">
            <w:pPr>
              <w:rPr>
                <w:rFonts w:eastAsia="Times New Roman" w:cs="Times New Roman"/>
                <w:color w:val="000000"/>
                <w:sz w:val="22"/>
              </w:rPr>
            </w:pPr>
            <w:r w:rsidRPr="00377521">
              <w:rPr>
                <w:rFonts w:eastAsia="Times New Roman" w:cs="Times New Roman"/>
                <w:color w:val="000000"/>
                <w:sz w:val="22"/>
              </w:rPr>
              <w:lastRenderedPageBreak/>
              <w:t>Number clients</w:t>
            </w:r>
          </w:p>
        </w:tc>
        <w:tc>
          <w:tcPr>
            <w:tcW w:w="1446"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25472</w:t>
            </w:r>
          </w:p>
        </w:tc>
        <w:tc>
          <w:tcPr>
            <w:tcW w:w="1140"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4578</w:t>
            </w:r>
          </w:p>
        </w:tc>
        <w:tc>
          <w:tcPr>
            <w:tcW w:w="1260"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4578</w:t>
            </w:r>
          </w:p>
        </w:tc>
        <w:tc>
          <w:tcPr>
            <w:tcW w:w="1352" w:type="dxa"/>
            <w:noWrap/>
            <w:hideMark/>
          </w:tcPr>
          <w:p w:rsidR="00CE3E0F" w:rsidRPr="004B3053" w:rsidRDefault="00CE3E0F" w:rsidP="00377521">
            <w:pPr>
              <w:jc w:val="right"/>
              <w:rPr>
                <w:rFonts w:eastAsia="Times New Roman" w:cs="Times New Roman"/>
                <w:b/>
                <w:color w:val="000000"/>
                <w:sz w:val="22"/>
              </w:rPr>
            </w:pPr>
            <w:r w:rsidRPr="004B3053">
              <w:rPr>
                <w:rFonts w:eastAsia="Times New Roman" w:cs="Times New Roman"/>
                <w:b/>
                <w:color w:val="000000"/>
                <w:sz w:val="22"/>
              </w:rPr>
              <w:t>1145</w:t>
            </w:r>
          </w:p>
        </w:tc>
        <w:tc>
          <w:tcPr>
            <w:tcW w:w="1044"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NA</w:t>
            </w:r>
          </w:p>
        </w:tc>
      </w:tr>
      <w:tr w:rsidR="00CE3E0F" w:rsidRPr="00377521" w:rsidTr="00CE3E0F">
        <w:trPr>
          <w:trHeight w:val="300"/>
        </w:trPr>
        <w:tc>
          <w:tcPr>
            <w:tcW w:w="2103" w:type="dxa"/>
            <w:noWrap/>
            <w:hideMark/>
          </w:tcPr>
          <w:p w:rsidR="00CE3E0F" w:rsidRPr="00377521" w:rsidRDefault="00CE3E0F" w:rsidP="00377521">
            <w:pPr>
              <w:rPr>
                <w:rFonts w:eastAsia="Times New Roman" w:cs="Times New Roman"/>
                <w:color w:val="000000"/>
                <w:sz w:val="22"/>
              </w:rPr>
            </w:pPr>
            <w:r w:rsidRPr="00377521">
              <w:rPr>
                <w:rFonts w:eastAsia="Times New Roman" w:cs="Times New Roman"/>
                <w:color w:val="000000"/>
                <w:sz w:val="22"/>
              </w:rPr>
              <w:t>Frequency of collection</w:t>
            </w:r>
          </w:p>
        </w:tc>
        <w:tc>
          <w:tcPr>
            <w:tcW w:w="1446"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1</w:t>
            </w:r>
          </w:p>
        </w:tc>
        <w:tc>
          <w:tcPr>
            <w:tcW w:w="1140"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1</w:t>
            </w:r>
          </w:p>
        </w:tc>
        <w:tc>
          <w:tcPr>
            <w:tcW w:w="1260"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4</w:t>
            </w:r>
          </w:p>
        </w:tc>
        <w:tc>
          <w:tcPr>
            <w:tcW w:w="1352" w:type="dxa"/>
            <w:noWrap/>
            <w:hideMark/>
          </w:tcPr>
          <w:p w:rsidR="00CE3E0F" w:rsidRPr="004B3053" w:rsidRDefault="00CE3E0F" w:rsidP="00377521">
            <w:pPr>
              <w:jc w:val="right"/>
              <w:rPr>
                <w:rFonts w:eastAsia="Times New Roman" w:cs="Times New Roman"/>
                <w:b/>
                <w:color w:val="000000"/>
                <w:sz w:val="22"/>
              </w:rPr>
            </w:pPr>
            <w:r w:rsidRPr="004B3053">
              <w:rPr>
                <w:rFonts w:eastAsia="Times New Roman" w:cs="Times New Roman"/>
                <w:b/>
                <w:color w:val="000000"/>
                <w:sz w:val="22"/>
              </w:rPr>
              <w:t>1</w:t>
            </w:r>
          </w:p>
        </w:tc>
        <w:tc>
          <w:tcPr>
            <w:tcW w:w="1044"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NA</w:t>
            </w:r>
          </w:p>
        </w:tc>
      </w:tr>
      <w:tr w:rsidR="00CE3E0F" w:rsidRPr="00377521" w:rsidTr="00CE3E0F">
        <w:trPr>
          <w:trHeight w:val="300"/>
        </w:trPr>
        <w:tc>
          <w:tcPr>
            <w:tcW w:w="2103" w:type="dxa"/>
            <w:noWrap/>
            <w:hideMark/>
          </w:tcPr>
          <w:p w:rsidR="00CE3E0F" w:rsidRPr="00377521" w:rsidRDefault="00CE3E0F" w:rsidP="00377521">
            <w:pPr>
              <w:rPr>
                <w:rFonts w:eastAsia="Times New Roman" w:cs="Times New Roman"/>
                <w:color w:val="000000"/>
                <w:sz w:val="22"/>
              </w:rPr>
            </w:pPr>
            <w:r w:rsidRPr="00377521">
              <w:rPr>
                <w:rFonts w:eastAsia="Times New Roman" w:cs="Times New Roman"/>
                <w:color w:val="000000"/>
                <w:sz w:val="22"/>
              </w:rPr>
              <w:t>Average minutes spent</w:t>
            </w:r>
          </w:p>
        </w:tc>
        <w:tc>
          <w:tcPr>
            <w:tcW w:w="1446"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1</w:t>
            </w:r>
          </w:p>
        </w:tc>
        <w:tc>
          <w:tcPr>
            <w:tcW w:w="1140"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1</w:t>
            </w:r>
          </w:p>
        </w:tc>
        <w:tc>
          <w:tcPr>
            <w:tcW w:w="1260"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2</w:t>
            </w:r>
          </w:p>
        </w:tc>
        <w:tc>
          <w:tcPr>
            <w:tcW w:w="1352" w:type="dxa"/>
            <w:noWrap/>
            <w:hideMark/>
          </w:tcPr>
          <w:p w:rsidR="00CE3E0F" w:rsidRPr="004B3053" w:rsidRDefault="00CE3E0F" w:rsidP="00377521">
            <w:pPr>
              <w:jc w:val="right"/>
              <w:rPr>
                <w:rFonts w:eastAsia="Times New Roman" w:cs="Times New Roman"/>
                <w:b/>
                <w:color w:val="000000"/>
                <w:sz w:val="22"/>
              </w:rPr>
            </w:pPr>
            <w:r w:rsidRPr="004B3053">
              <w:rPr>
                <w:rFonts w:eastAsia="Times New Roman" w:cs="Times New Roman"/>
                <w:b/>
                <w:color w:val="000000"/>
                <w:sz w:val="22"/>
              </w:rPr>
              <w:t>6</w:t>
            </w:r>
          </w:p>
        </w:tc>
        <w:tc>
          <w:tcPr>
            <w:tcW w:w="1044" w:type="dxa"/>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NA</w:t>
            </w:r>
          </w:p>
        </w:tc>
      </w:tr>
      <w:tr w:rsidR="00CE3E0F" w:rsidRPr="00377521" w:rsidTr="00767DB5">
        <w:trPr>
          <w:trHeight w:val="300"/>
        </w:trPr>
        <w:tc>
          <w:tcPr>
            <w:tcW w:w="2103" w:type="dxa"/>
            <w:shd w:val="clear" w:color="auto" w:fill="auto"/>
            <w:noWrap/>
            <w:hideMark/>
          </w:tcPr>
          <w:p w:rsidR="00CE3E0F" w:rsidRPr="00377521" w:rsidRDefault="00CE3E0F" w:rsidP="00377521">
            <w:pPr>
              <w:rPr>
                <w:rFonts w:eastAsia="Times New Roman" w:cs="Times New Roman"/>
                <w:color w:val="000000"/>
                <w:sz w:val="22"/>
              </w:rPr>
            </w:pPr>
            <w:r w:rsidRPr="00377521">
              <w:rPr>
                <w:rFonts w:eastAsia="Times New Roman" w:cs="Times New Roman"/>
                <w:color w:val="000000"/>
                <w:sz w:val="22"/>
              </w:rPr>
              <w:t>Average hourly pay</w:t>
            </w:r>
          </w:p>
        </w:tc>
        <w:tc>
          <w:tcPr>
            <w:tcW w:w="1446" w:type="dxa"/>
            <w:shd w:val="clear" w:color="auto" w:fill="auto"/>
            <w:noWrap/>
            <w:hideMark/>
          </w:tcPr>
          <w:p w:rsidR="00CE3E0F" w:rsidRPr="00377521" w:rsidRDefault="00CE3E0F" w:rsidP="00377521">
            <w:pPr>
              <w:rPr>
                <w:rFonts w:eastAsia="Times New Roman" w:cs="Times New Roman"/>
                <w:color w:val="000000"/>
                <w:sz w:val="22"/>
              </w:rPr>
            </w:pPr>
            <w:r w:rsidRPr="00377521">
              <w:rPr>
                <w:rFonts w:eastAsia="Times New Roman" w:cs="Times New Roman"/>
                <w:color w:val="000000"/>
                <w:sz w:val="22"/>
              </w:rPr>
              <w:t xml:space="preserve"> $          16.85 </w:t>
            </w:r>
          </w:p>
        </w:tc>
        <w:tc>
          <w:tcPr>
            <w:tcW w:w="1140" w:type="dxa"/>
            <w:shd w:val="clear" w:color="auto" w:fill="auto"/>
            <w:noWrap/>
            <w:hideMark/>
          </w:tcPr>
          <w:p w:rsidR="00CE3E0F" w:rsidRPr="00377521" w:rsidRDefault="00CE3E0F" w:rsidP="004B3053">
            <w:pPr>
              <w:rPr>
                <w:rFonts w:eastAsia="Times New Roman" w:cs="Times New Roman"/>
                <w:color w:val="000000"/>
                <w:sz w:val="22"/>
              </w:rPr>
            </w:pPr>
            <w:r w:rsidRPr="00377521">
              <w:rPr>
                <w:rFonts w:eastAsia="Times New Roman" w:cs="Times New Roman"/>
                <w:color w:val="000000"/>
                <w:sz w:val="22"/>
              </w:rPr>
              <w:t xml:space="preserve"> $    16.85 </w:t>
            </w:r>
          </w:p>
        </w:tc>
        <w:tc>
          <w:tcPr>
            <w:tcW w:w="1260" w:type="dxa"/>
            <w:shd w:val="clear" w:color="auto" w:fill="auto"/>
            <w:noWrap/>
            <w:hideMark/>
          </w:tcPr>
          <w:p w:rsidR="00CE3E0F" w:rsidRPr="00377521" w:rsidRDefault="00CE3E0F" w:rsidP="00377521">
            <w:pPr>
              <w:rPr>
                <w:rFonts w:eastAsia="Times New Roman" w:cs="Times New Roman"/>
                <w:color w:val="000000"/>
                <w:sz w:val="22"/>
              </w:rPr>
            </w:pPr>
            <w:r w:rsidRPr="00377521">
              <w:rPr>
                <w:rFonts w:eastAsia="Times New Roman" w:cs="Times New Roman"/>
                <w:color w:val="000000"/>
                <w:sz w:val="22"/>
              </w:rPr>
              <w:t xml:space="preserve"> $    16.85 </w:t>
            </w:r>
          </w:p>
        </w:tc>
        <w:tc>
          <w:tcPr>
            <w:tcW w:w="1352" w:type="dxa"/>
            <w:shd w:val="clear" w:color="auto" w:fill="auto"/>
            <w:noWrap/>
            <w:hideMark/>
          </w:tcPr>
          <w:p w:rsidR="00CE3E0F" w:rsidRPr="004B3053" w:rsidRDefault="00CE3E0F" w:rsidP="004B3053">
            <w:pPr>
              <w:rPr>
                <w:rFonts w:eastAsia="Times New Roman" w:cs="Times New Roman"/>
                <w:b/>
                <w:color w:val="000000"/>
                <w:sz w:val="22"/>
              </w:rPr>
            </w:pPr>
            <w:r w:rsidRPr="004B3053">
              <w:rPr>
                <w:rFonts w:eastAsia="Times New Roman" w:cs="Times New Roman"/>
                <w:b/>
                <w:color w:val="000000"/>
                <w:sz w:val="22"/>
              </w:rPr>
              <w:t xml:space="preserve"> $      16.85</w:t>
            </w:r>
          </w:p>
        </w:tc>
        <w:tc>
          <w:tcPr>
            <w:tcW w:w="1044" w:type="dxa"/>
            <w:shd w:val="clear" w:color="auto" w:fill="auto"/>
            <w:noWrap/>
            <w:hideMark/>
          </w:tcPr>
          <w:p w:rsidR="00CE3E0F" w:rsidRPr="00377521" w:rsidRDefault="00CE3E0F" w:rsidP="00377521">
            <w:pPr>
              <w:jc w:val="right"/>
              <w:rPr>
                <w:rFonts w:eastAsia="Times New Roman" w:cs="Times New Roman"/>
                <w:color w:val="000000"/>
                <w:sz w:val="22"/>
              </w:rPr>
            </w:pPr>
            <w:r w:rsidRPr="00377521">
              <w:rPr>
                <w:rFonts w:eastAsia="Times New Roman" w:cs="Times New Roman"/>
                <w:color w:val="000000"/>
                <w:sz w:val="22"/>
              </w:rPr>
              <w:t>NA</w:t>
            </w:r>
          </w:p>
        </w:tc>
      </w:tr>
      <w:tr w:rsidR="00CE3E0F" w:rsidRPr="00377521" w:rsidTr="00767DB5">
        <w:trPr>
          <w:trHeight w:val="300"/>
        </w:trPr>
        <w:tc>
          <w:tcPr>
            <w:tcW w:w="2103" w:type="dxa"/>
            <w:shd w:val="clear" w:color="auto" w:fill="auto"/>
            <w:noWrap/>
            <w:hideMark/>
          </w:tcPr>
          <w:p w:rsidR="00CE3E0F" w:rsidRPr="00767DB5" w:rsidRDefault="00CE3E0F" w:rsidP="00794FB7">
            <w:pPr>
              <w:rPr>
                <w:rFonts w:eastAsia="Times New Roman" w:cs="Times New Roman"/>
                <w:color w:val="000000"/>
                <w:sz w:val="22"/>
              </w:rPr>
            </w:pPr>
            <w:r w:rsidRPr="00767DB5">
              <w:rPr>
                <w:rFonts w:eastAsia="Times New Roman" w:cs="Times New Roman"/>
                <w:color w:val="000000"/>
                <w:sz w:val="22"/>
              </w:rPr>
              <w:t>Client burden (in hours)</w:t>
            </w:r>
          </w:p>
        </w:tc>
        <w:tc>
          <w:tcPr>
            <w:tcW w:w="1446" w:type="dxa"/>
            <w:shd w:val="clear" w:color="auto" w:fill="auto"/>
            <w:noWrap/>
            <w:hideMark/>
          </w:tcPr>
          <w:p w:rsidR="00CE3E0F" w:rsidRPr="00767DB5" w:rsidRDefault="00CE3E0F" w:rsidP="00377521">
            <w:pPr>
              <w:jc w:val="right"/>
              <w:rPr>
                <w:rFonts w:eastAsia="Times New Roman" w:cs="Times New Roman"/>
                <w:color w:val="000000"/>
                <w:sz w:val="22"/>
              </w:rPr>
            </w:pPr>
            <w:r w:rsidRPr="00767DB5">
              <w:rPr>
                <w:rFonts w:eastAsia="Times New Roman" w:cs="Times New Roman"/>
                <w:color w:val="000000"/>
                <w:sz w:val="22"/>
              </w:rPr>
              <w:t>425</w:t>
            </w:r>
          </w:p>
        </w:tc>
        <w:tc>
          <w:tcPr>
            <w:tcW w:w="1140" w:type="dxa"/>
            <w:shd w:val="clear" w:color="auto" w:fill="auto"/>
            <w:noWrap/>
            <w:hideMark/>
          </w:tcPr>
          <w:p w:rsidR="00CE3E0F" w:rsidRPr="00767DB5" w:rsidRDefault="00CE3E0F" w:rsidP="00377521">
            <w:pPr>
              <w:jc w:val="right"/>
              <w:rPr>
                <w:rFonts w:eastAsia="Times New Roman" w:cs="Times New Roman"/>
                <w:color w:val="000000"/>
                <w:sz w:val="22"/>
              </w:rPr>
            </w:pPr>
            <w:r w:rsidRPr="00767DB5">
              <w:rPr>
                <w:rFonts w:eastAsia="Times New Roman" w:cs="Times New Roman"/>
                <w:color w:val="000000"/>
                <w:sz w:val="22"/>
              </w:rPr>
              <w:t>76</w:t>
            </w:r>
          </w:p>
        </w:tc>
        <w:tc>
          <w:tcPr>
            <w:tcW w:w="1260" w:type="dxa"/>
            <w:shd w:val="clear" w:color="auto" w:fill="auto"/>
            <w:noWrap/>
            <w:hideMark/>
          </w:tcPr>
          <w:p w:rsidR="00CE3E0F" w:rsidRPr="00767DB5" w:rsidRDefault="00CE3E0F" w:rsidP="00377521">
            <w:pPr>
              <w:jc w:val="right"/>
              <w:rPr>
                <w:rFonts w:eastAsia="Times New Roman" w:cs="Times New Roman"/>
                <w:color w:val="000000"/>
                <w:sz w:val="22"/>
              </w:rPr>
            </w:pPr>
            <w:r w:rsidRPr="00767DB5">
              <w:rPr>
                <w:rFonts w:eastAsia="Times New Roman" w:cs="Times New Roman"/>
                <w:color w:val="000000"/>
                <w:sz w:val="22"/>
              </w:rPr>
              <w:t>610</w:t>
            </w:r>
          </w:p>
        </w:tc>
        <w:tc>
          <w:tcPr>
            <w:tcW w:w="1352" w:type="dxa"/>
            <w:shd w:val="clear" w:color="auto" w:fill="auto"/>
            <w:noWrap/>
            <w:hideMark/>
          </w:tcPr>
          <w:p w:rsidR="00CE3E0F" w:rsidRPr="00767DB5" w:rsidRDefault="00CE3E0F" w:rsidP="00377521">
            <w:pPr>
              <w:jc w:val="right"/>
              <w:rPr>
                <w:rFonts w:eastAsia="Times New Roman" w:cs="Times New Roman"/>
                <w:b/>
                <w:color w:val="000000"/>
                <w:sz w:val="22"/>
              </w:rPr>
            </w:pPr>
            <w:r w:rsidRPr="00767DB5">
              <w:rPr>
                <w:rFonts w:eastAsia="Times New Roman" w:cs="Times New Roman"/>
                <w:b/>
                <w:color w:val="000000"/>
                <w:sz w:val="22"/>
              </w:rPr>
              <w:t>114</w:t>
            </w:r>
          </w:p>
        </w:tc>
        <w:tc>
          <w:tcPr>
            <w:tcW w:w="1044" w:type="dxa"/>
            <w:shd w:val="clear" w:color="auto" w:fill="auto"/>
            <w:noWrap/>
            <w:hideMark/>
          </w:tcPr>
          <w:p w:rsidR="00CE3E0F" w:rsidRPr="00767DB5" w:rsidRDefault="00CE3E0F" w:rsidP="003B313E">
            <w:pPr>
              <w:jc w:val="right"/>
              <w:rPr>
                <w:rFonts w:eastAsia="Times New Roman" w:cs="Times New Roman"/>
                <w:color w:val="000000"/>
                <w:sz w:val="22"/>
              </w:rPr>
            </w:pPr>
            <w:r w:rsidRPr="00767DB5">
              <w:rPr>
                <w:rFonts w:eastAsia="Times New Roman" w:cs="Times New Roman"/>
                <w:color w:val="000000"/>
                <w:sz w:val="22"/>
              </w:rPr>
              <w:t xml:space="preserve">             </w:t>
            </w:r>
            <w:r w:rsidR="000750E6" w:rsidRPr="00767DB5">
              <w:rPr>
                <w:rFonts w:eastAsia="Times New Roman" w:cs="Times New Roman"/>
                <w:color w:val="000000"/>
                <w:sz w:val="22"/>
              </w:rPr>
              <w:t>1,226</w:t>
            </w:r>
            <w:r w:rsidRPr="00767DB5">
              <w:rPr>
                <w:rFonts w:eastAsia="Times New Roman" w:cs="Times New Roman"/>
                <w:color w:val="000000"/>
                <w:sz w:val="22"/>
              </w:rPr>
              <w:t xml:space="preserve"> </w:t>
            </w:r>
          </w:p>
        </w:tc>
      </w:tr>
      <w:tr w:rsidR="00CE3E0F" w:rsidRPr="00377521" w:rsidTr="00767DB5">
        <w:trPr>
          <w:trHeight w:val="300"/>
        </w:trPr>
        <w:tc>
          <w:tcPr>
            <w:tcW w:w="2103" w:type="dxa"/>
            <w:shd w:val="clear" w:color="auto" w:fill="auto"/>
            <w:noWrap/>
          </w:tcPr>
          <w:p w:rsidR="00CE3E0F" w:rsidRPr="00767DB5" w:rsidRDefault="00CE3E0F" w:rsidP="00377521">
            <w:pPr>
              <w:rPr>
                <w:rFonts w:eastAsia="Times New Roman" w:cs="Times New Roman"/>
                <w:color w:val="000000"/>
                <w:sz w:val="22"/>
              </w:rPr>
            </w:pPr>
            <w:r w:rsidRPr="00767DB5">
              <w:rPr>
                <w:rFonts w:eastAsia="Times New Roman" w:cs="Times New Roman"/>
                <w:color w:val="000000"/>
                <w:sz w:val="22"/>
              </w:rPr>
              <w:t>Administrative burden WBCs (in hours)</w:t>
            </w:r>
            <w:r w:rsidR="00294994" w:rsidRPr="00767DB5">
              <w:rPr>
                <w:rFonts w:eastAsia="Times New Roman" w:cs="Times New Roman"/>
                <w:color w:val="000000"/>
                <w:sz w:val="22"/>
              </w:rPr>
              <w:t>*</w:t>
            </w:r>
          </w:p>
        </w:tc>
        <w:tc>
          <w:tcPr>
            <w:tcW w:w="1446" w:type="dxa"/>
            <w:shd w:val="clear" w:color="auto" w:fill="auto"/>
            <w:noWrap/>
          </w:tcPr>
          <w:p w:rsidR="00CE3E0F" w:rsidRPr="00767DB5" w:rsidRDefault="00B20A4D" w:rsidP="00377521">
            <w:pPr>
              <w:jc w:val="right"/>
              <w:rPr>
                <w:rFonts w:eastAsia="Times New Roman" w:cs="Times New Roman"/>
                <w:color w:val="000000"/>
                <w:sz w:val="22"/>
              </w:rPr>
            </w:pPr>
            <w:r w:rsidRPr="00767DB5">
              <w:rPr>
                <w:rFonts w:eastAsia="Times New Roman" w:cs="Times New Roman"/>
                <w:color w:val="000000"/>
                <w:sz w:val="22"/>
              </w:rPr>
              <w:t>170</w:t>
            </w:r>
          </w:p>
        </w:tc>
        <w:tc>
          <w:tcPr>
            <w:tcW w:w="1140" w:type="dxa"/>
            <w:shd w:val="clear" w:color="auto" w:fill="auto"/>
            <w:noWrap/>
          </w:tcPr>
          <w:p w:rsidR="00CE3E0F" w:rsidRPr="00767DB5" w:rsidRDefault="00CE3E0F" w:rsidP="00377521">
            <w:pPr>
              <w:jc w:val="right"/>
              <w:rPr>
                <w:rFonts w:eastAsia="Times New Roman" w:cs="Times New Roman"/>
                <w:color w:val="000000"/>
                <w:sz w:val="22"/>
              </w:rPr>
            </w:pPr>
          </w:p>
        </w:tc>
        <w:tc>
          <w:tcPr>
            <w:tcW w:w="1260" w:type="dxa"/>
            <w:shd w:val="clear" w:color="auto" w:fill="auto"/>
            <w:noWrap/>
          </w:tcPr>
          <w:p w:rsidR="00CE3E0F" w:rsidRPr="00767DB5" w:rsidRDefault="00B20A4D" w:rsidP="00377521">
            <w:pPr>
              <w:jc w:val="right"/>
              <w:rPr>
                <w:rFonts w:eastAsia="Times New Roman" w:cs="Times New Roman"/>
                <w:color w:val="000000"/>
                <w:sz w:val="22"/>
              </w:rPr>
            </w:pPr>
            <w:r w:rsidRPr="00767DB5">
              <w:rPr>
                <w:rFonts w:eastAsia="Times New Roman" w:cs="Times New Roman"/>
                <w:color w:val="000000"/>
                <w:sz w:val="22"/>
              </w:rPr>
              <w:t>100</w:t>
            </w:r>
          </w:p>
        </w:tc>
        <w:tc>
          <w:tcPr>
            <w:tcW w:w="1352" w:type="dxa"/>
            <w:shd w:val="clear" w:color="auto" w:fill="auto"/>
            <w:noWrap/>
          </w:tcPr>
          <w:p w:rsidR="00CE3E0F" w:rsidRPr="00767DB5" w:rsidRDefault="00CE3E0F" w:rsidP="00377521">
            <w:pPr>
              <w:jc w:val="right"/>
              <w:rPr>
                <w:rFonts w:eastAsia="Times New Roman" w:cs="Times New Roman"/>
                <w:b/>
                <w:color w:val="000000"/>
                <w:sz w:val="22"/>
              </w:rPr>
            </w:pPr>
          </w:p>
        </w:tc>
        <w:tc>
          <w:tcPr>
            <w:tcW w:w="1044" w:type="dxa"/>
            <w:shd w:val="clear" w:color="auto" w:fill="auto"/>
            <w:noWrap/>
            <w:vAlign w:val="bottom"/>
          </w:tcPr>
          <w:p w:rsidR="00CE3E0F" w:rsidRPr="00767DB5" w:rsidRDefault="00B132CE" w:rsidP="00B20A4D">
            <w:pPr>
              <w:jc w:val="right"/>
              <w:rPr>
                <w:rFonts w:eastAsia="Times New Roman" w:cs="Times New Roman"/>
                <w:color w:val="000000"/>
                <w:sz w:val="22"/>
              </w:rPr>
            </w:pPr>
            <w:r w:rsidRPr="00767DB5">
              <w:rPr>
                <w:rFonts w:eastAsia="Times New Roman" w:cs="Times New Roman"/>
                <w:color w:val="000000"/>
                <w:sz w:val="22"/>
              </w:rPr>
              <w:t>270</w:t>
            </w:r>
          </w:p>
        </w:tc>
      </w:tr>
      <w:tr w:rsidR="00CE3E0F" w:rsidRPr="00377521" w:rsidTr="00767DB5">
        <w:trPr>
          <w:trHeight w:val="300"/>
        </w:trPr>
        <w:tc>
          <w:tcPr>
            <w:tcW w:w="2103" w:type="dxa"/>
            <w:shd w:val="clear" w:color="auto" w:fill="auto"/>
            <w:noWrap/>
            <w:hideMark/>
          </w:tcPr>
          <w:p w:rsidR="00CE3E0F" w:rsidRPr="00767DB5" w:rsidRDefault="00CE3E0F" w:rsidP="00377521">
            <w:pPr>
              <w:rPr>
                <w:rFonts w:eastAsia="Times New Roman" w:cs="Times New Roman"/>
                <w:color w:val="000000"/>
                <w:sz w:val="22"/>
              </w:rPr>
            </w:pPr>
            <w:r w:rsidRPr="00767DB5">
              <w:rPr>
                <w:rFonts w:eastAsia="Times New Roman" w:cs="Times New Roman"/>
                <w:color w:val="000000"/>
                <w:sz w:val="22"/>
              </w:rPr>
              <w:t>Total client burden (in $)</w:t>
            </w:r>
          </w:p>
        </w:tc>
        <w:tc>
          <w:tcPr>
            <w:tcW w:w="1446" w:type="dxa"/>
            <w:shd w:val="clear" w:color="auto" w:fill="auto"/>
            <w:noWrap/>
            <w:hideMark/>
          </w:tcPr>
          <w:p w:rsidR="00CE3E0F" w:rsidRPr="00767DB5" w:rsidRDefault="00CE3E0F" w:rsidP="00377521">
            <w:pPr>
              <w:rPr>
                <w:rFonts w:eastAsia="Times New Roman" w:cs="Times New Roman"/>
                <w:color w:val="000000"/>
                <w:sz w:val="22"/>
              </w:rPr>
            </w:pPr>
            <w:r w:rsidRPr="00767DB5">
              <w:rPr>
                <w:rFonts w:eastAsia="Times New Roman" w:cs="Times New Roman"/>
                <w:color w:val="000000"/>
                <w:sz w:val="22"/>
              </w:rPr>
              <w:t xml:space="preserve"> $          7,153 </w:t>
            </w:r>
          </w:p>
        </w:tc>
        <w:tc>
          <w:tcPr>
            <w:tcW w:w="1140" w:type="dxa"/>
            <w:shd w:val="clear" w:color="auto" w:fill="auto"/>
            <w:noWrap/>
            <w:hideMark/>
          </w:tcPr>
          <w:p w:rsidR="00CE3E0F" w:rsidRPr="00767DB5" w:rsidRDefault="00CE3E0F" w:rsidP="004B3053">
            <w:pPr>
              <w:rPr>
                <w:rFonts w:eastAsia="Times New Roman" w:cs="Times New Roman"/>
                <w:color w:val="000000"/>
                <w:sz w:val="22"/>
              </w:rPr>
            </w:pPr>
            <w:r w:rsidRPr="00767DB5">
              <w:rPr>
                <w:rFonts w:eastAsia="Times New Roman" w:cs="Times New Roman"/>
                <w:color w:val="000000"/>
                <w:sz w:val="22"/>
              </w:rPr>
              <w:t xml:space="preserve"> $    1,286 </w:t>
            </w:r>
          </w:p>
        </w:tc>
        <w:tc>
          <w:tcPr>
            <w:tcW w:w="1260" w:type="dxa"/>
            <w:shd w:val="clear" w:color="auto" w:fill="auto"/>
            <w:noWrap/>
            <w:hideMark/>
          </w:tcPr>
          <w:p w:rsidR="00CE3E0F" w:rsidRPr="00767DB5" w:rsidRDefault="00CE3E0F" w:rsidP="00377521">
            <w:pPr>
              <w:rPr>
                <w:rFonts w:eastAsia="Times New Roman" w:cs="Times New Roman"/>
                <w:color w:val="000000"/>
                <w:sz w:val="22"/>
              </w:rPr>
            </w:pPr>
            <w:r w:rsidRPr="00767DB5">
              <w:rPr>
                <w:rFonts w:eastAsia="Times New Roman" w:cs="Times New Roman"/>
                <w:color w:val="000000"/>
                <w:sz w:val="22"/>
              </w:rPr>
              <w:t xml:space="preserve"> $  10,285 </w:t>
            </w:r>
          </w:p>
        </w:tc>
        <w:tc>
          <w:tcPr>
            <w:tcW w:w="1352" w:type="dxa"/>
            <w:shd w:val="clear" w:color="auto" w:fill="auto"/>
            <w:noWrap/>
            <w:hideMark/>
          </w:tcPr>
          <w:p w:rsidR="00CE3E0F" w:rsidRPr="00767DB5" w:rsidRDefault="00CE3E0F" w:rsidP="00377521">
            <w:pPr>
              <w:rPr>
                <w:rFonts w:eastAsia="Times New Roman" w:cs="Times New Roman"/>
                <w:b/>
                <w:color w:val="000000"/>
                <w:sz w:val="22"/>
              </w:rPr>
            </w:pPr>
            <w:r w:rsidRPr="00767DB5">
              <w:rPr>
                <w:rFonts w:eastAsia="Times New Roman" w:cs="Times New Roman"/>
                <w:b/>
                <w:color w:val="000000"/>
                <w:sz w:val="22"/>
              </w:rPr>
              <w:t xml:space="preserve"> $       1,928 </w:t>
            </w:r>
          </w:p>
        </w:tc>
        <w:tc>
          <w:tcPr>
            <w:tcW w:w="1044" w:type="dxa"/>
            <w:shd w:val="clear" w:color="auto" w:fill="auto"/>
            <w:noWrap/>
            <w:hideMark/>
          </w:tcPr>
          <w:p w:rsidR="00CE3E0F" w:rsidRPr="00767DB5" w:rsidRDefault="000750E6" w:rsidP="000750E6">
            <w:pPr>
              <w:rPr>
                <w:rFonts w:eastAsia="Times New Roman" w:cs="Times New Roman"/>
                <w:color w:val="000000"/>
                <w:sz w:val="22"/>
              </w:rPr>
            </w:pPr>
            <w:r w:rsidRPr="00767DB5">
              <w:rPr>
                <w:rFonts w:eastAsia="Times New Roman" w:cs="Times New Roman"/>
                <w:color w:val="000000"/>
                <w:sz w:val="22"/>
              </w:rPr>
              <w:t xml:space="preserve"> $ 20,653</w:t>
            </w:r>
            <w:r w:rsidR="00CE3E0F" w:rsidRPr="00767DB5">
              <w:rPr>
                <w:rFonts w:eastAsia="Times New Roman" w:cs="Times New Roman"/>
                <w:color w:val="000000"/>
                <w:sz w:val="22"/>
              </w:rPr>
              <w:t xml:space="preserve"> </w:t>
            </w:r>
          </w:p>
        </w:tc>
      </w:tr>
    </w:tbl>
    <w:p w:rsidR="00294994" w:rsidRPr="00294994" w:rsidRDefault="00294994" w:rsidP="00294994">
      <w:pPr>
        <w:spacing w:after="120" w:line="240" w:lineRule="auto"/>
        <w:jc w:val="both"/>
        <w:rPr>
          <w:sz w:val="20"/>
          <w:szCs w:val="20"/>
        </w:rPr>
      </w:pPr>
      <w:r w:rsidRPr="00294994">
        <w:rPr>
          <w:sz w:val="20"/>
          <w:szCs w:val="20"/>
        </w:rPr>
        <w:t>*The</w:t>
      </w:r>
      <w:r>
        <w:rPr>
          <w:sz w:val="20"/>
          <w:szCs w:val="20"/>
        </w:rPr>
        <w:t>re</w:t>
      </w:r>
      <w:r w:rsidRPr="00294994">
        <w:rPr>
          <w:sz w:val="20"/>
          <w:szCs w:val="20"/>
        </w:rPr>
        <w:t xml:space="preserve"> are no additional costs associated with the WBC burden as they are performing it under an existing grant.</w:t>
      </w:r>
    </w:p>
    <w:p w:rsidR="00377521" w:rsidRDefault="00CF5A30" w:rsidP="007237F7">
      <w:pPr>
        <w:spacing w:line="360" w:lineRule="auto"/>
        <w:jc w:val="both"/>
      </w:pPr>
      <w:r>
        <w:t>Table 1: Hour Burden Estimate</w:t>
      </w:r>
    </w:p>
    <w:p w:rsidR="007237F7" w:rsidRPr="00243979" w:rsidRDefault="007237F7" w:rsidP="00243979">
      <w:pPr>
        <w:pStyle w:val="Heading2"/>
        <w:spacing w:after="0" w:line="240" w:lineRule="auto"/>
        <w:jc w:val="both"/>
        <w:rPr>
          <w:u w:val="single"/>
        </w:rPr>
      </w:pPr>
      <w:bookmarkStart w:id="45" w:name="_Toc411410187"/>
      <w:bookmarkStart w:id="46" w:name="_Toc411430392"/>
      <w:bookmarkStart w:id="47" w:name="_Toc413831967"/>
      <w:r w:rsidRPr="00243979">
        <w:rPr>
          <w:u w:val="single"/>
        </w:rPr>
        <w:t>Estimates</w:t>
      </w:r>
      <w:r w:rsidRPr="00243979">
        <w:rPr>
          <w:rFonts w:eastAsiaTheme="majorBidi"/>
          <w:u w:val="single"/>
        </w:rPr>
        <w:t xml:space="preserve"> of Other Total Annual Cost Burden to Respondents or Record Keepers</w:t>
      </w:r>
      <w:bookmarkEnd w:id="45"/>
      <w:bookmarkEnd w:id="46"/>
      <w:bookmarkEnd w:id="47"/>
    </w:p>
    <w:p w:rsidR="007237F7" w:rsidRPr="00243979" w:rsidRDefault="007237F7" w:rsidP="00243979">
      <w:pPr>
        <w:spacing w:after="0" w:line="240" w:lineRule="auto"/>
        <w:jc w:val="both"/>
        <w:rPr>
          <w:rFonts w:eastAsiaTheme="majorBidi" w:cs="Times New Roman"/>
          <w:b/>
          <w:bCs/>
          <w:i/>
          <w:szCs w:val="24"/>
        </w:rPr>
      </w:pPr>
      <w:r w:rsidRPr="00243979">
        <w:rPr>
          <w:rFonts w:eastAsiaTheme="majorBidi" w:cs="Times New Roman"/>
          <w:b/>
          <w:bCs/>
          <w:i/>
          <w:szCs w:val="24"/>
        </w:rPr>
        <w:t xml:space="preserve">Provide estimates of the total annual cost burden to respondents or record keepers resulting from the collection of information. </w:t>
      </w:r>
    </w:p>
    <w:p w:rsidR="00C93CA8" w:rsidRPr="0004763D" w:rsidRDefault="00C93CA8" w:rsidP="00243979">
      <w:pPr>
        <w:spacing w:after="0" w:line="240" w:lineRule="auto"/>
        <w:jc w:val="both"/>
        <w:rPr>
          <w:rFonts w:eastAsiaTheme="majorBidi" w:cs="Times New Roman"/>
          <w:b/>
          <w:bCs/>
          <w:szCs w:val="24"/>
        </w:rPr>
      </w:pPr>
    </w:p>
    <w:p w:rsidR="007237F7" w:rsidRPr="0004763D" w:rsidRDefault="007237F7" w:rsidP="007237F7">
      <w:pPr>
        <w:jc w:val="both"/>
        <w:rPr>
          <w:rFonts w:cs="Times New Roman"/>
          <w:szCs w:val="24"/>
        </w:rPr>
      </w:pPr>
      <w:r w:rsidRPr="0004763D">
        <w:rPr>
          <w:rFonts w:cs="Times New Roman"/>
          <w:szCs w:val="24"/>
        </w:rPr>
        <w:t>N/A – there is no other cost burden to respondents or record keepers beyond the</w:t>
      </w:r>
      <w:r w:rsidR="007D21A5">
        <w:rPr>
          <w:rFonts w:cs="Times New Roman"/>
          <w:szCs w:val="24"/>
        </w:rPr>
        <w:t xml:space="preserve"> </w:t>
      </w:r>
      <w:r w:rsidR="008F6DD3">
        <w:rPr>
          <w:rFonts w:cs="Times New Roman"/>
          <w:szCs w:val="24"/>
        </w:rPr>
        <w:t xml:space="preserve">cost reported above. </w:t>
      </w:r>
    </w:p>
    <w:p w:rsidR="007237F7" w:rsidRPr="00D97E89" w:rsidRDefault="007237F7" w:rsidP="00D97E89">
      <w:pPr>
        <w:pStyle w:val="Heading2"/>
        <w:spacing w:after="0" w:line="240" w:lineRule="auto"/>
        <w:jc w:val="both"/>
        <w:rPr>
          <w:rFonts w:eastAsiaTheme="majorBidi" w:cs="Times New Roman"/>
          <w:szCs w:val="24"/>
          <w:u w:val="single"/>
        </w:rPr>
      </w:pPr>
      <w:bookmarkStart w:id="48" w:name="_Toc411410188"/>
      <w:bookmarkStart w:id="49" w:name="_Toc411430393"/>
      <w:bookmarkStart w:id="50" w:name="_Toc413831968"/>
      <w:r w:rsidRPr="00D97E89">
        <w:rPr>
          <w:rFonts w:eastAsiaTheme="majorBidi" w:cs="Times New Roman"/>
          <w:szCs w:val="24"/>
          <w:u w:val="single"/>
        </w:rPr>
        <w:t>Annualized Costs to Federal Government</w:t>
      </w:r>
      <w:bookmarkEnd w:id="48"/>
      <w:bookmarkEnd w:id="49"/>
      <w:bookmarkEnd w:id="50"/>
    </w:p>
    <w:p w:rsidR="007237F7" w:rsidRPr="00D97E89" w:rsidRDefault="007237F7" w:rsidP="00D97E89">
      <w:pPr>
        <w:spacing w:after="0" w:line="240" w:lineRule="auto"/>
        <w:jc w:val="both"/>
        <w:rPr>
          <w:rFonts w:eastAsiaTheme="majorBidi" w:cs="Times New Roman"/>
          <w:b/>
          <w:bCs/>
          <w:i/>
          <w:szCs w:val="24"/>
        </w:rPr>
      </w:pPr>
      <w:r w:rsidRPr="00D97E89">
        <w:rPr>
          <w:rFonts w:eastAsiaTheme="majorBidi" w:cs="Times New Roman"/>
          <w:b/>
          <w:bCs/>
          <w:i/>
          <w:szCs w:val="24"/>
        </w:rPr>
        <w:t>Provide estimates of annualized cost to the Federal government. Provide a description of the method used to estimate cost and any other expense that would not have been incurred without this collection of information.</w:t>
      </w:r>
    </w:p>
    <w:p w:rsidR="008F6DD3" w:rsidRDefault="008F6DD3" w:rsidP="00D97E89">
      <w:pPr>
        <w:spacing w:after="0" w:line="240" w:lineRule="auto"/>
        <w:jc w:val="both"/>
        <w:rPr>
          <w:rFonts w:cs="Times New Roman"/>
          <w:szCs w:val="24"/>
        </w:rPr>
      </w:pPr>
    </w:p>
    <w:p w:rsidR="00773E0F" w:rsidRDefault="007237F7" w:rsidP="00D97E89">
      <w:pPr>
        <w:spacing w:after="0" w:line="240" w:lineRule="auto"/>
        <w:jc w:val="both"/>
      </w:pPr>
      <w:r w:rsidRPr="0004763D">
        <w:rPr>
          <w:rFonts w:cs="Times New Roman"/>
          <w:szCs w:val="24"/>
        </w:rPr>
        <w:t xml:space="preserve">The annualized cost to the federal government for data collection </w:t>
      </w:r>
      <w:r w:rsidR="0063231C">
        <w:rPr>
          <w:rFonts w:cs="Times New Roman"/>
          <w:szCs w:val="24"/>
        </w:rPr>
        <w:t xml:space="preserve">and reporting </w:t>
      </w:r>
      <w:r w:rsidRPr="0004763D">
        <w:rPr>
          <w:rFonts w:cs="Times New Roman"/>
          <w:szCs w:val="24"/>
        </w:rPr>
        <w:t>is $</w:t>
      </w:r>
      <w:r w:rsidR="00D83CDB">
        <w:t>111,862</w:t>
      </w:r>
      <w:r w:rsidRPr="0004763D">
        <w:rPr>
          <w:rFonts w:cs="Times New Roman"/>
          <w:szCs w:val="24"/>
        </w:rPr>
        <w:t>. The figure includes costs associated with the contractor conducting the project</w:t>
      </w:r>
      <w:r w:rsidR="00D83CDB">
        <w:t>, the assistance provided by WBC administrators,</w:t>
      </w:r>
      <w:r w:rsidRPr="0004763D">
        <w:rPr>
          <w:rFonts w:cs="Times New Roman"/>
          <w:szCs w:val="24"/>
        </w:rPr>
        <w:t xml:space="preserve"> and the federal staff overseeing the project. Specifically, the cost of the contractor to complete the study design, instrument design, </w:t>
      </w:r>
      <w:proofErr w:type="gramStart"/>
      <w:r w:rsidRPr="0004763D">
        <w:rPr>
          <w:rFonts w:cs="Times New Roman"/>
          <w:szCs w:val="24"/>
        </w:rPr>
        <w:t>data</w:t>
      </w:r>
      <w:proofErr w:type="gramEnd"/>
      <w:r w:rsidRPr="0004763D">
        <w:rPr>
          <w:rFonts w:cs="Times New Roman"/>
          <w:szCs w:val="24"/>
        </w:rPr>
        <w:t xml:space="preserve"> collection, OMB supporting documentation, data analysis</w:t>
      </w:r>
      <w:r w:rsidR="001072CC">
        <w:rPr>
          <w:rFonts w:cs="Times New Roman"/>
          <w:szCs w:val="24"/>
        </w:rPr>
        <w:t>,</w:t>
      </w:r>
      <w:r w:rsidRPr="0004763D">
        <w:rPr>
          <w:rFonts w:cs="Times New Roman"/>
          <w:szCs w:val="24"/>
        </w:rPr>
        <w:t xml:space="preserve"> and report writing is $97,800, as documented in contract number SBAHQ-13-D-0003. </w:t>
      </w:r>
      <w:r w:rsidR="00D83CDB">
        <w:t>The annual cost of assistance provided by the 45 WBC administrators is $8,535. The estimate is based on an hourly wage of $31.61 and 6 hours of assistance per site to supply the client list, send an initial notification to those on the list, and conduct follow-up reminder e</w:t>
      </w:r>
      <w:r w:rsidR="00303B4E">
        <w:t>-</w:t>
      </w:r>
      <w:r w:rsidR="00D83CDB">
        <w:t>mails or calls</w:t>
      </w:r>
      <w:r w:rsidR="00510784">
        <w:t>.</w:t>
      </w:r>
      <w:r w:rsidR="00D83CDB">
        <w:rPr>
          <w:rStyle w:val="FootnoteReference"/>
        </w:rPr>
        <w:footnoteReference w:id="5"/>
      </w:r>
      <w:r w:rsidR="00D83CDB">
        <w:t xml:space="preserve"> </w:t>
      </w:r>
      <w:r w:rsidRPr="0004763D">
        <w:rPr>
          <w:rFonts w:cs="Times New Roman"/>
          <w:szCs w:val="24"/>
        </w:rPr>
        <w:t>The annual cost of federal employee oversight of the project is estimated to be $</w:t>
      </w:r>
      <w:r w:rsidR="00D83CDB">
        <w:t>5,528</w:t>
      </w:r>
      <w:r w:rsidRPr="00D83CDB">
        <w:rPr>
          <w:rFonts w:cs="Times New Roman"/>
          <w:szCs w:val="24"/>
        </w:rPr>
        <w:t>. The estimate is bas</w:t>
      </w:r>
      <w:r w:rsidR="00D83CDB" w:rsidRPr="00D83CDB">
        <w:rPr>
          <w:rFonts w:cs="Times New Roman"/>
          <w:szCs w:val="24"/>
        </w:rPr>
        <w:t>ed on one Research Analyst GS-11</w:t>
      </w:r>
      <w:r w:rsidRPr="00D83CDB">
        <w:rPr>
          <w:rFonts w:cs="Times New Roman"/>
          <w:szCs w:val="24"/>
        </w:rPr>
        <w:t>, step 1</w:t>
      </w:r>
      <w:r w:rsidR="00D83CDB" w:rsidRPr="00D83CDB">
        <w:rPr>
          <w:rFonts w:cs="Times New Roman"/>
          <w:szCs w:val="24"/>
        </w:rPr>
        <w:t xml:space="preserve"> </w:t>
      </w:r>
      <w:r w:rsidR="00D83CDB" w:rsidRPr="00D83CDB">
        <w:t>with an hourly wage</w:t>
      </w:r>
      <w:r w:rsidR="00D83CDB" w:rsidRPr="00D83CDB">
        <w:rPr>
          <w:rFonts w:cs="Times New Roman"/>
          <w:szCs w:val="24"/>
        </w:rPr>
        <w:t xml:space="preserve"> of</w:t>
      </w:r>
      <w:r w:rsidRPr="00D83CDB">
        <w:rPr>
          <w:rFonts w:cs="Times New Roman"/>
          <w:szCs w:val="24"/>
        </w:rPr>
        <w:t xml:space="preserve"> $</w:t>
      </w:r>
      <w:r w:rsidR="00D83CDB" w:rsidRPr="00D83CDB">
        <w:t xml:space="preserve">30.64 </w:t>
      </w:r>
      <w:r w:rsidR="00D83CDB">
        <w:t xml:space="preserve">and 12 hours of administrative oversight. In addition, it is </w:t>
      </w:r>
      <w:r w:rsidR="00D83CDB">
        <w:lastRenderedPageBreak/>
        <w:t>anticipated that one Senior Advisor, GS-14, step 1 with an hourly wage of $51.60 will spend 100 hours in oversight of the project</w:t>
      </w:r>
      <w:r w:rsidR="006C25BF">
        <w:t>.</w:t>
      </w:r>
      <w:r w:rsidR="00D83CDB">
        <w:rPr>
          <w:rStyle w:val="FootnoteReference"/>
        </w:rPr>
        <w:footnoteReference w:id="6"/>
      </w:r>
    </w:p>
    <w:p w:rsidR="0063231C" w:rsidRDefault="0063231C" w:rsidP="00D97E89">
      <w:pPr>
        <w:spacing w:after="0" w:line="240" w:lineRule="auto"/>
        <w:jc w:val="both"/>
      </w:pPr>
    </w:p>
    <w:tbl>
      <w:tblPr>
        <w:tblW w:w="8651" w:type="dxa"/>
        <w:tblInd w:w="93" w:type="dxa"/>
        <w:tblLook w:val="04A0" w:firstRow="1" w:lastRow="0" w:firstColumn="1" w:lastColumn="0" w:noHBand="0" w:noVBand="1"/>
      </w:tblPr>
      <w:tblGrid>
        <w:gridCol w:w="2355"/>
        <w:gridCol w:w="1610"/>
        <w:gridCol w:w="1000"/>
        <w:gridCol w:w="1100"/>
        <w:gridCol w:w="1206"/>
        <w:gridCol w:w="1380"/>
      </w:tblGrid>
      <w:tr w:rsidR="00773E0F" w:rsidRPr="00773E0F" w:rsidTr="008A676B">
        <w:trPr>
          <w:trHeight w:val="585"/>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Estimates</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773E0F" w:rsidRPr="00773E0F" w:rsidRDefault="00773E0F" w:rsidP="00773E0F">
            <w:pPr>
              <w:spacing w:after="0" w:line="240" w:lineRule="auto"/>
              <w:rPr>
                <w:rFonts w:eastAsia="Times New Roman" w:cs="Times New Roman"/>
                <w:b/>
                <w:bCs/>
                <w:color w:val="000000"/>
                <w:sz w:val="22"/>
              </w:rPr>
            </w:pPr>
            <w:r w:rsidRPr="00773E0F">
              <w:rPr>
                <w:rFonts w:eastAsia="Times New Roman" w:cs="Times New Roman"/>
                <w:b/>
                <w:bCs/>
                <w:color w:val="000000"/>
                <w:sz w:val="22"/>
              </w:rPr>
              <w:t>WBC administrators</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773E0F" w:rsidRPr="00773E0F" w:rsidRDefault="00773E0F" w:rsidP="00773E0F">
            <w:pPr>
              <w:spacing w:after="0" w:line="240" w:lineRule="auto"/>
              <w:rPr>
                <w:rFonts w:eastAsia="Times New Roman" w:cs="Times New Roman"/>
                <w:b/>
                <w:bCs/>
                <w:color w:val="000000"/>
                <w:sz w:val="22"/>
              </w:rPr>
            </w:pPr>
            <w:r w:rsidRPr="00773E0F">
              <w:rPr>
                <w:rFonts w:eastAsia="Times New Roman" w:cs="Times New Roman"/>
                <w:b/>
                <w:bCs/>
                <w:color w:val="000000"/>
                <w:sz w:val="22"/>
              </w:rPr>
              <w:t>SBA COR</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773E0F" w:rsidRPr="00773E0F" w:rsidRDefault="00D961BB" w:rsidP="00773E0F">
            <w:pPr>
              <w:spacing w:after="0" w:line="240" w:lineRule="auto"/>
              <w:rPr>
                <w:rFonts w:eastAsia="Times New Roman" w:cs="Times New Roman"/>
                <w:b/>
                <w:bCs/>
                <w:color w:val="000000"/>
                <w:sz w:val="22"/>
              </w:rPr>
            </w:pPr>
            <w:r>
              <w:rPr>
                <w:rFonts w:eastAsia="Times New Roman" w:cs="Times New Roman"/>
                <w:b/>
                <w:bCs/>
                <w:color w:val="000000"/>
                <w:sz w:val="22"/>
              </w:rPr>
              <w:t>SBA Senior a</w:t>
            </w:r>
            <w:r w:rsidR="00773E0F">
              <w:rPr>
                <w:rFonts w:eastAsia="Times New Roman" w:cs="Times New Roman"/>
                <w:b/>
                <w:bCs/>
                <w:color w:val="000000"/>
                <w:sz w:val="22"/>
              </w:rPr>
              <w:t>dvisor</w:t>
            </w:r>
          </w:p>
        </w:tc>
        <w:tc>
          <w:tcPr>
            <w:tcW w:w="1206" w:type="dxa"/>
            <w:tcBorders>
              <w:top w:val="single" w:sz="4" w:space="0" w:color="auto"/>
              <w:left w:val="nil"/>
              <w:bottom w:val="single" w:sz="4" w:space="0" w:color="auto"/>
              <w:right w:val="single" w:sz="4" w:space="0" w:color="auto"/>
            </w:tcBorders>
            <w:shd w:val="clear" w:color="auto" w:fill="auto"/>
            <w:vAlign w:val="bottom"/>
            <w:hideMark/>
          </w:tcPr>
          <w:p w:rsidR="00773E0F" w:rsidRPr="00773E0F" w:rsidRDefault="00773E0F" w:rsidP="00773E0F">
            <w:pPr>
              <w:spacing w:after="0" w:line="240" w:lineRule="auto"/>
              <w:rPr>
                <w:rFonts w:eastAsia="Times New Roman" w:cs="Times New Roman"/>
                <w:b/>
                <w:bCs/>
                <w:color w:val="000000"/>
                <w:sz w:val="22"/>
              </w:rPr>
            </w:pPr>
            <w:r w:rsidRPr="00773E0F">
              <w:rPr>
                <w:rFonts w:eastAsia="Times New Roman" w:cs="Times New Roman"/>
                <w:b/>
                <w:bCs/>
                <w:color w:val="000000"/>
                <w:sz w:val="22"/>
              </w:rPr>
              <w:t>SBA contractor</w:t>
            </w:r>
          </w:p>
        </w:tc>
        <w:tc>
          <w:tcPr>
            <w:tcW w:w="1380" w:type="dxa"/>
            <w:tcBorders>
              <w:top w:val="single" w:sz="4" w:space="0" w:color="auto"/>
              <w:left w:val="nil"/>
              <w:bottom w:val="single" w:sz="4" w:space="0" w:color="auto"/>
              <w:right w:val="single" w:sz="4" w:space="0" w:color="auto"/>
            </w:tcBorders>
            <w:shd w:val="clear" w:color="auto" w:fill="auto"/>
            <w:vAlign w:val="bottom"/>
            <w:hideMark/>
          </w:tcPr>
          <w:p w:rsidR="00773E0F" w:rsidRPr="00773E0F" w:rsidRDefault="00773E0F" w:rsidP="00773E0F">
            <w:pPr>
              <w:spacing w:after="0" w:line="240" w:lineRule="auto"/>
              <w:rPr>
                <w:rFonts w:eastAsia="Times New Roman" w:cs="Times New Roman"/>
                <w:b/>
                <w:bCs/>
                <w:color w:val="000000"/>
                <w:sz w:val="22"/>
              </w:rPr>
            </w:pPr>
            <w:r w:rsidRPr="00773E0F">
              <w:rPr>
                <w:rFonts w:eastAsia="Times New Roman" w:cs="Times New Roman"/>
                <w:b/>
                <w:bCs/>
                <w:color w:val="000000"/>
                <w:sz w:val="22"/>
              </w:rPr>
              <w:t>Total federal costs</w:t>
            </w:r>
          </w:p>
        </w:tc>
      </w:tr>
      <w:tr w:rsidR="00773E0F" w:rsidRPr="00773E0F" w:rsidTr="008A676B">
        <w:trPr>
          <w:trHeight w:val="315"/>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Number of employees</w:t>
            </w:r>
          </w:p>
        </w:tc>
        <w:tc>
          <w:tcPr>
            <w:tcW w:w="161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jc w:val="right"/>
              <w:rPr>
                <w:rFonts w:eastAsia="Times New Roman" w:cs="Times New Roman"/>
                <w:color w:val="000000"/>
                <w:sz w:val="22"/>
              </w:rPr>
            </w:pPr>
            <w:r w:rsidRPr="00773E0F">
              <w:rPr>
                <w:rFonts w:eastAsia="Times New Roman" w:cs="Times New Roman"/>
                <w:color w:val="000000"/>
                <w:sz w:val="22"/>
              </w:rPr>
              <w:t>45</w:t>
            </w:r>
          </w:p>
        </w:tc>
        <w:tc>
          <w:tcPr>
            <w:tcW w:w="10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jc w:val="right"/>
              <w:rPr>
                <w:rFonts w:eastAsia="Times New Roman" w:cs="Times New Roman"/>
                <w:color w:val="000000"/>
                <w:sz w:val="22"/>
              </w:rPr>
            </w:pPr>
            <w:r w:rsidRPr="00773E0F">
              <w:rPr>
                <w:rFonts w:eastAsia="Times New Roman" w:cs="Times New Roman"/>
                <w:color w:val="000000"/>
                <w:sz w:val="22"/>
              </w:rPr>
              <w:t>1</w:t>
            </w:r>
          </w:p>
        </w:tc>
        <w:tc>
          <w:tcPr>
            <w:tcW w:w="11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jc w:val="right"/>
              <w:rPr>
                <w:rFonts w:eastAsia="Times New Roman" w:cs="Times New Roman"/>
                <w:color w:val="000000"/>
                <w:sz w:val="22"/>
              </w:rPr>
            </w:pPr>
            <w:r w:rsidRPr="00773E0F">
              <w:rPr>
                <w:rFonts w:eastAsia="Times New Roman" w:cs="Times New Roman"/>
                <w:color w:val="000000"/>
                <w:sz w:val="22"/>
              </w:rPr>
              <w:t>1</w:t>
            </w:r>
          </w:p>
        </w:tc>
        <w:tc>
          <w:tcPr>
            <w:tcW w:w="1206"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NA</w:t>
            </w:r>
          </w:p>
        </w:tc>
        <w:tc>
          <w:tcPr>
            <w:tcW w:w="138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NA</w:t>
            </w:r>
          </w:p>
        </w:tc>
      </w:tr>
      <w:tr w:rsidR="00773E0F" w:rsidRPr="00773E0F" w:rsidTr="008A676B">
        <w:trPr>
          <w:trHeight w:val="315"/>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Hours anticipated</w:t>
            </w:r>
          </w:p>
        </w:tc>
        <w:tc>
          <w:tcPr>
            <w:tcW w:w="161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jc w:val="right"/>
              <w:rPr>
                <w:rFonts w:eastAsia="Times New Roman" w:cs="Times New Roman"/>
                <w:color w:val="000000"/>
                <w:sz w:val="22"/>
              </w:rPr>
            </w:pPr>
            <w:r w:rsidRPr="00773E0F">
              <w:rPr>
                <w:rFonts w:eastAsia="Times New Roman" w:cs="Times New Roman"/>
                <w:color w:val="000000"/>
                <w:sz w:val="22"/>
              </w:rPr>
              <w:t>6</w:t>
            </w:r>
          </w:p>
        </w:tc>
        <w:tc>
          <w:tcPr>
            <w:tcW w:w="10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jc w:val="right"/>
              <w:rPr>
                <w:rFonts w:eastAsia="Times New Roman" w:cs="Times New Roman"/>
                <w:color w:val="000000"/>
                <w:sz w:val="22"/>
              </w:rPr>
            </w:pPr>
            <w:r w:rsidRPr="00773E0F">
              <w:rPr>
                <w:rFonts w:eastAsia="Times New Roman" w:cs="Times New Roman"/>
                <w:color w:val="000000"/>
                <w:sz w:val="22"/>
              </w:rPr>
              <w:t>12</w:t>
            </w:r>
          </w:p>
        </w:tc>
        <w:tc>
          <w:tcPr>
            <w:tcW w:w="11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jc w:val="right"/>
              <w:rPr>
                <w:rFonts w:eastAsia="Times New Roman" w:cs="Times New Roman"/>
                <w:color w:val="000000"/>
                <w:sz w:val="22"/>
              </w:rPr>
            </w:pPr>
            <w:r w:rsidRPr="00773E0F">
              <w:rPr>
                <w:rFonts w:eastAsia="Times New Roman" w:cs="Times New Roman"/>
                <w:color w:val="000000"/>
                <w:sz w:val="22"/>
              </w:rPr>
              <w:t>100</w:t>
            </w:r>
          </w:p>
        </w:tc>
        <w:tc>
          <w:tcPr>
            <w:tcW w:w="1206"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NA</w:t>
            </w:r>
          </w:p>
        </w:tc>
        <w:tc>
          <w:tcPr>
            <w:tcW w:w="138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NA</w:t>
            </w:r>
          </w:p>
        </w:tc>
      </w:tr>
      <w:tr w:rsidR="00773E0F" w:rsidRPr="00773E0F" w:rsidTr="008A676B">
        <w:trPr>
          <w:trHeight w:val="315"/>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Average hourly pay</w:t>
            </w:r>
          </w:p>
        </w:tc>
        <w:tc>
          <w:tcPr>
            <w:tcW w:w="161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31.61 </w:t>
            </w:r>
          </w:p>
        </w:tc>
        <w:tc>
          <w:tcPr>
            <w:tcW w:w="10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30.64 </w:t>
            </w:r>
          </w:p>
        </w:tc>
        <w:tc>
          <w:tcPr>
            <w:tcW w:w="11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51.60 </w:t>
            </w:r>
          </w:p>
        </w:tc>
        <w:tc>
          <w:tcPr>
            <w:tcW w:w="1206"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NA </w:t>
            </w:r>
          </w:p>
        </w:tc>
        <w:tc>
          <w:tcPr>
            <w:tcW w:w="138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NA </w:t>
            </w:r>
          </w:p>
        </w:tc>
      </w:tr>
      <w:tr w:rsidR="00773E0F" w:rsidRPr="00773E0F" w:rsidTr="008A676B">
        <w:trPr>
          <w:trHeight w:val="315"/>
        </w:trPr>
        <w:tc>
          <w:tcPr>
            <w:tcW w:w="2355" w:type="dxa"/>
            <w:tcBorders>
              <w:top w:val="nil"/>
              <w:left w:val="single" w:sz="4" w:space="0" w:color="auto"/>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Total cost</w:t>
            </w:r>
          </w:p>
        </w:tc>
        <w:tc>
          <w:tcPr>
            <w:tcW w:w="161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8,535 </w:t>
            </w:r>
          </w:p>
        </w:tc>
        <w:tc>
          <w:tcPr>
            <w:tcW w:w="10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368 </w:t>
            </w:r>
          </w:p>
        </w:tc>
        <w:tc>
          <w:tcPr>
            <w:tcW w:w="110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5,160 </w:t>
            </w:r>
          </w:p>
        </w:tc>
        <w:tc>
          <w:tcPr>
            <w:tcW w:w="1206"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97,800 </w:t>
            </w:r>
          </w:p>
        </w:tc>
        <w:tc>
          <w:tcPr>
            <w:tcW w:w="1380" w:type="dxa"/>
            <w:tcBorders>
              <w:top w:val="nil"/>
              <w:left w:val="nil"/>
              <w:bottom w:val="single" w:sz="4" w:space="0" w:color="auto"/>
              <w:right w:val="single" w:sz="4" w:space="0" w:color="auto"/>
            </w:tcBorders>
            <w:shd w:val="clear" w:color="auto" w:fill="auto"/>
            <w:noWrap/>
            <w:vAlign w:val="bottom"/>
            <w:hideMark/>
          </w:tcPr>
          <w:p w:rsidR="00773E0F" w:rsidRPr="00773E0F" w:rsidRDefault="00773E0F" w:rsidP="00773E0F">
            <w:pPr>
              <w:spacing w:after="0" w:line="240" w:lineRule="auto"/>
              <w:rPr>
                <w:rFonts w:eastAsia="Times New Roman" w:cs="Times New Roman"/>
                <w:color w:val="000000"/>
                <w:sz w:val="22"/>
              </w:rPr>
            </w:pPr>
            <w:r w:rsidRPr="00773E0F">
              <w:rPr>
                <w:rFonts w:eastAsia="Times New Roman" w:cs="Times New Roman"/>
                <w:color w:val="000000"/>
                <w:sz w:val="22"/>
              </w:rPr>
              <w:t xml:space="preserve"> $     111,862 </w:t>
            </w:r>
          </w:p>
        </w:tc>
      </w:tr>
    </w:tbl>
    <w:p w:rsidR="007237F7" w:rsidRPr="0004763D" w:rsidRDefault="00D83CDB" w:rsidP="007237F7">
      <w:pPr>
        <w:spacing w:line="360" w:lineRule="auto"/>
        <w:jc w:val="both"/>
        <w:rPr>
          <w:rFonts w:cs="Times New Roman"/>
          <w:szCs w:val="24"/>
        </w:rPr>
      </w:pPr>
      <w:r>
        <w:t xml:space="preserve"> </w:t>
      </w:r>
      <w:r w:rsidR="00B32950">
        <w:t>Table 2: Annualized Cost to Federal Government</w:t>
      </w:r>
    </w:p>
    <w:p w:rsidR="007237F7" w:rsidRPr="00D97E89" w:rsidRDefault="007237F7" w:rsidP="00D97E89">
      <w:pPr>
        <w:pStyle w:val="Heading2"/>
        <w:spacing w:after="0" w:line="240" w:lineRule="auto"/>
        <w:jc w:val="both"/>
        <w:rPr>
          <w:rFonts w:cs="Times New Roman"/>
          <w:szCs w:val="24"/>
          <w:u w:val="single"/>
        </w:rPr>
      </w:pPr>
      <w:bookmarkStart w:id="51" w:name="_Toc411410189"/>
      <w:bookmarkStart w:id="52" w:name="_Toc411430394"/>
      <w:bookmarkStart w:id="53" w:name="_Toc413831969"/>
      <w:r w:rsidRPr="00D97E89">
        <w:rPr>
          <w:rFonts w:eastAsiaTheme="majorBidi" w:cs="Times New Roman"/>
          <w:szCs w:val="24"/>
          <w:u w:val="single"/>
        </w:rPr>
        <w:t>Explanation for Program Changes or Adjustments</w:t>
      </w:r>
      <w:bookmarkEnd w:id="51"/>
      <w:bookmarkEnd w:id="52"/>
      <w:bookmarkEnd w:id="53"/>
    </w:p>
    <w:p w:rsidR="007237F7" w:rsidRPr="00D97E89" w:rsidRDefault="007237F7" w:rsidP="00D97E89">
      <w:pPr>
        <w:spacing w:after="0" w:line="240" w:lineRule="auto"/>
        <w:jc w:val="both"/>
        <w:rPr>
          <w:rFonts w:eastAsiaTheme="majorBidi" w:cs="Times New Roman"/>
          <w:b/>
          <w:bCs/>
          <w:i/>
          <w:szCs w:val="24"/>
        </w:rPr>
      </w:pPr>
      <w:r w:rsidRPr="00D97E89">
        <w:rPr>
          <w:rFonts w:eastAsiaTheme="majorBidi" w:cs="Times New Roman"/>
          <w:b/>
          <w:bCs/>
          <w:i/>
          <w:szCs w:val="24"/>
        </w:rPr>
        <w:t>Explain the reasons for any program changes or adjustments reported in items 13 or 14 of OMB form 83-I.</w:t>
      </w:r>
    </w:p>
    <w:p w:rsidR="008F6DD3" w:rsidRDefault="008F6DD3" w:rsidP="00D97E89">
      <w:pPr>
        <w:spacing w:after="0" w:line="240" w:lineRule="auto"/>
        <w:jc w:val="both"/>
        <w:rPr>
          <w:rFonts w:cs="Times New Roman"/>
          <w:szCs w:val="24"/>
        </w:rPr>
      </w:pPr>
    </w:p>
    <w:p w:rsidR="007237F7" w:rsidRDefault="007237F7" w:rsidP="00D97E89">
      <w:pPr>
        <w:spacing w:after="0" w:line="240" w:lineRule="auto"/>
        <w:jc w:val="both"/>
        <w:rPr>
          <w:rFonts w:cs="Times New Roman"/>
          <w:szCs w:val="24"/>
        </w:rPr>
      </w:pPr>
      <w:r w:rsidRPr="0004763D">
        <w:rPr>
          <w:rFonts w:cs="Times New Roman"/>
          <w:szCs w:val="24"/>
        </w:rPr>
        <w:t xml:space="preserve">N/A - this </w:t>
      </w:r>
      <w:r w:rsidR="006C25BF">
        <w:rPr>
          <w:rFonts w:cs="Times New Roman"/>
          <w:szCs w:val="24"/>
        </w:rPr>
        <w:t xml:space="preserve">data collection request </w:t>
      </w:r>
      <w:r w:rsidRPr="0004763D">
        <w:rPr>
          <w:rFonts w:cs="Times New Roman"/>
          <w:szCs w:val="24"/>
        </w:rPr>
        <w:t>is new.</w:t>
      </w:r>
    </w:p>
    <w:p w:rsidR="00C93CA8" w:rsidRPr="0004763D" w:rsidRDefault="00C93CA8" w:rsidP="00D97E89">
      <w:pPr>
        <w:spacing w:after="0" w:line="240" w:lineRule="auto"/>
        <w:jc w:val="both"/>
        <w:rPr>
          <w:rFonts w:cs="Times New Roman"/>
          <w:szCs w:val="24"/>
        </w:rPr>
      </w:pPr>
    </w:p>
    <w:p w:rsidR="007237F7" w:rsidRPr="00D97E89" w:rsidRDefault="007237F7" w:rsidP="00D97E89">
      <w:pPr>
        <w:pStyle w:val="Heading2"/>
        <w:spacing w:after="0" w:line="240" w:lineRule="auto"/>
        <w:jc w:val="both"/>
        <w:rPr>
          <w:rFonts w:cs="Times New Roman"/>
          <w:szCs w:val="24"/>
          <w:u w:val="single"/>
        </w:rPr>
      </w:pPr>
      <w:bookmarkStart w:id="54" w:name="_Toc411410190"/>
      <w:bookmarkStart w:id="55" w:name="_Toc411430395"/>
      <w:bookmarkStart w:id="56" w:name="_Toc413831970"/>
      <w:r w:rsidRPr="00D97E89">
        <w:rPr>
          <w:rFonts w:eastAsiaTheme="majorBidi" w:cs="Times New Roman"/>
          <w:szCs w:val="24"/>
          <w:u w:val="single"/>
        </w:rPr>
        <w:t>Plans for Tabulation and Publication and Project Time Schedule</w:t>
      </w:r>
      <w:bookmarkEnd w:id="54"/>
      <w:bookmarkEnd w:id="55"/>
      <w:bookmarkEnd w:id="56"/>
    </w:p>
    <w:p w:rsidR="007237F7" w:rsidRPr="00D97E89" w:rsidRDefault="007237F7" w:rsidP="00D97E89">
      <w:pPr>
        <w:spacing w:after="0" w:line="240" w:lineRule="auto"/>
        <w:jc w:val="both"/>
        <w:rPr>
          <w:rFonts w:eastAsiaTheme="majorBidi" w:cs="Times New Roman"/>
          <w:b/>
          <w:bCs/>
          <w:i/>
          <w:szCs w:val="24"/>
        </w:rPr>
      </w:pPr>
      <w:r w:rsidRPr="00D97E89">
        <w:rPr>
          <w:rFonts w:eastAsiaTheme="majorBidi" w:cs="Times New Roman"/>
          <w:b/>
          <w:bCs/>
          <w:i/>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93CA8" w:rsidRDefault="00C93CA8" w:rsidP="00D97E89">
      <w:pPr>
        <w:spacing w:after="0" w:line="240" w:lineRule="auto"/>
        <w:jc w:val="both"/>
        <w:rPr>
          <w:rFonts w:cs="Times New Roman"/>
          <w:szCs w:val="24"/>
        </w:rPr>
      </w:pPr>
    </w:p>
    <w:p w:rsidR="007237F7" w:rsidRDefault="007237F7" w:rsidP="00D97E89">
      <w:pPr>
        <w:spacing w:after="0" w:line="240" w:lineRule="auto"/>
        <w:jc w:val="both"/>
        <w:rPr>
          <w:rFonts w:cs="Times New Roman"/>
          <w:szCs w:val="24"/>
        </w:rPr>
      </w:pPr>
      <w:r w:rsidRPr="007237F7">
        <w:rPr>
          <w:rFonts w:cs="Times New Roman"/>
          <w:szCs w:val="24"/>
        </w:rPr>
        <w:t>This study will use quantitative methods to analyze the survey data and produce tabulations in a public report. The descriptive statistics will include frequencies, averages</w:t>
      </w:r>
      <w:r w:rsidR="00DC4ED5">
        <w:rPr>
          <w:rFonts w:cs="Times New Roman"/>
          <w:szCs w:val="24"/>
        </w:rPr>
        <w:t>,</w:t>
      </w:r>
      <w:r w:rsidRPr="007237F7">
        <w:rPr>
          <w:rFonts w:cs="Times New Roman"/>
          <w:szCs w:val="24"/>
        </w:rPr>
        <w:t xml:space="preserve"> and ranges for the data elements. Standard errors and 95</w:t>
      </w:r>
      <w:r w:rsidR="008C3EB8">
        <w:rPr>
          <w:rFonts w:cs="Times New Roman"/>
          <w:szCs w:val="24"/>
        </w:rPr>
        <w:t xml:space="preserve"> percent</w:t>
      </w:r>
      <w:r w:rsidRPr="007237F7">
        <w:rPr>
          <w:rFonts w:cs="Times New Roman"/>
          <w:szCs w:val="24"/>
        </w:rPr>
        <w:t xml:space="preserve"> confidence intervals will be provided for the estimates in a technical appendix. The reported estimates will be weighted, and </w:t>
      </w:r>
      <w:proofErr w:type="spellStart"/>
      <w:r w:rsidRPr="007237F7">
        <w:rPr>
          <w:rFonts w:cs="Times New Roman"/>
          <w:szCs w:val="24"/>
        </w:rPr>
        <w:t>unweighted</w:t>
      </w:r>
      <w:proofErr w:type="spellEnd"/>
      <w:r w:rsidRPr="007237F7">
        <w:rPr>
          <w:rFonts w:cs="Times New Roman"/>
          <w:szCs w:val="24"/>
        </w:rPr>
        <w:t xml:space="preserve"> estimates will potentially be contained in the technical appendix. </w:t>
      </w:r>
      <w:r w:rsidR="008F1D52">
        <w:rPr>
          <w:rFonts w:cs="Times New Roman"/>
          <w:szCs w:val="24"/>
        </w:rPr>
        <w:t xml:space="preserve">If the report includes cross-tabulations, inferential statistics will be used to determine whether or not the group differences are statistically significant at conventional levels. </w:t>
      </w:r>
      <w:r w:rsidRPr="007237F7">
        <w:rPr>
          <w:rFonts w:cs="Times New Roman"/>
          <w:szCs w:val="24"/>
        </w:rPr>
        <w:t>The report is expected to include tables for the descriptive statistics in the technical appendix and graphical elements in the body of the report, such as pie charts and maps in order to visually</w:t>
      </w:r>
      <w:r w:rsidR="008F1D52">
        <w:rPr>
          <w:rFonts w:cs="Times New Roman"/>
          <w:szCs w:val="24"/>
        </w:rPr>
        <w:t xml:space="preserve"> represent the data. The survey</w:t>
      </w:r>
      <w:r w:rsidRPr="007237F7">
        <w:rPr>
          <w:rFonts w:cs="Times New Roman"/>
          <w:szCs w:val="24"/>
        </w:rPr>
        <w:t xml:space="preserve"> will be administered in </w:t>
      </w:r>
      <w:r w:rsidR="00522B30">
        <w:rPr>
          <w:rFonts w:cs="Times New Roman"/>
          <w:szCs w:val="24"/>
        </w:rPr>
        <w:t>July</w:t>
      </w:r>
      <w:r w:rsidR="00522B30" w:rsidRPr="007237F7">
        <w:rPr>
          <w:rFonts w:cs="Times New Roman"/>
          <w:szCs w:val="24"/>
        </w:rPr>
        <w:t xml:space="preserve"> </w:t>
      </w:r>
      <w:r w:rsidRPr="007237F7">
        <w:rPr>
          <w:rFonts w:cs="Times New Roman"/>
          <w:szCs w:val="24"/>
        </w:rPr>
        <w:t xml:space="preserve">2015. </w:t>
      </w:r>
      <w:r w:rsidR="00DC4ED5">
        <w:rPr>
          <w:rFonts w:cs="Times New Roman"/>
          <w:szCs w:val="24"/>
        </w:rPr>
        <w:t xml:space="preserve">The topline results will be provided to the AWBC upon completion. </w:t>
      </w:r>
      <w:r w:rsidRPr="007237F7">
        <w:rPr>
          <w:rFonts w:cs="Times New Roman"/>
          <w:szCs w:val="24"/>
        </w:rPr>
        <w:t xml:space="preserve">The complete schedule for the project is attached in </w:t>
      </w:r>
      <w:r w:rsidR="00593C29">
        <w:rPr>
          <w:rFonts w:cs="Times New Roman"/>
          <w:szCs w:val="24"/>
        </w:rPr>
        <w:t>a</w:t>
      </w:r>
      <w:r w:rsidRPr="007237F7">
        <w:rPr>
          <w:rFonts w:cs="Times New Roman"/>
          <w:szCs w:val="24"/>
        </w:rPr>
        <w:t>ppendix V. Project Schedule.</w:t>
      </w:r>
    </w:p>
    <w:p w:rsidR="00C93CA8" w:rsidRPr="0004763D" w:rsidRDefault="00C93CA8" w:rsidP="00D97E89">
      <w:pPr>
        <w:spacing w:after="0" w:line="240" w:lineRule="auto"/>
        <w:jc w:val="both"/>
        <w:rPr>
          <w:rFonts w:cs="Times New Roman"/>
          <w:szCs w:val="24"/>
        </w:rPr>
      </w:pPr>
    </w:p>
    <w:p w:rsidR="007237F7" w:rsidRPr="00D97E89" w:rsidRDefault="007237F7" w:rsidP="00D97E89">
      <w:pPr>
        <w:pStyle w:val="Heading2"/>
        <w:spacing w:after="0" w:line="240" w:lineRule="auto"/>
        <w:jc w:val="both"/>
        <w:rPr>
          <w:rFonts w:eastAsiaTheme="majorBidi" w:cs="Times New Roman"/>
          <w:szCs w:val="24"/>
          <w:u w:val="single"/>
        </w:rPr>
      </w:pPr>
      <w:bookmarkStart w:id="57" w:name="_Toc411410191"/>
      <w:bookmarkStart w:id="58" w:name="_Toc411430396"/>
      <w:bookmarkStart w:id="59" w:name="_Toc413831971"/>
      <w:r w:rsidRPr="00D97E89">
        <w:rPr>
          <w:rFonts w:eastAsiaTheme="majorBidi" w:cs="Times New Roman"/>
          <w:szCs w:val="24"/>
          <w:u w:val="single"/>
        </w:rPr>
        <w:t>Reason(s) Display of OMB Expiration Date is Inappropriate</w:t>
      </w:r>
      <w:bookmarkEnd w:id="57"/>
      <w:bookmarkEnd w:id="58"/>
      <w:bookmarkEnd w:id="59"/>
    </w:p>
    <w:p w:rsidR="007237F7" w:rsidRDefault="007237F7" w:rsidP="00D97E89">
      <w:pPr>
        <w:spacing w:after="0" w:line="240" w:lineRule="auto"/>
        <w:jc w:val="both"/>
        <w:rPr>
          <w:rFonts w:eastAsiaTheme="majorBidi" w:cs="Times New Roman"/>
          <w:b/>
          <w:bCs/>
          <w:szCs w:val="24"/>
        </w:rPr>
      </w:pPr>
      <w:r w:rsidRPr="00D97E89">
        <w:rPr>
          <w:rFonts w:eastAsiaTheme="majorBidi" w:cs="Times New Roman"/>
          <w:b/>
          <w:bCs/>
          <w:i/>
          <w:szCs w:val="24"/>
        </w:rPr>
        <w:t>If seeking approval to not display the expiration date for OMB approval of the information collection, explain the reasons that display would be inappropriate</w:t>
      </w:r>
      <w:r w:rsidRPr="0004763D">
        <w:rPr>
          <w:rFonts w:eastAsiaTheme="majorBidi" w:cs="Times New Roman"/>
          <w:b/>
          <w:bCs/>
          <w:szCs w:val="24"/>
        </w:rPr>
        <w:t>.</w:t>
      </w:r>
    </w:p>
    <w:p w:rsidR="00C93CA8" w:rsidRPr="0004763D" w:rsidRDefault="00C93CA8" w:rsidP="00D97E89">
      <w:pPr>
        <w:spacing w:after="0" w:line="240" w:lineRule="auto"/>
        <w:jc w:val="both"/>
        <w:rPr>
          <w:rFonts w:eastAsiaTheme="majorBidi" w:cs="Times New Roman"/>
          <w:b/>
          <w:bCs/>
          <w:szCs w:val="24"/>
        </w:rPr>
      </w:pPr>
    </w:p>
    <w:p w:rsidR="007237F7" w:rsidRPr="0004763D" w:rsidRDefault="007237F7" w:rsidP="007237F7">
      <w:pPr>
        <w:jc w:val="both"/>
        <w:rPr>
          <w:rFonts w:cs="Times New Roman"/>
          <w:szCs w:val="24"/>
        </w:rPr>
      </w:pPr>
      <w:r w:rsidRPr="0004763D">
        <w:rPr>
          <w:rFonts w:cs="Times New Roman"/>
          <w:szCs w:val="24"/>
        </w:rPr>
        <w:lastRenderedPageBreak/>
        <w:t>N/A – data collection instrument will display the OMB approval expiration date.</w:t>
      </w:r>
    </w:p>
    <w:p w:rsidR="007237F7" w:rsidRPr="00D97E89" w:rsidRDefault="007237F7" w:rsidP="00D97E89">
      <w:pPr>
        <w:pStyle w:val="Heading2"/>
        <w:spacing w:after="0" w:line="240" w:lineRule="auto"/>
        <w:jc w:val="both"/>
        <w:rPr>
          <w:rFonts w:eastAsiaTheme="majorBidi" w:cs="Times New Roman"/>
          <w:szCs w:val="24"/>
          <w:u w:val="single"/>
        </w:rPr>
      </w:pPr>
      <w:bookmarkStart w:id="60" w:name="_Toc381944843"/>
      <w:bookmarkStart w:id="61" w:name="_Toc411410192"/>
      <w:bookmarkStart w:id="62" w:name="_Toc411430397"/>
      <w:bookmarkStart w:id="63" w:name="_Toc413831972"/>
      <w:r w:rsidRPr="00D97E89">
        <w:rPr>
          <w:rFonts w:eastAsiaTheme="majorBidi" w:cs="Times New Roman"/>
          <w:szCs w:val="24"/>
          <w:u w:val="single"/>
        </w:rPr>
        <w:t>Exceptions to Certification for Paperwork Reduction Act Submissions</w:t>
      </w:r>
      <w:bookmarkEnd w:id="60"/>
      <w:bookmarkEnd w:id="61"/>
      <w:bookmarkEnd w:id="62"/>
      <w:bookmarkEnd w:id="63"/>
    </w:p>
    <w:p w:rsidR="007237F7" w:rsidRDefault="007237F7" w:rsidP="00D97E89">
      <w:pPr>
        <w:spacing w:after="0" w:line="240" w:lineRule="auto"/>
        <w:jc w:val="both"/>
        <w:rPr>
          <w:rFonts w:eastAsiaTheme="majorBidi" w:cs="Times New Roman"/>
          <w:b/>
          <w:bCs/>
          <w:i/>
          <w:szCs w:val="24"/>
        </w:rPr>
      </w:pPr>
      <w:r w:rsidRPr="00D97E89">
        <w:rPr>
          <w:rFonts w:eastAsiaTheme="majorBidi" w:cs="Times New Roman"/>
          <w:b/>
          <w:bCs/>
          <w:i/>
          <w:szCs w:val="24"/>
        </w:rPr>
        <w:t>Explain each exception to the certification statement identified in item 19, "Certification Requirement for Paperwork Reduction Act." of OMB Form 83-I. Part V "Certification Requirement for Paperwork Reduction Act." If Agency is not requesting an exception, the standard statement should be used.</w:t>
      </w:r>
    </w:p>
    <w:p w:rsidR="00C93CA8" w:rsidRPr="00D97E89" w:rsidRDefault="00C93CA8" w:rsidP="00D97E89">
      <w:pPr>
        <w:spacing w:after="0" w:line="240" w:lineRule="auto"/>
        <w:jc w:val="both"/>
        <w:rPr>
          <w:rFonts w:eastAsiaTheme="majorBidi" w:cs="Times New Roman"/>
          <w:b/>
          <w:bCs/>
          <w:i/>
          <w:szCs w:val="24"/>
        </w:rPr>
      </w:pPr>
    </w:p>
    <w:p w:rsidR="007237F7" w:rsidRDefault="007237F7" w:rsidP="00D97E89">
      <w:pPr>
        <w:spacing w:after="0" w:line="240" w:lineRule="auto"/>
        <w:jc w:val="both"/>
        <w:rPr>
          <w:rFonts w:eastAsiaTheme="majorEastAsia" w:cstheme="majorBidi"/>
          <w:b/>
          <w:color w:val="1F497D" w:themeColor="text2"/>
          <w:szCs w:val="28"/>
        </w:rPr>
      </w:pPr>
      <w:r w:rsidRPr="0004763D">
        <w:rPr>
          <w:rFonts w:cs="Times New Roman"/>
          <w:szCs w:val="24"/>
        </w:rPr>
        <w:t>N/A – the agency is not requesting an exception to the certification statement.</w:t>
      </w:r>
      <w:r>
        <w:br w:type="page"/>
      </w:r>
    </w:p>
    <w:p w:rsidR="00FC148D" w:rsidRDefault="00FC148D" w:rsidP="00D97E89">
      <w:pPr>
        <w:pStyle w:val="Heading1"/>
        <w:spacing w:after="0" w:line="360" w:lineRule="auto"/>
        <w:jc w:val="both"/>
        <w:rPr>
          <w:rFonts w:asciiTheme="majorBidi" w:hAnsiTheme="majorBidi"/>
        </w:rPr>
      </w:pPr>
      <w:bookmarkStart w:id="64" w:name="_Toc413831973"/>
      <w:r w:rsidRPr="009E1060">
        <w:lastRenderedPageBreak/>
        <w:t>PART</w:t>
      </w:r>
      <w:r w:rsidR="008C697C">
        <w:t xml:space="preserve"> B</w:t>
      </w:r>
      <w:r w:rsidRPr="00FC148D">
        <w:t xml:space="preserve">. </w:t>
      </w:r>
      <w:r w:rsidR="008C697C" w:rsidRPr="00BE27FF">
        <w:rPr>
          <w:rFonts w:asciiTheme="majorBidi" w:hAnsiTheme="majorBidi"/>
        </w:rPr>
        <w:t>Collections of Information Employing Statistical Methods</w:t>
      </w:r>
      <w:bookmarkEnd w:id="64"/>
    </w:p>
    <w:p w:rsidR="00B449F6" w:rsidRPr="00D97E89" w:rsidRDefault="008C697C" w:rsidP="00D97E89">
      <w:pPr>
        <w:pStyle w:val="Heading2"/>
        <w:numPr>
          <w:ilvl w:val="0"/>
          <w:numId w:val="13"/>
        </w:numPr>
        <w:spacing w:after="0" w:line="240" w:lineRule="auto"/>
        <w:rPr>
          <w:u w:val="single"/>
        </w:rPr>
      </w:pPr>
      <w:bookmarkStart w:id="65" w:name="_Toc381944845"/>
      <w:bookmarkStart w:id="66" w:name="_Toc385234337"/>
      <w:bookmarkStart w:id="67" w:name="_Toc411262004"/>
      <w:bookmarkStart w:id="68" w:name="_Toc413831974"/>
      <w:r w:rsidRPr="00D97E89">
        <w:rPr>
          <w:u w:val="single"/>
        </w:rPr>
        <w:t>Universe and Sampling Respondent Selection</w:t>
      </w:r>
      <w:bookmarkEnd w:id="65"/>
      <w:bookmarkEnd w:id="66"/>
      <w:bookmarkEnd w:id="67"/>
      <w:bookmarkEnd w:id="68"/>
      <w:r w:rsidR="00B449F6" w:rsidRPr="00D97E89">
        <w:rPr>
          <w:rFonts w:eastAsiaTheme="majorBidi"/>
          <w:u w:val="single"/>
        </w:rPr>
        <w:t xml:space="preserve"> </w:t>
      </w:r>
    </w:p>
    <w:p w:rsidR="008C697C" w:rsidRDefault="008C697C" w:rsidP="00D97E89">
      <w:pPr>
        <w:spacing w:after="0" w:line="240" w:lineRule="auto"/>
        <w:jc w:val="both"/>
        <w:rPr>
          <w:rFonts w:asciiTheme="majorBidi" w:eastAsiaTheme="majorBidi" w:hAnsiTheme="majorBidi" w:cstheme="majorBidi"/>
          <w:b/>
          <w:bCs/>
        </w:rPr>
      </w:pPr>
      <w:bookmarkStart w:id="69" w:name="_Toc385234142"/>
      <w:bookmarkStart w:id="70" w:name="_Toc385234338"/>
      <w:r w:rsidRPr="00D97E89">
        <w:rPr>
          <w:rFonts w:asciiTheme="majorBidi" w:eastAsiaTheme="majorBidi" w:hAnsiTheme="majorBidi" w:cstheme="majorBidi"/>
          <w:b/>
          <w:bCs/>
          <w: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7CBBD0AF">
        <w:rPr>
          <w:rFonts w:asciiTheme="majorBidi" w:eastAsiaTheme="majorBidi" w:hAnsiTheme="majorBidi" w:cstheme="majorBidi"/>
          <w:b/>
          <w:bCs/>
        </w:rPr>
        <w:t>.</w:t>
      </w:r>
      <w:bookmarkEnd w:id="69"/>
      <w:bookmarkEnd w:id="70"/>
    </w:p>
    <w:p w:rsidR="00C93CA8" w:rsidRDefault="00C93CA8" w:rsidP="00D97E89">
      <w:pPr>
        <w:spacing w:after="0" w:line="240" w:lineRule="auto"/>
        <w:jc w:val="both"/>
        <w:rPr>
          <w:rFonts w:asciiTheme="majorBidi" w:eastAsiaTheme="majorBidi" w:hAnsiTheme="majorBidi" w:cstheme="majorBidi"/>
          <w:b/>
          <w:bCs/>
        </w:rPr>
      </w:pPr>
    </w:p>
    <w:p w:rsidR="008C697C" w:rsidRDefault="008C697C" w:rsidP="00D97E89">
      <w:pPr>
        <w:spacing w:after="0" w:line="240" w:lineRule="auto"/>
        <w:jc w:val="both"/>
      </w:pPr>
      <w:r w:rsidRPr="00A921AD">
        <w:t>A national survey of WBC clients will be conducted to assess the short- and long</w:t>
      </w:r>
      <w:r w:rsidR="008A0756">
        <w:t>-</w:t>
      </w:r>
      <w:r w:rsidRPr="00A921AD">
        <w:t xml:space="preserve">term </w:t>
      </w:r>
      <w:r>
        <w:t>changes in behavior and performance after</w:t>
      </w:r>
      <w:r w:rsidRPr="00A921AD">
        <w:t xml:space="preserve"> </w:t>
      </w:r>
      <w:r w:rsidR="008A0756">
        <w:t xml:space="preserve">centers provide </w:t>
      </w:r>
      <w:r w:rsidRPr="00A921AD">
        <w:t>services. Surveys will be completed by a sample of clients who received services in calendar year 2012, thus providing a minimum</w:t>
      </w:r>
      <w:r>
        <w:t xml:space="preserve"> 18</w:t>
      </w:r>
      <w:r w:rsidR="008A0756">
        <w:t>-</w:t>
      </w:r>
      <w:r>
        <w:t>month</w:t>
      </w:r>
      <w:r w:rsidRPr="00A921AD">
        <w:t xml:space="preserve"> lag to measure business </w:t>
      </w:r>
      <w:r>
        <w:t>changes</w:t>
      </w:r>
      <w:r w:rsidRPr="00A921AD">
        <w:t>. Because WBCs offer both training and counseling services, clients who received either service will be included, as will clients who receive service by any mode of service delivery (e.g., telephone or face-to-face).</w:t>
      </w:r>
      <w:r>
        <w:rPr>
          <w:rStyle w:val="FootnoteReference"/>
        </w:rPr>
        <w:footnoteReference w:id="7"/>
      </w:r>
      <w:r w:rsidRPr="00A921AD">
        <w:t xml:space="preserve"> </w:t>
      </w:r>
      <w:r>
        <w:t xml:space="preserve">A multistage, stratified sampling design will be used. First, 45 of the 107 WBCs will be selected at random. Each selected center will provide a full list of clients who received counseling or training in calendar year 2012. </w:t>
      </w:r>
      <w:r w:rsidR="00510784">
        <w:t>Second, a stratified sample of 4</w:t>
      </w:r>
      <w:r>
        <w:t>,</w:t>
      </w:r>
      <w:r w:rsidR="00510784">
        <w:t>578</w:t>
      </w:r>
      <w:r>
        <w:t xml:space="preserve"> clients will be selected according to the pre</w:t>
      </w:r>
      <w:r w:rsidR="00757BEC">
        <w:t>-</w:t>
      </w:r>
      <w:r>
        <w:t>venture and in-business clients across the 45 centers.</w:t>
      </w:r>
    </w:p>
    <w:p w:rsidR="00F744A5" w:rsidRDefault="00F744A5" w:rsidP="00D97E89">
      <w:pPr>
        <w:spacing w:after="0" w:line="240" w:lineRule="auto"/>
        <w:jc w:val="both"/>
      </w:pPr>
    </w:p>
    <w:p w:rsidR="008C697C" w:rsidRPr="00851CD5" w:rsidRDefault="008C697C" w:rsidP="00BE23F5">
      <w:pPr>
        <w:spacing w:after="0" w:line="240" w:lineRule="auto"/>
        <w:jc w:val="center"/>
        <w:rPr>
          <w:b/>
          <w:szCs w:val="20"/>
        </w:rPr>
      </w:pPr>
      <w:proofErr w:type="gramStart"/>
      <w:r w:rsidRPr="00851CD5">
        <w:rPr>
          <w:b/>
          <w:szCs w:val="20"/>
        </w:rPr>
        <w:t>Exhibit 1.</w:t>
      </w:r>
      <w:proofErr w:type="gramEnd"/>
      <w:r w:rsidRPr="00851CD5">
        <w:rPr>
          <w:b/>
          <w:szCs w:val="20"/>
        </w:rPr>
        <w:t xml:space="preserve"> 2012 </w:t>
      </w:r>
      <w:r>
        <w:rPr>
          <w:b/>
          <w:szCs w:val="20"/>
        </w:rPr>
        <w:t>U</w:t>
      </w:r>
      <w:r w:rsidRPr="00851CD5">
        <w:rPr>
          <w:b/>
          <w:szCs w:val="20"/>
        </w:rPr>
        <w:t>niverse, sample, and expected response rates</w:t>
      </w: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654"/>
        <w:gridCol w:w="2070"/>
        <w:gridCol w:w="1206"/>
        <w:gridCol w:w="1503"/>
        <w:gridCol w:w="1427"/>
      </w:tblGrid>
      <w:tr w:rsidR="00A97CE8" w:rsidRPr="006B5F0F" w:rsidTr="00B5305C">
        <w:trPr>
          <w:cantSplit/>
          <w:trHeight w:val="346"/>
          <w:tblHeader/>
          <w:jc w:val="center"/>
        </w:trPr>
        <w:tc>
          <w:tcPr>
            <w:tcW w:w="1908" w:type="dxa"/>
            <w:shd w:val="pct25" w:color="000000" w:fill="FFFFFF"/>
            <w:vAlign w:val="center"/>
          </w:tcPr>
          <w:p w:rsidR="00A97CE8" w:rsidRPr="006B5F0F" w:rsidRDefault="00A97CE8" w:rsidP="00BE23F5">
            <w:pPr>
              <w:spacing w:after="0" w:line="240" w:lineRule="auto"/>
              <w:jc w:val="both"/>
              <w:rPr>
                <w:b/>
                <w:sz w:val="20"/>
                <w:szCs w:val="20"/>
              </w:rPr>
            </w:pPr>
            <w:r>
              <w:rPr>
                <w:b/>
                <w:sz w:val="20"/>
                <w:szCs w:val="20"/>
              </w:rPr>
              <w:t>Strata</w:t>
            </w:r>
          </w:p>
        </w:tc>
        <w:tc>
          <w:tcPr>
            <w:tcW w:w="1654" w:type="dxa"/>
            <w:shd w:val="pct25" w:color="000000" w:fill="FFFFFF"/>
          </w:tcPr>
          <w:p w:rsidR="00A97CE8" w:rsidRDefault="00832078" w:rsidP="00BE23F5">
            <w:pPr>
              <w:spacing w:after="0" w:line="240" w:lineRule="auto"/>
              <w:jc w:val="both"/>
              <w:rPr>
                <w:b/>
                <w:sz w:val="20"/>
                <w:szCs w:val="20"/>
              </w:rPr>
            </w:pPr>
            <w:r>
              <w:rPr>
                <w:b/>
                <w:sz w:val="20"/>
                <w:szCs w:val="20"/>
              </w:rPr>
              <w:t>Counseling clients</w:t>
            </w:r>
          </w:p>
        </w:tc>
        <w:tc>
          <w:tcPr>
            <w:tcW w:w="2070" w:type="dxa"/>
            <w:shd w:val="pct25" w:color="000000" w:fill="FFFFFF"/>
            <w:vAlign w:val="center"/>
          </w:tcPr>
          <w:p w:rsidR="00A97CE8" w:rsidRPr="006B5F0F" w:rsidRDefault="00832078" w:rsidP="00832078">
            <w:pPr>
              <w:spacing w:after="0" w:line="240" w:lineRule="auto"/>
              <w:jc w:val="both"/>
              <w:rPr>
                <w:b/>
                <w:sz w:val="20"/>
                <w:szCs w:val="20"/>
              </w:rPr>
            </w:pPr>
            <w:r>
              <w:rPr>
                <w:b/>
                <w:sz w:val="20"/>
                <w:szCs w:val="20"/>
              </w:rPr>
              <w:t>Counseling+ training clients</w:t>
            </w:r>
            <w:r w:rsidR="00510784">
              <w:rPr>
                <w:b/>
                <w:sz w:val="20"/>
                <w:szCs w:val="20"/>
              </w:rPr>
              <w:t xml:space="preserve"> </w:t>
            </w:r>
            <w:r w:rsidR="00510784" w:rsidRPr="00510784">
              <w:rPr>
                <w:b/>
                <w:sz w:val="20"/>
                <w:szCs w:val="20"/>
              </w:rPr>
              <w:t>(approx.)</w:t>
            </w:r>
          </w:p>
        </w:tc>
        <w:tc>
          <w:tcPr>
            <w:tcW w:w="1206" w:type="dxa"/>
            <w:shd w:val="pct25" w:color="000000" w:fill="FFFFFF"/>
            <w:vAlign w:val="center"/>
          </w:tcPr>
          <w:p w:rsidR="00A97CE8" w:rsidRPr="006B5F0F" w:rsidRDefault="00A97CE8" w:rsidP="00BE23F5">
            <w:pPr>
              <w:spacing w:after="0" w:line="240" w:lineRule="auto"/>
              <w:jc w:val="both"/>
              <w:rPr>
                <w:b/>
                <w:sz w:val="20"/>
                <w:szCs w:val="20"/>
              </w:rPr>
            </w:pPr>
            <w:r>
              <w:rPr>
                <w:b/>
                <w:sz w:val="20"/>
                <w:szCs w:val="20"/>
              </w:rPr>
              <w:t>Sample</w:t>
            </w:r>
          </w:p>
        </w:tc>
        <w:tc>
          <w:tcPr>
            <w:tcW w:w="1503" w:type="dxa"/>
            <w:shd w:val="pct25" w:color="000000" w:fill="FFFFFF"/>
            <w:vAlign w:val="center"/>
          </w:tcPr>
          <w:p w:rsidR="00A97CE8" w:rsidRPr="006B5F0F" w:rsidRDefault="00A97CE8" w:rsidP="00BE23F5">
            <w:pPr>
              <w:spacing w:after="0" w:line="240" w:lineRule="auto"/>
              <w:jc w:val="both"/>
              <w:rPr>
                <w:b/>
                <w:sz w:val="20"/>
                <w:szCs w:val="20"/>
              </w:rPr>
            </w:pPr>
            <w:r w:rsidRPr="006B5F0F">
              <w:rPr>
                <w:b/>
                <w:sz w:val="20"/>
                <w:szCs w:val="20"/>
              </w:rPr>
              <w:t>Expected response rate</w:t>
            </w:r>
          </w:p>
        </w:tc>
        <w:tc>
          <w:tcPr>
            <w:tcW w:w="1427" w:type="dxa"/>
            <w:shd w:val="pct25" w:color="000000" w:fill="FFFFFF"/>
          </w:tcPr>
          <w:p w:rsidR="00A97CE8" w:rsidRPr="006B5F0F" w:rsidRDefault="00A97CE8" w:rsidP="00832078">
            <w:pPr>
              <w:spacing w:after="0" w:line="240" w:lineRule="auto"/>
              <w:jc w:val="both"/>
              <w:rPr>
                <w:b/>
                <w:sz w:val="20"/>
                <w:szCs w:val="20"/>
              </w:rPr>
            </w:pPr>
            <w:r>
              <w:rPr>
                <w:b/>
                <w:sz w:val="20"/>
                <w:szCs w:val="20"/>
              </w:rPr>
              <w:t xml:space="preserve">Expected </w:t>
            </w:r>
            <w:r w:rsidR="00832078">
              <w:rPr>
                <w:b/>
                <w:sz w:val="20"/>
                <w:szCs w:val="20"/>
              </w:rPr>
              <w:t>respondents</w:t>
            </w:r>
          </w:p>
        </w:tc>
      </w:tr>
      <w:tr w:rsidR="00A97CE8" w:rsidRPr="006B5F0F" w:rsidTr="00A97CE8">
        <w:trPr>
          <w:cantSplit/>
          <w:trHeight w:val="346"/>
          <w:jc w:val="center"/>
        </w:trPr>
        <w:tc>
          <w:tcPr>
            <w:tcW w:w="1908" w:type="dxa"/>
          </w:tcPr>
          <w:p w:rsidR="00A97CE8" w:rsidRPr="006B5F0F" w:rsidRDefault="00A97CE8" w:rsidP="00BE23F5">
            <w:pPr>
              <w:spacing w:after="0" w:line="240" w:lineRule="auto"/>
              <w:jc w:val="both"/>
              <w:rPr>
                <w:b/>
                <w:sz w:val="20"/>
                <w:szCs w:val="20"/>
              </w:rPr>
            </w:pPr>
            <w:r>
              <w:rPr>
                <w:b/>
                <w:sz w:val="20"/>
                <w:szCs w:val="20"/>
              </w:rPr>
              <w:t>Pre-venture</w:t>
            </w:r>
            <w:r w:rsidRPr="00F11412">
              <w:rPr>
                <w:b/>
                <w:sz w:val="20"/>
                <w:szCs w:val="20"/>
              </w:rPr>
              <w:t xml:space="preserve"> clients</w:t>
            </w:r>
            <w:r>
              <w:rPr>
                <w:b/>
                <w:sz w:val="20"/>
                <w:szCs w:val="20"/>
              </w:rPr>
              <w:t xml:space="preserve"> </w:t>
            </w:r>
          </w:p>
        </w:tc>
        <w:tc>
          <w:tcPr>
            <w:tcW w:w="1654" w:type="dxa"/>
          </w:tcPr>
          <w:p w:rsidR="00A97CE8" w:rsidRDefault="00832078" w:rsidP="00BE23F5">
            <w:pPr>
              <w:tabs>
                <w:tab w:val="center" w:pos="4320"/>
                <w:tab w:val="right" w:pos="8640"/>
              </w:tabs>
              <w:spacing w:after="0" w:line="240" w:lineRule="auto"/>
              <w:ind w:right="-108"/>
              <w:jc w:val="both"/>
              <w:rPr>
                <w:sz w:val="20"/>
                <w:szCs w:val="20"/>
              </w:rPr>
            </w:pPr>
            <w:r>
              <w:rPr>
                <w:sz w:val="20"/>
                <w:szCs w:val="20"/>
              </w:rPr>
              <w:t>17909</w:t>
            </w:r>
          </w:p>
        </w:tc>
        <w:tc>
          <w:tcPr>
            <w:tcW w:w="2070" w:type="dxa"/>
            <w:vAlign w:val="center"/>
          </w:tcPr>
          <w:p w:rsidR="00A97CE8" w:rsidRPr="006B5F0F" w:rsidRDefault="00A97CE8" w:rsidP="00510784">
            <w:pPr>
              <w:tabs>
                <w:tab w:val="center" w:pos="4320"/>
                <w:tab w:val="right" w:pos="8640"/>
              </w:tabs>
              <w:spacing w:after="0" w:line="240" w:lineRule="auto"/>
              <w:ind w:right="-108"/>
              <w:jc w:val="both"/>
              <w:rPr>
                <w:sz w:val="20"/>
                <w:szCs w:val="20"/>
              </w:rPr>
            </w:pPr>
            <w:r>
              <w:rPr>
                <w:sz w:val="20"/>
                <w:szCs w:val="20"/>
              </w:rPr>
              <w:t>35818</w:t>
            </w:r>
            <w:r w:rsidR="00832078">
              <w:rPr>
                <w:sz w:val="20"/>
                <w:szCs w:val="20"/>
              </w:rPr>
              <w:t xml:space="preserve"> </w:t>
            </w:r>
          </w:p>
        </w:tc>
        <w:tc>
          <w:tcPr>
            <w:tcW w:w="1206" w:type="dxa"/>
            <w:vAlign w:val="center"/>
          </w:tcPr>
          <w:p w:rsidR="00A97CE8" w:rsidRPr="008F1D52" w:rsidRDefault="00A97CE8" w:rsidP="00BE23F5">
            <w:pPr>
              <w:tabs>
                <w:tab w:val="center" w:pos="4320"/>
                <w:tab w:val="right" w:pos="8640"/>
              </w:tabs>
              <w:spacing w:after="0" w:line="240" w:lineRule="auto"/>
              <w:jc w:val="both"/>
              <w:rPr>
                <w:sz w:val="20"/>
                <w:szCs w:val="20"/>
              </w:rPr>
            </w:pPr>
            <w:r w:rsidRPr="008F1D52">
              <w:rPr>
                <w:sz w:val="20"/>
                <w:szCs w:val="20"/>
              </w:rPr>
              <w:t>2292</w:t>
            </w:r>
          </w:p>
        </w:tc>
        <w:tc>
          <w:tcPr>
            <w:tcW w:w="1503" w:type="dxa"/>
            <w:vAlign w:val="center"/>
          </w:tcPr>
          <w:p w:rsidR="00A97CE8" w:rsidRPr="006B5F0F" w:rsidRDefault="00A97CE8" w:rsidP="00BE23F5">
            <w:pPr>
              <w:tabs>
                <w:tab w:val="center" w:pos="4320"/>
                <w:tab w:val="right" w:pos="8640"/>
              </w:tabs>
              <w:spacing w:after="0" w:line="240" w:lineRule="auto"/>
              <w:jc w:val="both"/>
              <w:rPr>
                <w:sz w:val="20"/>
                <w:szCs w:val="20"/>
              </w:rPr>
            </w:pPr>
            <w:r>
              <w:rPr>
                <w:sz w:val="20"/>
                <w:szCs w:val="20"/>
              </w:rPr>
              <w:t>25%</w:t>
            </w:r>
          </w:p>
        </w:tc>
        <w:tc>
          <w:tcPr>
            <w:tcW w:w="1427" w:type="dxa"/>
            <w:vAlign w:val="center"/>
          </w:tcPr>
          <w:p w:rsidR="00A97CE8" w:rsidRDefault="00A97CE8" w:rsidP="00A97CE8">
            <w:pPr>
              <w:tabs>
                <w:tab w:val="center" w:pos="4320"/>
                <w:tab w:val="right" w:pos="8640"/>
              </w:tabs>
              <w:spacing w:after="0" w:line="240" w:lineRule="auto"/>
              <w:rPr>
                <w:sz w:val="20"/>
                <w:szCs w:val="20"/>
              </w:rPr>
            </w:pPr>
            <w:r>
              <w:rPr>
                <w:sz w:val="20"/>
                <w:szCs w:val="20"/>
              </w:rPr>
              <w:t>573</w:t>
            </w:r>
          </w:p>
        </w:tc>
      </w:tr>
      <w:tr w:rsidR="00A97CE8" w:rsidRPr="006B5F0F" w:rsidTr="00A97CE8">
        <w:trPr>
          <w:cantSplit/>
          <w:trHeight w:val="346"/>
          <w:jc w:val="center"/>
        </w:trPr>
        <w:tc>
          <w:tcPr>
            <w:tcW w:w="1908" w:type="dxa"/>
          </w:tcPr>
          <w:p w:rsidR="00A97CE8" w:rsidRPr="00F11412" w:rsidRDefault="00A97CE8" w:rsidP="00BE23F5">
            <w:pPr>
              <w:spacing w:after="0" w:line="240" w:lineRule="auto"/>
              <w:jc w:val="both"/>
              <w:rPr>
                <w:b/>
                <w:sz w:val="20"/>
                <w:szCs w:val="20"/>
              </w:rPr>
            </w:pPr>
            <w:r>
              <w:rPr>
                <w:b/>
                <w:sz w:val="20"/>
                <w:szCs w:val="20"/>
              </w:rPr>
              <w:t>In-business clients</w:t>
            </w:r>
          </w:p>
        </w:tc>
        <w:tc>
          <w:tcPr>
            <w:tcW w:w="1654" w:type="dxa"/>
          </w:tcPr>
          <w:p w:rsidR="00A97CE8" w:rsidRDefault="00832078" w:rsidP="00BE23F5">
            <w:pPr>
              <w:tabs>
                <w:tab w:val="center" w:pos="4320"/>
                <w:tab w:val="right" w:pos="8640"/>
              </w:tabs>
              <w:spacing w:after="0" w:line="240" w:lineRule="auto"/>
              <w:ind w:right="-108"/>
              <w:jc w:val="both"/>
              <w:rPr>
                <w:sz w:val="20"/>
                <w:szCs w:val="20"/>
              </w:rPr>
            </w:pPr>
            <w:r>
              <w:rPr>
                <w:sz w:val="20"/>
                <w:szCs w:val="20"/>
              </w:rPr>
              <w:t>12449</w:t>
            </w:r>
          </w:p>
        </w:tc>
        <w:tc>
          <w:tcPr>
            <w:tcW w:w="2070" w:type="dxa"/>
            <w:vAlign w:val="center"/>
          </w:tcPr>
          <w:p w:rsidR="00A97CE8" w:rsidRDefault="00A97CE8" w:rsidP="00832078">
            <w:pPr>
              <w:tabs>
                <w:tab w:val="center" w:pos="4320"/>
                <w:tab w:val="right" w:pos="8640"/>
              </w:tabs>
              <w:spacing w:after="0" w:line="240" w:lineRule="auto"/>
              <w:ind w:right="-108"/>
              <w:jc w:val="both"/>
              <w:rPr>
                <w:sz w:val="20"/>
                <w:szCs w:val="20"/>
              </w:rPr>
            </w:pPr>
            <w:r>
              <w:rPr>
                <w:sz w:val="20"/>
                <w:szCs w:val="20"/>
              </w:rPr>
              <w:t xml:space="preserve">24898 </w:t>
            </w:r>
          </w:p>
        </w:tc>
        <w:tc>
          <w:tcPr>
            <w:tcW w:w="1206" w:type="dxa"/>
            <w:vAlign w:val="center"/>
          </w:tcPr>
          <w:p w:rsidR="00A97CE8" w:rsidRPr="008F1D52" w:rsidRDefault="00A97CE8" w:rsidP="00BE23F5">
            <w:pPr>
              <w:tabs>
                <w:tab w:val="center" w:pos="4320"/>
                <w:tab w:val="right" w:pos="8640"/>
              </w:tabs>
              <w:spacing w:after="0" w:line="240" w:lineRule="auto"/>
              <w:jc w:val="both"/>
              <w:rPr>
                <w:sz w:val="20"/>
                <w:szCs w:val="20"/>
              </w:rPr>
            </w:pPr>
            <w:r w:rsidRPr="008F1D52">
              <w:rPr>
                <w:sz w:val="20"/>
                <w:szCs w:val="20"/>
              </w:rPr>
              <w:t>2286</w:t>
            </w:r>
          </w:p>
        </w:tc>
        <w:tc>
          <w:tcPr>
            <w:tcW w:w="1503" w:type="dxa"/>
            <w:vAlign w:val="center"/>
          </w:tcPr>
          <w:p w:rsidR="00A97CE8" w:rsidRDefault="00A97CE8" w:rsidP="00BE23F5">
            <w:pPr>
              <w:tabs>
                <w:tab w:val="center" w:pos="4320"/>
                <w:tab w:val="right" w:pos="8640"/>
              </w:tabs>
              <w:spacing w:after="0" w:line="240" w:lineRule="auto"/>
              <w:jc w:val="both"/>
              <w:rPr>
                <w:sz w:val="20"/>
                <w:szCs w:val="20"/>
              </w:rPr>
            </w:pPr>
            <w:r>
              <w:rPr>
                <w:sz w:val="20"/>
                <w:szCs w:val="20"/>
              </w:rPr>
              <w:t>25%</w:t>
            </w:r>
          </w:p>
        </w:tc>
        <w:tc>
          <w:tcPr>
            <w:tcW w:w="1427" w:type="dxa"/>
            <w:vAlign w:val="center"/>
          </w:tcPr>
          <w:p w:rsidR="00A97CE8" w:rsidRDefault="00A97CE8" w:rsidP="00A97CE8">
            <w:pPr>
              <w:tabs>
                <w:tab w:val="center" w:pos="4320"/>
                <w:tab w:val="right" w:pos="8640"/>
              </w:tabs>
              <w:spacing w:after="0" w:line="240" w:lineRule="auto"/>
              <w:rPr>
                <w:sz w:val="20"/>
                <w:szCs w:val="20"/>
              </w:rPr>
            </w:pPr>
            <w:r>
              <w:rPr>
                <w:sz w:val="20"/>
                <w:szCs w:val="20"/>
              </w:rPr>
              <w:t>572</w:t>
            </w:r>
          </w:p>
        </w:tc>
      </w:tr>
      <w:tr w:rsidR="00A97CE8" w:rsidRPr="006B5F0F" w:rsidTr="00832078">
        <w:trPr>
          <w:cantSplit/>
          <w:trHeight w:val="346"/>
          <w:jc w:val="center"/>
        </w:trPr>
        <w:tc>
          <w:tcPr>
            <w:tcW w:w="1908" w:type="dxa"/>
          </w:tcPr>
          <w:p w:rsidR="00A97CE8" w:rsidRPr="00832078" w:rsidRDefault="00A97CE8" w:rsidP="00832078">
            <w:pPr>
              <w:tabs>
                <w:tab w:val="center" w:pos="4320"/>
                <w:tab w:val="right" w:pos="8640"/>
              </w:tabs>
              <w:spacing w:after="0" w:line="240" w:lineRule="auto"/>
              <w:ind w:right="-108"/>
              <w:jc w:val="both"/>
              <w:rPr>
                <w:b/>
                <w:sz w:val="20"/>
                <w:szCs w:val="20"/>
              </w:rPr>
            </w:pPr>
            <w:r w:rsidRPr="00832078">
              <w:rPr>
                <w:b/>
                <w:sz w:val="20"/>
                <w:szCs w:val="20"/>
              </w:rPr>
              <w:t>Total</w:t>
            </w:r>
          </w:p>
        </w:tc>
        <w:tc>
          <w:tcPr>
            <w:tcW w:w="1654" w:type="dxa"/>
            <w:vAlign w:val="center"/>
          </w:tcPr>
          <w:p w:rsidR="00A97CE8" w:rsidRDefault="00832078" w:rsidP="00832078">
            <w:pPr>
              <w:tabs>
                <w:tab w:val="center" w:pos="4320"/>
                <w:tab w:val="right" w:pos="8640"/>
              </w:tabs>
              <w:spacing w:after="0" w:line="240" w:lineRule="auto"/>
              <w:ind w:right="-108"/>
              <w:rPr>
                <w:sz w:val="20"/>
                <w:szCs w:val="20"/>
              </w:rPr>
            </w:pPr>
            <w:r>
              <w:rPr>
                <w:sz w:val="20"/>
                <w:szCs w:val="20"/>
              </w:rPr>
              <w:t>30358</w:t>
            </w:r>
          </w:p>
        </w:tc>
        <w:tc>
          <w:tcPr>
            <w:tcW w:w="2070" w:type="dxa"/>
            <w:vAlign w:val="center"/>
          </w:tcPr>
          <w:p w:rsidR="00A97CE8" w:rsidRDefault="00A97CE8" w:rsidP="00BE23F5">
            <w:pPr>
              <w:tabs>
                <w:tab w:val="center" w:pos="4320"/>
                <w:tab w:val="right" w:pos="8640"/>
              </w:tabs>
              <w:spacing w:after="0" w:line="240" w:lineRule="auto"/>
              <w:ind w:right="-108"/>
              <w:jc w:val="both"/>
              <w:rPr>
                <w:sz w:val="20"/>
                <w:szCs w:val="20"/>
              </w:rPr>
            </w:pPr>
            <w:r>
              <w:rPr>
                <w:sz w:val="20"/>
                <w:szCs w:val="20"/>
              </w:rPr>
              <w:t>60716</w:t>
            </w:r>
          </w:p>
        </w:tc>
        <w:tc>
          <w:tcPr>
            <w:tcW w:w="1206" w:type="dxa"/>
            <w:vAlign w:val="center"/>
          </w:tcPr>
          <w:p w:rsidR="00A97CE8" w:rsidRPr="008F1D52" w:rsidRDefault="00A97CE8" w:rsidP="00BE23F5">
            <w:pPr>
              <w:tabs>
                <w:tab w:val="center" w:pos="4320"/>
                <w:tab w:val="right" w:pos="8640"/>
              </w:tabs>
              <w:spacing w:after="0" w:line="240" w:lineRule="auto"/>
              <w:jc w:val="both"/>
              <w:rPr>
                <w:sz w:val="20"/>
                <w:szCs w:val="20"/>
              </w:rPr>
            </w:pPr>
            <w:r>
              <w:rPr>
                <w:sz w:val="20"/>
                <w:szCs w:val="20"/>
              </w:rPr>
              <w:t>4578</w:t>
            </w:r>
          </w:p>
        </w:tc>
        <w:tc>
          <w:tcPr>
            <w:tcW w:w="1503" w:type="dxa"/>
            <w:vAlign w:val="center"/>
          </w:tcPr>
          <w:p w:rsidR="00A97CE8" w:rsidRDefault="00A97CE8" w:rsidP="00BE23F5">
            <w:pPr>
              <w:tabs>
                <w:tab w:val="center" w:pos="4320"/>
                <w:tab w:val="right" w:pos="8640"/>
              </w:tabs>
              <w:spacing w:after="0" w:line="240" w:lineRule="auto"/>
              <w:jc w:val="both"/>
              <w:rPr>
                <w:sz w:val="20"/>
                <w:szCs w:val="20"/>
              </w:rPr>
            </w:pPr>
            <w:r>
              <w:rPr>
                <w:sz w:val="20"/>
                <w:szCs w:val="20"/>
              </w:rPr>
              <w:t>25%</w:t>
            </w:r>
          </w:p>
        </w:tc>
        <w:tc>
          <w:tcPr>
            <w:tcW w:w="1427" w:type="dxa"/>
            <w:vAlign w:val="center"/>
          </w:tcPr>
          <w:p w:rsidR="00A97CE8" w:rsidRDefault="00A97CE8" w:rsidP="00832078">
            <w:pPr>
              <w:tabs>
                <w:tab w:val="center" w:pos="4320"/>
                <w:tab w:val="right" w:pos="8640"/>
              </w:tabs>
              <w:spacing w:after="0" w:line="240" w:lineRule="auto"/>
              <w:rPr>
                <w:sz w:val="20"/>
                <w:szCs w:val="20"/>
              </w:rPr>
            </w:pPr>
            <w:r>
              <w:rPr>
                <w:sz w:val="20"/>
                <w:szCs w:val="20"/>
              </w:rPr>
              <w:t>1145</w:t>
            </w:r>
          </w:p>
        </w:tc>
      </w:tr>
    </w:tbl>
    <w:p w:rsidR="008C697C" w:rsidRDefault="008C697C" w:rsidP="00BE23F5">
      <w:pPr>
        <w:spacing w:after="0" w:line="240" w:lineRule="auto"/>
        <w:jc w:val="both"/>
        <w:rPr>
          <w:szCs w:val="20"/>
        </w:rPr>
      </w:pPr>
    </w:p>
    <w:p w:rsidR="008C697C" w:rsidRDefault="008C697C" w:rsidP="00D97E89">
      <w:pPr>
        <w:spacing w:after="0" w:line="240" w:lineRule="auto"/>
        <w:jc w:val="both"/>
      </w:pPr>
      <w:r>
        <w:t>The full list of WBCs that delivered counseling or training services and an estimate of the number of clients served were obtained from SBA’s Entrepreneurial Development Information Management System (EDMIS). The system contains information from all 107 centers and associated clients during the time period. However, the number of training clients served by each center is only reported in aggregate per training session</w:t>
      </w:r>
      <w:r w:rsidR="00FC52A4">
        <w:t>;</w:t>
      </w:r>
      <w:r>
        <w:t xml:space="preserve"> clients can attend multiple trainings. Thus, these initial client counts from EDMIS do not provide an unduplicated count of clients served per center and will be refined using the data provided by the 45 centers. For the purpose of deriving a conservative sample size estimate, it was assumed that the 30,358 counseling clients are equal to the number of unduplicated training clients, with no overlap between the services, and that their proportions of pre</w:t>
      </w:r>
      <w:r w:rsidR="0075254E">
        <w:t>-</w:t>
      </w:r>
      <w:r>
        <w:t xml:space="preserve">venture versus in-business clients mirror that of the </w:t>
      </w:r>
      <w:r>
        <w:lastRenderedPageBreak/>
        <w:t>counseling population</w:t>
      </w:r>
      <w:r w:rsidR="00313BA8">
        <w:t xml:space="preserve"> exactly</w:t>
      </w:r>
      <w:r w:rsidR="00D83CDB">
        <w:t>, as indicated in the above exhibit</w:t>
      </w:r>
      <w:r>
        <w:t>. Precise figures will be calculated once data are received from the 45 centers.</w:t>
      </w:r>
    </w:p>
    <w:p w:rsidR="00CC0C9C" w:rsidRDefault="00CC0C9C" w:rsidP="00D97E89">
      <w:pPr>
        <w:spacing w:after="0" w:line="240" w:lineRule="auto"/>
        <w:jc w:val="both"/>
      </w:pPr>
    </w:p>
    <w:p w:rsidR="008C697C" w:rsidRDefault="008C697C" w:rsidP="00D97E89">
      <w:pPr>
        <w:spacing w:after="0" w:line="240" w:lineRule="auto"/>
        <w:jc w:val="both"/>
      </w:pPr>
      <w:r>
        <w:t xml:space="preserve">Previous </w:t>
      </w:r>
      <w:r w:rsidR="004962C3">
        <w:t xml:space="preserve">OMB-approved </w:t>
      </w:r>
      <w:r>
        <w:t xml:space="preserve">WBC client surveys were used to estimate </w:t>
      </w:r>
      <w:r w:rsidR="00313BA8">
        <w:t>a 25 percent response rate. These previous</w:t>
      </w:r>
      <w:r>
        <w:t xml:space="preserve"> </w:t>
      </w:r>
      <w:r w:rsidR="003257BA">
        <w:t xml:space="preserve">SBA </w:t>
      </w:r>
      <w:r>
        <w:t>surveys achieved response rates of 18 percent in 2013, 15 percent in 2012, and 20 percent in 2011. A 25 percent response rate is estimated for this collection because</w:t>
      </w:r>
      <w:r w:rsidR="007947E9">
        <w:t>,</w:t>
      </w:r>
      <w:r>
        <w:t xml:space="preserve"> unlike the previous studies, a targeted sample of clients will be surveyed, WBC administrators are helping implement the </w:t>
      </w:r>
      <w:r w:rsidR="00294994">
        <w:t>survey</w:t>
      </w:r>
      <w:r>
        <w:t xml:space="preserve"> and additional follow</w:t>
      </w:r>
      <w:r w:rsidR="007947E9">
        <w:t>-</w:t>
      </w:r>
      <w:r>
        <w:t xml:space="preserve">up and incentive activities are being undertaken </w:t>
      </w:r>
      <w:r w:rsidRPr="001267F2">
        <w:t>(see question 3</w:t>
      </w:r>
      <w:r w:rsidR="001267F2" w:rsidRPr="001267F2">
        <w:t xml:space="preserve"> below</w:t>
      </w:r>
      <w:r w:rsidRPr="001267F2">
        <w:t>).</w:t>
      </w:r>
    </w:p>
    <w:p w:rsidR="00F744A5" w:rsidRDefault="00F744A5" w:rsidP="00D97E89">
      <w:pPr>
        <w:spacing w:after="0" w:line="240" w:lineRule="auto"/>
        <w:jc w:val="both"/>
      </w:pPr>
    </w:p>
    <w:p w:rsidR="009E1060" w:rsidRDefault="008C697C" w:rsidP="00D97E89">
      <w:pPr>
        <w:pStyle w:val="Heading2"/>
        <w:numPr>
          <w:ilvl w:val="0"/>
          <w:numId w:val="13"/>
        </w:numPr>
        <w:spacing w:after="0" w:line="240" w:lineRule="auto"/>
        <w:jc w:val="both"/>
        <w:rPr>
          <w:rFonts w:eastAsiaTheme="majorBidi"/>
          <w:u w:val="single"/>
        </w:rPr>
      </w:pPr>
      <w:bookmarkStart w:id="71" w:name="_Toc381944846"/>
      <w:bookmarkStart w:id="72" w:name="_Toc385234339"/>
      <w:bookmarkStart w:id="73" w:name="_Toc411262005"/>
      <w:bookmarkStart w:id="74" w:name="_Toc413831975"/>
      <w:bookmarkStart w:id="75" w:name="_Toc381944827"/>
      <w:r w:rsidRPr="00D97E89">
        <w:rPr>
          <w:rFonts w:asciiTheme="majorBidi" w:hAnsiTheme="majorBidi"/>
          <w:u w:val="single"/>
        </w:rPr>
        <w:t>Describe the procedures for the collection of information</w:t>
      </w:r>
      <w:bookmarkEnd w:id="71"/>
      <w:bookmarkEnd w:id="72"/>
      <w:bookmarkEnd w:id="73"/>
      <w:bookmarkEnd w:id="74"/>
      <w:r w:rsidR="009E1060" w:rsidRPr="00D97E89">
        <w:rPr>
          <w:rFonts w:eastAsiaTheme="majorBidi"/>
          <w:u w:val="single"/>
        </w:rPr>
        <w:t xml:space="preserve"> </w:t>
      </w:r>
    </w:p>
    <w:bookmarkEnd w:id="75"/>
    <w:p w:rsidR="008C697C" w:rsidRDefault="008C697C" w:rsidP="00D97E89">
      <w:pPr>
        <w:spacing w:after="0" w:line="240" w:lineRule="auto"/>
        <w:jc w:val="both"/>
        <w:rPr>
          <w:rFonts w:asciiTheme="majorBidi" w:eastAsiaTheme="majorBidi" w:hAnsiTheme="majorBidi" w:cstheme="majorBidi"/>
          <w:b/>
          <w:bCs/>
          <w:i/>
        </w:rPr>
      </w:pPr>
      <w:r w:rsidRPr="00D97E89">
        <w:rPr>
          <w:rFonts w:asciiTheme="majorBidi" w:eastAsiaTheme="majorBidi" w:hAnsiTheme="majorBidi" w:cstheme="majorBidi"/>
          <w:b/>
          <w:bCs/>
          <w:i/>
        </w:rPr>
        <w:t>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p>
    <w:p w:rsidR="00F744A5" w:rsidRPr="00D97E89" w:rsidRDefault="00F744A5" w:rsidP="00D97E89">
      <w:pPr>
        <w:spacing w:after="0" w:line="240" w:lineRule="auto"/>
        <w:jc w:val="both"/>
        <w:rPr>
          <w:rFonts w:asciiTheme="majorBidi" w:eastAsiaTheme="majorBidi" w:hAnsiTheme="majorBidi" w:cstheme="majorBidi"/>
          <w:b/>
          <w:bCs/>
          <w:i/>
        </w:rPr>
      </w:pPr>
    </w:p>
    <w:p w:rsidR="008C697C" w:rsidRDefault="008C697C" w:rsidP="00D97E89">
      <w:pPr>
        <w:spacing w:after="0" w:line="240" w:lineRule="auto"/>
        <w:jc w:val="both"/>
      </w:pPr>
      <w:r>
        <w:t xml:space="preserve">A two-stage, stratified sampling strategy is used to minimize cost, enhance the response rate, and maximize precision. Stage </w:t>
      </w:r>
      <w:r w:rsidR="000965B2">
        <w:t>1</w:t>
      </w:r>
      <w:r>
        <w:t xml:space="preserve"> of sampling is at the center level; stage </w:t>
      </w:r>
      <w:r w:rsidR="000965B2">
        <w:t>2</w:t>
      </w:r>
      <w:r>
        <w:t xml:space="preserve"> of sampling is at the client level. For the stage 1 sampling frame, a full list of WBCs that were operational in 2012 is available from the EDMIS data. About half (45) of the WBCs will be selected to administer the client survey. Limiting the number of centers is a cost-effective way to obtain an unduplicated list of clients and the appropriate universe for each </w:t>
      </w:r>
      <w:r w:rsidR="00F97135">
        <w:t>stratum</w:t>
      </w:r>
      <w:r>
        <w:t xml:space="preserve"> </w:t>
      </w:r>
      <w:r w:rsidR="000965B2">
        <w:t>because</w:t>
      </w:r>
      <w:r>
        <w:t xml:space="preserve"> such a count is not available from EDMIS. The probability of each center to be selected is random and unbiased, which can be viewed as </w:t>
      </w:r>
      <w:r w:rsidR="000965B2">
        <w:t xml:space="preserve">a </w:t>
      </w:r>
      <w:r>
        <w:t>Bernoulli random variable with parameter 0.5. In this sense, we are able to calculate the standard deviation</w:t>
      </w:r>
      <w:proofErr w:type="gramStart"/>
      <w:r>
        <w:t xml:space="preserve">, </w:t>
      </w:r>
      <w:proofErr w:type="gramEnd"/>
      <m:oMath>
        <m:r>
          <w:rPr>
            <w:rFonts w:ascii="Cambria Math" w:eastAsiaTheme="minorEastAsia" w:hAnsi="Cambria Math" w:cs="Times New Roman"/>
          </w:rPr>
          <m:t>σ=</m:t>
        </m:r>
        <m:rad>
          <m:radPr>
            <m:degHide m:val="1"/>
            <m:ctrlPr>
              <w:rPr>
                <w:rFonts w:ascii="Cambria Math" w:eastAsiaTheme="minorEastAsia" w:hAnsi="Cambria Math" w:cs="Times New Roman"/>
                <w:i/>
              </w:rPr>
            </m:ctrlPr>
          </m:radPr>
          <m:deg/>
          <m:e>
            <m:d>
              <m:dPr>
                <m:ctrlPr>
                  <w:rPr>
                    <w:rFonts w:ascii="Cambria Math" w:eastAsiaTheme="minorEastAsia" w:hAnsi="Cambria Math" w:cs="Times New Roman"/>
                    <w:i/>
                  </w:rPr>
                </m:ctrlPr>
              </m:dPr>
              <m:e>
                <m:r>
                  <w:rPr>
                    <w:rFonts w:ascii="Cambria Math" w:eastAsiaTheme="minorEastAsia" w:hAnsi="Cambria Math" w:cs="Times New Roman"/>
                  </w:rPr>
                  <m:t>0.5</m:t>
                </m:r>
              </m:e>
            </m:d>
            <m:d>
              <m:dPr>
                <m:ctrlPr>
                  <w:rPr>
                    <w:rFonts w:ascii="Cambria Math" w:eastAsiaTheme="minorEastAsia" w:hAnsi="Cambria Math" w:cs="Times New Roman"/>
                    <w:i/>
                  </w:rPr>
                </m:ctrlPr>
              </m:dPr>
              <m:e>
                <m:r>
                  <w:rPr>
                    <w:rFonts w:ascii="Cambria Math" w:eastAsiaTheme="minorEastAsia" w:hAnsi="Cambria Math" w:cs="Times New Roman"/>
                  </w:rPr>
                  <m:t>1-0.5</m:t>
                </m:r>
              </m:e>
            </m:d>
          </m:e>
        </m:rad>
        <m:r>
          <w:rPr>
            <w:rFonts w:ascii="Cambria Math" w:eastAsiaTheme="minorEastAsia" w:hAnsi="Cambria Math" w:cs="Times New Roman"/>
          </w:rPr>
          <m:t>=0.5</m:t>
        </m:r>
      </m:oMath>
      <w:r>
        <w:rPr>
          <w:rFonts w:eastAsiaTheme="minorEastAsia"/>
        </w:rPr>
        <w:t>, and estimate that with 45 centers, the sample mean will be within 10 percent of the popul</w:t>
      </w:r>
      <w:r w:rsidR="00832078">
        <w:rPr>
          <w:rFonts w:eastAsiaTheme="minorEastAsia"/>
        </w:rPr>
        <w:t>ation mean with approximately 90</w:t>
      </w:r>
      <w:r>
        <w:rPr>
          <w:rFonts w:eastAsiaTheme="minorEastAsia"/>
        </w:rPr>
        <w:t xml:space="preserve"> percent confidence</w:t>
      </w:r>
      <w:r>
        <w:t>.</w:t>
      </w:r>
    </w:p>
    <w:p w:rsidR="00CC0C9C" w:rsidRDefault="00CC0C9C" w:rsidP="00D97E89">
      <w:pPr>
        <w:spacing w:after="0" w:line="240" w:lineRule="auto"/>
        <w:jc w:val="both"/>
      </w:pPr>
    </w:p>
    <w:p w:rsidR="008C697C" w:rsidRDefault="008C697C" w:rsidP="00D97E89">
      <w:pPr>
        <w:spacing w:after="0" w:line="240" w:lineRule="auto"/>
        <w:jc w:val="both"/>
      </w:pPr>
      <w:r>
        <w:t>A</w:t>
      </w:r>
      <w:r w:rsidR="00313BA8">
        <w:t>cross the 45 WBC client lists, 4</w:t>
      </w:r>
      <w:r>
        <w:t>,</w:t>
      </w:r>
      <w:r w:rsidR="00313BA8">
        <w:t>578</w:t>
      </w:r>
      <w:r>
        <w:t xml:space="preserve"> clients will be randomly selected</w:t>
      </w:r>
      <w:r w:rsidR="00313BA8">
        <w:t xml:space="preserve"> by strata,</w:t>
      </w:r>
      <w:r>
        <w:t xml:space="preserve"> based on a universe of 60,716, and surveyed. The required sample size was calculated using 1) a 95 percent confidence level, 2) a </w:t>
      </w:r>
      <w:r w:rsidR="00313BA8">
        <w:t>5</w:t>
      </w:r>
      <w:r>
        <w:t xml:space="preserve"> percent margin of error, 3) an approximated design effect of 1.5 (due to clustering from the multistage sampling design), and 4) an estimated non-response rate of 75 percent. Precision will likely be reduced for business finance items due to high variations in responses. Still, the level of precision is adequate for the purpose of performance monitoring. </w:t>
      </w:r>
      <w:r w:rsidR="00534F1F">
        <w:t>Once client data are received from the 45 centers, these statistics will be recalculated based on the actual population size and distribution between in-business and pre-venture clients.</w:t>
      </w:r>
      <w:r w:rsidR="00B5305C">
        <w:t xml:space="preserve"> </w:t>
      </w:r>
    </w:p>
    <w:p w:rsidR="00CC0C9C" w:rsidRDefault="00CC0C9C" w:rsidP="00D97E89">
      <w:pPr>
        <w:spacing w:after="0" w:line="240" w:lineRule="auto"/>
        <w:jc w:val="both"/>
      </w:pPr>
    </w:p>
    <w:p w:rsidR="008C697C" w:rsidRDefault="008C697C" w:rsidP="00D97E89">
      <w:pPr>
        <w:spacing w:after="0" w:line="240" w:lineRule="auto"/>
        <w:jc w:val="both"/>
      </w:pPr>
      <w:r>
        <w:t>The survey estimates will be derived by weighting responses to account for non-response and the adjusted probability of selection into the sample. The data will be weighted to adjust for client and business characteristics that influence outcomes</w:t>
      </w:r>
      <w:r w:rsidR="00D83CDB" w:rsidRPr="00D83CDB">
        <w:t xml:space="preserve"> </w:t>
      </w:r>
      <w:r w:rsidR="00D83CDB">
        <w:t>provided with the client frame data, such as industry and race</w:t>
      </w:r>
      <w:r>
        <w:t>. It will also be weighted to adjust for the actual proportions of pre</w:t>
      </w:r>
      <w:r w:rsidR="00244386">
        <w:t>-</w:t>
      </w:r>
      <w:r>
        <w:t>venture and in-business clients in the universe. Ultimately, the above methodology will allow adequate population estimates and adequate estimates within the designated strata.</w:t>
      </w:r>
      <w:r w:rsidR="00D83CDB">
        <w:t xml:space="preserve"> No analysis of subgroups or specific centers will be conducted.</w:t>
      </w:r>
    </w:p>
    <w:p w:rsidR="00CC0C9C" w:rsidRDefault="00CC0C9C" w:rsidP="00D97E89">
      <w:pPr>
        <w:spacing w:after="0" w:line="240" w:lineRule="auto"/>
        <w:jc w:val="both"/>
      </w:pPr>
    </w:p>
    <w:p w:rsidR="009E1060" w:rsidRPr="00D97E89" w:rsidRDefault="008C697C" w:rsidP="00D97E89">
      <w:pPr>
        <w:pStyle w:val="Heading2"/>
        <w:numPr>
          <w:ilvl w:val="0"/>
          <w:numId w:val="13"/>
        </w:numPr>
        <w:spacing w:after="0" w:line="240" w:lineRule="auto"/>
        <w:ind w:left="576"/>
        <w:jc w:val="both"/>
        <w:rPr>
          <w:rFonts w:eastAsiaTheme="majorBidi"/>
          <w:u w:val="single"/>
        </w:rPr>
      </w:pPr>
      <w:bookmarkStart w:id="76" w:name="_Toc381944847"/>
      <w:bookmarkStart w:id="77" w:name="_Toc411262006"/>
      <w:bookmarkStart w:id="78" w:name="_Toc413831976"/>
      <w:r w:rsidRPr="00D97E89">
        <w:rPr>
          <w:rFonts w:asciiTheme="majorBidi" w:hAnsiTheme="majorBidi"/>
          <w:u w:val="single"/>
        </w:rPr>
        <w:t>Describe methods to maximize response rates and to deal with issues of non-response</w:t>
      </w:r>
      <w:bookmarkEnd w:id="76"/>
      <w:r w:rsidRPr="00D97E89">
        <w:rPr>
          <w:rFonts w:asciiTheme="majorBidi" w:hAnsiTheme="majorBidi"/>
          <w:u w:val="single"/>
        </w:rPr>
        <w:t>.</w:t>
      </w:r>
      <w:bookmarkEnd w:id="77"/>
      <w:bookmarkEnd w:id="78"/>
    </w:p>
    <w:p w:rsidR="008C697C" w:rsidRPr="00D97E89" w:rsidRDefault="008C697C" w:rsidP="00D97E89">
      <w:pPr>
        <w:spacing w:after="0" w:line="240" w:lineRule="auto"/>
        <w:jc w:val="both"/>
        <w:rPr>
          <w:rFonts w:asciiTheme="majorBidi" w:hAnsiTheme="majorBidi" w:cstheme="majorBidi"/>
          <w:b/>
          <w:bCs/>
          <w:i/>
        </w:rPr>
      </w:pPr>
      <w:r w:rsidRPr="00D97E89">
        <w:rPr>
          <w:rFonts w:asciiTheme="majorBidi" w:hAnsiTheme="majorBidi" w:cstheme="majorBidi"/>
          <w:b/>
          <w:bCs/>
          <w:i/>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F744A5" w:rsidRDefault="00F744A5" w:rsidP="00D97E89">
      <w:pPr>
        <w:spacing w:after="0" w:line="240" w:lineRule="auto"/>
        <w:jc w:val="both"/>
      </w:pPr>
    </w:p>
    <w:p w:rsidR="001E5E84" w:rsidRDefault="001E5E84" w:rsidP="001E5E84">
      <w:pPr>
        <w:spacing w:after="0" w:line="240" w:lineRule="auto"/>
        <w:jc w:val="both"/>
      </w:pPr>
      <w:r>
        <w:t>To maximize the survey response rate and minimize respondent burden, the study will use the following recommended data collection techniques and procedures:</w:t>
      </w:r>
    </w:p>
    <w:p w:rsidR="001E5E84" w:rsidRPr="007237F7" w:rsidRDefault="001E5E84" w:rsidP="001E5E84">
      <w:pPr>
        <w:pStyle w:val="ListParagraph"/>
        <w:numPr>
          <w:ilvl w:val="0"/>
          <w:numId w:val="8"/>
        </w:numPr>
        <w:spacing w:after="0" w:line="240" w:lineRule="auto"/>
        <w:jc w:val="both"/>
      </w:pPr>
      <w:r>
        <w:t xml:space="preserve">SBA will send an official </w:t>
      </w:r>
      <w:r w:rsidRPr="007237F7">
        <w:t>introduction letter to the selected WBC centers to establish the legitimacy of the study and its connection to the larger SBA goal</w:t>
      </w:r>
      <w:r>
        <w:t>, informing them that the final report will be provided to them,</w:t>
      </w:r>
      <w:r w:rsidRPr="007237F7">
        <w:t xml:space="preserve"> and to request that the full client list for the counseling and training services be sent to the SBA contractor, Optimal (see </w:t>
      </w:r>
      <w:r>
        <w:t>a</w:t>
      </w:r>
      <w:r w:rsidRPr="007237F7">
        <w:t>ppendix V</w:t>
      </w:r>
      <w:r>
        <w:t>I</w:t>
      </w:r>
      <w:r w:rsidRPr="007237F7">
        <w:t>. Instructions for Selected Centers).</w:t>
      </w:r>
      <w:r>
        <w:t xml:space="preserve"> These procedures help increase participation by increasing the perceived benefits of the data collection.</w:t>
      </w:r>
    </w:p>
    <w:p w:rsidR="001E5E84" w:rsidRPr="007237F7" w:rsidRDefault="001E5E84" w:rsidP="001E5E84">
      <w:pPr>
        <w:pStyle w:val="ListParagraph"/>
        <w:numPr>
          <w:ilvl w:val="0"/>
          <w:numId w:val="8"/>
        </w:numPr>
        <w:spacing w:after="0" w:line="240" w:lineRule="auto"/>
        <w:jc w:val="both"/>
      </w:pPr>
      <w:r w:rsidRPr="007237F7">
        <w:t>Selected WBCs will send a pre-notification e</w:t>
      </w:r>
      <w:r>
        <w:t>-</w:t>
      </w:r>
      <w:r w:rsidRPr="007237F7">
        <w:t xml:space="preserve">mail to their full client list about the upcoming survey, explaining the purpose of the survey and the random selection process (see </w:t>
      </w:r>
      <w:r>
        <w:t>a</w:t>
      </w:r>
      <w:r w:rsidRPr="007237F7">
        <w:t xml:space="preserve">ppendix VII. Pre-notification Email). </w:t>
      </w:r>
      <w:r>
        <w:t>A pre-notification helps increase the response rate by building the client’s expectation of the survey and reducing the chance that the survey will be overlooked or disregarded.</w:t>
      </w:r>
    </w:p>
    <w:p w:rsidR="001E5E84" w:rsidRDefault="001E5E84" w:rsidP="001E5E84">
      <w:pPr>
        <w:pStyle w:val="ListParagraph"/>
        <w:numPr>
          <w:ilvl w:val="0"/>
          <w:numId w:val="8"/>
        </w:numPr>
        <w:spacing w:after="0" w:line="240" w:lineRule="auto"/>
        <w:jc w:val="both"/>
      </w:pPr>
      <w:r w:rsidRPr="007237F7">
        <w:t>An official introduction e</w:t>
      </w:r>
      <w:r>
        <w:t>-</w:t>
      </w:r>
      <w:r w:rsidRPr="007237F7">
        <w:t xml:space="preserve">mail from SBA and WBC will accompany the survey link sent (via </w:t>
      </w:r>
      <w:r>
        <w:t>the survey system</w:t>
      </w:r>
      <w:r w:rsidRPr="007237F7">
        <w:t xml:space="preserve">) to selected clients (see </w:t>
      </w:r>
      <w:r>
        <w:t>a</w:t>
      </w:r>
      <w:r w:rsidRPr="007237F7">
        <w:t xml:space="preserve">ppendix </w:t>
      </w:r>
      <w:r>
        <w:t>I</w:t>
      </w:r>
      <w:r w:rsidR="00294994">
        <w:t>II</w:t>
      </w:r>
      <w:r>
        <w:t>. Introduction Letter</w:t>
      </w:r>
      <w:r w:rsidRPr="007237F7">
        <w:t>).</w:t>
      </w:r>
      <w:r>
        <w:t xml:space="preserve"> The letter will describe potential benefits of the survey to the program and small businesses to highlight the importance of the study. This introduction letter will be from the specific WBC at which the client received the service and is a key component to increasing the response rate. It improves the respondent’s trust in the purpose and use of the survey and according to social exchange theory; it will motivate a client to provide a response in exchange for the free service they received from the center.  </w:t>
      </w:r>
    </w:p>
    <w:p w:rsidR="001E5E84" w:rsidRPr="001F0F01" w:rsidRDefault="001E5E84" w:rsidP="001E5E84">
      <w:pPr>
        <w:numPr>
          <w:ilvl w:val="0"/>
          <w:numId w:val="8"/>
        </w:numPr>
        <w:spacing w:after="0" w:line="240" w:lineRule="auto"/>
        <w:jc w:val="both"/>
      </w:pPr>
      <w:r>
        <w:t>U</w:t>
      </w:r>
      <w:r w:rsidRPr="001F0F01">
        <w:t xml:space="preserve">p to </w:t>
      </w:r>
      <w:r>
        <w:t>three e-</w:t>
      </w:r>
      <w:r w:rsidRPr="001F0F01">
        <w:t xml:space="preserve">mail reminders </w:t>
      </w:r>
      <w:r>
        <w:t xml:space="preserve">will be sent </w:t>
      </w:r>
      <w:r w:rsidRPr="001F0F01">
        <w:t xml:space="preserve">at various times and on various days of the week </w:t>
      </w:r>
      <w:r>
        <w:t>to increase</w:t>
      </w:r>
      <w:r w:rsidRPr="001F0F01">
        <w:t xml:space="preserve"> the odds of the survey invitation</w:t>
      </w:r>
      <w:r>
        <w:t>s being noticed and acknowledged</w:t>
      </w:r>
      <w:r w:rsidRPr="001F0F01">
        <w:t xml:space="preserve">. </w:t>
      </w:r>
      <w:r>
        <w:t>Selected WBCs will be asked to send a final personal e-mail</w:t>
      </w:r>
      <w:r w:rsidRPr="00D83CDB">
        <w:t xml:space="preserve"> </w:t>
      </w:r>
      <w:r>
        <w:t>or phone call to non-respondents to encourage participation. The administrator will confirm that the respondent received the survey link and will obtain a new e-mail address if necessary (</w:t>
      </w:r>
      <w:r w:rsidRPr="007237F7">
        <w:t xml:space="preserve">see </w:t>
      </w:r>
      <w:r>
        <w:t>appendix I</w:t>
      </w:r>
      <w:r w:rsidR="00294994">
        <w:t>II</w:t>
      </w:r>
      <w:r w:rsidRPr="007237F7">
        <w:t>. Follow-up Script)</w:t>
      </w:r>
      <w:r>
        <w:t>. In the event that there are more than 10 non-respondents in one center, the administrator will send an e-mail rather than make phone calls to lower his or her burden.</w:t>
      </w:r>
    </w:p>
    <w:p w:rsidR="001E5E84" w:rsidRDefault="001E5E84" w:rsidP="001E5E84">
      <w:pPr>
        <w:pStyle w:val="ListParagraph"/>
        <w:spacing w:after="0" w:line="240" w:lineRule="auto"/>
        <w:jc w:val="both"/>
      </w:pPr>
    </w:p>
    <w:p w:rsidR="001E5E84" w:rsidRDefault="001E5E84" w:rsidP="001E5E84">
      <w:pPr>
        <w:spacing w:after="0" w:line="240" w:lineRule="auto"/>
        <w:jc w:val="both"/>
      </w:pPr>
      <w:r>
        <w:t xml:space="preserve">In addition to the above efforts to increase the survey response rate over previous years, the response rate should improve by minimizing the cost of participation. Efforts to minimize cost include--making it convenient to respond via an online platform, the short length of the survey (i.e., 6 minutes), </w:t>
      </w:r>
      <w:proofErr w:type="gramStart"/>
      <w:r>
        <w:t>easy</w:t>
      </w:r>
      <w:proofErr w:type="gramEnd"/>
      <w:r>
        <w:t xml:space="preserve">-to-answer question formats (close-ended, multiple-choice questions), few sensitive questions, and requests for approximations or estimates of business growth (thereby minimizing time respondents spend searching records for answers). </w:t>
      </w:r>
    </w:p>
    <w:p w:rsidR="00F744A5" w:rsidRDefault="00F744A5" w:rsidP="009A28F1">
      <w:pPr>
        <w:pStyle w:val="ListParagraph"/>
        <w:spacing w:after="0" w:line="240" w:lineRule="auto"/>
        <w:jc w:val="both"/>
      </w:pPr>
    </w:p>
    <w:p w:rsidR="008C697C" w:rsidRDefault="008C697C" w:rsidP="009A28F1">
      <w:pPr>
        <w:spacing w:after="0" w:line="240" w:lineRule="auto"/>
        <w:jc w:val="both"/>
      </w:pPr>
      <w:r>
        <w:lastRenderedPageBreak/>
        <w:t>In addition to the above efforts to increase the survey response rate, the response rate should improve over previous surveys because of a minimized client burden due to the following factors: the short length of the survey (i.e., 6 minutes), use of a majority of close-ended and multiple-choice questions, and requests for approximations or estimates of business growth (thereby minimizing time respondents spend searching records for answers</w:t>
      </w:r>
      <w:r w:rsidR="008D3789">
        <w:t>)</w:t>
      </w:r>
      <w:r>
        <w:t xml:space="preserve">. </w:t>
      </w:r>
    </w:p>
    <w:p w:rsidR="00F744A5" w:rsidRDefault="00F744A5" w:rsidP="009A28F1">
      <w:pPr>
        <w:spacing w:after="0" w:line="240" w:lineRule="auto"/>
        <w:jc w:val="both"/>
      </w:pPr>
    </w:p>
    <w:p w:rsidR="009E1060" w:rsidRPr="009A28F1" w:rsidRDefault="008C697C" w:rsidP="009A28F1">
      <w:pPr>
        <w:pStyle w:val="Heading2"/>
        <w:numPr>
          <w:ilvl w:val="0"/>
          <w:numId w:val="13"/>
        </w:numPr>
        <w:spacing w:after="0" w:line="240" w:lineRule="auto"/>
        <w:ind w:left="576"/>
        <w:jc w:val="both"/>
        <w:rPr>
          <w:rFonts w:eastAsiaTheme="majorBidi"/>
          <w:u w:val="single"/>
        </w:rPr>
      </w:pPr>
      <w:bookmarkStart w:id="79" w:name="_Toc385234341"/>
      <w:bookmarkStart w:id="80" w:name="_Toc411262007"/>
      <w:bookmarkStart w:id="81" w:name="_Toc413831977"/>
      <w:r w:rsidRPr="009A28F1">
        <w:rPr>
          <w:rFonts w:asciiTheme="majorBidi" w:hAnsiTheme="majorBidi"/>
          <w:u w:val="single"/>
        </w:rPr>
        <w:t>Describe any tests of procedures or methods to be undertaken.</w:t>
      </w:r>
      <w:bookmarkEnd w:id="79"/>
      <w:bookmarkEnd w:id="80"/>
      <w:bookmarkEnd w:id="81"/>
    </w:p>
    <w:p w:rsidR="008C697C" w:rsidRDefault="008C697C" w:rsidP="009A28F1">
      <w:pPr>
        <w:spacing w:after="0" w:line="240" w:lineRule="auto"/>
        <w:jc w:val="both"/>
        <w:rPr>
          <w:rFonts w:asciiTheme="majorBidi" w:eastAsiaTheme="majorBidi" w:hAnsiTheme="majorBidi" w:cstheme="majorBidi"/>
          <w:b/>
          <w:bCs/>
          <w:i/>
        </w:rPr>
      </w:pPr>
      <w:r w:rsidRPr="009A28F1">
        <w:rPr>
          <w:rFonts w:asciiTheme="majorBidi" w:eastAsiaTheme="majorBidi" w:hAnsiTheme="majorBidi" w:cstheme="majorBidi"/>
          <w:b/>
          <w:bCs/>
          <w:i/>
        </w:rPr>
        <w:t>Testing is encouraged as an effective means of refining collections of information to minimize burden and improve utility. Tests must be approved if they call for answers to identical questions from ten or more respondents. A proposed test or set of tests may be submitted for approval separately or in combination with the main collection of information.</w:t>
      </w:r>
    </w:p>
    <w:p w:rsidR="00F744A5" w:rsidRPr="009A28F1" w:rsidRDefault="00F744A5" w:rsidP="009A28F1">
      <w:pPr>
        <w:spacing w:after="0" w:line="240" w:lineRule="auto"/>
        <w:jc w:val="both"/>
        <w:rPr>
          <w:rFonts w:asciiTheme="majorBidi" w:eastAsiaTheme="majorBidi" w:hAnsiTheme="majorBidi" w:cstheme="majorBidi"/>
          <w:b/>
          <w:bCs/>
          <w:i/>
        </w:rPr>
      </w:pPr>
    </w:p>
    <w:p w:rsidR="007237F7" w:rsidRDefault="008C697C" w:rsidP="009A28F1">
      <w:pPr>
        <w:spacing w:after="0" w:line="240" w:lineRule="auto"/>
        <w:jc w:val="both"/>
        <w:rPr>
          <w:b/>
        </w:rPr>
      </w:pPr>
      <w:r>
        <w:t xml:space="preserve">The survey instrument was </w:t>
      </w:r>
      <w:r w:rsidR="00065733">
        <w:t>pretested</w:t>
      </w:r>
      <w:r w:rsidR="008C594C">
        <w:t xml:space="preserve"> and revised in two phases</w:t>
      </w:r>
      <w:r w:rsidR="00065733">
        <w:t xml:space="preserve"> to ensure</w:t>
      </w:r>
      <w:r>
        <w:t xml:space="preserve"> reliability</w:t>
      </w:r>
      <w:r w:rsidR="00065733">
        <w:t>,</w:t>
      </w:r>
      <w:r>
        <w:t xml:space="preserve"> minimize measurement error</w:t>
      </w:r>
      <w:r w:rsidR="00065733">
        <w:t xml:space="preserve"> and to estimate the respondent burden</w:t>
      </w:r>
      <w:r w:rsidR="008C594C">
        <w:t>. First,</w:t>
      </w:r>
      <w:r>
        <w:t xml:space="preserve"> </w:t>
      </w:r>
      <w:r w:rsidR="008C594C">
        <w:t xml:space="preserve">it was administered to two WBC clients using a cognitive interviewing method. </w:t>
      </w:r>
      <w:r>
        <w:t>Respondents were asked to verbalize their thought process by “thinking out loud” with a researcher on the phone while the respondent completed the survey online</w:t>
      </w:r>
      <w:r w:rsidR="00E9286A">
        <w:t xml:space="preserve">. </w:t>
      </w:r>
      <w:r>
        <w:t xml:space="preserve">This approach utilized follow-up probes to determine whether respondents were having difficulty understanding the meaning of the questions or any words, problems remembering the information needed to answer questions, issues with unnecessary questions or response options, or trouble with missing questions or response categories. The items that were reported by the respondents or were noted by the researcher as problematic, difficult, or time-consuming to answer were further discussed to determine the reasons for the difficulties. </w:t>
      </w:r>
      <w:r w:rsidR="007C14EB">
        <w:t>The s</w:t>
      </w:r>
      <w:r w:rsidR="008C594C">
        <w:t>econd revis</w:t>
      </w:r>
      <w:r w:rsidR="007C14EB">
        <w:t>ion was</w:t>
      </w:r>
      <w:r w:rsidR="008C594C">
        <w:t xml:space="preserve"> based on the feedback received from </w:t>
      </w:r>
      <w:r w:rsidR="00BB689E">
        <w:t>four</w:t>
      </w:r>
      <w:r w:rsidR="008C594C">
        <w:t xml:space="preserve"> invited client respondents. </w:t>
      </w:r>
      <w:r>
        <w:t>The</w:t>
      </w:r>
      <w:r w:rsidR="008C594C">
        <w:t>se</w:t>
      </w:r>
      <w:r>
        <w:t xml:space="preserve"> pretests were done retrospectively so they could also serve as a burden </w:t>
      </w:r>
      <w:r w:rsidR="00065733">
        <w:t>estimate</w:t>
      </w:r>
      <w:r>
        <w:t xml:space="preserve">. Respondents were instructed to complete the survey in one sitting, at a time and place with minimal distractions. Burden </w:t>
      </w:r>
      <w:r w:rsidR="00065733">
        <w:t>estimates include</w:t>
      </w:r>
      <w:r>
        <w:t xml:space="preserve"> the time it takes respondents to review instructions, search data sources if needed, and complete, review, and submit their responses. The average burden, across in-business and pre-venture clients is </w:t>
      </w:r>
      <w:r w:rsidR="0074664B">
        <w:t>6</w:t>
      </w:r>
      <w:r>
        <w:t xml:space="preserve"> minutes</w:t>
      </w:r>
      <w:r w:rsidR="00C97812">
        <w:t xml:space="preserve"> (see </w:t>
      </w:r>
      <w:r w:rsidR="0074664B">
        <w:t>e</w:t>
      </w:r>
      <w:r w:rsidR="00C97812">
        <w:t>xhibit 2</w:t>
      </w:r>
      <w:r>
        <w:t>).</w:t>
      </w:r>
    </w:p>
    <w:p w:rsidR="008C697C" w:rsidRPr="00851CD5" w:rsidRDefault="008C697C" w:rsidP="00BE23F5">
      <w:pPr>
        <w:spacing w:after="0" w:line="240" w:lineRule="auto"/>
        <w:jc w:val="center"/>
        <w:rPr>
          <w:b/>
        </w:rPr>
      </w:pPr>
      <w:proofErr w:type="gramStart"/>
      <w:r w:rsidRPr="00851CD5">
        <w:rPr>
          <w:b/>
        </w:rPr>
        <w:t xml:space="preserve">Exhibit </w:t>
      </w:r>
      <w:r w:rsidR="00C97812">
        <w:rPr>
          <w:b/>
        </w:rPr>
        <w:t>2</w:t>
      </w:r>
      <w:r w:rsidR="00377521">
        <w:rPr>
          <w:b/>
        </w:rPr>
        <w:t>.</w:t>
      </w:r>
      <w:proofErr w:type="gramEnd"/>
      <w:r w:rsidR="00377521">
        <w:rPr>
          <w:b/>
        </w:rPr>
        <w:t xml:space="preserve"> Pretest survey</w:t>
      </w:r>
    </w:p>
    <w:tbl>
      <w:tblPr>
        <w:tblStyle w:val="LightShading"/>
        <w:tblW w:w="0" w:type="auto"/>
        <w:jc w:val="center"/>
        <w:tblLook w:val="04A0" w:firstRow="1" w:lastRow="0" w:firstColumn="1" w:lastColumn="0" w:noHBand="0" w:noVBand="1"/>
      </w:tblPr>
      <w:tblGrid>
        <w:gridCol w:w="2358"/>
        <w:gridCol w:w="2790"/>
      </w:tblGrid>
      <w:tr w:rsidR="008C697C" w:rsidTr="00BE23F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008C697C" w:rsidRDefault="008C697C" w:rsidP="00BE23F5">
            <w:pPr>
              <w:jc w:val="both"/>
            </w:pPr>
            <w:r>
              <w:t>Respondent</w:t>
            </w:r>
          </w:p>
        </w:tc>
        <w:tc>
          <w:tcPr>
            <w:tcW w:w="2790" w:type="dxa"/>
          </w:tcPr>
          <w:p w:rsidR="008C697C" w:rsidRDefault="008C697C" w:rsidP="00BE23F5">
            <w:pPr>
              <w:jc w:val="both"/>
              <w:cnfStyle w:val="100000000000" w:firstRow="1" w:lastRow="0" w:firstColumn="0" w:lastColumn="0" w:oddVBand="0" w:evenVBand="0" w:oddHBand="0" w:evenHBand="0" w:firstRowFirstColumn="0" w:firstRowLastColumn="0" w:lastRowFirstColumn="0" w:lastRowLastColumn="0"/>
            </w:pPr>
            <w:r>
              <w:t>Time to completion</w:t>
            </w:r>
          </w:p>
        </w:tc>
      </w:tr>
      <w:tr w:rsidR="008C697C" w:rsidTr="00BE23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008C697C" w:rsidRDefault="008C594C" w:rsidP="00BE23F5">
            <w:pPr>
              <w:jc w:val="both"/>
            </w:pPr>
            <w:r>
              <w:t xml:space="preserve">Client </w:t>
            </w:r>
            <w:r w:rsidR="008C697C">
              <w:t>1</w:t>
            </w:r>
          </w:p>
        </w:tc>
        <w:tc>
          <w:tcPr>
            <w:tcW w:w="2790" w:type="dxa"/>
          </w:tcPr>
          <w:p w:rsidR="008C697C" w:rsidRDefault="008C697C" w:rsidP="00BE23F5">
            <w:pPr>
              <w:jc w:val="both"/>
              <w:cnfStyle w:val="000000100000" w:firstRow="0" w:lastRow="0" w:firstColumn="0" w:lastColumn="0" w:oddVBand="0" w:evenVBand="0" w:oddHBand="1" w:evenHBand="0" w:firstRowFirstColumn="0" w:firstRowLastColumn="0" w:lastRowFirstColumn="0" w:lastRowLastColumn="0"/>
            </w:pPr>
            <w:r>
              <w:t>4 minutes</w:t>
            </w:r>
          </w:p>
        </w:tc>
      </w:tr>
      <w:tr w:rsidR="008C697C" w:rsidTr="00BE23F5">
        <w:trPr>
          <w:jc w:val="center"/>
        </w:trPr>
        <w:tc>
          <w:tcPr>
            <w:cnfStyle w:val="001000000000" w:firstRow="0" w:lastRow="0" w:firstColumn="1" w:lastColumn="0" w:oddVBand="0" w:evenVBand="0" w:oddHBand="0" w:evenHBand="0" w:firstRowFirstColumn="0" w:firstRowLastColumn="0" w:lastRowFirstColumn="0" w:lastRowLastColumn="0"/>
            <w:tcW w:w="2358" w:type="dxa"/>
          </w:tcPr>
          <w:p w:rsidR="008C697C" w:rsidRDefault="008C594C" w:rsidP="00BE23F5">
            <w:pPr>
              <w:jc w:val="both"/>
            </w:pPr>
            <w:r>
              <w:t xml:space="preserve">Client </w:t>
            </w:r>
            <w:r w:rsidR="008C697C">
              <w:t>2</w:t>
            </w:r>
          </w:p>
        </w:tc>
        <w:tc>
          <w:tcPr>
            <w:tcW w:w="2790" w:type="dxa"/>
          </w:tcPr>
          <w:p w:rsidR="008C697C" w:rsidRDefault="008C697C" w:rsidP="00BE23F5">
            <w:pPr>
              <w:jc w:val="both"/>
              <w:cnfStyle w:val="000000000000" w:firstRow="0" w:lastRow="0" w:firstColumn="0" w:lastColumn="0" w:oddVBand="0" w:evenVBand="0" w:oddHBand="0" w:evenHBand="0" w:firstRowFirstColumn="0" w:firstRowLastColumn="0" w:lastRowFirstColumn="0" w:lastRowLastColumn="0"/>
            </w:pPr>
            <w:r>
              <w:t>5 minutes</w:t>
            </w:r>
          </w:p>
        </w:tc>
      </w:tr>
      <w:tr w:rsidR="008C697C" w:rsidTr="00BE23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008C697C" w:rsidRDefault="008C594C" w:rsidP="00BE23F5">
            <w:pPr>
              <w:jc w:val="both"/>
            </w:pPr>
            <w:r>
              <w:t xml:space="preserve">Client </w:t>
            </w:r>
            <w:r w:rsidR="008C697C">
              <w:t>3</w:t>
            </w:r>
          </w:p>
        </w:tc>
        <w:tc>
          <w:tcPr>
            <w:tcW w:w="2790" w:type="dxa"/>
          </w:tcPr>
          <w:p w:rsidR="008C697C" w:rsidRDefault="008C697C" w:rsidP="00BE23F5">
            <w:pPr>
              <w:jc w:val="both"/>
              <w:cnfStyle w:val="000000100000" w:firstRow="0" w:lastRow="0" w:firstColumn="0" w:lastColumn="0" w:oddVBand="0" w:evenVBand="0" w:oddHBand="1" w:evenHBand="0" w:firstRowFirstColumn="0" w:firstRowLastColumn="0" w:lastRowFirstColumn="0" w:lastRowLastColumn="0"/>
            </w:pPr>
            <w:r>
              <w:t xml:space="preserve">7 minutes </w:t>
            </w:r>
          </w:p>
        </w:tc>
      </w:tr>
      <w:tr w:rsidR="008C697C" w:rsidTr="00BE23F5">
        <w:trPr>
          <w:jc w:val="center"/>
        </w:trPr>
        <w:tc>
          <w:tcPr>
            <w:cnfStyle w:val="001000000000" w:firstRow="0" w:lastRow="0" w:firstColumn="1" w:lastColumn="0" w:oddVBand="0" w:evenVBand="0" w:oddHBand="0" w:evenHBand="0" w:firstRowFirstColumn="0" w:firstRowLastColumn="0" w:lastRowFirstColumn="0" w:lastRowLastColumn="0"/>
            <w:tcW w:w="2358" w:type="dxa"/>
          </w:tcPr>
          <w:p w:rsidR="008C697C" w:rsidRDefault="008C594C" w:rsidP="00BE23F5">
            <w:pPr>
              <w:jc w:val="both"/>
            </w:pPr>
            <w:r>
              <w:t xml:space="preserve">Client </w:t>
            </w:r>
            <w:r w:rsidR="008C697C">
              <w:t>4</w:t>
            </w:r>
          </w:p>
        </w:tc>
        <w:tc>
          <w:tcPr>
            <w:tcW w:w="2790" w:type="dxa"/>
          </w:tcPr>
          <w:p w:rsidR="008C697C" w:rsidRDefault="008C697C" w:rsidP="00BE23F5">
            <w:pPr>
              <w:jc w:val="both"/>
              <w:cnfStyle w:val="000000000000" w:firstRow="0" w:lastRow="0" w:firstColumn="0" w:lastColumn="0" w:oddVBand="0" w:evenVBand="0" w:oddHBand="0" w:evenHBand="0" w:firstRowFirstColumn="0" w:firstRowLastColumn="0" w:lastRowFirstColumn="0" w:lastRowLastColumn="0"/>
            </w:pPr>
            <w:r>
              <w:t xml:space="preserve">8 minutes </w:t>
            </w:r>
          </w:p>
        </w:tc>
      </w:tr>
      <w:tr w:rsidR="008C697C" w:rsidTr="00BE23F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008C697C" w:rsidRDefault="008C697C" w:rsidP="00BE23F5">
            <w:pPr>
              <w:jc w:val="both"/>
            </w:pPr>
            <w:r>
              <w:t>Average burden</w:t>
            </w:r>
          </w:p>
        </w:tc>
        <w:tc>
          <w:tcPr>
            <w:tcW w:w="2790" w:type="dxa"/>
          </w:tcPr>
          <w:p w:rsidR="008C697C" w:rsidRDefault="008C697C" w:rsidP="00BE23F5">
            <w:pPr>
              <w:jc w:val="both"/>
              <w:cnfStyle w:val="000000100000" w:firstRow="0" w:lastRow="0" w:firstColumn="0" w:lastColumn="0" w:oddVBand="0" w:evenVBand="0" w:oddHBand="1" w:evenHBand="0" w:firstRowFirstColumn="0" w:firstRowLastColumn="0" w:lastRowFirstColumn="0" w:lastRowLastColumn="0"/>
            </w:pPr>
            <w:r>
              <w:t>6 minutes</w:t>
            </w:r>
          </w:p>
        </w:tc>
      </w:tr>
    </w:tbl>
    <w:p w:rsidR="008C697C" w:rsidRDefault="008C697C" w:rsidP="00BE23F5">
      <w:pPr>
        <w:spacing w:after="0" w:line="240" w:lineRule="auto"/>
        <w:ind w:left="720"/>
        <w:jc w:val="both"/>
      </w:pPr>
    </w:p>
    <w:p w:rsidR="008C697C" w:rsidRDefault="008C697C" w:rsidP="00D97E89">
      <w:pPr>
        <w:spacing w:after="0" w:line="240" w:lineRule="auto"/>
        <w:jc w:val="both"/>
      </w:pPr>
      <w:r>
        <w:t>After</w:t>
      </w:r>
      <w:r w:rsidR="00BB689E">
        <w:t xml:space="preserve"> the four</w:t>
      </w:r>
      <w:r>
        <w:t xml:space="preserve"> respondents completed the </w:t>
      </w:r>
      <w:r w:rsidR="00D241AD">
        <w:t>pretest survey</w:t>
      </w:r>
      <w:r>
        <w:t>, a follow-up phone call was conducted with a researcher. Similar to the in-process cognitive interviews, the follow-up interviews included probes to determine whether respondents were having difficulty understanding the meaning of the questions or words, problems remembering the information needed to answer questions, issues with unnecessary questions or response options, trouble with missing questions or response categories</w:t>
      </w:r>
      <w:r w:rsidR="00D241AD">
        <w:t>, or problems with any sensitive questions</w:t>
      </w:r>
      <w:r>
        <w:t>.</w:t>
      </w:r>
    </w:p>
    <w:p w:rsidR="00B22B25" w:rsidRDefault="00B22B25" w:rsidP="00D97E89">
      <w:pPr>
        <w:spacing w:after="0" w:line="240" w:lineRule="auto"/>
        <w:jc w:val="both"/>
      </w:pPr>
    </w:p>
    <w:p w:rsidR="008C697C" w:rsidRDefault="00D241AD" w:rsidP="00D97E89">
      <w:pPr>
        <w:spacing w:after="0" w:line="240" w:lineRule="auto"/>
        <w:jc w:val="both"/>
      </w:pPr>
      <w:r>
        <w:lastRenderedPageBreak/>
        <w:t>Based on the</w:t>
      </w:r>
      <w:r w:rsidR="00944DA9">
        <w:t xml:space="preserve"> two cognitive interviews and four</w:t>
      </w:r>
      <w:r>
        <w:t xml:space="preserve"> pretest</w:t>
      </w:r>
      <w:r w:rsidR="008C697C">
        <w:t xml:space="preserve"> results, the surveys were revised to minimize the respondents’ burden. The revisions involved rewording some questions to improve comprehension, adding skip questions so respondents did not have to answer questions that were not applicable, adding an open-ended question, and revising some of the response scales. The final version of the survey is in </w:t>
      </w:r>
      <w:r w:rsidR="00F304C0">
        <w:t>a</w:t>
      </w:r>
      <w:r w:rsidR="008C697C" w:rsidRPr="007237F7">
        <w:t xml:space="preserve">ppendix </w:t>
      </w:r>
      <w:r w:rsidR="007237F7">
        <w:t>I</w:t>
      </w:r>
      <w:r w:rsidR="008C697C" w:rsidRPr="007237F7">
        <w:t>. Survey Instrument.</w:t>
      </w:r>
      <w:r w:rsidR="008C697C">
        <w:t xml:space="preserve"> </w:t>
      </w:r>
    </w:p>
    <w:p w:rsidR="00B22B25" w:rsidRDefault="00B22B25" w:rsidP="00D97E89">
      <w:pPr>
        <w:spacing w:after="0" w:line="240" w:lineRule="auto"/>
        <w:jc w:val="both"/>
      </w:pPr>
    </w:p>
    <w:p w:rsidR="009E1060" w:rsidRPr="00B22B25" w:rsidRDefault="008C697C" w:rsidP="00B22B25">
      <w:pPr>
        <w:pStyle w:val="Heading2"/>
        <w:numPr>
          <w:ilvl w:val="0"/>
          <w:numId w:val="13"/>
        </w:numPr>
        <w:spacing w:after="0" w:line="240" w:lineRule="auto"/>
        <w:ind w:left="576"/>
        <w:jc w:val="both"/>
        <w:rPr>
          <w:u w:val="single"/>
        </w:rPr>
      </w:pPr>
      <w:bookmarkStart w:id="82" w:name="_Toc411262008"/>
      <w:bookmarkStart w:id="83" w:name="_Toc413831978"/>
      <w:r w:rsidRPr="00B22B25">
        <w:rPr>
          <w:u w:val="single"/>
        </w:rPr>
        <w:t>Expert contact information</w:t>
      </w:r>
      <w:bookmarkEnd w:id="82"/>
      <w:bookmarkEnd w:id="83"/>
      <w:r w:rsidR="009E1060" w:rsidRPr="00B22B25">
        <w:rPr>
          <w:rFonts w:eastAsiaTheme="majorBidi"/>
          <w:u w:val="single"/>
        </w:rPr>
        <w:t xml:space="preserve"> </w:t>
      </w:r>
    </w:p>
    <w:p w:rsidR="008C697C" w:rsidRPr="00B22B25" w:rsidRDefault="008C697C" w:rsidP="00B22B25">
      <w:pPr>
        <w:spacing w:after="0" w:line="240" w:lineRule="auto"/>
        <w:jc w:val="both"/>
        <w:rPr>
          <w:rFonts w:cs="Times New Roman"/>
          <w:b/>
          <w:i/>
          <w:szCs w:val="24"/>
        </w:rPr>
      </w:pPr>
      <w:r w:rsidRPr="00B22B25">
        <w:rPr>
          <w:rFonts w:cs="Times New Roman"/>
          <w:b/>
          <w:i/>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F744A5" w:rsidRPr="00D866B8" w:rsidRDefault="00F744A5" w:rsidP="00B22B25">
      <w:pPr>
        <w:spacing w:after="0" w:line="240" w:lineRule="auto"/>
        <w:jc w:val="both"/>
        <w:rPr>
          <w:rFonts w:cs="Times New Roman"/>
          <w:b/>
          <w:szCs w:val="24"/>
        </w:rPr>
      </w:pPr>
    </w:p>
    <w:tbl>
      <w:tblPr>
        <w:tblW w:w="0" w:type="auto"/>
        <w:tblLook w:val="04A0" w:firstRow="1" w:lastRow="0" w:firstColumn="1" w:lastColumn="0" w:noHBand="0" w:noVBand="1"/>
      </w:tblPr>
      <w:tblGrid>
        <w:gridCol w:w="1773"/>
        <w:gridCol w:w="1029"/>
        <w:gridCol w:w="1382"/>
        <w:gridCol w:w="1502"/>
        <w:gridCol w:w="3890"/>
      </w:tblGrid>
      <w:tr w:rsidR="00650888" w:rsidRPr="00650888" w:rsidTr="00DD2D1F">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E7E6E6"/>
            <w:vAlign w:val="bottom"/>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xml:space="preserve">Expertise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xml:space="preserve">Name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xml:space="preserve">Position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xml:space="preserve">Affiliation </w:t>
            </w:r>
          </w:p>
        </w:tc>
        <w:tc>
          <w:tcPr>
            <w:tcW w:w="0" w:type="auto"/>
            <w:tcBorders>
              <w:top w:val="single" w:sz="4" w:space="0" w:color="auto"/>
              <w:left w:val="nil"/>
              <w:bottom w:val="single" w:sz="4" w:space="0" w:color="auto"/>
              <w:right w:val="single" w:sz="4" w:space="0" w:color="auto"/>
            </w:tcBorders>
            <w:shd w:val="clear" w:color="000000" w:fill="E7E6E6"/>
            <w:vAlign w:val="bottom"/>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xml:space="preserve">E-mail </w:t>
            </w:r>
          </w:p>
        </w:tc>
      </w:tr>
      <w:tr w:rsidR="00650888" w:rsidRPr="00650888" w:rsidTr="00DD2D1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Labor economics, program evaluation</w:t>
            </w:r>
          </w:p>
        </w:tc>
        <w:tc>
          <w:tcPr>
            <w:tcW w:w="0" w:type="auto"/>
            <w:tcBorders>
              <w:top w:val="nil"/>
              <w:left w:val="nil"/>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Mark Turner</w:t>
            </w:r>
          </w:p>
        </w:tc>
        <w:tc>
          <w:tcPr>
            <w:tcW w:w="0" w:type="auto"/>
            <w:tcBorders>
              <w:top w:val="nil"/>
              <w:left w:val="nil"/>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President &amp; CEO</w:t>
            </w:r>
          </w:p>
        </w:tc>
        <w:tc>
          <w:tcPr>
            <w:tcW w:w="0" w:type="auto"/>
            <w:tcBorders>
              <w:top w:val="nil"/>
              <w:left w:val="nil"/>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xml:space="preserve"> Optimal Solutions Group, LLC </w:t>
            </w:r>
          </w:p>
        </w:tc>
        <w:tc>
          <w:tcPr>
            <w:tcW w:w="0" w:type="auto"/>
            <w:tcBorders>
              <w:top w:val="nil"/>
              <w:left w:val="nil"/>
              <w:bottom w:val="single" w:sz="4" w:space="0" w:color="auto"/>
              <w:right w:val="single" w:sz="4" w:space="0" w:color="auto"/>
            </w:tcBorders>
            <w:shd w:val="clear" w:color="auto" w:fill="auto"/>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mturner@optimalsolutionsgroup.com</w:t>
            </w:r>
          </w:p>
        </w:tc>
      </w:tr>
      <w:tr w:rsidR="00650888" w:rsidRPr="00650888" w:rsidTr="00DD2D1F">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50888" w:rsidRPr="00650888" w:rsidRDefault="00294994" w:rsidP="00650888">
            <w:pPr>
              <w:spacing w:after="0" w:line="240" w:lineRule="auto"/>
              <w:rPr>
                <w:rFonts w:eastAsia="Times New Roman" w:cs="Times New Roman"/>
                <w:color w:val="000000"/>
                <w:szCs w:val="24"/>
              </w:rPr>
            </w:pPr>
            <w:r>
              <w:rPr>
                <w:rFonts w:eastAsia="Times New Roman" w:cs="Times New Roman"/>
                <w:color w:val="000000"/>
                <w:szCs w:val="24"/>
              </w:rPr>
              <w:t>Entrepreneurs</w:t>
            </w:r>
            <w:r w:rsidR="00650888" w:rsidRPr="00650888">
              <w:rPr>
                <w:rFonts w:eastAsia="Times New Roman" w:cs="Times New Roman"/>
                <w:color w:val="000000"/>
                <w:szCs w:val="24"/>
              </w:rPr>
              <w:t>, program evaluation</w:t>
            </w:r>
          </w:p>
        </w:tc>
        <w:tc>
          <w:tcPr>
            <w:tcW w:w="0" w:type="auto"/>
            <w:tcBorders>
              <w:top w:val="nil"/>
              <w:left w:val="nil"/>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Pr>
                <w:rFonts w:eastAsia="Times New Roman" w:cs="Times New Roman"/>
                <w:color w:val="000000"/>
                <w:szCs w:val="24"/>
              </w:rPr>
              <w:t>Jennifer Auer</w:t>
            </w:r>
          </w:p>
        </w:tc>
        <w:tc>
          <w:tcPr>
            <w:tcW w:w="0" w:type="auto"/>
            <w:tcBorders>
              <w:top w:val="nil"/>
              <w:left w:val="nil"/>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Pr>
                <w:rFonts w:eastAsia="Times New Roman" w:cs="Times New Roman"/>
                <w:color w:val="000000"/>
                <w:szCs w:val="24"/>
              </w:rPr>
              <w:t>Project Director</w:t>
            </w:r>
            <w:r w:rsidRPr="00650888">
              <w:rPr>
                <w:rFonts w:eastAsia="Times New Roman" w:cs="Times New Roman"/>
                <w:color w:val="000000"/>
                <w:szCs w:val="24"/>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Optimal Solutions Group, LLC</w:t>
            </w:r>
          </w:p>
        </w:tc>
        <w:tc>
          <w:tcPr>
            <w:tcW w:w="0" w:type="auto"/>
            <w:tcBorders>
              <w:top w:val="nil"/>
              <w:left w:val="nil"/>
              <w:bottom w:val="single" w:sz="4" w:space="0" w:color="auto"/>
              <w:right w:val="single" w:sz="4" w:space="0" w:color="auto"/>
            </w:tcBorders>
            <w:shd w:val="clear" w:color="auto" w:fill="auto"/>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w:t>
            </w:r>
            <w:r>
              <w:rPr>
                <w:rFonts w:eastAsia="Times New Roman" w:cs="Times New Roman"/>
                <w:color w:val="000000"/>
                <w:szCs w:val="24"/>
              </w:rPr>
              <w:t>jauer</w:t>
            </w:r>
            <w:r w:rsidRPr="00650888">
              <w:rPr>
                <w:rFonts w:eastAsia="Times New Roman" w:cs="Times New Roman"/>
                <w:color w:val="000000"/>
                <w:szCs w:val="24"/>
              </w:rPr>
              <w:t>@optimalsolutionsgroup.com</w:t>
            </w:r>
          </w:p>
        </w:tc>
      </w:tr>
      <w:tr w:rsidR="00650888" w:rsidRPr="00650888" w:rsidTr="00215B2E">
        <w:trPr>
          <w:trHeight w:val="300"/>
        </w:trPr>
        <w:tc>
          <w:tcPr>
            <w:tcW w:w="0" w:type="auto"/>
            <w:tcBorders>
              <w:top w:val="nil"/>
              <w:left w:val="single" w:sz="4" w:space="0" w:color="auto"/>
              <w:bottom w:val="nil"/>
              <w:right w:val="single" w:sz="4" w:space="0" w:color="auto"/>
            </w:tcBorders>
            <w:shd w:val="clear" w:color="auto" w:fill="auto"/>
            <w:vAlign w:val="center"/>
            <w:hideMark/>
          </w:tcPr>
          <w:p w:rsidR="00650888" w:rsidRPr="00650888" w:rsidRDefault="00650888" w:rsidP="00650888">
            <w:pPr>
              <w:spacing w:after="0" w:line="240" w:lineRule="auto"/>
              <w:rPr>
                <w:rFonts w:eastAsia="Times New Roman" w:cs="Times New Roman"/>
                <w:color w:val="000000"/>
                <w:szCs w:val="24"/>
              </w:rPr>
            </w:pPr>
            <w:r>
              <w:rPr>
                <w:rFonts w:eastAsia="Times New Roman" w:cs="Times New Roman"/>
                <w:color w:val="000000"/>
                <w:szCs w:val="24"/>
              </w:rPr>
              <w:t>Statistics</w:t>
            </w:r>
          </w:p>
        </w:tc>
        <w:tc>
          <w:tcPr>
            <w:tcW w:w="0" w:type="auto"/>
            <w:tcBorders>
              <w:top w:val="nil"/>
              <w:left w:val="nil"/>
              <w:bottom w:val="nil"/>
              <w:right w:val="single" w:sz="4" w:space="0" w:color="auto"/>
            </w:tcBorders>
            <w:shd w:val="clear" w:color="auto" w:fill="auto"/>
            <w:vAlign w:val="center"/>
          </w:tcPr>
          <w:p w:rsidR="00650888" w:rsidRPr="00650888" w:rsidRDefault="00215B2E" w:rsidP="00650888">
            <w:pPr>
              <w:spacing w:after="0" w:line="240" w:lineRule="auto"/>
              <w:rPr>
                <w:rFonts w:eastAsia="Times New Roman" w:cs="Times New Roman"/>
                <w:color w:val="000000"/>
                <w:szCs w:val="24"/>
              </w:rPr>
            </w:pPr>
            <w:proofErr w:type="spellStart"/>
            <w:r>
              <w:rPr>
                <w:rFonts w:eastAsia="Times New Roman" w:cs="Times New Roman"/>
                <w:color w:val="000000"/>
                <w:szCs w:val="24"/>
              </w:rPr>
              <w:t>Panpan</w:t>
            </w:r>
            <w:proofErr w:type="spellEnd"/>
            <w:r>
              <w:rPr>
                <w:rFonts w:eastAsia="Times New Roman" w:cs="Times New Roman"/>
                <w:color w:val="000000"/>
                <w:szCs w:val="24"/>
              </w:rPr>
              <w:t xml:space="preserve"> Zhang</w:t>
            </w:r>
          </w:p>
        </w:tc>
        <w:tc>
          <w:tcPr>
            <w:tcW w:w="0" w:type="auto"/>
            <w:tcBorders>
              <w:top w:val="nil"/>
              <w:left w:val="nil"/>
              <w:bottom w:val="nil"/>
              <w:right w:val="single" w:sz="4" w:space="0" w:color="auto"/>
            </w:tcBorders>
            <w:shd w:val="clear" w:color="auto" w:fill="auto"/>
            <w:vAlign w:val="center"/>
          </w:tcPr>
          <w:p w:rsidR="00650888" w:rsidRPr="00650888" w:rsidRDefault="00650888" w:rsidP="00650888">
            <w:pPr>
              <w:spacing w:after="0" w:line="240" w:lineRule="auto"/>
              <w:rPr>
                <w:rFonts w:eastAsia="Times New Roman" w:cs="Times New Roman"/>
                <w:color w:val="000000"/>
                <w:szCs w:val="24"/>
              </w:rPr>
            </w:pPr>
            <w:r>
              <w:rPr>
                <w:rFonts w:eastAsia="Times New Roman" w:cs="Times New Roman"/>
                <w:color w:val="000000"/>
                <w:szCs w:val="24"/>
              </w:rPr>
              <w:t>Statistician</w:t>
            </w:r>
          </w:p>
        </w:tc>
        <w:tc>
          <w:tcPr>
            <w:tcW w:w="0" w:type="auto"/>
            <w:tcBorders>
              <w:top w:val="nil"/>
              <w:left w:val="nil"/>
              <w:bottom w:val="nil"/>
              <w:right w:val="single" w:sz="4" w:space="0" w:color="auto"/>
            </w:tcBorders>
            <w:shd w:val="clear" w:color="auto" w:fill="auto"/>
            <w:vAlign w:val="center"/>
            <w:hideMark/>
          </w:tcPr>
          <w:p w:rsidR="00650888" w:rsidRPr="00650888" w:rsidRDefault="00650888" w:rsidP="00215B2E">
            <w:pPr>
              <w:spacing w:after="0" w:line="240" w:lineRule="auto"/>
              <w:rPr>
                <w:rFonts w:eastAsia="Times New Roman" w:cs="Times New Roman"/>
                <w:color w:val="000000"/>
                <w:szCs w:val="24"/>
              </w:rPr>
            </w:pPr>
            <w:r w:rsidRPr="00650888">
              <w:rPr>
                <w:rFonts w:eastAsia="Times New Roman" w:cs="Times New Roman"/>
                <w:color w:val="000000"/>
                <w:szCs w:val="24"/>
              </w:rPr>
              <w:t> </w:t>
            </w:r>
            <w:r w:rsidR="00215B2E">
              <w:rPr>
                <w:rFonts w:eastAsia="Times New Roman" w:cs="Times New Roman"/>
                <w:color w:val="000000"/>
                <w:szCs w:val="24"/>
              </w:rPr>
              <w:t>George Washington University</w:t>
            </w:r>
          </w:p>
        </w:tc>
        <w:tc>
          <w:tcPr>
            <w:tcW w:w="0" w:type="auto"/>
            <w:tcBorders>
              <w:top w:val="nil"/>
              <w:left w:val="nil"/>
              <w:bottom w:val="nil"/>
              <w:right w:val="single" w:sz="4" w:space="0" w:color="auto"/>
            </w:tcBorders>
            <w:shd w:val="clear" w:color="auto" w:fill="auto"/>
            <w:hideMark/>
          </w:tcPr>
          <w:p w:rsidR="00650888" w:rsidRPr="00650888" w:rsidRDefault="00650888" w:rsidP="00650888">
            <w:pPr>
              <w:spacing w:after="0" w:line="240" w:lineRule="auto"/>
              <w:rPr>
                <w:rFonts w:eastAsia="Times New Roman" w:cs="Times New Roman"/>
                <w:color w:val="000000"/>
                <w:szCs w:val="24"/>
              </w:rPr>
            </w:pPr>
            <w:r w:rsidRPr="00650888">
              <w:rPr>
                <w:rFonts w:eastAsia="Times New Roman" w:cs="Times New Roman"/>
                <w:color w:val="000000"/>
                <w:szCs w:val="24"/>
              </w:rPr>
              <w:t> </w:t>
            </w:r>
            <w:r w:rsidR="00215B2E" w:rsidRPr="00215B2E">
              <w:rPr>
                <w:rFonts w:eastAsia="Times New Roman" w:cs="Times New Roman"/>
                <w:color w:val="000000"/>
                <w:szCs w:val="24"/>
              </w:rPr>
              <w:t>pzhang@gwmail.gwu.edu</w:t>
            </w:r>
          </w:p>
        </w:tc>
      </w:tr>
      <w:tr w:rsidR="00215B2E" w:rsidRPr="00650888" w:rsidTr="00650888">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rsidR="00215B2E" w:rsidRDefault="00215B2E" w:rsidP="00215B2E">
            <w:pPr>
              <w:spacing w:after="0" w:line="240" w:lineRule="auto"/>
              <w:rPr>
                <w:rFonts w:eastAsia="Times New Roman" w:cs="Times New Roman"/>
                <w:color w:val="000000"/>
                <w:szCs w:val="24"/>
              </w:rPr>
            </w:pPr>
            <w:r>
              <w:rPr>
                <w:rFonts w:eastAsia="Times New Roman" w:cs="Times New Roman"/>
                <w:color w:val="000000"/>
                <w:szCs w:val="24"/>
              </w:rPr>
              <w:t>Survey methodology</w:t>
            </w:r>
          </w:p>
        </w:tc>
        <w:tc>
          <w:tcPr>
            <w:tcW w:w="0" w:type="auto"/>
            <w:tcBorders>
              <w:top w:val="nil"/>
              <w:left w:val="nil"/>
              <w:bottom w:val="single" w:sz="4" w:space="0" w:color="auto"/>
              <w:right w:val="single" w:sz="4" w:space="0" w:color="auto"/>
            </w:tcBorders>
            <w:shd w:val="clear" w:color="auto" w:fill="auto"/>
            <w:vAlign w:val="center"/>
          </w:tcPr>
          <w:p w:rsidR="00215B2E" w:rsidRDefault="00215B2E" w:rsidP="00650888">
            <w:pPr>
              <w:spacing w:after="0" w:line="240" w:lineRule="auto"/>
              <w:rPr>
                <w:rFonts w:eastAsia="Times New Roman" w:cs="Times New Roman"/>
                <w:color w:val="000000"/>
                <w:szCs w:val="24"/>
              </w:rPr>
            </w:pPr>
            <w:r>
              <w:rPr>
                <w:rFonts w:eastAsia="Times New Roman" w:cs="Times New Roman"/>
                <w:color w:val="000000"/>
                <w:szCs w:val="24"/>
              </w:rPr>
              <w:t xml:space="preserve">Laura </w:t>
            </w:r>
            <w:proofErr w:type="spellStart"/>
            <w:r>
              <w:rPr>
                <w:rFonts w:eastAsia="Times New Roman" w:cs="Times New Roman"/>
                <w:color w:val="000000"/>
                <w:szCs w:val="24"/>
              </w:rPr>
              <w:t>Leete</w:t>
            </w:r>
            <w:proofErr w:type="spellEnd"/>
          </w:p>
        </w:tc>
        <w:tc>
          <w:tcPr>
            <w:tcW w:w="0" w:type="auto"/>
            <w:tcBorders>
              <w:top w:val="nil"/>
              <w:left w:val="nil"/>
              <w:bottom w:val="single" w:sz="4" w:space="0" w:color="auto"/>
              <w:right w:val="single" w:sz="4" w:space="0" w:color="auto"/>
            </w:tcBorders>
            <w:shd w:val="clear" w:color="auto" w:fill="auto"/>
            <w:vAlign w:val="center"/>
          </w:tcPr>
          <w:p w:rsidR="00215B2E" w:rsidRDefault="00215B2E" w:rsidP="00650888">
            <w:pPr>
              <w:spacing w:after="0" w:line="240" w:lineRule="auto"/>
              <w:rPr>
                <w:rFonts w:eastAsia="Times New Roman" w:cs="Times New Roman"/>
                <w:color w:val="000000"/>
                <w:szCs w:val="24"/>
              </w:rPr>
            </w:pPr>
            <w:r>
              <w:rPr>
                <w:rFonts w:eastAsia="Times New Roman" w:cs="Times New Roman"/>
                <w:color w:val="000000"/>
                <w:szCs w:val="24"/>
              </w:rPr>
              <w:t>Senior Research Associate</w:t>
            </w:r>
          </w:p>
        </w:tc>
        <w:tc>
          <w:tcPr>
            <w:tcW w:w="0" w:type="auto"/>
            <w:tcBorders>
              <w:top w:val="nil"/>
              <w:left w:val="nil"/>
              <w:bottom w:val="single" w:sz="4" w:space="0" w:color="auto"/>
              <w:right w:val="single" w:sz="4" w:space="0" w:color="auto"/>
            </w:tcBorders>
            <w:shd w:val="clear" w:color="auto" w:fill="auto"/>
            <w:vAlign w:val="center"/>
          </w:tcPr>
          <w:p w:rsidR="00215B2E" w:rsidRPr="00650888" w:rsidRDefault="00215B2E" w:rsidP="00DD2D1F">
            <w:pPr>
              <w:spacing w:after="0" w:line="240" w:lineRule="auto"/>
              <w:rPr>
                <w:rFonts w:eastAsia="Times New Roman" w:cs="Times New Roman"/>
                <w:color w:val="000000"/>
                <w:szCs w:val="24"/>
              </w:rPr>
            </w:pPr>
            <w:r w:rsidRPr="00650888">
              <w:rPr>
                <w:rFonts w:eastAsia="Times New Roman" w:cs="Times New Roman"/>
                <w:color w:val="000000"/>
                <w:szCs w:val="24"/>
              </w:rPr>
              <w:t> Optimal Solutions Group, LLC</w:t>
            </w:r>
          </w:p>
        </w:tc>
        <w:tc>
          <w:tcPr>
            <w:tcW w:w="0" w:type="auto"/>
            <w:tcBorders>
              <w:top w:val="nil"/>
              <w:left w:val="nil"/>
              <w:bottom w:val="single" w:sz="4" w:space="0" w:color="auto"/>
              <w:right w:val="single" w:sz="4" w:space="0" w:color="auto"/>
            </w:tcBorders>
            <w:shd w:val="clear" w:color="auto" w:fill="auto"/>
          </w:tcPr>
          <w:p w:rsidR="00215B2E" w:rsidRPr="00650888" w:rsidRDefault="00215B2E" w:rsidP="00215B2E">
            <w:pPr>
              <w:spacing w:after="0" w:line="240" w:lineRule="auto"/>
              <w:rPr>
                <w:rFonts w:eastAsia="Times New Roman" w:cs="Times New Roman"/>
                <w:color w:val="000000"/>
                <w:szCs w:val="24"/>
              </w:rPr>
            </w:pPr>
            <w:r w:rsidRPr="00650888">
              <w:rPr>
                <w:rFonts w:eastAsia="Times New Roman" w:cs="Times New Roman"/>
                <w:color w:val="000000"/>
                <w:szCs w:val="24"/>
              </w:rPr>
              <w:t> </w:t>
            </w:r>
            <w:r>
              <w:rPr>
                <w:rFonts w:eastAsia="Times New Roman" w:cs="Times New Roman"/>
                <w:color w:val="000000"/>
                <w:szCs w:val="24"/>
              </w:rPr>
              <w:t>lleete</w:t>
            </w:r>
            <w:r w:rsidRPr="00650888">
              <w:rPr>
                <w:rFonts w:eastAsia="Times New Roman" w:cs="Times New Roman"/>
                <w:color w:val="000000"/>
                <w:szCs w:val="24"/>
              </w:rPr>
              <w:t>@optimalsolutionsgroup.com</w:t>
            </w:r>
          </w:p>
        </w:tc>
      </w:tr>
    </w:tbl>
    <w:p w:rsidR="00F744A5" w:rsidRDefault="00F744A5" w:rsidP="00D97E89">
      <w:pPr>
        <w:spacing w:after="0" w:line="240" w:lineRule="auto"/>
        <w:jc w:val="both"/>
      </w:pPr>
    </w:p>
    <w:p w:rsidR="008C697C" w:rsidRDefault="008C697C" w:rsidP="00D97E89">
      <w:pPr>
        <w:spacing w:after="0" w:line="240" w:lineRule="auto"/>
        <w:jc w:val="both"/>
        <w:rPr>
          <w:szCs w:val="20"/>
        </w:rPr>
      </w:pPr>
      <w:r>
        <w:t>For information on the statistical aspects of the survey design, contact the contractor implementing the study.</w:t>
      </w:r>
    </w:p>
    <w:p w:rsidR="00F744A5" w:rsidRDefault="00F744A5" w:rsidP="00D97E89">
      <w:pPr>
        <w:spacing w:line="240" w:lineRule="auto"/>
        <w:jc w:val="both"/>
        <w:rPr>
          <w:szCs w:val="20"/>
        </w:rPr>
      </w:pPr>
    </w:p>
    <w:p w:rsidR="008C697C" w:rsidRPr="006D3C37" w:rsidRDefault="008C697C" w:rsidP="00D97E89">
      <w:pPr>
        <w:spacing w:after="0" w:line="240" w:lineRule="auto"/>
        <w:jc w:val="both"/>
        <w:rPr>
          <w:szCs w:val="20"/>
        </w:rPr>
      </w:pPr>
      <w:r w:rsidRPr="001E3CAB">
        <w:rPr>
          <w:szCs w:val="20"/>
        </w:rPr>
        <w:t>Jennifer Auer, Ph</w:t>
      </w:r>
      <w:r w:rsidR="002F70BB" w:rsidRPr="001E3CAB">
        <w:rPr>
          <w:szCs w:val="20"/>
        </w:rPr>
        <w:t>.</w:t>
      </w:r>
      <w:r w:rsidRPr="001E3CAB">
        <w:rPr>
          <w:szCs w:val="20"/>
        </w:rPr>
        <w:t>D</w:t>
      </w:r>
      <w:r w:rsidR="002F70BB" w:rsidRPr="001E3CAB">
        <w:rPr>
          <w:szCs w:val="20"/>
        </w:rPr>
        <w:t>.</w:t>
      </w:r>
    </w:p>
    <w:p w:rsidR="008C697C" w:rsidRPr="006D3C37" w:rsidRDefault="008C697C" w:rsidP="00D97E89">
      <w:pPr>
        <w:spacing w:after="0" w:line="240" w:lineRule="auto"/>
        <w:jc w:val="both"/>
        <w:rPr>
          <w:szCs w:val="20"/>
        </w:rPr>
      </w:pPr>
      <w:r w:rsidRPr="006D3C37">
        <w:rPr>
          <w:szCs w:val="20"/>
        </w:rPr>
        <w:t>Project Director</w:t>
      </w:r>
    </w:p>
    <w:p w:rsidR="008C697C" w:rsidRPr="003A2FCD" w:rsidRDefault="008C697C" w:rsidP="00D97E89">
      <w:pPr>
        <w:spacing w:after="0" w:line="240" w:lineRule="auto"/>
        <w:jc w:val="both"/>
        <w:rPr>
          <w:szCs w:val="20"/>
        </w:rPr>
      </w:pPr>
      <w:r w:rsidRPr="006D3C37">
        <w:rPr>
          <w:szCs w:val="20"/>
        </w:rPr>
        <w:t>Optimal Soluti</w:t>
      </w:r>
      <w:r w:rsidRPr="00C16723">
        <w:rPr>
          <w:szCs w:val="20"/>
        </w:rPr>
        <w:t>ons Group</w:t>
      </w:r>
      <w:r w:rsidR="00534B37" w:rsidRPr="00C16723">
        <w:rPr>
          <w:szCs w:val="20"/>
        </w:rPr>
        <w:t>, LLC</w:t>
      </w:r>
    </w:p>
    <w:p w:rsidR="008C697C" w:rsidRPr="00F744A5" w:rsidRDefault="003D7473" w:rsidP="00D97E89">
      <w:pPr>
        <w:spacing w:after="0" w:line="240" w:lineRule="auto"/>
        <w:jc w:val="both"/>
        <w:rPr>
          <w:szCs w:val="20"/>
        </w:rPr>
      </w:pPr>
      <w:hyperlink r:id="rId13" w:history="1">
        <w:r w:rsidR="008C697C" w:rsidRPr="00F744A5">
          <w:rPr>
            <w:rStyle w:val="Hyperlink"/>
            <w:szCs w:val="20"/>
          </w:rPr>
          <w:t>jauer@optimalsolutionsgroup.com</w:t>
        </w:r>
      </w:hyperlink>
    </w:p>
    <w:p w:rsidR="008C697C" w:rsidRPr="001E3CAB" w:rsidRDefault="008C697C" w:rsidP="00D97E89">
      <w:pPr>
        <w:spacing w:after="0" w:line="240" w:lineRule="auto"/>
        <w:jc w:val="both"/>
        <w:rPr>
          <w:szCs w:val="20"/>
        </w:rPr>
      </w:pPr>
      <w:r w:rsidRPr="001E3CAB">
        <w:rPr>
          <w:szCs w:val="20"/>
        </w:rPr>
        <w:t>301-918-5086</w:t>
      </w:r>
    </w:p>
    <w:p w:rsidR="00E64584" w:rsidRDefault="00E64584" w:rsidP="00D97E89">
      <w:pPr>
        <w:spacing w:after="0" w:line="240" w:lineRule="auto"/>
        <w:jc w:val="both"/>
        <w:rPr>
          <w:rFonts w:eastAsiaTheme="majorEastAsia" w:cstheme="majorBidi"/>
          <w:b/>
          <w:szCs w:val="28"/>
        </w:rPr>
      </w:pPr>
    </w:p>
    <w:sectPr w:rsidR="00E64584" w:rsidSect="00E64584">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8C" w:rsidRDefault="0003468C" w:rsidP="00B52B96">
      <w:pPr>
        <w:spacing w:after="0" w:line="240" w:lineRule="auto"/>
      </w:pPr>
      <w:r>
        <w:separator/>
      </w:r>
    </w:p>
  </w:endnote>
  <w:endnote w:type="continuationSeparator" w:id="0">
    <w:p w:rsidR="0003468C" w:rsidRDefault="0003468C" w:rsidP="00B5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03515"/>
      <w:docPartObj>
        <w:docPartGallery w:val="Page Numbers (Bottom of Page)"/>
        <w:docPartUnique/>
      </w:docPartObj>
    </w:sdtPr>
    <w:sdtEndPr>
      <w:rPr>
        <w:noProof/>
      </w:rPr>
    </w:sdtEndPr>
    <w:sdtContent>
      <w:p w:rsidR="0081750C" w:rsidRDefault="0081750C">
        <w:pPr>
          <w:pStyle w:val="Footer"/>
          <w:jc w:val="center"/>
        </w:pPr>
        <w:r>
          <w:fldChar w:fldCharType="begin"/>
        </w:r>
        <w:r>
          <w:instrText xml:space="preserve"> PAGE   \* MERGEFORMAT </w:instrText>
        </w:r>
        <w:r>
          <w:fldChar w:fldCharType="separate"/>
        </w:r>
        <w:r w:rsidR="003D7473">
          <w:rPr>
            <w:noProof/>
          </w:rPr>
          <w:t>1</w:t>
        </w:r>
        <w:r>
          <w:rPr>
            <w:noProof/>
          </w:rPr>
          <w:fldChar w:fldCharType="end"/>
        </w:r>
      </w:p>
    </w:sdtContent>
  </w:sdt>
  <w:p w:rsidR="0081750C" w:rsidRDefault="0081750C" w:rsidP="00E64584">
    <w:pPr>
      <w:pStyle w:val="Footer"/>
      <w:tabs>
        <w:tab w:val="clear" w:pos="4680"/>
        <w:tab w:val="clear" w:pos="9360"/>
        <w:tab w:val="left" w:pos="37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8C" w:rsidRDefault="0003468C" w:rsidP="00B52B96">
      <w:pPr>
        <w:spacing w:after="0" w:line="240" w:lineRule="auto"/>
      </w:pPr>
      <w:r>
        <w:separator/>
      </w:r>
    </w:p>
  </w:footnote>
  <w:footnote w:type="continuationSeparator" w:id="0">
    <w:p w:rsidR="0003468C" w:rsidRDefault="0003468C" w:rsidP="00B52B96">
      <w:pPr>
        <w:spacing w:after="0" w:line="240" w:lineRule="auto"/>
      </w:pPr>
      <w:r>
        <w:continuationSeparator/>
      </w:r>
    </w:p>
  </w:footnote>
  <w:footnote w:id="1">
    <w:p w:rsidR="0081750C" w:rsidRDefault="0081750C" w:rsidP="007237F7">
      <w:pPr>
        <w:pStyle w:val="FootnoteText"/>
      </w:pPr>
      <w:r>
        <w:rPr>
          <w:rStyle w:val="FootnoteReference"/>
        </w:rPr>
        <w:footnoteRef/>
      </w:r>
      <w:r>
        <w:t xml:space="preserve"> A previous survey of WBC clients conducted by SBA showed that about 35 percent had not yet started a business (</w:t>
      </w:r>
      <w:r w:rsidRPr="00811996">
        <w:t>https://www.sba.gov/sites/default/files/files/OED_ImpactReport_09302013_Final.pdf</w:t>
      </w:r>
      <w:r>
        <w:t>).</w:t>
      </w:r>
    </w:p>
  </w:footnote>
  <w:footnote w:id="2">
    <w:p w:rsidR="0081750C" w:rsidRDefault="0081750C" w:rsidP="000D4486">
      <w:pPr>
        <w:pStyle w:val="FootnoteText"/>
      </w:pPr>
      <w:r>
        <w:rPr>
          <w:rStyle w:val="FootnoteReference"/>
        </w:rPr>
        <w:footnoteRef/>
      </w:r>
      <w:r>
        <w:t xml:space="preserve"> A previous survey of WBC clients conducted by SBA showed that over half did not have any employees (</w:t>
      </w:r>
      <w:r w:rsidRPr="00811996">
        <w:t>https://www.sba.gov/sites/default/files/files/OED_ImpactReport_09302013_Final.pdf</w:t>
      </w:r>
      <w:r>
        <w:t>).</w:t>
      </w:r>
    </w:p>
  </w:footnote>
  <w:footnote w:id="3">
    <w:p w:rsidR="0081750C" w:rsidRDefault="0081750C" w:rsidP="007237F7">
      <w:pPr>
        <w:pStyle w:val="FootnoteText"/>
      </w:pPr>
      <w:r>
        <w:rPr>
          <w:rStyle w:val="FootnoteReference"/>
        </w:rPr>
        <w:footnoteRef/>
      </w:r>
      <w:r>
        <w:t xml:space="preserve"> See </w:t>
      </w:r>
      <w:r w:rsidRPr="00686425">
        <w:t>http://www.pewsocialtrends.org/2012/08/07/census-bureau-considers-chang</w:t>
      </w:r>
      <w:r>
        <w:t>ing-its-racehispanic-questions/.</w:t>
      </w:r>
    </w:p>
  </w:footnote>
  <w:footnote w:id="4">
    <w:p w:rsidR="0081750C" w:rsidRDefault="0081750C">
      <w:pPr>
        <w:pStyle w:val="FootnoteText"/>
      </w:pPr>
      <w:r>
        <w:rPr>
          <w:rStyle w:val="FootnoteReference"/>
        </w:rPr>
        <w:footnoteRef/>
      </w:r>
      <w:r>
        <w:t xml:space="preserve"> WBC clients’ hourly wages were estimated from the Current Population Survey, 2014 Annual Social and Economic Supplement, Table PINC-07</w:t>
      </w:r>
      <w:r w:rsidRPr="00BF1AFC">
        <w:t>.</w:t>
      </w:r>
      <w:r>
        <w:t xml:space="preserve"> For self-employed women, the mean annual wage is $35,045 and the mean hourly wage, based on a 2,080-hour work year, is $16.85.</w:t>
      </w:r>
    </w:p>
  </w:footnote>
  <w:footnote w:id="5">
    <w:p w:rsidR="0081750C" w:rsidRDefault="0081750C" w:rsidP="00D83CDB">
      <w:pPr>
        <w:pStyle w:val="FootnoteText"/>
      </w:pPr>
      <w:r>
        <w:rPr>
          <w:rStyle w:val="FootnoteReference"/>
        </w:rPr>
        <w:footnoteRef/>
      </w:r>
      <w:r>
        <w:t xml:space="preserve"> Administrators’</w:t>
      </w:r>
      <w:r w:rsidRPr="00670BAC">
        <w:t xml:space="preserve"> hourly wages were estimated from the Bureau of Labor Statistics Occupational Employment and Wages, May 2013. For 11-9151 Social and Community Service Managers, the mean hourly wage is $31.61 and the mean annual wage is $65,750.</w:t>
      </w:r>
    </w:p>
    <w:p w:rsidR="0081750C" w:rsidRDefault="0081750C">
      <w:pPr>
        <w:pStyle w:val="FootnoteText"/>
      </w:pPr>
    </w:p>
  </w:footnote>
  <w:footnote w:id="6">
    <w:p w:rsidR="0081750C" w:rsidRDefault="0081750C" w:rsidP="00D83CDB">
      <w:pPr>
        <w:pStyle w:val="FootnoteText"/>
      </w:pPr>
      <w:r>
        <w:rPr>
          <w:rStyle w:val="FootnoteReference"/>
        </w:rPr>
        <w:footnoteRef/>
      </w:r>
      <w:r>
        <w:t xml:space="preserve"> Federal employee pay rates are based on the General Schedule of the Office of Personnel Management for </w:t>
      </w:r>
      <w:r w:rsidRPr="00D83CDB">
        <w:t>2015</w:t>
      </w:r>
      <w:r>
        <w:t xml:space="preserve"> for the Washington D.C. locality and a 2,080-hour work year.</w:t>
      </w:r>
    </w:p>
    <w:p w:rsidR="0081750C" w:rsidRDefault="0081750C">
      <w:pPr>
        <w:pStyle w:val="FootnoteText"/>
      </w:pPr>
    </w:p>
  </w:footnote>
  <w:footnote w:id="7">
    <w:p w:rsidR="0081750C" w:rsidRDefault="0081750C" w:rsidP="008C697C">
      <w:pPr>
        <w:pStyle w:val="FootnoteText"/>
      </w:pPr>
      <w:r>
        <w:rPr>
          <w:rStyle w:val="FootnoteReference"/>
        </w:rPr>
        <w:footnoteRef/>
      </w:r>
      <w:r>
        <w:t xml:space="preserve"> Although the expected effect on business outcomes may be smaller when a client receives only a few hours of counseling or training, a survey of WBC centers found that the average client in over one-third of WBCs received less than 5 hours of training. Thus, to best represent WBC clientele, the sample will include clients who received any level of service (This information comes from a survey of WBC administrators sent by the association of WBCs on March 24, 2014. It obtained a 33 percent response rate as of April 11,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 xml:space="preserve">Supporting Statement for </w:t>
    </w:r>
    <w:r>
      <w:rPr>
        <w:rFonts w:asciiTheme="majorBidi" w:hAnsiTheme="majorBidi" w:cstheme="majorBidi"/>
        <w:b/>
        <w:bCs/>
      </w:rPr>
      <w:t>Collecting Data on Women’s Business Center Program Participants</w:t>
    </w:r>
    <w:r w:rsidRPr="006A34D8">
      <w:rPr>
        <w:rFonts w:asciiTheme="majorBidi" w:hAnsiTheme="majorBidi" w:cstheme="majorBidi"/>
        <w:b/>
        <w:bCs/>
      </w:rPr>
      <w:t xml:space="preserve"> </w:t>
    </w:r>
  </w:p>
  <w:p w:rsidR="0081750C" w:rsidRPr="006A34D8" w:rsidRDefault="0081750C" w:rsidP="00B52B96">
    <w:pPr>
      <w:pStyle w:val="Header"/>
      <w:jc w:val="center"/>
      <w:rPr>
        <w:rFonts w:asciiTheme="majorBidi" w:hAnsiTheme="majorBidi" w:cstheme="majorBidi"/>
        <w:b/>
        <w:bCs/>
      </w:rPr>
    </w:pPr>
    <w:r w:rsidRPr="006A34D8">
      <w:rPr>
        <w:rFonts w:asciiTheme="majorBidi" w:hAnsiTheme="majorBidi" w:cstheme="majorBidi"/>
        <w:b/>
        <w:bCs/>
      </w:rPr>
      <w:t>(OMB Control Number:</w:t>
    </w:r>
    <w:r>
      <w:rPr>
        <w:rFonts w:asciiTheme="majorBidi" w:hAnsiTheme="majorBidi" w:cstheme="majorBidi"/>
        <w:b/>
        <w:bCs/>
      </w:rPr>
      <w:t xml:space="preserve"> XXX</w:t>
    </w:r>
    <w:r w:rsidRPr="000B6E13">
      <w:rPr>
        <w:rFonts w:asciiTheme="majorBidi" w:hAnsiTheme="majorBidi" w:cstheme="majorBidi"/>
        <w:b/>
        <w:bCs/>
      </w:rPr>
      <w:t>)</w:t>
    </w:r>
    <w:r w:rsidRPr="006A34D8">
      <w:rPr>
        <w:rFonts w:asciiTheme="majorBidi" w:hAnsiTheme="majorBidi" w:cstheme="majorBidi"/>
        <w:b/>
        <w:bCs/>
      </w:rPr>
      <w:t xml:space="preserve"> </w:t>
    </w:r>
  </w:p>
  <w:p w:rsidR="0081750C" w:rsidRDefault="0081750C">
    <w:pPr>
      <w:pStyle w:val="Header"/>
    </w:pPr>
  </w:p>
  <w:p w:rsidR="0081750C" w:rsidRDefault="008175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8676B"/>
    <w:multiLevelType w:val="hybridMultilevel"/>
    <w:tmpl w:val="601A3770"/>
    <w:lvl w:ilvl="0" w:tplc="666CC06A">
      <w:start w:val="1"/>
      <w:numFmt w:val="decimal"/>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336E4EAE"/>
    <w:multiLevelType w:val="hybridMultilevel"/>
    <w:tmpl w:val="85A22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9F5ED0"/>
    <w:multiLevelType w:val="hybridMultilevel"/>
    <w:tmpl w:val="660C7A5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0F1975"/>
    <w:multiLevelType w:val="hybridMultilevel"/>
    <w:tmpl w:val="184A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84FCA"/>
    <w:multiLevelType w:val="hybridMultilevel"/>
    <w:tmpl w:val="DB3E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0B01C4"/>
    <w:multiLevelType w:val="hybridMultilevel"/>
    <w:tmpl w:val="FBD4B24A"/>
    <w:lvl w:ilvl="0" w:tplc="97B2FC44">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B71E82"/>
    <w:multiLevelType w:val="hybridMultilevel"/>
    <w:tmpl w:val="1E8E9ACA"/>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96E2702"/>
    <w:multiLevelType w:val="hybridMultilevel"/>
    <w:tmpl w:val="719A9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B41149"/>
    <w:multiLevelType w:val="hybridMultilevel"/>
    <w:tmpl w:val="6052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F83C0C"/>
    <w:multiLevelType w:val="hybridMultilevel"/>
    <w:tmpl w:val="B8620A98"/>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7FFE16CA"/>
    <w:multiLevelType w:val="hybridMultilevel"/>
    <w:tmpl w:val="0DA8377E"/>
    <w:lvl w:ilvl="0" w:tplc="4DE49F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0"/>
  </w:num>
  <w:num w:numId="4">
    <w:abstractNumId w:val="2"/>
  </w:num>
  <w:num w:numId="5">
    <w:abstractNumId w:val="1"/>
  </w:num>
  <w:num w:numId="6">
    <w:abstractNumId w:val="4"/>
  </w:num>
  <w:num w:numId="7">
    <w:abstractNumId w:val="10"/>
  </w:num>
  <w:num w:numId="8">
    <w:abstractNumId w:val="5"/>
  </w:num>
  <w:num w:numId="9">
    <w:abstractNumId w:val="6"/>
  </w:num>
  <w:num w:numId="10">
    <w:abstractNumId w:val="7"/>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96"/>
    <w:rsid w:val="000003DD"/>
    <w:rsid w:val="0001477B"/>
    <w:rsid w:val="00024898"/>
    <w:rsid w:val="00033214"/>
    <w:rsid w:val="0003468C"/>
    <w:rsid w:val="00044E38"/>
    <w:rsid w:val="000548E0"/>
    <w:rsid w:val="00065354"/>
    <w:rsid w:val="00065733"/>
    <w:rsid w:val="000750E6"/>
    <w:rsid w:val="00080726"/>
    <w:rsid w:val="000965B2"/>
    <w:rsid w:val="000B6E13"/>
    <w:rsid w:val="000D4486"/>
    <w:rsid w:val="000E5863"/>
    <w:rsid w:val="000E5B3A"/>
    <w:rsid w:val="00101854"/>
    <w:rsid w:val="001072CC"/>
    <w:rsid w:val="0011075B"/>
    <w:rsid w:val="001112EF"/>
    <w:rsid w:val="001223AF"/>
    <w:rsid w:val="00125958"/>
    <w:rsid w:val="001267F2"/>
    <w:rsid w:val="00137AFA"/>
    <w:rsid w:val="00141C43"/>
    <w:rsid w:val="00154365"/>
    <w:rsid w:val="00170AB0"/>
    <w:rsid w:val="00177325"/>
    <w:rsid w:val="00185EB9"/>
    <w:rsid w:val="0019597D"/>
    <w:rsid w:val="001A5859"/>
    <w:rsid w:val="001D26A1"/>
    <w:rsid w:val="001E3CAB"/>
    <w:rsid w:val="001E5BB5"/>
    <w:rsid w:val="001E5E84"/>
    <w:rsid w:val="002121F0"/>
    <w:rsid w:val="00215B2E"/>
    <w:rsid w:val="00224047"/>
    <w:rsid w:val="002265F4"/>
    <w:rsid w:val="00243979"/>
    <w:rsid w:val="00243AD1"/>
    <w:rsid w:val="00244386"/>
    <w:rsid w:val="00251916"/>
    <w:rsid w:val="002729E6"/>
    <w:rsid w:val="00285551"/>
    <w:rsid w:val="00294994"/>
    <w:rsid w:val="002A3642"/>
    <w:rsid w:val="002A6047"/>
    <w:rsid w:val="002A6651"/>
    <w:rsid w:val="002A689F"/>
    <w:rsid w:val="002B2DE7"/>
    <w:rsid w:val="002C5FC3"/>
    <w:rsid w:val="002E0605"/>
    <w:rsid w:val="002E5D80"/>
    <w:rsid w:val="002E6227"/>
    <w:rsid w:val="002E718F"/>
    <w:rsid w:val="002F498D"/>
    <w:rsid w:val="002F56DC"/>
    <w:rsid w:val="002F70BB"/>
    <w:rsid w:val="00303B4E"/>
    <w:rsid w:val="00313BA8"/>
    <w:rsid w:val="003153F4"/>
    <w:rsid w:val="003257BA"/>
    <w:rsid w:val="003313A7"/>
    <w:rsid w:val="003503D6"/>
    <w:rsid w:val="00365383"/>
    <w:rsid w:val="00367845"/>
    <w:rsid w:val="003726FD"/>
    <w:rsid w:val="00377521"/>
    <w:rsid w:val="00383487"/>
    <w:rsid w:val="0038670D"/>
    <w:rsid w:val="003A2FCD"/>
    <w:rsid w:val="003A77D4"/>
    <w:rsid w:val="003B313E"/>
    <w:rsid w:val="003C1FC0"/>
    <w:rsid w:val="003C6844"/>
    <w:rsid w:val="003D7473"/>
    <w:rsid w:val="00430184"/>
    <w:rsid w:val="0046727B"/>
    <w:rsid w:val="0047069A"/>
    <w:rsid w:val="0048494D"/>
    <w:rsid w:val="004962C3"/>
    <w:rsid w:val="004B3053"/>
    <w:rsid w:val="004B4F5A"/>
    <w:rsid w:val="004B52C4"/>
    <w:rsid w:val="004B68E3"/>
    <w:rsid w:val="004C4463"/>
    <w:rsid w:val="004D15A6"/>
    <w:rsid w:val="004D33D8"/>
    <w:rsid w:val="004E2ACD"/>
    <w:rsid w:val="004E36C8"/>
    <w:rsid w:val="00510784"/>
    <w:rsid w:val="00514215"/>
    <w:rsid w:val="00520029"/>
    <w:rsid w:val="00522B30"/>
    <w:rsid w:val="00524B10"/>
    <w:rsid w:val="00527095"/>
    <w:rsid w:val="00534B37"/>
    <w:rsid w:val="00534F1F"/>
    <w:rsid w:val="005600FE"/>
    <w:rsid w:val="005637E4"/>
    <w:rsid w:val="00564883"/>
    <w:rsid w:val="00575A30"/>
    <w:rsid w:val="00583C3E"/>
    <w:rsid w:val="00586DBA"/>
    <w:rsid w:val="00593C29"/>
    <w:rsid w:val="005C3EA9"/>
    <w:rsid w:val="005C68D3"/>
    <w:rsid w:val="005E50D1"/>
    <w:rsid w:val="005E5902"/>
    <w:rsid w:val="005E6926"/>
    <w:rsid w:val="005F33BE"/>
    <w:rsid w:val="005F6075"/>
    <w:rsid w:val="00602EEE"/>
    <w:rsid w:val="0061672B"/>
    <w:rsid w:val="00620768"/>
    <w:rsid w:val="0063231C"/>
    <w:rsid w:val="00634FFF"/>
    <w:rsid w:val="00650888"/>
    <w:rsid w:val="00654B01"/>
    <w:rsid w:val="00674417"/>
    <w:rsid w:val="0068176B"/>
    <w:rsid w:val="00687439"/>
    <w:rsid w:val="006A40E5"/>
    <w:rsid w:val="006A6FF9"/>
    <w:rsid w:val="006B3748"/>
    <w:rsid w:val="006C03E6"/>
    <w:rsid w:val="006C25BF"/>
    <w:rsid w:val="006C5F85"/>
    <w:rsid w:val="006D3C37"/>
    <w:rsid w:val="006D5C87"/>
    <w:rsid w:val="006D7EF4"/>
    <w:rsid w:val="006E6223"/>
    <w:rsid w:val="006F3D16"/>
    <w:rsid w:val="00704134"/>
    <w:rsid w:val="00705EFE"/>
    <w:rsid w:val="00722596"/>
    <w:rsid w:val="007237F7"/>
    <w:rsid w:val="0074664B"/>
    <w:rsid w:val="0075254E"/>
    <w:rsid w:val="00752B5D"/>
    <w:rsid w:val="00755E21"/>
    <w:rsid w:val="007567F8"/>
    <w:rsid w:val="00757BEC"/>
    <w:rsid w:val="00767DB5"/>
    <w:rsid w:val="00770C27"/>
    <w:rsid w:val="007721D4"/>
    <w:rsid w:val="00773E0F"/>
    <w:rsid w:val="007947E9"/>
    <w:rsid w:val="00794FB7"/>
    <w:rsid w:val="00797E1D"/>
    <w:rsid w:val="007A4DB2"/>
    <w:rsid w:val="007B2D5B"/>
    <w:rsid w:val="007C14EB"/>
    <w:rsid w:val="007C18EF"/>
    <w:rsid w:val="007D21A5"/>
    <w:rsid w:val="007D6184"/>
    <w:rsid w:val="0081750C"/>
    <w:rsid w:val="0082743B"/>
    <w:rsid w:val="00830F6E"/>
    <w:rsid w:val="00832078"/>
    <w:rsid w:val="0083221C"/>
    <w:rsid w:val="00841A1F"/>
    <w:rsid w:val="00850B1B"/>
    <w:rsid w:val="00853DC5"/>
    <w:rsid w:val="00875945"/>
    <w:rsid w:val="00881DA6"/>
    <w:rsid w:val="00894250"/>
    <w:rsid w:val="008A0756"/>
    <w:rsid w:val="008A676B"/>
    <w:rsid w:val="008C3EB8"/>
    <w:rsid w:val="008C594C"/>
    <w:rsid w:val="008C697C"/>
    <w:rsid w:val="008D0360"/>
    <w:rsid w:val="008D3789"/>
    <w:rsid w:val="008E210C"/>
    <w:rsid w:val="008F1D52"/>
    <w:rsid w:val="008F6DD3"/>
    <w:rsid w:val="00915609"/>
    <w:rsid w:val="0092718B"/>
    <w:rsid w:val="00944DA9"/>
    <w:rsid w:val="00962DD0"/>
    <w:rsid w:val="009752FB"/>
    <w:rsid w:val="00983CCF"/>
    <w:rsid w:val="00984547"/>
    <w:rsid w:val="009A28F1"/>
    <w:rsid w:val="009A331D"/>
    <w:rsid w:val="009B440F"/>
    <w:rsid w:val="009E1060"/>
    <w:rsid w:val="009F2A6C"/>
    <w:rsid w:val="009F2BBF"/>
    <w:rsid w:val="009F5054"/>
    <w:rsid w:val="009F63F8"/>
    <w:rsid w:val="00A02176"/>
    <w:rsid w:val="00A057FF"/>
    <w:rsid w:val="00A077FA"/>
    <w:rsid w:val="00A11A38"/>
    <w:rsid w:val="00A1293A"/>
    <w:rsid w:val="00A32C0F"/>
    <w:rsid w:val="00A446BD"/>
    <w:rsid w:val="00A47E48"/>
    <w:rsid w:val="00A61A16"/>
    <w:rsid w:val="00A658FC"/>
    <w:rsid w:val="00A67799"/>
    <w:rsid w:val="00A67EC4"/>
    <w:rsid w:val="00A74B05"/>
    <w:rsid w:val="00A8267C"/>
    <w:rsid w:val="00A96D3D"/>
    <w:rsid w:val="00A97CE8"/>
    <w:rsid w:val="00AB2FDB"/>
    <w:rsid w:val="00AB74A0"/>
    <w:rsid w:val="00AD14DE"/>
    <w:rsid w:val="00AD258C"/>
    <w:rsid w:val="00AE20B0"/>
    <w:rsid w:val="00B027AA"/>
    <w:rsid w:val="00B132CE"/>
    <w:rsid w:val="00B20A4D"/>
    <w:rsid w:val="00B22B25"/>
    <w:rsid w:val="00B32950"/>
    <w:rsid w:val="00B4488B"/>
    <w:rsid w:val="00B449F6"/>
    <w:rsid w:val="00B52B96"/>
    <w:rsid w:val="00B5305C"/>
    <w:rsid w:val="00B731A7"/>
    <w:rsid w:val="00B75764"/>
    <w:rsid w:val="00B77774"/>
    <w:rsid w:val="00B90510"/>
    <w:rsid w:val="00B97AB0"/>
    <w:rsid w:val="00BA7309"/>
    <w:rsid w:val="00BA7651"/>
    <w:rsid w:val="00BB689E"/>
    <w:rsid w:val="00BD2AD5"/>
    <w:rsid w:val="00BD3B0E"/>
    <w:rsid w:val="00BD69A1"/>
    <w:rsid w:val="00BD7DFD"/>
    <w:rsid w:val="00BE23F5"/>
    <w:rsid w:val="00C069A9"/>
    <w:rsid w:val="00C16723"/>
    <w:rsid w:val="00C25450"/>
    <w:rsid w:val="00C268B8"/>
    <w:rsid w:val="00C3692D"/>
    <w:rsid w:val="00C40538"/>
    <w:rsid w:val="00C41CF4"/>
    <w:rsid w:val="00C42F6E"/>
    <w:rsid w:val="00C43B19"/>
    <w:rsid w:val="00C541A9"/>
    <w:rsid w:val="00C55148"/>
    <w:rsid w:val="00C83F67"/>
    <w:rsid w:val="00C9017A"/>
    <w:rsid w:val="00C93CA8"/>
    <w:rsid w:val="00C97812"/>
    <w:rsid w:val="00CA3079"/>
    <w:rsid w:val="00CB58EF"/>
    <w:rsid w:val="00CC0C9C"/>
    <w:rsid w:val="00CE0F83"/>
    <w:rsid w:val="00CE3E0F"/>
    <w:rsid w:val="00CF20DB"/>
    <w:rsid w:val="00CF2454"/>
    <w:rsid w:val="00CF5906"/>
    <w:rsid w:val="00CF5A30"/>
    <w:rsid w:val="00D129AE"/>
    <w:rsid w:val="00D1422C"/>
    <w:rsid w:val="00D149B3"/>
    <w:rsid w:val="00D241AD"/>
    <w:rsid w:val="00D24801"/>
    <w:rsid w:val="00D30630"/>
    <w:rsid w:val="00D33DC3"/>
    <w:rsid w:val="00D34B63"/>
    <w:rsid w:val="00D361D4"/>
    <w:rsid w:val="00D41800"/>
    <w:rsid w:val="00D61EB5"/>
    <w:rsid w:val="00D662D2"/>
    <w:rsid w:val="00D83CDB"/>
    <w:rsid w:val="00D92DE1"/>
    <w:rsid w:val="00D961BB"/>
    <w:rsid w:val="00D97E89"/>
    <w:rsid w:val="00DA02D3"/>
    <w:rsid w:val="00DB0268"/>
    <w:rsid w:val="00DC4ED5"/>
    <w:rsid w:val="00DD2D1F"/>
    <w:rsid w:val="00DE73B9"/>
    <w:rsid w:val="00E23077"/>
    <w:rsid w:val="00E41C5C"/>
    <w:rsid w:val="00E436DD"/>
    <w:rsid w:val="00E47EA2"/>
    <w:rsid w:val="00E6422D"/>
    <w:rsid w:val="00E64584"/>
    <w:rsid w:val="00E657AA"/>
    <w:rsid w:val="00E66BA3"/>
    <w:rsid w:val="00E92105"/>
    <w:rsid w:val="00E9286A"/>
    <w:rsid w:val="00E955A2"/>
    <w:rsid w:val="00E96A6B"/>
    <w:rsid w:val="00EA1ADF"/>
    <w:rsid w:val="00EA714A"/>
    <w:rsid w:val="00EB3B5B"/>
    <w:rsid w:val="00EB6ED7"/>
    <w:rsid w:val="00EC1DCB"/>
    <w:rsid w:val="00EE03AE"/>
    <w:rsid w:val="00EF6C6C"/>
    <w:rsid w:val="00F01C15"/>
    <w:rsid w:val="00F304C0"/>
    <w:rsid w:val="00F355F6"/>
    <w:rsid w:val="00F45437"/>
    <w:rsid w:val="00F5395A"/>
    <w:rsid w:val="00F54014"/>
    <w:rsid w:val="00F622E2"/>
    <w:rsid w:val="00F64092"/>
    <w:rsid w:val="00F66501"/>
    <w:rsid w:val="00F67495"/>
    <w:rsid w:val="00F744A5"/>
    <w:rsid w:val="00F9109B"/>
    <w:rsid w:val="00F962F0"/>
    <w:rsid w:val="00F97135"/>
    <w:rsid w:val="00F97EFD"/>
    <w:rsid w:val="00FC148D"/>
    <w:rsid w:val="00FC2E74"/>
    <w:rsid w:val="00FC4637"/>
    <w:rsid w:val="00FC52A4"/>
    <w:rsid w:val="00FD056D"/>
    <w:rsid w:val="00FD60E4"/>
    <w:rsid w:val="00FE23EE"/>
    <w:rsid w:val="00FF4B9F"/>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BD"/>
    <w:rPr>
      <w:rFonts w:ascii="Times New Roman" w:hAnsi="Times New Roman"/>
      <w:sz w:val="24"/>
    </w:rPr>
  </w:style>
  <w:style w:type="paragraph" w:styleId="Heading1">
    <w:name w:val="heading 1"/>
    <w:basedOn w:val="Heading2"/>
    <w:next w:val="Normal"/>
    <w:link w:val="Heading1Char"/>
    <w:uiPriority w:val="9"/>
    <w:qFormat/>
    <w:rsid w:val="003C1FC0"/>
    <w:pPr>
      <w:numPr>
        <w:numId w:val="0"/>
      </w:numPr>
      <w:spacing w:after="160"/>
      <w:outlineLvl w:val="0"/>
    </w:pPr>
    <w:rPr>
      <w:bCs w:val="0"/>
      <w:color w:val="1F497D" w:themeColor="text2"/>
      <w:szCs w:val="28"/>
    </w:rPr>
  </w:style>
  <w:style w:type="paragraph" w:styleId="Heading2">
    <w:name w:val="heading 2"/>
    <w:basedOn w:val="Normal"/>
    <w:next w:val="Normal"/>
    <w:link w:val="Heading2Char"/>
    <w:uiPriority w:val="9"/>
    <w:unhideWhenUsed/>
    <w:qFormat/>
    <w:rsid w:val="009E1060"/>
    <w:pPr>
      <w:keepNext/>
      <w:keepLines/>
      <w:numPr>
        <w:numId w:val="3"/>
      </w:numPr>
      <w:ind w:left="576"/>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64584"/>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B96"/>
  </w:style>
  <w:style w:type="paragraph" w:styleId="Footer">
    <w:name w:val="footer"/>
    <w:basedOn w:val="Normal"/>
    <w:link w:val="FooterChar"/>
    <w:uiPriority w:val="99"/>
    <w:unhideWhenUsed/>
    <w:rsid w:val="00B52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B96"/>
  </w:style>
  <w:style w:type="paragraph" w:styleId="BalloonText">
    <w:name w:val="Balloon Text"/>
    <w:basedOn w:val="Normal"/>
    <w:link w:val="BalloonTextChar"/>
    <w:uiPriority w:val="99"/>
    <w:semiHidden/>
    <w:unhideWhenUsed/>
    <w:rsid w:val="00B52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96"/>
    <w:rPr>
      <w:rFonts w:ascii="Tahoma" w:hAnsi="Tahoma" w:cs="Tahoma"/>
      <w:sz w:val="16"/>
      <w:szCs w:val="16"/>
    </w:rPr>
  </w:style>
  <w:style w:type="character" w:styleId="Hyperlink">
    <w:name w:val="Hyperlink"/>
    <w:basedOn w:val="DefaultParagraphFont"/>
    <w:uiPriority w:val="99"/>
    <w:unhideWhenUsed/>
    <w:rsid w:val="00AB74A0"/>
    <w:rPr>
      <w:color w:val="0000FF" w:themeColor="hyperlink"/>
      <w:u w:val="single"/>
    </w:rPr>
  </w:style>
  <w:style w:type="character" w:customStyle="1" w:styleId="Heading1Char">
    <w:name w:val="Heading 1 Char"/>
    <w:basedOn w:val="DefaultParagraphFont"/>
    <w:link w:val="Heading1"/>
    <w:uiPriority w:val="9"/>
    <w:rsid w:val="003C1FC0"/>
    <w:rPr>
      <w:rFonts w:ascii="Times New Roman" w:eastAsiaTheme="majorEastAsia" w:hAnsi="Times New Roman" w:cstheme="majorBidi"/>
      <w:b/>
      <w:color w:val="1F497D" w:themeColor="text2"/>
      <w:sz w:val="24"/>
      <w:szCs w:val="28"/>
    </w:rPr>
  </w:style>
  <w:style w:type="paragraph" w:styleId="TOCHeading">
    <w:name w:val="TOC Heading"/>
    <w:basedOn w:val="Heading1"/>
    <w:next w:val="Normal"/>
    <w:uiPriority w:val="39"/>
    <w:unhideWhenUsed/>
    <w:qFormat/>
    <w:rsid w:val="00FC148D"/>
    <w:pPr>
      <w:outlineLvl w:val="9"/>
    </w:pPr>
    <w:rPr>
      <w:lang w:eastAsia="ja-JP"/>
    </w:rPr>
  </w:style>
  <w:style w:type="paragraph" w:styleId="ListParagraph">
    <w:name w:val="List Paragraph"/>
    <w:basedOn w:val="Normal"/>
    <w:link w:val="ListParagraphChar"/>
    <w:qFormat/>
    <w:rsid w:val="00FC148D"/>
    <w:pPr>
      <w:ind w:left="720"/>
      <w:contextualSpacing/>
    </w:pPr>
  </w:style>
  <w:style w:type="character" w:customStyle="1" w:styleId="Heading2Char">
    <w:name w:val="Heading 2 Char"/>
    <w:basedOn w:val="DefaultParagraphFont"/>
    <w:link w:val="Heading2"/>
    <w:uiPriority w:val="9"/>
    <w:rsid w:val="009E1060"/>
    <w:rPr>
      <w:rFonts w:ascii="Times New Roman" w:eastAsiaTheme="majorEastAsia" w:hAnsi="Times New Roman" w:cstheme="majorBidi"/>
      <w:b/>
      <w:bCs/>
      <w:sz w:val="24"/>
      <w:szCs w:val="26"/>
    </w:rPr>
  </w:style>
  <w:style w:type="paragraph" w:styleId="TOC1">
    <w:name w:val="toc 1"/>
    <w:basedOn w:val="Normal"/>
    <w:next w:val="Normal"/>
    <w:autoRedefine/>
    <w:uiPriority w:val="39"/>
    <w:unhideWhenUsed/>
    <w:qFormat/>
    <w:rsid w:val="00FC148D"/>
    <w:pPr>
      <w:spacing w:after="100"/>
    </w:pPr>
  </w:style>
  <w:style w:type="character" w:customStyle="1" w:styleId="ListParagraphChar">
    <w:name w:val="List Paragraph Char"/>
    <w:link w:val="ListParagraph"/>
    <w:locked/>
    <w:rsid w:val="00E64584"/>
    <w:rPr>
      <w:rFonts w:ascii="Times New Roman" w:hAnsi="Times New Roman"/>
      <w:sz w:val="24"/>
    </w:rPr>
  </w:style>
  <w:style w:type="paragraph" w:styleId="BodyTextIndent2">
    <w:name w:val="Body Text Indent 2"/>
    <w:basedOn w:val="Normal"/>
    <w:link w:val="BodyTextIndent2Char"/>
    <w:rsid w:val="00E64584"/>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E64584"/>
    <w:rPr>
      <w:rFonts w:ascii="Arial" w:eastAsia="Times New Roman" w:hAnsi="Arial" w:cs="Courier New"/>
      <w:sz w:val="24"/>
      <w:szCs w:val="20"/>
    </w:rPr>
  </w:style>
  <w:style w:type="paragraph" w:styleId="TOC2">
    <w:name w:val="toc 2"/>
    <w:basedOn w:val="Normal"/>
    <w:next w:val="Normal"/>
    <w:autoRedefine/>
    <w:uiPriority w:val="39"/>
    <w:unhideWhenUsed/>
    <w:qFormat/>
    <w:rsid w:val="00E64584"/>
    <w:pPr>
      <w:spacing w:after="100"/>
      <w:ind w:left="240"/>
    </w:pPr>
  </w:style>
  <w:style w:type="paragraph" w:styleId="TOC3">
    <w:name w:val="toc 3"/>
    <w:basedOn w:val="Normal"/>
    <w:next w:val="Normal"/>
    <w:autoRedefine/>
    <w:uiPriority w:val="39"/>
    <w:unhideWhenUsed/>
    <w:qFormat/>
    <w:rsid w:val="00E64584"/>
    <w:pPr>
      <w:spacing w:after="100"/>
      <w:ind w:left="440"/>
    </w:pPr>
    <w:rPr>
      <w:rFonts w:asciiTheme="minorHAnsi" w:eastAsiaTheme="minorEastAsia" w:hAnsiTheme="minorHAnsi"/>
      <w:sz w:val="22"/>
      <w:lang w:eastAsia="ja-JP"/>
    </w:rPr>
  </w:style>
  <w:style w:type="character" w:customStyle="1" w:styleId="Heading3Char">
    <w:name w:val="Heading 3 Char"/>
    <w:basedOn w:val="DefaultParagraphFont"/>
    <w:link w:val="Heading3"/>
    <w:uiPriority w:val="9"/>
    <w:rsid w:val="00E64584"/>
    <w:rPr>
      <w:rFonts w:ascii="Times New Roman" w:eastAsiaTheme="majorEastAsia" w:hAnsi="Times New Roman" w:cstheme="majorBidi"/>
      <w:b/>
      <w:bCs/>
      <w:sz w:val="24"/>
    </w:rPr>
  </w:style>
  <w:style w:type="paragraph" w:styleId="FootnoteText">
    <w:name w:val="footnote text"/>
    <w:basedOn w:val="Normal"/>
    <w:link w:val="FootnoteTextChar"/>
    <w:uiPriority w:val="99"/>
    <w:unhideWhenUsed/>
    <w:rsid w:val="000B6E13"/>
    <w:pPr>
      <w:spacing w:after="0" w:line="240" w:lineRule="auto"/>
    </w:pPr>
    <w:rPr>
      <w:sz w:val="20"/>
      <w:szCs w:val="20"/>
    </w:rPr>
  </w:style>
  <w:style w:type="character" w:customStyle="1" w:styleId="FootnoteTextChar">
    <w:name w:val="Footnote Text Char"/>
    <w:basedOn w:val="DefaultParagraphFont"/>
    <w:link w:val="FootnoteText"/>
    <w:uiPriority w:val="99"/>
    <w:rsid w:val="000B6E13"/>
    <w:rPr>
      <w:rFonts w:ascii="Times New Roman" w:hAnsi="Times New Roman"/>
      <w:sz w:val="20"/>
      <w:szCs w:val="20"/>
    </w:rPr>
  </w:style>
  <w:style w:type="character" w:styleId="FootnoteReference">
    <w:name w:val="footnote reference"/>
    <w:basedOn w:val="DefaultParagraphFont"/>
    <w:uiPriority w:val="99"/>
    <w:unhideWhenUsed/>
    <w:rsid w:val="000B6E13"/>
    <w:rPr>
      <w:vertAlign w:val="superscript"/>
    </w:rPr>
  </w:style>
  <w:style w:type="character" w:styleId="CommentReference">
    <w:name w:val="annotation reference"/>
    <w:uiPriority w:val="99"/>
    <w:rsid w:val="000B6E13"/>
    <w:rPr>
      <w:sz w:val="16"/>
      <w:szCs w:val="16"/>
    </w:rPr>
  </w:style>
  <w:style w:type="paragraph" w:styleId="CommentText">
    <w:name w:val="annotation text"/>
    <w:basedOn w:val="Normal"/>
    <w:link w:val="CommentTextChar"/>
    <w:uiPriority w:val="99"/>
    <w:rsid w:val="000B6E13"/>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0B6E13"/>
    <w:rPr>
      <w:rFonts w:ascii="Times New Roman" w:eastAsia="Times New Roman" w:hAnsi="Times New Roman" w:cs="Times New Roman"/>
      <w:sz w:val="20"/>
      <w:szCs w:val="20"/>
    </w:rPr>
  </w:style>
  <w:style w:type="table" w:styleId="TableGrid">
    <w:name w:val="Table Grid"/>
    <w:basedOn w:val="TableNormal"/>
    <w:uiPriority w:val="39"/>
    <w:rsid w:val="003C1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C697C"/>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Subject">
    <w:name w:val="annotation subject"/>
    <w:basedOn w:val="CommentText"/>
    <w:next w:val="CommentText"/>
    <w:link w:val="CommentSubjectChar"/>
    <w:uiPriority w:val="99"/>
    <w:semiHidden/>
    <w:unhideWhenUsed/>
    <w:rsid w:val="005E6926"/>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5E6926"/>
    <w:rPr>
      <w:rFonts w:ascii="Times New Roman" w:eastAsia="Times New Roman" w:hAnsi="Times New Roman" w:cs="Times New Roman"/>
      <w:b/>
      <w:bCs/>
      <w:sz w:val="20"/>
      <w:szCs w:val="20"/>
    </w:rPr>
  </w:style>
  <w:style w:type="paragraph" w:styleId="Revision">
    <w:name w:val="Revision"/>
    <w:hidden/>
    <w:uiPriority w:val="99"/>
    <w:semiHidden/>
    <w:rsid w:val="0010185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043">
      <w:bodyDiv w:val="1"/>
      <w:marLeft w:val="0"/>
      <w:marRight w:val="0"/>
      <w:marTop w:val="0"/>
      <w:marBottom w:val="0"/>
      <w:divBdr>
        <w:top w:val="none" w:sz="0" w:space="0" w:color="auto"/>
        <w:left w:val="none" w:sz="0" w:space="0" w:color="auto"/>
        <w:bottom w:val="none" w:sz="0" w:space="0" w:color="auto"/>
        <w:right w:val="none" w:sz="0" w:space="0" w:color="auto"/>
      </w:divBdr>
    </w:div>
    <w:div w:id="602802310">
      <w:bodyDiv w:val="1"/>
      <w:marLeft w:val="0"/>
      <w:marRight w:val="0"/>
      <w:marTop w:val="0"/>
      <w:marBottom w:val="0"/>
      <w:divBdr>
        <w:top w:val="none" w:sz="0" w:space="0" w:color="auto"/>
        <w:left w:val="none" w:sz="0" w:space="0" w:color="auto"/>
        <w:bottom w:val="none" w:sz="0" w:space="0" w:color="auto"/>
        <w:right w:val="none" w:sz="0" w:space="0" w:color="auto"/>
      </w:divBdr>
    </w:div>
    <w:div w:id="1708023063">
      <w:bodyDiv w:val="1"/>
      <w:marLeft w:val="0"/>
      <w:marRight w:val="0"/>
      <w:marTop w:val="0"/>
      <w:marBottom w:val="0"/>
      <w:divBdr>
        <w:top w:val="none" w:sz="0" w:space="0" w:color="auto"/>
        <w:left w:val="none" w:sz="0" w:space="0" w:color="auto"/>
        <w:bottom w:val="none" w:sz="0" w:space="0" w:color="auto"/>
        <w:right w:val="none" w:sz="0" w:space="0" w:color="auto"/>
      </w:divBdr>
    </w:div>
    <w:div w:id="1950771819">
      <w:bodyDiv w:val="1"/>
      <w:marLeft w:val="0"/>
      <w:marRight w:val="0"/>
      <w:marTop w:val="0"/>
      <w:marBottom w:val="0"/>
      <w:divBdr>
        <w:top w:val="none" w:sz="0" w:space="0" w:color="auto"/>
        <w:left w:val="none" w:sz="0" w:space="0" w:color="auto"/>
        <w:bottom w:val="none" w:sz="0" w:space="0" w:color="auto"/>
        <w:right w:val="none" w:sz="0" w:space="0" w:color="auto"/>
      </w:divBdr>
    </w:div>
    <w:div w:id="2049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auer@optimalsolutionsgroup.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Document</p:Name>
  <p:Description/>
  <p:Statement/>
  <p:PolicyItems>
    <p:PolicyItem featureId="Microsoft.Office.RecordsManagement.PolicyFeatures.PolicyAudit" staticId="0x010100C44455C3A1B30C48B2211A1AC4E51949|1757814118" UniqueId="5c6b7e95-8b7b-494d-b356-abb91631c1a4">
      <p:Name>Auditing</p:Name>
      <p:Description>Audits user actions on documents and list items to the Audit Log.</p:Description>
      <p:CustomData>
        <Audit>
          <Update/>
          <CheckInOut/>
          <MoveCopy/>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4455C3A1B30C48B2211A1AC4E51949" ma:contentTypeVersion="5" ma:contentTypeDescription="Create a new document." ma:contentTypeScope="" ma:versionID="28747f10e62db70a70989086b9c440ae">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4a5c3fa9427b0d2af5315dc860a80df4"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1F6A3-7985-41B2-9879-4D82646A1089}">
  <ds:schemaRefs>
    <ds:schemaRef ds:uri="http://schemas.microsoft.com/sharepoint/v3/contenttype/forms"/>
  </ds:schemaRefs>
</ds:datastoreItem>
</file>

<file path=customXml/itemProps2.xml><?xml version="1.0" encoding="utf-8"?>
<ds:datastoreItem xmlns:ds="http://schemas.openxmlformats.org/officeDocument/2006/customXml" ds:itemID="{50282191-B0B1-4603-AF60-4019F8A2777D}">
  <ds:schemaRefs>
    <ds:schemaRef ds:uri="office.server.policy"/>
  </ds:schemaRefs>
</ds:datastoreItem>
</file>

<file path=customXml/itemProps3.xml><?xml version="1.0" encoding="utf-8"?>
<ds:datastoreItem xmlns:ds="http://schemas.openxmlformats.org/officeDocument/2006/customXml" ds:itemID="{A599FB21-B47C-47EA-A89E-CF401DCDA184}">
  <ds:schemaRefs>
    <ds:schemaRef ds:uri="467e95b9-19f2-42ff-a618-3bef04f73a05"/>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 ds:uri="http://schemas.microsoft.com/sharepoint/v3"/>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A83596D9-24A3-4E31-98CC-6D1902242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E135A8-9008-4FE3-BE59-DDA733920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D2CFE0C5.dotm</Template>
  <TotalTime>0</TotalTime>
  <Pages>14</Pages>
  <Words>5507</Words>
  <Characters>31393</Characters>
  <Application>Microsoft Office Word</Application>
  <DocSecurity>4</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 Hussain</dc:creator>
  <cp:lastModifiedBy>Rich, Curtis B.</cp:lastModifiedBy>
  <cp:revision>2</cp:revision>
  <dcterms:created xsi:type="dcterms:W3CDTF">2015-03-30T15:35:00Z</dcterms:created>
  <dcterms:modified xsi:type="dcterms:W3CDTF">2015-03-30T15:35:00Z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0x010100C44455C3A1B30C48B2211A1AC4E51949</vt:lpwstr>
  </property>
  <property fmtid="{D5CDD505-2E9C-101B-9397-08002B2CF9AE}" pid="3" name="TaxKeyword">
    <vt:lpwstr/>
  </property>
</Properties>
</file>