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C1E" w:rsidRPr="00BD1DD0" w:rsidRDefault="00447C1E" w:rsidP="00447C1E">
      <w:pPr>
        <w:tabs>
          <w:tab w:val="center" w:pos="4680"/>
        </w:tabs>
        <w:suppressAutoHyphens/>
        <w:spacing w:line="480" w:lineRule="auto"/>
        <w:jc w:val="center"/>
        <w:rPr>
          <w:rFonts w:ascii="Times New Roman" w:hAnsi="Times New Roman"/>
          <w:b/>
          <w:szCs w:val="24"/>
        </w:rPr>
      </w:pPr>
      <w:r w:rsidRPr="00BD1DD0">
        <w:rPr>
          <w:rFonts w:ascii="Times New Roman" w:hAnsi="Times New Roman"/>
          <w:b/>
          <w:szCs w:val="24"/>
        </w:rPr>
        <w:t>SUPPORTING STATEMENT</w:t>
      </w:r>
      <w:r w:rsidR="0062567E" w:rsidRPr="00BD1DD0">
        <w:rPr>
          <w:rFonts w:ascii="Times New Roman" w:hAnsi="Times New Roman"/>
          <w:b/>
          <w:szCs w:val="24"/>
        </w:rPr>
        <w:t xml:space="preserve"> </w:t>
      </w:r>
      <w:r w:rsidR="00204E6E">
        <w:rPr>
          <w:rFonts w:ascii="Times New Roman" w:hAnsi="Times New Roman"/>
          <w:b/>
          <w:szCs w:val="24"/>
        </w:rPr>
        <w:t xml:space="preserve">- PART A </w:t>
      </w:r>
      <w:r w:rsidR="0062567E" w:rsidRPr="00BD1DD0">
        <w:rPr>
          <w:rFonts w:ascii="Times New Roman" w:hAnsi="Times New Roman"/>
          <w:b/>
          <w:szCs w:val="24"/>
        </w:rPr>
        <w:t>for</w:t>
      </w:r>
    </w:p>
    <w:p w:rsidR="00BD1DD0" w:rsidRDefault="00AD4629" w:rsidP="00447C1E">
      <w:pPr>
        <w:tabs>
          <w:tab w:val="right" w:pos="9360"/>
        </w:tabs>
        <w:spacing w:line="480" w:lineRule="auto"/>
        <w:jc w:val="center"/>
        <w:rPr>
          <w:rFonts w:ascii="Times New Roman" w:hAnsi="Times New Roman"/>
          <w:b/>
          <w:szCs w:val="24"/>
          <w:lang w:val="es-US"/>
        </w:rPr>
      </w:pPr>
      <w:r w:rsidRPr="00BD1DD0">
        <w:rPr>
          <w:rFonts w:ascii="Times New Roman" w:hAnsi="Times New Roman"/>
          <w:b/>
          <w:szCs w:val="24"/>
          <w:lang w:val="es-US"/>
        </w:rPr>
        <w:t xml:space="preserve">OMB </w:t>
      </w:r>
      <w:r w:rsidR="009F7E1A" w:rsidRPr="00BD1DD0">
        <w:rPr>
          <w:rFonts w:ascii="Times New Roman" w:hAnsi="Times New Roman"/>
          <w:b/>
          <w:szCs w:val="24"/>
          <w:lang w:val="es-US"/>
        </w:rPr>
        <w:t xml:space="preserve">Control </w:t>
      </w:r>
      <w:r w:rsidR="009F7E1A" w:rsidRPr="00BD1DD0">
        <w:rPr>
          <w:rFonts w:ascii="Times New Roman" w:hAnsi="Times New Roman"/>
          <w:b/>
          <w:szCs w:val="24"/>
        </w:rPr>
        <w:t>Number</w:t>
      </w:r>
      <w:r w:rsidRPr="00BD1DD0">
        <w:rPr>
          <w:rFonts w:ascii="Times New Roman" w:hAnsi="Times New Roman"/>
          <w:b/>
          <w:szCs w:val="24"/>
          <w:lang w:val="es-US"/>
        </w:rPr>
        <w:t xml:space="preserve"> 0584-</w:t>
      </w:r>
      <w:r w:rsidR="00632F9E" w:rsidRPr="00632F9E">
        <w:rPr>
          <w:rFonts w:ascii="Times New Roman" w:hAnsi="Times New Roman"/>
          <w:b/>
          <w:szCs w:val="24"/>
        </w:rPr>
        <w:t>0552</w:t>
      </w:r>
      <w:r w:rsidR="00B335C9" w:rsidRPr="00BD1DD0">
        <w:rPr>
          <w:rFonts w:ascii="Times New Roman" w:hAnsi="Times New Roman"/>
          <w:b/>
          <w:szCs w:val="24"/>
          <w:lang w:val="es-US"/>
        </w:rPr>
        <w:t xml:space="preserve">:  </w:t>
      </w:r>
    </w:p>
    <w:p w:rsidR="00B335C9" w:rsidRPr="002568E6" w:rsidRDefault="00632F9E" w:rsidP="00447C1E">
      <w:pPr>
        <w:tabs>
          <w:tab w:val="right" w:pos="9360"/>
        </w:tabs>
        <w:spacing w:line="480" w:lineRule="auto"/>
        <w:jc w:val="center"/>
        <w:rPr>
          <w:rFonts w:ascii="Times New Roman" w:hAnsi="Times New Roman"/>
          <w:szCs w:val="24"/>
          <w:lang w:val="es-US"/>
        </w:rPr>
      </w:pPr>
      <w:r w:rsidRPr="00632F9E">
        <w:rPr>
          <w:rFonts w:ascii="Times New Roman" w:hAnsi="Times New Roman"/>
          <w:b/>
          <w:szCs w:val="24"/>
        </w:rPr>
        <w:t>National Universal Product Code (NUPC) Database</w:t>
      </w:r>
    </w:p>
    <w:p w:rsidR="00B335C9" w:rsidRPr="002568E6" w:rsidRDefault="00B335C9" w:rsidP="00447C1E">
      <w:pPr>
        <w:tabs>
          <w:tab w:val="right" w:pos="9360"/>
        </w:tabs>
        <w:spacing w:line="480" w:lineRule="auto"/>
        <w:jc w:val="center"/>
        <w:rPr>
          <w:rFonts w:ascii="Times New Roman" w:hAnsi="Times New Roman"/>
          <w:szCs w:val="24"/>
          <w:lang w:val="es-US"/>
        </w:rPr>
      </w:pPr>
    </w:p>
    <w:p w:rsidR="00447C1E" w:rsidRPr="002568E6" w:rsidRDefault="00632F9E" w:rsidP="00447C1E">
      <w:pPr>
        <w:spacing w:line="480" w:lineRule="auto"/>
        <w:jc w:val="center"/>
        <w:rPr>
          <w:rFonts w:ascii="Times New Roman" w:hAnsi="Times New Roman"/>
          <w:szCs w:val="24"/>
          <w:lang w:val="es-US"/>
        </w:rPr>
      </w:pPr>
      <w:r>
        <w:rPr>
          <w:rFonts w:ascii="Times New Roman" w:hAnsi="Times New Roman"/>
          <w:szCs w:val="24"/>
          <w:lang w:val="es-US"/>
        </w:rPr>
        <w:t>Steve Porter</w:t>
      </w:r>
    </w:p>
    <w:p w:rsidR="00447C1E" w:rsidRPr="002568E6" w:rsidRDefault="00632F9E" w:rsidP="00447C1E">
      <w:pPr>
        <w:spacing w:line="480" w:lineRule="auto"/>
        <w:jc w:val="center"/>
        <w:rPr>
          <w:rFonts w:ascii="Times New Roman" w:hAnsi="Times New Roman"/>
          <w:szCs w:val="24"/>
        </w:rPr>
      </w:pPr>
      <w:r>
        <w:rPr>
          <w:rFonts w:ascii="Times New Roman" w:hAnsi="Times New Roman"/>
          <w:szCs w:val="24"/>
        </w:rPr>
        <w:t>Program Analyst</w:t>
      </w:r>
    </w:p>
    <w:p w:rsidR="00447C1E" w:rsidRPr="002568E6" w:rsidRDefault="00632F9E" w:rsidP="00447C1E">
      <w:pPr>
        <w:tabs>
          <w:tab w:val="left" w:pos="-720"/>
        </w:tabs>
        <w:suppressAutoHyphens/>
        <w:spacing w:line="480" w:lineRule="auto"/>
        <w:jc w:val="center"/>
        <w:rPr>
          <w:rFonts w:ascii="Times New Roman" w:hAnsi="Times New Roman"/>
          <w:szCs w:val="24"/>
        </w:rPr>
      </w:pPr>
      <w:r>
        <w:rPr>
          <w:rFonts w:ascii="Times New Roman" w:hAnsi="Times New Roman"/>
          <w:szCs w:val="24"/>
        </w:rPr>
        <w:t xml:space="preserve">Supplemental Food Programs Division </w:t>
      </w:r>
    </w:p>
    <w:p w:rsidR="00447C1E" w:rsidRPr="002568E6" w:rsidRDefault="009F7E1A" w:rsidP="00447C1E">
      <w:pPr>
        <w:spacing w:line="480" w:lineRule="auto"/>
        <w:jc w:val="center"/>
        <w:rPr>
          <w:rFonts w:ascii="Times New Roman" w:hAnsi="Times New Roman"/>
          <w:szCs w:val="24"/>
        </w:rPr>
      </w:pPr>
      <w:r w:rsidRPr="002568E6">
        <w:rPr>
          <w:rFonts w:ascii="Times New Roman" w:hAnsi="Times New Roman"/>
          <w:szCs w:val="24"/>
        </w:rPr>
        <w:t xml:space="preserve">USDA, </w:t>
      </w:r>
      <w:r w:rsidR="00447C1E" w:rsidRPr="002568E6">
        <w:rPr>
          <w:rFonts w:ascii="Times New Roman" w:hAnsi="Times New Roman"/>
          <w:szCs w:val="24"/>
        </w:rPr>
        <w:t>Food and Nutrition Service</w:t>
      </w:r>
    </w:p>
    <w:p w:rsidR="00447C1E" w:rsidRPr="002568E6" w:rsidRDefault="009F7E1A" w:rsidP="00447C1E">
      <w:pPr>
        <w:spacing w:line="480" w:lineRule="auto"/>
        <w:jc w:val="center"/>
        <w:rPr>
          <w:rFonts w:ascii="Times New Roman" w:hAnsi="Times New Roman"/>
          <w:szCs w:val="24"/>
        </w:rPr>
      </w:pPr>
      <w:r w:rsidRPr="002568E6">
        <w:rPr>
          <w:rFonts w:ascii="Times New Roman" w:hAnsi="Times New Roman"/>
          <w:szCs w:val="24"/>
        </w:rPr>
        <w:t>3101 Park Center Drive</w:t>
      </w:r>
    </w:p>
    <w:p w:rsidR="00447C1E" w:rsidRPr="002568E6" w:rsidRDefault="00447C1E" w:rsidP="00447C1E">
      <w:pPr>
        <w:spacing w:line="480" w:lineRule="auto"/>
        <w:jc w:val="center"/>
        <w:rPr>
          <w:rFonts w:ascii="Times New Roman" w:hAnsi="Times New Roman"/>
          <w:szCs w:val="24"/>
        </w:rPr>
      </w:pPr>
      <w:r w:rsidRPr="002568E6">
        <w:rPr>
          <w:rFonts w:ascii="Times New Roman" w:hAnsi="Times New Roman"/>
          <w:szCs w:val="24"/>
        </w:rPr>
        <w:t>Alexandria, Virginia 22302</w:t>
      </w:r>
    </w:p>
    <w:p w:rsidR="00447C1E" w:rsidRDefault="0067540A" w:rsidP="00447C1E">
      <w:pPr>
        <w:spacing w:line="480" w:lineRule="auto"/>
        <w:jc w:val="center"/>
        <w:rPr>
          <w:rFonts w:ascii="Times New Roman" w:hAnsi="Times New Roman"/>
          <w:szCs w:val="24"/>
        </w:rPr>
      </w:pPr>
      <w:hyperlink r:id="rId13" w:history="1">
        <w:r w:rsidR="00E035F0" w:rsidRPr="00427CB7">
          <w:rPr>
            <w:rStyle w:val="Hyperlink"/>
            <w:rFonts w:ascii="Times New Roman" w:hAnsi="Times New Roman"/>
            <w:szCs w:val="24"/>
          </w:rPr>
          <w:t>Steve.porter@fns.usda.gov</w:t>
        </w:r>
      </w:hyperlink>
    </w:p>
    <w:p w:rsidR="00E035F0" w:rsidRPr="002568E6" w:rsidRDefault="00E035F0" w:rsidP="00447C1E">
      <w:pPr>
        <w:spacing w:line="480" w:lineRule="auto"/>
        <w:jc w:val="center"/>
        <w:rPr>
          <w:rFonts w:ascii="Times New Roman" w:hAnsi="Times New Roman"/>
          <w:szCs w:val="24"/>
        </w:rPr>
      </w:pPr>
      <w:r>
        <w:rPr>
          <w:rFonts w:ascii="Times New Roman" w:hAnsi="Times New Roman"/>
          <w:szCs w:val="24"/>
        </w:rPr>
        <w:t>703-305-2721</w:t>
      </w:r>
    </w:p>
    <w:p w:rsidR="00905A5F" w:rsidRDefault="00905A5F">
      <w:pPr>
        <w:widowControl/>
        <w:overflowPunct/>
        <w:autoSpaceDE/>
        <w:autoSpaceDN/>
        <w:adjustRightInd/>
        <w:textAlignment w:val="auto"/>
        <w:rPr>
          <w:rFonts w:ascii="Times New Roman" w:hAnsi="Times New Roman"/>
          <w:szCs w:val="24"/>
        </w:rPr>
      </w:pPr>
      <w:r>
        <w:rPr>
          <w:rFonts w:ascii="Times New Roman" w:hAnsi="Times New Roman"/>
          <w:szCs w:val="24"/>
        </w:rPr>
        <w:br w:type="page"/>
      </w:r>
    </w:p>
    <w:p w:rsidR="00905A5F" w:rsidRDefault="00905A5F" w:rsidP="009F7E1A">
      <w:pPr>
        <w:tabs>
          <w:tab w:val="center" w:pos="4680"/>
        </w:tabs>
        <w:rPr>
          <w:rFonts w:ascii="Times New Roman" w:hAnsi="Times New Roman"/>
          <w:b/>
          <w:szCs w:val="24"/>
          <w:u w:val="single"/>
        </w:rPr>
      </w:pPr>
      <w:r>
        <w:rPr>
          <w:rFonts w:ascii="Times New Roman" w:hAnsi="Times New Roman"/>
          <w:b/>
          <w:szCs w:val="24"/>
          <w:u w:val="single"/>
        </w:rPr>
        <w:lastRenderedPageBreak/>
        <w:t>Table of Contents</w:t>
      </w:r>
    </w:p>
    <w:p w:rsidR="007B4217" w:rsidRDefault="001C1A98">
      <w:pPr>
        <w:pStyle w:val="TOC1"/>
        <w:rPr>
          <w:rFonts w:asciiTheme="minorHAnsi" w:eastAsiaTheme="minorEastAsia" w:hAnsiTheme="minorHAnsi" w:cstheme="minorBidi"/>
          <w:b w:val="0"/>
          <w:bCs w:val="0"/>
          <w:caps w:val="0"/>
          <w:sz w:val="22"/>
          <w:szCs w:val="22"/>
        </w:rPr>
      </w:pPr>
      <w:r>
        <w:rPr>
          <w:szCs w:val="24"/>
        </w:rPr>
        <w:fldChar w:fldCharType="begin"/>
      </w:r>
      <w:r w:rsidR="00905A5F">
        <w:rPr>
          <w:szCs w:val="24"/>
        </w:rPr>
        <w:instrText xml:space="preserve"> TOC \o "1-2" \h \z \u </w:instrText>
      </w:r>
      <w:r>
        <w:rPr>
          <w:szCs w:val="24"/>
        </w:rPr>
        <w:fldChar w:fldCharType="separate"/>
      </w:r>
      <w:hyperlink w:anchor="_Toc417486997" w:history="1">
        <w:r w:rsidR="007B4217" w:rsidRPr="00334532">
          <w:rPr>
            <w:rStyle w:val="Hyperlink"/>
          </w:rPr>
          <w:t>Introduction</w:t>
        </w:r>
        <w:r w:rsidR="007B4217">
          <w:rPr>
            <w:webHidden/>
          </w:rPr>
          <w:tab/>
        </w:r>
        <w:r>
          <w:rPr>
            <w:webHidden/>
          </w:rPr>
          <w:fldChar w:fldCharType="begin"/>
        </w:r>
        <w:r w:rsidR="007B4217">
          <w:rPr>
            <w:webHidden/>
          </w:rPr>
          <w:instrText xml:space="preserve"> PAGEREF _Toc417486997 \h </w:instrText>
        </w:r>
        <w:r>
          <w:rPr>
            <w:webHidden/>
          </w:rPr>
        </w:r>
        <w:r>
          <w:rPr>
            <w:webHidden/>
          </w:rPr>
          <w:fldChar w:fldCharType="separate"/>
        </w:r>
        <w:r w:rsidR="00530F1B">
          <w:rPr>
            <w:webHidden/>
          </w:rPr>
          <w:t>3</w:t>
        </w:r>
        <w:r>
          <w:rPr>
            <w:webHidden/>
          </w:rPr>
          <w:fldChar w:fldCharType="end"/>
        </w:r>
      </w:hyperlink>
    </w:p>
    <w:p w:rsidR="007B4217" w:rsidRDefault="0067540A">
      <w:pPr>
        <w:pStyle w:val="TOC1"/>
        <w:rPr>
          <w:rFonts w:asciiTheme="minorHAnsi" w:eastAsiaTheme="minorEastAsia" w:hAnsiTheme="minorHAnsi" w:cstheme="minorBidi"/>
          <w:b w:val="0"/>
          <w:bCs w:val="0"/>
          <w:caps w:val="0"/>
          <w:sz w:val="22"/>
          <w:szCs w:val="22"/>
        </w:rPr>
      </w:pPr>
      <w:hyperlink w:anchor="_Toc417486998" w:history="1">
        <w:r w:rsidR="007B4217" w:rsidRPr="00334532">
          <w:rPr>
            <w:rStyle w:val="Hyperlink"/>
          </w:rPr>
          <w:t>A1. Circumstances that make the collection of information necessary.</w:t>
        </w:r>
        <w:r w:rsidR="007B4217">
          <w:rPr>
            <w:webHidden/>
          </w:rPr>
          <w:tab/>
        </w:r>
        <w:r w:rsidR="001C1A98">
          <w:rPr>
            <w:webHidden/>
          </w:rPr>
          <w:fldChar w:fldCharType="begin"/>
        </w:r>
        <w:r w:rsidR="007B4217">
          <w:rPr>
            <w:webHidden/>
          </w:rPr>
          <w:instrText xml:space="preserve"> PAGEREF _Toc417486998 \h </w:instrText>
        </w:r>
        <w:r w:rsidR="001C1A98">
          <w:rPr>
            <w:webHidden/>
          </w:rPr>
        </w:r>
        <w:r w:rsidR="001C1A98">
          <w:rPr>
            <w:webHidden/>
          </w:rPr>
          <w:fldChar w:fldCharType="separate"/>
        </w:r>
        <w:r w:rsidR="00530F1B">
          <w:rPr>
            <w:webHidden/>
          </w:rPr>
          <w:t>4</w:t>
        </w:r>
        <w:r w:rsidR="001C1A98">
          <w:rPr>
            <w:webHidden/>
          </w:rPr>
          <w:fldChar w:fldCharType="end"/>
        </w:r>
      </w:hyperlink>
    </w:p>
    <w:p w:rsidR="007B4217" w:rsidRDefault="0067540A" w:rsidP="007B4217">
      <w:pPr>
        <w:pStyle w:val="TOC1"/>
        <w:rPr>
          <w:rFonts w:eastAsiaTheme="minorEastAsia" w:cstheme="minorBidi"/>
          <w:smallCaps/>
          <w:sz w:val="22"/>
          <w:szCs w:val="22"/>
        </w:rPr>
      </w:pPr>
      <w:hyperlink w:anchor="_Toc417486999" w:history="1">
        <w:r w:rsidR="007B4217" w:rsidRPr="00334532">
          <w:rPr>
            <w:rStyle w:val="Hyperlink"/>
          </w:rPr>
          <w:t>A2. Purpose and Use of the Information.</w:t>
        </w:r>
        <w:r w:rsidR="007B4217">
          <w:rPr>
            <w:webHidden/>
          </w:rPr>
          <w:tab/>
        </w:r>
        <w:r w:rsidR="001C1A98">
          <w:rPr>
            <w:webHidden/>
          </w:rPr>
          <w:fldChar w:fldCharType="begin"/>
        </w:r>
        <w:r w:rsidR="007B4217">
          <w:rPr>
            <w:webHidden/>
          </w:rPr>
          <w:instrText xml:space="preserve"> PAGEREF _Toc417486999 \h </w:instrText>
        </w:r>
        <w:r w:rsidR="001C1A98">
          <w:rPr>
            <w:webHidden/>
          </w:rPr>
        </w:r>
        <w:r w:rsidR="001C1A98">
          <w:rPr>
            <w:webHidden/>
          </w:rPr>
          <w:fldChar w:fldCharType="separate"/>
        </w:r>
        <w:r w:rsidR="00530F1B">
          <w:rPr>
            <w:webHidden/>
          </w:rPr>
          <w:t>5</w:t>
        </w:r>
        <w:r w:rsidR="001C1A98">
          <w:rPr>
            <w:webHidden/>
          </w:rPr>
          <w:fldChar w:fldCharType="end"/>
        </w:r>
      </w:hyperlink>
    </w:p>
    <w:p w:rsidR="007B4217" w:rsidRDefault="0067540A">
      <w:pPr>
        <w:pStyle w:val="TOC1"/>
        <w:rPr>
          <w:rFonts w:asciiTheme="minorHAnsi" w:eastAsiaTheme="minorEastAsia" w:hAnsiTheme="minorHAnsi" w:cstheme="minorBidi"/>
          <w:b w:val="0"/>
          <w:bCs w:val="0"/>
          <w:caps w:val="0"/>
          <w:sz w:val="22"/>
          <w:szCs w:val="22"/>
        </w:rPr>
      </w:pPr>
      <w:hyperlink w:anchor="_Toc417487004" w:history="1">
        <w:r w:rsidR="007B4217" w:rsidRPr="00334532">
          <w:rPr>
            <w:rStyle w:val="Hyperlink"/>
          </w:rPr>
          <w:t>A3.  Use of information technology and burden reduction.</w:t>
        </w:r>
        <w:r w:rsidR="007B4217">
          <w:rPr>
            <w:webHidden/>
          </w:rPr>
          <w:tab/>
        </w:r>
        <w:r w:rsidR="001C1A98">
          <w:rPr>
            <w:webHidden/>
          </w:rPr>
          <w:fldChar w:fldCharType="begin"/>
        </w:r>
        <w:r w:rsidR="007B4217">
          <w:rPr>
            <w:webHidden/>
          </w:rPr>
          <w:instrText xml:space="preserve"> PAGEREF _Toc417487004 \h </w:instrText>
        </w:r>
        <w:r w:rsidR="001C1A98">
          <w:rPr>
            <w:webHidden/>
          </w:rPr>
        </w:r>
        <w:r w:rsidR="001C1A98">
          <w:rPr>
            <w:webHidden/>
          </w:rPr>
          <w:fldChar w:fldCharType="separate"/>
        </w:r>
        <w:r w:rsidR="00530F1B">
          <w:rPr>
            <w:webHidden/>
          </w:rPr>
          <w:t>7</w:t>
        </w:r>
        <w:r w:rsidR="001C1A98">
          <w:rPr>
            <w:webHidden/>
          </w:rPr>
          <w:fldChar w:fldCharType="end"/>
        </w:r>
      </w:hyperlink>
    </w:p>
    <w:p w:rsidR="007B4217" w:rsidRDefault="0067540A">
      <w:pPr>
        <w:pStyle w:val="TOC1"/>
        <w:rPr>
          <w:rFonts w:asciiTheme="minorHAnsi" w:eastAsiaTheme="minorEastAsia" w:hAnsiTheme="minorHAnsi" w:cstheme="minorBidi"/>
          <w:b w:val="0"/>
          <w:bCs w:val="0"/>
          <w:caps w:val="0"/>
          <w:sz w:val="22"/>
          <w:szCs w:val="22"/>
        </w:rPr>
      </w:pPr>
      <w:hyperlink w:anchor="_Toc417487005" w:history="1">
        <w:r w:rsidR="007B4217" w:rsidRPr="00334532">
          <w:rPr>
            <w:rStyle w:val="Hyperlink"/>
          </w:rPr>
          <w:t>A4.  Efforts to identify duplication.</w:t>
        </w:r>
        <w:r w:rsidR="007B4217">
          <w:rPr>
            <w:webHidden/>
          </w:rPr>
          <w:tab/>
        </w:r>
        <w:r w:rsidR="001C1A98">
          <w:rPr>
            <w:webHidden/>
          </w:rPr>
          <w:fldChar w:fldCharType="begin"/>
        </w:r>
        <w:r w:rsidR="007B4217">
          <w:rPr>
            <w:webHidden/>
          </w:rPr>
          <w:instrText xml:space="preserve"> PAGEREF _Toc417487005 \h </w:instrText>
        </w:r>
        <w:r w:rsidR="001C1A98">
          <w:rPr>
            <w:webHidden/>
          </w:rPr>
        </w:r>
        <w:r w:rsidR="001C1A98">
          <w:rPr>
            <w:webHidden/>
          </w:rPr>
          <w:fldChar w:fldCharType="separate"/>
        </w:r>
        <w:r w:rsidR="00530F1B">
          <w:rPr>
            <w:webHidden/>
          </w:rPr>
          <w:t>9</w:t>
        </w:r>
        <w:r w:rsidR="001C1A98">
          <w:rPr>
            <w:webHidden/>
          </w:rPr>
          <w:fldChar w:fldCharType="end"/>
        </w:r>
      </w:hyperlink>
    </w:p>
    <w:p w:rsidR="007B4217" w:rsidRDefault="0067540A">
      <w:pPr>
        <w:pStyle w:val="TOC1"/>
        <w:rPr>
          <w:rFonts w:asciiTheme="minorHAnsi" w:eastAsiaTheme="minorEastAsia" w:hAnsiTheme="minorHAnsi" w:cstheme="minorBidi"/>
          <w:b w:val="0"/>
          <w:bCs w:val="0"/>
          <w:caps w:val="0"/>
          <w:sz w:val="22"/>
          <w:szCs w:val="22"/>
        </w:rPr>
      </w:pPr>
      <w:hyperlink w:anchor="_Toc417487006" w:history="1">
        <w:r w:rsidR="007B4217" w:rsidRPr="00334532">
          <w:rPr>
            <w:rStyle w:val="Hyperlink"/>
          </w:rPr>
          <w:t>A5.  Impacts on small businesses or other small entities.</w:t>
        </w:r>
        <w:r w:rsidR="007B4217">
          <w:rPr>
            <w:webHidden/>
          </w:rPr>
          <w:tab/>
        </w:r>
      </w:hyperlink>
      <w:hyperlink w:anchor="_Toc417487006" w:history="1">
        <w:r w:rsidR="00052E66">
          <w:rPr>
            <w:rStyle w:val="Hyperlink"/>
          </w:rPr>
          <w:t>9</w:t>
        </w:r>
      </w:hyperlink>
    </w:p>
    <w:p w:rsidR="007B4217" w:rsidRDefault="0067540A">
      <w:pPr>
        <w:pStyle w:val="TOC1"/>
        <w:rPr>
          <w:rFonts w:asciiTheme="minorHAnsi" w:eastAsiaTheme="minorEastAsia" w:hAnsiTheme="minorHAnsi" w:cstheme="minorBidi"/>
          <w:b w:val="0"/>
          <w:bCs w:val="0"/>
          <w:caps w:val="0"/>
          <w:sz w:val="22"/>
          <w:szCs w:val="22"/>
        </w:rPr>
      </w:pPr>
      <w:hyperlink w:anchor="_Toc417487007" w:history="1">
        <w:r w:rsidR="007B4217" w:rsidRPr="00334532">
          <w:rPr>
            <w:rStyle w:val="Hyperlink"/>
          </w:rPr>
          <w:t>A6.  Consequences of collecting the information less frequently.</w:t>
        </w:r>
        <w:r w:rsidR="007B4217">
          <w:rPr>
            <w:webHidden/>
          </w:rPr>
          <w:tab/>
        </w:r>
        <w:r w:rsidR="001C1A98">
          <w:rPr>
            <w:webHidden/>
          </w:rPr>
          <w:fldChar w:fldCharType="begin"/>
        </w:r>
        <w:r w:rsidR="007B4217">
          <w:rPr>
            <w:webHidden/>
          </w:rPr>
          <w:instrText xml:space="preserve"> PAGEREF _Toc417487007 \h </w:instrText>
        </w:r>
        <w:r w:rsidR="001C1A98">
          <w:rPr>
            <w:webHidden/>
          </w:rPr>
        </w:r>
        <w:r w:rsidR="001C1A98">
          <w:rPr>
            <w:webHidden/>
          </w:rPr>
          <w:fldChar w:fldCharType="separate"/>
        </w:r>
        <w:r w:rsidR="00530F1B">
          <w:rPr>
            <w:webHidden/>
          </w:rPr>
          <w:t>10</w:t>
        </w:r>
        <w:r w:rsidR="001C1A98">
          <w:rPr>
            <w:webHidden/>
          </w:rPr>
          <w:fldChar w:fldCharType="end"/>
        </w:r>
      </w:hyperlink>
    </w:p>
    <w:p w:rsidR="007B4217" w:rsidRDefault="0067540A">
      <w:pPr>
        <w:pStyle w:val="TOC1"/>
        <w:rPr>
          <w:rFonts w:asciiTheme="minorHAnsi" w:eastAsiaTheme="minorEastAsia" w:hAnsiTheme="minorHAnsi" w:cstheme="minorBidi"/>
          <w:b w:val="0"/>
          <w:bCs w:val="0"/>
          <w:caps w:val="0"/>
          <w:sz w:val="22"/>
          <w:szCs w:val="22"/>
        </w:rPr>
      </w:pPr>
      <w:hyperlink w:anchor="_Toc417487008" w:history="1">
        <w:r w:rsidR="007B4217" w:rsidRPr="00334532">
          <w:rPr>
            <w:rStyle w:val="Hyperlink"/>
          </w:rPr>
          <w:t>A7.  Special circumstances relating to the Guidelines of 5 CFR 1320.5.</w:t>
        </w:r>
        <w:r w:rsidR="007B4217">
          <w:rPr>
            <w:webHidden/>
          </w:rPr>
          <w:tab/>
        </w:r>
        <w:r w:rsidR="001C1A98">
          <w:rPr>
            <w:webHidden/>
          </w:rPr>
          <w:fldChar w:fldCharType="begin"/>
        </w:r>
        <w:r w:rsidR="007B4217">
          <w:rPr>
            <w:webHidden/>
          </w:rPr>
          <w:instrText xml:space="preserve"> PAGEREF _Toc417487008 \h </w:instrText>
        </w:r>
        <w:r w:rsidR="001C1A98">
          <w:rPr>
            <w:webHidden/>
          </w:rPr>
        </w:r>
        <w:r w:rsidR="001C1A98">
          <w:rPr>
            <w:webHidden/>
          </w:rPr>
          <w:fldChar w:fldCharType="separate"/>
        </w:r>
        <w:r w:rsidR="00530F1B">
          <w:rPr>
            <w:webHidden/>
          </w:rPr>
          <w:t>10</w:t>
        </w:r>
        <w:r w:rsidR="001C1A98">
          <w:rPr>
            <w:webHidden/>
          </w:rPr>
          <w:fldChar w:fldCharType="end"/>
        </w:r>
      </w:hyperlink>
    </w:p>
    <w:p w:rsidR="007B4217" w:rsidRDefault="0067540A">
      <w:pPr>
        <w:pStyle w:val="TOC1"/>
        <w:rPr>
          <w:rFonts w:asciiTheme="minorHAnsi" w:eastAsiaTheme="minorEastAsia" w:hAnsiTheme="minorHAnsi" w:cstheme="minorBidi"/>
          <w:b w:val="0"/>
          <w:bCs w:val="0"/>
          <w:caps w:val="0"/>
          <w:sz w:val="22"/>
          <w:szCs w:val="22"/>
        </w:rPr>
      </w:pPr>
      <w:hyperlink w:anchor="_Toc417487009" w:history="1">
        <w:r w:rsidR="007B4217" w:rsidRPr="00334532">
          <w:rPr>
            <w:rStyle w:val="Hyperlink"/>
          </w:rPr>
          <w:t>A8.  Comments to the Federal Register Notice and efforts for consultation.</w:t>
        </w:r>
        <w:r w:rsidR="007B4217">
          <w:rPr>
            <w:webHidden/>
          </w:rPr>
          <w:tab/>
        </w:r>
        <w:r w:rsidR="001C1A98">
          <w:rPr>
            <w:webHidden/>
          </w:rPr>
          <w:fldChar w:fldCharType="begin"/>
        </w:r>
        <w:r w:rsidR="007B4217">
          <w:rPr>
            <w:webHidden/>
          </w:rPr>
          <w:instrText xml:space="preserve"> PAGEREF _Toc417487009 \h </w:instrText>
        </w:r>
        <w:r w:rsidR="001C1A98">
          <w:rPr>
            <w:webHidden/>
          </w:rPr>
        </w:r>
        <w:r w:rsidR="001C1A98">
          <w:rPr>
            <w:webHidden/>
          </w:rPr>
          <w:fldChar w:fldCharType="separate"/>
        </w:r>
        <w:r w:rsidR="00530F1B">
          <w:rPr>
            <w:webHidden/>
          </w:rPr>
          <w:t>11</w:t>
        </w:r>
        <w:r w:rsidR="001C1A98">
          <w:rPr>
            <w:webHidden/>
          </w:rPr>
          <w:fldChar w:fldCharType="end"/>
        </w:r>
      </w:hyperlink>
    </w:p>
    <w:p w:rsidR="007B4217" w:rsidRDefault="0067540A">
      <w:pPr>
        <w:pStyle w:val="TOC1"/>
        <w:rPr>
          <w:rFonts w:asciiTheme="minorHAnsi" w:eastAsiaTheme="minorEastAsia" w:hAnsiTheme="minorHAnsi" w:cstheme="minorBidi"/>
          <w:b w:val="0"/>
          <w:bCs w:val="0"/>
          <w:caps w:val="0"/>
          <w:sz w:val="22"/>
          <w:szCs w:val="22"/>
        </w:rPr>
      </w:pPr>
      <w:hyperlink w:anchor="_Toc417487010" w:history="1">
        <w:r w:rsidR="007B4217" w:rsidRPr="00334532">
          <w:rPr>
            <w:rStyle w:val="Hyperlink"/>
          </w:rPr>
          <w:t>A9.  Explain any decisions to provide any payment or gift to respondents.</w:t>
        </w:r>
        <w:r w:rsidR="007B4217">
          <w:rPr>
            <w:webHidden/>
          </w:rPr>
          <w:tab/>
        </w:r>
        <w:r w:rsidR="001C1A98">
          <w:rPr>
            <w:webHidden/>
          </w:rPr>
          <w:fldChar w:fldCharType="begin"/>
        </w:r>
        <w:r w:rsidR="007B4217">
          <w:rPr>
            <w:webHidden/>
          </w:rPr>
          <w:instrText xml:space="preserve"> PAGEREF _Toc417487010 \h </w:instrText>
        </w:r>
        <w:r w:rsidR="001C1A98">
          <w:rPr>
            <w:webHidden/>
          </w:rPr>
        </w:r>
        <w:r w:rsidR="001C1A98">
          <w:rPr>
            <w:webHidden/>
          </w:rPr>
          <w:fldChar w:fldCharType="separate"/>
        </w:r>
        <w:r w:rsidR="00530F1B">
          <w:rPr>
            <w:webHidden/>
          </w:rPr>
          <w:t>12</w:t>
        </w:r>
        <w:r w:rsidR="001C1A98">
          <w:rPr>
            <w:webHidden/>
          </w:rPr>
          <w:fldChar w:fldCharType="end"/>
        </w:r>
      </w:hyperlink>
    </w:p>
    <w:p w:rsidR="007B4217" w:rsidRDefault="0067540A">
      <w:pPr>
        <w:pStyle w:val="TOC1"/>
        <w:rPr>
          <w:rFonts w:asciiTheme="minorHAnsi" w:eastAsiaTheme="minorEastAsia" w:hAnsiTheme="minorHAnsi" w:cstheme="minorBidi"/>
          <w:b w:val="0"/>
          <w:bCs w:val="0"/>
          <w:caps w:val="0"/>
          <w:sz w:val="22"/>
          <w:szCs w:val="22"/>
        </w:rPr>
      </w:pPr>
      <w:hyperlink w:anchor="_Toc417487011" w:history="1">
        <w:r w:rsidR="007B4217" w:rsidRPr="00334532">
          <w:rPr>
            <w:rStyle w:val="Hyperlink"/>
          </w:rPr>
          <w:t>A10.  Assurances of confidentiality provided to respondents.</w:t>
        </w:r>
        <w:r w:rsidR="007B4217">
          <w:rPr>
            <w:webHidden/>
          </w:rPr>
          <w:tab/>
        </w:r>
        <w:r w:rsidR="001C1A98">
          <w:rPr>
            <w:webHidden/>
          </w:rPr>
          <w:fldChar w:fldCharType="begin"/>
        </w:r>
        <w:r w:rsidR="007B4217">
          <w:rPr>
            <w:webHidden/>
          </w:rPr>
          <w:instrText xml:space="preserve"> PAGEREF _Toc417487011 \h </w:instrText>
        </w:r>
        <w:r w:rsidR="001C1A98">
          <w:rPr>
            <w:webHidden/>
          </w:rPr>
        </w:r>
        <w:r w:rsidR="001C1A98">
          <w:rPr>
            <w:webHidden/>
          </w:rPr>
          <w:fldChar w:fldCharType="separate"/>
        </w:r>
        <w:r w:rsidR="00530F1B">
          <w:rPr>
            <w:webHidden/>
          </w:rPr>
          <w:t>12</w:t>
        </w:r>
        <w:r w:rsidR="001C1A98">
          <w:rPr>
            <w:webHidden/>
          </w:rPr>
          <w:fldChar w:fldCharType="end"/>
        </w:r>
      </w:hyperlink>
    </w:p>
    <w:p w:rsidR="007B4217" w:rsidRDefault="0067540A">
      <w:pPr>
        <w:pStyle w:val="TOC1"/>
        <w:rPr>
          <w:rFonts w:asciiTheme="minorHAnsi" w:eastAsiaTheme="minorEastAsia" w:hAnsiTheme="minorHAnsi" w:cstheme="minorBidi"/>
          <w:b w:val="0"/>
          <w:bCs w:val="0"/>
          <w:caps w:val="0"/>
          <w:sz w:val="22"/>
          <w:szCs w:val="22"/>
        </w:rPr>
      </w:pPr>
      <w:hyperlink w:anchor="_Toc417487012" w:history="1">
        <w:r w:rsidR="007B4217" w:rsidRPr="00334532">
          <w:rPr>
            <w:rStyle w:val="Hyperlink"/>
          </w:rPr>
          <w:t>A11.  Justification for any questions of a sensitive nature.</w:t>
        </w:r>
        <w:r w:rsidR="007B4217">
          <w:rPr>
            <w:webHidden/>
          </w:rPr>
          <w:tab/>
        </w:r>
      </w:hyperlink>
      <w:hyperlink w:anchor="_Toc417487012" w:history="1">
        <w:r w:rsidR="00052E66">
          <w:rPr>
            <w:rStyle w:val="Hyperlink"/>
          </w:rPr>
          <w:t>12</w:t>
        </w:r>
      </w:hyperlink>
    </w:p>
    <w:p w:rsidR="007B4217" w:rsidRPr="00E07080" w:rsidRDefault="0067540A">
      <w:pPr>
        <w:pStyle w:val="TOC1"/>
        <w:rPr>
          <w:rFonts w:asciiTheme="minorHAnsi" w:eastAsiaTheme="minorEastAsia" w:hAnsiTheme="minorHAnsi" w:cstheme="minorBidi"/>
          <w:b w:val="0"/>
          <w:bCs w:val="0"/>
          <w:caps w:val="0"/>
          <w:sz w:val="22"/>
          <w:szCs w:val="22"/>
        </w:rPr>
      </w:pPr>
      <w:hyperlink w:anchor="_Toc417487013" w:history="1">
        <w:r w:rsidR="007B4217" w:rsidRPr="00334532">
          <w:rPr>
            <w:rStyle w:val="Hyperlink"/>
          </w:rPr>
          <w:t>A12.  Estimates of the hour burden of the collection of information.</w:t>
        </w:r>
        <w:r w:rsidR="007B4217">
          <w:rPr>
            <w:webHidden/>
          </w:rPr>
          <w:tab/>
        </w:r>
      </w:hyperlink>
      <w:r w:rsidR="00530F1B">
        <w:t>12</w:t>
      </w:r>
    </w:p>
    <w:p w:rsidR="007B4217" w:rsidRDefault="0067540A">
      <w:pPr>
        <w:pStyle w:val="TOC1"/>
        <w:rPr>
          <w:rFonts w:asciiTheme="minorHAnsi" w:eastAsiaTheme="minorEastAsia" w:hAnsiTheme="minorHAnsi" w:cstheme="minorBidi"/>
          <w:b w:val="0"/>
          <w:bCs w:val="0"/>
          <w:caps w:val="0"/>
          <w:sz w:val="22"/>
          <w:szCs w:val="22"/>
        </w:rPr>
      </w:pPr>
      <w:hyperlink w:anchor="_Toc417487014" w:history="1">
        <w:r w:rsidR="007B4217" w:rsidRPr="00334532">
          <w:rPr>
            <w:rStyle w:val="Hyperlink"/>
          </w:rPr>
          <w:t>A13.  Estimates of other total annual cost burden.</w:t>
        </w:r>
        <w:r w:rsidR="007B4217">
          <w:rPr>
            <w:webHidden/>
          </w:rPr>
          <w:tab/>
        </w:r>
      </w:hyperlink>
      <w:hyperlink w:anchor="_Toc417487014" w:history="1">
        <w:r w:rsidR="00052E66">
          <w:rPr>
            <w:rStyle w:val="Hyperlink"/>
          </w:rPr>
          <w:t>1</w:t>
        </w:r>
      </w:hyperlink>
      <w:r w:rsidR="001D13E7">
        <w:t>6</w:t>
      </w:r>
    </w:p>
    <w:p w:rsidR="007B4217" w:rsidRDefault="0067540A">
      <w:pPr>
        <w:pStyle w:val="TOC1"/>
        <w:rPr>
          <w:rFonts w:asciiTheme="minorHAnsi" w:eastAsiaTheme="minorEastAsia" w:hAnsiTheme="minorHAnsi" w:cstheme="minorBidi"/>
          <w:b w:val="0"/>
          <w:bCs w:val="0"/>
          <w:caps w:val="0"/>
          <w:sz w:val="22"/>
          <w:szCs w:val="22"/>
        </w:rPr>
      </w:pPr>
      <w:hyperlink w:anchor="_Toc417487015" w:history="1">
        <w:r w:rsidR="007B4217" w:rsidRPr="00334532">
          <w:rPr>
            <w:rStyle w:val="Hyperlink"/>
          </w:rPr>
          <w:t>A14.  Provide estimates of annualized cost to the Federal government.</w:t>
        </w:r>
        <w:r w:rsidR="007B4217">
          <w:rPr>
            <w:webHidden/>
          </w:rPr>
          <w:tab/>
        </w:r>
        <w:r w:rsidR="001C1A98">
          <w:rPr>
            <w:webHidden/>
          </w:rPr>
          <w:fldChar w:fldCharType="begin"/>
        </w:r>
        <w:r w:rsidR="007B4217">
          <w:rPr>
            <w:webHidden/>
          </w:rPr>
          <w:instrText xml:space="preserve"> PAGEREF _Toc417487015 \h </w:instrText>
        </w:r>
        <w:r w:rsidR="001C1A98">
          <w:rPr>
            <w:webHidden/>
          </w:rPr>
        </w:r>
        <w:r w:rsidR="001C1A98">
          <w:rPr>
            <w:webHidden/>
          </w:rPr>
          <w:fldChar w:fldCharType="separate"/>
        </w:r>
        <w:r w:rsidR="00530F1B">
          <w:rPr>
            <w:webHidden/>
          </w:rPr>
          <w:t>17</w:t>
        </w:r>
        <w:r w:rsidR="001C1A98">
          <w:rPr>
            <w:webHidden/>
          </w:rPr>
          <w:fldChar w:fldCharType="end"/>
        </w:r>
      </w:hyperlink>
    </w:p>
    <w:p w:rsidR="007B4217" w:rsidRDefault="0067540A">
      <w:pPr>
        <w:pStyle w:val="TOC1"/>
        <w:rPr>
          <w:rFonts w:asciiTheme="minorHAnsi" w:eastAsiaTheme="minorEastAsia" w:hAnsiTheme="minorHAnsi" w:cstheme="minorBidi"/>
          <w:b w:val="0"/>
          <w:bCs w:val="0"/>
          <w:caps w:val="0"/>
          <w:sz w:val="22"/>
          <w:szCs w:val="22"/>
        </w:rPr>
      </w:pPr>
      <w:hyperlink w:anchor="_Toc417487016" w:history="1">
        <w:r w:rsidR="007B4217" w:rsidRPr="00334532">
          <w:rPr>
            <w:rStyle w:val="Hyperlink"/>
          </w:rPr>
          <w:t>A15.  Explanation of program changes or adjustments.</w:t>
        </w:r>
        <w:r w:rsidR="007B4217">
          <w:rPr>
            <w:webHidden/>
          </w:rPr>
          <w:tab/>
        </w:r>
        <w:r w:rsidR="001C1A98">
          <w:rPr>
            <w:webHidden/>
          </w:rPr>
          <w:fldChar w:fldCharType="begin"/>
        </w:r>
        <w:r w:rsidR="007B4217">
          <w:rPr>
            <w:webHidden/>
          </w:rPr>
          <w:instrText xml:space="preserve"> PAGEREF _Toc417487016 \h </w:instrText>
        </w:r>
        <w:r w:rsidR="001C1A98">
          <w:rPr>
            <w:webHidden/>
          </w:rPr>
        </w:r>
        <w:r w:rsidR="001C1A98">
          <w:rPr>
            <w:webHidden/>
          </w:rPr>
          <w:fldChar w:fldCharType="separate"/>
        </w:r>
        <w:r w:rsidR="00530F1B">
          <w:rPr>
            <w:webHidden/>
          </w:rPr>
          <w:t>18</w:t>
        </w:r>
        <w:r w:rsidR="001C1A98">
          <w:rPr>
            <w:webHidden/>
          </w:rPr>
          <w:fldChar w:fldCharType="end"/>
        </w:r>
      </w:hyperlink>
    </w:p>
    <w:p w:rsidR="007B4217" w:rsidRDefault="0067540A">
      <w:pPr>
        <w:pStyle w:val="TOC1"/>
        <w:rPr>
          <w:rFonts w:asciiTheme="minorHAnsi" w:eastAsiaTheme="minorEastAsia" w:hAnsiTheme="minorHAnsi" w:cstheme="minorBidi"/>
          <w:b w:val="0"/>
          <w:bCs w:val="0"/>
          <w:caps w:val="0"/>
          <w:sz w:val="22"/>
          <w:szCs w:val="22"/>
        </w:rPr>
      </w:pPr>
      <w:hyperlink w:anchor="_Toc417487017" w:history="1">
        <w:r w:rsidR="007B4217" w:rsidRPr="00334532">
          <w:rPr>
            <w:rStyle w:val="Hyperlink"/>
          </w:rPr>
          <w:t>A16.  Plans for tabulation, and publication and project time schedule.</w:t>
        </w:r>
        <w:r w:rsidR="007B4217">
          <w:rPr>
            <w:webHidden/>
          </w:rPr>
          <w:tab/>
        </w:r>
      </w:hyperlink>
      <w:r w:rsidR="001D13E7">
        <w:t>19</w:t>
      </w:r>
    </w:p>
    <w:p w:rsidR="007B4217" w:rsidRDefault="0067540A">
      <w:pPr>
        <w:pStyle w:val="TOC1"/>
        <w:rPr>
          <w:rFonts w:asciiTheme="minorHAnsi" w:eastAsiaTheme="minorEastAsia" w:hAnsiTheme="minorHAnsi" w:cstheme="minorBidi"/>
          <w:b w:val="0"/>
          <w:bCs w:val="0"/>
          <w:caps w:val="0"/>
          <w:sz w:val="22"/>
          <w:szCs w:val="22"/>
        </w:rPr>
      </w:pPr>
      <w:hyperlink w:anchor="_Toc417487018" w:history="1">
        <w:r w:rsidR="007B4217" w:rsidRPr="00334532">
          <w:rPr>
            <w:rStyle w:val="Hyperlink"/>
          </w:rPr>
          <w:t>A17.  Displaying the OMB Approval Expiration Date.</w:t>
        </w:r>
        <w:r w:rsidR="007B4217">
          <w:rPr>
            <w:webHidden/>
          </w:rPr>
          <w:tab/>
        </w:r>
        <w:r w:rsidR="001C1A98">
          <w:rPr>
            <w:webHidden/>
          </w:rPr>
          <w:fldChar w:fldCharType="begin"/>
        </w:r>
        <w:r w:rsidR="007B4217">
          <w:rPr>
            <w:webHidden/>
          </w:rPr>
          <w:instrText xml:space="preserve"> PAGEREF _Toc417487018 \h </w:instrText>
        </w:r>
        <w:r w:rsidR="001C1A98">
          <w:rPr>
            <w:webHidden/>
          </w:rPr>
        </w:r>
        <w:r w:rsidR="001C1A98">
          <w:rPr>
            <w:webHidden/>
          </w:rPr>
          <w:fldChar w:fldCharType="separate"/>
        </w:r>
        <w:r w:rsidR="00530F1B">
          <w:rPr>
            <w:webHidden/>
          </w:rPr>
          <w:t>19</w:t>
        </w:r>
        <w:r w:rsidR="001C1A98">
          <w:rPr>
            <w:webHidden/>
          </w:rPr>
          <w:fldChar w:fldCharType="end"/>
        </w:r>
      </w:hyperlink>
    </w:p>
    <w:p w:rsidR="007B4217" w:rsidRDefault="0067540A">
      <w:pPr>
        <w:pStyle w:val="TOC1"/>
        <w:rPr>
          <w:rFonts w:asciiTheme="minorHAnsi" w:eastAsiaTheme="minorEastAsia" w:hAnsiTheme="minorHAnsi" w:cstheme="minorBidi"/>
          <w:b w:val="0"/>
          <w:bCs w:val="0"/>
          <w:caps w:val="0"/>
          <w:sz w:val="22"/>
          <w:szCs w:val="22"/>
        </w:rPr>
      </w:pPr>
      <w:hyperlink w:anchor="_Toc417487019" w:history="1">
        <w:r w:rsidR="007B4217" w:rsidRPr="00334532">
          <w:rPr>
            <w:rStyle w:val="Hyperlink"/>
          </w:rPr>
          <w:t>A18.  Exceptions to the certification statement identified in Item 19.</w:t>
        </w:r>
        <w:r w:rsidR="007B4217">
          <w:rPr>
            <w:webHidden/>
          </w:rPr>
          <w:tab/>
        </w:r>
        <w:r w:rsidR="001C1A98">
          <w:rPr>
            <w:webHidden/>
          </w:rPr>
          <w:fldChar w:fldCharType="begin"/>
        </w:r>
        <w:r w:rsidR="007B4217">
          <w:rPr>
            <w:webHidden/>
          </w:rPr>
          <w:instrText xml:space="preserve"> PAGEREF _Toc417487019 \h </w:instrText>
        </w:r>
        <w:r w:rsidR="001C1A98">
          <w:rPr>
            <w:webHidden/>
          </w:rPr>
        </w:r>
        <w:r w:rsidR="001C1A98">
          <w:rPr>
            <w:webHidden/>
          </w:rPr>
          <w:fldChar w:fldCharType="separate"/>
        </w:r>
        <w:r w:rsidR="00530F1B">
          <w:rPr>
            <w:webHidden/>
          </w:rPr>
          <w:t>19</w:t>
        </w:r>
        <w:r w:rsidR="001C1A98">
          <w:rPr>
            <w:webHidden/>
          </w:rPr>
          <w:fldChar w:fldCharType="end"/>
        </w:r>
      </w:hyperlink>
    </w:p>
    <w:p w:rsidR="00905A5F" w:rsidRDefault="001C1A98" w:rsidP="009F7E1A">
      <w:pPr>
        <w:tabs>
          <w:tab w:val="center" w:pos="4680"/>
        </w:tabs>
        <w:rPr>
          <w:rFonts w:ascii="Times New Roman" w:hAnsi="Times New Roman"/>
          <w:b/>
          <w:szCs w:val="24"/>
          <w:u w:val="single"/>
        </w:rPr>
      </w:pPr>
      <w:r>
        <w:rPr>
          <w:rFonts w:ascii="Times New Roman" w:hAnsi="Times New Roman"/>
          <w:b/>
          <w:szCs w:val="24"/>
          <w:u w:val="single"/>
        </w:rPr>
        <w:fldChar w:fldCharType="end"/>
      </w:r>
    </w:p>
    <w:p w:rsidR="00905A5F" w:rsidRDefault="00905A5F" w:rsidP="009F7E1A">
      <w:pPr>
        <w:tabs>
          <w:tab w:val="center" w:pos="4680"/>
        </w:tabs>
        <w:rPr>
          <w:rFonts w:ascii="Times New Roman" w:hAnsi="Times New Roman"/>
          <w:b/>
          <w:szCs w:val="24"/>
          <w:u w:val="single"/>
        </w:rPr>
      </w:pPr>
    </w:p>
    <w:p w:rsidR="00905A5F" w:rsidRDefault="00905A5F" w:rsidP="009F7E1A">
      <w:pPr>
        <w:tabs>
          <w:tab w:val="center" w:pos="4680"/>
        </w:tabs>
        <w:rPr>
          <w:rFonts w:ascii="Times New Roman" w:hAnsi="Times New Roman"/>
          <w:b/>
          <w:szCs w:val="24"/>
          <w:u w:val="single"/>
        </w:rPr>
      </w:pPr>
    </w:p>
    <w:p w:rsidR="002568E6" w:rsidRDefault="0073504D" w:rsidP="009F7E1A">
      <w:pPr>
        <w:tabs>
          <w:tab w:val="center" w:pos="4680"/>
        </w:tabs>
        <w:rPr>
          <w:rFonts w:ascii="Times New Roman" w:hAnsi="Times New Roman"/>
          <w:b/>
          <w:szCs w:val="24"/>
          <w:u w:val="single"/>
        </w:rPr>
      </w:pPr>
      <w:r>
        <w:rPr>
          <w:rFonts w:ascii="Times New Roman" w:hAnsi="Times New Roman"/>
          <w:b/>
          <w:szCs w:val="24"/>
          <w:u w:val="single"/>
        </w:rPr>
        <w:t>Appendi</w:t>
      </w:r>
      <w:r w:rsidR="004B1BD4">
        <w:rPr>
          <w:rFonts w:ascii="Times New Roman" w:hAnsi="Times New Roman"/>
          <w:b/>
          <w:szCs w:val="24"/>
          <w:u w:val="single"/>
        </w:rPr>
        <w:t>ces</w:t>
      </w:r>
      <w:bookmarkStart w:id="0" w:name="_GoBack"/>
      <w:bookmarkEnd w:id="0"/>
    </w:p>
    <w:p w:rsidR="00B46719" w:rsidRDefault="00B46719" w:rsidP="009F7E1A">
      <w:pPr>
        <w:tabs>
          <w:tab w:val="center" w:pos="4680"/>
        </w:tabs>
        <w:rPr>
          <w:rFonts w:ascii="Times New Roman" w:hAnsi="Times New Roman"/>
          <w:szCs w:val="24"/>
        </w:rPr>
      </w:pPr>
    </w:p>
    <w:p w:rsidR="00B46719" w:rsidRDefault="0073504D" w:rsidP="00D11F29">
      <w:pPr>
        <w:pStyle w:val="ListParagraph"/>
        <w:widowControl/>
        <w:numPr>
          <w:ilvl w:val="0"/>
          <w:numId w:val="25"/>
        </w:numPr>
        <w:spacing w:line="360" w:lineRule="auto"/>
        <w:rPr>
          <w:b/>
          <w:sz w:val="22"/>
          <w:szCs w:val="22"/>
        </w:rPr>
      </w:pPr>
      <w:r w:rsidRPr="009D44D6">
        <w:rPr>
          <w:b/>
          <w:sz w:val="22"/>
          <w:szCs w:val="22"/>
        </w:rPr>
        <w:t xml:space="preserve">Screenshots:  </w:t>
      </w:r>
      <w:r w:rsidR="00B46719" w:rsidRPr="009D44D6">
        <w:rPr>
          <w:b/>
          <w:sz w:val="22"/>
          <w:szCs w:val="22"/>
        </w:rPr>
        <w:t>NUPC Database Browser Based User Interface</w:t>
      </w:r>
      <w:r w:rsidR="008F5F88">
        <w:rPr>
          <w:b/>
          <w:sz w:val="22"/>
          <w:szCs w:val="22"/>
        </w:rPr>
        <w:t xml:space="preserve"> (Food Manufacturers and Distributors)</w:t>
      </w:r>
      <w:r w:rsidR="00B46719" w:rsidRPr="009D44D6">
        <w:rPr>
          <w:b/>
          <w:sz w:val="22"/>
          <w:szCs w:val="22"/>
        </w:rPr>
        <w:t xml:space="preserve"> </w:t>
      </w:r>
    </w:p>
    <w:p w:rsidR="008F5F88" w:rsidRDefault="008F5F88" w:rsidP="00D11F29">
      <w:pPr>
        <w:pStyle w:val="ListParagraph"/>
        <w:widowControl/>
        <w:numPr>
          <w:ilvl w:val="0"/>
          <w:numId w:val="25"/>
        </w:numPr>
        <w:spacing w:line="360" w:lineRule="auto"/>
        <w:rPr>
          <w:b/>
          <w:sz w:val="22"/>
          <w:szCs w:val="22"/>
        </w:rPr>
      </w:pPr>
      <w:r>
        <w:rPr>
          <w:b/>
          <w:sz w:val="22"/>
          <w:szCs w:val="22"/>
        </w:rPr>
        <w:t>Screenshots:  NUPC Database Browser Based User Interface (Authorized Vendors)</w:t>
      </w:r>
    </w:p>
    <w:p w:rsidR="001C00D5" w:rsidRDefault="001C00D5" w:rsidP="00D11F29">
      <w:pPr>
        <w:pStyle w:val="ListParagraph"/>
        <w:widowControl/>
        <w:numPr>
          <w:ilvl w:val="0"/>
          <w:numId w:val="25"/>
        </w:numPr>
        <w:spacing w:line="360" w:lineRule="auto"/>
        <w:rPr>
          <w:b/>
          <w:sz w:val="22"/>
          <w:szCs w:val="22"/>
        </w:rPr>
      </w:pPr>
      <w:r>
        <w:rPr>
          <w:b/>
          <w:sz w:val="22"/>
          <w:szCs w:val="22"/>
        </w:rPr>
        <w:t>EFTA 60-Day Comment</w:t>
      </w:r>
    </w:p>
    <w:p w:rsidR="009D44D6" w:rsidRPr="009D44D6" w:rsidRDefault="009D44D6" w:rsidP="00D11F29">
      <w:pPr>
        <w:pStyle w:val="ListParagraph"/>
        <w:widowControl/>
        <w:numPr>
          <w:ilvl w:val="0"/>
          <w:numId w:val="25"/>
        </w:numPr>
        <w:spacing w:line="360" w:lineRule="auto"/>
        <w:rPr>
          <w:b/>
          <w:sz w:val="22"/>
          <w:szCs w:val="22"/>
        </w:rPr>
      </w:pPr>
      <w:r w:rsidRPr="009D44D6">
        <w:rPr>
          <w:b/>
          <w:sz w:val="22"/>
          <w:szCs w:val="22"/>
        </w:rPr>
        <w:t>Excel Burden Table (Vendors)</w:t>
      </w:r>
    </w:p>
    <w:p w:rsidR="002568E6" w:rsidRDefault="002568E6">
      <w:pPr>
        <w:widowControl/>
        <w:overflowPunct/>
        <w:autoSpaceDE/>
        <w:autoSpaceDN/>
        <w:adjustRightInd/>
        <w:textAlignment w:val="auto"/>
        <w:rPr>
          <w:rFonts w:ascii="Times New Roman" w:hAnsi="Times New Roman"/>
          <w:szCs w:val="24"/>
        </w:rPr>
      </w:pPr>
      <w:r>
        <w:rPr>
          <w:rFonts w:ascii="Times New Roman" w:hAnsi="Times New Roman"/>
          <w:szCs w:val="24"/>
        </w:rPr>
        <w:br w:type="page"/>
      </w:r>
    </w:p>
    <w:p w:rsidR="006F7A93" w:rsidRDefault="006F7A93" w:rsidP="007B4217">
      <w:pPr>
        <w:pStyle w:val="Heading1"/>
        <w:rPr>
          <w:szCs w:val="24"/>
        </w:rPr>
      </w:pPr>
      <w:bookmarkStart w:id="1" w:name="_Toc417486997"/>
      <w:r>
        <w:rPr>
          <w:szCs w:val="24"/>
          <w:u w:val="single"/>
        </w:rPr>
        <w:lastRenderedPageBreak/>
        <w:t>Introduction</w:t>
      </w:r>
      <w:bookmarkEnd w:id="1"/>
      <w:r w:rsidR="00D42A03">
        <w:rPr>
          <w:szCs w:val="24"/>
        </w:rPr>
        <w:t xml:space="preserve">  </w:t>
      </w:r>
    </w:p>
    <w:p w:rsidR="006F7A93" w:rsidRDefault="006F7A93" w:rsidP="007A1E54">
      <w:pPr>
        <w:tabs>
          <w:tab w:val="center" w:pos="4680"/>
        </w:tabs>
        <w:rPr>
          <w:rFonts w:ascii="Times New Roman" w:hAnsi="Times New Roman"/>
          <w:szCs w:val="24"/>
        </w:rPr>
      </w:pPr>
    </w:p>
    <w:p w:rsidR="00E035F0" w:rsidRDefault="00D42A03">
      <w:pPr>
        <w:tabs>
          <w:tab w:val="center" w:pos="4680"/>
        </w:tabs>
        <w:spacing w:line="480" w:lineRule="auto"/>
        <w:rPr>
          <w:rFonts w:ascii="Times New Roman" w:hAnsi="Times New Roman"/>
          <w:szCs w:val="24"/>
        </w:rPr>
      </w:pPr>
      <w:r w:rsidRPr="006F7A93">
        <w:rPr>
          <w:rFonts w:ascii="Times New Roman" w:hAnsi="Times New Roman"/>
          <w:szCs w:val="24"/>
        </w:rPr>
        <w:t xml:space="preserve">The following provides background on the Special Supplemental Nutrition Program for Women, Infants, and Children (WIC), (Pub. </w:t>
      </w:r>
      <w:proofErr w:type="gramStart"/>
      <w:r w:rsidRPr="006F7A93">
        <w:rPr>
          <w:rFonts w:ascii="Times New Roman" w:hAnsi="Times New Roman"/>
          <w:szCs w:val="24"/>
        </w:rPr>
        <w:t>L. 109-85) and its requirements.</w:t>
      </w:r>
      <w:proofErr w:type="gramEnd"/>
    </w:p>
    <w:p w:rsidR="00E035F0" w:rsidRDefault="00E035F0">
      <w:pPr>
        <w:tabs>
          <w:tab w:val="center" w:pos="4680"/>
        </w:tabs>
        <w:spacing w:line="480" w:lineRule="auto"/>
        <w:rPr>
          <w:rFonts w:ascii="Times New Roman" w:hAnsi="Times New Roman"/>
          <w:szCs w:val="24"/>
        </w:rPr>
      </w:pPr>
    </w:p>
    <w:p w:rsidR="00E035F0" w:rsidRDefault="00D42A03">
      <w:pPr>
        <w:tabs>
          <w:tab w:val="center" w:pos="4680"/>
        </w:tabs>
        <w:spacing w:line="480" w:lineRule="auto"/>
        <w:rPr>
          <w:rFonts w:ascii="Times New Roman" w:hAnsi="Times New Roman"/>
          <w:szCs w:val="24"/>
        </w:rPr>
      </w:pPr>
      <w:r>
        <w:rPr>
          <w:rFonts w:ascii="Times New Roman" w:hAnsi="Times New Roman"/>
          <w:szCs w:val="24"/>
        </w:rPr>
        <w:t>WIC provides low-income pregnant, breastfeeding, and postpartum women, infants, and children up to age five with nutritious supplemental foods.  The program also provides nutrition education and referral</w:t>
      </w:r>
      <w:r w:rsidR="00555341">
        <w:rPr>
          <w:rFonts w:ascii="Times New Roman" w:hAnsi="Times New Roman"/>
          <w:szCs w:val="24"/>
        </w:rPr>
        <w:t>s to health and social services.  The WIC Program is administered by the USDA Food and Nutrition Service (FNS).  FNS provides grant funding and issues regulations which are utilized by WIC State agencies to operate the WIC Program and distribute benefits through local WIC clinics.  The program operates throughout the 50 States, the District of Columbia, Guam, Puerto Rico, American Samoa, Commonwealth of the Northern Mariana Islands, the Virgin Islands, and in 34 Indian Tribal Organizations.</w:t>
      </w:r>
    </w:p>
    <w:p w:rsidR="00E035F0" w:rsidRDefault="00E035F0">
      <w:pPr>
        <w:tabs>
          <w:tab w:val="center" w:pos="4680"/>
        </w:tabs>
        <w:spacing w:line="480" w:lineRule="auto"/>
        <w:rPr>
          <w:rFonts w:ascii="Times New Roman" w:hAnsi="Times New Roman"/>
          <w:szCs w:val="24"/>
        </w:rPr>
      </w:pPr>
    </w:p>
    <w:p w:rsidR="00E035F0" w:rsidRDefault="00B16C50">
      <w:pPr>
        <w:tabs>
          <w:tab w:val="center" w:pos="4680"/>
        </w:tabs>
        <w:spacing w:line="480" w:lineRule="auto"/>
        <w:rPr>
          <w:rFonts w:ascii="Times New Roman" w:hAnsi="Times New Roman"/>
          <w:szCs w:val="24"/>
        </w:rPr>
      </w:pPr>
      <w:r>
        <w:rPr>
          <w:rFonts w:ascii="Times New Roman" w:hAnsi="Times New Roman"/>
          <w:szCs w:val="24"/>
        </w:rPr>
        <w:t xml:space="preserve">WIC State agencies are required to authorize eligible foods on their WIC food list by federal regulations at 7 CFR </w:t>
      </w:r>
      <w:proofErr w:type="gramStart"/>
      <w:r>
        <w:rPr>
          <w:rFonts w:ascii="Times New Roman" w:hAnsi="Times New Roman"/>
          <w:szCs w:val="24"/>
        </w:rPr>
        <w:t>part</w:t>
      </w:r>
      <w:proofErr w:type="gramEnd"/>
      <w:r>
        <w:rPr>
          <w:rFonts w:ascii="Times New Roman" w:hAnsi="Times New Roman"/>
          <w:szCs w:val="24"/>
        </w:rPr>
        <w:t xml:space="preserve"> 246.  Under these regulations, State agencies must review food products for eligibility in accordance with Federal regulations and State agency policies.  State agencies are not required to authorize all food products eligible under federal regulation</w:t>
      </w:r>
      <w:r w:rsidR="00113E29">
        <w:rPr>
          <w:rFonts w:ascii="Times New Roman" w:hAnsi="Times New Roman"/>
          <w:szCs w:val="24"/>
        </w:rPr>
        <w:t xml:space="preserve">s, but generally select foods based on factors such as cost, availability, and acceptability to participants.  After review, the State agency develops a list of food items available to WIC participants for purchase.  State agencies require Authorized Vendors (i.e., stores authorized to provide WIC foods) to ensure only authorized food items are purchased.  A few of these vendors have programmed their point of sale systems to identify WIC approved foods and their associated Universal Product Code (UPC) or Price Look-Up (PLU) code as individual products are scanned </w:t>
      </w:r>
      <w:r w:rsidR="00113E29">
        <w:rPr>
          <w:rFonts w:ascii="Times New Roman" w:hAnsi="Times New Roman"/>
          <w:szCs w:val="24"/>
        </w:rPr>
        <w:lastRenderedPageBreak/>
        <w:t>at the checkout; however, many vendors still rely on their checkout clerks to ensure only authorized WIC products are approved for purchase.</w:t>
      </w:r>
    </w:p>
    <w:p w:rsidR="00E035F0" w:rsidRDefault="00E035F0">
      <w:pPr>
        <w:tabs>
          <w:tab w:val="center" w:pos="4680"/>
        </w:tabs>
        <w:spacing w:line="480" w:lineRule="auto"/>
        <w:rPr>
          <w:rFonts w:ascii="Times New Roman" w:hAnsi="Times New Roman"/>
          <w:szCs w:val="24"/>
        </w:rPr>
      </w:pPr>
    </w:p>
    <w:p w:rsidR="00E035F0" w:rsidRDefault="00113E29">
      <w:pPr>
        <w:tabs>
          <w:tab w:val="center" w:pos="4680"/>
        </w:tabs>
        <w:spacing w:line="480" w:lineRule="auto"/>
        <w:rPr>
          <w:rFonts w:ascii="Times New Roman" w:hAnsi="Times New Roman"/>
          <w:szCs w:val="24"/>
        </w:rPr>
      </w:pPr>
      <w:r>
        <w:rPr>
          <w:rFonts w:ascii="Times New Roman" w:hAnsi="Times New Roman"/>
          <w:szCs w:val="24"/>
        </w:rPr>
        <w:t xml:space="preserve">WIC State agencies currently operating Electronic Benefit Transfer (EBT) systems provide their Authorized Vendors with an electronic file containing the State agency’s current list of authorized foods.  This food list is known as the Authorized Products List (APL).  </w:t>
      </w:r>
      <w:r w:rsidR="00F05A28">
        <w:rPr>
          <w:rFonts w:ascii="Times New Roman" w:hAnsi="Times New Roman"/>
          <w:szCs w:val="24"/>
        </w:rPr>
        <w:t>In State agencies where EBT systems are operational, as products are scanned at the checkout lane, the UPC or PLU is matched to the State specific APL.  Food items matching the APL, and which are presented in quantities less than or equal to the remaining benefit balance associated with the participant’s WIC EBT card, are approved for purchase.  Unmatched items, or items in excess of the available account balance, may not be purchased with WIC benefits.</w:t>
      </w:r>
      <w:r w:rsidR="00D42A03">
        <w:rPr>
          <w:rFonts w:ascii="Times New Roman" w:hAnsi="Times New Roman"/>
          <w:szCs w:val="24"/>
        </w:rPr>
        <w:t xml:space="preserve"> </w:t>
      </w:r>
    </w:p>
    <w:p w:rsidR="00E035F0" w:rsidRDefault="00E035F0">
      <w:pPr>
        <w:tabs>
          <w:tab w:val="center" w:pos="4680"/>
        </w:tabs>
        <w:spacing w:line="480" w:lineRule="auto"/>
        <w:rPr>
          <w:rFonts w:ascii="Times New Roman" w:hAnsi="Times New Roman"/>
          <w:szCs w:val="24"/>
        </w:rPr>
      </w:pPr>
    </w:p>
    <w:p w:rsidR="00E035F0" w:rsidRDefault="002A57AE">
      <w:pPr>
        <w:tabs>
          <w:tab w:val="center" w:pos="4680"/>
        </w:tabs>
        <w:spacing w:line="480" w:lineRule="auto"/>
        <w:rPr>
          <w:rFonts w:ascii="Times New Roman" w:hAnsi="Times New Roman"/>
          <w:szCs w:val="24"/>
        </w:rPr>
      </w:pPr>
      <w:r>
        <w:rPr>
          <w:rFonts w:ascii="Times New Roman" w:hAnsi="Times New Roman"/>
          <w:szCs w:val="24"/>
        </w:rPr>
        <w:t>Please note that while the WIC State agencies are mentioned in the descriptions of the program and its requirements as outlined in this supporting statement, this submission does not at this time include any burden for them associated with this database.  The burden incurred by the WIC State agencies in the use of the National Universal Product Code database will instead be included in the burden calculation associated with the final regulations for the WIC Electronic Benefit Transfer promulgated as a result of the Healthy, Hunger-Free Kids Act of 2010 (Pub. L. 111-296).</w:t>
      </w:r>
      <w:r w:rsidR="00D1542A">
        <w:rPr>
          <w:rFonts w:ascii="Times New Roman" w:hAnsi="Times New Roman"/>
          <w:szCs w:val="24"/>
        </w:rPr>
        <w:t xml:space="preserve">  The burden discussed in this ICR is specific to the vendors entering data for the APL, and not the State Agency burden, which will be implemented by regulation.</w:t>
      </w:r>
    </w:p>
    <w:p w:rsidR="00D42A03" w:rsidRDefault="00D42A03" w:rsidP="007A1E54">
      <w:pPr>
        <w:tabs>
          <w:tab w:val="center" w:pos="4680"/>
        </w:tabs>
        <w:rPr>
          <w:rFonts w:ascii="Times New Roman" w:hAnsi="Times New Roman"/>
          <w:b/>
          <w:szCs w:val="24"/>
          <w:u w:val="single"/>
        </w:rPr>
      </w:pPr>
    </w:p>
    <w:p w:rsidR="005A3F80" w:rsidRPr="002568E6" w:rsidRDefault="005A3F80" w:rsidP="0062567E">
      <w:pPr>
        <w:pStyle w:val="Heading1"/>
        <w:rPr>
          <w:szCs w:val="24"/>
        </w:rPr>
      </w:pPr>
      <w:bookmarkStart w:id="2" w:name="_Toc401831357"/>
      <w:bookmarkStart w:id="3" w:name="_Toc417486998"/>
      <w:r w:rsidRPr="002568E6">
        <w:rPr>
          <w:szCs w:val="24"/>
        </w:rPr>
        <w:t xml:space="preserve">A1. </w:t>
      </w:r>
      <w:proofErr w:type="gramStart"/>
      <w:r w:rsidR="002568E6">
        <w:rPr>
          <w:szCs w:val="24"/>
        </w:rPr>
        <w:t>C</w:t>
      </w:r>
      <w:r w:rsidRPr="002568E6">
        <w:rPr>
          <w:szCs w:val="24"/>
        </w:rPr>
        <w:t>ircumstances that make the collection of information necessary.</w:t>
      </w:r>
      <w:bookmarkEnd w:id="2"/>
      <w:bookmarkEnd w:id="3"/>
      <w:proofErr w:type="gramEnd"/>
    </w:p>
    <w:p w:rsidR="003333DF" w:rsidRPr="002568E6" w:rsidRDefault="003333DF" w:rsidP="003333DF">
      <w:pPr>
        <w:tabs>
          <w:tab w:val="left" w:pos="-720"/>
        </w:tabs>
        <w:suppressAutoHyphens/>
        <w:rPr>
          <w:rFonts w:ascii="Times New Roman" w:hAnsi="Times New Roman"/>
          <w:b/>
          <w:szCs w:val="24"/>
        </w:rPr>
      </w:pPr>
    </w:p>
    <w:p w:rsidR="003333DF" w:rsidRPr="002568E6" w:rsidRDefault="003333DF" w:rsidP="003333DF">
      <w:pPr>
        <w:tabs>
          <w:tab w:val="left" w:pos="-720"/>
        </w:tabs>
        <w:suppressAutoHyphens/>
        <w:rPr>
          <w:rFonts w:ascii="Times New Roman" w:hAnsi="Times New Roman"/>
          <w:b/>
          <w:szCs w:val="24"/>
        </w:rPr>
      </w:pPr>
      <w:r w:rsidRPr="002568E6">
        <w:rPr>
          <w:rFonts w:ascii="Times New Roman" w:hAnsi="Times New Roman"/>
          <w:b/>
          <w:szCs w:val="24"/>
        </w:rPr>
        <w:t>Identify any legal or administrative requirements that necessitate the collection. Attach a copy of the appropriate section of each statute and regulation mandating or authorizing the collection of information.</w:t>
      </w:r>
    </w:p>
    <w:p w:rsidR="00A308DB" w:rsidRPr="002568E6" w:rsidRDefault="00A308DB" w:rsidP="009F7E1A">
      <w:pPr>
        <w:tabs>
          <w:tab w:val="left" w:pos="-720"/>
        </w:tabs>
        <w:suppressAutoHyphens/>
        <w:rPr>
          <w:rFonts w:ascii="Times New Roman" w:hAnsi="Times New Roman"/>
          <w:szCs w:val="24"/>
        </w:rPr>
      </w:pPr>
    </w:p>
    <w:p w:rsidR="00632F9E" w:rsidRPr="00632F9E" w:rsidRDefault="00632F9E" w:rsidP="00632F9E">
      <w:pPr>
        <w:tabs>
          <w:tab w:val="left" w:pos="-720"/>
        </w:tabs>
        <w:suppressAutoHyphens/>
        <w:spacing w:line="480" w:lineRule="auto"/>
        <w:rPr>
          <w:rFonts w:ascii="Times New Roman" w:hAnsi="Times New Roman"/>
          <w:szCs w:val="24"/>
        </w:rPr>
      </w:pPr>
      <w:r w:rsidRPr="00632F9E">
        <w:rPr>
          <w:rFonts w:ascii="Times New Roman" w:hAnsi="Times New Roman"/>
          <w:szCs w:val="24"/>
        </w:rPr>
        <w:t xml:space="preserve">This is a </w:t>
      </w:r>
      <w:r w:rsidR="005C5E06">
        <w:rPr>
          <w:rFonts w:ascii="Times New Roman" w:hAnsi="Times New Roman"/>
          <w:szCs w:val="24"/>
        </w:rPr>
        <w:t xml:space="preserve">reinstatement of an expired </w:t>
      </w:r>
      <w:r w:rsidRPr="00632F9E">
        <w:rPr>
          <w:rFonts w:ascii="Times New Roman" w:hAnsi="Times New Roman"/>
          <w:szCs w:val="24"/>
        </w:rPr>
        <w:t>data collection.</w:t>
      </w:r>
      <w:r w:rsidR="005C5E06">
        <w:rPr>
          <w:rFonts w:ascii="Times New Roman" w:hAnsi="Times New Roman"/>
          <w:szCs w:val="24"/>
        </w:rPr>
        <w:t xml:space="preserve">  This data collection expired on May 31, 2015.</w:t>
      </w:r>
      <w:r w:rsidR="00F81A8B">
        <w:rPr>
          <w:rFonts w:ascii="Times New Roman" w:hAnsi="Times New Roman"/>
          <w:szCs w:val="24"/>
        </w:rPr>
        <w:t xml:space="preserve">  The National Universal Product Code (NUPC) database, which </w:t>
      </w:r>
      <w:r w:rsidR="009E072A">
        <w:rPr>
          <w:rFonts w:ascii="Times New Roman" w:hAnsi="Times New Roman"/>
          <w:szCs w:val="24"/>
        </w:rPr>
        <w:t xml:space="preserve">serves </w:t>
      </w:r>
      <w:r w:rsidR="009E072A" w:rsidRPr="00632F9E">
        <w:rPr>
          <w:rFonts w:ascii="Times New Roman" w:hAnsi="Times New Roman"/>
          <w:szCs w:val="24"/>
        </w:rPr>
        <w:t xml:space="preserve">as an electronic repository of </w:t>
      </w:r>
      <w:r w:rsidR="009E072A">
        <w:rPr>
          <w:rFonts w:ascii="Times New Roman" w:hAnsi="Times New Roman"/>
          <w:szCs w:val="24"/>
        </w:rPr>
        <w:t xml:space="preserve">information about foods </w:t>
      </w:r>
      <w:r w:rsidR="009E072A" w:rsidRPr="00632F9E">
        <w:rPr>
          <w:rFonts w:ascii="Times New Roman" w:hAnsi="Times New Roman"/>
          <w:szCs w:val="24"/>
        </w:rPr>
        <w:t xml:space="preserve">eligible </w:t>
      </w:r>
      <w:r w:rsidR="009E072A">
        <w:rPr>
          <w:rFonts w:ascii="Times New Roman" w:hAnsi="Times New Roman"/>
          <w:szCs w:val="24"/>
        </w:rPr>
        <w:t xml:space="preserve">under </w:t>
      </w:r>
      <w:r w:rsidR="009E072A" w:rsidRPr="007D1972">
        <w:rPr>
          <w:rFonts w:ascii="Times New Roman" w:hAnsi="Times New Roman"/>
          <w:szCs w:val="24"/>
        </w:rPr>
        <w:t>The Special Supplemental Nutrition Program for Women, Infants, and Children (WIC)</w:t>
      </w:r>
      <w:r w:rsidR="009E072A">
        <w:rPr>
          <w:rFonts w:ascii="Times New Roman" w:hAnsi="Times New Roman"/>
          <w:szCs w:val="24"/>
        </w:rPr>
        <w:t xml:space="preserve"> </w:t>
      </w:r>
      <w:r w:rsidR="009E072A" w:rsidRPr="00632F9E">
        <w:rPr>
          <w:rFonts w:ascii="Times New Roman" w:hAnsi="Times New Roman"/>
          <w:szCs w:val="24"/>
        </w:rPr>
        <w:t>that have been authorized or</w:t>
      </w:r>
      <w:r w:rsidR="009E072A">
        <w:rPr>
          <w:rFonts w:ascii="Times New Roman" w:hAnsi="Times New Roman"/>
          <w:szCs w:val="24"/>
        </w:rPr>
        <w:t xml:space="preserve"> approved by WIC State agencies,</w:t>
      </w:r>
      <w:r w:rsidR="009E072A" w:rsidRPr="00632F9E">
        <w:rPr>
          <w:rFonts w:ascii="Times New Roman" w:hAnsi="Times New Roman"/>
          <w:szCs w:val="24"/>
        </w:rPr>
        <w:t xml:space="preserve"> </w:t>
      </w:r>
      <w:r w:rsidR="00F81A8B">
        <w:rPr>
          <w:rFonts w:ascii="Times New Roman" w:hAnsi="Times New Roman"/>
          <w:szCs w:val="24"/>
        </w:rPr>
        <w:t>was originally developed in response to “The Child Nutrition and WIC Reauthorization Act of 2004, Public Law No:108-265</w:t>
      </w:r>
      <w:r w:rsidR="009E072A">
        <w:rPr>
          <w:rFonts w:ascii="Times New Roman" w:hAnsi="Times New Roman"/>
          <w:szCs w:val="24"/>
        </w:rPr>
        <w:t>.</w:t>
      </w:r>
      <w:r w:rsidR="003D6A43">
        <w:rPr>
          <w:rFonts w:ascii="Times New Roman" w:hAnsi="Times New Roman"/>
          <w:szCs w:val="24"/>
        </w:rPr>
        <w:t>”</w:t>
      </w:r>
      <w:r w:rsidR="009E072A">
        <w:rPr>
          <w:rFonts w:ascii="Times New Roman" w:hAnsi="Times New Roman"/>
          <w:szCs w:val="24"/>
        </w:rPr>
        <w:t xml:space="preserve">  In December 2010 Congress reaffirmed this earlier act by </w:t>
      </w:r>
      <w:r w:rsidRPr="00632F9E">
        <w:rPr>
          <w:rFonts w:ascii="Times New Roman" w:hAnsi="Times New Roman"/>
          <w:szCs w:val="24"/>
        </w:rPr>
        <w:t>“The Healthy, Hunger- Free Kids Act of 2010, Public Law No: 111-296</w:t>
      </w:r>
      <w:r w:rsidR="009E072A">
        <w:rPr>
          <w:rFonts w:ascii="Times New Roman" w:hAnsi="Times New Roman"/>
          <w:szCs w:val="24"/>
        </w:rPr>
        <w:t>,</w:t>
      </w:r>
      <w:r w:rsidRPr="00632F9E">
        <w:rPr>
          <w:rFonts w:ascii="Times New Roman" w:hAnsi="Times New Roman"/>
          <w:szCs w:val="24"/>
        </w:rPr>
        <w:t xml:space="preserve">” </w:t>
      </w:r>
      <w:r w:rsidR="009E072A">
        <w:rPr>
          <w:rFonts w:ascii="Times New Roman" w:hAnsi="Times New Roman"/>
          <w:szCs w:val="24"/>
        </w:rPr>
        <w:t xml:space="preserve">which directed FNS </w:t>
      </w:r>
      <w:r w:rsidRPr="00632F9E">
        <w:rPr>
          <w:rFonts w:ascii="Times New Roman" w:hAnsi="Times New Roman"/>
          <w:szCs w:val="24"/>
        </w:rPr>
        <w:t xml:space="preserve">to establish a “National Universal Product Code (NUPC) database </w:t>
      </w:r>
      <w:r w:rsidR="00FC39F2">
        <w:rPr>
          <w:rFonts w:ascii="Times New Roman" w:hAnsi="Times New Roman"/>
          <w:szCs w:val="24"/>
        </w:rPr>
        <w:t>to be used</w:t>
      </w:r>
      <w:r w:rsidRPr="00632F9E">
        <w:rPr>
          <w:rFonts w:ascii="Times New Roman" w:hAnsi="Times New Roman"/>
          <w:szCs w:val="24"/>
        </w:rPr>
        <w:t xml:space="preserve"> by all State agencies</w:t>
      </w:r>
      <w:r w:rsidR="00FC39F2">
        <w:rPr>
          <w:rFonts w:ascii="Times New Roman" w:hAnsi="Times New Roman"/>
          <w:szCs w:val="24"/>
        </w:rPr>
        <w:t>”</w:t>
      </w:r>
      <w:r w:rsidR="003D6A43">
        <w:rPr>
          <w:rFonts w:ascii="Times New Roman" w:hAnsi="Times New Roman"/>
          <w:szCs w:val="24"/>
        </w:rPr>
        <w:t xml:space="preserve">.  </w:t>
      </w:r>
      <w:r w:rsidR="009E072A">
        <w:rPr>
          <w:rFonts w:ascii="Times New Roman" w:hAnsi="Times New Roman"/>
          <w:szCs w:val="24"/>
        </w:rPr>
        <w:t>The NUPC database will also be used by the WIC State agencies as they implement their Electronic Benefit Transfer (EBT) programs statewide.</w:t>
      </w:r>
      <w:r w:rsidRPr="00632F9E">
        <w:rPr>
          <w:rFonts w:ascii="Times New Roman" w:hAnsi="Times New Roman"/>
          <w:szCs w:val="24"/>
        </w:rPr>
        <w:t xml:space="preserve"> </w:t>
      </w:r>
    </w:p>
    <w:p w:rsidR="007D1972" w:rsidRDefault="007D1972" w:rsidP="0062567E">
      <w:pPr>
        <w:pStyle w:val="Heading1"/>
        <w:rPr>
          <w:szCs w:val="24"/>
        </w:rPr>
      </w:pPr>
      <w:bookmarkStart w:id="4" w:name="_Toc401831358"/>
    </w:p>
    <w:p w:rsidR="00A308DB" w:rsidRPr="002568E6" w:rsidRDefault="005A3F80" w:rsidP="0062567E">
      <w:pPr>
        <w:pStyle w:val="Heading1"/>
        <w:rPr>
          <w:szCs w:val="24"/>
        </w:rPr>
      </w:pPr>
      <w:bookmarkStart w:id="5" w:name="_Toc417486999"/>
      <w:r w:rsidRPr="002568E6">
        <w:rPr>
          <w:szCs w:val="24"/>
        </w:rPr>
        <w:t xml:space="preserve">A2. </w:t>
      </w:r>
      <w:proofErr w:type="gramStart"/>
      <w:r w:rsidR="00447C1E" w:rsidRPr="002568E6">
        <w:rPr>
          <w:szCs w:val="24"/>
        </w:rPr>
        <w:t>Purpose and Use of the Information.</w:t>
      </w:r>
      <w:bookmarkEnd w:id="4"/>
      <w:bookmarkEnd w:id="5"/>
      <w:proofErr w:type="gramEnd"/>
    </w:p>
    <w:p w:rsidR="0062567E" w:rsidRPr="002568E6" w:rsidRDefault="0062567E">
      <w:pPr>
        <w:tabs>
          <w:tab w:val="left" w:pos="-720"/>
        </w:tabs>
        <w:suppressAutoHyphens/>
        <w:rPr>
          <w:rFonts w:ascii="Times New Roman" w:hAnsi="Times New Roman"/>
          <w:b/>
          <w:szCs w:val="24"/>
        </w:rPr>
      </w:pPr>
    </w:p>
    <w:p w:rsidR="003333DF" w:rsidRDefault="003333DF">
      <w:pPr>
        <w:tabs>
          <w:tab w:val="left" w:pos="-720"/>
        </w:tabs>
        <w:suppressAutoHyphens/>
        <w:rPr>
          <w:rFonts w:ascii="Times New Roman" w:hAnsi="Times New Roman"/>
          <w:b/>
          <w:szCs w:val="24"/>
        </w:rPr>
      </w:pPr>
      <w:r w:rsidRPr="002568E6">
        <w:rPr>
          <w:rFonts w:ascii="Times New Roman" w:hAnsi="Times New Roman"/>
          <w:b/>
          <w:szCs w:val="24"/>
        </w:rPr>
        <w:t>Indicate</w:t>
      </w:r>
      <w:r w:rsidR="009F0786" w:rsidRPr="002568E6">
        <w:rPr>
          <w:rFonts w:ascii="Times New Roman" w:hAnsi="Times New Roman"/>
          <w:b/>
          <w:szCs w:val="24"/>
        </w:rPr>
        <w:t xml:space="preserve"> how, by whom, and for what pur</w:t>
      </w:r>
      <w:r w:rsidRPr="002568E6">
        <w:rPr>
          <w:rFonts w:ascii="Times New Roman" w:hAnsi="Times New Roman"/>
          <w:b/>
          <w:szCs w:val="24"/>
        </w:rPr>
        <w:t>pose the information is to be used.</w:t>
      </w:r>
      <w:r w:rsidR="009F0786" w:rsidRPr="002568E6">
        <w:rPr>
          <w:rFonts w:ascii="Times New Roman" w:hAnsi="Times New Roman"/>
          <w:b/>
          <w:szCs w:val="24"/>
        </w:rPr>
        <w:t xml:space="preserve">  Except for a new collec</w:t>
      </w:r>
      <w:r w:rsidRPr="002568E6">
        <w:rPr>
          <w:rFonts w:ascii="Times New Roman" w:hAnsi="Times New Roman"/>
          <w:b/>
          <w:szCs w:val="24"/>
        </w:rPr>
        <w:t>tion, indicate how the agency has ac</w:t>
      </w:r>
      <w:r w:rsidR="00E27BE9" w:rsidRPr="002568E6">
        <w:rPr>
          <w:rFonts w:ascii="Times New Roman" w:hAnsi="Times New Roman"/>
          <w:b/>
          <w:szCs w:val="24"/>
        </w:rPr>
        <w:t>tually used the informa</w:t>
      </w:r>
      <w:r w:rsidRPr="002568E6">
        <w:rPr>
          <w:rFonts w:ascii="Times New Roman" w:hAnsi="Times New Roman"/>
          <w:b/>
          <w:szCs w:val="24"/>
        </w:rPr>
        <w:t>tion r</w:t>
      </w:r>
      <w:r w:rsidR="00E27BE9" w:rsidRPr="002568E6">
        <w:rPr>
          <w:rFonts w:ascii="Times New Roman" w:hAnsi="Times New Roman"/>
          <w:b/>
          <w:szCs w:val="24"/>
        </w:rPr>
        <w:t>eceived from the current collec</w:t>
      </w:r>
      <w:r w:rsidRPr="002568E6">
        <w:rPr>
          <w:rFonts w:ascii="Times New Roman" w:hAnsi="Times New Roman"/>
          <w:b/>
          <w:szCs w:val="24"/>
        </w:rPr>
        <w:t>tion.</w:t>
      </w:r>
    </w:p>
    <w:p w:rsidR="003D6A43" w:rsidRDefault="003D6A43">
      <w:pPr>
        <w:tabs>
          <w:tab w:val="left" w:pos="-720"/>
        </w:tabs>
        <w:suppressAutoHyphens/>
        <w:rPr>
          <w:rFonts w:ascii="Times New Roman" w:hAnsi="Times New Roman"/>
          <w:b/>
          <w:szCs w:val="24"/>
        </w:rPr>
      </w:pPr>
    </w:p>
    <w:p w:rsidR="003D6A43" w:rsidRDefault="003D6A43">
      <w:pPr>
        <w:tabs>
          <w:tab w:val="left" w:pos="-720"/>
        </w:tabs>
        <w:suppressAutoHyphens/>
        <w:rPr>
          <w:rFonts w:ascii="Times New Roman" w:hAnsi="Times New Roman"/>
          <w:b/>
          <w:szCs w:val="24"/>
        </w:rPr>
      </w:pPr>
    </w:p>
    <w:p w:rsidR="00E035F0" w:rsidRDefault="003D6A43" w:rsidP="00FC39F2">
      <w:pPr>
        <w:pStyle w:val="Heading2"/>
        <w:spacing w:line="480" w:lineRule="auto"/>
        <w:jc w:val="left"/>
        <w:rPr>
          <w:b w:val="0"/>
          <w:szCs w:val="24"/>
        </w:rPr>
      </w:pPr>
      <w:bookmarkStart w:id="6" w:name="_Toc417487000"/>
      <w:r>
        <w:rPr>
          <w:b w:val="0"/>
          <w:szCs w:val="24"/>
        </w:rPr>
        <w:t>T</w:t>
      </w:r>
      <w:r w:rsidR="00FC39F2" w:rsidRPr="00FC39F2">
        <w:rPr>
          <w:b w:val="0"/>
          <w:szCs w:val="24"/>
        </w:rPr>
        <w:t xml:space="preserve">he original PRA submission for the NUPC database assumed WIC State agencies and food manufacturers would be responsible for entering items into the database via a web based user interface comprised of several electronic forms (screens) which would be completed manually.  Input from State agencies, and observations of user behavior, led FNS to conclude this data collection approach was not viable.  FNS therefore revised the concept of operations for the NUPC database and </w:t>
      </w:r>
      <w:r w:rsidR="00FC39F2">
        <w:rPr>
          <w:b w:val="0"/>
          <w:szCs w:val="24"/>
        </w:rPr>
        <w:t>subsequently hired a contractor to p</w:t>
      </w:r>
      <w:r w:rsidR="00FC39F2" w:rsidRPr="00FC39F2">
        <w:rPr>
          <w:b w:val="0"/>
          <w:szCs w:val="24"/>
        </w:rPr>
        <w:t xml:space="preserve">opulate </w:t>
      </w:r>
      <w:r w:rsidR="007D1972">
        <w:rPr>
          <w:b w:val="0"/>
          <w:szCs w:val="24"/>
        </w:rPr>
        <w:t xml:space="preserve">the database </w:t>
      </w:r>
      <w:r w:rsidR="00FC39F2" w:rsidRPr="00FC39F2">
        <w:rPr>
          <w:b w:val="0"/>
          <w:szCs w:val="24"/>
        </w:rPr>
        <w:t xml:space="preserve">with information about WIC authorized foods.  This PRA submission assumes </w:t>
      </w:r>
      <w:r w:rsidR="007D1972">
        <w:rPr>
          <w:b w:val="0"/>
          <w:szCs w:val="24"/>
        </w:rPr>
        <w:t xml:space="preserve">a </w:t>
      </w:r>
      <w:r w:rsidR="00FC39F2">
        <w:rPr>
          <w:b w:val="0"/>
          <w:szCs w:val="24"/>
        </w:rPr>
        <w:t xml:space="preserve">contractor will contact food manufacturers, distributors, and authorized vendors, </w:t>
      </w:r>
      <w:r w:rsidR="00E035F0">
        <w:rPr>
          <w:b w:val="0"/>
          <w:szCs w:val="24"/>
        </w:rPr>
        <w:t xml:space="preserve">on an as needed basis </w:t>
      </w:r>
      <w:r w:rsidR="00FC39F2">
        <w:rPr>
          <w:b w:val="0"/>
          <w:szCs w:val="24"/>
        </w:rPr>
        <w:t xml:space="preserve">to </w:t>
      </w:r>
      <w:r w:rsidR="00FC39F2" w:rsidRPr="00FC39F2">
        <w:rPr>
          <w:b w:val="0"/>
          <w:szCs w:val="24"/>
        </w:rPr>
        <w:t xml:space="preserve">obtain </w:t>
      </w:r>
      <w:r w:rsidR="00FC39F2">
        <w:rPr>
          <w:b w:val="0"/>
          <w:szCs w:val="24"/>
        </w:rPr>
        <w:t xml:space="preserve">missing data </w:t>
      </w:r>
      <w:r w:rsidR="00FC39F2" w:rsidRPr="00FC39F2">
        <w:rPr>
          <w:b w:val="0"/>
          <w:szCs w:val="24"/>
        </w:rPr>
        <w:t xml:space="preserve">for subsequent entry of item </w:t>
      </w:r>
      <w:r w:rsidR="007D1972">
        <w:rPr>
          <w:b w:val="0"/>
          <w:szCs w:val="24"/>
        </w:rPr>
        <w:t xml:space="preserve">specific </w:t>
      </w:r>
      <w:r w:rsidR="00FC39F2" w:rsidRPr="00FC39F2">
        <w:rPr>
          <w:b w:val="0"/>
          <w:szCs w:val="24"/>
        </w:rPr>
        <w:t>information into the database</w:t>
      </w:r>
      <w:r w:rsidR="00E035F0">
        <w:rPr>
          <w:b w:val="0"/>
          <w:szCs w:val="24"/>
        </w:rPr>
        <w:t xml:space="preserve">.  Manufacturers, distributors, </w:t>
      </w:r>
      <w:r w:rsidR="00E035F0">
        <w:rPr>
          <w:b w:val="0"/>
          <w:szCs w:val="24"/>
        </w:rPr>
        <w:lastRenderedPageBreak/>
        <w:t>and authorized vendors will normally provide information via email forwarded directly to the contractor.</w:t>
      </w:r>
    </w:p>
    <w:p w:rsidR="00A00B7C" w:rsidRDefault="00E035F0" w:rsidP="00FC39F2">
      <w:pPr>
        <w:pStyle w:val="Heading2"/>
        <w:spacing w:line="480" w:lineRule="auto"/>
        <w:jc w:val="left"/>
        <w:rPr>
          <w:b w:val="0"/>
          <w:szCs w:val="24"/>
        </w:rPr>
      </w:pPr>
      <w:r>
        <w:rPr>
          <w:b w:val="0"/>
          <w:szCs w:val="24"/>
        </w:rPr>
        <w:t xml:space="preserve">  </w:t>
      </w:r>
      <w:bookmarkEnd w:id="6"/>
    </w:p>
    <w:p w:rsidR="00FC39F2" w:rsidRPr="00FC39F2" w:rsidRDefault="00B440E5" w:rsidP="00FC39F2">
      <w:pPr>
        <w:pStyle w:val="Heading2"/>
        <w:spacing w:line="480" w:lineRule="auto"/>
        <w:jc w:val="left"/>
        <w:rPr>
          <w:b w:val="0"/>
          <w:szCs w:val="24"/>
        </w:rPr>
      </w:pPr>
      <w:bookmarkStart w:id="7" w:name="_Toc417487001"/>
      <w:r>
        <w:rPr>
          <w:b w:val="0"/>
          <w:szCs w:val="24"/>
        </w:rPr>
        <w:t xml:space="preserve">FNS also adopted a plan to expand the number of data elements contained in the existing NUPC database while simultaneously attempting to reduce the burden on WIC State agency employees tasked with creating State specific APL’s by assembling food product information in an easily accessible repository.  These database modifications and expansion activities have allowed for the storage and retrieval of additional data elements for each WIC authorized food to include:  nutrition facts panel, ingredients, special processing practices (i.e., Kosher or </w:t>
      </w:r>
      <w:proofErr w:type="spellStart"/>
      <w:r>
        <w:rPr>
          <w:b w:val="0"/>
          <w:szCs w:val="24"/>
        </w:rPr>
        <w:t>Halel</w:t>
      </w:r>
      <w:proofErr w:type="spellEnd"/>
      <w:r>
        <w:rPr>
          <w:b w:val="0"/>
          <w:szCs w:val="24"/>
        </w:rPr>
        <w:t>), and a free-form comments field.  All previously used product identifier fields were retained.</w:t>
      </w:r>
      <w:bookmarkEnd w:id="7"/>
      <w:r w:rsidR="00FC39F2" w:rsidRPr="00FC39F2">
        <w:rPr>
          <w:b w:val="0"/>
          <w:szCs w:val="24"/>
        </w:rPr>
        <w:t xml:space="preserve">  </w:t>
      </w:r>
    </w:p>
    <w:p w:rsidR="00FC39F2" w:rsidRPr="00FC39F2" w:rsidRDefault="00FC39F2" w:rsidP="00FC39F2">
      <w:pPr>
        <w:pStyle w:val="Heading2"/>
        <w:spacing w:line="480" w:lineRule="auto"/>
        <w:jc w:val="left"/>
        <w:rPr>
          <w:b w:val="0"/>
          <w:szCs w:val="24"/>
        </w:rPr>
      </w:pPr>
    </w:p>
    <w:p w:rsidR="00FC39F2" w:rsidRPr="00FC39F2" w:rsidRDefault="00935C5E" w:rsidP="00FC39F2">
      <w:pPr>
        <w:pStyle w:val="Heading2"/>
        <w:spacing w:line="480" w:lineRule="auto"/>
        <w:jc w:val="left"/>
        <w:rPr>
          <w:b w:val="0"/>
          <w:szCs w:val="24"/>
        </w:rPr>
      </w:pPr>
      <w:bookmarkStart w:id="8" w:name="_Toc417487002"/>
      <w:r>
        <w:rPr>
          <w:b w:val="0"/>
          <w:szCs w:val="24"/>
        </w:rPr>
        <w:t xml:space="preserve">The </w:t>
      </w:r>
      <w:r w:rsidR="00FC39F2" w:rsidRPr="00FC39F2">
        <w:rPr>
          <w:b w:val="0"/>
          <w:szCs w:val="24"/>
        </w:rPr>
        <w:t>NUPC database</w:t>
      </w:r>
      <w:r w:rsidR="00B440E5">
        <w:rPr>
          <w:b w:val="0"/>
          <w:szCs w:val="24"/>
        </w:rPr>
        <w:t xml:space="preserve"> will provide all</w:t>
      </w:r>
      <w:r>
        <w:rPr>
          <w:b w:val="0"/>
          <w:szCs w:val="24"/>
        </w:rPr>
        <w:t xml:space="preserve"> </w:t>
      </w:r>
      <w:r w:rsidR="00FC39F2" w:rsidRPr="00FC39F2">
        <w:rPr>
          <w:b w:val="0"/>
          <w:szCs w:val="24"/>
        </w:rPr>
        <w:t xml:space="preserve">WIC State agencies </w:t>
      </w:r>
      <w:r w:rsidR="00B440E5">
        <w:rPr>
          <w:b w:val="0"/>
          <w:szCs w:val="24"/>
        </w:rPr>
        <w:t>with</w:t>
      </w:r>
      <w:r w:rsidR="00FC39F2" w:rsidRPr="00FC39F2">
        <w:rPr>
          <w:b w:val="0"/>
          <w:szCs w:val="24"/>
        </w:rPr>
        <w:t xml:space="preserve"> access</w:t>
      </w:r>
      <w:r w:rsidR="00B440E5">
        <w:rPr>
          <w:b w:val="0"/>
          <w:szCs w:val="24"/>
        </w:rPr>
        <w:t xml:space="preserve"> to</w:t>
      </w:r>
      <w:r w:rsidR="00FC39F2" w:rsidRPr="00FC39F2">
        <w:rPr>
          <w:b w:val="0"/>
          <w:szCs w:val="24"/>
        </w:rPr>
        <w:t xml:space="preserve"> a central repository</w:t>
      </w:r>
      <w:r w:rsidR="00B440E5">
        <w:rPr>
          <w:b w:val="0"/>
          <w:szCs w:val="24"/>
        </w:rPr>
        <w:t xml:space="preserve"> containing </w:t>
      </w:r>
      <w:r w:rsidR="00FC39F2" w:rsidRPr="00FC39F2">
        <w:rPr>
          <w:b w:val="0"/>
          <w:szCs w:val="24"/>
        </w:rPr>
        <w:t>product information</w:t>
      </w:r>
      <w:r w:rsidR="00B440E5">
        <w:rPr>
          <w:b w:val="0"/>
          <w:szCs w:val="24"/>
        </w:rPr>
        <w:t xml:space="preserve"> about the authorized WIC foods which is</w:t>
      </w:r>
      <w:r w:rsidR="00FC39F2" w:rsidRPr="00FC39F2">
        <w:rPr>
          <w:b w:val="0"/>
          <w:szCs w:val="24"/>
        </w:rPr>
        <w:t xml:space="preserve"> necessary to support State agency Electronic Benefits Transfer (EBT) for the WIC Program.</w:t>
      </w:r>
      <w:r w:rsidR="00B440E5">
        <w:rPr>
          <w:b w:val="0"/>
          <w:szCs w:val="24"/>
        </w:rPr>
        <w:t xml:space="preserve">  State agencies may choose to use the NUPC database to create an initial list of authorized foods eligible for redemption by WIC Program participants.  Subsequently, State agencies may use the NUPC database to maintain their list of authorized foods and to create an APL for distribution to Authorized Vendors when operating in the EBT environment.</w:t>
      </w:r>
      <w:r w:rsidR="00FC39F2" w:rsidRPr="00FC39F2">
        <w:rPr>
          <w:b w:val="0"/>
          <w:szCs w:val="24"/>
        </w:rPr>
        <w:t xml:space="preserve">  The system enable</w:t>
      </w:r>
      <w:r>
        <w:rPr>
          <w:b w:val="0"/>
          <w:szCs w:val="24"/>
        </w:rPr>
        <w:t>s</w:t>
      </w:r>
      <w:r w:rsidR="00FC39F2" w:rsidRPr="00FC39F2">
        <w:rPr>
          <w:b w:val="0"/>
          <w:szCs w:val="24"/>
        </w:rPr>
        <w:t xml:space="preserve"> the sharing of product information between State agencies.  System benefits include a more efficient review of potential food items by </w:t>
      </w:r>
      <w:r w:rsidR="007D1972">
        <w:rPr>
          <w:b w:val="0"/>
          <w:szCs w:val="24"/>
        </w:rPr>
        <w:t xml:space="preserve">WIC </w:t>
      </w:r>
      <w:r w:rsidR="00FC39F2" w:rsidRPr="00FC39F2">
        <w:rPr>
          <w:b w:val="0"/>
          <w:szCs w:val="24"/>
        </w:rPr>
        <w:t xml:space="preserve">State agencies, reduced duplication in </w:t>
      </w:r>
      <w:r>
        <w:rPr>
          <w:b w:val="0"/>
          <w:szCs w:val="24"/>
        </w:rPr>
        <w:t xml:space="preserve">data </w:t>
      </w:r>
      <w:r w:rsidR="00FC39F2" w:rsidRPr="00FC39F2">
        <w:rPr>
          <w:b w:val="0"/>
          <w:szCs w:val="24"/>
        </w:rPr>
        <w:t xml:space="preserve">entry, and standardized output reporting in electronic formats suitable for incorporation into stakeholder automated systems.  In addition, the product information housed in the database </w:t>
      </w:r>
      <w:r>
        <w:rPr>
          <w:b w:val="0"/>
          <w:szCs w:val="24"/>
        </w:rPr>
        <w:t>is</w:t>
      </w:r>
      <w:r w:rsidR="00FC39F2" w:rsidRPr="00FC39F2">
        <w:rPr>
          <w:b w:val="0"/>
          <w:szCs w:val="24"/>
        </w:rPr>
        <w:t xml:space="preserve"> reviewed against program regulations to ensure all authorized products comply with WIC regulations and </w:t>
      </w:r>
      <w:r w:rsidR="007D1972">
        <w:rPr>
          <w:b w:val="0"/>
          <w:szCs w:val="24"/>
        </w:rPr>
        <w:t xml:space="preserve">nutrition </w:t>
      </w:r>
      <w:r w:rsidR="00FC39F2" w:rsidRPr="00FC39F2">
        <w:rPr>
          <w:b w:val="0"/>
          <w:szCs w:val="24"/>
        </w:rPr>
        <w:lastRenderedPageBreak/>
        <w:t xml:space="preserve">standards before the information is entered into the database </w:t>
      </w:r>
      <w:r>
        <w:rPr>
          <w:b w:val="0"/>
          <w:szCs w:val="24"/>
        </w:rPr>
        <w:t>or</w:t>
      </w:r>
      <w:r w:rsidR="00FC39F2" w:rsidRPr="00FC39F2">
        <w:rPr>
          <w:b w:val="0"/>
          <w:szCs w:val="24"/>
        </w:rPr>
        <w:t xml:space="preserve"> made available to WIC State agencies.</w:t>
      </w:r>
      <w:bookmarkEnd w:id="8"/>
      <w:r w:rsidR="00FC39F2" w:rsidRPr="00FC39F2">
        <w:rPr>
          <w:b w:val="0"/>
          <w:szCs w:val="24"/>
        </w:rPr>
        <w:t xml:space="preserve">  </w:t>
      </w:r>
    </w:p>
    <w:p w:rsidR="00FC39F2" w:rsidRPr="00FC39F2" w:rsidRDefault="00FC39F2" w:rsidP="00FC39F2">
      <w:pPr>
        <w:pStyle w:val="Heading2"/>
        <w:spacing w:line="480" w:lineRule="auto"/>
        <w:jc w:val="left"/>
        <w:rPr>
          <w:b w:val="0"/>
          <w:szCs w:val="24"/>
        </w:rPr>
      </w:pPr>
    </w:p>
    <w:p w:rsidR="00F362C6" w:rsidRDefault="00F362C6" w:rsidP="00F362C6">
      <w:pPr>
        <w:pStyle w:val="Heading2"/>
        <w:spacing w:line="480" w:lineRule="auto"/>
        <w:jc w:val="left"/>
        <w:rPr>
          <w:b w:val="0"/>
          <w:szCs w:val="24"/>
        </w:rPr>
      </w:pPr>
      <w:bookmarkStart w:id="9" w:name="_Toc417487003"/>
      <w:r w:rsidRPr="00F362C6">
        <w:rPr>
          <w:b w:val="0"/>
          <w:szCs w:val="24"/>
        </w:rPr>
        <w:t>Food manufacturers, Distributors, and WIC Authorized Vendors may provide product information, on a voluntary basis, to the contractor responsible f</w:t>
      </w:r>
      <w:r w:rsidR="00AE3CED">
        <w:rPr>
          <w:b w:val="0"/>
          <w:szCs w:val="24"/>
        </w:rPr>
        <w:t xml:space="preserve">or populating the NUPC database during the Paperwork Reduction Act reporting period.  </w:t>
      </w:r>
      <w:r w:rsidRPr="00F362C6">
        <w:rPr>
          <w:b w:val="0"/>
          <w:szCs w:val="24"/>
        </w:rPr>
        <w:t>FNS expects that no more than 240 food manufacturers or distributors, and 120 WIC Authorized Vendors may wish to provide product information during the reporting period.</w:t>
      </w:r>
      <w:bookmarkEnd w:id="9"/>
      <w:r w:rsidRPr="00F362C6">
        <w:rPr>
          <w:b w:val="0"/>
          <w:szCs w:val="24"/>
        </w:rPr>
        <w:t xml:space="preserve">  </w:t>
      </w:r>
    </w:p>
    <w:p w:rsidR="00F362C6" w:rsidRDefault="00F362C6" w:rsidP="00F362C6"/>
    <w:p w:rsidR="00FC39F2" w:rsidRDefault="00F362C6" w:rsidP="00AE3CED">
      <w:pPr>
        <w:spacing w:line="480" w:lineRule="auto"/>
        <w:rPr>
          <w:rFonts w:ascii="Times New Roman" w:hAnsi="Times New Roman"/>
        </w:rPr>
      </w:pPr>
      <w:r w:rsidRPr="00F362C6">
        <w:rPr>
          <w:rFonts w:ascii="Times New Roman" w:hAnsi="Times New Roman"/>
        </w:rPr>
        <w:t xml:space="preserve">At the end of this three year </w:t>
      </w:r>
      <w:r w:rsidR="00AE3CED">
        <w:rPr>
          <w:rFonts w:ascii="Times New Roman" w:hAnsi="Times New Roman"/>
        </w:rPr>
        <w:t xml:space="preserve">reporting </w:t>
      </w:r>
      <w:r w:rsidRPr="00F362C6">
        <w:rPr>
          <w:rFonts w:ascii="Times New Roman" w:hAnsi="Times New Roman"/>
        </w:rPr>
        <w:t xml:space="preserve">period, FNS expects the number </w:t>
      </w:r>
      <w:r w:rsidRPr="00AE3CED">
        <w:rPr>
          <w:rFonts w:ascii="Times New Roman" w:hAnsi="Times New Roman"/>
        </w:rPr>
        <w:t xml:space="preserve">of </w:t>
      </w:r>
      <w:r w:rsidR="00AE3CED" w:rsidRPr="00AE3CED">
        <w:rPr>
          <w:rFonts w:ascii="Times New Roman" w:hAnsi="Times New Roman"/>
        </w:rPr>
        <w:t xml:space="preserve">Food </w:t>
      </w:r>
      <w:r w:rsidR="007102AD">
        <w:rPr>
          <w:rFonts w:ascii="Times New Roman" w:hAnsi="Times New Roman"/>
        </w:rPr>
        <w:t>M</w:t>
      </w:r>
      <w:r w:rsidR="00AE3CED" w:rsidRPr="00AE3CED">
        <w:rPr>
          <w:rFonts w:ascii="Times New Roman" w:hAnsi="Times New Roman"/>
        </w:rPr>
        <w:t>anufacturers, Distributors, and WIC Authorized Vendors</w:t>
      </w:r>
      <w:r w:rsidR="00AE3CED">
        <w:rPr>
          <w:rFonts w:ascii="Times New Roman" w:hAnsi="Times New Roman"/>
        </w:rPr>
        <w:t xml:space="preserve"> providing information for inclusion in the NUPC database </w:t>
      </w:r>
      <w:r w:rsidRPr="00F362C6">
        <w:rPr>
          <w:rFonts w:ascii="Times New Roman" w:hAnsi="Times New Roman"/>
        </w:rPr>
        <w:t>will increase slowly.</w:t>
      </w:r>
    </w:p>
    <w:p w:rsidR="00F362C6" w:rsidRPr="00FC39F2" w:rsidRDefault="00F362C6" w:rsidP="00F362C6">
      <w:pPr>
        <w:rPr>
          <w:b/>
          <w:szCs w:val="24"/>
        </w:rPr>
      </w:pPr>
    </w:p>
    <w:p w:rsidR="00341DEE" w:rsidRPr="002568E6" w:rsidRDefault="00341DEE" w:rsidP="00E11A38">
      <w:pPr>
        <w:pStyle w:val="Heading2"/>
        <w:jc w:val="left"/>
        <w:rPr>
          <w:szCs w:val="24"/>
        </w:rPr>
      </w:pPr>
    </w:p>
    <w:p w:rsidR="00A308DB" w:rsidRPr="002568E6" w:rsidRDefault="005A3F80" w:rsidP="0062567E">
      <w:pPr>
        <w:pStyle w:val="Heading1"/>
        <w:rPr>
          <w:szCs w:val="24"/>
        </w:rPr>
      </w:pPr>
      <w:bookmarkStart w:id="10" w:name="_Toc401831359"/>
      <w:bookmarkStart w:id="11" w:name="_Toc417487004"/>
      <w:r w:rsidRPr="002568E6">
        <w:rPr>
          <w:szCs w:val="24"/>
        </w:rPr>
        <w:t xml:space="preserve">A3.  </w:t>
      </w:r>
      <w:proofErr w:type="gramStart"/>
      <w:r w:rsidR="00831EA7" w:rsidRPr="002568E6">
        <w:rPr>
          <w:szCs w:val="24"/>
        </w:rPr>
        <w:t xml:space="preserve">Use of </w:t>
      </w:r>
      <w:r w:rsidR="00826253" w:rsidRPr="002568E6">
        <w:rPr>
          <w:szCs w:val="24"/>
        </w:rPr>
        <w:t>i</w:t>
      </w:r>
      <w:r w:rsidR="00831EA7" w:rsidRPr="002568E6">
        <w:rPr>
          <w:szCs w:val="24"/>
        </w:rPr>
        <w:t xml:space="preserve">nformation </w:t>
      </w:r>
      <w:r w:rsidR="00826253" w:rsidRPr="002568E6">
        <w:rPr>
          <w:szCs w:val="24"/>
        </w:rPr>
        <w:t>t</w:t>
      </w:r>
      <w:r w:rsidR="00831EA7" w:rsidRPr="002568E6">
        <w:rPr>
          <w:szCs w:val="24"/>
        </w:rPr>
        <w:t xml:space="preserve">echnology and </w:t>
      </w:r>
      <w:r w:rsidR="00826253" w:rsidRPr="002568E6">
        <w:rPr>
          <w:szCs w:val="24"/>
        </w:rPr>
        <w:t>b</w:t>
      </w:r>
      <w:r w:rsidR="00831EA7" w:rsidRPr="002568E6">
        <w:rPr>
          <w:szCs w:val="24"/>
        </w:rPr>
        <w:t xml:space="preserve">urden </w:t>
      </w:r>
      <w:r w:rsidR="00826253" w:rsidRPr="002568E6">
        <w:rPr>
          <w:szCs w:val="24"/>
        </w:rPr>
        <w:t>r</w:t>
      </w:r>
      <w:r w:rsidR="00831EA7" w:rsidRPr="002568E6">
        <w:rPr>
          <w:szCs w:val="24"/>
        </w:rPr>
        <w:t>eduction</w:t>
      </w:r>
      <w:r w:rsidRPr="002568E6">
        <w:rPr>
          <w:szCs w:val="24"/>
        </w:rPr>
        <w:t>.</w:t>
      </w:r>
      <w:bookmarkEnd w:id="10"/>
      <w:bookmarkEnd w:id="11"/>
      <w:proofErr w:type="gramEnd"/>
      <w:r w:rsidRPr="002568E6">
        <w:rPr>
          <w:szCs w:val="24"/>
        </w:rPr>
        <w:t xml:space="preserve">  </w:t>
      </w:r>
    </w:p>
    <w:p w:rsidR="003333DF" w:rsidRPr="002568E6" w:rsidRDefault="003333DF">
      <w:pPr>
        <w:tabs>
          <w:tab w:val="left" w:pos="0"/>
        </w:tabs>
        <w:suppressAutoHyphens/>
        <w:rPr>
          <w:rFonts w:ascii="Times New Roman" w:hAnsi="Times New Roman"/>
          <w:szCs w:val="24"/>
        </w:rPr>
      </w:pPr>
    </w:p>
    <w:p w:rsidR="003333DF" w:rsidRPr="002568E6" w:rsidRDefault="003333DF" w:rsidP="0062567E">
      <w:pPr>
        <w:rPr>
          <w:rFonts w:ascii="Times New Roman" w:hAnsi="Times New Roman"/>
          <w:b/>
          <w:szCs w:val="24"/>
        </w:rPr>
      </w:pPr>
      <w:r w:rsidRPr="002568E6">
        <w:rPr>
          <w:rFonts w:ascii="Times New Roman" w:hAnsi="Times New Roman"/>
          <w:b/>
          <w:szCs w:val="24"/>
        </w:rPr>
        <w:t xml:space="preserve">Describe whether, and to what extent, the collection of information involves the use of </w:t>
      </w:r>
      <w:r w:rsidR="00542C4F" w:rsidRPr="002568E6">
        <w:rPr>
          <w:rFonts w:ascii="Times New Roman" w:hAnsi="Times New Roman"/>
          <w:b/>
          <w:szCs w:val="24"/>
        </w:rPr>
        <w:t>automated, electronic, mechanical, or other technolog</w:t>
      </w:r>
      <w:r w:rsidRPr="002568E6">
        <w:rPr>
          <w:rFonts w:ascii="Times New Roman" w:hAnsi="Times New Roman"/>
          <w:b/>
          <w:szCs w:val="24"/>
        </w:rPr>
        <w:t>ical collection techniques or oth</w:t>
      </w:r>
      <w:r w:rsidR="00542C4F" w:rsidRPr="002568E6">
        <w:rPr>
          <w:rFonts w:ascii="Times New Roman" w:hAnsi="Times New Roman"/>
          <w:b/>
          <w:szCs w:val="24"/>
        </w:rPr>
        <w:t>er forms of information technology, e.g., permitting electronic sub</w:t>
      </w:r>
      <w:r w:rsidRPr="002568E6">
        <w:rPr>
          <w:rFonts w:ascii="Times New Roman" w:hAnsi="Times New Roman"/>
          <w:b/>
          <w:szCs w:val="24"/>
        </w:rPr>
        <w:t>mission of responses, and the basis for the decision for adopting this means of co</w:t>
      </w:r>
      <w:r w:rsidR="00542C4F" w:rsidRPr="002568E6">
        <w:rPr>
          <w:rFonts w:ascii="Times New Roman" w:hAnsi="Times New Roman"/>
          <w:b/>
          <w:szCs w:val="24"/>
        </w:rPr>
        <w:t>llection. Also describe any con</w:t>
      </w:r>
      <w:r w:rsidRPr="002568E6">
        <w:rPr>
          <w:rFonts w:ascii="Times New Roman" w:hAnsi="Times New Roman"/>
          <w:b/>
          <w:szCs w:val="24"/>
        </w:rPr>
        <w:t>sideratio</w:t>
      </w:r>
      <w:r w:rsidR="00542C4F" w:rsidRPr="002568E6">
        <w:rPr>
          <w:rFonts w:ascii="Times New Roman" w:hAnsi="Times New Roman"/>
          <w:b/>
          <w:szCs w:val="24"/>
        </w:rPr>
        <w:t>n of using information technology to reduce bur</w:t>
      </w:r>
      <w:r w:rsidRPr="002568E6">
        <w:rPr>
          <w:rFonts w:ascii="Times New Roman" w:hAnsi="Times New Roman"/>
          <w:b/>
          <w:szCs w:val="24"/>
        </w:rPr>
        <w:t>den.</w:t>
      </w:r>
    </w:p>
    <w:p w:rsidR="00A308DB" w:rsidRPr="002568E6" w:rsidRDefault="00A308DB">
      <w:pPr>
        <w:tabs>
          <w:tab w:val="left" w:pos="0"/>
        </w:tabs>
        <w:suppressAutoHyphens/>
        <w:rPr>
          <w:rFonts w:ascii="Times New Roman" w:hAnsi="Times New Roman"/>
          <w:szCs w:val="24"/>
        </w:rPr>
      </w:pPr>
    </w:p>
    <w:p w:rsidR="00F362C6" w:rsidRPr="00F362C6" w:rsidRDefault="00F362C6" w:rsidP="00F362C6">
      <w:pPr>
        <w:tabs>
          <w:tab w:val="left" w:pos="0"/>
        </w:tabs>
        <w:suppressAutoHyphens/>
        <w:spacing w:line="480" w:lineRule="auto"/>
        <w:rPr>
          <w:rFonts w:ascii="Times New Roman" w:hAnsi="Times New Roman"/>
          <w:szCs w:val="24"/>
        </w:rPr>
      </w:pPr>
      <w:r w:rsidRPr="00F362C6">
        <w:rPr>
          <w:rFonts w:ascii="Times New Roman" w:hAnsi="Times New Roman"/>
          <w:szCs w:val="24"/>
        </w:rPr>
        <w:t xml:space="preserve">FNS is committed to complying with the E-Government Act, 2002 to promote the use of technology. </w:t>
      </w:r>
      <w:r w:rsidRPr="00F362C6">
        <w:rPr>
          <w:rFonts w:ascii="Times New Roman" w:hAnsi="Times New Roman"/>
          <w:b/>
          <w:szCs w:val="24"/>
        </w:rPr>
        <w:t xml:space="preserve"> </w:t>
      </w:r>
      <w:r w:rsidRPr="00F362C6">
        <w:rPr>
          <w:rFonts w:ascii="Times New Roman" w:hAnsi="Times New Roman"/>
          <w:szCs w:val="24"/>
        </w:rPr>
        <w:t>As such,</w:t>
      </w:r>
      <w:r w:rsidRPr="00F362C6">
        <w:rPr>
          <w:rFonts w:ascii="Times New Roman" w:hAnsi="Times New Roman"/>
          <w:b/>
          <w:szCs w:val="24"/>
        </w:rPr>
        <w:t xml:space="preserve"> </w:t>
      </w:r>
      <w:r w:rsidRPr="00F362C6">
        <w:rPr>
          <w:rFonts w:ascii="Times New Roman" w:hAnsi="Times New Roman"/>
          <w:szCs w:val="24"/>
        </w:rPr>
        <w:t>FNS modified the NUPC database concept of operations to better meet the needs of WIC State agencies.  During the initial database design phase, FNS relied upon State agencies and food manufacturers to manually enter data for each food item which would eventually be used to populate the NUPC database.   This process was later found to be labor intensive and caused numerous inconsistencies in the data.  FNS therefore revised the concept of operations with passage of “The Healthy, Hunger- Free Kids Act of 2010, Public Law No: 111-</w:t>
      </w:r>
      <w:r w:rsidRPr="00F362C6">
        <w:rPr>
          <w:rFonts w:ascii="Times New Roman" w:hAnsi="Times New Roman"/>
          <w:szCs w:val="24"/>
        </w:rPr>
        <w:lastRenderedPageBreak/>
        <w:t>296”</w:t>
      </w:r>
      <w:r>
        <w:rPr>
          <w:rFonts w:ascii="Times New Roman" w:hAnsi="Times New Roman"/>
          <w:szCs w:val="24"/>
        </w:rPr>
        <w:t xml:space="preserve"> by p</w:t>
      </w:r>
      <w:r w:rsidRPr="00F362C6">
        <w:rPr>
          <w:rFonts w:ascii="Times New Roman" w:hAnsi="Times New Roman"/>
          <w:szCs w:val="24"/>
        </w:rPr>
        <w:t xml:space="preserve">rocuring the services of a contractor who </w:t>
      </w:r>
      <w:r>
        <w:rPr>
          <w:rFonts w:ascii="Times New Roman" w:hAnsi="Times New Roman"/>
          <w:szCs w:val="24"/>
        </w:rPr>
        <w:t>serves</w:t>
      </w:r>
      <w:r w:rsidRPr="00F362C6">
        <w:rPr>
          <w:rFonts w:ascii="Times New Roman" w:hAnsi="Times New Roman"/>
          <w:szCs w:val="24"/>
        </w:rPr>
        <w:t xml:space="preserve"> as the single point of entry for all data entering the NUPC database.    This contractor </w:t>
      </w:r>
      <w:r>
        <w:rPr>
          <w:rFonts w:ascii="Times New Roman" w:hAnsi="Times New Roman"/>
          <w:szCs w:val="24"/>
        </w:rPr>
        <w:t xml:space="preserve">is also responsible for </w:t>
      </w:r>
      <w:r w:rsidRPr="00F362C6">
        <w:rPr>
          <w:rFonts w:ascii="Times New Roman" w:hAnsi="Times New Roman"/>
          <w:szCs w:val="24"/>
        </w:rPr>
        <w:t>screening WIC authorized food items against Federal nutritional requirements</w:t>
      </w:r>
      <w:r w:rsidR="00D004D5">
        <w:rPr>
          <w:rFonts w:ascii="Times New Roman" w:hAnsi="Times New Roman"/>
          <w:szCs w:val="24"/>
        </w:rPr>
        <w:t>, ensuring that the data is captured with a high level of accuracy, and preserving data integrity in a standardized format</w:t>
      </w:r>
      <w:r w:rsidRPr="00F362C6">
        <w:rPr>
          <w:rFonts w:ascii="Times New Roman" w:hAnsi="Times New Roman"/>
          <w:szCs w:val="24"/>
        </w:rPr>
        <w:t xml:space="preserve">.  </w:t>
      </w:r>
    </w:p>
    <w:p w:rsidR="00F362C6" w:rsidRDefault="00F362C6" w:rsidP="00F362C6">
      <w:pPr>
        <w:tabs>
          <w:tab w:val="left" w:pos="0"/>
        </w:tabs>
        <w:suppressAutoHyphens/>
        <w:spacing w:line="480" w:lineRule="auto"/>
        <w:rPr>
          <w:rFonts w:ascii="Times New Roman" w:hAnsi="Times New Roman"/>
          <w:szCs w:val="24"/>
        </w:rPr>
      </w:pPr>
    </w:p>
    <w:p w:rsidR="00F362C6" w:rsidRPr="00F362C6" w:rsidRDefault="00F362C6" w:rsidP="00F362C6">
      <w:pPr>
        <w:tabs>
          <w:tab w:val="left" w:pos="0"/>
        </w:tabs>
        <w:suppressAutoHyphens/>
        <w:spacing w:line="480" w:lineRule="auto"/>
        <w:rPr>
          <w:rFonts w:ascii="Times New Roman" w:hAnsi="Times New Roman"/>
          <w:szCs w:val="24"/>
        </w:rPr>
      </w:pPr>
      <w:r>
        <w:rPr>
          <w:rFonts w:ascii="Times New Roman" w:hAnsi="Times New Roman"/>
          <w:szCs w:val="24"/>
        </w:rPr>
        <w:t xml:space="preserve">The </w:t>
      </w:r>
      <w:r w:rsidRPr="00F362C6">
        <w:rPr>
          <w:rFonts w:ascii="Times New Roman" w:hAnsi="Times New Roman"/>
          <w:szCs w:val="24"/>
        </w:rPr>
        <w:t xml:space="preserve">NUPC database </w:t>
      </w:r>
      <w:r>
        <w:rPr>
          <w:rFonts w:ascii="Times New Roman" w:hAnsi="Times New Roman"/>
          <w:szCs w:val="24"/>
        </w:rPr>
        <w:t>automates and streamlines</w:t>
      </w:r>
      <w:r w:rsidRPr="00F362C6">
        <w:rPr>
          <w:rFonts w:ascii="Times New Roman" w:hAnsi="Times New Roman"/>
          <w:szCs w:val="24"/>
        </w:rPr>
        <w:t xml:space="preserve"> the handling of product information for State agencies; </w:t>
      </w:r>
      <w:r>
        <w:rPr>
          <w:rFonts w:ascii="Times New Roman" w:hAnsi="Times New Roman"/>
          <w:szCs w:val="24"/>
        </w:rPr>
        <w:t xml:space="preserve">it allows </w:t>
      </w:r>
      <w:r w:rsidRPr="00F362C6">
        <w:rPr>
          <w:rFonts w:ascii="Times New Roman" w:hAnsi="Times New Roman"/>
          <w:szCs w:val="24"/>
        </w:rPr>
        <w:t xml:space="preserve">for more consistent and complete oversight of WIC approved food items; </w:t>
      </w:r>
      <w:r>
        <w:rPr>
          <w:rFonts w:ascii="Times New Roman" w:hAnsi="Times New Roman"/>
          <w:szCs w:val="24"/>
        </w:rPr>
        <w:t xml:space="preserve">it </w:t>
      </w:r>
      <w:r w:rsidRPr="00F362C6">
        <w:rPr>
          <w:rFonts w:ascii="Times New Roman" w:hAnsi="Times New Roman"/>
          <w:szCs w:val="24"/>
        </w:rPr>
        <w:t>reduce</w:t>
      </w:r>
      <w:r>
        <w:rPr>
          <w:rFonts w:ascii="Times New Roman" w:hAnsi="Times New Roman"/>
          <w:szCs w:val="24"/>
        </w:rPr>
        <w:t>s</w:t>
      </w:r>
      <w:r w:rsidRPr="00F362C6">
        <w:rPr>
          <w:rFonts w:ascii="Times New Roman" w:hAnsi="Times New Roman"/>
          <w:szCs w:val="24"/>
        </w:rPr>
        <w:t xml:space="preserve"> the manual processing </w:t>
      </w:r>
      <w:r>
        <w:rPr>
          <w:rFonts w:ascii="Times New Roman" w:hAnsi="Times New Roman"/>
          <w:szCs w:val="24"/>
        </w:rPr>
        <w:t>previously</w:t>
      </w:r>
      <w:r w:rsidRPr="00F362C6">
        <w:rPr>
          <w:rFonts w:ascii="Times New Roman" w:hAnsi="Times New Roman"/>
          <w:szCs w:val="24"/>
        </w:rPr>
        <w:t xml:space="preserve"> undertaken by State agencies to maintain their authorized products lists; </w:t>
      </w:r>
      <w:r>
        <w:rPr>
          <w:rFonts w:ascii="Times New Roman" w:hAnsi="Times New Roman"/>
          <w:szCs w:val="24"/>
        </w:rPr>
        <w:t xml:space="preserve">it </w:t>
      </w:r>
      <w:r w:rsidRPr="00F362C6">
        <w:rPr>
          <w:rFonts w:ascii="Times New Roman" w:hAnsi="Times New Roman"/>
          <w:szCs w:val="24"/>
        </w:rPr>
        <w:t>standardize</w:t>
      </w:r>
      <w:r>
        <w:rPr>
          <w:rFonts w:ascii="Times New Roman" w:hAnsi="Times New Roman"/>
          <w:szCs w:val="24"/>
        </w:rPr>
        <w:t>s</w:t>
      </w:r>
      <w:r w:rsidRPr="00F362C6">
        <w:rPr>
          <w:rFonts w:ascii="Times New Roman" w:hAnsi="Times New Roman"/>
          <w:szCs w:val="24"/>
        </w:rPr>
        <w:t xml:space="preserve"> the way WIC Authorized Vendors obtain WIC UPC information in an electronic format; and </w:t>
      </w:r>
      <w:r>
        <w:rPr>
          <w:rFonts w:ascii="Times New Roman" w:hAnsi="Times New Roman"/>
          <w:szCs w:val="24"/>
        </w:rPr>
        <w:t xml:space="preserve">it </w:t>
      </w:r>
      <w:r w:rsidRPr="00F362C6">
        <w:rPr>
          <w:rFonts w:ascii="Times New Roman" w:hAnsi="Times New Roman"/>
          <w:szCs w:val="24"/>
        </w:rPr>
        <w:t>make</w:t>
      </w:r>
      <w:r>
        <w:rPr>
          <w:rFonts w:ascii="Times New Roman" w:hAnsi="Times New Roman"/>
          <w:szCs w:val="24"/>
        </w:rPr>
        <w:t>s</w:t>
      </w:r>
      <w:r w:rsidRPr="00F362C6">
        <w:rPr>
          <w:rFonts w:ascii="Times New Roman" w:hAnsi="Times New Roman"/>
          <w:szCs w:val="24"/>
        </w:rPr>
        <w:t xml:space="preserve"> it easier for State agencies to implement EBT processing systems by reducing the need to gather Universal Product Code (UPC) and other product information</w:t>
      </w:r>
      <w:r w:rsidR="00AE3CED">
        <w:rPr>
          <w:rFonts w:ascii="Times New Roman" w:hAnsi="Times New Roman"/>
          <w:szCs w:val="24"/>
        </w:rPr>
        <w:t xml:space="preserve"> from widely divergent sources. </w:t>
      </w:r>
      <w:r w:rsidRPr="00F362C6">
        <w:rPr>
          <w:rFonts w:ascii="Times New Roman" w:hAnsi="Times New Roman"/>
          <w:szCs w:val="24"/>
        </w:rPr>
        <w:t xml:space="preserve">  </w:t>
      </w:r>
    </w:p>
    <w:p w:rsidR="00F362C6" w:rsidRPr="00F362C6" w:rsidRDefault="00F362C6" w:rsidP="00F362C6">
      <w:pPr>
        <w:tabs>
          <w:tab w:val="left" w:pos="0"/>
        </w:tabs>
        <w:suppressAutoHyphens/>
        <w:spacing w:line="480" w:lineRule="auto"/>
        <w:rPr>
          <w:rFonts w:ascii="Times New Roman" w:hAnsi="Times New Roman"/>
          <w:szCs w:val="24"/>
        </w:rPr>
      </w:pPr>
    </w:p>
    <w:p w:rsidR="00BF7378" w:rsidRDefault="00F362C6" w:rsidP="00F362C6">
      <w:pPr>
        <w:tabs>
          <w:tab w:val="left" w:pos="0"/>
        </w:tabs>
        <w:suppressAutoHyphens/>
        <w:spacing w:line="480" w:lineRule="auto"/>
        <w:rPr>
          <w:rFonts w:ascii="Times New Roman" w:hAnsi="Times New Roman"/>
          <w:szCs w:val="24"/>
        </w:rPr>
      </w:pPr>
      <w:r w:rsidRPr="00F362C6">
        <w:rPr>
          <w:rFonts w:ascii="Times New Roman" w:hAnsi="Times New Roman"/>
          <w:szCs w:val="24"/>
        </w:rPr>
        <w:t>Under the revised concept of operations, WIC State agencies</w:t>
      </w:r>
      <w:r w:rsidR="00AE3CED">
        <w:rPr>
          <w:rFonts w:ascii="Times New Roman" w:hAnsi="Times New Roman"/>
          <w:szCs w:val="24"/>
        </w:rPr>
        <w:t xml:space="preserve"> and Food Manufacturers are no longer required </w:t>
      </w:r>
      <w:r w:rsidRPr="00F362C6">
        <w:rPr>
          <w:rFonts w:ascii="Times New Roman" w:hAnsi="Times New Roman"/>
          <w:szCs w:val="24"/>
        </w:rPr>
        <w:t xml:space="preserve">to </w:t>
      </w:r>
      <w:r w:rsidR="00AE3CED">
        <w:rPr>
          <w:rFonts w:ascii="Times New Roman" w:hAnsi="Times New Roman"/>
          <w:szCs w:val="24"/>
        </w:rPr>
        <w:t xml:space="preserve">enter product information manually.  </w:t>
      </w:r>
      <w:r w:rsidR="002B60E7">
        <w:rPr>
          <w:rFonts w:ascii="Times New Roman" w:hAnsi="Times New Roman"/>
          <w:szCs w:val="24"/>
        </w:rPr>
        <w:t xml:space="preserve">Instead, a single </w:t>
      </w:r>
      <w:r w:rsidRPr="00F362C6">
        <w:rPr>
          <w:rFonts w:ascii="Times New Roman" w:hAnsi="Times New Roman"/>
          <w:szCs w:val="24"/>
        </w:rPr>
        <w:t>contractor attempt</w:t>
      </w:r>
      <w:r w:rsidR="002B60E7">
        <w:rPr>
          <w:rFonts w:ascii="Times New Roman" w:hAnsi="Times New Roman"/>
          <w:szCs w:val="24"/>
        </w:rPr>
        <w:t>s</w:t>
      </w:r>
      <w:r w:rsidRPr="00F362C6">
        <w:rPr>
          <w:rFonts w:ascii="Times New Roman" w:hAnsi="Times New Roman"/>
          <w:szCs w:val="24"/>
        </w:rPr>
        <w:t xml:space="preserve"> to obtain any missing information from a </w:t>
      </w:r>
      <w:r w:rsidR="002B60E7">
        <w:rPr>
          <w:rFonts w:ascii="Times New Roman" w:hAnsi="Times New Roman"/>
          <w:szCs w:val="24"/>
        </w:rPr>
        <w:t xml:space="preserve">wide </w:t>
      </w:r>
      <w:r w:rsidRPr="00F362C6">
        <w:rPr>
          <w:rFonts w:ascii="Times New Roman" w:hAnsi="Times New Roman"/>
          <w:szCs w:val="24"/>
        </w:rPr>
        <w:t>variety of sources, to include voluntary participation on the part of food manufacturers</w:t>
      </w:r>
      <w:r>
        <w:rPr>
          <w:rFonts w:ascii="Times New Roman" w:hAnsi="Times New Roman"/>
          <w:szCs w:val="24"/>
        </w:rPr>
        <w:t>, distributors,</w:t>
      </w:r>
      <w:r w:rsidRPr="00F362C6">
        <w:rPr>
          <w:rFonts w:ascii="Times New Roman" w:hAnsi="Times New Roman"/>
          <w:szCs w:val="24"/>
        </w:rPr>
        <w:t xml:space="preserve"> and WIC Authorized Vendors, for subsequent entry into the database.   </w:t>
      </w:r>
      <w:r w:rsidR="00BF7378">
        <w:rPr>
          <w:rFonts w:ascii="Times New Roman" w:hAnsi="Times New Roman"/>
          <w:szCs w:val="24"/>
        </w:rPr>
        <w:t xml:space="preserve">The contractor will ask manufacturers, distributors, and Authorized Vendors to submit all information in electronic format via email. </w:t>
      </w:r>
    </w:p>
    <w:p w:rsidR="00BF7378" w:rsidRDefault="00BF7378" w:rsidP="00F362C6">
      <w:pPr>
        <w:tabs>
          <w:tab w:val="left" w:pos="0"/>
        </w:tabs>
        <w:suppressAutoHyphens/>
        <w:spacing w:line="480" w:lineRule="auto"/>
        <w:rPr>
          <w:rFonts w:ascii="Times New Roman" w:hAnsi="Times New Roman"/>
          <w:szCs w:val="24"/>
        </w:rPr>
      </w:pPr>
    </w:p>
    <w:p w:rsidR="00F362C6" w:rsidRPr="00F362C6" w:rsidRDefault="00392E66" w:rsidP="00F362C6">
      <w:pPr>
        <w:tabs>
          <w:tab w:val="left" w:pos="0"/>
        </w:tabs>
        <w:suppressAutoHyphens/>
        <w:spacing w:line="480" w:lineRule="auto"/>
        <w:rPr>
          <w:rFonts w:ascii="Times New Roman" w:hAnsi="Times New Roman"/>
          <w:szCs w:val="24"/>
        </w:rPr>
      </w:pPr>
      <w:r>
        <w:rPr>
          <w:rFonts w:ascii="Times New Roman" w:hAnsi="Times New Roman"/>
          <w:szCs w:val="24"/>
        </w:rPr>
        <w:t>All</w:t>
      </w:r>
      <w:r w:rsidRPr="00F362C6">
        <w:rPr>
          <w:rFonts w:ascii="Times New Roman" w:hAnsi="Times New Roman"/>
          <w:szCs w:val="24"/>
        </w:rPr>
        <w:t xml:space="preserve"> </w:t>
      </w:r>
      <w:r w:rsidR="00F362C6" w:rsidRPr="00F362C6">
        <w:rPr>
          <w:rFonts w:ascii="Times New Roman" w:hAnsi="Times New Roman"/>
          <w:szCs w:val="24"/>
        </w:rPr>
        <w:t xml:space="preserve">WIC State agencies will then have electronic access to this information as they </w:t>
      </w:r>
      <w:r w:rsidR="002B60E7">
        <w:rPr>
          <w:rFonts w:ascii="Times New Roman" w:hAnsi="Times New Roman"/>
          <w:szCs w:val="24"/>
        </w:rPr>
        <w:t xml:space="preserve">create or maintain an </w:t>
      </w:r>
      <w:r w:rsidR="002B60E7" w:rsidRPr="0061675E">
        <w:rPr>
          <w:rFonts w:ascii="Times New Roman" w:hAnsi="Times New Roman"/>
          <w:szCs w:val="24"/>
        </w:rPr>
        <w:t>Authorized Product List (APL)</w:t>
      </w:r>
      <w:r w:rsidR="002B60E7">
        <w:rPr>
          <w:rFonts w:ascii="Times New Roman" w:hAnsi="Times New Roman"/>
          <w:szCs w:val="24"/>
        </w:rPr>
        <w:t xml:space="preserve"> which identifies specific food items eligible for redemption in the EBT environment.  </w:t>
      </w:r>
      <w:r w:rsidR="00F362C6" w:rsidRPr="00F362C6">
        <w:rPr>
          <w:rFonts w:ascii="Times New Roman" w:hAnsi="Times New Roman"/>
          <w:szCs w:val="24"/>
        </w:rPr>
        <w:t xml:space="preserve">All products nominated for inclusion in the NUPC </w:t>
      </w:r>
      <w:r w:rsidR="00F362C6" w:rsidRPr="00F362C6">
        <w:rPr>
          <w:rFonts w:ascii="Times New Roman" w:hAnsi="Times New Roman"/>
          <w:szCs w:val="24"/>
        </w:rPr>
        <w:lastRenderedPageBreak/>
        <w:t>database will be screened against Federal nutritional standards to ensure the product meets WIC program requirements. The NUPC database application also allow</w:t>
      </w:r>
      <w:r w:rsidR="00F362C6">
        <w:rPr>
          <w:rFonts w:ascii="Times New Roman" w:hAnsi="Times New Roman"/>
          <w:szCs w:val="24"/>
        </w:rPr>
        <w:t>s</w:t>
      </w:r>
      <w:r w:rsidR="00F362C6" w:rsidRPr="00F362C6">
        <w:rPr>
          <w:rFonts w:ascii="Times New Roman" w:hAnsi="Times New Roman"/>
          <w:szCs w:val="24"/>
        </w:rPr>
        <w:t xml:space="preserve"> State agencies to manage their approved WIC items, associated UPC’s, and their APL in one central location using an internet based interface.</w:t>
      </w:r>
    </w:p>
    <w:p w:rsidR="002B60E7" w:rsidRDefault="002B60E7" w:rsidP="00F362C6">
      <w:pPr>
        <w:tabs>
          <w:tab w:val="left" w:pos="0"/>
        </w:tabs>
        <w:suppressAutoHyphens/>
        <w:spacing w:line="480" w:lineRule="auto"/>
        <w:rPr>
          <w:rFonts w:ascii="Times New Roman" w:hAnsi="Times New Roman"/>
          <w:szCs w:val="24"/>
        </w:rPr>
      </w:pPr>
    </w:p>
    <w:p w:rsidR="00F362C6" w:rsidRPr="00F362C6" w:rsidRDefault="00F362C6" w:rsidP="00F362C6">
      <w:pPr>
        <w:tabs>
          <w:tab w:val="left" w:pos="0"/>
        </w:tabs>
        <w:suppressAutoHyphens/>
        <w:spacing w:line="480" w:lineRule="auto"/>
        <w:rPr>
          <w:rFonts w:ascii="Times New Roman" w:hAnsi="Times New Roman"/>
          <w:szCs w:val="24"/>
        </w:rPr>
      </w:pPr>
      <w:r w:rsidRPr="00F362C6">
        <w:rPr>
          <w:rFonts w:ascii="Times New Roman" w:hAnsi="Times New Roman"/>
          <w:szCs w:val="24"/>
        </w:rPr>
        <w:t xml:space="preserve">The product information which is stored in the NUPC database is accessible via the internet which allows for the transfer of information between computers. </w:t>
      </w:r>
    </w:p>
    <w:p w:rsidR="005A3F80" w:rsidRPr="002568E6" w:rsidRDefault="005A3F80" w:rsidP="00F362C6">
      <w:pPr>
        <w:tabs>
          <w:tab w:val="left" w:pos="0"/>
        </w:tabs>
        <w:suppressAutoHyphens/>
        <w:spacing w:line="480" w:lineRule="auto"/>
        <w:rPr>
          <w:rFonts w:ascii="Times New Roman" w:hAnsi="Times New Roman"/>
          <w:szCs w:val="24"/>
        </w:rPr>
      </w:pPr>
    </w:p>
    <w:p w:rsidR="00A308DB" w:rsidRPr="002568E6" w:rsidRDefault="005A3F80" w:rsidP="0062567E">
      <w:pPr>
        <w:pStyle w:val="Heading1"/>
        <w:rPr>
          <w:szCs w:val="24"/>
        </w:rPr>
      </w:pPr>
      <w:bookmarkStart w:id="12" w:name="_Toc401831360"/>
      <w:bookmarkStart w:id="13" w:name="_Toc417487005"/>
      <w:r w:rsidRPr="002568E6">
        <w:rPr>
          <w:szCs w:val="24"/>
        </w:rPr>
        <w:t xml:space="preserve">A4.  </w:t>
      </w:r>
      <w:proofErr w:type="gramStart"/>
      <w:r w:rsidR="002568E6">
        <w:rPr>
          <w:szCs w:val="24"/>
        </w:rPr>
        <w:t>E</w:t>
      </w:r>
      <w:r w:rsidRPr="002568E6">
        <w:rPr>
          <w:szCs w:val="24"/>
        </w:rPr>
        <w:t>fforts to identify duplication.</w:t>
      </w:r>
      <w:bookmarkEnd w:id="12"/>
      <w:bookmarkEnd w:id="13"/>
      <w:proofErr w:type="gramEnd"/>
      <w:r w:rsidRPr="002568E6">
        <w:rPr>
          <w:szCs w:val="24"/>
        </w:rPr>
        <w:t xml:space="preserve"> </w:t>
      </w:r>
    </w:p>
    <w:p w:rsidR="003333DF" w:rsidRPr="002568E6" w:rsidRDefault="003333DF">
      <w:pPr>
        <w:tabs>
          <w:tab w:val="left" w:pos="0"/>
        </w:tabs>
        <w:suppressAutoHyphens/>
        <w:rPr>
          <w:rFonts w:ascii="Times New Roman" w:hAnsi="Times New Roman"/>
          <w:szCs w:val="24"/>
        </w:rPr>
      </w:pPr>
    </w:p>
    <w:p w:rsidR="003333DF" w:rsidRPr="002568E6" w:rsidRDefault="003333DF">
      <w:pPr>
        <w:tabs>
          <w:tab w:val="left" w:pos="0"/>
        </w:tabs>
        <w:suppressAutoHyphens/>
        <w:rPr>
          <w:rFonts w:ascii="Times New Roman" w:hAnsi="Times New Roman"/>
          <w:szCs w:val="24"/>
        </w:rPr>
      </w:pPr>
      <w:r w:rsidRPr="002568E6">
        <w:rPr>
          <w:rFonts w:ascii="Times New Roman" w:hAnsi="Times New Roman"/>
          <w:b/>
          <w:szCs w:val="24"/>
        </w:rPr>
        <w:t>Descr</w:t>
      </w:r>
      <w:r w:rsidR="00751946" w:rsidRPr="002568E6">
        <w:rPr>
          <w:rFonts w:ascii="Times New Roman" w:hAnsi="Times New Roman"/>
          <w:b/>
          <w:szCs w:val="24"/>
        </w:rPr>
        <w:t>ibe efforts to identify duplica</w:t>
      </w:r>
      <w:r w:rsidRPr="002568E6">
        <w:rPr>
          <w:rFonts w:ascii="Times New Roman" w:hAnsi="Times New Roman"/>
          <w:b/>
          <w:szCs w:val="24"/>
        </w:rPr>
        <w:t>tion.</w:t>
      </w:r>
      <w:r w:rsidR="00751946" w:rsidRPr="002568E6">
        <w:rPr>
          <w:rFonts w:ascii="Times New Roman" w:hAnsi="Times New Roman"/>
          <w:b/>
          <w:szCs w:val="24"/>
        </w:rPr>
        <w:t xml:space="preserve">  Show specifically why any similar information already avail</w:t>
      </w:r>
      <w:r w:rsidRPr="002568E6">
        <w:rPr>
          <w:rFonts w:ascii="Times New Roman" w:hAnsi="Times New Roman"/>
          <w:b/>
          <w:szCs w:val="24"/>
        </w:rPr>
        <w:t xml:space="preserve">able cannot be used or </w:t>
      </w:r>
      <w:r w:rsidR="00751946" w:rsidRPr="002568E6">
        <w:rPr>
          <w:rFonts w:ascii="Times New Roman" w:hAnsi="Times New Roman"/>
          <w:b/>
          <w:szCs w:val="24"/>
        </w:rPr>
        <w:t>modified for use for the purposes descri</w:t>
      </w:r>
      <w:r w:rsidRPr="002568E6">
        <w:rPr>
          <w:rFonts w:ascii="Times New Roman" w:hAnsi="Times New Roman"/>
          <w:b/>
          <w:szCs w:val="24"/>
        </w:rPr>
        <w:t>bed in Question 2.</w:t>
      </w:r>
    </w:p>
    <w:p w:rsidR="009F7E1A" w:rsidRPr="002568E6" w:rsidRDefault="009F7E1A" w:rsidP="009F7E1A">
      <w:pPr>
        <w:tabs>
          <w:tab w:val="left" w:pos="-720"/>
        </w:tabs>
        <w:suppressAutoHyphens/>
        <w:rPr>
          <w:rFonts w:ascii="Times New Roman" w:hAnsi="Times New Roman"/>
          <w:szCs w:val="24"/>
        </w:rPr>
      </w:pPr>
    </w:p>
    <w:p w:rsidR="00EB12E0" w:rsidRPr="00EB12E0" w:rsidRDefault="00EB12E0" w:rsidP="00EB12E0">
      <w:pPr>
        <w:tabs>
          <w:tab w:val="left" w:pos="-720"/>
        </w:tabs>
        <w:suppressAutoHyphens/>
        <w:spacing w:line="480" w:lineRule="auto"/>
        <w:rPr>
          <w:rFonts w:ascii="Times New Roman" w:hAnsi="Times New Roman"/>
          <w:szCs w:val="24"/>
        </w:rPr>
      </w:pPr>
      <w:r w:rsidRPr="00EB12E0">
        <w:rPr>
          <w:rFonts w:ascii="Times New Roman" w:hAnsi="Times New Roman"/>
          <w:szCs w:val="24"/>
        </w:rPr>
        <w:t>There is no similar data collection available.  Every effort has been made to avoid duplication. FNS has reviewed USDA reporting requirements, state administrative agency reporting requirements, and special studies by other government and private agencies.</w:t>
      </w:r>
    </w:p>
    <w:p w:rsidR="00E11A38" w:rsidRPr="002568E6" w:rsidRDefault="00E11A38" w:rsidP="009F7E1A">
      <w:pPr>
        <w:tabs>
          <w:tab w:val="left" w:pos="-720"/>
        </w:tabs>
        <w:suppressAutoHyphens/>
        <w:spacing w:line="480" w:lineRule="auto"/>
        <w:rPr>
          <w:rFonts w:ascii="Times New Roman" w:hAnsi="Times New Roman"/>
          <w:szCs w:val="24"/>
        </w:rPr>
      </w:pPr>
    </w:p>
    <w:p w:rsidR="00A308DB" w:rsidRPr="002568E6" w:rsidRDefault="005A3F80" w:rsidP="0062567E">
      <w:pPr>
        <w:pStyle w:val="Heading1"/>
        <w:rPr>
          <w:szCs w:val="24"/>
        </w:rPr>
      </w:pPr>
      <w:bookmarkStart w:id="14" w:name="_Toc401831361"/>
      <w:bookmarkStart w:id="15" w:name="_Toc417487006"/>
      <w:r w:rsidRPr="002568E6">
        <w:rPr>
          <w:szCs w:val="24"/>
        </w:rPr>
        <w:t xml:space="preserve">A5.  </w:t>
      </w:r>
      <w:proofErr w:type="gramStart"/>
      <w:r w:rsidRPr="002568E6">
        <w:rPr>
          <w:szCs w:val="24"/>
        </w:rPr>
        <w:t>Impacts on small businesses or other small entities.</w:t>
      </w:r>
      <w:bookmarkEnd w:id="14"/>
      <w:bookmarkEnd w:id="15"/>
      <w:proofErr w:type="gramEnd"/>
      <w:r w:rsidRPr="002568E6">
        <w:rPr>
          <w:szCs w:val="24"/>
        </w:rPr>
        <w:t xml:space="preserve">  </w:t>
      </w:r>
    </w:p>
    <w:p w:rsidR="003333DF" w:rsidRPr="002568E6" w:rsidRDefault="003333DF">
      <w:pPr>
        <w:tabs>
          <w:tab w:val="left" w:pos="0"/>
        </w:tabs>
        <w:suppressAutoHyphens/>
        <w:rPr>
          <w:rFonts w:ascii="Times New Roman" w:hAnsi="Times New Roman"/>
          <w:szCs w:val="24"/>
        </w:rPr>
      </w:pPr>
    </w:p>
    <w:p w:rsidR="003333DF" w:rsidRPr="002568E6" w:rsidRDefault="003333DF">
      <w:pPr>
        <w:tabs>
          <w:tab w:val="left" w:pos="0"/>
        </w:tabs>
        <w:suppressAutoHyphens/>
        <w:rPr>
          <w:rFonts w:ascii="Times New Roman" w:hAnsi="Times New Roman"/>
          <w:szCs w:val="24"/>
        </w:rPr>
      </w:pPr>
      <w:r w:rsidRPr="002568E6">
        <w:rPr>
          <w:rFonts w:ascii="Times New Roman" w:hAnsi="Times New Roman"/>
          <w:b/>
          <w:szCs w:val="24"/>
        </w:rPr>
        <w:t>If t</w:t>
      </w:r>
      <w:r w:rsidR="006E4B7F" w:rsidRPr="002568E6">
        <w:rPr>
          <w:rFonts w:ascii="Times New Roman" w:hAnsi="Times New Roman"/>
          <w:b/>
          <w:szCs w:val="24"/>
        </w:rPr>
        <w:t>he collection of information im</w:t>
      </w:r>
      <w:r w:rsidRPr="002568E6">
        <w:rPr>
          <w:rFonts w:ascii="Times New Roman" w:hAnsi="Times New Roman"/>
          <w:b/>
          <w:szCs w:val="24"/>
        </w:rPr>
        <w:t>pacts small businesses or other small entities (Item 5 of OMB Form 83-I), de</w:t>
      </w:r>
      <w:r w:rsidR="006E4B7F" w:rsidRPr="002568E6">
        <w:rPr>
          <w:rFonts w:ascii="Times New Roman" w:hAnsi="Times New Roman"/>
          <w:b/>
          <w:szCs w:val="24"/>
        </w:rPr>
        <w:t>scribe any methods used to mini</w:t>
      </w:r>
      <w:r w:rsidRPr="002568E6">
        <w:rPr>
          <w:rFonts w:ascii="Times New Roman" w:hAnsi="Times New Roman"/>
          <w:b/>
          <w:szCs w:val="24"/>
        </w:rPr>
        <w:t>mize burden.</w:t>
      </w:r>
    </w:p>
    <w:p w:rsidR="00A308DB" w:rsidRPr="002568E6" w:rsidRDefault="00A308DB">
      <w:pPr>
        <w:tabs>
          <w:tab w:val="left" w:pos="0"/>
        </w:tabs>
        <w:suppressAutoHyphens/>
        <w:rPr>
          <w:rFonts w:ascii="Times New Roman" w:hAnsi="Times New Roman"/>
          <w:szCs w:val="24"/>
        </w:rPr>
      </w:pPr>
    </w:p>
    <w:p w:rsidR="00084FBB" w:rsidRPr="00084FBB" w:rsidRDefault="00084FBB" w:rsidP="00084FBB">
      <w:pPr>
        <w:tabs>
          <w:tab w:val="left" w:pos="-720"/>
        </w:tabs>
        <w:suppressAutoHyphens/>
        <w:spacing w:line="480" w:lineRule="auto"/>
        <w:rPr>
          <w:rFonts w:ascii="Times New Roman" w:hAnsi="Times New Roman"/>
          <w:szCs w:val="24"/>
        </w:rPr>
      </w:pPr>
      <w:r w:rsidRPr="00084FBB">
        <w:rPr>
          <w:rFonts w:ascii="Times New Roman" w:hAnsi="Times New Roman"/>
          <w:szCs w:val="24"/>
        </w:rPr>
        <w:t xml:space="preserve">FNS has determined that the requirements for this information collection do not adversely impact small businesses or other small entities.  Information being requested has been held to the minimum required for the intended use and small business participation is strictly voluntary.  FNS estimates that seventeen percent of respondents are small entities, approximately </w:t>
      </w:r>
      <w:r w:rsidR="00513FD7">
        <w:rPr>
          <w:rFonts w:ascii="Times New Roman" w:hAnsi="Times New Roman"/>
          <w:szCs w:val="24"/>
        </w:rPr>
        <w:t xml:space="preserve">61 </w:t>
      </w:r>
      <w:r w:rsidRPr="00084FBB">
        <w:rPr>
          <w:rFonts w:ascii="Times New Roman" w:hAnsi="Times New Roman"/>
          <w:szCs w:val="24"/>
        </w:rPr>
        <w:t>respondents</w:t>
      </w:r>
      <w:r w:rsidR="00D004D5">
        <w:rPr>
          <w:rFonts w:ascii="Times New Roman" w:hAnsi="Times New Roman"/>
          <w:szCs w:val="24"/>
        </w:rPr>
        <w:t xml:space="preserve"> (41 food manufacturers and distributors and 20 authorized vendors)</w:t>
      </w:r>
      <w:r w:rsidRPr="00084FBB">
        <w:rPr>
          <w:rFonts w:ascii="Times New Roman" w:hAnsi="Times New Roman"/>
          <w:szCs w:val="24"/>
        </w:rPr>
        <w:t xml:space="preserve">.  </w:t>
      </w:r>
    </w:p>
    <w:p w:rsidR="00E11A38" w:rsidRPr="002568E6" w:rsidRDefault="00E11A38" w:rsidP="009F7E1A">
      <w:pPr>
        <w:tabs>
          <w:tab w:val="left" w:pos="-720"/>
        </w:tabs>
        <w:suppressAutoHyphens/>
        <w:spacing w:line="480" w:lineRule="auto"/>
        <w:rPr>
          <w:rFonts w:ascii="Times New Roman" w:hAnsi="Times New Roman"/>
          <w:spacing w:val="-3"/>
          <w:szCs w:val="24"/>
        </w:rPr>
      </w:pPr>
    </w:p>
    <w:p w:rsidR="00A308DB" w:rsidRPr="002568E6" w:rsidRDefault="005A3F80" w:rsidP="0062567E">
      <w:pPr>
        <w:pStyle w:val="Heading1"/>
        <w:rPr>
          <w:szCs w:val="24"/>
        </w:rPr>
      </w:pPr>
      <w:bookmarkStart w:id="16" w:name="_Toc401831362"/>
      <w:bookmarkStart w:id="17" w:name="_Toc417487007"/>
      <w:r w:rsidRPr="0061675E">
        <w:rPr>
          <w:szCs w:val="24"/>
        </w:rPr>
        <w:lastRenderedPageBreak/>
        <w:t xml:space="preserve">A6.  </w:t>
      </w:r>
      <w:proofErr w:type="gramStart"/>
      <w:r w:rsidRPr="0061675E">
        <w:rPr>
          <w:szCs w:val="24"/>
        </w:rPr>
        <w:t xml:space="preserve">Consequences </w:t>
      </w:r>
      <w:r w:rsidR="00826253" w:rsidRPr="0061675E">
        <w:rPr>
          <w:szCs w:val="24"/>
        </w:rPr>
        <w:t xml:space="preserve">of collecting the </w:t>
      </w:r>
      <w:r w:rsidR="00DA0E06" w:rsidRPr="0061675E">
        <w:rPr>
          <w:szCs w:val="24"/>
        </w:rPr>
        <w:t>i</w:t>
      </w:r>
      <w:r w:rsidR="00826253" w:rsidRPr="0061675E">
        <w:rPr>
          <w:szCs w:val="24"/>
        </w:rPr>
        <w:t xml:space="preserve">nformation </w:t>
      </w:r>
      <w:r w:rsidRPr="0061675E">
        <w:rPr>
          <w:szCs w:val="24"/>
        </w:rPr>
        <w:t>less frequently.</w:t>
      </w:r>
      <w:bookmarkEnd w:id="16"/>
      <w:bookmarkEnd w:id="17"/>
      <w:proofErr w:type="gramEnd"/>
      <w:r w:rsidRPr="002568E6">
        <w:rPr>
          <w:szCs w:val="24"/>
        </w:rPr>
        <w:t xml:space="preserve">  </w:t>
      </w:r>
    </w:p>
    <w:p w:rsidR="003333DF" w:rsidRPr="002568E6" w:rsidRDefault="003333DF" w:rsidP="005C04BB">
      <w:pPr>
        <w:tabs>
          <w:tab w:val="left" w:pos="0"/>
        </w:tabs>
        <w:suppressAutoHyphens/>
        <w:rPr>
          <w:rFonts w:ascii="Times New Roman" w:hAnsi="Times New Roman"/>
          <w:szCs w:val="24"/>
        </w:rPr>
      </w:pPr>
    </w:p>
    <w:p w:rsidR="003333DF" w:rsidRPr="002568E6" w:rsidRDefault="003333DF" w:rsidP="0062567E">
      <w:pPr>
        <w:rPr>
          <w:rFonts w:ascii="Times New Roman" w:hAnsi="Times New Roman"/>
          <w:b/>
          <w:szCs w:val="24"/>
        </w:rPr>
      </w:pPr>
      <w:r w:rsidRPr="002568E6">
        <w:rPr>
          <w:rFonts w:ascii="Times New Roman" w:hAnsi="Times New Roman"/>
          <w:b/>
          <w:szCs w:val="24"/>
        </w:rPr>
        <w:t>Describe the consequence to Federal program or policy activities if the collect</w:t>
      </w:r>
      <w:r w:rsidR="00E315C8" w:rsidRPr="002568E6">
        <w:rPr>
          <w:rFonts w:ascii="Times New Roman" w:hAnsi="Times New Roman"/>
          <w:b/>
          <w:szCs w:val="24"/>
        </w:rPr>
        <w:t>ion is not conducted, or is conducted less frequent</w:t>
      </w:r>
      <w:r w:rsidRPr="002568E6">
        <w:rPr>
          <w:rFonts w:ascii="Times New Roman" w:hAnsi="Times New Roman"/>
          <w:b/>
          <w:szCs w:val="24"/>
        </w:rPr>
        <w:t>ly, as well as any technical or legal obstacles to reducing burden.</w:t>
      </w:r>
    </w:p>
    <w:p w:rsidR="00E11A38" w:rsidRPr="002568E6" w:rsidRDefault="00E11A38" w:rsidP="00E11A38">
      <w:pPr>
        <w:tabs>
          <w:tab w:val="left" w:pos="-720"/>
        </w:tabs>
        <w:suppressAutoHyphens/>
        <w:rPr>
          <w:rFonts w:ascii="Times New Roman" w:hAnsi="Times New Roman"/>
          <w:szCs w:val="24"/>
        </w:rPr>
      </w:pPr>
    </w:p>
    <w:p w:rsidR="00BC03DC" w:rsidRDefault="00BC03DC" w:rsidP="0061675E">
      <w:pPr>
        <w:tabs>
          <w:tab w:val="left" w:pos="-720"/>
        </w:tabs>
        <w:suppressAutoHyphens/>
        <w:spacing w:line="480" w:lineRule="auto"/>
        <w:rPr>
          <w:rFonts w:ascii="Times New Roman" w:hAnsi="Times New Roman"/>
          <w:szCs w:val="24"/>
        </w:rPr>
      </w:pPr>
      <w:r>
        <w:rPr>
          <w:rFonts w:ascii="Times New Roman" w:hAnsi="Times New Roman"/>
          <w:szCs w:val="24"/>
        </w:rPr>
        <w:t xml:space="preserve">This collection is conducted on an as needed basis.   Manufacturers, distributors, and Authorized Vendors are asked to provide information on a voluntary basis whenever a WIC State agency authorizes additional food products for redemption. </w:t>
      </w:r>
    </w:p>
    <w:p w:rsidR="00E11A38" w:rsidRPr="002568E6" w:rsidRDefault="00E11A38" w:rsidP="00E11A38">
      <w:pPr>
        <w:tabs>
          <w:tab w:val="left" w:pos="-720"/>
        </w:tabs>
        <w:suppressAutoHyphens/>
        <w:spacing w:line="480" w:lineRule="auto"/>
        <w:rPr>
          <w:rFonts w:ascii="Times New Roman" w:hAnsi="Times New Roman"/>
          <w:szCs w:val="24"/>
        </w:rPr>
      </w:pPr>
    </w:p>
    <w:p w:rsidR="00A308DB" w:rsidRPr="002568E6" w:rsidRDefault="00213436" w:rsidP="0062567E">
      <w:pPr>
        <w:pStyle w:val="Heading1"/>
        <w:rPr>
          <w:szCs w:val="24"/>
        </w:rPr>
      </w:pPr>
      <w:bookmarkStart w:id="18" w:name="_Toc401831363"/>
      <w:bookmarkStart w:id="19" w:name="_Toc417487008"/>
      <w:r w:rsidRPr="002568E6">
        <w:rPr>
          <w:szCs w:val="24"/>
        </w:rPr>
        <w:t xml:space="preserve">A7.  </w:t>
      </w:r>
      <w:proofErr w:type="gramStart"/>
      <w:r w:rsidR="00A37C87" w:rsidRPr="002568E6">
        <w:rPr>
          <w:szCs w:val="24"/>
        </w:rPr>
        <w:t>Special c</w:t>
      </w:r>
      <w:r w:rsidRPr="002568E6">
        <w:rPr>
          <w:szCs w:val="24"/>
        </w:rPr>
        <w:t xml:space="preserve">ircumstances </w:t>
      </w:r>
      <w:r w:rsidR="00A37C87" w:rsidRPr="002568E6">
        <w:rPr>
          <w:szCs w:val="24"/>
        </w:rPr>
        <w:t>relating to the Guidelines of</w:t>
      </w:r>
      <w:r w:rsidRPr="002568E6">
        <w:rPr>
          <w:szCs w:val="24"/>
        </w:rPr>
        <w:t xml:space="preserve"> 5 CFR 1320.</w:t>
      </w:r>
      <w:r w:rsidR="003C6BDD" w:rsidRPr="002568E6">
        <w:rPr>
          <w:szCs w:val="24"/>
        </w:rPr>
        <w:t>5</w:t>
      </w:r>
      <w:r w:rsidRPr="002568E6">
        <w:rPr>
          <w:szCs w:val="24"/>
        </w:rPr>
        <w:t>.</w:t>
      </w:r>
      <w:bookmarkEnd w:id="18"/>
      <w:bookmarkEnd w:id="19"/>
      <w:proofErr w:type="gramEnd"/>
      <w:r w:rsidRPr="002568E6">
        <w:rPr>
          <w:szCs w:val="24"/>
        </w:rPr>
        <w:t xml:space="preserve">  </w:t>
      </w:r>
    </w:p>
    <w:p w:rsidR="00A308DB" w:rsidRPr="002568E6" w:rsidRDefault="00A308DB" w:rsidP="00213436">
      <w:pPr>
        <w:tabs>
          <w:tab w:val="left" w:pos="0"/>
        </w:tabs>
        <w:suppressAutoHyphens/>
        <w:rPr>
          <w:rFonts w:ascii="Times New Roman" w:hAnsi="Times New Roman"/>
          <w:szCs w:val="24"/>
        </w:rPr>
      </w:pPr>
    </w:p>
    <w:p w:rsidR="003333DF" w:rsidRPr="002568E6" w:rsidRDefault="003333DF" w:rsidP="0062567E">
      <w:pPr>
        <w:widowControl/>
        <w:rPr>
          <w:rFonts w:ascii="Times New Roman" w:hAnsi="Times New Roman"/>
          <w:b/>
          <w:szCs w:val="24"/>
        </w:rPr>
      </w:pPr>
      <w:r w:rsidRPr="002568E6">
        <w:rPr>
          <w:rFonts w:ascii="Times New Roman" w:hAnsi="Times New Roman"/>
          <w:b/>
          <w:szCs w:val="24"/>
        </w:rPr>
        <w:t>Explain any special circumstances that woul</w:t>
      </w:r>
      <w:r w:rsidR="00CF7CB1" w:rsidRPr="002568E6">
        <w:rPr>
          <w:rFonts w:ascii="Times New Roman" w:hAnsi="Times New Roman"/>
          <w:b/>
          <w:szCs w:val="24"/>
        </w:rPr>
        <w:t>d cause an information collecti</w:t>
      </w:r>
      <w:r w:rsidRPr="002568E6">
        <w:rPr>
          <w:rFonts w:ascii="Times New Roman" w:hAnsi="Times New Roman"/>
          <w:b/>
          <w:szCs w:val="24"/>
        </w:rPr>
        <w:t>on to</w:t>
      </w:r>
      <w:r w:rsidR="00CF7CB1" w:rsidRPr="002568E6">
        <w:rPr>
          <w:rFonts w:ascii="Times New Roman" w:hAnsi="Times New Roman"/>
          <w:b/>
          <w:szCs w:val="24"/>
        </w:rPr>
        <w:t xml:space="preserve"> be con</w:t>
      </w:r>
      <w:r w:rsidRPr="002568E6">
        <w:rPr>
          <w:rFonts w:ascii="Times New Roman" w:hAnsi="Times New Roman"/>
          <w:b/>
          <w:szCs w:val="24"/>
        </w:rPr>
        <w:t xml:space="preserve">ducted in a manner: </w:t>
      </w:r>
    </w:p>
    <w:p w:rsidR="003333DF" w:rsidRDefault="003333DF" w:rsidP="0062567E">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w:t>
      </w:r>
      <w:r w:rsidR="00CF7CB1" w:rsidRPr="002568E6">
        <w:rPr>
          <w:rFonts w:ascii="Times New Roman" w:hAnsi="Times New Roman"/>
          <w:b/>
          <w:szCs w:val="24"/>
        </w:rPr>
        <w:t>g respondents to report informa</w:t>
      </w:r>
      <w:r w:rsidRPr="002568E6">
        <w:rPr>
          <w:rFonts w:ascii="Times New Roman" w:hAnsi="Times New Roman"/>
          <w:b/>
          <w:szCs w:val="24"/>
        </w:rPr>
        <w:t xml:space="preserve">tion to the agency more often than quarterly; </w:t>
      </w:r>
    </w:p>
    <w:p w:rsidR="0061675E" w:rsidRDefault="0061675E" w:rsidP="0061675E">
      <w:pPr>
        <w:widowControl/>
        <w:tabs>
          <w:tab w:val="left" w:pos="-720"/>
        </w:tabs>
        <w:suppressAutoHyphens/>
        <w:overflowPunct/>
        <w:autoSpaceDE/>
        <w:autoSpaceDN/>
        <w:adjustRightInd/>
        <w:textAlignment w:val="auto"/>
        <w:rPr>
          <w:rFonts w:ascii="Times New Roman" w:hAnsi="Times New Roman"/>
          <w:b/>
          <w:szCs w:val="24"/>
        </w:rPr>
      </w:pPr>
    </w:p>
    <w:p w:rsidR="00BC03DC" w:rsidRPr="00D63214" w:rsidRDefault="00BC03DC" w:rsidP="00BC03DC">
      <w:pPr>
        <w:spacing w:line="480" w:lineRule="auto"/>
        <w:ind w:left="360"/>
        <w:rPr>
          <w:rFonts w:ascii="Times New Roman" w:hAnsi="Times New Roman"/>
          <w:szCs w:val="24"/>
        </w:rPr>
      </w:pPr>
      <w:r w:rsidRPr="00D63214">
        <w:rPr>
          <w:rFonts w:ascii="Times New Roman" w:hAnsi="Times New Roman"/>
          <w:szCs w:val="24"/>
        </w:rPr>
        <w:t xml:space="preserve">This collection is conducted on an as needed basis.   Manufacturers, distributors, and Authorized Vendors are asked to provide information on a voluntary basis whenever a WIC State agency authorizes additional food products for redemption. </w:t>
      </w:r>
    </w:p>
    <w:p w:rsidR="003333DF" w:rsidRPr="002568E6" w:rsidRDefault="003333DF" w:rsidP="0062567E">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w:t>
      </w:r>
      <w:r w:rsidR="008F3F14" w:rsidRPr="002568E6">
        <w:rPr>
          <w:rFonts w:ascii="Times New Roman" w:hAnsi="Times New Roman"/>
          <w:b/>
          <w:szCs w:val="24"/>
        </w:rPr>
        <w:t>g respondents to prepare a writ</w:t>
      </w:r>
      <w:r w:rsidRPr="002568E6">
        <w:rPr>
          <w:rFonts w:ascii="Times New Roman" w:hAnsi="Times New Roman"/>
          <w:b/>
          <w:szCs w:val="24"/>
        </w:rPr>
        <w:t>ten re</w:t>
      </w:r>
      <w:r w:rsidR="008F3F14" w:rsidRPr="002568E6">
        <w:rPr>
          <w:rFonts w:ascii="Times New Roman" w:hAnsi="Times New Roman"/>
          <w:b/>
          <w:szCs w:val="24"/>
        </w:rPr>
        <w:t>sponse to a collection of informa</w:t>
      </w:r>
      <w:r w:rsidRPr="002568E6">
        <w:rPr>
          <w:rFonts w:ascii="Times New Roman" w:hAnsi="Times New Roman"/>
          <w:b/>
          <w:szCs w:val="24"/>
        </w:rPr>
        <w:t xml:space="preserve">tion in fewer than 30 days after receipt of it; </w:t>
      </w:r>
    </w:p>
    <w:p w:rsidR="003333DF" w:rsidRPr="002568E6" w:rsidRDefault="003333DF" w:rsidP="0062567E">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Requiring respondents to submit more than an orig</w:t>
      </w:r>
      <w:r w:rsidR="008F3F14" w:rsidRPr="002568E6">
        <w:rPr>
          <w:rFonts w:ascii="Times New Roman" w:hAnsi="Times New Roman"/>
          <w:b/>
          <w:szCs w:val="24"/>
        </w:rPr>
        <w:t>inal and two copies of any docu</w:t>
      </w:r>
      <w:r w:rsidRPr="002568E6">
        <w:rPr>
          <w:rFonts w:ascii="Times New Roman" w:hAnsi="Times New Roman"/>
          <w:b/>
          <w:szCs w:val="24"/>
        </w:rPr>
        <w:t xml:space="preserve">ment; </w:t>
      </w:r>
    </w:p>
    <w:p w:rsidR="003333DF" w:rsidRPr="002568E6" w:rsidRDefault="003333DF" w:rsidP="0062567E">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w:t>
      </w:r>
      <w:r w:rsidR="008F3F14" w:rsidRPr="002568E6">
        <w:rPr>
          <w:rFonts w:ascii="Times New Roman" w:hAnsi="Times New Roman"/>
          <w:b/>
          <w:szCs w:val="24"/>
        </w:rPr>
        <w:t>uiring respondents to retain re</w:t>
      </w:r>
      <w:r w:rsidRPr="002568E6">
        <w:rPr>
          <w:rFonts w:ascii="Times New Roman" w:hAnsi="Times New Roman"/>
          <w:b/>
          <w:szCs w:val="24"/>
        </w:rPr>
        <w:t>cords, othe</w:t>
      </w:r>
      <w:r w:rsidR="008F3F14" w:rsidRPr="002568E6">
        <w:rPr>
          <w:rFonts w:ascii="Times New Roman" w:hAnsi="Times New Roman"/>
          <w:b/>
          <w:szCs w:val="24"/>
        </w:rPr>
        <w:t>r than health, medical, governm</w:t>
      </w:r>
      <w:r w:rsidRPr="002568E6">
        <w:rPr>
          <w:rFonts w:ascii="Times New Roman" w:hAnsi="Times New Roman"/>
          <w:b/>
          <w:szCs w:val="24"/>
        </w:rPr>
        <w:t>ent contract, grant-in-aid, or tax records for more than three years</w:t>
      </w:r>
      <w:r w:rsidR="008F3F14" w:rsidRPr="002568E6">
        <w:rPr>
          <w:rFonts w:ascii="Times New Roman" w:hAnsi="Times New Roman"/>
          <w:b/>
          <w:szCs w:val="24"/>
        </w:rPr>
        <w:t>;</w:t>
      </w:r>
    </w:p>
    <w:p w:rsidR="003333DF" w:rsidRPr="002568E6" w:rsidRDefault="008F3F14" w:rsidP="0062567E">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In connection with a statistical survey, that is not de</w:t>
      </w:r>
      <w:r w:rsidR="003333DF" w:rsidRPr="002568E6">
        <w:rPr>
          <w:rFonts w:ascii="Times New Roman" w:hAnsi="Times New Roman"/>
          <w:b/>
          <w:szCs w:val="24"/>
        </w:rPr>
        <w:t>s</w:t>
      </w:r>
      <w:r w:rsidRPr="002568E6">
        <w:rPr>
          <w:rFonts w:ascii="Times New Roman" w:hAnsi="Times New Roman"/>
          <w:b/>
          <w:szCs w:val="24"/>
        </w:rPr>
        <w:t>igned to produce valid and reli</w:t>
      </w:r>
      <w:r w:rsidR="003333DF" w:rsidRPr="002568E6">
        <w:rPr>
          <w:rFonts w:ascii="Times New Roman" w:hAnsi="Times New Roman"/>
          <w:b/>
          <w:szCs w:val="24"/>
        </w:rPr>
        <w:t>a</w:t>
      </w:r>
      <w:r w:rsidRPr="002568E6">
        <w:rPr>
          <w:rFonts w:ascii="Times New Roman" w:hAnsi="Times New Roman"/>
          <w:b/>
          <w:szCs w:val="24"/>
        </w:rPr>
        <w:t>ble results that can be generalized to the uni</w:t>
      </w:r>
      <w:r w:rsidR="003333DF" w:rsidRPr="002568E6">
        <w:rPr>
          <w:rFonts w:ascii="Times New Roman" w:hAnsi="Times New Roman"/>
          <w:b/>
          <w:szCs w:val="24"/>
        </w:rPr>
        <w:t xml:space="preserve">verse of study; </w:t>
      </w:r>
    </w:p>
    <w:p w:rsidR="003333DF" w:rsidRPr="002568E6" w:rsidRDefault="008F3F14" w:rsidP="0062567E">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Requiring the use of a statistical data classi</w:t>
      </w:r>
      <w:r w:rsidR="003333DF" w:rsidRPr="002568E6">
        <w:rPr>
          <w:rFonts w:ascii="Times New Roman" w:hAnsi="Times New Roman"/>
          <w:b/>
          <w:szCs w:val="24"/>
        </w:rPr>
        <w:t>fication that has not been</w:t>
      </w:r>
      <w:r w:rsidRPr="002568E6">
        <w:rPr>
          <w:rFonts w:ascii="Times New Roman" w:hAnsi="Times New Roman"/>
          <w:b/>
          <w:szCs w:val="24"/>
        </w:rPr>
        <w:t xml:space="preserve"> reviewed and approved by OMB;</w:t>
      </w:r>
    </w:p>
    <w:p w:rsidR="003333DF" w:rsidRPr="002568E6" w:rsidRDefault="003333DF" w:rsidP="0062567E">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That includ</w:t>
      </w:r>
      <w:r w:rsidR="00383C0A" w:rsidRPr="002568E6">
        <w:rPr>
          <w:rFonts w:ascii="Times New Roman" w:hAnsi="Times New Roman"/>
          <w:b/>
          <w:szCs w:val="24"/>
        </w:rPr>
        <w:t>es a pledge of confidentiality that is not supported by authority established in statute or regulation, that is not supported by dis</w:t>
      </w:r>
      <w:r w:rsidRPr="002568E6">
        <w:rPr>
          <w:rFonts w:ascii="Times New Roman" w:hAnsi="Times New Roman"/>
          <w:b/>
          <w:szCs w:val="24"/>
        </w:rPr>
        <w:t>closure and data security policies that are consistent wi</w:t>
      </w:r>
      <w:r w:rsidR="00383C0A" w:rsidRPr="002568E6">
        <w:rPr>
          <w:rFonts w:ascii="Times New Roman" w:hAnsi="Times New Roman"/>
          <w:b/>
          <w:szCs w:val="24"/>
        </w:rPr>
        <w:t>th the pledge, or which unnecessarily impedes shar</w:t>
      </w:r>
      <w:r w:rsidRPr="002568E6">
        <w:rPr>
          <w:rFonts w:ascii="Times New Roman" w:hAnsi="Times New Roman"/>
          <w:b/>
          <w:szCs w:val="24"/>
        </w:rPr>
        <w:t>ing of d</w:t>
      </w:r>
      <w:r w:rsidR="00383C0A" w:rsidRPr="002568E6">
        <w:rPr>
          <w:rFonts w:ascii="Times New Roman" w:hAnsi="Times New Roman"/>
          <w:b/>
          <w:szCs w:val="24"/>
        </w:rPr>
        <w:t>ata with other agencies for com</w:t>
      </w:r>
      <w:r w:rsidR="00D3753F" w:rsidRPr="002568E6">
        <w:rPr>
          <w:rFonts w:ascii="Times New Roman" w:hAnsi="Times New Roman"/>
          <w:b/>
          <w:szCs w:val="24"/>
        </w:rPr>
        <w:t>patible confiden</w:t>
      </w:r>
      <w:r w:rsidRPr="002568E6">
        <w:rPr>
          <w:rFonts w:ascii="Times New Roman" w:hAnsi="Times New Roman"/>
          <w:b/>
          <w:szCs w:val="24"/>
        </w:rPr>
        <w:t xml:space="preserve">tial use; or </w:t>
      </w:r>
    </w:p>
    <w:p w:rsidR="003333DF" w:rsidRPr="002568E6" w:rsidRDefault="003333DF" w:rsidP="0062567E">
      <w:pPr>
        <w:pStyle w:val="BodyText"/>
        <w:numPr>
          <w:ilvl w:val="0"/>
          <w:numId w:val="19"/>
        </w:numPr>
        <w:rPr>
          <w:b w:val="0"/>
          <w:szCs w:val="24"/>
        </w:rPr>
      </w:pPr>
      <w:r w:rsidRPr="002568E6">
        <w:rPr>
          <w:szCs w:val="24"/>
        </w:rPr>
        <w:t>Requiri</w:t>
      </w:r>
      <w:r w:rsidR="0032533B" w:rsidRPr="002568E6">
        <w:rPr>
          <w:szCs w:val="24"/>
        </w:rPr>
        <w:t>ng respondents to submit propri</w:t>
      </w:r>
      <w:r w:rsidRPr="002568E6">
        <w:rPr>
          <w:szCs w:val="24"/>
        </w:rPr>
        <w:t>etary trade secret, or other confidential informat</w:t>
      </w:r>
      <w:r w:rsidR="0032533B" w:rsidRPr="002568E6">
        <w:rPr>
          <w:szCs w:val="24"/>
        </w:rPr>
        <w:t>ion unless the agency can demon</w:t>
      </w:r>
      <w:r w:rsidRPr="002568E6">
        <w:rPr>
          <w:szCs w:val="24"/>
        </w:rPr>
        <w:t>strate that it has instituted procedures to protect the information's confidentiali</w:t>
      </w:r>
      <w:r w:rsidR="0032533B" w:rsidRPr="002568E6">
        <w:rPr>
          <w:szCs w:val="24"/>
        </w:rPr>
        <w:t>ty to the extent permit</w:t>
      </w:r>
      <w:r w:rsidRPr="002568E6">
        <w:rPr>
          <w:szCs w:val="24"/>
        </w:rPr>
        <w:t>ted by law.</w:t>
      </w:r>
    </w:p>
    <w:p w:rsidR="003333DF" w:rsidRPr="002568E6" w:rsidRDefault="003333DF" w:rsidP="00213436">
      <w:pPr>
        <w:tabs>
          <w:tab w:val="left" w:pos="0"/>
        </w:tabs>
        <w:suppressAutoHyphens/>
        <w:rPr>
          <w:rFonts w:ascii="Times New Roman" w:hAnsi="Times New Roman"/>
          <w:szCs w:val="24"/>
        </w:rPr>
      </w:pPr>
    </w:p>
    <w:p w:rsidR="00E11A38" w:rsidRPr="002568E6" w:rsidRDefault="00E11A38" w:rsidP="00E11A38">
      <w:pPr>
        <w:tabs>
          <w:tab w:val="left" w:pos="-720"/>
        </w:tabs>
        <w:suppressAutoHyphens/>
        <w:rPr>
          <w:rFonts w:ascii="Times New Roman" w:hAnsi="Times New Roman"/>
          <w:szCs w:val="24"/>
        </w:rPr>
      </w:pPr>
    </w:p>
    <w:p w:rsidR="0061675E" w:rsidRPr="0061675E" w:rsidRDefault="0061675E" w:rsidP="0061675E">
      <w:pPr>
        <w:tabs>
          <w:tab w:val="left" w:pos="0"/>
        </w:tabs>
        <w:suppressAutoHyphens/>
        <w:spacing w:line="480" w:lineRule="auto"/>
        <w:rPr>
          <w:rFonts w:ascii="Times New Roman" w:hAnsi="Times New Roman"/>
          <w:szCs w:val="24"/>
        </w:rPr>
      </w:pPr>
      <w:r w:rsidRPr="0061675E">
        <w:rPr>
          <w:rFonts w:ascii="Times New Roman" w:hAnsi="Times New Roman"/>
          <w:szCs w:val="24"/>
        </w:rPr>
        <w:t xml:space="preserve">There are no other special circumstances.  The collection of information is conducted in a </w:t>
      </w:r>
      <w:r w:rsidRPr="0061675E">
        <w:rPr>
          <w:rFonts w:ascii="Times New Roman" w:hAnsi="Times New Roman"/>
          <w:szCs w:val="24"/>
        </w:rPr>
        <w:lastRenderedPageBreak/>
        <w:t>manner consistent with the guidelines in 5 CFR 1320.5.</w:t>
      </w:r>
    </w:p>
    <w:p w:rsidR="00BE0B08" w:rsidRPr="002568E6" w:rsidRDefault="00BE0B08" w:rsidP="00BE0B08">
      <w:pPr>
        <w:tabs>
          <w:tab w:val="left" w:pos="0"/>
        </w:tabs>
        <w:suppressAutoHyphens/>
        <w:rPr>
          <w:rFonts w:ascii="Times New Roman" w:hAnsi="Times New Roman"/>
          <w:szCs w:val="24"/>
        </w:rPr>
      </w:pPr>
    </w:p>
    <w:p w:rsidR="00BE0B08" w:rsidRPr="002568E6" w:rsidRDefault="00BE0B08" w:rsidP="0062567E">
      <w:pPr>
        <w:pStyle w:val="Heading1"/>
        <w:rPr>
          <w:szCs w:val="24"/>
        </w:rPr>
      </w:pPr>
      <w:bookmarkStart w:id="20" w:name="_Toc401831364"/>
      <w:bookmarkStart w:id="21" w:name="_Toc417487009"/>
      <w:r w:rsidRPr="002568E6">
        <w:rPr>
          <w:szCs w:val="24"/>
        </w:rPr>
        <w:t xml:space="preserve">A8.  </w:t>
      </w:r>
      <w:proofErr w:type="gramStart"/>
      <w:r w:rsidR="005917B8" w:rsidRPr="002568E6">
        <w:rPr>
          <w:szCs w:val="24"/>
        </w:rPr>
        <w:t xml:space="preserve">Comments to the Federal Register Notice and efforts </w:t>
      </w:r>
      <w:r w:rsidR="002568E6">
        <w:rPr>
          <w:szCs w:val="24"/>
        </w:rPr>
        <w:t xml:space="preserve">for </w:t>
      </w:r>
      <w:r w:rsidR="005917B8" w:rsidRPr="002568E6">
        <w:rPr>
          <w:szCs w:val="24"/>
        </w:rPr>
        <w:t>consult</w:t>
      </w:r>
      <w:r w:rsidR="002568E6">
        <w:rPr>
          <w:szCs w:val="24"/>
        </w:rPr>
        <w:t>ation</w:t>
      </w:r>
      <w:r w:rsidR="005917B8" w:rsidRPr="002568E6">
        <w:rPr>
          <w:szCs w:val="24"/>
        </w:rPr>
        <w:t>.</w:t>
      </w:r>
      <w:bookmarkEnd w:id="20"/>
      <w:bookmarkEnd w:id="21"/>
      <w:proofErr w:type="gramEnd"/>
      <w:r w:rsidRPr="002568E6">
        <w:rPr>
          <w:szCs w:val="24"/>
        </w:rPr>
        <w:t xml:space="preserve">  </w:t>
      </w:r>
    </w:p>
    <w:p w:rsidR="003333DF" w:rsidRPr="002568E6" w:rsidRDefault="003333DF" w:rsidP="005917B8">
      <w:pPr>
        <w:tabs>
          <w:tab w:val="left" w:pos="450"/>
        </w:tabs>
        <w:suppressAutoHyphens/>
        <w:ind w:left="450" w:hanging="450"/>
        <w:rPr>
          <w:rFonts w:ascii="Times New Roman" w:hAnsi="Times New Roman"/>
          <w:szCs w:val="24"/>
        </w:rPr>
      </w:pPr>
    </w:p>
    <w:p w:rsidR="003333DF" w:rsidRDefault="003333DF" w:rsidP="0062567E">
      <w:pPr>
        <w:rPr>
          <w:rFonts w:ascii="Times New Roman" w:hAnsi="Times New Roman"/>
          <w:b/>
          <w:szCs w:val="24"/>
        </w:rPr>
      </w:pPr>
      <w:r w:rsidRPr="002568E6">
        <w:rPr>
          <w:rFonts w:ascii="Times New Roman" w:hAnsi="Times New Roman"/>
          <w:b/>
          <w:szCs w:val="24"/>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Pr="002568E6">
        <w:rPr>
          <w:rFonts w:ascii="Times New Roman" w:hAnsi="Times New Roman"/>
          <w:b/>
          <w:szCs w:val="24"/>
        </w:rPr>
        <w:tab/>
      </w:r>
    </w:p>
    <w:p w:rsidR="0061675E" w:rsidRDefault="0061675E" w:rsidP="0062567E">
      <w:pPr>
        <w:rPr>
          <w:rFonts w:ascii="Times New Roman" w:hAnsi="Times New Roman"/>
          <w:b/>
          <w:szCs w:val="24"/>
        </w:rPr>
      </w:pPr>
    </w:p>
    <w:p w:rsidR="0061675E" w:rsidRPr="0061675E" w:rsidRDefault="0061675E" w:rsidP="0061675E">
      <w:pPr>
        <w:spacing w:line="480" w:lineRule="auto"/>
        <w:rPr>
          <w:rFonts w:ascii="Times New Roman" w:hAnsi="Times New Roman"/>
          <w:szCs w:val="24"/>
        </w:rPr>
      </w:pPr>
      <w:r w:rsidRPr="00D63214">
        <w:rPr>
          <w:rFonts w:ascii="Times New Roman" w:hAnsi="Times New Roman"/>
          <w:szCs w:val="24"/>
        </w:rPr>
        <w:t>The 60-day notice for the “National Universal Product Code (</w:t>
      </w:r>
      <w:r w:rsidR="00F1703D" w:rsidRPr="00D63214">
        <w:rPr>
          <w:rFonts w:ascii="Times New Roman" w:hAnsi="Times New Roman"/>
          <w:szCs w:val="24"/>
        </w:rPr>
        <w:t>N</w:t>
      </w:r>
      <w:r w:rsidRPr="00D63214">
        <w:rPr>
          <w:rFonts w:ascii="Times New Roman" w:hAnsi="Times New Roman"/>
          <w:szCs w:val="24"/>
        </w:rPr>
        <w:t>UPC) Database” was published on</w:t>
      </w:r>
      <w:r w:rsidR="00F1703D" w:rsidRPr="00D63214">
        <w:rPr>
          <w:rFonts w:ascii="Times New Roman" w:hAnsi="Times New Roman"/>
          <w:szCs w:val="24"/>
        </w:rPr>
        <w:t xml:space="preserve"> March 31, 2015</w:t>
      </w:r>
      <w:r w:rsidRPr="00D63214">
        <w:rPr>
          <w:rFonts w:ascii="Times New Roman" w:hAnsi="Times New Roman"/>
          <w:szCs w:val="24"/>
        </w:rPr>
        <w:t xml:space="preserve">, and was available for public comment for a period of 60 days.  The Federal Register citation is: Volume </w:t>
      </w:r>
      <w:r w:rsidR="00F1703D" w:rsidRPr="00D63214">
        <w:rPr>
          <w:rFonts w:ascii="Times New Roman" w:hAnsi="Times New Roman"/>
          <w:szCs w:val="24"/>
        </w:rPr>
        <w:t>80</w:t>
      </w:r>
      <w:r w:rsidRPr="00D63214">
        <w:rPr>
          <w:rFonts w:ascii="Times New Roman" w:hAnsi="Times New Roman"/>
          <w:szCs w:val="24"/>
        </w:rPr>
        <w:t xml:space="preserve">, Number </w:t>
      </w:r>
      <w:r w:rsidR="00F1703D" w:rsidRPr="00D63214">
        <w:rPr>
          <w:rFonts w:ascii="Times New Roman" w:hAnsi="Times New Roman"/>
          <w:szCs w:val="24"/>
        </w:rPr>
        <w:t>61</w:t>
      </w:r>
      <w:r w:rsidRPr="00D63214">
        <w:rPr>
          <w:rFonts w:ascii="Times New Roman" w:hAnsi="Times New Roman"/>
          <w:szCs w:val="24"/>
        </w:rPr>
        <w:t xml:space="preserve">, page </w:t>
      </w:r>
      <w:r w:rsidR="00F1703D" w:rsidRPr="00D63214">
        <w:rPr>
          <w:rFonts w:ascii="Times New Roman" w:hAnsi="Times New Roman"/>
          <w:szCs w:val="24"/>
        </w:rPr>
        <w:t>17029</w:t>
      </w:r>
      <w:r w:rsidRPr="00D63214">
        <w:rPr>
          <w:rFonts w:ascii="Times New Roman" w:hAnsi="Times New Roman"/>
          <w:szCs w:val="24"/>
        </w:rPr>
        <w:t xml:space="preserve"> – </w:t>
      </w:r>
      <w:r w:rsidR="00F1703D" w:rsidRPr="00D63214">
        <w:rPr>
          <w:rFonts w:ascii="Times New Roman" w:hAnsi="Times New Roman"/>
          <w:szCs w:val="24"/>
        </w:rPr>
        <w:t>17031</w:t>
      </w:r>
      <w:r w:rsidRPr="00D63214">
        <w:rPr>
          <w:rFonts w:ascii="Times New Roman" w:hAnsi="Times New Roman"/>
          <w:szCs w:val="24"/>
        </w:rPr>
        <w:t xml:space="preserve">.  </w:t>
      </w:r>
      <w:r w:rsidR="00F1703D" w:rsidRPr="00D63214">
        <w:rPr>
          <w:rFonts w:ascii="Times New Roman" w:hAnsi="Times New Roman"/>
          <w:szCs w:val="24"/>
        </w:rPr>
        <w:t xml:space="preserve">The public comment period ended on June 1, 2015.  </w:t>
      </w:r>
      <w:r w:rsidRPr="00D63214">
        <w:rPr>
          <w:rFonts w:ascii="Times New Roman" w:hAnsi="Times New Roman"/>
          <w:szCs w:val="24"/>
        </w:rPr>
        <w:t xml:space="preserve">FNS </w:t>
      </w:r>
      <w:r w:rsidR="001C00D5">
        <w:rPr>
          <w:rFonts w:ascii="Times New Roman" w:hAnsi="Times New Roman"/>
          <w:szCs w:val="24"/>
        </w:rPr>
        <w:t xml:space="preserve">received one public comment but no response was required.  </w:t>
      </w:r>
    </w:p>
    <w:p w:rsidR="0061675E" w:rsidRPr="002568E6" w:rsidRDefault="0061675E" w:rsidP="0062567E">
      <w:pPr>
        <w:rPr>
          <w:rFonts w:ascii="Times New Roman" w:hAnsi="Times New Roman"/>
          <w:b/>
          <w:szCs w:val="24"/>
        </w:rPr>
      </w:pPr>
    </w:p>
    <w:p w:rsidR="003333DF" w:rsidRPr="002568E6" w:rsidRDefault="003333DF" w:rsidP="0062567E">
      <w:pPr>
        <w:rPr>
          <w:rFonts w:ascii="Times New Roman" w:hAnsi="Times New Roman"/>
          <w:b/>
          <w:szCs w:val="24"/>
        </w:rPr>
      </w:pPr>
    </w:p>
    <w:p w:rsidR="003333DF" w:rsidRPr="002568E6" w:rsidRDefault="003333DF" w:rsidP="0062567E">
      <w:pPr>
        <w:rPr>
          <w:rFonts w:ascii="Times New Roman" w:hAnsi="Times New Roman"/>
          <w:b/>
          <w:szCs w:val="24"/>
        </w:rPr>
      </w:pPr>
      <w:r w:rsidRPr="002568E6">
        <w:rPr>
          <w:rFonts w:ascii="Times New Roman" w:hAnsi="Times New Roman"/>
          <w:b/>
          <w:szCs w:val="24"/>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3333DF" w:rsidRDefault="003333DF" w:rsidP="0062567E">
      <w:pPr>
        <w:rPr>
          <w:rFonts w:ascii="Times New Roman" w:hAnsi="Times New Roman"/>
          <w:b/>
          <w:szCs w:val="24"/>
        </w:rPr>
      </w:pPr>
    </w:p>
    <w:p w:rsidR="0061675E" w:rsidRPr="0061675E" w:rsidRDefault="0061675E" w:rsidP="0061675E">
      <w:pPr>
        <w:spacing w:line="480" w:lineRule="auto"/>
        <w:rPr>
          <w:rFonts w:ascii="Times New Roman" w:hAnsi="Times New Roman"/>
          <w:szCs w:val="24"/>
        </w:rPr>
      </w:pPr>
      <w:r w:rsidRPr="0061675E">
        <w:rPr>
          <w:rFonts w:ascii="Times New Roman" w:hAnsi="Times New Roman"/>
          <w:szCs w:val="24"/>
        </w:rPr>
        <w:t>WIC State agencies were consulted throughout the planning phase of the NUPC database project</w:t>
      </w:r>
      <w:r w:rsidR="00513FD7">
        <w:rPr>
          <w:rFonts w:ascii="Times New Roman" w:hAnsi="Times New Roman"/>
          <w:szCs w:val="24"/>
        </w:rPr>
        <w:t xml:space="preserve"> to ensure only relevant data elements were included</w:t>
      </w:r>
      <w:r w:rsidRPr="0061675E">
        <w:rPr>
          <w:rFonts w:ascii="Times New Roman" w:hAnsi="Times New Roman"/>
          <w:szCs w:val="24"/>
        </w:rPr>
        <w:t xml:space="preserve">.  Several meetings were conducted over the last year to demonstrate the system and to solicit input for future enhancements to the NUPC database.  WIC State agencies will also be included in future application design meetings as the database is modified.    </w:t>
      </w:r>
    </w:p>
    <w:p w:rsidR="0061675E" w:rsidRPr="002568E6" w:rsidRDefault="0061675E" w:rsidP="0062567E">
      <w:pPr>
        <w:rPr>
          <w:rFonts w:ascii="Times New Roman" w:hAnsi="Times New Roman"/>
          <w:b/>
          <w:szCs w:val="24"/>
        </w:rPr>
      </w:pPr>
    </w:p>
    <w:p w:rsidR="003333DF" w:rsidRPr="002568E6" w:rsidRDefault="003333DF" w:rsidP="0062567E">
      <w:pPr>
        <w:rPr>
          <w:rFonts w:ascii="Times New Roman" w:hAnsi="Times New Roman"/>
          <w:b/>
          <w:szCs w:val="24"/>
        </w:rPr>
      </w:pPr>
      <w:r w:rsidRPr="002568E6">
        <w:rPr>
          <w:rFonts w:ascii="Times New Roman" w:hAnsi="Times New Roman"/>
          <w:b/>
          <w:szCs w:val="24"/>
        </w:rPr>
        <w:t>Consultation with representatives of those from whom information is to be obtained or those who must compile records should occur at least once every 3 years even if the collection of information activity is the same as in prior years. There may be circumstances that may preclude consultation in a specific situation. These circumstances should be explained.</w:t>
      </w:r>
    </w:p>
    <w:p w:rsidR="00ED28F2" w:rsidRPr="002568E6" w:rsidRDefault="00ED28F2" w:rsidP="00ED28F2">
      <w:pPr>
        <w:tabs>
          <w:tab w:val="left" w:pos="-720"/>
        </w:tabs>
        <w:suppressAutoHyphens/>
        <w:rPr>
          <w:rFonts w:ascii="Times New Roman" w:hAnsi="Times New Roman"/>
          <w:szCs w:val="24"/>
        </w:rPr>
      </w:pPr>
      <w:bookmarkStart w:id="22" w:name="OLE_LINK1"/>
      <w:bookmarkStart w:id="23" w:name="OLE_LINK2"/>
    </w:p>
    <w:p w:rsidR="00553F34" w:rsidRPr="0061675E" w:rsidRDefault="00553F34" w:rsidP="00553F34">
      <w:pPr>
        <w:spacing w:line="480" w:lineRule="auto"/>
        <w:rPr>
          <w:rFonts w:ascii="Times New Roman" w:hAnsi="Times New Roman"/>
          <w:szCs w:val="24"/>
        </w:rPr>
      </w:pPr>
      <w:r>
        <w:rPr>
          <w:rFonts w:ascii="Times New Roman" w:hAnsi="Times New Roman"/>
          <w:szCs w:val="24"/>
        </w:rPr>
        <w:t>FNS consulted with the contractor responsible for populating the database to obtain estimates of the number of respondents and average r</w:t>
      </w:r>
      <w:r w:rsidR="00E91D14">
        <w:rPr>
          <w:rFonts w:ascii="Times New Roman" w:hAnsi="Times New Roman"/>
          <w:szCs w:val="24"/>
        </w:rPr>
        <w:t xml:space="preserve">esponse times with respect to Food Manufacturers, </w:t>
      </w:r>
      <w:r w:rsidR="00E91D14">
        <w:rPr>
          <w:rFonts w:ascii="Times New Roman" w:hAnsi="Times New Roman"/>
          <w:szCs w:val="24"/>
        </w:rPr>
        <w:lastRenderedPageBreak/>
        <w:t>D</w:t>
      </w:r>
      <w:r>
        <w:rPr>
          <w:rFonts w:ascii="Times New Roman" w:hAnsi="Times New Roman"/>
          <w:szCs w:val="24"/>
        </w:rPr>
        <w:t xml:space="preserve">istributors, and Authorized Vendors.     </w:t>
      </w:r>
    </w:p>
    <w:p w:rsidR="00ED28F2" w:rsidRPr="002568E6" w:rsidRDefault="00ED28F2" w:rsidP="00ED28F2">
      <w:pPr>
        <w:tabs>
          <w:tab w:val="left" w:pos="-720"/>
        </w:tabs>
        <w:suppressAutoHyphens/>
        <w:spacing w:line="480" w:lineRule="auto"/>
        <w:rPr>
          <w:rFonts w:ascii="Times New Roman" w:hAnsi="Times New Roman"/>
          <w:szCs w:val="24"/>
        </w:rPr>
      </w:pPr>
    </w:p>
    <w:p w:rsidR="00BE0B08" w:rsidRPr="002568E6" w:rsidRDefault="00BE0B08" w:rsidP="0062567E">
      <w:pPr>
        <w:pStyle w:val="Heading1"/>
        <w:rPr>
          <w:szCs w:val="24"/>
        </w:rPr>
      </w:pPr>
      <w:bookmarkStart w:id="24" w:name="_Toc401831365"/>
      <w:bookmarkStart w:id="25" w:name="_Toc417487010"/>
      <w:bookmarkEnd w:id="22"/>
      <w:bookmarkEnd w:id="23"/>
      <w:r w:rsidRPr="002568E6">
        <w:rPr>
          <w:szCs w:val="24"/>
        </w:rPr>
        <w:t>A9.  Explain any decisions to provide any payment or gift to respondents.</w:t>
      </w:r>
      <w:bookmarkEnd w:id="24"/>
      <w:bookmarkEnd w:id="25"/>
      <w:r w:rsidRPr="002568E6">
        <w:rPr>
          <w:szCs w:val="24"/>
        </w:rPr>
        <w:t xml:space="preserve">  </w:t>
      </w:r>
    </w:p>
    <w:p w:rsidR="003333DF" w:rsidRPr="002568E6" w:rsidRDefault="003333DF" w:rsidP="00BE0B08">
      <w:pPr>
        <w:tabs>
          <w:tab w:val="left" w:pos="0"/>
        </w:tabs>
        <w:suppressAutoHyphens/>
        <w:rPr>
          <w:rFonts w:ascii="Times New Roman" w:hAnsi="Times New Roman"/>
          <w:szCs w:val="24"/>
        </w:rPr>
      </w:pPr>
    </w:p>
    <w:p w:rsidR="003333DF" w:rsidRPr="002568E6" w:rsidRDefault="003333DF" w:rsidP="00BE0B08">
      <w:pPr>
        <w:tabs>
          <w:tab w:val="left" w:pos="0"/>
        </w:tabs>
        <w:suppressAutoHyphens/>
        <w:rPr>
          <w:rFonts w:ascii="Times New Roman" w:hAnsi="Times New Roman"/>
          <w:b/>
          <w:szCs w:val="24"/>
        </w:rPr>
      </w:pPr>
      <w:r w:rsidRPr="002568E6">
        <w:rPr>
          <w:rFonts w:ascii="Times New Roman" w:hAnsi="Times New Roman"/>
          <w:b/>
          <w:szCs w:val="24"/>
        </w:rPr>
        <w:t>Explain any decision to provide any payment or gift to respondents, other than remuneration of contractors or grantees.</w:t>
      </w:r>
    </w:p>
    <w:p w:rsidR="00ED28F2" w:rsidRPr="002568E6" w:rsidRDefault="00ED28F2" w:rsidP="00ED28F2">
      <w:pPr>
        <w:tabs>
          <w:tab w:val="left" w:pos="-720"/>
        </w:tabs>
        <w:suppressAutoHyphens/>
        <w:rPr>
          <w:rFonts w:ascii="Times New Roman" w:hAnsi="Times New Roman"/>
          <w:szCs w:val="24"/>
        </w:rPr>
      </w:pPr>
    </w:p>
    <w:p w:rsidR="00553F34" w:rsidRPr="00553F34" w:rsidRDefault="00553F34" w:rsidP="00553F34">
      <w:pPr>
        <w:tabs>
          <w:tab w:val="left" w:pos="-720"/>
        </w:tabs>
        <w:suppressAutoHyphens/>
        <w:spacing w:line="480" w:lineRule="auto"/>
        <w:rPr>
          <w:rFonts w:ascii="Times New Roman" w:hAnsi="Times New Roman"/>
          <w:szCs w:val="24"/>
        </w:rPr>
      </w:pPr>
      <w:r w:rsidRPr="00553F34">
        <w:rPr>
          <w:rFonts w:ascii="Times New Roman" w:hAnsi="Times New Roman"/>
          <w:szCs w:val="24"/>
        </w:rPr>
        <w:t>No payment or gift is provided to respondents.</w:t>
      </w:r>
    </w:p>
    <w:p w:rsidR="00ED28F2" w:rsidRPr="002568E6" w:rsidRDefault="00ED28F2" w:rsidP="00ED28F2">
      <w:pPr>
        <w:tabs>
          <w:tab w:val="left" w:pos="-720"/>
        </w:tabs>
        <w:suppressAutoHyphens/>
        <w:spacing w:line="480" w:lineRule="auto"/>
        <w:rPr>
          <w:rFonts w:ascii="Times New Roman" w:hAnsi="Times New Roman"/>
          <w:szCs w:val="24"/>
        </w:rPr>
      </w:pPr>
    </w:p>
    <w:p w:rsidR="00BE0B08" w:rsidRPr="002568E6" w:rsidRDefault="00BE0B08" w:rsidP="0062567E">
      <w:pPr>
        <w:pStyle w:val="Heading1"/>
        <w:rPr>
          <w:szCs w:val="24"/>
        </w:rPr>
      </w:pPr>
      <w:bookmarkStart w:id="26" w:name="_Toc401831366"/>
      <w:bookmarkStart w:id="27" w:name="_Toc417487011"/>
      <w:r w:rsidRPr="002568E6">
        <w:rPr>
          <w:szCs w:val="24"/>
        </w:rPr>
        <w:t>A10.  Assurances of confidentiality provided to respondents.</w:t>
      </w:r>
      <w:bookmarkEnd w:id="26"/>
      <w:bookmarkEnd w:id="27"/>
      <w:r w:rsidRPr="002568E6">
        <w:rPr>
          <w:szCs w:val="24"/>
        </w:rPr>
        <w:t xml:space="preserve">  </w:t>
      </w:r>
    </w:p>
    <w:p w:rsidR="003333DF" w:rsidRPr="002568E6" w:rsidRDefault="003333DF" w:rsidP="00BE0B08">
      <w:pPr>
        <w:rPr>
          <w:rFonts w:ascii="Times New Roman" w:hAnsi="Times New Roman"/>
          <w:szCs w:val="24"/>
        </w:rPr>
      </w:pPr>
    </w:p>
    <w:p w:rsidR="003333DF" w:rsidRPr="002568E6" w:rsidRDefault="003333DF" w:rsidP="0062567E">
      <w:pPr>
        <w:pStyle w:val="ListParagraph"/>
        <w:spacing w:line="240" w:lineRule="auto"/>
        <w:ind w:left="0"/>
        <w:rPr>
          <w:b/>
          <w:szCs w:val="24"/>
        </w:rPr>
      </w:pPr>
      <w:r w:rsidRPr="002568E6">
        <w:rPr>
          <w:b/>
          <w:szCs w:val="24"/>
        </w:rPr>
        <w:t>Describe any assurance of confidentiality provided to respondents and the basis for the assurance in statute, regulation, or agency policy.</w:t>
      </w:r>
    </w:p>
    <w:p w:rsidR="003333DF" w:rsidRPr="002568E6" w:rsidRDefault="003333DF" w:rsidP="00BE0B08">
      <w:pPr>
        <w:rPr>
          <w:rFonts w:ascii="Times New Roman" w:hAnsi="Times New Roman"/>
          <w:szCs w:val="24"/>
        </w:rPr>
      </w:pPr>
    </w:p>
    <w:p w:rsidR="00553F34" w:rsidRPr="00553F34" w:rsidRDefault="00553F34" w:rsidP="00553F34">
      <w:pPr>
        <w:tabs>
          <w:tab w:val="left" w:pos="-720"/>
        </w:tabs>
        <w:suppressAutoHyphens/>
        <w:spacing w:line="480" w:lineRule="auto"/>
        <w:rPr>
          <w:rFonts w:ascii="Times New Roman" w:hAnsi="Times New Roman"/>
          <w:szCs w:val="24"/>
        </w:rPr>
      </w:pPr>
      <w:r w:rsidRPr="00553F34">
        <w:rPr>
          <w:rFonts w:ascii="Times New Roman" w:hAnsi="Times New Roman"/>
          <w:szCs w:val="24"/>
        </w:rPr>
        <w:t>The NUPC database does not provide any assurance of confidentiality.  Personal information is not collected.</w:t>
      </w:r>
    </w:p>
    <w:p w:rsidR="00ED28F2" w:rsidRPr="002568E6" w:rsidRDefault="00ED28F2" w:rsidP="00ED28F2">
      <w:pPr>
        <w:tabs>
          <w:tab w:val="left" w:pos="-720"/>
        </w:tabs>
        <w:suppressAutoHyphens/>
        <w:spacing w:line="480" w:lineRule="auto"/>
        <w:rPr>
          <w:rFonts w:ascii="Times New Roman" w:hAnsi="Times New Roman"/>
          <w:szCs w:val="24"/>
        </w:rPr>
      </w:pPr>
    </w:p>
    <w:p w:rsidR="00A308DB" w:rsidRPr="002568E6" w:rsidRDefault="00BE0B08" w:rsidP="0062567E">
      <w:pPr>
        <w:pStyle w:val="Heading1"/>
        <w:rPr>
          <w:szCs w:val="24"/>
        </w:rPr>
      </w:pPr>
      <w:bookmarkStart w:id="28" w:name="_Toc401831367"/>
      <w:bookmarkStart w:id="29" w:name="_Toc417487012"/>
      <w:r w:rsidRPr="002568E6">
        <w:rPr>
          <w:szCs w:val="24"/>
        </w:rPr>
        <w:t xml:space="preserve">A11.  </w:t>
      </w:r>
      <w:proofErr w:type="gramStart"/>
      <w:r w:rsidRPr="002568E6">
        <w:rPr>
          <w:szCs w:val="24"/>
        </w:rPr>
        <w:t>Justification for any questions of a sensitive nature.</w:t>
      </w:r>
      <w:bookmarkEnd w:id="28"/>
      <w:bookmarkEnd w:id="29"/>
      <w:proofErr w:type="gramEnd"/>
      <w:r w:rsidRPr="002568E6">
        <w:rPr>
          <w:szCs w:val="24"/>
        </w:rPr>
        <w:t xml:space="preserve">  </w:t>
      </w:r>
      <w:r w:rsidR="005A3F80" w:rsidRPr="002568E6">
        <w:rPr>
          <w:szCs w:val="24"/>
        </w:rPr>
        <w:t xml:space="preserve">  </w:t>
      </w:r>
    </w:p>
    <w:p w:rsidR="003333DF" w:rsidRPr="002568E6" w:rsidRDefault="003333DF" w:rsidP="00BE0B08">
      <w:pPr>
        <w:tabs>
          <w:tab w:val="left" w:pos="0"/>
        </w:tabs>
        <w:suppressAutoHyphens/>
        <w:rPr>
          <w:rFonts w:ascii="Times New Roman" w:hAnsi="Times New Roman"/>
          <w:szCs w:val="24"/>
        </w:rPr>
      </w:pPr>
    </w:p>
    <w:p w:rsidR="003333DF" w:rsidRPr="002568E6" w:rsidRDefault="003333DF" w:rsidP="00BE0B08">
      <w:pPr>
        <w:tabs>
          <w:tab w:val="left" w:pos="0"/>
        </w:tabs>
        <w:suppressAutoHyphens/>
        <w:rPr>
          <w:rFonts w:ascii="Times New Roman" w:hAnsi="Times New Roman"/>
          <w:b/>
          <w:szCs w:val="24"/>
        </w:rPr>
      </w:pPr>
      <w:r w:rsidRPr="002568E6">
        <w:rPr>
          <w:rFonts w:ascii="Times New Roman" w:hAnsi="Times New Roman"/>
          <w:b/>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D28F2" w:rsidRPr="002568E6" w:rsidRDefault="00ED28F2" w:rsidP="00ED28F2">
      <w:pPr>
        <w:tabs>
          <w:tab w:val="left" w:pos="-720"/>
        </w:tabs>
        <w:suppressAutoHyphens/>
        <w:rPr>
          <w:rFonts w:ascii="Times New Roman" w:hAnsi="Times New Roman"/>
          <w:szCs w:val="24"/>
        </w:rPr>
      </w:pPr>
    </w:p>
    <w:p w:rsidR="00553F34" w:rsidRPr="00553F34" w:rsidRDefault="00553F34" w:rsidP="00553F34">
      <w:pPr>
        <w:tabs>
          <w:tab w:val="left" w:pos="-720"/>
        </w:tabs>
        <w:suppressAutoHyphens/>
        <w:spacing w:line="480" w:lineRule="auto"/>
        <w:rPr>
          <w:rFonts w:ascii="Times New Roman" w:hAnsi="Times New Roman"/>
          <w:szCs w:val="24"/>
        </w:rPr>
      </w:pPr>
      <w:r w:rsidRPr="00553F34">
        <w:rPr>
          <w:rFonts w:ascii="Times New Roman" w:hAnsi="Times New Roman"/>
          <w:szCs w:val="24"/>
        </w:rPr>
        <w:t>There are no questions of a sensitive nature, such as sexual behavior and attitudes, religious beliefs, or other matters that are commonly considered private</w:t>
      </w:r>
      <w:r w:rsidR="00F1703D">
        <w:rPr>
          <w:rFonts w:ascii="Times New Roman" w:hAnsi="Times New Roman"/>
          <w:szCs w:val="24"/>
        </w:rPr>
        <w:t>, included in this information collection</w:t>
      </w:r>
      <w:r w:rsidRPr="00553F34">
        <w:rPr>
          <w:rFonts w:ascii="Times New Roman" w:hAnsi="Times New Roman"/>
          <w:szCs w:val="24"/>
        </w:rPr>
        <w:t>.</w:t>
      </w:r>
    </w:p>
    <w:p w:rsidR="00ED28F2" w:rsidRPr="002568E6" w:rsidRDefault="00ED28F2" w:rsidP="00ED28F2">
      <w:pPr>
        <w:tabs>
          <w:tab w:val="left" w:pos="-720"/>
        </w:tabs>
        <w:suppressAutoHyphens/>
        <w:spacing w:line="480" w:lineRule="auto"/>
        <w:rPr>
          <w:rFonts w:ascii="Times New Roman" w:hAnsi="Times New Roman"/>
          <w:szCs w:val="24"/>
        </w:rPr>
      </w:pPr>
    </w:p>
    <w:p w:rsidR="000438E8" w:rsidRPr="002568E6" w:rsidRDefault="000438E8" w:rsidP="0062567E">
      <w:pPr>
        <w:pStyle w:val="Heading1"/>
        <w:rPr>
          <w:szCs w:val="24"/>
        </w:rPr>
      </w:pPr>
      <w:bookmarkStart w:id="30" w:name="_Toc401831368"/>
      <w:bookmarkStart w:id="31" w:name="_Toc417487013"/>
      <w:r w:rsidRPr="002568E6">
        <w:rPr>
          <w:szCs w:val="24"/>
        </w:rPr>
        <w:t>A12.  Estimates of the hour burden of the collection of information.</w:t>
      </w:r>
      <w:bookmarkEnd w:id="30"/>
      <w:bookmarkEnd w:id="31"/>
      <w:r w:rsidRPr="002568E6">
        <w:rPr>
          <w:szCs w:val="24"/>
        </w:rPr>
        <w:t xml:space="preserve">  </w:t>
      </w:r>
    </w:p>
    <w:p w:rsidR="003333DF" w:rsidRPr="002568E6" w:rsidRDefault="003333DF" w:rsidP="000438E8">
      <w:pPr>
        <w:tabs>
          <w:tab w:val="left" w:pos="0"/>
        </w:tabs>
        <w:suppressAutoHyphens/>
        <w:rPr>
          <w:rFonts w:ascii="Times New Roman" w:hAnsi="Times New Roman"/>
          <w:b/>
          <w:szCs w:val="24"/>
        </w:rPr>
      </w:pPr>
    </w:p>
    <w:p w:rsidR="003333DF" w:rsidRPr="002568E6" w:rsidRDefault="003333DF" w:rsidP="000438E8">
      <w:pPr>
        <w:tabs>
          <w:tab w:val="left" w:pos="0"/>
        </w:tabs>
        <w:suppressAutoHyphens/>
        <w:rPr>
          <w:rFonts w:ascii="Times New Roman" w:hAnsi="Times New Roman"/>
          <w:b/>
          <w:szCs w:val="24"/>
        </w:rPr>
      </w:pPr>
      <w:r w:rsidRPr="002568E6">
        <w:rPr>
          <w:rFonts w:ascii="Times New Roman" w:hAnsi="Times New Roman"/>
          <w:b/>
          <w:szCs w:val="24"/>
        </w:rPr>
        <w:t>Provide estimates of the hour burden of the collection of information.  Indicate the number of respondents, frequency of response, annual hour burden, and an explanation of how the burden was estimated.</w:t>
      </w:r>
    </w:p>
    <w:p w:rsidR="003333DF" w:rsidRPr="002568E6" w:rsidRDefault="003333DF" w:rsidP="000438E8">
      <w:pPr>
        <w:tabs>
          <w:tab w:val="left" w:pos="0"/>
        </w:tabs>
        <w:suppressAutoHyphens/>
        <w:rPr>
          <w:rFonts w:ascii="Times New Roman" w:hAnsi="Times New Roman"/>
          <w:b/>
          <w:szCs w:val="24"/>
        </w:rPr>
      </w:pPr>
    </w:p>
    <w:p w:rsidR="003333DF" w:rsidRPr="002568E6" w:rsidRDefault="003333DF" w:rsidP="003333DF">
      <w:pPr>
        <w:tabs>
          <w:tab w:val="left" w:pos="0"/>
        </w:tabs>
        <w:suppressAutoHyphens/>
        <w:rPr>
          <w:rFonts w:ascii="Times New Roman" w:hAnsi="Times New Roman"/>
          <w:b/>
          <w:szCs w:val="24"/>
        </w:rPr>
      </w:pPr>
      <w:r w:rsidRPr="002568E6">
        <w:rPr>
          <w:rFonts w:ascii="Times New Roman" w:hAnsi="Times New Roman"/>
          <w:b/>
          <w:szCs w:val="24"/>
        </w:rPr>
        <w:t>A.</w:t>
      </w:r>
      <w:r w:rsidRPr="002568E6">
        <w:rPr>
          <w:rFonts w:ascii="Times New Roman" w:hAnsi="Times New Roman"/>
          <w:b/>
          <w:szCs w:val="24"/>
        </w:rPr>
        <w:tab/>
        <w:t xml:space="preserve">Indicate the number of respondents, frequency of response, annual hour burden, and an explanation of how the burden was estimated.  If this request for approval covers more than one form, provide separate hour burden estimates for each form and aggregate </w:t>
      </w:r>
      <w:r w:rsidRPr="00402C13">
        <w:rPr>
          <w:rFonts w:ascii="Times New Roman" w:hAnsi="Times New Roman"/>
          <w:b/>
          <w:szCs w:val="24"/>
        </w:rPr>
        <w:t>the hour burdens in Item 13 of OMB Form 83-I.</w:t>
      </w:r>
    </w:p>
    <w:p w:rsidR="00ED28F2" w:rsidRPr="002568E6" w:rsidRDefault="00ED28F2" w:rsidP="00ED28F2">
      <w:pPr>
        <w:tabs>
          <w:tab w:val="left" w:pos="-720"/>
        </w:tabs>
        <w:suppressAutoHyphens/>
        <w:rPr>
          <w:rFonts w:ascii="Times New Roman" w:hAnsi="Times New Roman"/>
          <w:szCs w:val="24"/>
        </w:rPr>
      </w:pPr>
    </w:p>
    <w:p w:rsidR="00402C13" w:rsidRDefault="00402C13" w:rsidP="00402C13">
      <w:pPr>
        <w:tabs>
          <w:tab w:val="left" w:pos="-720"/>
        </w:tabs>
        <w:suppressAutoHyphens/>
        <w:spacing w:line="480" w:lineRule="auto"/>
        <w:rPr>
          <w:rFonts w:ascii="Times New Roman" w:hAnsi="Times New Roman"/>
          <w:szCs w:val="24"/>
        </w:rPr>
      </w:pPr>
      <w:r w:rsidRPr="007A65B2">
        <w:rPr>
          <w:rFonts w:ascii="Times New Roman" w:hAnsi="Times New Roman"/>
          <w:szCs w:val="24"/>
          <w:u w:val="single"/>
        </w:rPr>
        <w:t xml:space="preserve">Estimated Number of </w:t>
      </w:r>
      <w:proofErr w:type="gramStart"/>
      <w:r w:rsidRPr="007A65B2">
        <w:rPr>
          <w:rFonts w:ascii="Times New Roman" w:hAnsi="Times New Roman"/>
          <w:szCs w:val="24"/>
          <w:u w:val="single"/>
        </w:rPr>
        <w:t>Respondents</w:t>
      </w:r>
      <w:r w:rsidRPr="00553F34">
        <w:rPr>
          <w:rFonts w:ascii="Times New Roman" w:hAnsi="Times New Roman"/>
          <w:szCs w:val="24"/>
          <w:u w:val="single"/>
        </w:rPr>
        <w:t xml:space="preserve"> </w:t>
      </w:r>
      <w:r w:rsidRPr="00553F34">
        <w:rPr>
          <w:rFonts w:ascii="Times New Roman" w:hAnsi="Times New Roman"/>
          <w:szCs w:val="24"/>
        </w:rPr>
        <w:t>:</w:t>
      </w:r>
      <w:proofErr w:type="gramEnd"/>
      <w:r w:rsidRPr="00553F34">
        <w:rPr>
          <w:rFonts w:ascii="Times New Roman" w:hAnsi="Times New Roman"/>
          <w:szCs w:val="24"/>
        </w:rPr>
        <w:t xml:space="preserve">  The total estimated number of respondents is </w:t>
      </w:r>
      <w:r>
        <w:rPr>
          <w:rFonts w:ascii="Times New Roman" w:hAnsi="Times New Roman"/>
          <w:szCs w:val="24"/>
        </w:rPr>
        <w:t>360</w:t>
      </w:r>
      <w:r w:rsidRPr="00553F34">
        <w:rPr>
          <w:rFonts w:ascii="Times New Roman" w:hAnsi="Times New Roman"/>
          <w:szCs w:val="24"/>
        </w:rPr>
        <w:t>. This includes 2</w:t>
      </w:r>
      <w:r>
        <w:rPr>
          <w:rFonts w:ascii="Times New Roman" w:hAnsi="Times New Roman"/>
          <w:szCs w:val="24"/>
        </w:rPr>
        <w:t>40 Food M</w:t>
      </w:r>
      <w:r w:rsidRPr="00553F34">
        <w:rPr>
          <w:rFonts w:ascii="Times New Roman" w:hAnsi="Times New Roman"/>
          <w:szCs w:val="24"/>
        </w:rPr>
        <w:t xml:space="preserve">anufacturers </w:t>
      </w:r>
      <w:r>
        <w:rPr>
          <w:rFonts w:ascii="Times New Roman" w:hAnsi="Times New Roman"/>
          <w:szCs w:val="24"/>
        </w:rPr>
        <w:t>or D</w:t>
      </w:r>
      <w:r w:rsidRPr="00553F34">
        <w:rPr>
          <w:rFonts w:ascii="Times New Roman" w:hAnsi="Times New Roman"/>
          <w:szCs w:val="24"/>
        </w:rPr>
        <w:t>istributors</w:t>
      </w:r>
      <w:r>
        <w:rPr>
          <w:rFonts w:ascii="Times New Roman" w:hAnsi="Times New Roman"/>
          <w:szCs w:val="24"/>
        </w:rPr>
        <w:t xml:space="preserve"> and </w:t>
      </w:r>
      <w:r w:rsidRPr="00553F34">
        <w:rPr>
          <w:rFonts w:ascii="Times New Roman" w:hAnsi="Times New Roman"/>
          <w:szCs w:val="24"/>
        </w:rPr>
        <w:t>120 Authorized Vendors</w:t>
      </w:r>
      <w:r>
        <w:rPr>
          <w:rFonts w:ascii="Times New Roman" w:hAnsi="Times New Roman"/>
          <w:szCs w:val="24"/>
        </w:rPr>
        <w:t>.</w:t>
      </w:r>
    </w:p>
    <w:p w:rsidR="00402C13" w:rsidRPr="00553F34" w:rsidRDefault="00402C13" w:rsidP="00402C13">
      <w:pPr>
        <w:tabs>
          <w:tab w:val="left" w:pos="-720"/>
        </w:tabs>
        <w:suppressAutoHyphens/>
        <w:spacing w:line="480" w:lineRule="auto"/>
        <w:rPr>
          <w:rFonts w:ascii="Times New Roman" w:hAnsi="Times New Roman"/>
          <w:szCs w:val="24"/>
        </w:rPr>
      </w:pPr>
    </w:p>
    <w:p w:rsidR="00402C13" w:rsidRPr="00553F34" w:rsidRDefault="00402C13" w:rsidP="00402C13">
      <w:pPr>
        <w:tabs>
          <w:tab w:val="left" w:pos="-720"/>
        </w:tabs>
        <w:suppressAutoHyphens/>
        <w:spacing w:line="480" w:lineRule="auto"/>
        <w:rPr>
          <w:rFonts w:ascii="Times New Roman" w:hAnsi="Times New Roman"/>
          <w:szCs w:val="24"/>
        </w:rPr>
      </w:pPr>
      <w:r w:rsidRPr="00553F34">
        <w:rPr>
          <w:rFonts w:ascii="Times New Roman" w:hAnsi="Times New Roman"/>
          <w:szCs w:val="24"/>
          <w:u w:val="single"/>
        </w:rPr>
        <w:t xml:space="preserve">Estimated </w:t>
      </w:r>
      <w:r>
        <w:rPr>
          <w:rFonts w:ascii="Times New Roman" w:hAnsi="Times New Roman"/>
          <w:szCs w:val="24"/>
          <w:u w:val="single"/>
        </w:rPr>
        <w:t>Frequency</w:t>
      </w:r>
      <w:r w:rsidRPr="00553F34">
        <w:rPr>
          <w:rFonts w:ascii="Times New Roman" w:hAnsi="Times New Roman"/>
          <w:szCs w:val="24"/>
          <w:u w:val="single"/>
        </w:rPr>
        <w:t xml:space="preserve"> of Responses per Respondent</w:t>
      </w:r>
      <w:r>
        <w:rPr>
          <w:rFonts w:ascii="Times New Roman" w:hAnsi="Times New Roman"/>
          <w:szCs w:val="24"/>
          <w:u w:val="single"/>
        </w:rPr>
        <w:t xml:space="preserve"> (annually)</w:t>
      </w:r>
      <w:r w:rsidRPr="00553F34">
        <w:rPr>
          <w:rFonts w:ascii="Times New Roman" w:hAnsi="Times New Roman"/>
          <w:szCs w:val="24"/>
          <w:u w:val="single"/>
        </w:rPr>
        <w:t xml:space="preserve">: </w:t>
      </w:r>
      <w:r w:rsidRPr="00553F34">
        <w:rPr>
          <w:rFonts w:ascii="Times New Roman" w:hAnsi="Times New Roman"/>
          <w:szCs w:val="24"/>
        </w:rPr>
        <w:t xml:space="preserve"> The 2</w:t>
      </w:r>
      <w:r>
        <w:rPr>
          <w:rFonts w:ascii="Times New Roman" w:hAnsi="Times New Roman"/>
          <w:szCs w:val="24"/>
        </w:rPr>
        <w:t>40 Food M</w:t>
      </w:r>
      <w:r w:rsidRPr="00553F34">
        <w:rPr>
          <w:rFonts w:ascii="Times New Roman" w:hAnsi="Times New Roman"/>
          <w:szCs w:val="24"/>
        </w:rPr>
        <w:t xml:space="preserve">anufacturers </w:t>
      </w:r>
      <w:r>
        <w:rPr>
          <w:rFonts w:ascii="Times New Roman" w:hAnsi="Times New Roman"/>
          <w:szCs w:val="24"/>
        </w:rPr>
        <w:t>and D</w:t>
      </w:r>
      <w:r w:rsidRPr="00553F34">
        <w:rPr>
          <w:rFonts w:ascii="Times New Roman" w:hAnsi="Times New Roman"/>
          <w:szCs w:val="24"/>
        </w:rPr>
        <w:t>istributors</w:t>
      </w:r>
      <w:r>
        <w:rPr>
          <w:rFonts w:ascii="Times New Roman" w:hAnsi="Times New Roman"/>
          <w:szCs w:val="24"/>
        </w:rPr>
        <w:t xml:space="preserve"> </w:t>
      </w:r>
      <w:r w:rsidRPr="00553F34">
        <w:rPr>
          <w:rFonts w:ascii="Times New Roman" w:hAnsi="Times New Roman"/>
          <w:szCs w:val="24"/>
        </w:rPr>
        <w:t>will be asked to provide product information in electronic format (.doc, .</w:t>
      </w:r>
      <w:proofErr w:type="spellStart"/>
      <w:r w:rsidRPr="00553F34">
        <w:rPr>
          <w:rFonts w:ascii="Times New Roman" w:hAnsi="Times New Roman"/>
          <w:szCs w:val="24"/>
        </w:rPr>
        <w:t>xls</w:t>
      </w:r>
      <w:proofErr w:type="spellEnd"/>
      <w:r w:rsidRPr="00553F34">
        <w:rPr>
          <w:rFonts w:ascii="Times New Roman" w:hAnsi="Times New Roman"/>
          <w:szCs w:val="24"/>
        </w:rPr>
        <w:t xml:space="preserve">, .pdf).  </w:t>
      </w:r>
      <w:r>
        <w:rPr>
          <w:rFonts w:ascii="Times New Roman" w:hAnsi="Times New Roman"/>
          <w:szCs w:val="24"/>
        </w:rPr>
        <w:t>All r</w:t>
      </w:r>
      <w:r w:rsidRPr="00A03220">
        <w:rPr>
          <w:rFonts w:ascii="Times New Roman" w:hAnsi="Times New Roman"/>
          <w:szCs w:val="24"/>
        </w:rPr>
        <w:t>esponses are voluntary.</w:t>
      </w:r>
      <w:r w:rsidRPr="00553F34">
        <w:rPr>
          <w:rFonts w:ascii="Times New Roman" w:hAnsi="Times New Roman"/>
          <w:szCs w:val="24"/>
        </w:rPr>
        <w:t xml:space="preserve">  FNS estimates that each</w:t>
      </w:r>
      <w:r w:rsidR="00AD21D8">
        <w:rPr>
          <w:rFonts w:ascii="Times New Roman" w:hAnsi="Times New Roman"/>
          <w:szCs w:val="24"/>
        </w:rPr>
        <w:t xml:space="preserve"> of the</w:t>
      </w:r>
      <w:r w:rsidRPr="00553F34">
        <w:rPr>
          <w:rFonts w:ascii="Times New Roman" w:hAnsi="Times New Roman"/>
          <w:szCs w:val="24"/>
        </w:rPr>
        <w:t xml:space="preserve"> </w:t>
      </w:r>
      <w:r>
        <w:rPr>
          <w:rFonts w:ascii="Times New Roman" w:hAnsi="Times New Roman"/>
          <w:szCs w:val="24"/>
        </w:rPr>
        <w:t>Food M</w:t>
      </w:r>
      <w:r w:rsidRPr="00553F34">
        <w:rPr>
          <w:rFonts w:ascii="Times New Roman" w:hAnsi="Times New Roman"/>
          <w:szCs w:val="24"/>
        </w:rPr>
        <w:t xml:space="preserve">anufacturers </w:t>
      </w:r>
      <w:r>
        <w:rPr>
          <w:rFonts w:ascii="Times New Roman" w:hAnsi="Times New Roman"/>
          <w:szCs w:val="24"/>
        </w:rPr>
        <w:t>or D</w:t>
      </w:r>
      <w:r w:rsidRPr="00553F34">
        <w:rPr>
          <w:rFonts w:ascii="Times New Roman" w:hAnsi="Times New Roman"/>
          <w:szCs w:val="24"/>
        </w:rPr>
        <w:t>istributors</w:t>
      </w:r>
      <w:r>
        <w:rPr>
          <w:rFonts w:ascii="Times New Roman" w:hAnsi="Times New Roman"/>
          <w:szCs w:val="24"/>
        </w:rPr>
        <w:t xml:space="preserve"> </w:t>
      </w:r>
      <w:r w:rsidRPr="00553F34">
        <w:rPr>
          <w:rFonts w:ascii="Times New Roman" w:hAnsi="Times New Roman"/>
          <w:szCs w:val="24"/>
        </w:rPr>
        <w:t xml:space="preserve">will be asked to provide product information 4 times per year on average.  FNS estimates that each of </w:t>
      </w:r>
      <w:r>
        <w:rPr>
          <w:rFonts w:ascii="Times New Roman" w:hAnsi="Times New Roman"/>
          <w:szCs w:val="24"/>
        </w:rPr>
        <w:t xml:space="preserve">the </w:t>
      </w:r>
      <w:r w:rsidRPr="00553F34">
        <w:rPr>
          <w:rFonts w:ascii="Times New Roman" w:hAnsi="Times New Roman"/>
          <w:szCs w:val="24"/>
        </w:rPr>
        <w:t xml:space="preserve">120 Authorized Vendors will be asked to provide product information 2 times per year on average.   </w:t>
      </w:r>
    </w:p>
    <w:p w:rsidR="00402C13" w:rsidRPr="00553F34" w:rsidRDefault="00402C13" w:rsidP="00402C13">
      <w:pPr>
        <w:tabs>
          <w:tab w:val="left" w:pos="-720"/>
        </w:tabs>
        <w:suppressAutoHyphens/>
        <w:spacing w:line="480" w:lineRule="auto"/>
        <w:rPr>
          <w:rFonts w:ascii="Times New Roman" w:hAnsi="Times New Roman"/>
          <w:szCs w:val="24"/>
        </w:rPr>
      </w:pPr>
    </w:p>
    <w:p w:rsidR="00402C13" w:rsidRDefault="00402C13" w:rsidP="00402C13">
      <w:pPr>
        <w:tabs>
          <w:tab w:val="left" w:pos="-720"/>
        </w:tabs>
        <w:suppressAutoHyphens/>
        <w:spacing w:line="480" w:lineRule="auto"/>
        <w:rPr>
          <w:rFonts w:ascii="Times New Roman" w:hAnsi="Times New Roman"/>
          <w:szCs w:val="24"/>
        </w:rPr>
      </w:pPr>
      <w:r w:rsidRPr="00D40BCC">
        <w:rPr>
          <w:rFonts w:ascii="Times New Roman" w:hAnsi="Times New Roman"/>
          <w:szCs w:val="24"/>
          <w:u w:val="single"/>
        </w:rPr>
        <w:t>Estimated Total Annual Responses</w:t>
      </w:r>
      <w:r w:rsidRPr="00D40BCC">
        <w:rPr>
          <w:rFonts w:ascii="Times New Roman" w:hAnsi="Times New Roman"/>
          <w:szCs w:val="24"/>
        </w:rPr>
        <w:t>:</w:t>
      </w:r>
      <w:r w:rsidRPr="00553F34">
        <w:rPr>
          <w:rFonts w:ascii="Times New Roman" w:hAnsi="Times New Roman"/>
          <w:szCs w:val="24"/>
        </w:rPr>
        <w:t xml:space="preserve">  The total number of responses is estimated to be </w:t>
      </w:r>
      <w:r>
        <w:rPr>
          <w:rFonts w:ascii="Times New Roman" w:hAnsi="Times New Roman"/>
          <w:szCs w:val="24"/>
        </w:rPr>
        <w:t>1,200</w:t>
      </w:r>
      <w:r w:rsidRPr="00553F34">
        <w:rPr>
          <w:rFonts w:ascii="Times New Roman" w:hAnsi="Times New Roman"/>
          <w:szCs w:val="24"/>
        </w:rPr>
        <w:t xml:space="preserve">.   </w:t>
      </w:r>
      <w:r>
        <w:rPr>
          <w:rFonts w:ascii="Times New Roman" w:hAnsi="Times New Roman"/>
          <w:szCs w:val="24"/>
        </w:rPr>
        <w:t xml:space="preserve">  FNS estimates that Food Manufacturers or D</w:t>
      </w:r>
      <w:r w:rsidRPr="00553F34">
        <w:rPr>
          <w:rFonts w:ascii="Times New Roman" w:hAnsi="Times New Roman"/>
          <w:szCs w:val="24"/>
        </w:rPr>
        <w:t xml:space="preserve">istributors will be asked to respond a total of </w:t>
      </w:r>
      <w:r>
        <w:rPr>
          <w:rFonts w:ascii="Times New Roman" w:hAnsi="Times New Roman"/>
          <w:szCs w:val="24"/>
        </w:rPr>
        <w:t>960</w:t>
      </w:r>
      <w:r w:rsidRPr="00553F34">
        <w:rPr>
          <w:rFonts w:ascii="Times New Roman" w:hAnsi="Times New Roman"/>
          <w:szCs w:val="24"/>
        </w:rPr>
        <w:t xml:space="preserve"> times per year (2</w:t>
      </w:r>
      <w:r>
        <w:rPr>
          <w:rFonts w:ascii="Times New Roman" w:hAnsi="Times New Roman"/>
          <w:szCs w:val="24"/>
        </w:rPr>
        <w:t>40 Food Manufacturers or D</w:t>
      </w:r>
      <w:r w:rsidRPr="00553F34">
        <w:rPr>
          <w:rFonts w:ascii="Times New Roman" w:hAnsi="Times New Roman"/>
          <w:szCs w:val="24"/>
        </w:rPr>
        <w:t xml:space="preserve">istributors * 4 responses per year each = </w:t>
      </w:r>
      <w:r>
        <w:rPr>
          <w:rFonts w:ascii="Times New Roman" w:hAnsi="Times New Roman"/>
          <w:szCs w:val="24"/>
        </w:rPr>
        <w:t>960</w:t>
      </w:r>
      <w:r w:rsidRPr="00553F34">
        <w:rPr>
          <w:rFonts w:ascii="Times New Roman" w:hAnsi="Times New Roman"/>
          <w:szCs w:val="24"/>
        </w:rPr>
        <w:t xml:space="preserve">).  </w:t>
      </w:r>
      <w:r>
        <w:rPr>
          <w:rFonts w:ascii="Times New Roman" w:hAnsi="Times New Roman"/>
          <w:szCs w:val="24"/>
        </w:rPr>
        <w:t>F</w:t>
      </w:r>
      <w:r w:rsidRPr="00553F34">
        <w:rPr>
          <w:rFonts w:ascii="Times New Roman" w:hAnsi="Times New Roman"/>
          <w:szCs w:val="24"/>
        </w:rPr>
        <w:t xml:space="preserve">NS estimates that Authorized Vendors will be asked to respond a total of 240 times per year (120 Authorized Vendors * 2 responses per year each = 240).    </w:t>
      </w:r>
    </w:p>
    <w:p w:rsidR="00402C13" w:rsidRPr="00553F34" w:rsidRDefault="00402C13" w:rsidP="00402C13">
      <w:pPr>
        <w:tabs>
          <w:tab w:val="left" w:pos="-720"/>
        </w:tabs>
        <w:suppressAutoHyphens/>
        <w:spacing w:line="480" w:lineRule="auto"/>
        <w:rPr>
          <w:rFonts w:ascii="Times New Roman" w:hAnsi="Times New Roman"/>
          <w:szCs w:val="24"/>
          <w:u w:val="single"/>
        </w:rPr>
      </w:pPr>
    </w:p>
    <w:p w:rsidR="007E27C7" w:rsidRDefault="00402C13" w:rsidP="007E27C7">
      <w:pPr>
        <w:tabs>
          <w:tab w:val="left" w:pos="-720"/>
        </w:tabs>
        <w:suppressAutoHyphens/>
        <w:spacing w:line="480" w:lineRule="auto"/>
        <w:rPr>
          <w:rFonts w:ascii="Times New Roman" w:hAnsi="Times New Roman"/>
          <w:szCs w:val="24"/>
        </w:rPr>
      </w:pPr>
      <w:proofErr w:type="gramStart"/>
      <w:r w:rsidRPr="00553F34">
        <w:rPr>
          <w:rFonts w:ascii="Times New Roman" w:hAnsi="Times New Roman"/>
          <w:szCs w:val="24"/>
          <w:u w:val="single"/>
        </w:rPr>
        <w:t>Estimated Time per Response</w:t>
      </w:r>
      <w:r w:rsidRPr="00553F34">
        <w:rPr>
          <w:rFonts w:ascii="Times New Roman" w:hAnsi="Times New Roman"/>
          <w:szCs w:val="24"/>
        </w:rPr>
        <w:t xml:space="preserve">:  </w:t>
      </w:r>
      <w:r>
        <w:rPr>
          <w:rFonts w:ascii="Times New Roman" w:hAnsi="Times New Roman"/>
          <w:szCs w:val="24"/>
        </w:rPr>
        <w:t>8.6 hours.</w:t>
      </w:r>
      <w:proofErr w:type="gramEnd"/>
      <w:r>
        <w:rPr>
          <w:rFonts w:ascii="Times New Roman" w:hAnsi="Times New Roman"/>
          <w:szCs w:val="24"/>
        </w:rPr>
        <w:t xml:space="preserve">  </w:t>
      </w:r>
    </w:p>
    <w:p w:rsidR="007E27C7" w:rsidRPr="00553F34" w:rsidRDefault="007E27C7" w:rsidP="007E27C7">
      <w:pPr>
        <w:tabs>
          <w:tab w:val="left" w:pos="-720"/>
        </w:tabs>
        <w:suppressAutoHyphens/>
        <w:spacing w:line="480" w:lineRule="auto"/>
        <w:rPr>
          <w:rFonts w:ascii="Times New Roman" w:hAnsi="Times New Roman"/>
          <w:szCs w:val="24"/>
        </w:rPr>
      </w:pPr>
      <w:r w:rsidRPr="00050BDD">
        <w:rPr>
          <w:rFonts w:ascii="Times New Roman" w:hAnsi="Times New Roman"/>
          <w:i/>
          <w:szCs w:val="24"/>
        </w:rPr>
        <w:t>Develop, maintain, and troubleshoot electronic systems:</w:t>
      </w:r>
      <w:r w:rsidRPr="00553F34">
        <w:rPr>
          <w:rFonts w:ascii="Times New Roman" w:hAnsi="Times New Roman"/>
          <w:szCs w:val="24"/>
        </w:rPr>
        <w:t xml:space="preserve"> </w:t>
      </w:r>
      <w:r w:rsidR="00402C13" w:rsidRPr="00553F34">
        <w:rPr>
          <w:rFonts w:ascii="Times New Roman" w:hAnsi="Times New Roman"/>
          <w:szCs w:val="24"/>
        </w:rPr>
        <w:t xml:space="preserve">The estimated time per response varies by type of respondent.  FNS expects all respondents will expend </w:t>
      </w:r>
      <w:r w:rsidR="00402C13">
        <w:rPr>
          <w:rFonts w:ascii="Times New Roman" w:hAnsi="Times New Roman"/>
          <w:szCs w:val="24"/>
        </w:rPr>
        <w:t>12 hours</w:t>
      </w:r>
      <w:r w:rsidR="00402C13" w:rsidRPr="00553F34">
        <w:rPr>
          <w:rFonts w:ascii="Times New Roman" w:hAnsi="Times New Roman"/>
          <w:szCs w:val="24"/>
        </w:rPr>
        <w:t xml:space="preserve"> per respondent per year to develop, maintain, and troubleshoot electronic systems for use in transmitting </w:t>
      </w:r>
      <w:r w:rsidR="00402C13" w:rsidRPr="00553F34">
        <w:rPr>
          <w:rFonts w:ascii="Times New Roman" w:hAnsi="Times New Roman"/>
          <w:szCs w:val="24"/>
        </w:rPr>
        <w:lastRenderedPageBreak/>
        <w:t xml:space="preserve">information.   The estimated time required to develop, maintain, and troubleshoot electronic systems is amortized over the expected number of responses.  </w:t>
      </w:r>
      <w:r w:rsidRPr="00553F34">
        <w:rPr>
          <w:rFonts w:ascii="Times New Roman" w:hAnsi="Times New Roman"/>
          <w:szCs w:val="24"/>
        </w:rPr>
        <w:t xml:space="preserve">The estimated time per response for </w:t>
      </w:r>
      <w:r>
        <w:rPr>
          <w:rFonts w:ascii="Times New Roman" w:hAnsi="Times New Roman"/>
          <w:szCs w:val="24"/>
        </w:rPr>
        <w:t>Food Manufacturers or D</w:t>
      </w:r>
      <w:r w:rsidRPr="00553F34">
        <w:rPr>
          <w:rFonts w:ascii="Times New Roman" w:hAnsi="Times New Roman"/>
          <w:szCs w:val="24"/>
        </w:rPr>
        <w:t>istributors</w:t>
      </w:r>
      <w:r>
        <w:rPr>
          <w:rFonts w:ascii="Times New Roman" w:hAnsi="Times New Roman"/>
          <w:szCs w:val="24"/>
        </w:rPr>
        <w:t xml:space="preserve"> to </w:t>
      </w:r>
      <w:r w:rsidRPr="00553F34">
        <w:rPr>
          <w:rFonts w:ascii="Times New Roman" w:hAnsi="Times New Roman"/>
          <w:szCs w:val="24"/>
        </w:rPr>
        <w:t xml:space="preserve">develop, maintain, and troubleshoot electronic systems is expected to be </w:t>
      </w:r>
      <w:r>
        <w:rPr>
          <w:rFonts w:ascii="Times New Roman" w:hAnsi="Times New Roman"/>
          <w:szCs w:val="24"/>
        </w:rPr>
        <w:t xml:space="preserve">12 hours per </w:t>
      </w:r>
      <w:r w:rsidRPr="00553F34">
        <w:rPr>
          <w:rFonts w:ascii="Times New Roman" w:hAnsi="Times New Roman"/>
          <w:szCs w:val="24"/>
        </w:rPr>
        <w:t>year / 4 responses per year</w:t>
      </w:r>
      <w:r>
        <w:rPr>
          <w:rFonts w:ascii="Times New Roman" w:hAnsi="Times New Roman"/>
          <w:szCs w:val="24"/>
        </w:rPr>
        <w:t xml:space="preserve"> or 3 hours annually.  For Authorized Vendors, it is expected to be 12 hours per year /2 responses or 6 hours annually.</w:t>
      </w:r>
    </w:p>
    <w:p w:rsidR="007E27C7" w:rsidRDefault="007E27C7" w:rsidP="00402C13">
      <w:pPr>
        <w:tabs>
          <w:tab w:val="left" w:pos="-720"/>
        </w:tabs>
        <w:suppressAutoHyphens/>
        <w:spacing w:line="480" w:lineRule="auto"/>
        <w:rPr>
          <w:rFonts w:ascii="Times New Roman" w:hAnsi="Times New Roman"/>
          <w:szCs w:val="24"/>
        </w:rPr>
      </w:pPr>
    </w:p>
    <w:p w:rsidR="00402C13" w:rsidRDefault="007E27C7" w:rsidP="00402C13">
      <w:pPr>
        <w:tabs>
          <w:tab w:val="left" w:pos="-720"/>
        </w:tabs>
        <w:suppressAutoHyphens/>
        <w:spacing w:line="480" w:lineRule="auto"/>
        <w:rPr>
          <w:rFonts w:ascii="Times New Roman" w:hAnsi="Times New Roman"/>
          <w:szCs w:val="24"/>
        </w:rPr>
      </w:pPr>
      <w:r w:rsidRPr="007E27C7">
        <w:rPr>
          <w:rFonts w:ascii="Times New Roman" w:hAnsi="Times New Roman"/>
          <w:i/>
          <w:szCs w:val="24"/>
        </w:rPr>
        <w:t>Gather &amp; Format information:</w:t>
      </w:r>
      <w:r>
        <w:rPr>
          <w:rFonts w:ascii="Times New Roman" w:hAnsi="Times New Roman"/>
          <w:i/>
          <w:szCs w:val="24"/>
        </w:rPr>
        <w:t xml:space="preserve"> </w:t>
      </w:r>
      <w:r>
        <w:rPr>
          <w:rFonts w:ascii="Times New Roman" w:hAnsi="Times New Roman"/>
          <w:szCs w:val="24"/>
        </w:rPr>
        <w:t xml:space="preserve">Additionally, </w:t>
      </w:r>
      <w:r w:rsidR="00402C13" w:rsidRPr="00553F34">
        <w:rPr>
          <w:rFonts w:ascii="Times New Roman" w:hAnsi="Times New Roman"/>
          <w:szCs w:val="24"/>
        </w:rPr>
        <w:t xml:space="preserve">FNS expects that Food Manufacturers and Distributors will expend </w:t>
      </w:r>
      <w:r w:rsidR="00402C13">
        <w:rPr>
          <w:rFonts w:ascii="Times New Roman" w:hAnsi="Times New Roman"/>
          <w:szCs w:val="24"/>
        </w:rPr>
        <w:t>6 hours</w:t>
      </w:r>
      <w:r w:rsidR="00402C13" w:rsidRPr="00553F34">
        <w:rPr>
          <w:rFonts w:ascii="Times New Roman" w:hAnsi="Times New Roman"/>
          <w:szCs w:val="24"/>
        </w:rPr>
        <w:t xml:space="preserve"> per response to gather and format the requested information.   Authorized Vendors are expected to expend </w:t>
      </w:r>
      <w:r w:rsidR="00402C13">
        <w:rPr>
          <w:rFonts w:ascii="Times New Roman" w:hAnsi="Times New Roman"/>
          <w:szCs w:val="24"/>
        </w:rPr>
        <w:t xml:space="preserve">1 hour </w:t>
      </w:r>
      <w:r w:rsidR="00402C13" w:rsidRPr="00553F34">
        <w:rPr>
          <w:rFonts w:ascii="Times New Roman" w:hAnsi="Times New Roman"/>
          <w:szCs w:val="24"/>
        </w:rPr>
        <w:t xml:space="preserve">per response to gather and format the requested information.   </w:t>
      </w:r>
    </w:p>
    <w:p w:rsidR="007E27C7" w:rsidRDefault="007E27C7" w:rsidP="00402C13">
      <w:pPr>
        <w:tabs>
          <w:tab w:val="left" w:pos="-720"/>
        </w:tabs>
        <w:suppressAutoHyphens/>
        <w:spacing w:line="480" w:lineRule="auto"/>
        <w:rPr>
          <w:rFonts w:ascii="Times New Roman" w:hAnsi="Times New Roman"/>
          <w:szCs w:val="24"/>
        </w:rPr>
      </w:pPr>
    </w:p>
    <w:p w:rsidR="00402C13" w:rsidRPr="00553F34" w:rsidRDefault="007E27C7" w:rsidP="00402C13">
      <w:pPr>
        <w:tabs>
          <w:tab w:val="left" w:pos="-720"/>
        </w:tabs>
        <w:suppressAutoHyphens/>
        <w:spacing w:line="480" w:lineRule="auto"/>
        <w:rPr>
          <w:rFonts w:ascii="Times New Roman" w:hAnsi="Times New Roman"/>
          <w:szCs w:val="24"/>
        </w:rPr>
      </w:pPr>
      <w:r w:rsidRPr="00553F34">
        <w:rPr>
          <w:rFonts w:ascii="Times New Roman" w:hAnsi="Times New Roman"/>
          <w:szCs w:val="24"/>
        </w:rPr>
        <w:t xml:space="preserve">The </w:t>
      </w:r>
      <w:r>
        <w:rPr>
          <w:rFonts w:ascii="Times New Roman" w:hAnsi="Times New Roman"/>
          <w:szCs w:val="24"/>
        </w:rPr>
        <w:t xml:space="preserve">total </w:t>
      </w:r>
      <w:r w:rsidRPr="00553F34">
        <w:rPr>
          <w:rFonts w:ascii="Times New Roman" w:hAnsi="Times New Roman"/>
          <w:szCs w:val="24"/>
        </w:rPr>
        <w:t xml:space="preserve">estimated time per response for </w:t>
      </w:r>
      <w:r>
        <w:rPr>
          <w:rFonts w:ascii="Times New Roman" w:hAnsi="Times New Roman"/>
          <w:szCs w:val="24"/>
        </w:rPr>
        <w:t>Food Manufacturers or D</w:t>
      </w:r>
      <w:r w:rsidRPr="00553F34">
        <w:rPr>
          <w:rFonts w:ascii="Times New Roman" w:hAnsi="Times New Roman"/>
          <w:szCs w:val="24"/>
        </w:rPr>
        <w:t>istributors</w:t>
      </w:r>
      <w:r>
        <w:rPr>
          <w:rFonts w:ascii="Times New Roman" w:hAnsi="Times New Roman"/>
          <w:szCs w:val="24"/>
        </w:rPr>
        <w:t xml:space="preserve"> is thus 9 hours (3 hours to d</w:t>
      </w:r>
      <w:r w:rsidRPr="007E27C7">
        <w:rPr>
          <w:rFonts w:ascii="Times New Roman" w:hAnsi="Times New Roman"/>
          <w:szCs w:val="24"/>
        </w:rPr>
        <w:t>evelop, maintain, and troubleshoot electronic systems</w:t>
      </w:r>
      <w:r>
        <w:rPr>
          <w:rFonts w:ascii="Times New Roman" w:hAnsi="Times New Roman"/>
          <w:szCs w:val="24"/>
        </w:rPr>
        <w:t xml:space="preserve"> + 6 hours to gather &amp; format data).  </w:t>
      </w:r>
      <w:r w:rsidR="00402C13" w:rsidRPr="007A65B2">
        <w:rPr>
          <w:rFonts w:ascii="Times New Roman" w:hAnsi="Times New Roman"/>
          <w:szCs w:val="24"/>
        </w:rPr>
        <w:t xml:space="preserve">The estimated </w:t>
      </w:r>
      <w:proofErr w:type="gramStart"/>
      <w:r w:rsidR="00402C13" w:rsidRPr="007A65B2">
        <w:rPr>
          <w:rFonts w:ascii="Times New Roman" w:hAnsi="Times New Roman"/>
          <w:szCs w:val="24"/>
        </w:rPr>
        <w:t>time per response</w:t>
      </w:r>
      <w:r w:rsidR="00402C13" w:rsidRPr="00553F34">
        <w:rPr>
          <w:rFonts w:ascii="Times New Roman" w:hAnsi="Times New Roman"/>
          <w:szCs w:val="24"/>
        </w:rPr>
        <w:t xml:space="preserve"> for Authori</w:t>
      </w:r>
      <w:r w:rsidR="00402C13">
        <w:rPr>
          <w:rFonts w:ascii="Times New Roman" w:hAnsi="Times New Roman"/>
          <w:szCs w:val="24"/>
        </w:rPr>
        <w:t xml:space="preserve">zed Vendors is expected to be </w:t>
      </w:r>
      <w:r w:rsidR="00402C13" w:rsidRPr="00553F34">
        <w:rPr>
          <w:rFonts w:ascii="Times New Roman" w:hAnsi="Times New Roman"/>
          <w:szCs w:val="24"/>
        </w:rPr>
        <w:t xml:space="preserve">7 </w:t>
      </w:r>
      <w:r w:rsidR="00402C13">
        <w:rPr>
          <w:rFonts w:ascii="Times New Roman" w:hAnsi="Times New Roman"/>
          <w:szCs w:val="24"/>
        </w:rPr>
        <w:t xml:space="preserve">hours </w:t>
      </w:r>
      <w:r w:rsidR="00402C13" w:rsidRPr="00553F34">
        <w:rPr>
          <w:rFonts w:ascii="Times New Roman" w:hAnsi="Times New Roman"/>
          <w:szCs w:val="24"/>
        </w:rPr>
        <w:t>per response (</w:t>
      </w:r>
      <w:r w:rsidR="00AD21D8">
        <w:rPr>
          <w:rFonts w:ascii="Times New Roman" w:hAnsi="Times New Roman"/>
          <w:szCs w:val="24"/>
        </w:rPr>
        <w:t>6</w:t>
      </w:r>
      <w:r w:rsidR="003324DB">
        <w:rPr>
          <w:rFonts w:ascii="Times New Roman" w:hAnsi="Times New Roman"/>
          <w:szCs w:val="24"/>
        </w:rPr>
        <w:t xml:space="preserve"> hours to d</w:t>
      </w:r>
      <w:r w:rsidR="003324DB" w:rsidRPr="007E27C7">
        <w:rPr>
          <w:rFonts w:ascii="Times New Roman" w:hAnsi="Times New Roman"/>
          <w:szCs w:val="24"/>
        </w:rPr>
        <w:t>evelop, maintain, and troubleshoot electronic systems</w:t>
      </w:r>
      <w:r w:rsidR="003324DB">
        <w:rPr>
          <w:rFonts w:ascii="Times New Roman" w:hAnsi="Times New Roman"/>
          <w:szCs w:val="24"/>
        </w:rPr>
        <w:t xml:space="preserve"> </w:t>
      </w:r>
      <w:r w:rsidR="00402C13" w:rsidRPr="00553F34">
        <w:rPr>
          <w:rFonts w:ascii="Times New Roman" w:hAnsi="Times New Roman"/>
          <w:szCs w:val="24"/>
        </w:rPr>
        <w:t xml:space="preserve">+ </w:t>
      </w:r>
      <w:r w:rsidR="00402C13">
        <w:rPr>
          <w:rFonts w:ascii="Times New Roman" w:hAnsi="Times New Roman"/>
          <w:szCs w:val="24"/>
        </w:rPr>
        <w:t xml:space="preserve">1 hour </w:t>
      </w:r>
      <w:r w:rsidR="003324DB">
        <w:rPr>
          <w:rFonts w:ascii="Times New Roman" w:hAnsi="Times New Roman"/>
          <w:szCs w:val="24"/>
        </w:rPr>
        <w:t>gather</w:t>
      </w:r>
      <w:proofErr w:type="gramEnd"/>
      <w:r w:rsidR="003324DB">
        <w:rPr>
          <w:rFonts w:ascii="Times New Roman" w:hAnsi="Times New Roman"/>
          <w:szCs w:val="24"/>
        </w:rPr>
        <w:t xml:space="preserve"> &amp; format</w:t>
      </w:r>
      <w:r w:rsidR="00402C13" w:rsidRPr="00553F34">
        <w:rPr>
          <w:rFonts w:ascii="Times New Roman" w:hAnsi="Times New Roman"/>
          <w:szCs w:val="24"/>
        </w:rPr>
        <w:t>)</w:t>
      </w:r>
      <w:r w:rsidR="00402C13">
        <w:rPr>
          <w:rFonts w:ascii="Times New Roman" w:hAnsi="Times New Roman"/>
          <w:szCs w:val="24"/>
        </w:rPr>
        <w:t>.</w:t>
      </w:r>
      <w:r w:rsidR="00402C13" w:rsidRPr="00553F34">
        <w:rPr>
          <w:rFonts w:ascii="Times New Roman" w:hAnsi="Times New Roman"/>
          <w:szCs w:val="24"/>
        </w:rPr>
        <w:t xml:space="preserve"> </w:t>
      </w:r>
    </w:p>
    <w:p w:rsidR="00402C13" w:rsidRPr="00553F34" w:rsidRDefault="00402C13" w:rsidP="00402C13">
      <w:pPr>
        <w:tabs>
          <w:tab w:val="left" w:pos="-720"/>
        </w:tabs>
        <w:suppressAutoHyphens/>
        <w:spacing w:line="480" w:lineRule="auto"/>
        <w:rPr>
          <w:rFonts w:ascii="Times New Roman" w:hAnsi="Times New Roman"/>
          <w:szCs w:val="24"/>
        </w:rPr>
      </w:pPr>
    </w:p>
    <w:p w:rsidR="0022244B" w:rsidRDefault="00402C13" w:rsidP="00402C13">
      <w:pPr>
        <w:tabs>
          <w:tab w:val="left" w:pos="-720"/>
        </w:tabs>
        <w:suppressAutoHyphens/>
        <w:spacing w:line="480" w:lineRule="auto"/>
        <w:rPr>
          <w:rFonts w:ascii="Times New Roman" w:hAnsi="Times New Roman"/>
          <w:szCs w:val="24"/>
        </w:rPr>
      </w:pPr>
      <w:proofErr w:type="gramStart"/>
      <w:r w:rsidRPr="00553F34">
        <w:rPr>
          <w:rFonts w:ascii="Times New Roman" w:hAnsi="Times New Roman"/>
          <w:szCs w:val="24"/>
          <w:u w:val="single"/>
        </w:rPr>
        <w:t>Estimated Total Annual Burden on all Respondents:</w:t>
      </w:r>
      <w:r w:rsidRPr="00553F34">
        <w:rPr>
          <w:rFonts w:ascii="Times New Roman" w:hAnsi="Times New Roman"/>
          <w:szCs w:val="24"/>
        </w:rPr>
        <w:t xml:space="preserve"> </w:t>
      </w:r>
      <w:r>
        <w:rPr>
          <w:rFonts w:ascii="Times New Roman" w:hAnsi="Times New Roman"/>
          <w:szCs w:val="24"/>
        </w:rPr>
        <w:t xml:space="preserve">10,320 </w:t>
      </w:r>
      <w:r w:rsidRPr="00553F34">
        <w:rPr>
          <w:rFonts w:ascii="Times New Roman" w:hAnsi="Times New Roman"/>
          <w:szCs w:val="24"/>
        </w:rPr>
        <w:t>hours.</w:t>
      </w:r>
      <w:proofErr w:type="gramEnd"/>
      <w:r w:rsidRPr="00553F34">
        <w:rPr>
          <w:rFonts w:ascii="Times New Roman" w:hAnsi="Times New Roman"/>
          <w:szCs w:val="24"/>
        </w:rPr>
        <w:t xml:space="preserve">  The table below provides an estimated total annual burden for each type of respondent. </w:t>
      </w:r>
    </w:p>
    <w:p w:rsidR="0022244B" w:rsidRDefault="0022244B" w:rsidP="00402C13">
      <w:pPr>
        <w:tabs>
          <w:tab w:val="left" w:pos="-720"/>
        </w:tabs>
        <w:suppressAutoHyphens/>
        <w:spacing w:line="480" w:lineRule="auto"/>
        <w:rPr>
          <w:rFonts w:ascii="Times New Roman" w:hAnsi="Times New Roman"/>
          <w:szCs w:val="24"/>
        </w:rPr>
      </w:pPr>
    </w:p>
    <w:p w:rsidR="00E07080" w:rsidRDefault="00E07080" w:rsidP="00402C13">
      <w:pPr>
        <w:tabs>
          <w:tab w:val="left" w:pos="-720"/>
        </w:tabs>
        <w:suppressAutoHyphens/>
        <w:spacing w:line="480" w:lineRule="auto"/>
        <w:rPr>
          <w:rFonts w:ascii="Times New Roman" w:hAnsi="Times New Roman"/>
          <w:szCs w:val="24"/>
        </w:rPr>
      </w:pPr>
    </w:p>
    <w:p w:rsidR="0022244B" w:rsidRDefault="0022244B" w:rsidP="00402C13">
      <w:pPr>
        <w:tabs>
          <w:tab w:val="left" w:pos="-720"/>
        </w:tabs>
        <w:suppressAutoHyphens/>
        <w:spacing w:line="480" w:lineRule="auto"/>
        <w:rPr>
          <w:rFonts w:ascii="Times New Roman" w:hAnsi="Times New Roman"/>
          <w:szCs w:val="24"/>
        </w:rPr>
      </w:pPr>
    </w:p>
    <w:tbl>
      <w:tblPr>
        <w:tblpPr w:leftFromText="180" w:rightFromText="180" w:vertAnchor="text" w:horzAnchor="margin" w:tblpY="730"/>
        <w:tblW w:w="10450" w:type="dxa"/>
        <w:tblLayout w:type="fixed"/>
        <w:tblLook w:val="04A0" w:firstRow="1" w:lastRow="0" w:firstColumn="1" w:lastColumn="0" w:noHBand="0" w:noVBand="1"/>
      </w:tblPr>
      <w:tblGrid>
        <w:gridCol w:w="1278"/>
        <w:gridCol w:w="1432"/>
        <w:gridCol w:w="1260"/>
        <w:gridCol w:w="1170"/>
        <w:gridCol w:w="1080"/>
        <w:gridCol w:w="990"/>
        <w:gridCol w:w="990"/>
        <w:gridCol w:w="990"/>
        <w:gridCol w:w="1260"/>
      </w:tblGrid>
      <w:tr w:rsidR="003324DB" w:rsidRPr="003324DB" w:rsidTr="003324DB">
        <w:trPr>
          <w:trHeight w:val="1305"/>
        </w:trPr>
        <w:tc>
          <w:tcPr>
            <w:tcW w:w="1278" w:type="dxa"/>
            <w:tcBorders>
              <w:top w:val="single" w:sz="4" w:space="0" w:color="auto"/>
              <w:left w:val="single" w:sz="8" w:space="0" w:color="auto"/>
              <w:bottom w:val="single" w:sz="8" w:space="0" w:color="auto"/>
              <w:right w:val="single" w:sz="4" w:space="0" w:color="auto"/>
            </w:tcBorders>
            <w:shd w:val="clear" w:color="auto" w:fill="auto"/>
            <w:vAlign w:val="bottom"/>
            <w:hideMark/>
          </w:tcPr>
          <w:p w:rsidR="003324DB" w:rsidRPr="003324DB" w:rsidRDefault="003324DB" w:rsidP="00995B4D">
            <w:pPr>
              <w:widowControl/>
              <w:overflowPunct/>
              <w:autoSpaceDE/>
              <w:autoSpaceDN/>
              <w:adjustRightInd/>
              <w:textAlignment w:val="auto"/>
              <w:rPr>
                <w:rFonts w:ascii="Calibri" w:hAnsi="Calibri"/>
                <w:b/>
                <w:bCs/>
                <w:color w:val="000000"/>
                <w:sz w:val="18"/>
              </w:rPr>
            </w:pPr>
            <w:bookmarkStart w:id="32" w:name="OLE_LINK3"/>
            <w:r w:rsidRPr="003324DB">
              <w:rPr>
                <w:rFonts w:ascii="Calibri" w:hAnsi="Calibri"/>
                <w:b/>
                <w:bCs/>
                <w:color w:val="000000"/>
                <w:sz w:val="18"/>
              </w:rPr>
              <w:lastRenderedPageBreak/>
              <w:t>Respondent Category</w:t>
            </w:r>
          </w:p>
        </w:tc>
        <w:tc>
          <w:tcPr>
            <w:tcW w:w="1432" w:type="dxa"/>
            <w:tcBorders>
              <w:top w:val="single" w:sz="4" w:space="0" w:color="auto"/>
              <w:left w:val="nil"/>
              <w:bottom w:val="single" w:sz="8" w:space="0" w:color="auto"/>
              <w:right w:val="single" w:sz="4" w:space="0" w:color="auto"/>
            </w:tcBorders>
            <w:shd w:val="clear" w:color="auto" w:fill="auto"/>
            <w:vAlign w:val="bottom"/>
            <w:hideMark/>
          </w:tcPr>
          <w:p w:rsidR="003324DB" w:rsidRPr="003324DB" w:rsidRDefault="003324DB" w:rsidP="00995B4D">
            <w:pPr>
              <w:widowControl/>
              <w:overflowPunct/>
              <w:autoSpaceDE/>
              <w:autoSpaceDN/>
              <w:adjustRightInd/>
              <w:jc w:val="center"/>
              <w:textAlignment w:val="auto"/>
              <w:rPr>
                <w:rFonts w:ascii="Calibri" w:hAnsi="Calibri"/>
                <w:b/>
                <w:bCs/>
                <w:color w:val="000000"/>
                <w:sz w:val="18"/>
              </w:rPr>
            </w:pPr>
            <w:r w:rsidRPr="003324DB">
              <w:rPr>
                <w:rFonts w:ascii="Calibri" w:hAnsi="Calibri"/>
                <w:b/>
                <w:bCs/>
                <w:color w:val="000000"/>
                <w:sz w:val="18"/>
              </w:rPr>
              <w:t>Type of respondents</w:t>
            </w:r>
          </w:p>
        </w:tc>
        <w:tc>
          <w:tcPr>
            <w:tcW w:w="1260" w:type="dxa"/>
            <w:tcBorders>
              <w:top w:val="single" w:sz="4" w:space="0" w:color="auto"/>
              <w:left w:val="nil"/>
              <w:bottom w:val="single" w:sz="8" w:space="0" w:color="auto"/>
              <w:right w:val="single" w:sz="4" w:space="0" w:color="auto"/>
            </w:tcBorders>
            <w:shd w:val="clear" w:color="auto" w:fill="auto"/>
            <w:vAlign w:val="bottom"/>
            <w:hideMark/>
          </w:tcPr>
          <w:p w:rsidR="003324DB" w:rsidRPr="003324DB" w:rsidRDefault="003324DB" w:rsidP="00995B4D">
            <w:pPr>
              <w:widowControl/>
              <w:overflowPunct/>
              <w:autoSpaceDE/>
              <w:autoSpaceDN/>
              <w:adjustRightInd/>
              <w:jc w:val="center"/>
              <w:textAlignment w:val="auto"/>
              <w:rPr>
                <w:rFonts w:ascii="Calibri" w:hAnsi="Calibri"/>
                <w:b/>
                <w:bCs/>
                <w:color w:val="000000"/>
                <w:sz w:val="18"/>
              </w:rPr>
            </w:pPr>
            <w:r w:rsidRPr="003324DB">
              <w:rPr>
                <w:rFonts w:ascii="Calibri" w:hAnsi="Calibri"/>
                <w:b/>
                <w:bCs/>
                <w:color w:val="000000"/>
                <w:sz w:val="18"/>
              </w:rPr>
              <w:t>Estimated Number of respondents</w:t>
            </w:r>
          </w:p>
        </w:tc>
        <w:tc>
          <w:tcPr>
            <w:tcW w:w="1170" w:type="dxa"/>
            <w:tcBorders>
              <w:top w:val="single" w:sz="4" w:space="0" w:color="auto"/>
              <w:left w:val="nil"/>
              <w:bottom w:val="single" w:sz="8" w:space="0" w:color="auto"/>
              <w:right w:val="single" w:sz="4" w:space="0" w:color="auto"/>
            </w:tcBorders>
            <w:shd w:val="clear" w:color="auto" w:fill="auto"/>
            <w:vAlign w:val="bottom"/>
            <w:hideMark/>
          </w:tcPr>
          <w:p w:rsidR="003324DB" w:rsidRPr="003324DB" w:rsidRDefault="003324DB" w:rsidP="00995B4D">
            <w:pPr>
              <w:widowControl/>
              <w:overflowPunct/>
              <w:autoSpaceDE/>
              <w:autoSpaceDN/>
              <w:adjustRightInd/>
              <w:jc w:val="center"/>
              <w:textAlignment w:val="auto"/>
              <w:rPr>
                <w:rFonts w:ascii="Calibri" w:hAnsi="Calibri"/>
                <w:b/>
                <w:bCs/>
                <w:color w:val="000000"/>
                <w:sz w:val="18"/>
              </w:rPr>
            </w:pPr>
            <w:r w:rsidRPr="003324DB">
              <w:rPr>
                <w:rFonts w:ascii="Calibri" w:hAnsi="Calibri"/>
                <w:b/>
                <w:bCs/>
                <w:color w:val="000000"/>
                <w:sz w:val="18"/>
              </w:rPr>
              <w:t>Frequency of response (annually)</w:t>
            </w:r>
          </w:p>
        </w:tc>
        <w:tc>
          <w:tcPr>
            <w:tcW w:w="1080" w:type="dxa"/>
            <w:tcBorders>
              <w:top w:val="single" w:sz="4" w:space="0" w:color="auto"/>
              <w:left w:val="nil"/>
              <w:bottom w:val="single" w:sz="8" w:space="0" w:color="auto"/>
              <w:right w:val="single" w:sz="4" w:space="0" w:color="auto"/>
            </w:tcBorders>
            <w:shd w:val="clear" w:color="auto" w:fill="auto"/>
            <w:vAlign w:val="bottom"/>
            <w:hideMark/>
          </w:tcPr>
          <w:p w:rsidR="003324DB" w:rsidRPr="003324DB" w:rsidRDefault="003324DB" w:rsidP="00995B4D">
            <w:pPr>
              <w:widowControl/>
              <w:overflowPunct/>
              <w:autoSpaceDE/>
              <w:autoSpaceDN/>
              <w:adjustRightInd/>
              <w:jc w:val="center"/>
              <w:textAlignment w:val="auto"/>
              <w:rPr>
                <w:rFonts w:ascii="Calibri" w:hAnsi="Calibri"/>
                <w:b/>
                <w:bCs/>
                <w:color w:val="000000"/>
                <w:sz w:val="18"/>
              </w:rPr>
            </w:pPr>
            <w:r w:rsidRPr="003324DB">
              <w:rPr>
                <w:rFonts w:ascii="Calibri" w:hAnsi="Calibri"/>
                <w:b/>
                <w:bCs/>
                <w:color w:val="000000"/>
                <w:sz w:val="18"/>
              </w:rPr>
              <w:t>Total Annual responses</w:t>
            </w:r>
          </w:p>
        </w:tc>
        <w:tc>
          <w:tcPr>
            <w:tcW w:w="990" w:type="dxa"/>
            <w:tcBorders>
              <w:top w:val="single" w:sz="4" w:space="0" w:color="auto"/>
              <w:left w:val="nil"/>
              <w:bottom w:val="single" w:sz="8" w:space="0" w:color="auto"/>
              <w:right w:val="single" w:sz="4" w:space="0" w:color="auto"/>
            </w:tcBorders>
            <w:shd w:val="clear" w:color="auto" w:fill="auto"/>
            <w:vAlign w:val="bottom"/>
            <w:hideMark/>
          </w:tcPr>
          <w:p w:rsidR="003324DB" w:rsidRPr="003324DB" w:rsidRDefault="003324DB" w:rsidP="00995B4D">
            <w:pPr>
              <w:widowControl/>
              <w:overflowPunct/>
              <w:autoSpaceDE/>
              <w:autoSpaceDN/>
              <w:adjustRightInd/>
              <w:jc w:val="center"/>
              <w:textAlignment w:val="auto"/>
              <w:rPr>
                <w:rFonts w:ascii="Calibri" w:hAnsi="Calibri"/>
                <w:b/>
                <w:bCs/>
                <w:color w:val="000000"/>
                <w:sz w:val="18"/>
              </w:rPr>
            </w:pPr>
            <w:r w:rsidRPr="003324DB">
              <w:rPr>
                <w:rFonts w:ascii="Calibri" w:hAnsi="Calibri"/>
                <w:b/>
                <w:bCs/>
                <w:color w:val="000000"/>
                <w:sz w:val="18"/>
              </w:rPr>
              <w:t>Hours per response</w:t>
            </w:r>
          </w:p>
        </w:tc>
        <w:tc>
          <w:tcPr>
            <w:tcW w:w="990" w:type="dxa"/>
            <w:tcBorders>
              <w:top w:val="single" w:sz="4" w:space="0" w:color="auto"/>
              <w:left w:val="nil"/>
              <w:bottom w:val="single" w:sz="8" w:space="0" w:color="auto"/>
              <w:right w:val="single" w:sz="4" w:space="0" w:color="auto"/>
            </w:tcBorders>
            <w:shd w:val="clear" w:color="auto" w:fill="auto"/>
            <w:vAlign w:val="bottom"/>
            <w:hideMark/>
          </w:tcPr>
          <w:p w:rsidR="003324DB" w:rsidRPr="003324DB" w:rsidRDefault="003324DB" w:rsidP="00995B4D">
            <w:pPr>
              <w:widowControl/>
              <w:overflowPunct/>
              <w:autoSpaceDE/>
              <w:autoSpaceDN/>
              <w:adjustRightInd/>
              <w:jc w:val="center"/>
              <w:textAlignment w:val="auto"/>
              <w:rPr>
                <w:rFonts w:ascii="Calibri" w:hAnsi="Calibri"/>
                <w:b/>
                <w:bCs/>
                <w:color w:val="000000"/>
                <w:sz w:val="18"/>
              </w:rPr>
            </w:pPr>
            <w:r w:rsidRPr="003324DB">
              <w:rPr>
                <w:rFonts w:ascii="Calibri" w:hAnsi="Calibri"/>
                <w:b/>
                <w:bCs/>
                <w:color w:val="000000"/>
                <w:sz w:val="18"/>
              </w:rPr>
              <w:t>Annual burden (hours)</w:t>
            </w:r>
          </w:p>
        </w:tc>
        <w:tc>
          <w:tcPr>
            <w:tcW w:w="990" w:type="dxa"/>
            <w:tcBorders>
              <w:top w:val="single" w:sz="4" w:space="0" w:color="auto"/>
              <w:left w:val="nil"/>
              <w:bottom w:val="single" w:sz="8" w:space="0" w:color="auto"/>
              <w:right w:val="single" w:sz="8" w:space="0" w:color="auto"/>
            </w:tcBorders>
            <w:shd w:val="clear" w:color="auto" w:fill="auto"/>
            <w:vAlign w:val="bottom"/>
            <w:hideMark/>
          </w:tcPr>
          <w:p w:rsidR="003324DB" w:rsidRPr="003324DB" w:rsidRDefault="003324DB" w:rsidP="00995B4D">
            <w:pPr>
              <w:widowControl/>
              <w:overflowPunct/>
              <w:autoSpaceDE/>
              <w:autoSpaceDN/>
              <w:adjustRightInd/>
              <w:jc w:val="center"/>
              <w:textAlignment w:val="auto"/>
              <w:rPr>
                <w:rFonts w:ascii="Calibri" w:hAnsi="Calibri"/>
                <w:b/>
                <w:bCs/>
                <w:color w:val="000000"/>
                <w:sz w:val="18"/>
              </w:rPr>
            </w:pPr>
            <w:r w:rsidRPr="003324DB">
              <w:rPr>
                <w:rFonts w:ascii="Calibri" w:hAnsi="Calibri"/>
                <w:b/>
                <w:bCs/>
                <w:color w:val="000000"/>
                <w:sz w:val="18"/>
              </w:rPr>
              <w:t>Blended Hourly Wage Rate</w:t>
            </w:r>
          </w:p>
        </w:tc>
        <w:tc>
          <w:tcPr>
            <w:tcW w:w="1260" w:type="dxa"/>
            <w:tcBorders>
              <w:top w:val="single" w:sz="4" w:space="0" w:color="auto"/>
              <w:left w:val="nil"/>
              <w:bottom w:val="single" w:sz="8" w:space="0" w:color="auto"/>
              <w:right w:val="single" w:sz="8" w:space="0" w:color="auto"/>
            </w:tcBorders>
            <w:shd w:val="clear" w:color="auto" w:fill="auto"/>
            <w:vAlign w:val="bottom"/>
            <w:hideMark/>
          </w:tcPr>
          <w:p w:rsidR="003324DB" w:rsidRPr="003324DB" w:rsidRDefault="003324DB" w:rsidP="00995B4D">
            <w:pPr>
              <w:widowControl/>
              <w:overflowPunct/>
              <w:autoSpaceDE/>
              <w:autoSpaceDN/>
              <w:adjustRightInd/>
              <w:jc w:val="center"/>
              <w:textAlignment w:val="auto"/>
              <w:rPr>
                <w:rFonts w:ascii="Calibri" w:hAnsi="Calibri"/>
                <w:b/>
                <w:bCs/>
                <w:color w:val="000000"/>
                <w:sz w:val="18"/>
              </w:rPr>
            </w:pPr>
            <w:r w:rsidRPr="003324DB">
              <w:rPr>
                <w:rFonts w:ascii="Calibri" w:hAnsi="Calibri"/>
                <w:b/>
                <w:bCs/>
                <w:color w:val="000000"/>
                <w:sz w:val="18"/>
              </w:rPr>
              <w:t>Total Annualized Cost of Respondent Burden</w:t>
            </w:r>
          </w:p>
        </w:tc>
      </w:tr>
      <w:tr w:rsidR="003324DB" w:rsidRPr="003324DB" w:rsidTr="003324DB">
        <w:trPr>
          <w:trHeight w:val="525"/>
        </w:trPr>
        <w:tc>
          <w:tcPr>
            <w:tcW w:w="1278" w:type="dxa"/>
            <w:tcBorders>
              <w:top w:val="single" w:sz="4" w:space="0" w:color="auto"/>
              <w:left w:val="single" w:sz="8" w:space="0" w:color="auto"/>
              <w:bottom w:val="nil"/>
              <w:right w:val="single" w:sz="4" w:space="0" w:color="auto"/>
            </w:tcBorders>
            <w:shd w:val="clear" w:color="auto" w:fill="auto"/>
            <w:vAlign w:val="center"/>
          </w:tcPr>
          <w:p w:rsidR="003324DB" w:rsidRPr="003324DB" w:rsidRDefault="003324DB" w:rsidP="00995B4D">
            <w:pPr>
              <w:widowControl/>
              <w:overflowPunct/>
              <w:autoSpaceDE/>
              <w:autoSpaceDN/>
              <w:adjustRightInd/>
              <w:jc w:val="center"/>
              <w:textAlignment w:val="auto"/>
              <w:rPr>
                <w:rFonts w:ascii="Calibri" w:hAnsi="Calibri"/>
                <w:b/>
                <w:color w:val="000000"/>
                <w:sz w:val="18"/>
              </w:rPr>
            </w:pPr>
            <w:r w:rsidRPr="003324DB">
              <w:rPr>
                <w:rFonts w:ascii="Calibri" w:hAnsi="Calibri"/>
                <w:b/>
                <w:color w:val="000000"/>
                <w:sz w:val="18"/>
              </w:rPr>
              <w:t>REPORTING BURDEN</w:t>
            </w:r>
          </w:p>
        </w:tc>
        <w:tc>
          <w:tcPr>
            <w:tcW w:w="1432" w:type="dxa"/>
            <w:tcBorders>
              <w:top w:val="single" w:sz="4" w:space="0" w:color="auto"/>
              <w:left w:val="nil"/>
              <w:bottom w:val="single" w:sz="4" w:space="0" w:color="auto"/>
              <w:right w:val="single" w:sz="4" w:space="0" w:color="auto"/>
            </w:tcBorders>
            <w:shd w:val="clear" w:color="auto" w:fill="auto"/>
            <w:vAlign w:val="bottom"/>
          </w:tcPr>
          <w:p w:rsidR="003324DB" w:rsidRPr="003324DB" w:rsidRDefault="003324DB" w:rsidP="00995B4D">
            <w:pPr>
              <w:widowControl/>
              <w:overflowPunct/>
              <w:autoSpaceDE/>
              <w:autoSpaceDN/>
              <w:adjustRightInd/>
              <w:textAlignment w:val="auto"/>
              <w:rPr>
                <w:rFonts w:ascii="Calibri" w:hAnsi="Calibri"/>
                <w:color w:val="000000"/>
                <w:sz w:val="18"/>
              </w:rPr>
            </w:pPr>
          </w:p>
        </w:tc>
        <w:tc>
          <w:tcPr>
            <w:tcW w:w="1260" w:type="dxa"/>
            <w:tcBorders>
              <w:top w:val="single" w:sz="4" w:space="0" w:color="auto"/>
              <w:left w:val="nil"/>
              <w:bottom w:val="single" w:sz="4" w:space="0" w:color="auto"/>
              <w:right w:val="single" w:sz="4" w:space="0" w:color="auto"/>
            </w:tcBorders>
            <w:shd w:val="clear" w:color="auto" w:fill="auto"/>
            <w:vAlign w:val="bottom"/>
          </w:tcPr>
          <w:p w:rsidR="003324DB" w:rsidRPr="003324DB" w:rsidRDefault="003324DB" w:rsidP="00995B4D">
            <w:pPr>
              <w:widowControl/>
              <w:overflowPunct/>
              <w:autoSpaceDE/>
              <w:autoSpaceDN/>
              <w:adjustRightInd/>
              <w:jc w:val="right"/>
              <w:textAlignment w:val="auto"/>
              <w:rPr>
                <w:rFonts w:ascii="Calibri" w:hAnsi="Calibri"/>
                <w:color w:val="000000"/>
                <w:sz w:val="18"/>
              </w:rPr>
            </w:pPr>
          </w:p>
        </w:tc>
        <w:tc>
          <w:tcPr>
            <w:tcW w:w="1170" w:type="dxa"/>
            <w:tcBorders>
              <w:top w:val="single" w:sz="4" w:space="0" w:color="auto"/>
              <w:left w:val="nil"/>
              <w:bottom w:val="single" w:sz="4" w:space="0" w:color="auto"/>
              <w:right w:val="single" w:sz="4" w:space="0" w:color="auto"/>
            </w:tcBorders>
            <w:shd w:val="clear" w:color="auto" w:fill="auto"/>
            <w:vAlign w:val="bottom"/>
          </w:tcPr>
          <w:p w:rsidR="003324DB" w:rsidRPr="003324DB" w:rsidRDefault="003324DB" w:rsidP="00995B4D">
            <w:pPr>
              <w:widowControl/>
              <w:overflowPunct/>
              <w:autoSpaceDE/>
              <w:autoSpaceDN/>
              <w:adjustRightInd/>
              <w:jc w:val="center"/>
              <w:textAlignment w:val="auto"/>
              <w:rPr>
                <w:rFonts w:ascii="Calibri" w:hAnsi="Calibri"/>
                <w:color w:val="000000"/>
                <w:sz w:val="18"/>
              </w:rPr>
            </w:pPr>
          </w:p>
        </w:tc>
        <w:tc>
          <w:tcPr>
            <w:tcW w:w="1080" w:type="dxa"/>
            <w:tcBorders>
              <w:top w:val="single" w:sz="4" w:space="0" w:color="auto"/>
              <w:left w:val="nil"/>
              <w:bottom w:val="single" w:sz="4" w:space="0" w:color="auto"/>
              <w:right w:val="single" w:sz="4" w:space="0" w:color="auto"/>
            </w:tcBorders>
            <w:shd w:val="clear" w:color="auto" w:fill="auto"/>
            <w:vAlign w:val="bottom"/>
          </w:tcPr>
          <w:p w:rsidR="003324DB" w:rsidRPr="003324DB" w:rsidRDefault="003324DB" w:rsidP="00995B4D">
            <w:pPr>
              <w:widowControl/>
              <w:overflowPunct/>
              <w:autoSpaceDE/>
              <w:autoSpaceDN/>
              <w:adjustRightInd/>
              <w:jc w:val="right"/>
              <w:textAlignment w:val="auto"/>
              <w:rPr>
                <w:rFonts w:ascii="Calibri" w:hAnsi="Calibri"/>
                <w:color w:val="000000"/>
                <w:sz w:val="18"/>
              </w:rPr>
            </w:pPr>
          </w:p>
        </w:tc>
        <w:tc>
          <w:tcPr>
            <w:tcW w:w="990" w:type="dxa"/>
            <w:tcBorders>
              <w:top w:val="single" w:sz="4" w:space="0" w:color="auto"/>
              <w:left w:val="nil"/>
              <w:bottom w:val="single" w:sz="4" w:space="0" w:color="auto"/>
              <w:right w:val="single" w:sz="4" w:space="0" w:color="auto"/>
            </w:tcBorders>
            <w:shd w:val="clear" w:color="auto" w:fill="auto"/>
            <w:vAlign w:val="bottom"/>
          </w:tcPr>
          <w:p w:rsidR="003324DB" w:rsidRPr="003324DB" w:rsidRDefault="003324DB" w:rsidP="00995B4D">
            <w:pPr>
              <w:widowControl/>
              <w:overflowPunct/>
              <w:autoSpaceDE/>
              <w:autoSpaceDN/>
              <w:adjustRightInd/>
              <w:jc w:val="right"/>
              <w:textAlignment w:val="auto"/>
              <w:rPr>
                <w:rFonts w:ascii="Calibri" w:hAnsi="Calibri"/>
                <w:color w:val="000000"/>
                <w:sz w:val="18"/>
              </w:rPr>
            </w:pPr>
          </w:p>
        </w:tc>
        <w:tc>
          <w:tcPr>
            <w:tcW w:w="990" w:type="dxa"/>
            <w:tcBorders>
              <w:top w:val="single" w:sz="4" w:space="0" w:color="auto"/>
              <w:left w:val="nil"/>
              <w:bottom w:val="single" w:sz="4" w:space="0" w:color="auto"/>
              <w:right w:val="single" w:sz="4" w:space="0" w:color="auto"/>
            </w:tcBorders>
            <w:shd w:val="clear" w:color="auto" w:fill="auto"/>
            <w:vAlign w:val="bottom"/>
          </w:tcPr>
          <w:p w:rsidR="003324DB" w:rsidRPr="003324DB" w:rsidRDefault="003324DB" w:rsidP="00995B4D">
            <w:pPr>
              <w:widowControl/>
              <w:overflowPunct/>
              <w:autoSpaceDE/>
              <w:autoSpaceDN/>
              <w:adjustRightInd/>
              <w:jc w:val="right"/>
              <w:textAlignment w:val="auto"/>
              <w:rPr>
                <w:rFonts w:ascii="Calibri" w:hAnsi="Calibri"/>
                <w:color w:val="000000"/>
                <w:sz w:val="18"/>
              </w:rPr>
            </w:pPr>
          </w:p>
        </w:tc>
        <w:tc>
          <w:tcPr>
            <w:tcW w:w="990" w:type="dxa"/>
            <w:tcBorders>
              <w:top w:val="single" w:sz="4" w:space="0" w:color="auto"/>
              <w:left w:val="nil"/>
              <w:bottom w:val="single" w:sz="4" w:space="0" w:color="auto"/>
              <w:right w:val="single" w:sz="8" w:space="0" w:color="auto"/>
            </w:tcBorders>
            <w:shd w:val="clear" w:color="auto" w:fill="auto"/>
            <w:noWrap/>
            <w:vAlign w:val="bottom"/>
          </w:tcPr>
          <w:p w:rsidR="003324DB" w:rsidRPr="003324DB" w:rsidRDefault="003324DB" w:rsidP="00995B4D">
            <w:pPr>
              <w:widowControl/>
              <w:overflowPunct/>
              <w:autoSpaceDE/>
              <w:autoSpaceDN/>
              <w:adjustRightInd/>
              <w:textAlignment w:val="auto"/>
              <w:rPr>
                <w:rFonts w:ascii="Calibri" w:hAnsi="Calibri"/>
                <w:color w:val="000000"/>
                <w:sz w:val="18"/>
              </w:rPr>
            </w:pPr>
          </w:p>
        </w:tc>
        <w:tc>
          <w:tcPr>
            <w:tcW w:w="1260" w:type="dxa"/>
            <w:tcBorders>
              <w:top w:val="single" w:sz="4" w:space="0" w:color="auto"/>
              <w:left w:val="nil"/>
              <w:bottom w:val="single" w:sz="4" w:space="0" w:color="auto"/>
              <w:right w:val="single" w:sz="8" w:space="0" w:color="auto"/>
            </w:tcBorders>
            <w:shd w:val="clear" w:color="auto" w:fill="auto"/>
            <w:noWrap/>
            <w:vAlign w:val="bottom"/>
          </w:tcPr>
          <w:p w:rsidR="003324DB" w:rsidRPr="003324DB" w:rsidRDefault="003324DB" w:rsidP="00995B4D">
            <w:pPr>
              <w:widowControl/>
              <w:overflowPunct/>
              <w:autoSpaceDE/>
              <w:autoSpaceDN/>
              <w:adjustRightInd/>
              <w:textAlignment w:val="auto"/>
              <w:rPr>
                <w:rFonts w:ascii="Calibri" w:hAnsi="Calibri"/>
                <w:color w:val="000000"/>
                <w:sz w:val="18"/>
              </w:rPr>
            </w:pPr>
          </w:p>
        </w:tc>
      </w:tr>
      <w:tr w:rsidR="003324DB" w:rsidRPr="003324DB" w:rsidTr="003324DB">
        <w:trPr>
          <w:trHeight w:val="525"/>
        </w:trPr>
        <w:tc>
          <w:tcPr>
            <w:tcW w:w="1278" w:type="dxa"/>
            <w:tcBorders>
              <w:top w:val="single" w:sz="4" w:space="0" w:color="auto"/>
              <w:left w:val="single" w:sz="8" w:space="0" w:color="auto"/>
              <w:bottom w:val="nil"/>
              <w:right w:val="single" w:sz="4" w:space="0" w:color="auto"/>
            </w:tcBorders>
            <w:shd w:val="clear" w:color="auto" w:fill="auto"/>
            <w:vAlign w:val="center"/>
            <w:hideMark/>
          </w:tcPr>
          <w:p w:rsidR="003324DB" w:rsidRPr="003324DB" w:rsidRDefault="003324DB" w:rsidP="00995B4D">
            <w:pPr>
              <w:widowControl/>
              <w:overflowPunct/>
              <w:autoSpaceDE/>
              <w:autoSpaceDN/>
              <w:adjustRightInd/>
              <w:jc w:val="center"/>
              <w:textAlignment w:val="auto"/>
              <w:rPr>
                <w:rFonts w:ascii="Calibri" w:hAnsi="Calibri"/>
                <w:color w:val="000000"/>
                <w:sz w:val="18"/>
              </w:rPr>
            </w:pPr>
            <w:r w:rsidRPr="003324DB">
              <w:rPr>
                <w:rFonts w:ascii="Calibri" w:hAnsi="Calibri"/>
                <w:color w:val="000000"/>
                <w:sz w:val="18"/>
              </w:rPr>
              <w:t>Business</w:t>
            </w:r>
          </w:p>
        </w:tc>
        <w:tc>
          <w:tcPr>
            <w:tcW w:w="1432" w:type="dxa"/>
            <w:tcBorders>
              <w:top w:val="single" w:sz="4" w:space="0" w:color="auto"/>
              <w:left w:val="nil"/>
              <w:bottom w:val="single" w:sz="4" w:space="0" w:color="auto"/>
              <w:right w:val="single" w:sz="4" w:space="0" w:color="auto"/>
            </w:tcBorders>
            <w:shd w:val="clear" w:color="auto" w:fill="auto"/>
            <w:vAlign w:val="bottom"/>
            <w:hideMark/>
          </w:tcPr>
          <w:p w:rsidR="003324DB" w:rsidRPr="003324DB" w:rsidRDefault="003324DB" w:rsidP="00995B4D">
            <w:pPr>
              <w:widowControl/>
              <w:overflowPunct/>
              <w:autoSpaceDE/>
              <w:autoSpaceDN/>
              <w:adjustRightInd/>
              <w:textAlignment w:val="auto"/>
              <w:rPr>
                <w:rFonts w:ascii="Calibri" w:hAnsi="Calibri"/>
                <w:color w:val="000000"/>
                <w:sz w:val="18"/>
              </w:rPr>
            </w:pPr>
            <w:r w:rsidRPr="003324DB">
              <w:rPr>
                <w:rFonts w:ascii="Calibri" w:hAnsi="Calibri"/>
                <w:color w:val="000000"/>
                <w:sz w:val="18"/>
              </w:rPr>
              <w:t xml:space="preserve">Food Manufacturers and Distributors (Voluntary) </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3324DB" w:rsidRPr="003324DB" w:rsidRDefault="003324DB" w:rsidP="00995B4D">
            <w:pPr>
              <w:widowControl/>
              <w:overflowPunct/>
              <w:autoSpaceDE/>
              <w:autoSpaceDN/>
              <w:adjustRightInd/>
              <w:jc w:val="right"/>
              <w:textAlignment w:val="auto"/>
              <w:rPr>
                <w:rFonts w:ascii="Calibri" w:hAnsi="Calibri"/>
                <w:color w:val="000000"/>
                <w:sz w:val="18"/>
              </w:rPr>
            </w:pPr>
            <w:r w:rsidRPr="003324DB">
              <w:rPr>
                <w:rFonts w:ascii="Calibri" w:hAnsi="Calibri"/>
                <w:color w:val="000000"/>
                <w:sz w:val="18"/>
              </w:rPr>
              <w:t>240</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3324DB" w:rsidRPr="003324DB" w:rsidRDefault="003324DB" w:rsidP="00995B4D">
            <w:pPr>
              <w:widowControl/>
              <w:overflowPunct/>
              <w:autoSpaceDE/>
              <w:autoSpaceDN/>
              <w:adjustRightInd/>
              <w:jc w:val="center"/>
              <w:textAlignment w:val="auto"/>
              <w:rPr>
                <w:rFonts w:ascii="Calibri" w:hAnsi="Calibri"/>
                <w:color w:val="000000"/>
                <w:sz w:val="18"/>
              </w:rPr>
            </w:pPr>
            <w:r w:rsidRPr="003324DB">
              <w:rPr>
                <w:rFonts w:ascii="Calibri" w:hAnsi="Calibri"/>
                <w:color w:val="000000"/>
                <w:sz w:val="18"/>
              </w:rPr>
              <w:t>4</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3324DB" w:rsidRPr="003324DB" w:rsidRDefault="003324DB" w:rsidP="00995B4D">
            <w:pPr>
              <w:widowControl/>
              <w:overflowPunct/>
              <w:autoSpaceDE/>
              <w:autoSpaceDN/>
              <w:adjustRightInd/>
              <w:jc w:val="right"/>
              <w:textAlignment w:val="auto"/>
              <w:rPr>
                <w:rFonts w:ascii="Calibri" w:hAnsi="Calibri"/>
                <w:color w:val="000000"/>
                <w:sz w:val="18"/>
              </w:rPr>
            </w:pPr>
            <w:r w:rsidRPr="003324DB">
              <w:rPr>
                <w:rFonts w:ascii="Calibri" w:hAnsi="Calibri"/>
                <w:color w:val="000000"/>
                <w:sz w:val="18"/>
              </w:rPr>
              <w:t>960</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3324DB" w:rsidRPr="003324DB" w:rsidRDefault="003324DB" w:rsidP="00995B4D">
            <w:pPr>
              <w:widowControl/>
              <w:overflowPunct/>
              <w:autoSpaceDE/>
              <w:autoSpaceDN/>
              <w:adjustRightInd/>
              <w:jc w:val="right"/>
              <w:textAlignment w:val="auto"/>
              <w:rPr>
                <w:rFonts w:ascii="Calibri" w:hAnsi="Calibri"/>
                <w:color w:val="000000"/>
                <w:sz w:val="18"/>
              </w:rPr>
            </w:pPr>
            <w:r w:rsidRPr="003324DB">
              <w:rPr>
                <w:rFonts w:ascii="Calibri" w:hAnsi="Calibri"/>
                <w:color w:val="000000"/>
                <w:sz w:val="18"/>
              </w:rPr>
              <w:t>9</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3324DB" w:rsidRPr="003324DB" w:rsidRDefault="003324DB" w:rsidP="00995B4D">
            <w:pPr>
              <w:widowControl/>
              <w:overflowPunct/>
              <w:autoSpaceDE/>
              <w:autoSpaceDN/>
              <w:adjustRightInd/>
              <w:jc w:val="right"/>
              <w:textAlignment w:val="auto"/>
              <w:rPr>
                <w:rFonts w:ascii="Calibri" w:hAnsi="Calibri"/>
                <w:color w:val="000000"/>
                <w:sz w:val="18"/>
              </w:rPr>
            </w:pPr>
            <w:r w:rsidRPr="003324DB">
              <w:rPr>
                <w:rFonts w:ascii="Calibri" w:hAnsi="Calibri"/>
                <w:color w:val="000000"/>
                <w:sz w:val="18"/>
              </w:rPr>
              <w:t>8,640</w:t>
            </w:r>
          </w:p>
        </w:tc>
        <w:tc>
          <w:tcPr>
            <w:tcW w:w="990" w:type="dxa"/>
            <w:tcBorders>
              <w:top w:val="single" w:sz="4" w:space="0" w:color="auto"/>
              <w:left w:val="nil"/>
              <w:bottom w:val="single" w:sz="4" w:space="0" w:color="auto"/>
              <w:right w:val="single" w:sz="8" w:space="0" w:color="auto"/>
            </w:tcBorders>
            <w:shd w:val="clear" w:color="auto" w:fill="auto"/>
            <w:noWrap/>
            <w:vAlign w:val="bottom"/>
            <w:hideMark/>
          </w:tcPr>
          <w:p w:rsidR="003324DB" w:rsidRPr="003324DB" w:rsidRDefault="003324DB" w:rsidP="00AD21D8">
            <w:pPr>
              <w:widowControl/>
              <w:overflowPunct/>
              <w:autoSpaceDE/>
              <w:autoSpaceDN/>
              <w:adjustRightInd/>
              <w:textAlignment w:val="auto"/>
              <w:rPr>
                <w:rFonts w:ascii="Calibri" w:hAnsi="Calibri"/>
                <w:color w:val="000000"/>
                <w:sz w:val="18"/>
              </w:rPr>
            </w:pPr>
            <w:r w:rsidRPr="003324DB">
              <w:rPr>
                <w:rFonts w:ascii="Calibri" w:hAnsi="Calibri"/>
                <w:color w:val="000000"/>
                <w:sz w:val="18"/>
              </w:rPr>
              <w:t xml:space="preserve"> $31.20 </w:t>
            </w:r>
          </w:p>
        </w:tc>
        <w:tc>
          <w:tcPr>
            <w:tcW w:w="1260" w:type="dxa"/>
            <w:tcBorders>
              <w:top w:val="single" w:sz="4" w:space="0" w:color="auto"/>
              <w:left w:val="nil"/>
              <w:bottom w:val="single" w:sz="4" w:space="0" w:color="auto"/>
              <w:right w:val="single" w:sz="8" w:space="0" w:color="auto"/>
            </w:tcBorders>
            <w:shd w:val="clear" w:color="auto" w:fill="auto"/>
            <w:noWrap/>
            <w:vAlign w:val="bottom"/>
            <w:hideMark/>
          </w:tcPr>
          <w:p w:rsidR="003324DB" w:rsidRPr="003324DB" w:rsidRDefault="003324DB" w:rsidP="00AD21D8">
            <w:pPr>
              <w:widowControl/>
              <w:overflowPunct/>
              <w:autoSpaceDE/>
              <w:autoSpaceDN/>
              <w:adjustRightInd/>
              <w:textAlignment w:val="auto"/>
              <w:rPr>
                <w:rFonts w:ascii="Calibri" w:hAnsi="Calibri"/>
                <w:color w:val="000000"/>
                <w:sz w:val="18"/>
                <w:highlight w:val="yellow"/>
              </w:rPr>
            </w:pPr>
            <w:r w:rsidRPr="003324DB">
              <w:rPr>
                <w:rFonts w:ascii="Calibri" w:hAnsi="Calibri"/>
                <w:color w:val="000000"/>
                <w:sz w:val="18"/>
              </w:rPr>
              <w:t xml:space="preserve">$269,568.00 </w:t>
            </w:r>
          </w:p>
        </w:tc>
      </w:tr>
      <w:tr w:rsidR="003324DB" w:rsidRPr="003324DB" w:rsidTr="003324DB">
        <w:trPr>
          <w:trHeight w:val="525"/>
        </w:trPr>
        <w:tc>
          <w:tcPr>
            <w:tcW w:w="1278"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3324DB" w:rsidRPr="003324DB" w:rsidRDefault="003324DB" w:rsidP="00995B4D">
            <w:pPr>
              <w:widowControl/>
              <w:overflowPunct/>
              <w:autoSpaceDE/>
              <w:autoSpaceDN/>
              <w:adjustRightInd/>
              <w:jc w:val="center"/>
              <w:textAlignment w:val="auto"/>
              <w:rPr>
                <w:rFonts w:ascii="Calibri" w:hAnsi="Calibri"/>
                <w:color w:val="000000"/>
                <w:sz w:val="18"/>
              </w:rPr>
            </w:pPr>
          </w:p>
        </w:tc>
        <w:tc>
          <w:tcPr>
            <w:tcW w:w="1432" w:type="dxa"/>
            <w:tcBorders>
              <w:top w:val="nil"/>
              <w:left w:val="nil"/>
              <w:bottom w:val="single" w:sz="4" w:space="0" w:color="auto"/>
              <w:right w:val="single" w:sz="4" w:space="0" w:color="auto"/>
            </w:tcBorders>
            <w:shd w:val="clear" w:color="auto" w:fill="auto"/>
            <w:hideMark/>
          </w:tcPr>
          <w:p w:rsidR="003324DB" w:rsidRPr="003324DB" w:rsidRDefault="003324DB" w:rsidP="00B34992">
            <w:pPr>
              <w:widowControl/>
              <w:overflowPunct/>
              <w:autoSpaceDE/>
              <w:autoSpaceDN/>
              <w:adjustRightInd/>
              <w:textAlignment w:val="auto"/>
              <w:rPr>
                <w:rFonts w:ascii="Calibri" w:hAnsi="Calibri"/>
                <w:color w:val="000000"/>
                <w:sz w:val="18"/>
              </w:rPr>
            </w:pPr>
            <w:r w:rsidRPr="003324DB">
              <w:rPr>
                <w:rFonts w:ascii="Calibri" w:hAnsi="Calibri"/>
                <w:color w:val="000000"/>
                <w:sz w:val="18"/>
              </w:rPr>
              <w:t xml:space="preserve">Authorized Vendors (Voluntary) </w:t>
            </w:r>
          </w:p>
        </w:tc>
        <w:tc>
          <w:tcPr>
            <w:tcW w:w="1260" w:type="dxa"/>
            <w:tcBorders>
              <w:top w:val="nil"/>
              <w:left w:val="nil"/>
              <w:bottom w:val="single" w:sz="4" w:space="0" w:color="auto"/>
              <w:right w:val="single" w:sz="4" w:space="0" w:color="auto"/>
            </w:tcBorders>
            <w:shd w:val="clear" w:color="auto" w:fill="auto"/>
            <w:vAlign w:val="bottom"/>
            <w:hideMark/>
          </w:tcPr>
          <w:p w:rsidR="003324DB" w:rsidRPr="003324DB" w:rsidRDefault="003324DB" w:rsidP="00995B4D">
            <w:pPr>
              <w:widowControl/>
              <w:overflowPunct/>
              <w:autoSpaceDE/>
              <w:autoSpaceDN/>
              <w:adjustRightInd/>
              <w:jc w:val="right"/>
              <w:textAlignment w:val="auto"/>
              <w:rPr>
                <w:rFonts w:ascii="Calibri" w:hAnsi="Calibri"/>
                <w:color w:val="000000"/>
                <w:sz w:val="18"/>
              </w:rPr>
            </w:pPr>
            <w:r w:rsidRPr="003324DB">
              <w:rPr>
                <w:rFonts w:ascii="Calibri" w:hAnsi="Calibri"/>
                <w:color w:val="000000"/>
                <w:sz w:val="18"/>
              </w:rPr>
              <w:t>120</w:t>
            </w:r>
          </w:p>
        </w:tc>
        <w:tc>
          <w:tcPr>
            <w:tcW w:w="1170" w:type="dxa"/>
            <w:tcBorders>
              <w:top w:val="nil"/>
              <w:left w:val="nil"/>
              <w:bottom w:val="nil"/>
              <w:right w:val="single" w:sz="4" w:space="0" w:color="auto"/>
            </w:tcBorders>
            <w:shd w:val="clear" w:color="auto" w:fill="auto"/>
            <w:vAlign w:val="bottom"/>
            <w:hideMark/>
          </w:tcPr>
          <w:p w:rsidR="003324DB" w:rsidRPr="003324DB" w:rsidRDefault="003324DB" w:rsidP="00995B4D">
            <w:pPr>
              <w:widowControl/>
              <w:overflowPunct/>
              <w:autoSpaceDE/>
              <w:autoSpaceDN/>
              <w:adjustRightInd/>
              <w:jc w:val="center"/>
              <w:textAlignment w:val="auto"/>
              <w:rPr>
                <w:rFonts w:ascii="Calibri" w:hAnsi="Calibri"/>
                <w:color w:val="000000"/>
                <w:sz w:val="18"/>
              </w:rPr>
            </w:pPr>
            <w:r w:rsidRPr="003324DB">
              <w:rPr>
                <w:rFonts w:ascii="Calibri" w:hAnsi="Calibri"/>
                <w:color w:val="000000"/>
                <w:sz w:val="18"/>
              </w:rPr>
              <w:t>2</w:t>
            </w:r>
          </w:p>
        </w:tc>
        <w:tc>
          <w:tcPr>
            <w:tcW w:w="1080" w:type="dxa"/>
            <w:tcBorders>
              <w:top w:val="nil"/>
              <w:left w:val="nil"/>
              <w:bottom w:val="nil"/>
              <w:right w:val="single" w:sz="4" w:space="0" w:color="auto"/>
            </w:tcBorders>
            <w:shd w:val="clear" w:color="auto" w:fill="auto"/>
            <w:vAlign w:val="bottom"/>
            <w:hideMark/>
          </w:tcPr>
          <w:p w:rsidR="003324DB" w:rsidRPr="003324DB" w:rsidRDefault="003324DB" w:rsidP="00995B4D">
            <w:pPr>
              <w:widowControl/>
              <w:overflowPunct/>
              <w:autoSpaceDE/>
              <w:autoSpaceDN/>
              <w:adjustRightInd/>
              <w:jc w:val="right"/>
              <w:textAlignment w:val="auto"/>
              <w:rPr>
                <w:rFonts w:ascii="Calibri" w:hAnsi="Calibri"/>
                <w:color w:val="000000"/>
                <w:sz w:val="18"/>
              </w:rPr>
            </w:pPr>
            <w:r w:rsidRPr="003324DB">
              <w:rPr>
                <w:rFonts w:ascii="Calibri" w:hAnsi="Calibri"/>
                <w:color w:val="000000"/>
                <w:sz w:val="18"/>
              </w:rPr>
              <w:t>240</w:t>
            </w:r>
          </w:p>
        </w:tc>
        <w:tc>
          <w:tcPr>
            <w:tcW w:w="990" w:type="dxa"/>
            <w:tcBorders>
              <w:top w:val="nil"/>
              <w:left w:val="nil"/>
              <w:bottom w:val="nil"/>
              <w:right w:val="single" w:sz="4" w:space="0" w:color="auto"/>
            </w:tcBorders>
            <w:shd w:val="clear" w:color="auto" w:fill="auto"/>
            <w:vAlign w:val="bottom"/>
            <w:hideMark/>
          </w:tcPr>
          <w:p w:rsidR="003324DB" w:rsidRPr="003324DB" w:rsidRDefault="003324DB" w:rsidP="00995B4D">
            <w:pPr>
              <w:widowControl/>
              <w:overflowPunct/>
              <w:autoSpaceDE/>
              <w:autoSpaceDN/>
              <w:adjustRightInd/>
              <w:jc w:val="right"/>
              <w:textAlignment w:val="auto"/>
              <w:rPr>
                <w:rFonts w:ascii="Calibri" w:hAnsi="Calibri"/>
                <w:color w:val="000000"/>
                <w:sz w:val="18"/>
              </w:rPr>
            </w:pPr>
            <w:r w:rsidRPr="003324DB">
              <w:rPr>
                <w:rFonts w:ascii="Calibri" w:hAnsi="Calibri"/>
                <w:color w:val="000000"/>
                <w:sz w:val="18"/>
              </w:rPr>
              <w:t>7</w:t>
            </w:r>
          </w:p>
        </w:tc>
        <w:tc>
          <w:tcPr>
            <w:tcW w:w="990" w:type="dxa"/>
            <w:tcBorders>
              <w:top w:val="nil"/>
              <w:left w:val="nil"/>
              <w:bottom w:val="nil"/>
              <w:right w:val="single" w:sz="4" w:space="0" w:color="auto"/>
            </w:tcBorders>
            <w:shd w:val="clear" w:color="auto" w:fill="auto"/>
            <w:vAlign w:val="bottom"/>
            <w:hideMark/>
          </w:tcPr>
          <w:p w:rsidR="003324DB" w:rsidRPr="003324DB" w:rsidRDefault="003324DB" w:rsidP="00995B4D">
            <w:pPr>
              <w:widowControl/>
              <w:overflowPunct/>
              <w:autoSpaceDE/>
              <w:autoSpaceDN/>
              <w:adjustRightInd/>
              <w:jc w:val="right"/>
              <w:textAlignment w:val="auto"/>
              <w:rPr>
                <w:rFonts w:ascii="Calibri" w:hAnsi="Calibri"/>
                <w:color w:val="000000"/>
                <w:sz w:val="18"/>
              </w:rPr>
            </w:pPr>
            <w:r w:rsidRPr="003324DB">
              <w:rPr>
                <w:rFonts w:ascii="Calibri" w:hAnsi="Calibri"/>
                <w:color w:val="000000"/>
                <w:sz w:val="18"/>
              </w:rPr>
              <w:t>1,680</w:t>
            </w:r>
          </w:p>
        </w:tc>
        <w:tc>
          <w:tcPr>
            <w:tcW w:w="990" w:type="dxa"/>
            <w:tcBorders>
              <w:top w:val="nil"/>
              <w:left w:val="nil"/>
              <w:bottom w:val="nil"/>
              <w:right w:val="single" w:sz="8" w:space="0" w:color="auto"/>
            </w:tcBorders>
            <w:shd w:val="clear" w:color="auto" w:fill="auto"/>
            <w:noWrap/>
            <w:vAlign w:val="bottom"/>
            <w:hideMark/>
          </w:tcPr>
          <w:p w:rsidR="003324DB" w:rsidRPr="003324DB" w:rsidRDefault="003324DB" w:rsidP="00BB421D">
            <w:pPr>
              <w:widowControl/>
              <w:overflowPunct/>
              <w:autoSpaceDE/>
              <w:autoSpaceDN/>
              <w:adjustRightInd/>
              <w:textAlignment w:val="auto"/>
              <w:rPr>
                <w:rFonts w:ascii="Calibri" w:hAnsi="Calibri"/>
                <w:color w:val="000000"/>
                <w:sz w:val="18"/>
                <w:highlight w:val="yellow"/>
              </w:rPr>
            </w:pPr>
            <w:r w:rsidRPr="003324DB">
              <w:rPr>
                <w:rFonts w:ascii="Calibri" w:hAnsi="Calibri"/>
                <w:color w:val="000000"/>
                <w:sz w:val="18"/>
              </w:rPr>
              <w:t xml:space="preserve"> $37.71</w:t>
            </w:r>
          </w:p>
        </w:tc>
        <w:tc>
          <w:tcPr>
            <w:tcW w:w="1260" w:type="dxa"/>
            <w:tcBorders>
              <w:top w:val="nil"/>
              <w:left w:val="nil"/>
              <w:bottom w:val="nil"/>
              <w:right w:val="single" w:sz="8" w:space="0" w:color="auto"/>
            </w:tcBorders>
            <w:shd w:val="clear" w:color="auto" w:fill="auto"/>
            <w:noWrap/>
            <w:vAlign w:val="bottom"/>
            <w:hideMark/>
          </w:tcPr>
          <w:p w:rsidR="003324DB" w:rsidRPr="003324DB" w:rsidRDefault="003324DB" w:rsidP="00995B4D">
            <w:pPr>
              <w:widowControl/>
              <w:overflowPunct/>
              <w:autoSpaceDE/>
              <w:autoSpaceDN/>
              <w:adjustRightInd/>
              <w:textAlignment w:val="auto"/>
              <w:rPr>
                <w:rFonts w:ascii="Calibri" w:hAnsi="Calibri"/>
                <w:color w:val="000000"/>
                <w:sz w:val="18"/>
              </w:rPr>
            </w:pPr>
            <w:r w:rsidRPr="003324DB">
              <w:rPr>
                <w:rFonts w:ascii="Calibri" w:hAnsi="Calibri"/>
                <w:color w:val="000000"/>
                <w:sz w:val="18"/>
              </w:rPr>
              <w:t xml:space="preserve">$63,352.80 </w:t>
            </w:r>
          </w:p>
        </w:tc>
      </w:tr>
      <w:tr w:rsidR="003324DB" w:rsidRPr="003324DB" w:rsidTr="003324DB">
        <w:trPr>
          <w:trHeight w:val="330"/>
        </w:trPr>
        <w:tc>
          <w:tcPr>
            <w:tcW w:w="1278" w:type="dxa"/>
            <w:tcBorders>
              <w:top w:val="single" w:sz="8" w:space="0" w:color="auto"/>
              <w:left w:val="single" w:sz="8" w:space="0" w:color="auto"/>
              <w:bottom w:val="single" w:sz="8" w:space="0" w:color="auto"/>
              <w:right w:val="single" w:sz="4" w:space="0" w:color="auto"/>
            </w:tcBorders>
            <w:shd w:val="clear" w:color="auto" w:fill="auto"/>
            <w:textDirection w:val="btLr"/>
            <w:vAlign w:val="bottom"/>
            <w:hideMark/>
          </w:tcPr>
          <w:p w:rsidR="003324DB" w:rsidRPr="003324DB" w:rsidRDefault="003324DB" w:rsidP="00995B4D">
            <w:pPr>
              <w:widowControl/>
              <w:overflowPunct/>
              <w:autoSpaceDE/>
              <w:autoSpaceDN/>
              <w:adjustRightInd/>
              <w:textAlignment w:val="auto"/>
              <w:rPr>
                <w:rFonts w:ascii="Calibri" w:hAnsi="Calibri"/>
                <w:b/>
                <w:bCs/>
                <w:color w:val="000000"/>
                <w:sz w:val="18"/>
              </w:rPr>
            </w:pPr>
            <w:r w:rsidRPr="003324DB">
              <w:rPr>
                <w:rFonts w:ascii="Calibri" w:hAnsi="Calibri"/>
                <w:b/>
                <w:bCs/>
                <w:color w:val="000000"/>
                <w:sz w:val="18"/>
              </w:rPr>
              <w:t> </w:t>
            </w:r>
          </w:p>
        </w:tc>
        <w:tc>
          <w:tcPr>
            <w:tcW w:w="1432" w:type="dxa"/>
            <w:tcBorders>
              <w:top w:val="single" w:sz="4" w:space="0" w:color="auto"/>
              <w:left w:val="nil"/>
              <w:bottom w:val="single" w:sz="4" w:space="0" w:color="auto"/>
              <w:right w:val="single" w:sz="4" w:space="0" w:color="auto"/>
            </w:tcBorders>
            <w:shd w:val="clear" w:color="auto" w:fill="auto"/>
            <w:vAlign w:val="bottom"/>
            <w:hideMark/>
          </w:tcPr>
          <w:p w:rsidR="003324DB" w:rsidRPr="003324DB" w:rsidRDefault="003324DB" w:rsidP="00995B4D">
            <w:pPr>
              <w:widowControl/>
              <w:overflowPunct/>
              <w:autoSpaceDE/>
              <w:autoSpaceDN/>
              <w:adjustRightInd/>
              <w:textAlignment w:val="auto"/>
              <w:rPr>
                <w:rFonts w:ascii="Calibri" w:hAnsi="Calibri"/>
                <w:b/>
                <w:bCs/>
                <w:color w:val="000000"/>
                <w:sz w:val="18"/>
              </w:rPr>
            </w:pPr>
            <w:r w:rsidRPr="003324DB">
              <w:rPr>
                <w:rFonts w:ascii="Calibri" w:hAnsi="Calibri"/>
                <w:b/>
                <w:bCs/>
                <w:color w:val="000000"/>
                <w:sz w:val="18"/>
              </w:rPr>
              <w:t>TOTAL REPORTING BURDEN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24DB" w:rsidRPr="003324DB" w:rsidRDefault="003324DB" w:rsidP="00995B4D">
            <w:pPr>
              <w:widowControl/>
              <w:overflowPunct/>
              <w:autoSpaceDE/>
              <w:autoSpaceDN/>
              <w:adjustRightInd/>
              <w:jc w:val="right"/>
              <w:textAlignment w:val="auto"/>
              <w:rPr>
                <w:rFonts w:ascii="Calibri" w:hAnsi="Calibri"/>
                <w:b/>
                <w:bCs/>
                <w:color w:val="000000"/>
                <w:sz w:val="18"/>
              </w:rPr>
            </w:pPr>
            <w:r w:rsidRPr="003324DB">
              <w:rPr>
                <w:rFonts w:ascii="Calibri" w:hAnsi="Calibri"/>
                <w:b/>
                <w:bCs/>
                <w:color w:val="000000"/>
                <w:sz w:val="18"/>
              </w:rPr>
              <w:t>360</w:t>
            </w:r>
          </w:p>
        </w:tc>
        <w:tc>
          <w:tcPr>
            <w:tcW w:w="1170" w:type="dxa"/>
            <w:tcBorders>
              <w:top w:val="single" w:sz="8" w:space="0" w:color="auto"/>
              <w:left w:val="nil"/>
              <w:bottom w:val="single" w:sz="8" w:space="0" w:color="auto"/>
              <w:right w:val="single" w:sz="4" w:space="0" w:color="auto"/>
            </w:tcBorders>
            <w:shd w:val="clear" w:color="auto" w:fill="auto"/>
            <w:vAlign w:val="bottom"/>
            <w:hideMark/>
          </w:tcPr>
          <w:p w:rsidR="003324DB" w:rsidRPr="003324DB" w:rsidRDefault="003324DB" w:rsidP="00995B4D">
            <w:pPr>
              <w:widowControl/>
              <w:overflowPunct/>
              <w:autoSpaceDE/>
              <w:autoSpaceDN/>
              <w:adjustRightInd/>
              <w:jc w:val="center"/>
              <w:textAlignment w:val="auto"/>
              <w:rPr>
                <w:rFonts w:ascii="Calibri" w:hAnsi="Calibri"/>
                <w:b/>
                <w:bCs/>
                <w:color w:val="000000"/>
                <w:sz w:val="18"/>
              </w:rPr>
            </w:pPr>
            <w:r w:rsidRPr="003324DB">
              <w:rPr>
                <w:rFonts w:ascii="Calibri" w:hAnsi="Calibri"/>
                <w:b/>
                <w:bCs/>
                <w:color w:val="000000"/>
                <w:sz w:val="18"/>
              </w:rPr>
              <w:t>3.33 </w:t>
            </w:r>
          </w:p>
        </w:tc>
        <w:tc>
          <w:tcPr>
            <w:tcW w:w="1080" w:type="dxa"/>
            <w:tcBorders>
              <w:top w:val="single" w:sz="8" w:space="0" w:color="auto"/>
              <w:left w:val="nil"/>
              <w:bottom w:val="single" w:sz="8" w:space="0" w:color="auto"/>
              <w:right w:val="single" w:sz="4" w:space="0" w:color="auto"/>
            </w:tcBorders>
            <w:shd w:val="clear" w:color="auto" w:fill="auto"/>
            <w:vAlign w:val="bottom"/>
            <w:hideMark/>
          </w:tcPr>
          <w:p w:rsidR="003324DB" w:rsidRPr="003324DB" w:rsidRDefault="003324DB" w:rsidP="00995B4D">
            <w:pPr>
              <w:widowControl/>
              <w:overflowPunct/>
              <w:autoSpaceDE/>
              <w:autoSpaceDN/>
              <w:adjustRightInd/>
              <w:jc w:val="right"/>
              <w:textAlignment w:val="auto"/>
              <w:rPr>
                <w:rFonts w:ascii="Calibri" w:hAnsi="Calibri"/>
                <w:b/>
                <w:bCs/>
                <w:color w:val="000000"/>
                <w:sz w:val="18"/>
              </w:rPr>
            </w:pPr>
            <w:r w:rsidRPr="003324DB">
              <w:rPr>
                <w:rFonts w:ascii="Calibri" w:hAnsi="Calibri"/>
                <w:b/>
                <w:bCs/>
                <w:color w:val="000000"/>
                <w:sz w:val="18"/>
              </w:rPr>
              <w:t>1,200</w:t>
            </w:r>
          </w:p>
        </w:tc>
        <w:tc>
          <w:tcPr>
            <w:tcW w:w="990" w:type="dxa"/>
            <w:tcBorders>
              <w:top w:val="single" w:sz="8" w:space="0" w:color="auto"/>
              <w:left w:val="nil"/>
              <w:bottom w:val="single" w:sz="8" w:space="0" w:color="auto"/>
              <w:right w:val="single" w:sz="4" w:space="0" w:color="auto"/>
            </w:tcBorders>
            <w:shd w:val="clear" w:color="auto" w:fill="auto"/>
            <w:vAlign w:val="bottom"/>
            <w:hideMark/>
          </w:tcPr>
          <w:p w:rsidR="003324DB" w:rsidRPr="003324DB" w:rsidRDefault="003324DB" w:rsidP="00995B4D">
            <w:pPr>
              <w:widowControl/>
              <w:overflowPunct/>
              <w:autoSpaceDE/>
              <w:autoSpaceDN/>
              <w:adjustRightInd/>
              <w:jc w:val="center"/>
              <w:textAlignment w:val="auto"/>
              <w:rPr>
                <w:rFonts w:ascii="Calibri" w:hAnsi="Calibri"/>
                <w:b/>
                <w:bCs/>
                <w:color w:val="000000"/>
                <w:sz w:val="18"/>
              </w:rPr>
            </w:pPr>
            <w:r w:rsidRPr="003324DB">
              <w:rPr>
                <w:rFonts w:ascii="Calibri" w:hAnsi="Calibri"/>
                <w:b/>
                <w:bCs/>
                <w:color w:val="000000"/>
                <w:sz w:val="18"/>
              </w:rPr>
              <w:t>8.6</w:t>
            </w:r>
          </w:p>
        </w:tc>
        <w:tc>
          <w:tcPr>
            <w:tcW w:w="990" w:type="dxa"/>
            <w:tcBorders>
              <w:top w:val="single" w:sz="8" w:space="0" w:color="auto"/>
              <w:left w:val="nil"/>
              <w:bottom w:val="single" w:sz="8" w:space="0" w:color="auto"/>
              <w:right w:val="single" w:sz="4" w:space="0" w:color="auto"/>
            </w:tcBorders>
            <w:shd w:val="clear" w:color="auto" w:fill="auto"/>
            <w:vAlign w:val="bottom"/>
            <w:hideMark/>
          </w:tcPr>
          <w:p w:rsidR="003324DB" w:rsidRPr="003324DB" w:rsidRDefault="003324DB" w:rsidP="00995B4D">
            <w:pPr>
              <w:widowControl/>
              <w:overflowPunct/>
              <w:autoSpaceDE/>
              <w:autoSpaceDN/>
              <w:adjustRightInd/>
              <w:jc w:val="right"/>
              <w:textAlignment w:val="auto"/>
              <w:rPr>
                <w:rFonts w:ascii="Calibri" w:hAnsi="Calibri"/>
                <w:b/>
                <w:bCs/>
                <w:color w:val="000000"/>
                <w:sz w:val="18"/>
              </w:rPr>
            </w:pPr>
            <w:r w:rsidRPr="003324DB">
              <w:rPr>
                <w:rFonts w:ascii="Calibri" w:hAnsi="Calibri"/>
                <w:b/>
                <w:bCs/>
                <w:color w:val="000000"/>
                <w:sz w:val="18"/>
              </w:rPr>
              <w:t>10,320</w:t>
            </w:r>
          </w:p>
        </w:tc>
        <w:tc>
          <w:tcPr>
            <w:tcW w:w="990" w:type="dxa"/>
            <w:tcBorders>
              <w:top w:val="single" w:sz="8" w:space="0" w:color="auto"/>
              <w:left w:val="nil"/>
              <w:bottom w:val="single" w:sz="8" w:space="0" w:color="auto"/>
              <w:right w:val="single" w:sz="8" w:space="0" w:color="auto"/>
            </w:tcBorders>
            <w:shd w:val="clear" w:color="auto" w:fill="auto"/>
            <w:noWrap/>
            <w:vAlign w:val="bottom"/>
            <w:hideMark/>
          </w:tcPr>
          <w:p w:rsidR="003324DB" w:rsidRPr="003324DB" w:rsidRDefault="003324DB" w:rsidP="00995B4D">
            <w:pPr>
              <w:widowControl/>
              <w:overflowPunct/>
              <w:autoSpaceDE/>
              <w:autoSpaceDN/>
              <w:adjustRightInd/>
              <w:textAlignment w:val="auto"/>
              <w:rPr>
                <w:rFonts w:ascii="Calibri" w:hAnsi="Calibri"/>
                <w:color w:val="000000"/>
                <w:sz w:val="18"/>
                <w:szCs w:val="22"/>
              </w:rPr>
            </w:pPr>
            <w:r w:rsidRPr="003324DB">
              <w:rPr>
                <w:rFonts w:ascii="Calibri" w:hAnsi="Calibri"/>
                <w:color w:val="000000"/>
                <w:sz w:val="18"/>
                <w:szCs w:val="22"/>
              </w:rPr>
              <w:t> </w:t>
            </w:r>
          </w:p>
        </w:tc>
        <w:tc>
          <w:tcPr>
            <w:tcW w:w="1260" w:type="dxa"/>
            <w:tcBorders>
              <w:top w:val="single" w:sz="8" w:space="0" w:color="auto"/>
              <w:left w:val="nil"/>
              <w:bottom w:val="single" w:sz="8" w:space="0" w:color="auto"/>
              <w:right w:val="single" w:sz="8" w:space="0" w:color="auto"/>
            </w:tcBorders>
            <w:shd w:val="clear" w:color="auto" w:fill="auto"/>
            <w:vAlign w:val="bottom"/>
            <w:hideMark/>
          </w:tcPr>
          <w:p w:rsidR="003324DB" w:rsidRPr="003324DB" w:rsidRDefault="003324DB" w:rsidP="00AD21D8">
            <w:pPr>
              <w:widowControl/>
              <w:overflowPunct/>
              <w:autoSpaceDE/>
              <w:autoSpaceDN/>
              <w:adjustRightInd/>
              <w:textAlignment w:val="auto"/>
              <w:rPr>
                <w:rFonts w:ascii="Calibri" w:hAnsi="Calibri"/>
                <w:b/>
                <w:bCs/>
                <w:color w:val="000000"/>
                <w:sz w:val="18"/>
              </w:rPr>
            </w:pPr>
            <w:r w:rsidRPr="003324DB">
              <w:rPr>
                <w:rFonts w:ascii="Calibri" w:hAnsi="Calibri"/>
                <w:b/>
                <w:bCs/>
                <w:color w:val="000000"/>
                <w:sz w:val="18"/>
              </w:rPr>
              <w:t xml:space="preserve"> $332,920.80 </w:t>
            </w:r>
          </w:p>
        </w:tc>
      </w:tr>
      <w:bookmarkEnd w:id="32"/>
    </w:tbl>
    <w:p w:rsidR="00DE0783" w:rsidRDefault="00DE0783" w:rsidP="000438E8">
      <w:pPr>
        <w:tabs>
          <w:tab w:val="left" w:pos="0"/>
        </w:tabs>
        <w:suppressAutoHyphens/>
        <w:rPr>
          <w:rFonts w:ascii="Times New Roman" w:hAnsi="Times New Roman"/>
          <w:b/>
          <w:szCs w:val="24"/>
        </w:rPr>
      </w:pPr>
    </w:p>
    <w:p w:rsidR="00AE230E" w:rsidRDefault="00AE230E" w:rsidP="000438E8">
      <w:pPr>
        <w:tabs>
          <w:tab w:val="left" w:pos="0"/>
        </w:tabs>
        <w:suppressAutoHyphens/>
        <w:rPr>
          <w:rFonts w:ascii="Times New Roman" w:hAnsi="Times New Roman"/>
          <w:b/>
          <w:szCs w:val="24"/>
        </w:rPr>
      </w:pPr>
    </w:p>
    <w:p w:rsidR="005A1C6C" w:rsidRDefault="005A1C6C" w:rsidP="000438E8">
      <w:pPr>
        <w:tabs>
          <w:tab w:val="left" w:pos="0"/>
        </w:tabs>
        <w:suppressAutoHyphens/>
        <w:rPr>
          <w:rFonts w:ascii="Times New Roman" w:hAnsi="Times New Roman"/>
          <w:b/>
          <w:szCs w:val="24"/>
        </w:rPr>
      </w:pPr>
    </w:p>
    <w:p w:rsidR="0062567E" w:rsidRPr="002568E6" w:rsidRDefault="00FD71D3" w:rsidP="000438E8">
      <w:pPr>
        <w:tabs>
          <w:tab w:val="left" w:pos="0"/>
        </w:tabs>
        <w:suppressAutoHyphens/>
        <w:rPr>
          <w:rFonts w:ascii="Times New Roman" w:hAnsi="Times New Roman"/>
          <w:b/>
          <w:szCs w:val="24"/>
        </w:rPr>
      </w:pPr>
      <w:r w:rsidRPr="002568E6">
        <w:rPr>
          <w:rFonts w:ascii="Times New Roman" w:hAnsi="Times New Roman"/>
          <w:b/>
          <w:szCs w:val="24"/>
        </w:rPr>
        <w:t>B.</w:t>
      </w:r>
      <w:r w:rsidRPr="002568E6">
        <w:rPr>
          <w:rFonts w:ascii="Times New Roman" w:hAnsi="Times New Roman"/>
          <w:b/>
          <w:szCs w:val="24"/>
        </w:rPr>
        <w:tab/>
        <w:t>Provide estimates of annualized cost to respondents for the hour burdens for collections of information, identifying and using appropriate wage rate categories.</w:t>
      </w:r>
    </w:p>
    <w:p w:rsidR="00A308DB" w:rsidRPr="002568E6" w:rsidRDefault="00A308DB" w:rsidP="000438E8">
      <w:pPr>
        <w:tabs>
          <w:tab w:val="left" w:pos="0"/>
        </w:tabs>
        <w:suppressAutoHyphens/>
        <w:rPr>
          <w:rFonts w:ascii="Times New Roman" w:hAnsi="Times New Roman"/>
          <w:b/>
          <w:szCs w:val="24"/>
        </w:rPr>
      </w:pPr>
    </w:p>
    <w:p w:rsidR="00F24693" w:rsidRDefault="00F24693" w:rsidP="00F24693">
      <w:pPr>
        <w:tabs>
          <w:tab w:val="left" w:pos="-720"/>
        </w:tabs>
        <w:suppressAutoHyphens/>
        <w:spacing w:line="480" w:lineRule="auto"/>
        <w:rPr>
          <w:rFonts w:ascii="Times New Roman" w:hAnsi="Times New Roman"/>
          <w:szCs w:val="24"/>
        </w:rPr>
      </w:pPr>
      <w:r w:rsidRPr="00F24693">
        <w:rPr>
          <w:rFonts w:ascii="Times New Roman" w:hAnsi="Times New Roman"/>
          <w:szCs w:val="24"/>
        </w:rPr>
        <w:t>Estimates of annualized costs to respondents are based on National median wage estimates and the source for the wage data is the Bureau of Labor Statistics, May 201</w:t>
      </w:r>
      <w:r w:rsidR="001A054E">
        <w:rPr>
          <w:rFonts w:ascii="Times New Roman" w:hAnsi="Times New Roman"/>
          <w:szCs w:val="24"/>
        </w:rPr>
        <w:t>4</w:t>
      </w:r>
      <w:r w:rsidRPr="00F24693">
        <w:rPr>
          <w:rFonts w:ascii="Times New Roman" w:hAnsi="Times New Roman"/>
          <w:szCs w:val="24"/>
        </w:rPr>
        <w:t xml:space="preserve"> National Industry-Specific Occupational Employment Wage Estimates, Median Hourly Wages.  </w:t>
      </w:r>
    </w:p>
    <w:p w:rsidR="00F24693" w:rsidRPr="00F24693" w:rsidRDefault="00F24693" w:rsidP="00F24693">
      <w:pPr>
        <w:tabs>
          <w:tab w:val="left" w:pos="-720"/>
        </w:tabs>
        <w:suppressAutoHyphens/>
        <w:spacing w:line="480" w:lineRule="auto"/>
        <w:rPr>
          <w:rFonts w:ascii="Times New Roman" w:hAnsi="Times New Roman"/>
          <w:szCs w:val="24"/>
        </w:rPr>
      </w:pPr>
    </w:p>
    <w:p w:rsidR="00BA2321" w:rsidRPr="00BA2321" w:rsidRDefault="00FE7142" w:rsidP="00BA2321">
      <w:pPr>
        <w:tabs>
          <w:tab w:val="left" w:pos="-720"/>
        </w:tabs>
        <w:spacing w:line="480" w:lineRule="auto"/>
        <w:rPr>
          <w:rFonts w:ascii="Times New Roman" w:hAnsi="Times New Roman"/>
          <w:szCs w:val="24"/>
        </w:rPr>
      </w:pPr>
      <w:r>
        <w:rPr>
          <w:rFonts w:ascii="Times New Roman" w:hAnsi="Times New Roman"/>
          <w:szCs w:val="24"/>
        </w:rPr>
        <w:t xml:space="preserve">FNS expects that Manufacturers and Distributors will assign </w:t>
      </w:r>
      <w:r w:rsidR="003324DB">
        <w:rPr>
          <w:rFonts w:ascii="Times New Roman" w:hAnsi="Times New Roman"/>
          <w:szCs w:val="24"/>
        </w:rPr>
        <w:t xml:space="preserve">the </w:t>
      </w:r>
      <w:r>
        <w:rPr>
          <w:rFonts w:ascii="Times New Roman" w:hAnsi="Times New Roman"/>
          <w:szCs w:val="24"/>
        </w:rPr>
        <w:t xml:space="preserve">task </w:t>
      </w:r>
      <w:r w:rsidR="003324DB">
        <w:rPr>
          <w:rFonts w:ascii="Times New Roman" w:hAnsi="Times New Roman"/>
          <w:szCs w:val="24"/>
        </w:rPr>
        <w:t xml:space="preserve">of gathering and formatting data </w:t>
      </w:r>
      <w:r>
        <w:rPr>
          <w:rFonts w:ascii="Times New Roman" w:hAnsi="Times New Roman"/>
          <w:szCs w:val="24"/>
        </w:rPr>
        <w:t xml:space="preserve">to a Registered Dietician.  </w:t>
      </w:r>
      <w:r w:rsidR="00F24693" w:rsidRPr="00F24693">
        <w:rPr>
          <w:rFonts w:ascii="Times New Roman" w:hAnsi="Times New Roman"/>
          <w:szCs w:val="24"/>
        </w:rPr>
        <w:t>The median hourly wage rate for a Registered Dietician</w:t>
      </w:r>
      <w:r w:rsidR="001A6D81">
        <w:rPr>
          <w:rFonts w:ascii="Times New Roman" w:hAnsi="Times New Roman"/>
          <w:szCs w:val="24"/>
        </w:rPr>
        <w:t xml:space="preserve"> (</w:t>
      </w:r>
      <w:r w:rsidR="001A6D81" w:rsidRPr="001A6D81">
        <w:rPr>
          <w:rFonts w:ascii="Times New Roman" w:hAnsi="Times New Roman"/>
          <w:bCs/>
          <w:szCs w:val="24"/>
        </w:rPr>
        <w:t>29-1031</w:t>
      </w:r>
      <w:r w:rsidR="001A6D81">
        <w:rPr>
          <w:rFonts w:ascii="Times New Roman" w:hAnsi="Times New Roman"/>
          <w:bCs/>
          <w:szCs w:val="24"/>
        </w:rPr>
        <w:t xml:space="preserve">) </w:t>
      </w:r>
      <w:r w:rsidR="00F24693" w:rsidRPr="00F24693">
        <w:rPr>
          <w:rFonts w:ascii="Times New Roman" w:hAnsi="Times New Roman"/>
          <w:szCs w:val="24"/>
        </w:rPr>
        <w:t>is $</w:t>
      </w:r>
      <w:r w:rsidR="00D63214">
        <w:rPr>
          <w:rFonts w:ascii="Times New Roman" w:hAnsi="Times New Roman"/>
          <w:szCs w:val="24"/>
        </w:rPr>
        <w:t>27.62</w:t>
      </w:r>
      <w:r w:rsidR="00F24693" w:rsidRPr="00F24693">
        <w:rPr>
          <w:rFonts w:ascii="Times New Roman" w:hAnsi="Times New Roman"/>
          <w:szCs w:val="24"/>
        </w:rPr>
        <w:t xml:space="preserve"> per hour.  </w:t>
      </w:r>
      <w:r w:rsidR="001947A0">
        <w:rPr>
          <w:rFonts w:ascii="Times New Roman" w:hAnsi="Times New Roman"/>
          <w:szCs w:val="24"/>
        </w:rPr>
        <w:t xml:space="preserve">FNS expects that Manufacturers and Distributors will assign </w:t>
      </w:r>
      <w:r w:rsidR="003324DB">
        <w:rPr>
          <w:rFonts w:ascii="Times New Roman" w:hAnsi="Times New Roman"/>
          <w:szCs w:val="24"/>
        </w:rPr>
        <w:t xml:space="preserve">the </w:t>
      </w:r>
      <w:r w:rsidR="001947A0">
        <w:rPr>
          <w:rFonts w:ascii="Times New Roman" w:hAnsi="Times New Roman"/>
          <w:szCs w:val="24"/>
        </w:rPr>
        <w:t xml:space="preserve">task </w:t>
      </w:r>
      <w:r w:rsidR="003324DB">
        <w:rPr>
          <w:rFonts w:ascii="Times New Roman" w:hAnsi="Times New Roman"/>
          <w:szCs w:val="24"/>
        </w:rPr>
        <w:t>to d</w:t>
      </w:r>
      <w:r w:rsidR="003324DB" w:rsidRPr="007E27C7">
        <w:rPr>
          <w:rFonts w:ascii="Times New Roman" w:hAnsi="Times New Roman"/>
          <w:szCs w:val="24"/>
        </w:rPr>
        <w:t>evelop, maintain, and troubleshoot electronic systems</w:t>
      </w:r>
      <w:r w:rsidR="003324DB">
        <w:rPr>
          <w:rFonts w:ascii="Times New Roman" w:hAnsi="Times New Roman"/>
          <w:szCs w:val="24"/>
        </w:rPr>
        <w:t xml:space="preserve"> </w:t>
      </w:r>
      <w:r w:rsidR="001947A0">
        <w:rPr>
          <w:rFonts w:ascii="Times New Roman" w:hAnsi="Times New Roman"/>
          <w:szCs w:val="24"/>
        </w:rPr>
        <w:t xml:space="preserve">to a </w:t>
      </w:r>
      <w:r w:rsidR="001947A0" w:rsidRPr="00BA2321">
        <w:rPr>
          <w:rFonts w:ascii="Times New Roman" w:hAnsi="Times New Roman"/>
          <w:szCs w:val="24"/>
        </w:rPr>
        <w:t>Network/Computer Administrator</w:t>
      </w:r>
      <w:r w:rsidR="001947A0">
        <w:rPr>
          <w:rFonts w:ascii="Times New Roman" w:hAnsi="Times New Roman"/>
          <w:szCs w:val="24"/>
        </w:rPr>
        <w:t xml:space="preserve">.  </w:t>
      </w:r>
      <w:r w:rsidR="00BA2321" w:rsidRPr="00BA2321">
        <w:rPr>
          <w:rFonts w:ascii="Times New Roman" w:hAnsi="Times New Roman"/>
          <w:szCs w:val="24"/>
        </w:rPr>
        <w:t>The median hourly wage rate for a Network/Computer Administrator (</w:t>
      </w:r>
      <w:r w:rsidR="00BA2321" w:rsidRPr="00BA2321">
        <w:rPr>
          <w:rFonts w:ascii="Times New Roman" w:hAnsi="Times New Roman"/>
          <w:bCs/>
          <w:szCs w:val="24"/>
        </w:rPr>
        <w:t xml:space="preserve">15-1142) </w:t>
      </w:r>
      <w:r w:rsidR="00BA2321" w:rsidRPr="00BA2321">
        <w:rPr>
          <w:rFonts w:ascii="Times New Roman" w:hAnsi="Times New Roman"/>
          <w:szCs w:val="24"/>
        </w:rPr>
        <w:t xml:space="preserve">is $38.35 per hour.  </w:t>
      </w:r>
      <w:r w:rsidR="001947A0">
        <w:rPr>
          <w:rFonts w:ascii="Times New Roman" w:hAnsi="Times New Roman"/>
          <w:szCs w:val="24"/>
        </w:rPr>
        <w:t xml:space="preserve">FNS calculated a blended hourly rate </w:t>
      </w:r>
      <w:r w:rsidR="00AD7513">
        <w:rPr>
          <w:rFonts w:ascii="Times New Roman" w:hAnsi="Times New Roman"/>
          <w:szCs w:val="24"/>
        </w:rPr>
        <w:t xml:space="preserve">for </w:t>
      </w:r>
      <w:r w:rsidR="00AD7513" w:rsidRPr="00F24693">
        <w:rPr>
          <w:rFonts w:ascii="Times New Roman" w:hAnsi="Times New Roman"/>
          <w:szCs w:val="24"/>
        </w:rPr>
        <w:t>Manufacturers</w:t>
      </w:r>
      <w:r w:rsidR="00AD7513">
        <w:rPr>
          <w:rFonts w:ascii="Times New Roman" w:hAnsi="Times New Roman"/>
          <w:szCs w:val="24"/>
        </w:rPr>
        <w:t xml:space="preserve"> and Distributors </w:t>
      </w:r>
      <w:r w:rsidR="001947A0">
        <w:rPr>
          <w:rFonts w:ascii="Times New Roman" w:hAnsi="Times New Roman"/>
          <w:szCs w:val="24"/>
        </w:rPr>
        <w:t>using a weighted average.  The blended hourly rate is $</w:t>
      </w:r>
      <w:r w:rsidR="00D7448A">
        <w:rPr>
          <w:rFonts w:ascii="Times New Roman" w:hAnsi="Times New Roman"/>
          <w:szCs w:val="24"/>
        </w:rPr>
        <w:t>31.</w:t>
      </w:r>
      <w:r w:rsidR="00AD21D8">
        <w:rPr>
          <w:rFonts w:ascii="Times New Roman" w:hAnsi="Times New Roman"/>
          <w:szCs w:val="24"/>
        </w:rPr>
        <w:t>20</w:t>
      </w:r>
      <w:r w:rsidR="001947A0">
        <w:rPr>
          <w:rFonts w:ascii="Times New Roman" w:hAnsi="Times New Roman"/>
          <w:szCs w:val="24"/>
        </w:rPr>
        <w:t xml:space="preserve"> ((5</w:t>
      </w:r>
      <w:r w:rsidR="000B5666">
        <w:rPr>
          <w:rFonts w:ascii="Times New Roman" w:hAnsi="Times New Roman"/>
          <w:szCs w:val="24"/>
        </w:rPr>
        <w:t>,</w:t>
      </w:r>
      <w:r w:rsidR="001947A0">
        <w:rPr>
          <w:rFonts w:ascii="Times New Roman" w:hAnsi="Times New Roman"/>
          <w:szCs w:val="24"/>
        </w:rPr>
        <w:t>760 hours * 27.62</w:t>
      </w:r>
      <w:r w:rsidR="000B5666">
        <w:rPr>
          <w:rFonts w:ascii="Times New Roman" w:hAnsi="Times New Roman"/>
          <w:szCs w:val="24"/>
        </w:rPr>
        <w:t xml:space="preserve"> = 159,091.20</w:t>
      </w:r>
      <w:r w:rsidR="001947A0">
        <w:rPr>
          <w:rFonts w:ascii="Times New Roman" w:hAnsi="Times New Roman"/>
          <w:szCs w:val="24"/>
        </w:rPr>
        <w:t>) + (2</w:t>
      </w:r>
      <w:r w:rsidR="000B5666">
        <w:rPr>
          <w:rFonts w:ascii="Times New Roman" w:hAnsi="Times New Roman"/>
          <w:szCs w:val="24"/>
        </w:rPr>
        <w:t>,</w:t>
      </w:r>
      <w:r w:rsidR="001947A0">
        <w:rPr>
          <w:rFonts w:ascii="Times New Roman" w:hAnsi="Times New Roman"/>
          <w:szCs w:val="24"/>
        </w:rPr>
        <w:t>880 hours * 38.35</w:t>
      </w:r>
      <w:r w:rsidR="000B5666">
        <w:rPr>
          <w:rFonts w:ascii="Times New Roman" w:hAnsi="Times New Roman"/>
          <w:szCs w:val="24"/>
        </w:rPr>
        <w:t xml:space="preserve"> = 110,448</w:t>
      </w:r>
      <w:r w:rsidR="001947A0">
        <w:rPr>
          <w:rFonts w:ascii="Times New Roman" w:hAnsi="Times New Roman"/>
          <w:szCs w:val="24"/>
        </w:rPr>
        <w:t>)</w:t>
      </w:r>
      <w:r w:rsidR="000B5666">
        <w:rPr>
          <w:rFonts w:ascii="Times New Roman" w:hAnsi="Times New Roman"/>
          <w:szCs w:val="24"/>
        </w:rPr>
        <w:t xml:space="preserve"> = 269,539</w:t>
      </w:r>
      <w:r w:rsidR="00417CFC">
        <w:rPr>
          <w:rFonts w:ascii="Times New Roman" w:hAnsi="Times New Roman"/>
          <w:szCs w:val="24"/>
        </w:rPr>
        <w:t>.20</w:t>
      </w:r>
      <w:r w:rsidR="001947A0">
        <w:rPr>
          <w:rFonts w:ascii="Times New Roman" w:hAnsi="Times New Roman"/>
          <w:szCs w:val="24"/>
        </w:rPr>
        <w:t>) / (5</w:t>
      </w:r>
      <w:r w:rsidR="000B5666">
        <w:rPr>
          <w:rFonts w:ascii="Times New Roman" w:hAnsi="Times New Roman"/>
          <w:szCs w:val="24"/>
        </w:rPr>
        <w:t>,</w:t>
      </w:r>
      <w:r w:rsidR="001947A0">
        <w:rPr>
          <w:rFonts w:ascii="Times New Roman" w:hAnsi="Times New Roman"/>
          <w:szCs w:val="24"/>
        </w:rPr>
        <w:t>760 hours + 2</w:t>
      </w:r>
      <w:r w:rsidR="000B5666">
        <w:rPr>
          <w:rFonts w:ascii="Times New Roman" w:hAnsi="Times New Roman"/>
          <w:szCs w:val="24"/>
        </w:rPr>
        <w:t>,</w:t>
      </w:r>
      <w:r w:rsidR="001947A0">
        <w:rPr>
          <w:rFonts w:ascii="Times New Roman" w:hAnsi="Times New Roman"/>
          <w:szCs w:val="24"/>
        </w:rPr>
        <w:t>880 hours</w:t>
      </w:r>
      <w:r w:rsidR="000B5666">
        <w:rPr>
          <w:rFonts w:ascii="Times New Roman" w:hAnsi="Times New Roman"/>
          <w:szCs w:val="24"/>
        </w:rPr>
        <w:t xml:space="preserve"> = 8,640</w:t>
      </w:r>
      <w:r w:rsidR="001947A0">
        <w:rPr>
          <w:rFonts w:ascii="Times New Roman" w:hAnsi="Times New Roman"/>
          <w:szCs w:val="24"/>
        </w:rPr>
        <w:t>) = $31.</w:t>
      </w:r>
      <w:r w:rsidR="000B5666">
        <w:rPr>
          <w:rFonts w:ascii="Times New Roman" w:hAnsi="Times New Roman"/>
          <w:szCs w:val="24"/>
        </w:rPr>
        <w:t>20</w:t>
      </w:r>
      <w:r w:rsidR="001947A0">
        <w:rPr>
          <w:rFonts w:ascii="Times New Roman" w:hAnsi="Times New Roman"/>
          <w:szCs w:val="24"/>
        </w:rPr>
        <w:t>)</w:t>
      </w:r>
      <w:r w:rsidR="00D7448A">
        <w:rPr>
          <w:rFonts w:ascii="Times New Roman" w:hAnsi="Times New Roman"/>
          <w:szCs w:val="24"/>
        </w:rPr>
        <w:t xml:space="preserve">.  </w:t>
      </w:r>
      <w:r w:rsidR="00BA2321" w:rsidRPr="00F24693">
        <w:rPr>
          <w:rFonts w:ascii="Times New Roman" w:hAnsi="Times New Roman"/>
          <w:szCs w:val="24"/>
        </w:rPr>
        <w:t>The annual cost to Food Manufacturers</w:t>
      </w:r>
      <w:r w:rsidR="00BA2321">
        <w:rPr>
          <w:rFonts w:ascii="Times New Roman" w:hAnsi="Times New Roman"/>
          <w:szCs w:val="24"/>
        </w:rPr>
        <w:t xml:space="preserve"> and Distributors</w:t>
      </w:r>
      <w:r w:rsidR="00BA2321" w:rsidRPr="00F24693">
        <w:rPr>
          <w:rFonts w:ascii="Times New Roman" w:hAnsi="Times New Roman"/>
          <w:szCs w:val="24"/>
        </w:rPr>
        <w:t xml:space="preserve"> contributing information to the NUPC database on a </w:t>
      </w:r>
      <w:r w:rsidR="00BA2321" w:rsidRPr="00F24693">
        <w:rPr>
          <w:rFonts w:ascii="Times New Roman" w:hAnsi="Times New Roman"/>
          <w:szCs w:val="24"/>
        </w:rPr>
        <w:lastRenderedPageBreak/>
        <w:t xml:space="preserve">voluntary basis is estimated to </w:t>
      </w:r>
      <w:r w:rsidR="00BA2321">
        <w:rPr>
          <w:rFonts w:ascii="Times New Roman" w:hAnsi="Times New Roman"/>
          <w:szCs w:val="24"/>
        </w:rPr>
        <w:t xml:space="preserve">be </w:t>
      </w:r>
      <w:r w:rsidR="00BA2321" w:rsidRPr="00F24693">
        <w:rPr>
          <w:rFonts w:ascii="Times New Roman" w:hAnsi="Times New Roman"/>
          <w:szCs w:val="24"/>
        </w:rPr>
        <w:t>$</w:t>
      </w:r>
      <w:r w:rsidR="00D7448A">
        <w:rPr>
          <w:rFonts w:ascii="Times New Roman" w:hAnsi="Times New Roman"/>
          <w:szCs w:val="24"/>
        </w:rPr>
        <w:t>269,</w:t>
      </w:r>
      <w:r w:rsidR="000B5666">
        <w:rPr>
          <w:rFonts w:ascii="Times New Roman" w:hAnsi="Times New Roman"/>
          <w:szCs w:val="24"/>
        </w:rPr>
        <w:t>568</w:t>
      </w:r>
      <w:r w:rsidR="00BA2321">
        <w:rPr>
          <w:rFonts w:ascii="Times New Roman" w:hAnsi="Times New Roman"/>
          <w:szCs w:val="24"/>
        </w:rPr>
        <w:t xml:space="preserve"> (</w:t>
      </w:r>
      <w:r w:rsidR="00D7448A">
        <w:rPr>
          <w:rFonts w:ascii="Times New Roman" w:hAnsi="Times New Roman"/>
          <w:szCs w:val="24"/>
        </w:rPr>
        <w:t>9</w:t>
      </w:r>
      <w:r w:rsidR="00BA2321">
        <w:rPr>
          <w:rFonts w:ascii="Times New Roman" w:hAnsi="Times New Roman"/>
          <w:szCs w:val="24"/>
        </w:rPr>
        <w:t xml:space="preserve"> hours</w:t>
      </w:r>
      <w:r w:rsidR="00BA2321" w:rsidRPr="00F24693">
        <w:rPr>
          <w:rFonts w:ascii="Times New Roman" w:hAnsi="Times New Roman"/>
          <w:szCs w:val="24"/>
        </w:rPr>
        <w:t xml:space="preserve"> </w:t>
      </w:r>
      <w:r w:rsidR="00BA2321">
        <w:rPr>
          <w:rFonts w:ascii="Times New Roman" w:hAnsi="Times New Roman"/>
          <w:szCs w:val="24"/>
        </w:rPr>
        <w:t xml:space="preserve">per response </w:t>
      </w:r>
      <w:r w:rsidR="00BA2321" w:rsidRPr="001A6D81">
        <w:rPr>
          <w:rFonts w:ascii="Times New Roman" w:hAnsi="Times New Roman"/>
          <w:szCs w:val="24"/>
        </w:rPr>
        <w:t>* $</w:t>
      </w:r>
      <w:r w:rsidR="00D7448A">
        <w:rPr>
          <w:rFonts w:ascii="Times New Roman" w:hAnsi="Times New Roman"/>
          <w:szCs w:val="24"/>
        </w:rPr>
        <w:t>31.</w:t>
      </w:r>
      <w:r w:rsidR="000B5666">
        <w:rPr>
          <w:rFonts w:ascii="Times New Roman" w:hAnsi="Times New Roman"/>
          <w:szCs w:val="24"/>
        </w:rPr>
        <w:t>20</w:t>
      </w:r>
      <w:r w:rsidR="00BA2321" w:rsidRPr="00F24693">
        <w:rPr>
          <w:rFonts w:ascii="Times New Roman" w:hAnsi="Times New Roman"/>
          <w:szCs w:val="24"/>
        </w:rPr>
        <w:t xml:space="preserve"> per hour * </w:t>
      </w:r>
      <w:r w:rsidR="00BA2321">
        <w:rPr>
          <w:rFonts w:ascii="Times New Roman" w:hAnsi="Times New Roman"/>
          <w:szCs w:val="24"/>
        </w:rPr>
        <w:t xml:space="preserve">960 </w:t>
      </w:r>
      <w:r w:rsidR="00BA2321" w:rsidRPr="00F24693">
        <w:rPr>
          <w:rFonts w:ascii="Times New Roman" w:hAnsi="Times New Roman"/>
          <w:szCs w:val="24"/>
        </w:rPr>
        <w:t xml:space="preserve">transmissions </w:t>
      </w:r>
      <w:r w:rsidR="00BA2321">
        <w:rPr>
          <w:rFonts w:ascii="Times New Roman" w:hAnsi="Times New Roman"/>
          <w:szCs w:val="24"/>
        </w:rPr>
        <w:t xml:space="preserve">per year </w:t>
      </w:r>
      <w:r w:rsidR="00BA2321" w:rsidRPr="00F24693">
        <w:rPr>
          <w:rFonts w:ascii="Times New Roman" w:hAnsi="Times New Roman"/>
          <w:szCs w:val="24"/>
        </w:rPr>
        <w:t xml:space="preserve">= </w:t>
      </w:r>
      <w:r w:rsidR="00D7448A" w:rsidRPr="00F24693">
        <w:rPr>
          <w:rFonts w:ascii="Times New Roman" w:hAnsi="Times New Roman"/>
          <w:szCs w:val="24"/>
        </w:rPr>
        <w:t>$</w:t>
      </w:r>
      <w:r w:rsidR="00D7448A">
        <w:rPr>
          <w:rFonts w:ascii="Times New Roman" w:hAnsi="Times New Roman"/>
          <w:szCs w:val="24"/>
        </w:rPr>
        <w:t>269,</w:t>
      </w:r>
      <w:r w:rsidR="000B5666">
        <w:rPr>
          <w:rFonts w:ascii="Times New Roman" w:hAnsi="Times New Roman"/>
          <w:szCs w:val="24"/>
        </w:rPr>
        <w:t>568</w:t>
      </w:r>
      <w:r w:rsidR="00BA2321" w:rsidRPr="001A6D81">
        <w:rPr>
          <w:rFonts w:ascii="Times New Roman" w:hAnsi="Times New Roman"/>
          <w:szCs w:val="24"/>
        </w:rPr>
        <w:t>).</w:t>
      </w:r>
      <w:r w:rsidR="00BA2321" w:rsidRPr="00F24693">
        <w:rPr>
          <w:rFonts w:ascii="Times New Roman" w:hAnsi="Times New Roman"/>
          <w:szCs w:val="24"/>
        </w:rPr>
        <w:t xml:space="preserve"> </w:t>
      </w:r>
      <w:r w:rsidR="00BA2321">
        <w:rPr>
          <w:rFonts w:ascii="Times New Roman" w:hAnsi="Times New Roman"/>
          <w:szCs w:val="24"/>
        </w:rPr>
        <w:t xml:space="preserve"> </w:t>
      </w:r>
    </w:p>
    <w:p w:rsidR="00BA2321" w:rsidRPr="00F24693" w:rsidRDefault="00BA2321" w:rsidP="001A6D81">
      <w:pPr>
        <w:tabs>
          <w:tab w:val="left" w:pos="-720"/>
        </w:tabs>
        <w:spacing w:line="480" w:lineRule="auto"/>
        <w:rPr>
          <w:rFonts w:ascii="Times New Roman" w:hAnsi="Times New Roman"/>
          <w:szCs w:val="24"/>
        </w:rPr>
      </w:pPr>
    </w:p>
    <w:p w:rsidR="00AD7513" w:rsidRPr="00BA2321" w:rsidRDefault="00AD7513" w:rsidP="00AD7513">
      <w:pPr>
        <w:tabs>
          <w:tab w:val="left" w:pos="-720"/>
        </w:tabs>
        <w:spacing w:line="480" w:lineRule="auto"/>
        <w:rPr>
          <w:rFonts w:ascii="Times New Roman" w:hAnsi="Times New Roman"/>
          <w:szCs w:val="24"/>
        </w:rPr>
      </w:pPr>
      <w:r>
        <w:rPr>
          <w:rFonts w:ascii="Times New Roman" w:hAnsi="Times New Roman"/>
          <w:szCs w:val="24"/>
        </w:rPr>
        <w:t xml:space="preserve">FNS expects that </w:t>
      </w:r>
      <w:r w:rsidRPr="00AD7513">
        <w:rPr>
          <w:rFonts w:ascii="Times New Roman" w:hAnsi="Times New Roman"/>
          <w:szCs w:val="24"/>
        </w:rPr>
        <w:t xml:space="preserve">WIC Authorized Vendors </w:t>
      </w:r>
      <w:r>
        <w:rPr>
          <w:rFonts w:ascii="Times New Roman" w:hAnsi="Times New Roman"/>
          <w:szCs w:val="24"/>
        </w:rPr>
        <w:t xml:space="preserve">will assign </w:t>
      </w:r>
      <w:r w:rsidR="00B60451">
        <w:rPr>
          <w:rFonts w:ascii="Times New Roman" w:hAnsi="Times New Roman"/>
          <w:szCs w:val="24"/>
        </w:rPr>
        <w:t>the task of gathering and formatting data</w:t>
      </w:r>
      <w:r w:rsidR="00B60451" w:rsidDel="00B60451">
        <w:rPr>
          <w:rFonts w:ascii="Times New Roman" w:hAnsi="Times New Roman"/>
          <w:szCs w:val="24"/>
        </w:rPr>
        <w:t xml:space="preserve"> </w:t>
      </w:r>
      <w:r>
        <w:rPr>
          <w:rFonts w:ascii="Times New Roman" w:hAnsi="Times New Roman"/>
          <w:szCs w:val="24"/>
        </w:rPr>
        <w:t xml:space="preserve">to a Grocery Store Manager.  </w:t>
      </w:r>
      <w:r w:rsidRPr="00F24693">
        <w:rPr>
          <w:rFonts w:ascii="Times New Roman" w:hAnsi="Times New Roman"/>
          <w:szCs w:val="24"/>
        </w:rPr>
        <w:t xml:space="preserve">The median hourly wage rate for a </w:t>
      </w:r>
      <w:r>
        <w:rPr>
          <w:rFonts w:ascii="Times New Roman" w:hAnsi="Times New Roman"/>
          <w:szCs w:val="24"/>
        </w:rPr>
        <w:t>Grocery Store Manager (11-1021)</w:t>
      </w:r>
      <w:r>
        <w:rPr>
          <w:rFonts w:ascii="Times New Roman" w:hAnsi="Times New Roman"/>
          <w:bCs/>
          <w:szCs w:val="24"/>
        </w:rPr>
        <w:t xml:space="preserve"> </w:t>
      </w:r>
      <w:r w:rsidRPr="00F24693">
        <w:rPr>
          <w:rFonts w:ascii="Times New Roman" w:hAnsi="Times New Roman"/>
          <w:szCs w:val="24"/>
        </w:rPr>
        <w:t>is $</w:t>
      </w:r>
      <w:r>
        <w:rPr>
          <w:rFonts w:ascii="Times New Roman" w:hAnsi="Times New Roman"/>
          <w:szCs w:val="24"/>
        </w:rPr>
        <w:t>33.85</w:t>
      </w:r>
      <w:r w:rsidRPr="00F24693">
        <w:rPr>
          <w:rFonts w:ascii="Times New Roman" w:hAnsi="Times New Roman"/>
          <w:szCs w:val="24"/>
        </w:rPr>
        <w:t xml:space="preserve"> per hour.  </w:t>
      </w:r>
      <w:r>
        <w:rPr>
          <w:rFonts w:ascii="Times New Roman" w:hAnsi="Times New Roman"/>
          <w:szCs w:val="24"/>
        </w:rPr>
        <w:t xml:space="preserve">FNS expects that </w:t>
      </w:r>
      <w:r w:rsidRPr="00AD7513">
        <w:rPr>
          <w:rFonts w:ascii="Times New Roman" w:hAnsi="Times New Roman"/>
          <w:szCs w:val="24"/>
        </w:rPr>
        <w:t xml:space="preserve">WIC Authorized Vendors </w:t>
      </w:r>
      <w:r>
        <w:rPr>
          <w:rFonts w:ascii="Times New Roman" w:hAnsi="Times New Roman"/>
          <w:szCs w:val="24"/>
        </w:rPr>
        <w:t xml:space="preserve">will assign </w:t>
      </w:r>
      <w:r w:rsidR="00B60451">
        <w:rPr>
          <w:rFonts w:ascii="Times New Roman" w:hAnsi="Times New Roman"/>
          <w:szCs w:val="24"/>
        </w:rPr>
        <w:t>the task to d</w:t>
      </w:r>
      <w:r w:rsidR="00B60451" w:rsidRPr="007E27C7">
        <w:rPr>
          <w:rFonts w:ascii="Times New Roman" w:hAnsi="Times New Roman"/>
          <w:szCs w:val="24"/>
        </w:rPr>
        <w:t>evelop, maintain, and troubleshoot electronic systems</w:t>
      </w:r>
      <w:r w:rsidR="00B60451" w:rsidDel="00B60451">
        <w:rPr>
          <w:rFonts w:ascii="Times New Roman" w:hAnsi="Times New Roman"/>
          <w:szCs w:val="24"/>
        </w:rPr>
        <w:t xml:space="preserve"> </w:t>
      </w:r>
      <w:r>
        <w:rPr>
          <w:rFonts w:ascii="Times New Roman" w:hAnsi="Times New Roman"/>
          <w:szCs w:val="24"/>
        </w:rPr>
        <w:t xml:space="preserve">to a </w:t>
      </w:r>
      <w:r w:rsidRPr="00BA2321">
        <w:rPr>
          <w:rFonts w:ascii="Times New Roman" w:hAnsi="Times New Roman"/>
          <w:szCs w:val="24"/>
        </w:rPr>
        <w:t>Network/Computer Administrator</w:t>
      </w:r>
      <w:r>
        <w:rPr>
          <w:rFonts w:ascii="Times New Roman" w:hAnsi="Times New Roman"/>
          <w:szCs w:val="24"/>
        </w:rPr>
        <w:t xml:space="preserve">.  </w:t>
      </w:r>
      <w:r w:rsidRPr="00BA2321">
        <w:rPr>
          <w:rFonts w:ascii="Times New Roman" w:hAnsi="Times New Roman"/>
          <w:szCs w:val="24"/>
        </w:rPr>
        <w:t>The median hourly wage rate for a Network/Computer Administrator (</w:t>
      </w:r>
      <w:r w:rsidRPr="00BA2321">
        <w:rPr>
          <w:rFonts w:ascii="Times New Roman" w:hAnsi="Times New Roman"/>
          <w:bCs/>
          <w:szCs w:val="24"/>
        </w:rPr>
        <w:t xml:space="preserve">15-1142) </w:t>
      </w:r>
      <w:r w:rsidRPr="00BA2321">
        <w:rPr>
          <w:rFonts w:ascii="Times New Roman" w:hAnsi="Times New Roman"/>
          <w:szCs w:val="24"/>
        </w:rPr>
        <w:t xml:space="preserve">is $38.35 per hour.  </w:t>
      </w:r>
      <w:r>
        <w:rPr>
          <w:rFonts w:ascii="Times New Roman" w:hAnsi="Times New Roman"/>
          <w:szCs w:val="24"/>
        </w:rPr>
        <w:t xml:space="preserve">FNS calculated a blended hourly rate for </w:t>
      </w:r>
      <w:r w:rsidRPr="00AD7513">
        <w:rPr>
          <w:rFonts w:ascii="Times New Roman" w:hAnsi="Times New Roman"/>
          <w:szCs w:val="24"/>
        </w:rPr>
        <w:t xml:space="preserve">WIC Authorized Vendors </w:t>
      </w:r>
      <w:r>
        <w:rPr>
          <w:rFonts w:ascii="Times New Roman" w:hAnsi="Times New Roman"/>
          <w:szCs w:val="24"/>
        </w:rPr>
        <w:t>using a weighted average.  The blended hourly rate is $</w:t>
      </w:r>
      <w:r w:rsidR="00BB421D">
        <w:rPr>
          <w:rFonts w:ascii="Times New Roman" w:hAnsi="Times New Roman"/>
          <w:szCs w:val="24"/>
        </w:rPr>
        <w:t>37.71</w:t>
      </w:r>
      <w:r>
        <w:rPr>
          <w:rFonts w:ascii="Times New Roman" w:hAnsi="Times New Roman"/>
          <w:szCs w:val="24"/>
        </w:rPr>
        <w:t xml:space="preserve"> ((</w:t>
      </w:r>
      <w:r w:rsidR="00BB421D">
        <w:rPr>
          <w:rFonts w:ascii="Times New Roman" w:hAnsi="Times New Roman"/>
          <w:szCs w:val="24"/>
        </w:rPr>
        <w:t>240</w:t>
      </w:r>
      <w:r>
        <w:rPr>
          <w:rFonts w:ascii="Times New Roman" w:hAnsi="Times New Roman"/>
          <w:szCs w:val="24"/>
        </w:rPr>
        <w:t xml:space="preserve"> hours * </w:t>
      </w:r>
      <w:r w:rsidR="00BB421D">
        <w:rPr>
          <w:rFonts w:ascii="Times New Roman" w:hAnsi="Times New Roman"/>
          <w:szCs w:val="24"/>
        </w:rPr>
        <w:t>33.85</w:t>
      </w:r>
      <w:r w:rsidR="00417CFC">
        <w:rPr>
          <w:rFonts w:ascii="Times New Roman" w:hAnsi="Times New Roman"/>
          <w:szCs w:val="24"/>
        </w:rPr>
        <w:t xml:space="preserve"> = 8,124</w:t>
      </w:r>
      <w:r>
        <w:rPr>
          <w:rFonts w:ascii="Times New Roman" w:hAnsi="Times New Roman"/>
          <w:szCs w:val="24"/>
        </w:rPr>
        <w:t>) + (</w:t>
      </w:r>
      <w:r w:rsidR="00BB421D">
        <w:rPr>
          <w:rFonts w:ascii="Times New Roman" w:hAnsi="Times New Roman"/>
          <w:szCs w:val="24"/>
        </w:rPr>
        <w:t>1</w:t>
      </w:r>
      <w:r w:rsidR="00417CFC">
        <w:rPr>
          <w:rFonts w:ascii="Times New Roman" w:hAnsi="Times New Roman"/>
          <w:szCs w:val="24"/>
        </w:rPr>
        <w:t>,</w:t>
      </w:r>
      <w:r w:rsidR="00BB421D">
        <w:rPr>
          <w:rFonts w:ascii="Times New Roman" w:hAnsi="Times New Roman"/>
          <w:szCs w:val="24"/>
        </w:rPr>
        <w:t>440</w:t>
      </w:r>
      <w:r>
        <w:rPr>
          <w:rFonts w:ascii="Times New Roman" w:hAnsi="Times New Roman"/>
          <w:szCs w:val="24"/>
        </w:rPr>
        <w:t xml:space="preserve"> hours * 38.35</w:t>
      </w:r>
      <w:r w:rsidR="00417CFC">
        <w:rPr>
          <w:rFonts w:ascii="Times New Roman" w:hAnsi="Times New Roman"/>
          <w:szCs w:val="24"/>
        </w:rPr>
        <w:t xml:space="preserve"> = 55,224</w:t>
      </w:r>
      <w:r>
        <w:rPr>
          <w:rFonts w:ascii="Times New Roman" w:hAnsi="Times New Roman"/>
          <w:szCs w:val="24"/>
        </w:rPr>
        <w:t>)</w:t>
      </w:r>
      <w:r w:rsidR="00417CFC">
        <w:rPr>
          <w:rFonts w:ascii="Times New Roman" w:hAnsi="Times New Roman"/>
          <w:szCs w:val="24"/>
        </w:rPr>
        <w:t xml:space="preserve"> = 63,348</w:t>
      </w:r>
      <w:r>
        <w:rPr>
          <w:rFonts w:ascii="Times New Roman" w:hAnsi="Times New Roman"/>
          <w:szCs w:val="24"/>
        </w:rPr>
        <w:t>) / (</w:t>
      </w:r>
      <w:r w:rsidR="00BB421D">
        <w:rPr>
          <w:rFonts w:ascii="Times New Roman" w:hAnsi="Times New Roman"/>
          <w:szCs w:val="24"/>
        </w:rPr>
        <w:t>240</w:t>
      </w:r>
      <w:r>
        <w:rPr>
          <w:rFonts w:ascii="Times New Roman" w:hAnsi="Times New Roman"/>
          <w:szCs w:val="24"/>
        </w:rPr>
        <w:t xml:space="preserve"> hours + </w:t>
      </w:r>
      <w:r w:rsidR="00BB421D">
        <w:rPr>
          <w:rFonts w:ascii="Times New Roman" w:hAnsi="Times New Roman"/>
          <w:szCs w:val="24"/>
        </w:rPr>
        <w:t>1</w:t>
      </w:r>
      <w:r w:rsidR="00417CFC">
        <w:rPr>
          <w:rFonts w:ascii="Times New Roman" w:hAnsi="Times New Roman"/>
          <w:szCs w:val="24"/>
        </w:rPr>
        <w:t>,</w:t>
      </w:r>
      <w:r w:rsidR="00BB421D">
        <w:rPr>
          <w:rFonts w:ascii="Times New Roman" w:hAnsi="Times New Roman"/>
          <w:szCs w:val="24"/>
        </w:rPr>
        <w:t>440</w:t>
      </w:r>
      <w:r>
        <w:rPr>
          <w:rFonts w:ascii="Times New Roman" w:hAnsi="Times New Roman"/>
          <w:szCs w:val="24"/>
        </w:rPr>
        <w:t xml:space="preserve"> hours</w:t>
      </w:r>
      <w:r w:rsidR="00417CFC">
        <w:rPr>
          <w:rFonts w:ascii="Times New Roman" w:hAnsi="Times New Roman"/>
          <w:szCs w:val="24"/>
        </w:rPr>
        <w:t xml:space="preserve"> = 1,680</w:t>
      </w:r>
      <w:r>
        <w:rPr>
          <w:rFonts w:ascii="Times New Roman" w:hAnsi="Times New Roman"/>
          <w:szCs w:val="24"/>
        </w:rPr>
        <w:t>) = $</w:t>
      </w:r>
      <w:r w:rsidR="00BB421D">
        <w:rPr>
          <w:rFonts w:ascii="Times New Roman" w:hAnsi="Times New Roman"/>
          <w:szCs w:val="24"/>
        </w:rPr>
        <w:t>37.71</w:t>
      </w:r>
      <w:r>
        <w:rPr>
          <w:rFonts w:ascii="Times New Roman" w:hAnsi="Times New Roman"/>
          <w:szCs w:val="24"/>
        </w:rPr>
        <w:t xml:space="preserve">).  </w:t>
      </w:r>
      <w:r w:rsidRPr="00F24693">
        <w:rPr>
          <w:rFonts w:ascii="Times New Roman" w:hAnsi="Times New Roman"/>
          <w:szCs w:val="24"/>
        </w:rPr>
        <w:t xml:space="preserve">The annual cost to </w:t>
      </w:r>
      <w:r w:rsidR="00BB421D" w:rsidRPr="00AD7513">
        <w:rPr>
          <w:rFonts w:ascii="Times New Roman" w:hAnsi="Times New Roman"/>
          <w:szCs w:val="24"/>
        </w:rPr>
        <w:t>WIC Authorized Vendors</w:t>
      </w:r>
      <w:r w:rsidRPr="00F24693">
        <w:rPr>
          <w:rFonts w:ascii="Times New Roman" w:hAnsi="Times New Roman"/>
          <w:szCs w:val="24"/>
        </w:rPr>
        <w:t xml:space="preserve"> contributing </w:t>
      </w:r>
      <w:r w:rsidRPr="00BC42A7">
        <w:rPr>
          <w:rFonts w:ascii="Times New Roman" w:hAnsi="Times New Roman"/>
          <w:szCs w:val="24"/>
        </w:rPr>
        <w:t>information to the NUPC database on a voluntary basis is estimated to be $</w:t>
      </w:r>
      <w:r w:rsidR="00BC42A7" w:rsidRPr="00BC42A7">
        <w:rPr>
          <w:rFonts w:ascii="Times New Roman" w:hAnsi="Times New Roman"/>
          <w:szCs w:val="24"/>
        </w:rPr>
        <w:t>63,352.80 (7</w:t>
      </w:r>
      <w:r w:rsidRPr="00BC42A7">
        <w:rPr>
          <w:rFonts w:ascii="Times New Roman" w:hAnsi="Times New Roman"/>
          <w:szCs w:val="24"/>
        </w:rPr>
        <w:t xml:space="preserve"> hour</w:t>
      </w:r>
      <w:r w:rsidR="00BC42A7" w:rsidRPr="00BC42A7">
        <w:rPr>
          <w:rFonts w:ascii="Times New Roman" w:hAnsi="Times New Roman"/>
          <w:szCs w:val="24"/>
        </w:rPr>
        <w:t>s</w:t>
      </w:r>
      <w:r w:rsidRPr="00BC42A7">
        <w:rPr>
          <w:rFonts w:ascii="Times New Roman" w:hAnsi="Times New Roman"/>
          <w:szCs w:val="24"/>
        </w:rPr>
        <w:t xml:space="preserve"> per response * $</w:t>
      </w:r>
      <w:r w:rsidR="00BC42A7" w:rsidRPr="00BC42A7">
        <w:rPr>
          <w:rFonts w:ascii="Times New Roman" w:hAnsi="Times New Roman"/>
          <w:szCs w:val="24"/>
        </w:rPr>
        <w:t>37.71</w:t>
      </w:r>
      <w:r w:rsidRPr="00BC42A7">
        <w:rPr>
          <w:rFonts w:ascii="Times New Roman" w:hAnsi="Times New Roman"/>
          <w:szCs w:val="24"/>
        </w:rPr>
        <w:t xml:space="preserve"> per hour * </w:t>
      </w:r>
      <w:r w:rsidR="00BC42A7" w:rsidRPr="00BC42A7">
        <w:rPr>
          <w:rFonts w:ascii="Times New Roman" w:hAnsi="Times New Roman"/>
          <w:szCs w:val="24"/>
        </w:rPr>
        <w:t>240</w:t>
      </w:r>
      <w:r w:rsidRPr="00BC42A7">
        <w:rPr>
          <w:rFonts w:ascii="Times New Roman" w:hAnsi="Times New Roman"/>
          <w:szCs w:val="24"/>
        </w:rPr>
        <w:t xml:space="preserve"> transmissions per year = $</w:t>
      </w:r>
      <w:r w:rsidR="00BC42A7" w:rsidRPr="00BC42A7">
        <w:rPr>
          <w:rFonts w:ascii="Times New Roman" w:hAnsi="Times New Roman"/>
          <w:szCs w:val="24"/>
        </w:rPr>
        <w:t>63,352.80</w:t>
      </w:r>
      <w:r w:rsidRPr="00BC42A7">
        <w:rPr>
          <w:rFonts w:ascii="Times New Roman" w:hAnsi="Times New Roman"/>
          <w:szCs w:val="24"/>
        </w:rPr>
        <w:t>).</w:t>
      </w:r>
      <w:r w:rsidRPr="00F24693">
        <w:rPr>
          <w:rFonts w:ascii="Times New Roman" w:hAnsi="Times New Roman"/>
          <w:szCs w:val="24"/>
        </w:rPr>
        <w:t xml:space="preserve"> </w:t>
      </w:r>
      <w:r>
        <w:rPr>
          <w:rFonts w:ascii="Times New Roman" w:hAnsi="Times New Roman"/>
          <w:szCs w:val="24"/>
        </w:rPr>
        <w:t xml:space="preserve"> </w:t>
      </w:r>
    </w:p>
    <w:p w:rsidR="001A054E" w:rsidRDefault="001A054E" w:rsidP="00F24693">
      <w:pPr>
        <w:tabs>
          <w:tab w:val="left" w:pos="-720"/>
        </w:tabs>
        <w:suppressAutoHyphens/>
        <w:spacing w:line="480" w:lineRule="auto"/>
        <w:rPr>
          <w:rFonts w:ascii="Times New Roman" w:hAnsi="Times New Roman"/>
          <w:szCs w:val="24"/>
        </w:rPr>
      </w:pPr>
    </w:p>
    <w:p w:rsidR="001A054E" w:rsidRDefault="001A054E" w:rsidP="00F24693">
      <w:pPr>
        <w:tabs>
          <w:tab w:val="left" w:pos="-720"/>
        </w:tabs>
        <w:suppressAutoHyphens/>
        <w:spacing w:line="480" w:lineRule="auto"/>
        <w:rPr>
          <w:rFonts w:ascii="Times New Roman" w:hAnsi="Times New Roman"/>
          <w:bCs/>
          <w:szCs w:val="24"/>
        </w:rPr>
      </w:pPr>
      <w:r w:rsidRPr="00BC42A7">
        <w:rPr>
          <w:rFonts w:ascii="Times New Roman" w:hAnsi="Times New Roman"/>
          <w:szCs w:val="24"/>
        </w:rPr>
        <w:t xml:space="preserve">The total annualized </w:t>
      </w:r>
      <w:r w:rsidR="00D05B8B">
        <w:rPr>
          <w:rFonts w:ascii="Times New Roman" w:hAnsi="Times New Roman"/>
          <w:szCs w:val="24"/>
        </w:rPr>
        <w:t xml:space="preserve">hour burden </w:t>
      </w:r>
      <w:r w:rsidRPr="00BC42A7">
        <w:rPr>
          <w:rFonts w:ascii="Times New Roman" w:hAnsi="Times New Roman"/>
          <w:szCs w:val="24"/>
        </w:rPr>
        <w:t>cost</w:t>
      </w:r>
      <w:r w:rsidR="00D05B8B">
        <w:rPr>
          <w:rFonts w:ascii="Times New Roman" w:hAnsi="Times New Roman"/>
          <w:szCs w:val="24"/>
        </w:rPr>
        <w:t>s</w:t>
      </w:r>
      <w:r w:rsidRPr="00BC42A7">
        <w:rPr>
          <w:rFonts w:ascii="Times New Roman" w:hAnsi="Times New Roman"/>
          <w:szCs w:val="24"/>
        </w:rPr>
        <w:t xml:space="preserve"> for </w:t>
      </w:r>
      <w:r w:rsidR="00AD7513" w:rsidRPr="00BC42A7">
        <w:rPr>
          <w:rFonts w:ascii="Times New Roman" w:hAnsi="Times New Roman"/>
          <w:szCs w:val="24"/>
        </w:rPr>
        <w:t>all</w:t>
      </w:r>
      <w:r w:rsidRPr="00BC42A7">
        <w:rPr>
          <w:rFonts w:ascii="Times New Roman" w:hAnsi="Times New Roman"/>
          <w:szCs w:val="24"/>
        </w:rPr>
        <w:t xml:space="preserve"> respondents is </w:t>
      </w:r>
      <w:r w:rsidR="00BC42A7" w:rsidRPr="00BC42A7">
        <w:rPr>
          <w:rFonts w:ascii="Times New Roman" w:hAnsi="Times New Roman"/>
          <w:szCs w:val="24"/>
        </w:rPr>
        <w:t xml:space="preserve">estimated to be </w:t>
      </w:r>
      <w:r w:rsidRPr="00BC42A7">
        <w:rPr>
          <w:rFonts w:ascii="Times New Roman" w:hAnsi="Times New Roman"/>
          <w:szCs w:val="24"/>
        </w:rPr>
        <w:t>$</w:t>
      </w:r>
      <w:r w:rsidR="00BC42A7" w:rsidRPr="00BC42A7">
        <w:rPr>
          <w:rFonts w:ascii="Times New Roman" w:hAnsi="Times New Roman"/>
          <w:bCs/>
          <w:szCs w:val="24"/>
        </w:rPr>
        <w:t>332,</w:t>
      </w:r>
      <w:r w:rsidR="00417CFC">
        <w:rPr>
          <w:rFonts w:ascii="Times New Roman" w:hAnsi="Times New Roman"/>
          <w:bCs/>
          <w:szCs w:val="24"/>
        </w:rPr>
        <w:t>920.80</w:t>
      </w:r>
      <w:r w:rsidR="00BC42A7">
        <w:rPr>
          <w:rFonts w:ascii="Times New Roman" w:hAnsi="Times New Roman"/>
          <w:bCs/>
          <w:szCs w:val="24"/>
        </w:rPr>
        <w:t xml:space="preserve"> (</w:t>
      </w:r>
      <w:r w:rsidR="00BC42A7" w:rsidRPr="00F24693">
        <w:rPr>
          <w:rFonts w:ascii="Times New Roman" w:hAnsi="Times New Roman"/>
          <w:szCs w:val="24"/>
        </w:rPr>
        <w:t>$</w:t>
      </w:r>
      <w:r w:rsidR="00BC42A7">
        <w:rPr>
          <w:rFonts w:ascii="Times New Roman" w:hAnsi="Times New Roman"/>
          <w:szCs w:val="24"/>
        </w:rPr>
        <w:t>269,</w:t>
      </w:r>
      <w:r w:rsidR="00417CFC">
        <w:rPr>
          <w:rFonts w:ascii="Times New Roman" w:hAnsi="Times New Roman"/>
          <w:szCs w:val="24"/>
        </w:rPr>
        <w:t>568</w:t>
      </w:r>
      <w:r w:rsidR="00BC42A7">
        <w:rPr>
          <w:rFonts w:ascii="Times New Roman" w:hAnsi="Times New Roman"/>
          <w:szCs w:val="24"/>
        </w:rPr>
        <w:t xml:space="preserve"> + </w:t>
      </w:r>
      <w:r w:rsidR="00BC42A7" w:rsidRPr="00BC42A7">
        <w:rPr>
          <w:rFonts w:ascii="Times New Roman" w:hAnsi="Times New Roman"/>
          <w:szCs w:val="24"/>
        </w:rPr>
        <w:t>$63,352.80</w:t>
      </w:r>
      <w:r w:rsidR="00BC42A7">
        <w:rPr>
          <w:rFonts w:ascii="Times New Roman" w:hAnsi="Times New Roman"/>
          <w:szCs w:val="24"/>
        </w:rPr>
        <w:t xml:space="preserve"> = </w:t>
      </w:r>
      <w:r w:rsidR="00BC42A7" w:rsidRPr="00BC42A7">
        <w:rPr>
          <w:rFonts w:ascii="Times New Roman" w:hAnsi="Times New Roman"/>
          <w:szCs w:val="24"/>
        </w:rPr>
        <w:t>$</w:t>
      </w:r>
      <w:r w:rsidR="00BC42A7" w:rsidRPr="00BC42A7">
        <w:rPr>
          <w:rFonts w:ascii="Times New Roman" w:hAnsi="Times New Roman"/>
          <w:bCs/>
          <w:szCs w:val="24"/>
        </w:rPr>
        <w:t>332,</w:t>
      </w:r>
      <w:r w:rsidR="00417CFC">
        <w:rPr>
          <w:rFonts w:ascii="Times New Roman" w:hAnsi="Times New Roman"/>
          <w:bCs/>
          <w:szCs w:val="24"/>
        </w:rPr>
        <w:t>920.80</w:t>
      </w:r>
      <w:r w:rsidR="00BC42A7">
        <w:rPr>
          <w:rFonts w:ascii="Times New Roman" w:hAnsi="Times New Roman"/>
          <w:bCs/>
          <w:szCs w:val="24"/>
        </w:rPr>
        <w:t>)</w:t>
      </w:r>
    </w:p>
    <w:p w:rsidR="001A054E" w:rsidRDefault="001A054E" w:rsidP="0062567E">
      <w:pPr>
        <w:pStyle w:val="Heading1"/>
        <w:rPr>
          <w:szCs w:val="24"/>
        </w:rPr>
      </w:pPr>
      <w:bookmarkStart w:id="33" w:name="_Toc401831369"/>
    </w:p>
    <w:p w:rsidR="00BC42A7" w:rsidRPr="00BC42A7" w:rsidRDefault="00BC42A7" w:rsidP="00BC42A7"/>
    <w:p w:rsidR="000438E8" w:rsidRPr="002568E6" w:rsidRDefault="00FD71D3" w:rsidP="0062567E">
      <w:pPr>
        <w:pStyle w:val="Heading1"/>
        <w:rPr>
          <w:szCs w:val="24"/>
        </w:rPr>
      </w:pPr>
      <w:bookmarkStart w:id="34" w:name="_Toc417487014"/>
      <w:r w:rsidRPr="002568E6">
        <w:rPr>
          <w:szCs w:val="24"/>
        </w:rPr>
        <w:t xml:space="preserve">A13.  </w:t>
      </w:r>
      <w:proofErr w:type="gramStart"/>
      <w:r w:rsidRPr="002568E6">
        <w:rPr>
          <w:szCs w:val="24"/>
        </w:rPr>
        <w:t xml:space="preserve">Estimates of other total annual cost </w:t>
      </w:r>
      <w:r w:rsidR="00ED28F2" w:rsidRPr="002568E6">
        <w:rPr>
          <w:szCs w:val="24"/>
        </w:rPr>
        <w:t>burden</w:t>
      </w:r>
      <w:r w:rsidRPr="002568E6">
        <w:rPr>
          <w:szCs w:val="24"/>
        </w:rPr>
        <w:t>.</w:t>
      </w:r>
      <w:bookmarkEnd w:id="33"/>
      <w:bookmarkEnd w:id="34"/>
      <w:proofErr w:type="gramEnd"/>
    </w:p>
    <w:p w:rsidR="0062567E" w:rsidRPr="002568E6" w:rsidRDefault="0062567E" w:rsidP="000438E8">
      <w:pPr>
        <w:tabs>
          <w:tab w:val="left" w:pos="0"/>
        </w:tabs>
        <w:suppressAutoHyphens/>
        <w:rPr>
          <w:rFonts w:ascii="Times New Roman" w:hAnsi="Times New Roman"/>
          <w:b/>
          <w:szCs w:val="24"/>
        </w:rPr>
      </w:pPr>
    </w:p>
    <w:p w:rsidR="0062567E" w:rsidRPr="002568E6" w:rsidRDefault="0062567E" w:rsidP="000438E8">
      <w:pPr>
        <w:tabs>
          <w:tab w:val="left" w:pos="0"/>
        </w:tabs>
        <w:suppressAutoHyphens/>
        <w:rPr>
          <w:rFonts w:ascii="Times New Roman" w:hAnsi="Times New Roman"/>
          <w:b/>
          <w:szCs w:val="24"/>
        </w:rPr>
      </w:pPr>
      <w:r w:rsidRPr="002568E6">
        <w:rPr>
          <w:rFonts w:ascii="Times New Roman" w:hAnsi="Times New Roman"/>
          <w:b/>
          <w:szCs w:val="24"/>
        </w:rPr>
        <w:t xml:space="preserve">Provide estimates of the total annual cost burden to respondents or </w:t>
      </w:r>
      <w:proofErr w:type="spellStart"/>
      <w:r w:rsidRPr="002568E6">
        <w:rPr>
          <w:rFonts w:ascii="Times New Roman" w:hAnsi="Times New Roman"/>
          <w:b/>
          <w:szCs w:val="24"/>
        </w:rPr>
        <w:t>recordkeepers</w:t>
      </w:r>
      <w:proofErr w:type="spellEnd"/>
      <w:r w:rsidRPr="002568E6">
        <w:rPr>
          <w:rFonts w:ascii="Times New Roman" w:hAnsi="Times New Roman"/>
          <w:b/>
          <w:szCs w:val="24"/>
        </w:rPr>
        <w:t xml:space="preserve"> resulting from the collection of information, (do not include the cost of any hour burden shown in questions 12 and 14).  The cost estimates should be split into two components: (a) a total capital and start-up cost component annualized over its expected useful life; and (b) a total operation and maintenance and purchase of services component.</w:t>
      </w:r>
    </w:p>
    <w:p w:rsidR="00ED28F2" w:rsidRPr="002568E6" w:rsidRDefault="00ED28F2" w:rsidP="00ED28F2">
      <w:pPr>
        <w:tabs>
          <w:tab w:val="left" w:pos="-720"/>
        </w:tabs>
        <w:suppressAutoHyphens/>
        <w:rPr>
          <w:rFonts w:ascii="Times New Roman" w:hAnsi="Times New Roman"/>
          <w:szCs w:val="24"/>
        </w:rPr>
      </w:pPr>
    </w:p>
    <w:p w:rsidR="00910C21" w:rsidRPr="00910C21" w:rsidRDefault="00910C21" w:rsidP="00910C21">
      <w:pPr>
        <w:tabs>
          <w:tab w:val="left" w:pos="-720"/>
        </w:tabs>
        <w:suppressAutoHyphens/>
        <w:spacing w:line="480" w:lineRule="auto"/>
        <w:rPr>
          <w:rFonts w:ascii="Times New Roman" w:hAnsi="Times New Roman"/>
          <w:szCs w:val="24"/>
        </w:rPr>
      </w:pPr>
      <w:r w:rsidRPr="00910C21">
        <w:rPr>
          <w:rFonts w:ascii="Times New Roman" w:hAnsi="Times New Roman"/>
          <w:szCs w:val="24"/>
        </w:rPr>
        <w:t xml:space="preserve">FNS does not anticipate that respondents will incur capital </w:t>
      </w:r>
      <w:r w:rsidR="004B70D4">
        <w:rPr>
          <w:rFonts w:ascii="Times New Roman" w:hAnsi="Times New Roman"/>
          <w:szCs w:val="24"/>
        </w:rPr>
        <w:t xml:space="preserve">and start-up </w:t>
      </w:r>
      <w:r w:rsidRPr="00910C21">
        <w:rPr>
          <w:rFonts w:ascii="Times New Roman" w:hAnsi="Times New Roman"/>
          <w:szCs w:val="24"/>
        </w:rPr>
        <w:t xml:space="preserve">costs as a result of this </w:t>
      </w:r>
      <w:r w:rsidRPr="00910C21">
        <w:rPr>
          <w:rFonts w:ascii="Times New Roman" w:hAnsi="Times New Roman"/>
          <w:szCs w:val="24"/>
        </w:rPr>
        <w:lastRenderedPageBreak/>
        <w:t xml:space="preserve">collection. Respondents will not be required to keep any record information since the information will be stored in the NUPC database and respondents will not need to procure any equipment or other services in order to submit data for the NUPC database on a recurring basis. </w:t>
      </w:r>
    </w:p>
    <w:p w:rsidR="00910C21" w:rsidRPr="00910C21" w:rsidRDefault="00910C21" w:rsidP="00910C21">
      <w:pPr>
        <w:tabs>
          <w:tab w:val="left" w:pos="-720"/>
        </w:tabs>
        <w:suppressAutoHyphens/>
        <w:spacing w:line="480" w:lineRule="auto"/>
        <w:rPr>
          <w:rFonts w:ascii="Times New Roman" w:hAnsi="Times New Roman"/>
          <w:szCs w:val="24"/>
        </w:rPr>
      </w:pPr>
    </w:p>
    <w:p w:rsidR="00910C21" w:rsidRPr="00910C21" w:rsidRDefault="00910C21" w:rsidP="00FC649C">
      <w:pPr>
        <w:tabs>
          <w:tab w:val="left" w:pos="-720"/>
        </w:tabs>
        <w:spacing w:line="480" w:lineRule="auto"/>
        <w:rPr>
          <w:rFonts w:ascii="Times New Roman" w:hAnsi="Times New Roman"/>
          <w:szCs w:val="24"/>
        </w:rPr>
      </w:pPr>
      <w:r w:rsidRPr="00910C21">
        <w:rPr>
          <w:rFonts w:ascii="Times New Roman" w:hAnsi="Times New Roman"/>
          <w:szCs w:val="24"/>
        </w:rPr>
        <w:t xml:space="preserve">Estimates of annualized costs for </w:t>
      </w:r>
      <w:r w:rsidR="00BC42A7">
        <w:rPr>
          <w:rFonts w:ascii="Times New Roman" w:hAnsi="Times New Roman"/>
          <w:szCs w:val="24"/>
        </w:rPr>
        <w:t xml:space="preserve">ongoing </w:t>
      </w:r>
      <w:r w:rsidRPr="00910C21">
        <w:rPr>
          <w:rFonts w:ascii="Times New Roman" w:hAnsi="Times New Roman"/>
          <w:szCs w:val="24"/>
        </w:rPr>
        <w:t>operation</w:t>
      </w:r>
      <w:r w:rsidR="00BC42A7">
        <w:rPr>
          <w:rFonts w:ascii="Times New Roman" w:hAnsi="Times New Roman"/>
          <w:szCs w:val="24"/>
        </w:rPr>
        <w:t xml:space="preserve">s </w:t>
      </w:r>
      <w:r w:rsidRPr="00910C21">
        <w:rPr>
          <w:rFonts w:ascii="Times New Roman" w:hAnsi="Times New Roman"/>
          <w:szCs w:val="24"/>
        </w:rPr>
        <w:t>and maintenance are based on an hourly wage rate for a Network/Computer Administrator.  National median wage estimates are used and the source for the wage data is the Bureau of Labor Statistics, May 201</w:t>
      </w:r>
      <w:r w:rsidR="001A054E">
        <w:rPr>
          <w:rFonts w:ascii="Times New Roman" w:hAnsi="Times New Roman"/>
          <w:szCs w:val="24"/>
        </w:rPr>
        <w:t>4</w:t>
      </w:r>
      <w:r w:rsidRPr="00910C21">
        <w:rPr>
          <w:rFonts w:ascii="Times New Roman" w:hAnsi="Times New Roman"/>
          <w:szCs w:val="24"/>
        </w:rPr>
        <w:t xml:space="preserve"> National Industry-Specific Occupational Employment Wage Estimates, Median Hourly Wages.  </w:t>
      </w:r>
      <w:r w:rsidR="005B58A1">
        <w:rPr>
          <w:rFonts w:ascii="Times New Roman" w:hAnsi="Times New Roman"/>
          <w:szCs w:val="24"/>
        </w:rPr>
        <w:t xml:space="preserve"> </w:t>
      </w:r>
      <w:r w:rsidRPr="00910C21">
        <w:rPr>
          <w:rFonts w:ascii="Times New Roman" w:hAnsi="Times New Roman"/>
          <w:szCs w:val="24"/>
        </w:rPr>
        <w:t xml:space="preserve">Ongoing operational and maintenance costs consist of the time required to </w:t>
      </w:r>
      <w:r w:rsidR="00FC649C" w:rsidRPr="00553F34">
        <w:rPr>
          <w:rFonts w:ascii="Times New Roman" w:hAnsi="Times New Roman"/>
          <w:szCs w:val="24"/>
        </w:rPr>
        <w:t>develop, maintain, and troubleshoot electronic systems</w:t>
      </w:r>
      <w:r w:rsidR="005B58A1">
        <w:rPr>
          <w:rFonts w:ascii="Times New Roman" w:hAnsi="Times New Roman"/>
          <w:szCs w:val="24"/>
        </w:rPr>
        <w:t xml:space="preserve">, </w:t>
      </w:r>
      <w:r w:rsidRPr="00910C21">
        <w:rPr>
          <w:rFonts w:ascii="Times New Roman" w:hAnsi="Times New Roman"/>
          <w:szCs w:val="24"/>
        </w:rPr>
        <w:t xml:space="preserve">which is estimated to be </w:t>
      </w:r>
      <w:r w:rsidR="005B58A1">
        <w:rPr>
          <w:rFonts w:ascii="Times New Roman" w:hAnsi="Times New Roman"/>
          <w:szCs w:val="24"/>
        </w:rPr>
        <w:t>12</w:t>
      </w:r>
      <w:r w:rsidRPr="00910C21">
        <w:rPr>
          <w:rFonts w:ascii="Times New Roman" w:hAnsi="Times New Roman"/>
          <w:szCs w:val="24"/>
        </w:rPr>
        <w:t xml:space="preserve"> hours per year per </w:t>
      </w:r>
      <w:r w:rsidR="005B58A1">
        <w:rPr>
          <w:rFonts w:ascii="Times New Roman" w:hAnsi="Times New Roman"/>
          <w:szCs w:val="24"/>
        </w:rPr>
        <w:t>respondent</w:t>
      </w:r>
      <w:r w:rsidRPr="00910C21">
        <w:rPr>
          <w:rFonts w:ascii="Times New Roman" w:hAnsi="Times New Roman"/>
          <w:szCs w:val="24"/>
        </w:rPr>
        <w:t>.  The median hourly wage rate for a Network/Computer Administrator</w:t>
      </w:r>
      <w:r w:rsidR="00FC649C">
        <w:rPr>
          <w:rFonts w:ascii="Times New Roman" w:hAnsi="Times New Roman"/>
          <w:szCs w:val="24"/>
        </w:rPr>
        <w:t xml:space="preserve"> </w:t>
      </w:r>
      <w:r w:rsidR="00FC649C" w:rsidRPr="00FC649C">
        <w:rPr>
          <w:rFonts w:ascii="Times New Roman" w:hAnsi="Times New Roman"/>
          <w:szCs w:val="24"/>
        </w:rPr>
        <w:t>(</w:t>
      </w:r>
      <w:r w:rsidR="00FC649C" w:rsidRPr="00FC649C">
        <w:rPr>
          <w:rFonts w:ascii="Times New Roman" w:hAnsi="Times New Roman"/>
          <w:bCs/>
          <w:szCs w:val="24"/>
        </w:rPr>
        <w:t>15-1142)</w:t>
      </w:r>
      <w:r w:rsidR="00FC649C">
        <w:rPr>
          <w:rFonts w:ascii="Times New Roman" w:hAnsi="Times New Roman"/>
          <w:bCs/>
          <w:szCs w:val="24"/>
        </w:rPr>
        <w:t xml:space="preserve"> </w:t>
      </w:r>
      <w:r w:rsidRPr="00910C21">
        <w:rPr>
          <w:rFonts w:ascii="Times New Roman" w:hAnsi="Times New Roman"/>
          <w:szCs w:val="24"/>
        </w:rPr>
        <w:t>is $</w:t>
      </w:r>
      <w:r w:rsidR="00FC649C">
        <w:rPr>
          <w:rFonts w:ascii="Times New Roman" w:hAnsi="Times New Roman"/>
          <w:szCs w:val="24"/>
        </w:rPr>
        <w:t>38.35</w:t>
      </w:r>
      <w:r w:rsidRPr="00910C21">
        <w:rPr>
          <w:rFonts w:ascii="Times New Roman" w:hAnsi="Times New Roman"/>
          <w:szCs w:val="24"/>
        </w:rPr>
        <w:t xml:space="preserve"> per hour.  </w:t>
      </w:r>
    </w:p>
    <w:p w:rsidR="00910C21" w:rsidRPr="00910C21" w:rsidRDefault="00910C21" w:rsidP="00910C21">
      <w:pPr>
        <w:tabs>
          <w:tab w:val="left" w:pos="-720"/>
        </w:tabs>
        <w:suppressAutoHyphens/>
        <w:spacing w:line="480" w:lineRule="auto"/>
        <w:rPr>
          <w:rFonts w:ascii="Times New Roman" w:hAnsi="Times New Roman"/>
          <w:szCs w:val="24"/>
        </w:rPr>
      </w:pPr>
    </w:p>
    <w:p w:rsidR="00910C21" w:rsidRPr="00910C21" w:rsidRDefault="00910C21" w:rsidP="00910C21">
      <w:pPr>
        <w:tabs>
          <w:tab w:val="left" w:pos="-720"/>
        </w:tabs>
        <w:suppressAutoHyphens/>
        <w:spacing w:line="480" w:lineRule="auto"/>
        <w:rPr>
          <w:rFonts w:ascii="Times New Roman" w:hAnsi="Times New Roman"/>
          <w:szCs w:val="24"/>
        </w:rPr>
      </w:pPr>
      <w:r w:rsidRPr="00910C21">
        <w:rPr>
          <w:rFonts w:ascii="Times New Roman" w:hAnsi="Times New Roman"/>
          <w:szCs w:val="24"/>
        </w:rPr>
        <w:t>The total annual cost for ongoing operational and maintenance costs is therefore estimated to be $</w:t>
      </w:r>
      <w:r w:rsidR="00FC649C" w:rsidRPr="00FC649C">
        <w:rPr>
          <w:rFonts w:ascii="Times New Roman" w:hAnsi="Times New Roman"/>
          <w:szCs w:val="24"/>
        </w:rPr>
        <w:t>165,672.00</w:t>
      </w:r>
      <w:r w:rsidR="005B58A1" w:rsidRPr="00FC649C">
        <w:rPr>
          <w:rFonts w:ascii="Times New Roman" w:hAnsi="Times New Roman"/>
          <w:szCs w:val="24"/>
        </w:rPr>
        <w:t xml:space="preserve"> </w:t>
      </w:r>
      <w:r w:rsidR="003C099B" w:rsidRPr="00FC649C">
        <w:rPr>
          <w:rFonts w:ascii="Times New Roman" w:hAnsi="Times New Roman"/>
          <w:szCs w:val="24"/>
        </w:rPr>
        <w:t>(</w:t>
      </w:r>
      <w:r w:rsidR="005B58A1" w:rsidRPr="00FC649C">
        <w:rPr>
          <w:rFonts w:ascii="Times New Roman" w:hAnsi="Times New Roman"/>
          <w:szCs w:val="24"/>
        </w:rPr>
        <w:t>12</w:t>
      </w:r>
      <w:r w:rsidRPr="00FC649C">
        <w:rPr>
          <w:rFonts w:ascii="Times New Roman" w:hAnsi="Times New Roman"/>
          <w:szCs w:val="24"/>
        </w:rPr>
        <w:t xml:space="preserve"> hours per year * </w:t>
      </w:r>
      <w:r w:rsidR="003C099B" w:rsidRPr="00FC649C">
        <w:rPr>
          <w:rFonts w:ascii="Times New Roman" w:hAnsi="Times New Roman"/>
          <w:szCs w:val="24"/>
        </w:rPr>
        <w:t>360</w:t>
      </w:r>
      <w:r w:rsidR="005B58A1" w:rsidRPr="00FC649C">
        <w:rPr>
          <w:rFonts w:ascii="Times New Roman" w:hAnsi="Times New Roman"/>
          <w:szCs w:val="24"/>
        </w:rPr>
        <w:t xml:space="preserve"> respondents</w:t>
      </w:r>
      <w:r w:rsidRPr="00FC649C">
        <w:rPr>
          <w:rFonts w:ascii="Times New Roman" w:hAnsi="Times New Roman"/>
          <w:szCs w:val="24"/>
        </w:rPr>
        <w:t xml:space="preserve"> * </w:t>
      </w:r>
      <w:r w:rsidR="00CB1CD8" w:rsidRPr="00FC649C">
        <w:rPr>
          <w:rFonts w:ascii="Times New Roman" w:hAnsi="Times New Roman"/>
          <w:szCs w:val="24"/>
        </w:rPr>
        <w:t>$</w:t>
      </w:r>
      <w:r w:rsidR="00FC649C" w:rsidRPr="00FC649C">
        <w:rPr>
          <w:rFonts w:ascii="Times New Roman" w:hAnsi="Times New Roman"/>
          <w:szCs w:val="24"/>
        </w:rPr>
        <w:t>38.35</w:t>
      </w:r>
      <w:r w:rsidRPr="00FC649C">
        <w:rPr>
          <w:rFonts w:ascii="Times New Roman" w:hAnsi="Times New Roman"/>
          <w:szCs w:val="24"/>
        </w:rPr>
        <w:t xml:space="preserve"> per hour = </w:t>
      </w:r>
      <w:r w:rsidR="003C099B" w:rsidRPr="00FC649C">
        <w:rPr>
          <w:rFonts w:ascii="Times New Roman" w:hAnsi="Times New Roman"/>
          <w:szCs w:val="24"/>
        </w:rPr>
        <w:t>$</w:t>
      </w:r>
      <w:r w:rsidR="00FC649C" w:rsidRPr="00FC649C">
        <w:rPr>
          <w:rFonts w:ascii="Times New Roman" w:hAnsi="Times New Roman"/>
          <w:szCs w:val="24"/>
        </w:rPr>
        <w:t>165,672.00)</w:t>
      </w:r>
      <w:r w:rsidR="003C099B" w:rsidRPr="00FC649C">
        <w:rPr>
          <w:rFonts w:ascii="Times New Roman" w:hAnsi="Times New Roman"/>
          <w:szCs w:val="24"/>
        </w:rPr>
        <w:t>.</w:t>
      </w:r>
      <w:r w:rsidRPr="00910C21">
        <w:rPr>
          <w:rFonts w:ascii="Times New Roman" w:hAnsi="Times New Roman"/>
          <w:szCs w:val="24"/>
        </w:rPr>
        <w:t xml:space="preserve">  </w:t>
      </w:r>
    </w:p>
    <w:p w:rsidR="00173EC4" w:rsidRDefault="00173EC4">
      <w:pPr>
        <w:widowControl/>
        <w:overflowPunct/>
        <w:autoSpaceDE/>
        <w:autoSpaceDN/>
        <w:adjustRightInd/>
        <w:textAlignment w:val="auto"/>
        <w:rPr>
          <w:rFonts w:ascii="Times New Roman" w:hAnsi="Times New Roman"/>
          <w:szCs w:val="24"/>
        </w:rPr>
      </w:pPr>
    </w:p>
    <w:p w:rsidR="00995B4D" w:rsidRDefault="00995B4D" w:rsidP="0062567E">
      <w:pPr>
        <w:pStyle w:val="Heading1"/>
        <w:rPr>
          <w:szCs w:val="24"/>
        </w:rPr>
      </w:pPr>
      <w:bookmarkStart w:id="35" w:name="_Toc401831370"/>
      <w:bookmarkStart w:id="36" w:name="_Toc417487015"/>
    </w:p>
    <w:p w:rsidR="00A308DB" w:rsidRPr="002568E6" w:rsidRDefault="000438E8" w:rsidP="0062567E">
      <w:pPr>
        <w:pStyle w:val="Heading1"/>
        <w:rPr>
          <w:szCs w:val="24"/>
        </w:rPr>
      </w:pPr>
      <w:r w:rsidRPr="002568E6">
        <w:rPr>
          <w:szCs w:val="24"/>
        </w:rPr>
        <w:t>A14.  Provide estimates of annualized cost to the Federal government.</w:t>
      </w:r>
      <w:bookmarkEnd w:id="35"/>
      <w:bookmarkEnd w:id="36"/>
      <w:r w:rsidR="0088245A" w:rsidRPr="002568E6">
        <w:rPr>
          <w:szCs w:val="24"/>
        </w:rPr>
        <w:t xml:space="preserve">  </w:t>
      </w:r>
    </w:p>
    <w:p w:rsidR="0062567E" w:rsidRPr="002568E6" w:rsidRDefault="0062567E" w:rsidP="000438E8">
      <w:pPr>
        <w:tabs>
          <w:tab w:val="left" w:pos="0"/>
        </w:tabs>
        <w:suppressAutoHyphens/>
        <w:rPr>
          <w:rFonts w:ascii="Times New Roman" w:hAnsi="Times New Roman"/>
          <w:szCs w:val="24"/>
        </w:rPr>
      </w:pPr>
    </w:p>
    <w:p w:rsidR="0062567E" w:rsidRPr="002568E6" w:rsidRDefault="0062567E" w:rsidP="0062567E">
      <w:pPr>
        <w:pStyle w:val="ListParagraph"/>
        <w:widowControl/>
        <w:spacing w:line="240" w:lineRule="auto"/>
        <w:ind w:left="0"/>
        <w:rPr>
          <w:b/>
          <w:szCs w:val="24"/>
        </w:rPr>
      </w:pPr>
      <w:r w:rsidRPr="002568E6">
        <w:rPr>
          <w:b/>
          <w:szCs w:val="24"/>
        </w:rPr>
        <w:t>Provide estimates of annualized cost to the Federal government.  Provide a description of the method used to estimate cost and any other expense that would not have been incurred without this collection of information.</w:t>
      </w:r>
    </w:p>
    <w:p w:rsidR="0062567E" w:rsidRPr="002568E6" w:rsidRDefault="0062567E" w:rsidP="000438E8">
      <w:pPr>
        <w:tabs>
          <w:tab w:val="left" w:pos="0"/>
        </w:tabs>
        <w:suppressAutoHyphens/>
        <w:rPr>
          <w:rFonts w:ascii="Times New Roman" w:hAnsi="Times New Roman"/>
          <w:szCs w:val="24"/>
        </w:rPr>
      </w:pPr>
    </w:p>
    <w:p w:rsidR="00CD3BB9" w:rsidRPr="00CD3BB9" w:rsidRDefault="00CD3BB9" w:rsidP="00CD3BB9">
      <w:pPr>
        <w:tabs>
          <w:tab w:val="left" w:pos="-720"/>
        </w:tabs>
        <w:suppressAutoHyphens/>
        <w:spacing w:line="480" w:lineRule="auto"/>
        <w:rPr>
          <w:rFonts w:ascii="Times New Roman" w:hAnsi="Times New Roman"/>
          <w:szCs w:val="24"/>
        </w:rPr>
      </w:pPr>
      <w:r w:rsidRPr="00CD3BB9">
        <w:rPr>
          <w:rFonts w:ascii="Times New Roman" w:hAnsi="Times New Roman"/>
          <w:szCs w:val="24"/>
        </w:rPr>
        <w:t xml:space="preserve">“The Healthy, Hunger- Free Kids Act of 2010, Public Law No: 111-296”, provides $1,000,000 per year for the creation, operation, and maintenance of the NUPC database.   </w:t>
      </w:r>
    </w:p>
    <w:p w:rsidR="00CD3BB9" w:rsidRPr="00CD3BB9" w:rsidRDefault="00CD3BB9" w:rsidP="00CD3BB9">
      <w:pPr>
        <w:tabs>
          <w:tab w:val="left" w:pos="-720"/>
        </w:tabs>
        <w:suppressAutoHyphens/>
        <w:spacing w:line="480" w:lineRule="auto"/>
        <w:rPr>
          <w:rFonts w:ascii="Times New Roman" w:hAnsi="Times New Roman"/>
          <w:szCs w:val="24"/>
          <w:highlight w:val="red"/>
        </w:rPr>
      </w:pPr>
    </w:p>
    <w:p w:rsidR="00CD3BB9" w:rsidRPr="00CD3BB9" w:rsidRDefault="00CD3BB9" w:rsidP="00CD3BB9">
      <w:pPr>
        <w:tabs>
          <w:tab w:val="left" w:pos="-720"/>
        </w:tabs>
        <w:suppressAutoHyphens/>
        <w:spacing w:line="480" w:lineRule="auto"/>
        <w:rPr>
          <w:rFonts w:ascii="Times New Roman" w:hAnsi="Times New Roman"/>
          <w:szCs w:val="24"/>
        </w:rPr>
      </w:pPr>
      <w:r w:rsidRPr="00CD3BB9">
        <w:rPr>
          <w:rFonts w:ascii="Times New Roman" w:hAnsi="Times New Roman"/>
          <w:szCs w:val="24"/>
        </w:rPr>
        <w:t>FNS expects to incur an additional $3</w:t>
      </w:r>
      <w:r w:rsidR="009A2498">
        <w:rPr>
          <w:rFonts w:ascii="Times New Roman" w:hAnsi="Times New Roman"/>
          <w:szCs w:val="24"/>
        </w:rPr>
        <w:t>0</w:t>
      </w:r>
      <w:r w:rsidRPr="00CD3BB9">
        <w:rPr>
          <w:rFonts w:ascii="Times New Roman" w:hAnsi="Times New Roman"/>
          <w:szCs w:val="24"/>
        </w:rPr>
        <w:t xml:space="preserve">,000 per year for hosting services, setup fees, and other direct costs, in </w:t>
      </w:r>
      <w:r w:rsidR="003C099B">
        <w:rPr>
          <w:rFonts w:ascii="Times New Roman" w:hAnsi="Times New Roman"/>
          <w:szCs w:val="24"/>
        </w:rPr>
        <w:t>each</w:t>
      </w:r>
      <w:r w:rsidRPr="00CD3BB9">
        <w:rPr>
          <w:rFonts w:ascii="Times New Roman" w:hAnsi="Times New Roman"/>
          <w:szCs w:val="24"/>
        </w:rPr>
        <w:t xml:space="preserve"> year of this reporting period.  </w:t>
      </w:r>
    </w:p>
    <w:p w:rsidR="00CD3BB9" w:rsidRPr="00CD3BB9" w:rsidRDefault="00CD3BB9" w:rsidP="00CD3BB9">
      <w:pPr>
        <w:tabs>
          <w:tab w:val="left" w:pos="-720"/>
        </w:tabs>
        <w:suppressAutoHyphens/>
        <w:spacing w:line="480" w:lineRule="auto"/>
        <w:rPr>
          <w:rFonts w:ascii="Times New Roman" w:hAnsi="Times New Roman"/>
          <w:szCs w:val="24"/>
          <w:highlight w:val="red"/>
        </w:rPr>
      </w:pPr>
    </w:p>
    <w:p w:rsidR="00CD3BB9" w:rsidRPr="00CD3BB9" w:rsidRDefault="00CD3BB9" w:rsidP="00CD3BB9">
      <w:pPr>
        <w:tabs>
          <w:tab w:val="left" w:pos="-720"/>
        </w:tabs>
        <w:suppressAutoHyphens/>
        <w:spacing w:line="480" w:lineRule="auto"/>
        <w:rPr>
          <w:rFonts w:ascii="Times New Roman" w:hAnsi="Times New Roman"/>
          <w:szCs w:val="24"/>
        </w:rPr>
      </w:pPr>
      <w:r w:rsidRPr="00CD3BB9">
        <w:rPr>
          <w:rFonts w:ascii="Times New Roman" w:hAnsi="Times New Roman"/>
          <w:szCs w:val="24"/>
        </w:rPr>
        <w:t>FNS estimates that contractor services for purposes of populating the database will cost $31</w:t>
      </w:r>
      <w:r w:rsidR="00BF31F4">
        <w:rPr>
          <w:rFonts w:ascii="Times New Roman" w:hAnsi="Times New Roman"/>
          <w:szCs w:val="24"/>
        </w:rPr>
        <w:t>2</w:t>
      </w:r>
      <w:r w:rsidRPr="00CD3BB9">
        <w:rPr>
          <w:rFonts w:ascii="Times New Roman" w:hAnsi="Times New Roman"/>
          <w:szCs w:val="24"/>
        </w:rPr>
        <w:t>,042</w:t>
      </w:r>
      <w:r>
        <w:rPr>
          <w:rFonts w:ascii="Times New Roman" w:hAnsi="Times New Roman"/>
          <w:szCs w:val="24"/>
        </w:rPr>
        <w:t xml:space="preserve"> </w:t>
      </w:r>
      <w:r w:rsidRPr="00CD3BB9">
        <w:rPr>
          <w:rFonts w:ascii="Times New Roman" w:hAnsi="Times New Roman"/>
          <w:szCs w:val="24"/>
        </w:rPr>
        <w:t>in the first year of this reporting period and $</w:t>
      </w:r>
      <w:r w:rsidR="00BF31F4">
        <w:rPr>
          <w:rFonts w:ascii="Times New Roman" w:hAnsi="Times New Roman"/>
          <w:szCs w:val="24"/>
        </w:rPr>
        <w:t>312,042</w:t>
      </w:r>
      <w:r>
        <w:rPr>
          <w:rFonts w:ascii="Times New Roman" w:hAnsi="Times New Roman"/>
          <w:szCs w:val="24"/>
        </w:rPr>
        <w:t xml:space="preserve"> </w:t>
      </w:r>
      <w:r w:rsidRPr="00CD3BB9">
        <w:rPr>
          <w:rFonts w:ascii="Times New Roman" w:hAnsi="Times New Roman"/>
          <w:szCs w:val="24"/>
        </w:rPr>
        <w:t xml:space="preserve">in both the second and the third year.  </w:t>
      </w:r>
    </w:p>
    <w:p w:rsidR="00CD3BB9" w:rsidRPr="00CD3BB9" w:rsidRDefault="00CD3BB9" w:rsidP="00CD3BB9">
      <w:pPr>
        <w:tabs>
          <w:tab w:val="left" w:pos="-720"/>
        </w:tabs>
        <w:suppressAutoHyphens/>
        <w:spacing w:line="480" w:lineRule="auto"/>
        <w:rPr>
          <w:rFonts w:ascii="Times New Roman" w:hAnsi="Times New Roman"/>
          <w:szCs w:val="24"/>
        </w:rPr>
      </w:pPr>
      <w:r w:rsidRPr="00CD3BB9">
        <w:rPr>
          <w:rFonts w:ascii="Times New Roman" w:hAnsi="Times New Roman"/>
          <w:szCs w:val="24"/>
        </w:rPr>
        <w:t xml:space="preserve"> </w:t>
      </w:r>
    </w:p>
    <w:p w:rsidR="00CD3BB9" w:rsidRPr="00BF31F4" w:rsidRDefault="00CD3BB9" w:rsidP="009A2498">
      <w:pPr>
        <w:pStyle w:val="Default"/>
        <w:spacing w:line="480" w:lineRule="auto"/>
        <w:rPr>
          <w:rFonts w:ascii="Times New Roman" w:hAnsi="Times New Roman"/>
        </w:rPr>
      </w:pPr>
      <w:r w:rsidRPr="00BF31F4">
        <w:rPr>
          <w:rFonts w:ascii="Times New Roman" w:hAnsi="Times New Roman"/>
        </w:rPr>
        <w:t xml:space="preserve">FNS estimates that Maintenance and Operations costs will </w:t>
      </w:r>
      <w:r w:rsidR="00995B4D">
        <w:rPr>
          <w:rFonts w:ascii="Times New Roman" w:hAnsi="Times New Roman"/>
        </w:rPr>
        <w:t xml:space="preserve">be </w:t>
      </w:r>
      <w:r w:rsidRPr="00BF31F4">
        <w:rPr>
          <w:rFonts w:ascii="Times New Roman" w:hAnsi="Times New Roman"/>
        </w:rPr>
        <w:t>$</w:t>
      </w:r>
      <w:r w:rsidR="00BF31F4">
        <w:rPr>
          <w:rFonts w:ascii="Times New Roman" w:hAnsi="Times New Roman"/>
        </w:rPr>
        <w:t>722,260</w:t>
      </w:r>
      <w:r w:rsidR="00BF31F4" w:rsidRPr="00BF31F4">
        <w:rPr>
          <w:rFonts w:ascii="Times New Roman" w:hAnsi="Times New Roman"/>
        </w:rPr>
        <w:t xml:space="preserve"> </w:t>
      </w:r>
      <w:r w:rsidR="00BF31F4">
        <w:rPr>
          <w:rFonts w:ascii="Times New Roman" w:hAnsi="Times New Roman"/>
        </w:rPr>
        <w:t>in the first year of this reporting perio</w:t>
      </w:r>
      <w:r w:rsidR="009A2498">
        <w:rPr>
          <w:rFonts w:ascii="Times New Roman" w:hAnsi="Times New Roman"/>
        </w:rPr>
        <w:t xml:space="preserve">d, </w:t>
      </w:r>
      <w:r w:rsidR="00BF31F4" w:rsidRPr="009A2498">
        <w:rPr>
          <w:rFonts w:ascii="Times New Roman" w:hAnsi="Times New Roman" w:cs="Times New Roman"/>
        </w:rPr>
        <w:t>$</w:t>
      </w:r>
      <w:r w:rsidR="009A2498">
        <w:rPr>
          <w:rFonts w:ascii="Times New Roman" w:hAnsi="Times New Roman" w:cs="Times New Roman"/>
          <w:bCs/>
        </w:rPr>
        <w:t>451,744</w:t>
      </w:r>
      <w:r w:rsidR="009A2498">
        <w:rPr>
          <w:b/>
          <w:bCs/>
          <w:sz w:val="22"/>
          <w:szCs w:val="22"/>
        </w:rPr>
        <w:t xml:space="preserve"> </w:t>
      </w:r>
      <w:r w:rsidR="00BF31F4">
        <w:rPr>
          <w:rFonts w:ascii="Times New Roman" w:hAnsi="Times New Roman"/>
        </w:rPr>
        <w:t xml:space="preserve">in the second </w:t>
      </w:r>
      <w:r w:rsidR="009A2498">
        <w:rPr>
          <w:rFonts w:ascii="Times New Roman" w:hAnsi="Times New Roman"/>
        </w:rPr>
        <w:t xml:space="preserve">year, and </w:t>
      </w:r>
      <w:r w:rsidR="009A2498" w:rsidRPr="009A2498">
        <w:rPr>
          <w:rFonts w:ascii="Times New Roman" w:hAnsi="Times New Roman"/>
        </w:rPr>
        <w:t>$</w:t>
      </w:r>
      <w:r w:rsidR="009A2498" w:rsidRPr="009A2498">
        <w:rPr>
          <w:rFonts w:ascii="Times New Roman" w:hAnsi="Times New Roman"/>
          <w:bCs/>
        </w:rPr>
        <w:t>465,296</w:t>
      </w:r>
      <w:r w:rsidR="00AD39AC">
        <w:rPr>
          <w:rFonts w:ascii="Times New Roman" w:hAnsi="Times New Roman"/>
          <w:bCs/>
        </w:rPr>
        <w:t xml:space="preserve"> </w:t>
      </w:r>
      <w:r w:rsidR="009A2498" w:rsidRPr="009A2498">
        <w:rPr>
          <w:rFonts w:ascii="Times New Roman" w:hAnsi="Times New Roman"/>
          <w:bCs/>
        </w:rPr>
        <w:t>in</w:t>
      </w:r>
      <w:r w:rsidR="009A2498">
        <w:rPr>
          <w:rFonts w:ascii="Times New Roman" w:hAnsi="Times New Roman"/>
          <w:b/>
          <w:bCs/>
        </w:rPr>
        <w:t xml:space="preserve"> </w:t>
      </w:r>
      <w:r w:rsidR="00BF31F4">
        <w:rPr>
          <w:rFonts w:ascii="Times New Roman" w:hAnsi="Times New Roman"/>
        </w:rPr>
        <w:t xml:space="preserve">the third </w:t>
      </w:r>
      <w:r w:rsidRPr="00BF31F4">
        <w:rPr>
          <w:rFonts w:ascii="Times New Roman" w:hAnsi="Times New Roman"/>
        </w:rPr>
        <w:t xml:space="preserve">year. </w:t>
      </w:r>
      <w:r w:rsidR="00995B4D">
        <w:rPr>
          <w:rFonts w:ascii="Times New Roman" w:hAnsi="Times New Roman"/>
        </w:rPr>
        <w:t xml:space="preserve"> </w:t>
      </w:r>
    </w:p>
    <w:p w:rsidR="00CD3BB9" w:rsidRDefault="00CD3BB9" w:rsidP="00CD3BB9">
      <w:pPr>
        <w:tabs>
          <w:tab w:val="left" w:pos="-720"/>
        </w:tabs>
        <w:suppressAutoHyphens/>
        <w:spacing w:line="480" w:lineRule="auto"/>
        <w:rPr>
          <w:rFonts w:ascii="Times New Roman" w:hAnsi="Times New Roman"/>
          <w:szCs w:val="24"/>
          <w:highlight w:val="red"/>
        </w:rPr>
      </w:pPr>
    </w:p>
    <w:p w:rsidR="005529BA" w:rsidRDefault="005529BA" w:rsidP="005529BA">
      <w:pPr>
        <w:pStyle w:val="Heading1"/>
        <w:rPr>
          <w:szCs w:val="24"/>
        </w:rPr>
      </w:pPr>
      <w:r w:rsidRPr="00BC42A7">
        <w:rPr>
          <w:szCs w:val="24"/>
        </w:rPr>
        <w:t>The total cost over three years is estimated to be $2,665,426.00</w:t>
      </w:r>
    </w:p>
    <w:p w:rsidR="005529BA" w:rsidRPr="00CD3BB9" w:rsidRDefault="005529BA" w:rsidP="00CD3BB9">
      <w:pPr>
        <w:tabs>
          <w:tab w:val="left" w:pos="-720"/>
        </w:tabs>
        <w:suppressAutoHyphens/>
        <w:spacing w:line="480" w:lineRule="auto"/>
        <w:rPr>
          <w:rFonts w:ascii="Times New Roman" w:hAnsi="Times New Roman"/>
          <w:szCs w:val="24"/>
          <w:highlight w:val="red"/>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1710"/>
        <w:gridCol w:w="1710"/>
        <w:gridCol w:w="1710"/>
      </w:tblGrid>
      <w:tr w:rsidR="00CD3BB9" w:rsidRPr="00CD3BB9" w:rsidTr="00AD39AC">
        <w:tc>
          <w:tcPr>
            <w:tcW w:w="3888" w:type="dxa"/>
          </w:tcPr>
          <w:p w:rsidR="00CD3BB9" w:rsidRPr="00AD39AC" w:rsidRDefault="00CD3BB9" w:rsidP="00CD3BB9">
            <w:pPr>
              <w:tabs>
                <w:tab w:val="left" w:pos="-720"/>
              </w:tabs>
              <w:suppressAutoHyphens/>
              <w:spacing w:line="480" w:lineRule="auto"/>
              <w:rPr>
                <w:rFonts w:ascii="Times New Roman" w:hAnsi="Times New Roman"/>
                <w:b/>
                <w:szCs w:val="24"/>
              </w:rPr>
            </w:pPr>
            <w:r w:rsidRPr="00AD39AC">
              <w:rPr>
                <w:rFonts w:ascii="Times New Roman" w:hAnsi="Times New Roman"/>
                <w:b/>
                <w:szCs w:val="24"/>
              </w:rPr>
              <w:t>Description</w:t>
            </w:r>
          </w:p>
        </w:tc>
        <w:tc>
          <w:tcPr>
            <w:tcW w:w="1710" w:type="dxa"/>
          </w:tcPr>
          <w:p w:rsidR="00CD3BB9" w:rsidRPr="00AD39AC" w:rsidRDefault="00CD3BB9" w:rsidP="00CD3BB9">
            <w:pPr>
              <w:tabs>
                <w:tab w:val="left" w:pos="-720"/>
              </w:tabs>
              <w:suppressAutoHyphens/>
              <w:spacing w:line="480" w:lineRule="auto"/>
              <w:rPr>
                <w:rFonts w:ascii="Times New Roman" w:hAnsi="Times New Roman"/>
                <w:b/>
                <w:szCs w:val="24"/>
              </w:rPr>
            </w:pPr>
            <w:r w:rsidRPr="00AD39AC">
              <w:rPr>
                <w:rFonts w:ascii="Times New Roman" w:hAnsi="Times New Roman"/>
                <w:b/>
                <w:szCs w:val="24"/>
              </w:rPr>
              <w:t>Cost in Year 1</w:t>
            </w:r>
          </w:p>
        </w:tc>
        <w:tc>
          <w:tcPr>
            <w:tcW w:w="1710" w:type="dxa"/>
          </w:tcPr>
          <w:p w:rsidR="00CD3BB9" w:rsidRPr="00AD39AC" w:rsidRDefault="00CD3BB9" w:rsidP="00CD3BB9">
            <w:pPr>
              <w:tabs>
                <w:tab w:val="left" w:pos="-720"/>
              </w:tabs>
              <w:suppressAutoHyphens/>
              <w:spacing w:line="480" w:lineRule="auto"/>
              <w:rPr>
                <w:rFonts w:ascii="Times New Roman" w:hAnsi="Times New Roman"/>
                <w:b/>
                <w:szCs w:val="24"/>
              </w:rPr>
            </w:pPr>
            <w:r w:rsidRPr="00AD39AC">
              <w:rPr>
                <w:rFonts w:ascii="Times New Roman" w:hAnsi="Times New Roman"/>
                <w:b/>
                <w:szCs w:val="24"/>
              </w:rPr>
              <w:t>Cost in Year 2</w:t>
            </w:r>
          </w:p>
        </w:tc>
        <w:tc>
          <w:tcPr>
            <w:tcW w:w="1710" w:type="dxa"/>
          </w:tcPr>
          <w:p w:rsidR="00CD3BB9" w:rsidRPr="00AD39AC" w:rsidRDefault="00CD3BB9" w:rsidP="00CD3BB9">
            <w:pPr>
              <w:tabs>
                <w:tab w:val="left" w:pos="-720"/>
              </w:tabs>
              <w:suppressAutoHyphens/>
              <w:spacing w:line="480" w:lineRule="auto"/>
              <w:rPr>
                <w:rFonts w:ascii="Times New Roman" w:hAnsi="Times New Roman"/>
                <w:b/>
                <w:szCs w:val="24"/>
              </w:rPr>
            </w:pPr>
            <w:r w:rsidRPr="00AD39AC">
              <w:rPr>
                <w:rFonts w:ascii="Times New Roman" w:hAnsi="Times New Roman"/>
                <w:b/>
                <w:szCs w:val="24"/>
              </w:rPr>
              <w:t>Cost in Year 3</w:t>
            </w:r>
          </w:p>
        </w:tc>
      </w:tr>
      <w:tr w:rsidR="00CD3BB9" w:rsidRPr="00CD3BB9" w:rsidTr="00AD39AC">
        <w:tc>
          <w:tcPr>
            <w:tcW w:w="3888" w:type="dxa"/>
          </w:tcPr>
          <w:p w:rsidR="00CD3BB9" w:rsidRPr="00AD39AC" w:rsidRDefault="009A2498" w:rsidP="00CD3BB9">
            <w:pPr>
              <w:tabs>
                <w:tab w:val="left" w:pos="-720"/>
              </w:tabs>
              <w:suppressAutoHyphens/>
              <w:spacing w:line="480" w:lineRule="auto"/>
              <w:rPr>
                <w:rFonts w:ascii="Times New Roman" w:hAnsi="Times New Roman"/>
                <w:szCs w:val="24"/>
              </w:rPr>
            </w:pPr>
            <w:r w:rsidRPr="00AD39AC">
              <w:rPr>
                <w:rFonts w:ascii="Times New Roman" w:hAnsi="Times New Roman"/>
                <w:szCs w:val="24"/>
              </w:rPr>
              <w:t xml:space="preserve">Hosting Services </w:t>
            </w:r>
          </w:p>
        </w:tc>
        <w:tc>
          <w:tcPr>
            <w:tcW w:w="1710" w:type="dxa"/>
          </w:tcPr>
          <w:p w:rsidR="00CD3BB9" w:rsidRPr="00AD39AC" w:rsidRDefault="00AD39AC" w:rsidP="00CD3BB9">
            <w:pPr>
              <w:tabs>
                <w:tab w:val="left" w:pos="-720"/>
              </w:tabs>
              <w:suppressAutoHyphens/>
              <w:spacing w:line="480" w:lineRule="auto"/>
              <w:rPr>
                <w:rFonts w:ascii="Times New Roman" w:hAnsi="Times New Roman"/>
                <w:szCs w:val="24"/>
              </w:rPr>
            </w:pPr>
            <w:r>
              <w:rPr>
                <w:rFonts w:ascii="Times New Roman" w:hAnsi="Times New Roman"/>
                <w:szCs w:val="24"/>
              </w:rPr>
              <w:t>$30,000</w:t>
            </w:r>
          </w:p>
        </w:tc>
        <w:tc>
          <w:tcPr>
            <w:tcW w:w="1710" w:type="dxa"/>
          </w:tcPr>
          <w:p w:rsidR="00CD3BB9" w:rsidRPr="00AD39AC" w:rsidRDefault="00AD39AC" w:rsidP="00CD3BB9">
            <w:pPr>
              <w:tabs>
                <w:tab w:val="left" w:pos="-720"/>
              </w:tabs>
              <w:suppressAutoHyphens/>
              <w:spacing w:line="480" w:lineRule="auto"/>
              <w:rPr>
                <w:rFonts w:ascii="Times New Roman" w:hAnsi="Times New Roman"/>
                <w:szCs w:val="24"/>
              </w:rPr>
            </w:pPr>
            <w:r>
              <w:rPr>
                <w:rFonts w:ascii="Times New Roman" w:hAnsi="Times New Roman"/>
                <w:szCs w:val="24"/>
              </w:rPr>
              <w:t>$30,000</w:t>
            </w:r>
          </w:p>
        </w:tc>
        <w:tc>
          <w:tcPr>
            <w:tcW w:w="1710" w:type="dxa"/>
          </w:tcPr>
          <w:p w:rsidR="00CD3BB9" w:rsidRPr="00AD39AC" w:rsidRDefault="00AD39AC" w:rsidP="00CD3BB9">
            <w:pPr>
              <w:tabs>
                <w:tab w:val="left" w:pos="-720"/>
              </w:tabs>
              <w:suppressAutoHyphens/>
              <w:spacing w:line="480" w:lineRule="auto"/>
              <w:rPr>
                <w:rFonts w:ascii="Times New Roman" w:hAnsi="Times New Roman"/>
                <w:szCs w:val="24"/>
              </w:rPr>
            </w:pPr>
            <w:r>
              <w:rPr>
                <w:rFonts w:ascii="Times New Roman" w:hAnsi="Times New Roman"/>
                <w:szCs w:val="24"/>
              </w:rPr>
              <w:t>$30,000</w:t>
            </w:r>
          </w:p>
        </w:tc>
      </w:tr>
      <w:tr w:rsidR="00AD39AC" w:rsidRPr="00CD3BB9" w:rsidTr="00AD39AC">
        <w:tc>
          <w:tcPr>
            <w:tcW w:w="3888" w:type="dxa"/>
          </w:tcPr>
          <w:p w:rsidR="00AD39AC" w:rsidRPr="00AD39AC" w:rsidRDefault="00AD39AC" w:rsidP="00CD3BB9">
            <w:pPr>
              <w:tabs>
                <w:tab w:val="left" w:pos="-720"/>
              </w:tabs>
              <w:suppressAutoHyphens/>
              <w:spacing w:line="480" w:lineRule="auto"/>
              <w:rPr>
                <w:rFonts w:ascii="Times New Roman" w:hAnsi="Times New Roman"/>
                <w:szCs w:val="24"/>
              </w:rPr>
            </w:pPr>
            <w:r w:rsidRPr="00AD39AC">
              <w:rPr>
                <w:rFonts w:ascii="Times New Roman" w:hAnsi="Times New Roman"/>
                <w:szCs w:val="24"/>
              </w:rPr>
              <w:t>Data Services (populate database)</w:t>
            </w:r>
          </w:p>
        </w:tc>
        <w:tc>
          <w:tcPr>
            <w:tcW w:w="1710" w:type="dxa"/>
          </w:tcPr>
          <w:p w:rsidR="00AD39AC" w:rsidRPr="00AD39AC" w:rsidRDefault="00AD39AC" w:rsidP="00AD39AC">
            <w:pPr>
              <w:tabs>
                <w:tab w:val="left" w:pos="-720"/>
              </w:tabs>
              <w:suppressAutoHyphens/>
              <w:spacing w:line="480" w:lineRule="auto"/>
              <w:rPr>
                <w:rFonts w:ascii="Times New Roman" w:hAnsi="Times New Roman"/>
                <w:szCs w:val="24"/>
              </w:rPr>
            </w:pPr>
            <w:r w:rsidRPr="00AD39AC">
              <w:rPr>
                <w:rFonts w:ascii="Times New Roman" w:hAnsi="Times New Roman"/>
                <w:szCs w:val="24"/>
              </w:rPr>
              <w:t>$</w:t>
            </w:r>
            <w:r>
              <w:rPr>
                <w:rFonts w:ascii="Times New Roman" w:hAnsi="Times New Roman"/>
                <w:szCs w:val="24"/>
              </w:rPr>
              <w:t>312,042</w:t>
            </w:r>
          </w:p>
        </w:tc>
        <w:tc>
          <w:tcPr>
            <w:tcW w:w="1710" w:type="dxa"/>
          </w:tcPr>
          <w:p w:rsidR="00AD39AC" w:rsidRPr="0050341C" w:rsidRDefault="00AD39AC" w:rsidP="00A85835">
            <w:pPr>
              <w:rPr>
                <w:rFonts w:ascii="Times New Roman" w:hAnsi="Times New Roman"/>
                <w:szCs w:val="24"/>
              </w:rPr>
            </w:pPr>
            <w:r w:rsidRPr="0050341C">
              <w:rPr>
                <w:rFonts w:ascii="Times New Roman" w:hAnsi="Times New Roman"/>
                <w:szCs w:val="24"/>
              </w:rPr>
              <w:t>$312</w:t>
            </w:r>
            <w:r>
              <w:rPr>
                <w:rFonts w:ascii="Times New Roman" w:hAnsi="Times New Roman"/>
                <w:szCs w:val="24"/>
              </w:rPr>
              <w:t>,042</w:t>
            </w:r>
          </w:p>
        </w:tc>
        <w:tc>
          <w:tcPr>
            <w:tcW w:w="1710" w:type="dxa"/>
          </w:tcPr>
          <w:p w:rsidR="00AD39AC" w:rsidRDefault="00AD39AC" w:rsidP="00A85835">
            <w:r w:rsidRPr="00AD39AC">
              <w:rPr>
                <w:rFonts w:ascii="Times New Roman" w:hAnsi="Times New Roman"/>
                <w:szCs w:val="24"/>
              </w:rPr>
              <w:t>$</w:t>
            </w:r>
            <w:r>
              <w:rPr>
                <w:rFonts w:ascii="Times New Roman" w:hAnsi="Times New Roman"/>
                <w:szCs w:val="24"/>
              </w:rPr>
              <w:t>312,042</w:t>
            </w:r>
          </w:p>
        </w:tc>
      </w:tr>
      <w:tr w:rsidR="00CD3BB9" w:rsidRPr="00CD3BB9" w:rsidTr="00AD39AC">
        <w:tc>
          <w:tcPr>
            <w:tcW w:w="3888" w:type="dxa"/>
          </w:tcPr>
          <w:p w:rsidR="00CD3BB9" w:rsidRPr="00AD39AC" w:rsidRDefault="00E10677" w:rsidP="00CD3BB9">
            <w:pPr>
              <w:tabs>
                <w:tab w:val="left" w:pos="-720"/>
              </w:tabs>
              <w:suppressAutoHyphens/>
              <w:spacing w:line="480" w:lineRule="auto"/>
              <w:rPr>
                <w:rFonts w:ascii="Times New Roman" w:hAnsi="Times New Roman"/>
                <w:szCs w:val="24"/>
              </w:rPr>
            </w:pPr>
            <w:r>
              <w:rPr>
                <w:rFonts w:ascii="Times New Roman" w:hAnsi="Times New Roman"/>
                <w:szCs w:val="24"/>
              </w:rPr>
              <w:t xml:space="preserve">Database </w:t>
            </w:r>
            <w:r w:rsidR="00CD3BB9" w:rsidRPr="00AD39AC">
              <w:rPr>
                <w:rFonts w:ascii="Times New Roman" w:hAnsi="Times New Roman"/>
                <w:szCs w:val="24"/>
              </w:rPr>
              <w:t>Maintenance and Operation</w:t>
            </w:r>
          </w:p>
        </w:tc>
        <w:tc>
          <w:tcPr>
            <w:tcW w:w="1710" w:type="dxa"/>
          </w:tcPr>
          <w:p w:rsidR="00CD3BB9" w:rsidRPr="00AD39AC" w:rsidRDefault="00CD3BB9" w:rsidP="00AD39AC">
            <w:pPr>
              <w:tabs>
                <w:tab w:val="left" w:pos="-720"/>
              </w:tabs>
              <w:suppressAutoHyphens/>
              <w:spacing w:line="480" w:lineRule="auto"/>
              <w:rPr>
                <w:rFonts w:ascii="Times New Roman" w:hAnsi="Times New Roman"/>
                <w:szCs w:val="24"/>
              </w:rPr>
            </w:pPr>
            <w:r w:rsidRPr="00AD39AC">
              <w:rPr>
                <w:rFonts w:ascii="Times New Roman" w:hAnsi="Times New Roman"/>
                <w:szCs w:val="24"/>
              </w:rPr>
              <w:t>$</w:t>
            </w:r>
            <w:r w:rsidR="00AD39AC">
              <w:rPr>
                <w:rFonts w:ascii="Times New Roman" w:hAnsi="Times New Roman"/>
                <w:szCs w:val="24"/>
              </w:rPr>
              <w:t>722,260</w:t>
            </w:r>
          </w:p>
        </w:tc>
        <w:tc>
          <w:tcPr>
            <w:tcW w:w="1710" w:type="dxa"/>
          </w:tcPr>
          <w:p w:rsidR="00CD3BB9" w:rsidRPr="00AD39AC" w:rsidRDefault="00CD3BB9" w:rsidP="00AD39AC">
            <w:pPr>
              <w:tabs>
                <w:tab w:val="left" w:pos="-720"/>
              </w:tabs>
              <w:suppressAutoHyphens/>
              <w:spacing w:line="480" w:lineRule="auto"/>
              <w:rPr>
                <w:rFonts w:ascii="Times New Roman" w:hAnsi="Times New Roman"/>
                <w:szCs w:val="24"/>
              </w:rPr>
            </w:pPr>
            <w:r w:rsidRPr="00AD39AC">
              <w:rPr>
                <w:rFonts w:ascii="Times New Roman" w:hAnsi="Times New Roman"/>
                <w:szCs w:val="24"/>
              </w:rPr>
              <w:t>$</w:t>
            </w:r>
            <w:r w:rsidR="00AD39AC">
              <w:rPr>
                <w:rFonts w:ascii="Times New Roman" w:hAnsi="Times New Roman"/>
                <w:szCs w:val="24"/>
              </w:rPr>
              <w:t>451,744</w:t>
            </w:r>
          </w:p>
        </w:tc>
        <w:tc>
          <w:tcPr>
            <w:tcW w:w="1710" w:type="dxa"/>
          </w:tcPr>
          <w:p w:rsidR="00CD3BB9" w:rsidRPr="00AD39AC" w:rsidRDefault="00CD3BB9" w:rsidP="00AD39AC">
            <w:pPr>
              <w:tabs>
                <w:tab w:val="left" w:pos="-720"/>
              </w:tabs>
              <w:suppressAutoHyphens/>
              <w:spacing w:line="480" w:lineRule="auto"/>
              <w:rPr>
                <w:rFonts w:ascii="Times New Roman" w:hAnsi="Times New Roman"/>
                <w:szCs w:val="24"/>
              </w:rPr>
            </w:pPr>
            <w:r w:rsidRPr="00AD39AC">
              <w:rPr>
                <w:rFonts w:ascii="Times New Roman" w:hAnsi="Times New Roman"/>
                <w:szCs w:val="24"/>
              </w:rPr>
              <w:t>$</w:t>
            </w:r>
            <w:r w:rsidR="00AD39AC">
              <w:rPr>
                <w:rFonts w:ascii="Times New Roman" w:hAnsi="Times New Roman"/>
                <w:szCs w:val="24"/>
              </w:rPr>
              <w:t>465,296</w:t>
            </w:r>
          </w:p>
        </w:tc>
      </w:tr>
      <w:tr w:rsidR="00CD3BB9" w:rsidRPr="00CD3BB9" w:rsidTr="00AD39AC">
        <w:tc>
          <w:tcPr>
            <w:tcW w:w="3888" w:type="dxa"/>
          </w:tcPr>
          <w:p w:rsidR="00CD3BB9" w:rsidRPr="00AD39AC" w:rsidRDefault="00CD3BB9" w:rsidP="00CD3BB9">
            <w:pPr>
              <w:tabs>
                <w:tab w:val="left" w:pos="-720"/>
              </w:tabs>
              <w:suppressAutoHyphens/>
              <w:spacing w:line="480" w:lineRule="auto"/>
              <w:rPr>
                <w:rFonts w:ascii="Times New Roman" w:hAnsi="Times New Roman"/>
                <w:szCs w:val="24"/>
              </w:rPr>
            </w:pPr>
            <w:r w:rsidRPr="00AD39AC">
              <w:rPr>
                <w:rFonts w:ascii="Times New Roman" w:hAnsi="Times New Roman"/>
                <w:szCs w:val="24"/>
              </w:rPr>
              <w:t xml:space="preserve">Total </w:t>
            </w:r>
          </w:p>
        </w:tc>
        <w:tc>
          <w:tcPr>
            <w:tcW w:w="1710" w:type="dxa"/>
          </w:tcPr>
          <w:p w:rsidR="00CD3BB9" w:rsidRPr="00AD39AC" w:rsidRDefault="00CD3BB9" w:rsidP="00AD39AC">
            <w:pPr>
              <w:tabs>
                <w:tab w:val="left" w:pos="-720"/>
              </w:tabs>
              <w:suppressAutoHyphens/>
              <w:spacing w:line="480" w:lineRule="auto"/>
              <w:rPr>
                <w:rFonts w:ascii="Times New Roman" w:hAnsi="Times New Roman"/>
                <w:szCs w:val="24"/>
              </w:rPr>
            </w:pPr>
            <w:r w:rsidRPr="00AD39AC">
              <w:rPr>
                <w:rFonts w:ascii="Times New Roman" w:hAnsi="Times New Roman"/>
                <w:szCs w:val="24"/>
              </w:rPr>
              <w:t>$1,</w:t>
            </w:r>
            <w:r w:rsidR="00AD39AC">
              <w:rPr>
                <w:rFonts w:ascii="Times New Roman" w:hAnsi="Times New Roman"/>
                <w:szCs w:val="24"/>
              </w:rPr>
              <w:t>064</w:t>
            </w:r>
            <w:r w:rsidRPr="00AD39AC">
              <w:rPr>
                <w:rFonts w:ascii="Times New Roman" w:hAnsi="Times New Roman"/>
                <w:szCs w:val="24"/>
              </w:rPr>
              <w:t>,</w:t>
            </w:r>
            <w:r w:rsidR="00AD39AC">
              <w:rPr>
                <w:rFonts w:ascii="Times New Roman" w:hAnsi="Times New Roman"/>
                <w:szCs w:val="24"/>
              </w:rPr>
              <w:t>302</w:t>
            </w:r>
          </w:p>
        </w:tc>
        <w:tc>
          <w:tcPr>
            <w:tcW w:w="1710" w:type="dxa"/>
          </w:tcPr>
          <w:p w:rsidR="00CD3BB9" w:rsidRPr="00AD39AC" w:rsidRDefault="00CD3BB9" w:rsidP="00AD39AC">
            <w:pPr>
              <w:tabs>
                <w:tab w:val="left" w:pos="-720"/>
              </w:tabs>
              <w:suppressAutoHyphens/>
              <w:spacing w:line="480" w:lineRule="auto"/>
              <w:rPr>
                <w:rFonts w:ascii="Times New Roman" w:hAnsi="Times New Roman"/>
                <w:szCs w:val="24"/>
              </w:rPr>
            </w:pPr>
            <w:r w:rsidRPr="00AD39AC">
              <w:rPr>
                <w:rFonts w:ascii="Times New Roman" w:hAnsi="Times New Roman"/>
                <w:szCs w:val="24"/>
              </w:rPr>
              <w:t>$</w:t>
            </w:r>
            <w:r w:rsidR="00AD39AC">
              <w:rPr>
                <w:rFonts w:ascii="Times New Roman" w:hAnsi="Times New Roman"/>
                <w:szCs w:val="24"/>
              </w:rPr>
              <w:t>793,786</w:t>
            </w:r>
          </w:p>
        </w:tc>
        <w:tc>
          <w:tcPr>
            <w:tcW w:w="1710" w:type="dxa"/>
          </w:tcPr>
          <w:p w:rsidR="00CD3BB9" w:rsidRPr="00AD39AC" w:rsidRDefault="00CD3BB9" w:rsidP="00AD39AC">
            <w:pPr>
              <w:tabs>
                <w:tab w:val="left" w:pos="-720"/>
              </w:tabs>
              <w:suppressAutoHyphens/>
              <w:spacing w:line="480" w:lineRule="auto"/>
              <w:rPr>
                <w:rFonts w:ascii="Times New Roman" w:hAnsi="Times New Roman"/>
                <w:szCs w:val="24"/>
              </w:rPr>
            </w:pPr>
            <w:r w:rsidRPr="00AD39AC">
              <w:rPr>
                <w:rFonts w:ascii="Times New Roman" w:hAnsi="Times New Roman"/>
                <w:szCs w:val="24"/>
              </w:rPr>
              <w:t>$</w:t>
            </w:r>
            <w:r w:rsidR="00AD39AC">
              <w:rPr>
                <w:rFonts w:ascii="Times New Roman" w:hAnsi="Times New Roman"/>
                <w:szCs w:val="24"/>
              </w:rPr>
              <w:t>807,338</w:t>
            </w:r>
          </w:p>
        </w:tc>
      </w:tr>
    </w:tbl>
    <w:p w:rsidR="00CD3BB9" w:rsidRPr="00CD3BB9" w:rsidRDefault="00CD3BB9" w:rsidP="00CD3BB9">
      <w:pPr>
        <w:tabs>
          <w:tab w:val="left" w:pos="-720"/>
        </w:tabs>
        <w:suppressAutoHyphens/>
        <w:spacing w:line="480" w:lineRule="auto"/>
        <w:rPr>
          <w:rFonts w:ascii="Times New Roman" w:hAnsi="Times New Roman"/>
          <w:szCs w:val="24"/>
          <w:highlight w:val="red"/>
        </w:rPr>
      </w:pPr>
    </w:p>
    <w:p w:rsidR="00995B4D" w:rsidRDefault="00995B4D" w:rsidP="0062567E">
      <w:pPr>
        <w:pStyle w:val="Heading1"/>
        <w:rPr>
          <w:szCs w:val="24"/>
        </w:rPr>
      </w:pPr>
      <w:bookmarkStart w:id="37" w:name="_Toc401831371"/>
      <w:bookmarkStart w:id="38" w:name="_Toc417487016"/>
    </w:p>
    <w:p w:rsidR="000438E8" w:rsidRPr="002568E6" w:rsidRDefault="000438E8" w:rsidP="0062567E">
      <w:pPr>
        <w:pStyle w:val="Heading1"/>
        <w:rPr>
          <w:szCs w:val="24"/>
        </w:rPr>
      </w:pPr>
      <w:r w:rsidRPr="00442191">
        <w:rPr>
          <w:szCs w:val="24"/>
        </w:rPr>
        <w:t xml:space="preserve">A15.  </w:t>
      </w:r>
      <w:proofErr w:type="gramStart"/>
      <w:r w:rsidR="00C619D0" w:rsidRPr="00442191">
        <w:rPr>
          <w:szCs w:val="24"/>
        </w:rPr>
        <w:t xml:space="preserve">Explanation of </w:t>
      </w:r>
      <w:r w:rsidR="00E0371E" w:rsidRPr="00442191">
        <w:rPr>
          <w:szCs w:val="24"/>
        </w:rPr>
        <w:t xml:space="preserve">program </w:t>
      </w:r>
      <w:r w:rsidR="00C619D0" w:rsidRPr="00442191">
        <w:rPr>
          <w:szCs w:val="24"/>
        </w:rPr>
        <w:t>changes or adjustments</w:t>
      </w:r>
      <w:r w:rsidR="005E0A1A" w:rsidRPr="00442191">
        <w:rPr>
          <w:szCs w:val="24"/>
        </w:rPr>
        <w:t>.</w:t>
      </w:r>
      <w:bookmarkEnd w:id="37"/>
      <w:bookmarkEnd w:id="38"/>
      <w:proofErr w:type="gramEnd"/>
    </w:p>
    <w:p w:rsidR="0062567E" w:rsidRPr="002568E6" w:rsidRDefault="0062567E" w:rsidP="0062567E">
      <w:pPr>
        <w:tabs>
          <w:tab w:val="left" w:pos="0"/>
        </w:tabs>
        <w:suppressAutoHyphens/>
        <w:jc w:val="center"/>
        <w:rPr>
          <w:rFonts w:ascii="Times New Roman" w:hAnsi="Times New Roman"/>
          <w:b/>
          <w:szCs w:val="24"/>
        </w:rPr>
      </w:pPr>
    </w:p>
    <w:p w:rsidR="00ED28F2" w:rsidRPr="00F0719E" w:rsidRDefault="0062567E" w:rsidP="00F0719E">
      <w:pPr>
        <w:pStyle w:val="ListParagraph"/>
        <w:widowControl/>
        <w:spacing w:line="360" w:lineRule="auto"/>
        <w:ind w:left="0"/>
        <w:rPr>
          <w:b/>
          <w:szCs w:val="24"/>
        </w:rPr>
      </w:pPr>
      <w:r w:rsidRPr="00867757">
        <w:rPr>
          <w:b/>
          <w:szCs w:val="24"/>
        </w:rPr>
        <w:t>Explain the reasons for any program changes or adjustments reported in Items 13 or 14 of the</w:t>
      </w:r>
      <w:r w:rsidRPr="002568E6">
        <w:rPr>
          <w:b/>
          <w:szCs w:val="24"/>
        </w:rPr>
        <w:t xml:space="preserve"> OMB Form 83-</w:t>
      </w:r>
      <w:r w:rsidR="00ED28F2" w:rsidRPr="002568E6">
        <w:rPr>
          <w:b/>
          <w:szCs w:val="24"/>
        </w:rPr>
        <w:t>I</w:t>
      </w:r>
    </w:p>
    <w:p w:rsidR="00FF05CC" w:rsidRDefault="006E49E5" w:rsidP="00050BDD">
      <w:pPr>
        <w:tabs>
          <w:tab w:val="left" w:pos="0"/>
        </w:tabs>
        <w:suppressAutoHyphens/>
        <w:spacing w:line="480" w:lineRule="auto"/>
        <w:rPr>
          <w:rFonts w:ascii="Times New Roman" w:hAnsi="Times New Roman"/>
          <w:szCs w:val="24"/>
        </w:rPr>
      </w:pPr>
      <w:r w:rsidRPr="006E49E5">
        <w:rPr>
          <w:rFonts w:ascii="Times New Roman" w:hAnsi="Times New Roman"/>
          <w:szCs w:val="24"/>
        </w:rPr>
        <w:t>This is a</w:t>
      </w:r>
      <w:r w:rsidR="00FF05CC">
        <w:rPr>
          <w:rFonts w:ascii="Times New Roman" w:hAnsi="Times New Roman"/>
          <w:szCs w:val="24"/>
        </w:rPr>
        <w:t xml:space="preserve"> reinstatement of an expired </w:t>
      </w:r>
      <w:r w:rsidRPr="006E49E5">
        <w:rPr>
          <w:rFonts w:ascii="Times New Roman" w:hAnsi="Times New Roman"/>
          <w:szCs w:val="24"/>
        </w:rPr>
        <w:t>data collection.</w:t>
      </w:r>
      <w:r w:rsidR="00FF05CC">
        <w:rPr>
          <w:rFonts w:ascii="Times New Roman" w:hAnsi="Times New Roman"/>
          <w:szCs w:val="24"/>
        </w:rPr>
        <w:t xml:space="preserve">  This data collection expired on May 31, 2015.  Since this collection expired, it has 0 responses and 0 burden hours.  As a result of this reinstatement, FNS estimates that 10,320 burden hours and 1,200 annual responses will be added to the information collection inventory as a program change.</w:t>
      </w:r>
      <w:r w:rsidRPr="006E49E5">
        <w:rPr>
          <w:rFonts w:ascii="Times New Roman" w:hAnsi="Times New Roman"/>
          <w:szCs w:val="24"/>
        </w:rPr>
        <w:t xml:space="preserve">  </w:t>
      </w:r>
    </w:p>
    <w:p w:rsidR="001B354D" w:rsidRDefault="001B354D" w:rsidP="00050BDD">
      <w:pPr>
        <w:tabs>
          <w:tab w:val="left" w:pos="0"/>
        </w:tabs>
        <w:suppressAutoHyphens/>
        <w:spacing w:line="480" w:lineRule="auto"/>
        <w:rPr>
          <w:rFonts w:ascii="Times New Roman" w:hAnsi="Times New Roman"/>
          <w:szCs w:val="24"/>
        </w:rPr>
      </w:pPr>
    </w:p>
    <w:p w:rsidR="00585353" w:rsidRPr="00585353" w:rsidRDefault="00FF05CC" w:rsidP="00050BDD">
      <w:pPr>
        <w:tabs>
          <w:tab w:val="left" w:pos="0"/>
        </w:tabs>
        <w:suppressAutoHyphens/>
        <w:spacing w:line="480" w:lineRule="auto"/>
        <w:rPr>
          <w:rFonts w:ascii="Times New Roman" w:hAnsi="Times New Roman"/>
          <w:b/>
          <w:szCs w:val="24"/>
        </w:rPr>
      </w:pPr>
      <w:r>
        <w:rPr>
          <w:rFonts w:ascii="Times New Roman" w:hAnsi="Times New Roman"/>
          <w:szCs w:val="24"/>
        </w:rPr>
        <w:t xml:space="preserve">When this </w:t>
      </w:r>
      <w:r w:rsidR="001A6B89">
        <w:rPr>
          <w:rFonts w:ascii="Times New Roman" w:hAnsi="Times New Roman"/>
          <w:szCs w:val="24"/>
        </w:rPr>
        <w:t>information collection</w:t>
      </w:r>
      <w:r>
        <w:rPr>
          <w:rFonts w:ascii="Times New Roman" w:hAnsi="Times New Roman"/>
          <w:szCs w:val="24"/>
        </w:rPr>
        <w:t xml:space="preserve"> was last a</w:t>
      </w:r>
      <w:r w:rsidR="00E07080">
        <w:rPr>
          <w:rFonts w:ascii="Times New Roman" w:hAnsi="Times New Roman"/>
          <w:szCs w:val="24"/>
        </w:rPr>
        <w:t xml:space="preserve">pproved on May 16, 2012, it had </w:t>
      </w:r>
      <w:r w:rsidR="001A6B89">
        <w:rPr>
          <w:rFonts w:ascii="Times New Roman" w:hAnsi="Times New Roman"/>
          <w:szCs w:val="24"/>
        </w:rPr>
        <w:t>39,480 responses</w:t>
      </w:r>
      <w:r w:rsidR="00B60451">
        <w:rPr>
          <w:rFonts w:ascii="Times New Roman" w:hAnsi="Times New Roman"/>
          <w:szCs w:val="24"/>
        </w:rPr>
        <w:t xml:space="preserve"> </w:t>
      </w:r>
      <w:r w:rsidR="00B60451">
        <w:rPr>
          <w:rFonts w:ascii="Times New Roman" w:hAnsi="Times New Roman"/>
          <w:szCs w:val="24"/>
        </w:rPr>
        <w:lastRenderedPageBreak/>
        <w:t>and</w:t>
      </w:r>
      <w:r w:rsidR="001A6B89">
        <w:rPr>
          <w:rFonts w:ascii="Times New Roman" w:hAnsi="Times New Roman"/>
          <w:szCs w:val="24"/>
        </w:rPr>
        <w:t xml:space="preserve"> 1,938 burden hours.  </w:t>
      </w:r>
      <w:r w:rsidR="00AE230E">
        <w:rPr>
          <w:rFonts w:ascii="Times New Roman" w:hAnsi="Times New Roman"/>
          <w:szCs w:val="24"/>
        </w:rPr>
        <w:t>With this reinstatement</w:t>
      </w:r>
      <w:r w:rsidR="00E07080">
        <w:rPr>
          <w:rFonts w:ascii="Times New Roman" w:hAnsi="Times New Roman"/>
          <w:szCs w:val="24"/>
        </w:rPr>
        <w:t xml:space="preserve">, </w:t>
      </w:r>
      <w:r w:rsidR="001A6B89">
        <w:rPr>
          <w:rFonts w:ascii="Times New Roman" w:hAnsi="Times New Roman"/>
          <w:szCs w:val="24"/>
        </w:rPr>
        <w:t>FNS estimate</w:t>
      </w:r>
      <w:r>
        <w:rPr>
          <w:rFonts w:ascii="Times New Roman" w:hAnsi="Times New Roman"/>
          <w:szCs w:val="24"/>
        </w:rPr>
        <w:t>s</w:t>
      </w:r>
      <w:r w:rsidR="001A6B89">
        <w:rPr>
          <w:rFonts w:ascii="Times New Roman" w:hAnsi="Times New Roman"/>
          <w:szCs w:val="24"/>
        </w:rPr>
        <w:t xml:space="preserve"> that the burden hours w</w:t>
      </w:r>
      <w:r>
        <w:rPr>
          <w:rFonts w:ascii="Times New Roman" w:hAnsi="Times New Roman"/>
          <w:szCs w:val="24"/>
        </w:rPr>
        <w:t>ill</w:t>
      </w:r>
      <w:r w:rsidR="001A6B89">
        <w:rPr>
          <w:rFonts w:ascii="Times New Roman" w:hAnsi="Times New Roman"/>
          <w:szCs w:val="24"/>
        </w:rPr>
        <w:t xml:space="preserve"> increase by 8,382 hours</w:t>
      </w:r>
      <w:r w:rsidR="00B60451">
        <w:rPr>
          <w:rFonts w:ascii="Times New Roman" w:hAnsi="Times New Roman"/>
          <w:szCs w:val="24"/>
        </w:rPr>
        <w:t xml:space="preserve"> but </w:t>
      </w:r>
      <w:r>
        <w:rPr>
          <w:rFonts w:ascii="Times New Roman" w:hAnsi="Times New Roman"/>
          <w:szCs w:val="24"/>
        </w:rPr>
        <w:t xml:space="preserve">that </w:t>
      </w:r>
      <w:r w:rsidR="00B60451">
        <w:rPr>
          <w:rFonts w:ascii="Times New Roman" w:hAnsi="Times New Roman"/>
          <w:szCs w:val="24"/>
        </w:rPr>
        <w:t>the number of annual responses will</w:t>
      </w:r>
      <w:r w:rsidR="001A6B89">
        <w:rPr>
          <w:rFonts w:ascii="Times New Roman" w:hAnsi="Times New Roman"/>
          <w:szCs w:val="24"/>
        </w:rPr>
        <w:t xml:space="preserve"> decrease </w:t>
      </w:r>
      <w:r w:rsidR="00B60451">
        <w:rPr>
          <w:rFonts w:ascii="Times New Roman" w:hAnsi="Times New Roman"/>
          <w:szCs w:val="24"/>
        </w:rPr>
        <w:t xml:space="preserve">by </w:t>
      </w:r>
      <w:r w:rsidR="001A6B89">
        <w:rPr>
          <w:rFonts w:ascii="Times New Roman" w:hAnsi="Times New Roman"/>
          <w:szCs w:val="24"/>
        </w:rPr>
        <w:t>38,2</w:t>
      </w:r>
      <w:r w:rsidR="00B34992">
        <w:rPr>
          <w:rFonts w:ascii="Times New Roman" w:hAnsi="Times New Roman"/>
          <w:szCs w:val="24"/>
        </w:rPr>
        <w:t>8</w:t>
      </w:r>
      <w:r w:rsidR="001A6B89">
        <w:rPr>
          <w:rFonts w:ascii="Times New Roman" w:hAnsi="Times New Roman"/>
          <w:szCs w:val="24"/>
        </w:rPr>
        <w:t xml:space="preserve">0 responses.  </w:t>
      </w:r>
      <w:r w:rsidR="003B4ADE">
        <w:rPr>
          <w:rFonts w:ascii="Times New Roman" w:hAnsi="Times New Roman"/>
          <w:szCs w:val="24"/>
        </w:rPr>
        <w:t>The increase in the burden hours is a result</w:t>
      </w:r>
      <w:r>
        <w:rPr>
          <w:rFonts w:ascii="Times New Roman" w:hAnsi="Times New Roman"/>
          <w:szCs w:val="24"/>
        </w:rPr>
        <w:t xml:space="preserve"> of</w:t>
      </w:r>
      <w:r w:rsidR="003B4ADE">
        <w:rPr>
          <w:rFonts w:ascii="Times New Roman" w:hAnsi="Times New Roman"/>
          <w:szCs w:val="24"/>
        </w:rPr>
        <w:t xml:space="preserve"> program changes to the original burden estimate.</w:t>
      </w:r>
      <w:r w:rsidR="00D20642">
        <w:rPr>
          <w:rFonts w:ascii="Times New Roman" w:hAnsi="Times New Roman"/>
          <w:szCs w:val="24"/>
        </w:rPr>
        <w:t xml:space="preserve">  </w:t>
      </w:r>
      <w:r w:rsidR="0073504D">
        <w:rPr>
          <w:rFonts w:ascii="Times New Roman" w:hAnsi="Times New Roman"/>
          <w:szCs w:val="24"/>
        </w:rPr>
        <w:t xml:space="preserve">Based upon restructuring the means by which data is collected (i.e., using an FNS contractor instead of State Agencies to enter data), accounting for responses from </w:t>
      </w:r>
      <w:r w:rsidR="00053215">
        <w:rPr>
          <w:rFonts w:ascii="Times New Roman" w:hAnsi="Times New Roman"/>
          <w:szCs w:val="24"/>
        </w:rPr>
        <w:t>WIC Authorized Vendors</w:t>
      </w:r>
      <w:r w:rsidR="0073504D">
        <w:rPr>
          <w:rFonts w:ascii="Times New Roman" w:hAnsi="Times New Roman"/>
          <w:szCs w:val="24"/>
        </w:rPr>
        <w:t xml:space="preserve">, and re-estimating the time to </w:t>
      </w:r>
      <w:r w:rsidR="00D32FCC" w:rsidRPr="000524AD">
        <w:rPr>
          <w:rFonts w:ascii="Times New Roman" w:hAnsi="Times New Roman"/>
          <w:szCs w:val="24"/>
        </w:rPr>
        <w:t xml:space="preserve">develop, maintain, and troubleshoot electronic systems </w:t>
      </w:r>
      <w:r w:rsidR="009C5522" w:rsidRPr="000524AD">
        <w:rPr>
          <w:rFonts w:ascii="Times New Roman" w:hAnsi="Times New Roman"/>
          <w:szCs w:val="24"/>
        </w:rPr>
        <w:t xml:space="preserve">used to transmit </w:t>
      </w:r>
      <w:r w:rsidR="00D32FCC" w:rsidRPr="000524AD">
        <w:rPr>
          <w:rFonts w:ascii="Times New Roman" w:hAnsi="Times New Roman"/>
          <w:szCs w:val="24"/>
        </w:rPr>
        <w:t>information to the NUPC contractor</w:t>
      </w:r>
      <w:r w:rsidR="0073504D">
        <w:rPr>
          <w:rFonts w:ascii="Times New Roman" w:hAnsi="Times New Roman"/>
          <w:szCs w:val="24"/>
        </w:rPr>
        <w:t xml:space="preserve">, the net changes result in a new burden amount of 10,320 hours and 1,200 annual responses. </w:t>
      </w:r>
    </w:p>
    <w:p w:rsidR="0022244B" w:rsidRDefault="0022244B" w:rsidP="0062567E">
      <w:pPr>
        <w:pStyle w:val="Heading1"/>
        <w:rPr>
          <w:szCs w:val="24"/>
        </w:rPr>
      </w:pPr>
      <w:bookmarkStart w:id="39" w:name="_Toc401831372"/>
      <w:bookmarkStart w:id="40" w:name="_Toc417487017"/>
    </w:p>
    <w:p w:rsidR="00A308DB" w:rsidRPr="002568E6" w:rsidRDefault="000438E8" w:rsidP="0062567E">
      <w:pPr>
        <w:pStyle w:val="Heading1"/>
        <w:rPr>
          <w:szCs w:val="24"/>
        </w:rPr>
      </w:pPr>
      <w:r w:rsidRPr="0029406D">
        <w:rPr>
          <w:szCs w:val="24"/>
        </w:rPr>
        <w:t xml:space="preserve">A16.  </w:t>
      </w:r>
      <w:proofErr w:type="gramStart"/>
      <w:r w:rsidR="00842E02" w:rsidRPr="0029406D">
        <w:rPr>
          <w:szCs w:val="24"/>
        </w:rPr>
        <w:t>Plans</w:t>
      </w:r>
      <w:r w:rsidRPr="0029406D">
        <w:rPr>
          <w:szCs w:val="24"/>
        </w:rPr>
        <w:t xml:space="preserve"> for tabulation, and publication</w:t>
      </w:r>
      <w:r w:rsidR="00842E02" w:rsidRPr="0029406D">
        <w:rPr>
          <w:szCs w:val="24"/>
        </w:rPr>
        <w:t xml:space="preserve"> and project time schedule</w:t>
      </w:r>
      <w:r w:rsidRPr="0029406D">
        <w:rPr>
          <w:szCs w:val="24"/>
        </w:rPr>
        <w:t>.</w:t>
      </w:r>
      <w:bookmarkEnd w:id="39"/>
      <w:bookmarkEnd w:id="40"/>
      <w:proofErr w:type="gramEnd"/>
      <w:r w:rsidRPr="002568E6">
        <w:rPr>
          <w:szCs w:val="24"/>
        </w:rPr>
        <w:t xml:space="preserve"> </w:t>
      </w:r>
    </w:p>
    <w:p w:rsidR="00A308DB" w:rsidRPr="002568E6" w:rsidRDefault="00A308DB" w:rsidP="000438E8">
      <w:pPr>
        <w:tabs>
          <w:tab w:val="left" w:pos="0"/>
        </w:tabs>
        <w:suppressAutoHyphens/>
        <w:rPr>
          <w:rFonts w:ascii="Times New Roman" w:hAnsi="Times New Roman"/>
          <w:b/>
          <w:szCs w:val="24"/>
        </w:rPr>
      </w:pPr>
    </w:p>
    <w:p w:rsidR="0062567E" w:rsidRPr="002568E6" w:rsidRDefault="0062567E" w:rsidP="0062567E">
      <w:pPr>
        <w:pStyle w:val="ListParagraph"/>
        <w:widowControl/>
        <w:spacing w:line="360" w:lineRule="auto"/>
        <w:ind w:left="0"/>
        <w:rPr>
          <w:b/>
          <w:szCs w:val="24"/>
        </w:rPr>
      </w:pPr>
      <w:r w:rsidRPr="002568E6">
        <w:rPr>
          <w:b/>
          <w:szCs w:val="24"/>
        </w:rPr>
        <w:t>For collections of information whose results are planned to be published, outline plans for tabulation and publication.</w:t>
      </w:r>
    </w:p>
    <w:p w:rsidR="00ED28F2" w:rsidRPr="002568E6" w:rsidRDefault="00ED28F2" w:rsidP="00ED28F2">
      <w:pPr>
        <w:tabs>
          <w:tab w:val="left" w:pos="-720"/>
        </w:tabs>
        <w:suppressAutoHyphens/>
        <w:rPr>
          <w:rFonts w:ascii="Times New Roman" w:hAnsi="Times New Roman"/>
          <w:szCs w:val="24"/>
        </w:rPr>
      </w:pPr>
    </w:p>
    <w:p w:rsidR="00173FDD" w:rsidRDefault="00173FDD" w:rsidP="00173FDD">
      <w:pPr>
        <w:tabs>
          <w:tab w:val="left" w:pos="0"/>
        </w:tabs>
        <w:suppressAutoHyphens/>
        <w:rPr>
          <w:rFonts w:ascii="Times New Roman" w:hAnsi="Times New Roman"/>
          <w:szCs w:val="24"/>
        </w:rPr>
      </w:pPr>
      <w:r w:rsidRPr="00173FDD">
        <w:rPr>
          <w:rFonts w:ascii="Times New Roman" w:hAnsi="Times New Roman"/>
          <w:szCs w:val="24"/>
        </w:rPr>
        <w:t>There are no plans to tabulate or publish anything in connection with this information collection.</w:t>
      </w:r>
    </w:p>
    <w:p w:rsidR="00173FDD" w:rsidRPr="00173FDD" w:rsidRDefault="00173FDD" w:rsidP="00173FDD">
      <w:pPr>
        <w:tabs>
          <w:tab w:val="left" w:pos="0"/>
        </w:tabs>
        <w:suppressAutoHyphens/>
        <w:rPr>
          <w:rFonts w:ascii="Times New Roman" w:hAnsi="Times New Roman"/>
          <w:szCs w:val="24"/>
        </w:rPr>
      </w:pPr>
    </w:p>
    <w:p w:rsidR="000438E8" w:rsidRPr="002568E6" w:rsidRDefault="000438E8" w:rsidP="000438E8">
      <w:pPr>
        <w:tabs>
          <w:tab w:val="left" w:pos="0"/>
        </w:tabs>
        <w:suppressAutoHyphens/>
        <w:rPr>
          <w:rFonts w:ascii="Times New Roman" w:hAnsi="Times New Roman"/>
          <w:szCs w:val="24"/>
        </w:rPr>
      </w:pPr>
    </w:p>
    <w:p w:rsidR="00A308DB" w:rsidRPr="002568E6" w:rsidRDefault="000438E8" w:rsidP="0062567E">
      <w:pPr>
        <w:pStyle w:val="Heading1"/>
        <w:rPr>
          <w:szCs w:val="24"/>
        </w:rPr>
      </w:pPr>
      <w:bookmarkStart w:id="41" w:name="_Toc401831373"/>
      <w:bookmarkStart w:id="42" w:name="_Toc417487018"/>
      <w:r w:rsidRPr="002568E6">
        <w:rPr>
          <w:szCs w:val="24"/>
        </w:rPr>
        <w:t xml:space="preserve">A17.  </w:t>
      </w:r>
      <w:proofErr w:type="gramStart"/>
      <w:r w:rsidR="001C6CBE" w:rsidRPr="002568E6">
        <w:rPr>
          <w:szCs w:val="24"/>
        </w:rPr>
        <w:t>Displaying the OMB Approval Expiration Date.</w:t>
      </w:r>
      <w:bookmarkEnd w:id="41"/>
      <w:bookmarkEnd w:id="42"/>
      <w:proofErr w:type="gramEnd"/>
    </w:p>
    <w:p w:rsidR="0062567E" w:rsidRPr="002568E6" w:rsidRDefault="0062567E" w:rsidP="0062567E">
      <w:pPr>
        <w:pStyle w:val="ListParagraph"/>
        <w:widowControl/>
        <w:spacing w:line="240" w:lineRule="auto"/>
        <w:ind w:left="0"/>
        <w:rPr>
          <w:b/>
          <w:szCs w:val="24"/>
        </w:rPr>
      </w:pPr>
    </w:p>
    <w:p w:rsidR="0062567E" w:rsidRPr="002568E6" w:rsidRDefault="0062567E" w:rsidP="0062567E">
      <w:pPr>
        <w:pStyle w:val="ListParagraph"/>
        <w:widowControl/>
        <w:spacing w:line="240" w:lineRule="auto"/>
        <w:ind w:left="0"/>
        <w:rPr>
          <w:b/>
          <w:szCs w:val="24"/>
        </w:rPr>
      </w:pPr>
      <w:r w:rsidRPr="002568E6">
        <w:rPr>
          <w:b/>
          <w:szCs w:val="24"/>
        </w:rPr>
        <w:t>If seeking approval to not display the expiration date for OMB approval of the information collection, explain the reasons that display would be inappropriate.</w:t>
      </w:r>
    </w:p>
    <w:p w:rsidR="00ED28F2" w:rsidRDefault="00ED28F2" w:rsidP="00ED28F2">
      <w:pPr>
        <w:tabs>
          <w:tab w:val="left" w:pos="-720"/>
        </w:tabs>
        <w:suppressAutoHyphens/>
        <w:rPr>
          <w:rFonts w:ascii="Times New Roman" w:hAnsi="Times New Roman"/>
          <w:szCs w:val="24"/>
        </w:rPr>
      </w:pPr>
    </w:p>
    <w:p w:rsidR="00173FDD" w:rsidRPr="002568E6" w:rsidRDefault="00173FDD" w:rsidP="00ED28F2">
      <w:pPr>
        <w:tabs>
          <w:tab w:val="left" w:pos="-720"/>
        </w:tabs>
        <w:suppressAutoHyphens/>
        <w:rPr>
          <w:rFonts w:ascii="Times New Roman" w:hAnsi="Times New Roman"/>
          <w:szCs w:val="24"/>
        </w:rPr>
      </w:pPr>
    </w:p>
    <w:p w:rsidR="00173FDD" w:rsidRPr="00173FDD" w:rsidRDefault="00173FDD" w:rsidP="00173FDD">
      <w:pPr>
        <w:tabs>
          <w:tab w:val="left" w:pos="-720"/>
        </w:tabs>
        <w:suppressAutoHyphens/>
        <w:spacing w:line="480" w:lineRule="auto"/>
        <w:rPr>
          <w:rFonts w:ascii="Times New Roman" w:hAnsi="Times New Roman"/>
          <w:szCs w:val="24"/>
        </w:rPr>
      </w:pPr>
      <w:r w:rsidRPr="00173FDD">
        <w:rPr>
          <w:rFonts w:ascii="Times New Roman" w:hAnsi="Times New Roman"/>
          <w:szCs w:val="24"/>
        </w:rPr>
        <w:t xml:space="preserve">FNS will display the expiration date for OMB’s information collection approval on the NUPC </w:t>
      </w:r>
    </w:p>
    <w:p w:rsidR="00173FDD" w:rsidRPr="00173FDD" w:rsidRDefault="00173FDD" w:rsidP="00173FDD">
      <w:pPr>
        <w:tabs>
          <w:tab w:val="left" w:pos="-720"/>
        </w:tabs>
        <w:suppressAutoHyphens/>
        <w:spacing w:line="480" w:lineRule="auto"/>
        <w:rPr>
          <w:rFonts w:ascii="Times New Roman" w:hAnsi="Times New Roman"/>
          <w:szCs w:val="24"/>
        </w:rPr>
      </w:pPr>
      <w:proofErr w:type="gramStart"/>
      <w:r w:rsidRPr="00173FDD">
        <w:rPr>
          <w:rFonts w:ascii="Times New Roman" w:hAnsi="Times New Roman"/>
          <w:szCs w:val="24"/>
        </w:rPr>
        <w:t>database</w:t>
      </w:r>
      <w:proofErr w:type="gramEnd"/>
      <w:r w:rsidRPr="00173FDD">
        <w:rPr>
          <w:rFonts w:ascii="Times New Roman" w:hAnsi="Times New Roman"/>
          <w:szCs w:val="24"/>
        </w:rPr>
        <w:t xml:space="preserve"> home page. </w:t>
      </w:r>
    </w:p>
    <w:p w:rsidR="000438E8" w:rsidRPr="002568E6" w:rsidRDefault="000438E8" w:rsidP="000438E8">
      <w:pPr>
        <w:tabs>
          <w:tab w:val="left" w:pos="0"/>
        </w:tabs>
        <w:suppressAutoHyphens/>
        <w:rPr>
          <w:rFonts w:ascii="Times New Roman" w:hAnsi="Times New Roman"/>
          <w:szCs w:val="24"/>
        </w:rPr>
      </w:pPr>
    </w:p>
    <w:p w:rsidR="00A308DB" w:rsidRPr="002568E6" w:rsidRDefault="000438E8" w:rsidP="0062567E">
      <w:pPr>
        <w:pStyle w:val="Heading1"/>
        <w:rPr>
          <w:szCs w:val="24"/>
        </w:rPr>
      </w:pPr>
      <w:bookmarkStart w:id="43" w:name="_Toc401831374"/>
      <w:bookmarkStart w:id="44" w:name="_Toc417487019"/>
      <w:r w:rsidRPr="002568E6">
        <w:rPr>
          <w:szCs w:val="24"/>
        </w:rPr>
        <w:t xml:space="preserve">A18.  </w:t>
      </w:r>
      <w:proofErr w:type="gramStart"/>
      <w:r w:rsidRPr="002568E6">
        <w:rPr>
          <w:szCs w:val="24"/>
        </w:rPr>
        <w:t>Exception</w:t>
      </w:r>
      <w:r w:rsidR="002568E6">
        <w:rPr>
          <w:szCs w:val="24"/>
        </w:rPr>
        <w:t>s</w:t>
      </w:r>
      <w:r w:rsidRPr="002568E6">
        <w:rPr>
          <w:szCs w:val="24"/>
        </w:rPr>
        <w:t xml:space="preserve"> to the certification statement identified in Item 19.</w:t>
      </w:r>
      <w:bookmarkEnd w:id="43"/>
      <w:bookmarkEnd w:id="44"/>
      <w:proofErr w:type="gramEnd"/>
      <w:r w:rsidR="006F346E" w:rsidRPr="002568E6">
        <w:rPr>
          <w:szCs w:val="24"/>
        </w:rPr>
        <w:t xml:space="preserve">  </w:t>
      </w:r>
    </w:p>
    <w:p w:rsidR="0062567E" w:rsidRPr="002568E6" w:rsidRDefault="0062567E" w:rsidP="000438E8">
      <w:pPr>
        <w:tabs>
          <w:tab w:val="left" w:pos="0"/>
        </w:tabs>
        <w:suppressAutoHyphens/>
        <w:rPr>
          <w:rFonts w:ascii="Times New Roman" w:hAnsi="Times New Roman"/>
          <w:b/>
          <w:szCs w:val="24"/>
        </w:rPr>
      </w:pPr>
    </w:p>
    <w:p w:rsidR="0062567E" w:rsidRPr="002568E6" w:rsidRDefault="0062567E" w:rsidP="000438E8">
      <w:pPr>
        <w:tabs>
          <w:tab w:val="left" w:pos="0"/>
        </w:tabs>
        <w:suppressAutoHyphens/>
        <w:rPr>
          <w:rFonts w:ascii="Times New Roman" w:hAnsi="Times New Roman"/>
          <w:b/>
          <w:szCs w:val="24"/>
        </w:rPr>
      </w:pPr>
      <w:r w:rsidRPr="002568E6">
        <w:rPr>
          <w:rFonts w:ascii="Times New Roman" w:hAnsi="Times New Roman"/>
          <w:b/>
          <w:szCs w:val="24"/>
        </w:rPr>
        <w:t xml:space="preserve">Explain each exception to the certification statement identified in Item 19 of the </w:t>
      </w:r>
      <w:proofErr w:type="gramStart"/>
      <w:r w:rsidRPr="002568E6">
        <w:rPr>
          <w:rFonts w:ascii="Times New Roman" w:hAnsi="Times New Roman"/>
          <w:b/>
          <w:szCs w:val="24"/>
        </w:rPr>
        <w:t>OMB  83</w:t>
      </w:r>
      <w:proofErr w:type="gramEnd"/>
      <w:r w:rsidRPr="002568E6">
        <w:rPr>
          <w:rFonts w:ascii="Times New Roman" w:hAnsi="Times New Roman"/>
          <w:b/>
          <w:szCs w:val="24"/>
        </w:rPr>
        <w:t>-I" Certification for Paperwork Reduction Act."</w:t>
      </w:r>
    </w:p>
    <w:p w:rsidR="00ED28F2" w:rsidRDefault="00ED28F2" w:rsidP="00ED28F2">
      <w:pPr>
        <w:tabs>
          <w:tab w:val="left" w:pos="-720"/>
        </w:tabs>
        <w:suppressAutoHyphens/>
        <w:rPr>
          <w:rFonts w:ascii="Times New Roman" w:hAnsi="Times New Roman"/>
          <w:szCs w:val="24"/>
        </w:rPr>
      </w:pPr>
    </w:p>
    <w:p w:rsidR="00173FDD" w:rsidRPr="002568E6" w:rsidRDefault="00173FDD" w:rsidP="00ED28F2">
      <w:pPr>
        <w:tabs>
          <w:tab w:val="left" w:pos="-720"/>
        </w:tabs>
        <w:suppressAutoHyphens/>
        <w:rPr>
          <w:rFonts w:ascii="Times New Roman" w:hAnsi="Times New Roman"/>
          <w:szCs w:val="24"/>
        </w:rPr>
      </w:pPr>
    </w:p>
    <w:p w:rsidR="00B0130B" w:rsidRPr="00EC6E1A" w:rsidRDefault="00173FDD" w:rsidP="00BD0882">
      <w:pPr>
        <w:tabs>
          <w:tab w:val="left" w:pos="-720"/>
        </w:tabs>
        <w:suppressAutoHyphens/>
        <w:spacing w:line="480" w:lineRule="auto"/>
        <w:rPr>
          <w:rFonts w:ascii="Times New Roman" w:hAnsi="Times New Roman"/>
          <w:szCs w:val="24"/>
          <w:u w:val="single"/>
        </w:rPr>
      </w:pPr>
      <w:r w:rsidRPr="00173FDD">
        <w:rPr>
          <w:rFonts w:ascii="Times New Roman" w:hAnsi="Times New Roman"/>
          <w:szCs w:val="24"/>
        </w:rPr>
        <w:t xml:space="preserve">FNS is not requesting any exceptions to the certification statement. </w:t>
      </w:r>
    </w:p>
    <w:sectPr w:rsidR="00B0130B" w:rsidRPr="00EC6E1A" w:rsidSect="00F0719E">
      <w:footerReference w:type="default" r:id="rId14"/>
      <w:footerReference w:type="first" r:id="rId15"/>
      <w:endnotePr>
        <w:numFmt w:val="decimal"/>
      </w:endnotePr>
      <w:pgSz w:w="12240" w:h="15840"/>
      <w:pgMar w:top="1440" w:right="1440" w:bottom="1440" w:left="1440" w:header="144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40A" w:rsidRDefault="0067540A">
      <w:pPr>
        <w:spacing w:line="20" w:lineRule="exact"/>
      </w:pPr>
    </w:p>
  </w:endnote>
  <w:endnote w:type="continuationSeparator" w:id="0">
    <w:p w:rsidR="0067540A" w:rsidRDefault="0067540A">
      <w:r>
        <w:t xml:space="preserve"> </w:t>
      </w:r>
    </w:p>
  </w:endnote>
  <w:endnote w:type="continuationNotice" w:id="1">
    <w:p w:rsidR="0067540A" w:rsidRDefault="0067540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057946"/>
      <w:docPartObj>
        <w:docPartGallery w:val="Page Numbers (Bottom of Page)"/>
        <w:docPartUnique/>
      </w:docPartObj>
    </w:sdtPr>
    <w:sdtEndPr>
      <w:rPr>
        <w:rFonts w:ascii="Times New Roman" w:hAnsi="Times New Roman"/>
        <w:noProof/>
      </w:rPr>
    </w:sdtEndPr>
    <w:sdtContent>
      <w:p w:rsidR="00B60451" w:rsidRPr="002568E6" w:rsidRDefault="00B60451">
        <w:pPr>
          <w:pStyle w:val="Footer"/>
          <w:jc w:val="center"/>
          <w:rPr>
            <w:rFonts w:ascii="Times New Roman" w:hAnsi="Times New Roman"/>
          </w:rPr>
        </w:pPr>
        <w:r w:rsidRPr="002568E6">
          <w:rPr>
            <w:rFonts w:ascii="Times New Roman" w:hAnsi="Times New Roman"/>
          </w:rPr>
          <w:fldChar w:fldCharType="begin"/>
        </w:r>
        <w:r w:rsidRPr="002568E6">
          <w:rPr>
            <w:rFonts w:ascii="Times New Roman" w:hAnsi="Times New Roman"/>
          </w:rPr>
          <w:instrText xml:space="preserve"> PAGE   \* MERGEFORMAT </w:instrText>
        </w:r>
        <w:r w:rsidRPr="002568E6">
          <w:rPr>
            <w:rFonts w:ascii="Times New Roman" w:hAnsi="Times New Roman"/>
          </w:rPr>
          <w:fldChar w:fldCharType="separate"/>
        </w:r>
        <w:r w:rsidR="004B1BD4">
          <w:rPr>
            <w:rFonts w:ascii="Times New Roman" w:hAnsi="Times New Roman"/>
            <w:noProof/>
          </w:rPr>
          <w:t>2</w:t>
        </w:r>
        <w:r w:rsidRPr="002568E6">
          <w:rPr>
            <w:rFonts w:ascii="Times New Roman" w:hAnsi="Times New Roman"/>
            <w:noProof/>
          </w:rPr>
          <w:fldChar w:fldCharType="end"/>
        </w:r>
      </w:p>
    </w:sdtContent>
  </w:sdt>
  <w:p w:rsidR="00B60451" w:rsidRDefault="00B6045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3098"/>
      <w:docPartObj>
        <w:docPartGallery w:val="Page Numbers (Bottom of Page)"/>
        <w:docPartUnique/>
      </w:docPartObj>
    </w:sdtPr>
    <w:sdtEndPr>
      <w:rPr>
        <w:rFonts w:ascii="Times New Roman" w:hAnsi="Times New Roman"/>
        <w:noProof/>
      </w:rPr>
    </w:sdtEndPr>
    <w:sdtContent>
      <w:p w:rsidR="00B60451" w:rsidRPr="002568E6" w:rsidRDefault="00B60451" w:rsidP="00F0719E">
        <w:pPr>
          <w:pStyle w:val="Footer"/>
          <w:jc w:val="center"/>
          <w:rPr>
            <w:rFonts w:ascii="Times New Roman" w:hAnsi="Times New Roman"/>
          </w:rPr>
        </w:pPr>
        <w:r w:rsidRPr="002568E6">
          <w:rPr>
            <w:rFonts w:ascii="Times New Roman" w:hAnsi="Times New Roman"/>
          </w:rPr>
          <w:fldChar w:fldCharType="begin"/>
        </w:r>
        <w:r w:rsidRPr="002568E6">
          <w:rPr>
            <w:rFonts w:ascii="Times New Roman" w:hAnsi="Times New Roman"/>
          </w:rPr>
          <w:instrText xml:space="preserve"> PAGE   \* MERGEFORMAT </w:instrText>
        </w:r>
        <w:r w:rsidRPr="002568E6">
          <w:rPr>
            <w:rFonts w:ascii="Times New Roman" w:hAnsi="Times New Roman"/>
          </w:rPr>
          <w:fldChar w:fldCharType="separate"/>
        </w:r>
        <w:r w:rsidR="004B1BD4">
          <w:rPr>
            <w:rFonts w:ascii="Times New Roman" w:hAnsi="Times New Roman"/>
            <w:noProof/>
          </w:rPr>
          <w:t>1</w:t>
        </w:r>
        <w:r w:rsidRPr="002568E6">
          <w:rPr>
            <w:rFonts w:ascii="Times New Roman" w:hAnsi="Times New Roman"/>
            <w:noProof/>
          </w:rPr>
          <w:fldChar w:fldCharType="end"/>
        </w:r>
      </w:p>
    </w:sdtContent>
  </w:sdt>
  <w:p w:rsidR="00B60451" w:rsidRDefault="00B604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40A" w:rsidRDefault="0067540A">
      <w:r>
        <w:separator/>
      </w:r>
    </w:p>
  </w:footnote>
  <w:footnote w:type="continuationSeparator" w:id="0">
    <w:p w:rsidR="0067540A" w:rsidRDefault="006754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E467F8E"/>
    <w:lvl w:ilvl="0">
      <w:start w:val="1"/>
      <w:numFmt w:val="decimal"/>
      <w:lvlText w:val="%1."/>
      <w:lvlJc w:val="left"/>
      <w:pPr>
        <w:tabs>
          <w:tab w:val="num" w:pos="1800"/>
        </w:tabs>
        <w:ind w:left="1800" w:hanging="360"/>
      </w:pPr>
    </w:lvl>
  </w:abstractNum>
  <w:abstractNum w:abstractNumId="1">
    <w:nsid w:val="FFFFFF7D"/>
    <w:multiLevelType w:val="singleLevel"/>
    <w:tmpl w:val="EAFC6818"/>
    <w:lvl w:ilvl="0">
      <w:start w:val="1"/>
      <w:numFmt w:val="decimal"/>
      <w:lvlText w:val="%1."/>
      <w:lvlJc w:val="left"/>
      <w:pPr>
        <w:tabs>
          <w:tab w:val="num" w:pos="1440"/>
        </w:tabs>
        <w:ind w:left="1440" w:hanging="360"/>
      </w:pPr>
    </w:lvl>
  </w:abstractNum>
  <w:abstractNum w:abstractNumId="2">
    <w:nsid w:val="FFFFFF7E"/>
    <w:multiLevelType w:val="singleLevel"/>
    <w:tmpl w:val="7712511C"/>
    <w:lvl w:ilvl="0">
      <w:start w:val="1"/>
      <w:numFmt w:val="decimal"/>
      <w:lvlText w:val="%1."/>
      <w:lvlJc w:val="left"/>
      <w:pPr>
        <w:tabs>
          <w:tab w:val="num" w:pos="1080"/>
        </w:tabs>
        <w:ind w:left="1080" w:hanging="360"/>
      </w:pPr>
    </w:lvl>
  </w:abstractNum>
  <w:abstractNum w:abstractNumId="3">
    <w:nsid w:val="FFFFFF7F"/>
    <w:multiLevelType w:val="singleLevel"/>
    <w:tmpl w:val="5D1442E0"/>
    <w:lvl w:ilvl="0">
      <w:start w:val="1"/>
      <w:numFmt w:val="decimal"/>
      <w:lvlText w:val="%1."/>
      <w:lvlJc w:val="left"/>
      <w:pPr>
        <w:tabs>
          <w:tab w:val="num" w:pos="720"/>
        </w:tabs>
        <w:ind w:left="720" w:hanging="360"/>
      </w:pPr>
    </w:lvl>
  </w:abstractNum>
  <w:abstractNum w:abstractNumId="4">
    <w:nsid w:val="FFFFFF80"/>
    <w:multiLevelType w:val="singleLevel"/>
    <w:tmpl w:val="79B208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3A1E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B5E3B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FDC42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DE8E9B4"/>
    <w:lvl w:ilvl="0">
      <w:start w:val="1"/>
      <w:numFmt w:val="decimal"/>
      <w:lvlText w:val="%1."/>
      <w:lvlJc w:val="left"/>
      <w:pPr>
        <w:tabs>
          <w:tab w:val="num" w:pos="360"/>
        </w:tabs>
        <w:ind w:left="360" w:hanging="360"/>
      </w:pPr>
    </w:lvl>
  </w:abstractNum>
  <w:abstractNum w:abstractNumId="9">
    <w:nsid w:val="FFFFFF89"/>
    <w:multiLevelType w:val="singleLevel"/>
    <w:tmpl w:val="1AE2A400"/>
    <w:lvl w:ilvl="0">
      <w:start w:val="1"/>
      <w:numFmt w:val="bullet"/>
      <w:lvlText w:val=""/>
      <w:lvlJc w:val="left"/>
      <w:pPr>
        <w:tabs>
          <w:tab w:val="num" w:pos="360"/>
        </w:tabs>
        <w:ind w:left="360" w:hanging="360"/>
      </w:pPr>
      <w:rPr>
        <w:rFonts w:ascii="Symbol" w:hAnsi="Symbol" w:hint="default"/>
      </w:rPr>
    </w:lvl>
  </w:abstractNum>
  <w:abstractNum w:abstractNumId="10">
    <w:nsid w:val="01401537"/>
    <w:multiLevelType w:val="hybridMultilevel"/>
    <w:tmpl w:val="C2D29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8EE514E"/>
    <w:multiLevelType w:val="singleLevel"/>
    <w:tmpl w:val="D734A3D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nsid w:val="0E3F3F07"/>
    <w:multiLevelType w:val="hybridMultilevel"/>
    <w:tmpl w:val="FED02B66"/>
    <w:lvl w:ilvl="0" w:tplc="27D0B4F0">
      <w:start w:val="1"/>
      <w:numFmt w:val="bullet"/>
      <w:lvlText w:val=""/>
      <w:lvlJc w:val="left"/>
      <w:pPr>
        <w:tabs>
          <w:tab w:val="num" w:pos="720"/>
        </w:tabs>
        <w:ind w:left="720" w:hanging="360"/>
      </w:pPr>
      <w:rPr>
        <w:rFonts w:ascii="Symbol" w:hAnsi="Symbol" w:hint="default"/>
      </w:rPr>
    </w:lvl>
    <w:lvl w:ilvl="1" w:tplc="28E2D82E">
      <w:start w:val="41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0414D30"/>
    <w:multiLevelType w:val="singleLevel"/>
    <w:tmpl w:val="F036E972"/>
    <w:lvl w:ilvl="0">
      <w:start w:val="2"/>
      <w:numFmt w:val="upperLetter"/>
      <w:lvlText w:val="%1. "/>
      <w:legacy w:legacy="1" w:legacySpace="0" w:legacyIndent="360"/>
      <w:lvlJc w:val="left"/>
      <w:pPr>
        <w:ind w:left="360" w:hanging="360"/>
      </w:pPr>
      <w:rPr>
        <w:b/>
        <w:i w:val="0"/>
        <w:sz w:val="24"/>
      </w:rPr>
    </w:lvl>
  </w:abstractNum>
  <w:abstractNum w:abstractNumId="14">
    <w:nsid w:val="17206767"/>
    <w:multiLevelType w:val="hybridMultilevel"/>
    <w:tmpl w:val="64D01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FE12550"/>
    <w:multiLevelType w:val="hybridMultilevel"/>
    <w:tmpl w:val="6760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B67BB5"/>
    <w:multiLevelType w:val="hybridMultilevel"/>
    <w:tmpl w:val="3EACD72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nsid w:val="39720D94"/>
    <w:multiLevelType w:val="hybridMultilevel"/>
    <w:tmpl w:val="DBEC8382"/>
    <w:lvl w:ilvl="0" w:tplc="964C68EE">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7D57E3"/>
    <w:multiLevelType w:val="hybridMultilevel"/>
    <w:tmpl w:val="C2EA1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D110431"/>
    <w:multiLevelType w:val="singleLevel"/>
    <w:tmpl w:val="E9C4C1A0"/>
    <w:lvl w:ilvl="0">
      <w:start w:val="43"/>
      <w:numFmt w:val="decimal"/>
      <w:lvlText w:val="250.%1 "/>
      <w:legacy w:legacy="1" w:legacySpace="0" w:legacyIndent="360"/>
      <w:lvlJc w:val="left"/>
      <w:pPr>
        <w:ind w:left="360" w:hanging="360"/>
      </w:pPr>
      <w:rPr>
        <w:b w:val="0"/>
        <w:i w:val="0"/>
        <w:sz w:val="24"/>
        <w:u w:val="single"/>
      </w:rPr>
    </w:lvl>
  </w:abstractNum>
  <w:abstractNum w:abstractNumId="20">
    <w:nsid w:val="76BE1868"/>
    <w:multiLevelType w:val="hybridMultilevel"/>
    <w:tmpl w:val="E9CCE48A"/>
    <w:lvl w:ilvl="0" w:tplc="167AC898">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6D6A36"/>
    <w:multiLevelType w:val="singleLevel"/>
    <w:tmpl w:val="C192771C"/>
    <w:lvl w:ilvl="0">
      <w:start w:val="2"/>
      <w:numFmt w:val="decimal"/>
      <w:lvlText w:val="(%1) "/>
      <w:legacy w:legacy="1" w:legacySpace="0" w:legacyIndent="360"/>
      <w:lvlJc w:val="left"/>
      <w:pPr>
        <w:ind w:left="360" w:hanging="360"/>
      </w:pPr>
      <w:rPr>
        <w:b w:val="0"/>
        <w:i w:val="0"/>
        <w:sz w:val="24"/>
      </w:rPr>
    </w:lvl>
  </w:abstractNum>
  <w:abstractNum w:abstractNumId="22">
    <w:nsid w:val="7C256CDC"/>
    <w:multiLevelType w:val="hybridMultilevel"/>
    <w:tmpl w:val="0B92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AE68D4"/>
    <w:multiLevelType w:val="hybridMultilevel"/>
    <w:tmpl w:val="86923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D50A0A"/>
    <w:multiLevelType w:val="hybridMultilevel"/>
    <w:tmpl w:val="DBF25A2C"/>
    <w:lvl w:ilvl="0" w:tplc="27D0B4F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1"/>
  </w:num>
  <w:num w:numId="3">
    <w:abstractNumId w:val="19"/>
  </w:num>
  <w:num w:numId="4">
    <w:abstractNumId w:val="11"/>
  </w:num>
  <w:num w:numId="5">
    <w:abstractNumId w:val="24"/>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8"/>
  </w:num>
  <w:num w:numId="18">
    <w:abstractNumId w:val="14"/>
  </w:num>
  <w:num w:numId="19">
    <w:abstractNumId w:val="10"/>
  </w:num>
  <w:num w:numId="20">
    <w:abstractNumId w:val="23"/>
  </w:num>
  <w:num w:numId="21">
    <w:abstractNumId w:val="22"/>
  </w:num>
  <w:num w:numId="22">
    <w:abstractNumId w:val="16"/>
  </w:num>
  <w:num w:numId="23">
    <w:abstractNumId w:val="15"/>
  </w:num>
  <w:num w:numId="24">
    <w:abstractNumId w:val="17"/>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128"/>
    <w:rsid w:val="000007AA"/>
    <w:rsid w:val="00001CB2"/>
    <w:rsid w:val="00001DDD"/>
    <w:rsid w:val="00003E15"/>
    <w:rsid w:val="00003EA5"/>
    <w:rsid w:val="000076A1"/>
    <w:rsid w:val="00007847"/>
    <w:rsid w:val="0000790A"/>
    <w:rsid w:val="00010DE3"/>
    <w:rsid w:val="00010DEC"/>
    <w:rsid w:val="000145E1"/>
    <w:rsid w:val="00014B4D"/>
    <w:rsid w:val="00015FCF"/>
    <w:rsid w:val="000223C1"/>
    <w:rsid w:val="00022592"/>
    <w:rsid w:val="000234FF"/>
    <w:rsid w:val="00023BFF"/>
    <w:rsid w:val="00027233"/>
    <w:rsid w:val="00030A59"/>
    <w:rsid w:val="00032621"/>
    <w:rsid w:val="000329F0"/>
    <w:rsid w:val="000373C7"/>
    <w:rsid w:val="00040718"/>
    <w:rsid w:val="000417D2"/>
    <w:rsid w:val="000431A5"/>
    <w:rsid w:val="0004364B"/>
    <w:rsid w:val="000438E8"/>
    <w:rsid w:val="000447C0"/>
    <w:rsid w:val="0004539F"/>
    <w:rsid w:val="000460EC"/>
    <w:rsid w:val="0004668E"/>
    <w:rsid w:val="00047338"/>
    <w:rsid w:val="000507EA"/>
    <w:rsid w:val="00050BDD"/>
    <w:rsid w:val="000524AD"/>
    <w:rsid w:val="00052C5C"/>
    <w:rsid w:val="00052E66"/>
    <w:rsid w:val="00053215"/>
    <w:rsid w:val="00053AB5"/>
    <w:rsid w:val="00054647"/>
    <w:rsid w:val="00054E5E"/>
    <w:rsid w:val="00056479"/>
    <w:rsid w:val="00056B83"/>
    <w:rsid w:val="0006089A"/>
    <w:rsid w:val="00061FC3"/>
    <w:rsid w:val="000621C5"/>
    <w:rsid w:val="00063761"/>
    <w:rsid w:val="00063800"/>
    <w:rsid w:val="0006449A"/>
    <w:rsid w:val="00064754"/>
    <w:rsid w:val="0006570B"/>
    <w:rsid w:val="0006609B"/>
    <w:rsid w:val="00070A9C"/>
    <w:rsid w:val="00071ACF"/>
    <w:rsid w:val="00072177"/>
    <w:rsid w:val="00072C97"/>
    <w:rsid w:val="000737AF"/>
    <w:rsid w:val="000750F4"/>
    <w:rsid w:val="00075687"/>
    <w:rsid w:val="00075AFC"/>
    <w:rsid w:val="00076D3A"/>
    <w:rsid w:val="00080C3F"/>
    <w:rsid w:val="000812F7"/>
    <w:rsid w:val="000814FD"/>
    <w:rsid w:val="00084B36"/>
    <w:rsid w:val="00084FBB"/>
    <w:rsid w:val="00086831"/>
    <w:rsid w:val="00090155"/>
    <w:rsid w:val="00090C98"/>
    <w:rsid w:val="00093427"/>
    <w:rsid w:val="0009567D"/>
    <w:rsid w:val="0009592D"/>
    <w:rsid w:val="00095C26"/>
    <w:rsid w:val="000A28C4"/>
    <w:rsid w:val="000A34BE"/>
    <w:rsid w:val="000A3781"/>
    <w:rsid w:val="000A4F8D"/>
    <w:rsid w:val="000A7424"/>
    <w:rsid w:val="000B26F3"/>
    <w:rsid w:val="000B50C9"/>
    <w:rsid w:val="000B5666"/>
    <w:rsid w:val="000B7836"/>
    <w:rsid w:val="000C089B"/>
    <w:rsid w:val="000C10F7"/>
    <w:rsid w:val="000C1BEB"/>
    <w:rsid w:val="000C277F"/>
    <w:rsid w:val="000C55A2"/>
    <w:rsid w:val="000C5B0F"/>
    <w:rsid w:val="000D0C93"/>
    <w:rsid w:val="000D17F6"/>
    <w:rsid w:val="000D279A"/>
    <w:rsid w:val="000D4038"/>
    <w:rsid w:val="000D5154"/>
    <w:rsid w:val="000D5750"/>
    <w:rsid w:val="000D6419"/>
    <w:rsid w:val="000D724C"/>
    <w:rsid w:val="000E1CA0"/>
    <w:rsid w:val="000E2E6E"/>
    <w:rsid w:val="000E3CA7"/>
    <w:rsid w:val="000E3CC6"/>
    <w:rsid w:val="000E4107"/>
    <w:rsid w:val="000E61B9"/>
    <w:rsid w:val="000E6CC9"/>
    <w:rsid w:val="000E7D6D"/>
    <w:rsid w:val="000F1BD4"/>
    <w:rsid w:val="000F24C8"/>
    <w:rsid w:val="000F2BAE"/>
    <w:rsid w:val="000F41A6"/>
    <w:rsid w:val="000F4EE7"/>
    <w:rsid w:val="000F5C58"/>
    <w:rsid w:val="001052BD"/>
    <w:rsid w:val="0010698D"/>
    <w:rsid w:val="00106CAF"/>
    <w:rsid w:val="00110773"/>
    <w:rsid w:val="00113E29"/>
    <w:rsid w:val="00115E73"/>
    <w:rsid w:val="001170E4"/>
    <w:rsid w:val="00117A58"/>
    <w:rsid w:val="00120499"/>
    <w:rsid w:val="00120E7F"/>
    <w:rsid w:val="00121633"/>
    <w:rsid w:val="00122007"/>
    <w:rsid w:val="0012249E"/>
    <w:rsid w:val="0012531F"/>
    <w:rsid w:val="00127364"/>
    <w:rsid w:val="001309B0"/>
    <w:rsid w:val="00130FB4"/>
    <w:rsid w:val="0013206A"/>
    <w:rsid w:val="001328A8"/>
    <w:rsid w:val="00132EF8"/>
    <w:rsid w:val="00132F0C"/>
    <w:rsid w:val="0013306C"/>
    <w:rsid w:val="001334EF"/>
    <w:rsid w:val="001342C0"/>
    <w:rsid w:val="0013469F"/>
    <w:rsid w:val="001363FB"/>
    <w:rsid w:val="0014035C"/>
    <w:rsid w:val="00143411"/>
    <w:rsid w:val="0014383A"/>
    <w:rsid w:val="00143852"/>
    <w:rsid w:val="00145FCB"/>
    <w:rsid w:val="0015139F"/>
    <w:rsid w:val="00151DF5"/>
    <w:rsid w:val="00154D85"/>
    <w:rsid w:val="00156839"/>
    <w:rsid w:val="00157282"/>
    <w:rsid w:val="001578C9"/>
    <w:rsid w:val="00160DAC"/>
    <w:rsid w:val="001613F6"/>
    <w:rsid w:val="00161CDA"/>
    <w:rsid w:val="001642D2"/>
    <w:rsid w:val="00166501"/>
    <w:rsid w:val="00167686"/>
    <w:rsid w:val="001707E2"/>
    <w:rsid w:val="00171619"/>
    <w:rsid w:val="00172B17"/>
    <w:rsid w:val="0017302B"/>
    <w:rsid w:val="0017348C"/>
    <w:rsid w:val="00173EC4"/>
    <w:rsid w:val="00173FDD"/>
    <w:rsid w:val="00180150"/>
    <w:rsid w:val="00180BE9"/>
    <w:rsid w:val="00182728"/>
    <w:rsid w:val="001829D2"/>
    <w:rsid w:val="0018306B"/>
    <w:rsid w:val="001834A9"/>
    <w:rsid w:val="0018456B"/>
    <w:rsid w:val="00185270"/>
    <w:rsid w:val="00186F00"/>
    <w:rsid w:val="0018740F"/>
    <w:rsid w:val="001912C2"/>
    <w:rsid w:val="001947A0"/>
    <w:rsid w:val="001964E8"/>
    <w:rsid w:val="001A01C9"/>
    <w:rsid w:val="001A054E"/>
    <w:rsid w:val="001A5D65"/>
    <w:rsid w:val="001A63AF"/>
    <w:rsid w:val="001A6B89"/>
    <w:rsid w:val="001A6D81"/>
    <w:rsid w:val="001A770D"/>
    <w:rsid w:val="001A79A8"/>
    <w:rsid w:val="001B1E25"/>
    <w:rsid w:val="001B354D"/>
    <w:rsid w:val="001B3D92"/>
    <w:rsid w:val="001B7724"/>
    <w:rsid w:val="001C00D5"/>
    <w:rsid w:val="001C1228"/>
    <w:rsid w:val="001C15C7"/>
    <w:rsid w:val="001C1A98"/>
    <w:rsid w:val="001C1D55"/>
    <w:rsid w:val="001C256E"/>
    <w:rsid w:val="001C3A4C"/>
    <w:rsid w:val="001C4C39"/>
    <w:rsid w:val="001C5266"/>
    <w:rsid w:val="001C6CBE"/>
    <w:rsid w:val="001C70AF"/>
    <w:rsid w:val="001C7DC9"/>
    <w:rsid w:val="001D13E7"/>
    <w:rsid w:val="001D1F6E"/>
    <w:rsid w:val="001D2F45"/>
    <w:rsid w:val="001D343E"/>
    <w:rsid w:val="001D4FB0"/>
    <w:rsid w:val="001E22E9"/>
    <w:rsid w:val="001E5E66"/>
    <w:rsid w:val="001F054A"/>
    <w:rsid w:val="001F549E"/>
    <w:rsid w:val="001F6E85"/>
    <w:rsid w:val="001F73D9"/>
    <w:rsid w:val="00201068"/>
    <w:rsid w:val="00201287"/>
    <w:rsid w:val="00204E6E"/>
    <w:rsid w:val="00205B44"/>
    <w:rsid w:val="002062CF"/>
    <w:rsid w:val="002075EB"/>
    <w:rsid w:val="00210D68"/>
    <w:rsid w:val="00210FA8"/>
    <w:rsid w:val="00212905"/>
    <w:rsid w:val="00213436"/>
    <w:rsid w:val="00215CC6"/>
    <w:rsid w:val="0022244B"/>
    <w:rsid w:val="00222EDC"/>
    <w:rsid w:val="0022443A"/>
    <w:rsid w:val="002251B2"/>
    <w:rsid w:val="00231C61"/>
    <w:rsid w:val="00235EB3"/>
    <w:rsid w:val="002370B7"/>
    <w:rsid w:val="00241834"/>
    <w:rsid w:val="002432C5"/>
    <w:rsid w:val="00245150"/>
    <w:rsid w:val="00245CF0"/>
    <w:rsid w:val="00246457"/>
    <w:rsid w:val="002468EE"/>
    <w:rsid w:val="00250B5A"/>
    <w:rsid w:val="00250CEF"/>
    <w:rsid w:val="00252CF2"/>
    <w:rsid w:val="00253ECC"/>
    <w:rsid w:val="00255137"/>
    <w:rsid w:val="0025683E"/>
    <w:rsid w:val="002568E6"/>
    <w:rsid w:val="002621E7"/>
    <w:rsid w:val="00262817"/>
    <w:rsid w:val="0026333C"/>
    <w:rsid w:val="002649A9"/>
    <w:rsid w:val="00265623"/>
    <w:rsid w:val="00266247"/>
    <w:rsid w:val="00267E64"/>
    <w:rsid w:val="00270D71"/>
    <w:rsid w:val="00272DD6"/>
    <w:rsid w:val="002737E9"/>
    <w:rsid w:val="00275494"/>
    <w:rsid w:val="0027643B"/>
    <w:rsid w:val="0027695F"/>
    <w:rsid w:val="002831BD"/>
    <w:rsid w:val="00283364"/>
    <w:rsid w:val="002900F6"/>
    <w:rsid w:val="0029406D"/>
    <w:rsid w:val="002954B1"/>
    <w:rsid w:val="00295D32"/>
    <w:rsid w:val="002966A1"/>
    <w:rsid w:val="002A1B3D"/>
    <w:rsid w:val="002A57AE"/>
    <w:rsid w:val="002A7390"/>
    <w:rsid w:val="002B0654"/>
    <w:rsid w:val="002B46E1"/>
    <w:rsid w:val="002B4F85"/>
    <w:rsid w:val="002B60E7"/>
    <w:rsid w:val="002B6598"/>
    <w:rsid w:val="002C05AC"/>
    <w:rsid w:val="002C2401"/>
    <w:rsid w:val="002C4936"/>
    <w:rsid w:val="002C5D29"/>
    <w:rsid w:val="002C6748"/>
    <w:rsid w:val="002C7766"/>
    <w:rsid w:val="002C7B26"/>
    <w:rsid w:val="002D0DED"/>
    <w:rsid w:val="002D1E33"/>
    <w:rsid w:val="002D47CD"/>
    <w:rsid w:val="002E1315"/>
    <w:rsid w:val="002E1A35"/>
    <w:rsid w:val="002E3B1B"/>
    <w:rsid w:val="002E3D8B"/>
    <w:rsid w:val="002E3E5E"/>
    <w:rsid w:val="002E40A9"/>
    <w:rsid w:val="002E6B5E"/>
    <w:rsid w:val="002E7427"/>
    <w:rsid w:val="002F2888"/>
    <w:rsid w:val="002F28FD"/>
    <w:rsid w:val="002F3249"/>
    <w:rsid w:val="002F4036"/>
    <w:rsid w:val="002F5951"/>
    <w:rsid w:val="00304807"/>
    <w:rsid w:val="00307D2B"/>
    <w:rsid w:val="0031071F"/>
    <w:rsid w:val="003125D7"/>
    <w:rsid w:val="00312A60"/>
    <w:rsid w:val="00313A06"/>
    <w:rsid w:val="003140F4"/>
    <w:rsid w:val="00315029"/>
    <w:rsid w:val="0031557D"/>
    <w:rsid w:val="003164E9"/>
    <w:rsid w:val="00324C06"/>
    <w:rsid w:val="00325195"/>
    <w:rsid w:val="0032533B"/>
    <w:rsid w:val="0032578A"/>
    <w:rsid w:val="00326F10"/>
    <w:rsid w:val="00331CB1"/>
    <w:rsid w:val="003324DB"/>
    <w:rsid w:val="00333190"/>
    <w:rsid w:val="003333DF"/>
    <w:rsid w:val="00334635"/>
    <w:rsid w:val="0033630C"/>
    <w:rsid w:val="0033721D"/>
    <w:rsid w:val="00341DA8"/>
    <w:rsid w:val="00341DEE"/>
    <w:rsid w:val="00342170"/>
    <w:rsid w:val="00343967"/>
    <w:rsid w:val="0034535B"/>
    <w:rsid w:val="0034537B"/>
    <w:rsid w:val="00350550"/>
    <w:rsid w:val="003521A9"/>
    <w:rsid w:val="00356D92"/>
    <w:rsid w:val="00360B8B"/>
    <w:rsid w:val="00361644"/>
    <w:rsid w:val="003637E7"/>
    <w:rsid w:val="0036497A"/>
    <w:rsid w:val="00366BB8"/>
    <w:rsid w:val="0037115C"/>
    <w:rsid w:val="00372784"/>
    <w:rsid w:val="00372B3B"/>
    <w:rsid w:val="00373384"/>
    <w:rsid w:val="00375A61"/>
    <w:rsid w:val="00376E39"/>
    <w:rsid w:val="003770FE"/>
    <w:rsid w:val="00383C0A"/>
    <w:rsid w:val="00385A58"/>
    <w:rsid w:val="00385D82"/>
    <w:rsid w:val="00386068"/>
    <w:rsid w:val="00386BCF"/>
    <w:rsid w:val="003874A5"/>
    <w:rsid w:val="00392E66"/>
    <w:rsid w:val="00393405"/>
    <w:rsid w:val="00395831"/>
    <w:rsid w:val="00396E91"/>
    <w:rsid w:val="003A222F"/>
    <w:rsid w:val="003A40B1"/>
    <w:rsid w:val="003A4F9D"/>
    <w:rsid w:val="003A556E"/>
    <w:rsid w:val="003A6B08"/>
    <w:rsid w:val="003A7703"/>
    <w:rsid w:val="003B0FD0"/>
    <w:rsid w:val="003B10E4"/>
    <w:rsid w:val="003B1199"/>
    <w:rsid w:val="003B1D07"/>
    <w:rsid w:val="003B28E2"/>
    <w:rsid w:val="003B4ADE"/>
    <w:rsid w:val="003B4C92"/>
    <w:rsid w:val="003B6BB2"/>
    <w:rsid w:val="003C099B"/>
    <w:rsid w:val="003C2346"/>
    <w:rsid w:val="003C3FCC"/>
    <w:rsid w:val="003C41FC"/>
    <w:rsid w:val="003C4229"/>
    <w:rsid w:val="003C5E7D"/>
    <w:rsid w:val="003C646A"/>
    <w:rsid w:val="003C6BDD"/>
    <w:rsid w:val="003D2FA4"/>
    <w:rsid w:val="003D3135"/>
    <w:rsid w:val="003D6927"/>
    <w:rsid w:val="003D6A43"/>
    <w:rsid w:val="003E0D93"/>
    <w:rsid w:val="003E15E7"/>
    <w:rsid w:val="003E1CE2"/>
    <w:rsid w:val="003E2F2D"/>
    <w:rsid w:val="003E4D48"/>
    <w:rsid w:val="003E64F6"/>
    <w:rsid w:val="003F083E"/>
    <w:rsid w:val="003F7EFD"/>
    <w:rsid w:val="004000FA"/>
    <w:rsid w:val="00400754"/>
    <w:rsid w:val="00402C13"/>
    <w:rsid w:val="004033DD"/>
    <w:rsid w:val="004037F9"/>
    <w:rsid w:val="0040495B"/>
    <w:rsid w:val="004060BE"/>
    <w:rsid w:val="004061F0"/>
    <w:rsid w:val="00407AEA"/>
    <w:rsid w:val="004113AB"/>
    <w:rsid w:val="00412294"/>
    <w:rsid w:val="004127EA"/>
    <w:rsid w:val="00415AE6"/>
    <w:rsid w:val="00417C54"/>
    <w:rsid w:val="00417CFC"/>
    <w:rsid w:val="00422327"/>
    <w:rsid w:val="0043096E"/>
    <w:rsid w:val="0043148A"/>
    <w:rsid w:val="00431975"/>
    <w:rsid w:val="00432716"/>
    <w:rsid w:val="0043383F"/>
    <w:rsid w:val="00435AB5"/>
    <w:rsid w:val="00437234"/>
    <w:rsid w:val="00437471"/>
    <w:rsid w:val="00440211"/>
    <w:rsid w:val="00440392"/>
    <w:rsid w:val="00442191"/>
    <w:rsid w:val="00442526"/>
    <w:rsid w:val="00442B73"/>
    <w:rsid w:val="00443A6D"/>
    <w:rsid w:val="004459C6"/>
    <w:rsid w:val="00446314"/>
    <w:rsid w:val="004470D5"/>
    <w:rsid w:val="00447C1E"/>
    <w:rsid w:val="00451DEC"/>
    <w:rsid w:val="00452E03"/>
    <w:rsid w:val="00455134"/>
    <w:rsid w:val="004600D7"/>
    <w:rsid w:val="00462AE3"/>
    <w:rsid w:val="00462B00"/>
    <w:rsid w:val="00462C4E"/>
    <w:rsid w:val="0046423B"/>
    <w:rsid w:val="004708FD"/>
    <w:rsid w:val="004714B1"/>
    <w:rsid w:val="00472A8F"/>
    <w:rsid w:val="00472E23"/>
    <w:rsid w:val="00474A8E"/>
    <w:rsid w:val="004752E2"/>
    <w:rsid w:val="0047544E"/>
    <w:rsid w:val="0047561A"/>
    <w:rsid w:val="00476676"/>
    <w:rsid w:val="00477E91"/>
    <w:rsid w:val="00483781"/>
    <w:rsid w:val="00483CCC"/>
    <w:rsid w:val="00483F2C"/>
    <w:rsid w:val="004849B2"/>
    <w:rsid w:val="00486B75"/>
    <w:rsid w:val="00494A82"/>
    <w:rsid w:val="00496E3F"/>
    <w:rsid w:val="004A2D34"/>
    <w:rsid w:val="004A2F08"/>
    <w:rsid w:val="004A48CA"/>
    <w:rsid w:val="004A543C"/>
    <w:rsid w:val="004A6286"/>
    <w:rsid w:val="004A6581"/>
    <w:rsid w:val="004B0BC3"/>
    <w:rsid w:val="004B1BD4"/>
    <w:rsid w:val="004B46EC"/>
    <w:rsid w:val="004B70D4"/>
    <w:rsid w:val="004C2E49"/>
    <w:rsid w:val="004C50AE"/>
    <w:rsid w:val="004C615B"/>
    <w:rsid w:val="004C6212"/>
    <w:rsid w:val="004C69A7"/>
    <w:rsid w:val="004D04AD"/>
    <w:rsid w:val="004D1FDB"/>
    <w:rsid w:val="004D3638"/>
    <w:rsid w:val="004D43D3"/>
    <w:rsid w:val="004D5E86"/>
    <w:rsid w:val="004D72C9"/>
    <w:rsid w:val="004E11D8"/>
    <w:rsid w:val="004E160F"/>
    <w:rsid w:val="004E2535"/>
    <w:rsid w:val="004E4959"/>
    <w:rsid w:val="004E5D8C"/>
    <w:rsid w:val="004E5F80"/>
    <w:rsid w:val="004E6BFA"/>
    <w:rsid w:val="004E72D3"/>
    <w:rsid w:val="004E7651"/>
    <w:rsid w:val="004E7931"/>
    <w:rsid w:val="004E7FD0"/>
    <w:rsid w:val="004F2540"/>
    <w:rsid w:val="004F2F54"/>
    <w:rsid w:val="004F385A"/>
    <w:rsid w:val="004F4886"/>
    <w:rsid w:val="004F6EDF"/>
    <w:rsid w:val="004F72C7"/>
    <w:rsid w:val="004F77ED"/>
    <w:rsid w:val="0050255B"/>
    <w:rsid w:val="005034C3"/>
    <w:rsid w:val="00503920"/>
    <w:rsid w:val="00503F52"/>
    <w:rsid w:val="00505C81"/>
    <w:rsid w:val="00506D32"/>
    <w:rsid w:val="005072CD"/>
    <w:rsid w:val="00510518"/>
    <w:rsid w:val="0051085D"/>
    <w:rsid w:val="00511375"/>
    <w:rsid w:val="00511668"/>
    <w:rsid w:val="00511934"/>
    <w:rsid w:val="00512C6B"/>
    <w:rsid w:val="00513FD7"/>
    <w:rsid w:val="00520A94"/>
    <w:rsid w:val="005234BE"/>
    <w:rsid w:val="005266CA"/>
    <w:rsid w:val="00530F1B"/>
    <w:rsid w:val="005358BC"/>
    <w:rsid w:val="005364A3"/>
    <w:rsid w:val="0053713F"/>
    <w:rsid w:val="00540608"/>
    <w:rsid w:val="00542038"/>
    <w:rsid w:val="00542051"/>
    <w:rsid w:val="00542C4F"/>
    <w:rsid w:val="005445BE"/>
    <w:rsid w:val="00545890"/>
    <w:rsid w:val="00550A3B"/>
    <w:rsid w:val="00550E21"/>
    <w:rsid w:val="0055158F"/>
    <w:rsid w:val="005524A2"/>
    <w:rsid w:val="005529BA"/>
    <w:rsid w:val="00553F34"/>
    <w:rsid w:val="005547E1"/>
    <w:rsid w:val="00555341"/>
    <w:rsid w:val="00557D18"/>
    <w:rsid w:val="005601C3"/>
    <w:rsid w:val="00560A01"/>
    <w:rsid w:val="00563EAF"/>
    <w:rsid w:val="0056518C"/>
    <w:rsid w:val="00565D5B"/>
    <w:rsid w:val="005674F7"/>
    <w:rsid w:val="00567DE7"/>
    <w:rsid w:val="005721E3"/>
    <w:rsid w:val="0057713D"/>
    <w:rsid w:val="00580507"/>
    <w:rsid w:val="00581E48"/>
    <w:rsid w:val="005827E8"/>
    <w:rsid w:val="00585353"/>
    <w:rsid w:val="00586F6C"/>
    <w:rsid w:val="005912FB"/>
    <w:rsid w:val="005917B8"/>
    <w:rsid w:val="00591AD7"/>
    <w:rsid w:val="005940EB"/>
    <w:rsid w:val="0059545A"/>
    <w:rsid w:val="005955C7"/>
    <w:rsid w:val="00596675"/>
    <w:rsid w:val="005967BB"/>
    <w:rsid w:val="005976BB"/>
    <w:rsid w:val="005A0C2E"/>
    <w:rsid w:val="005A1C6C"/>
    <w:rsid w:val="005A3F80"/>
    <w:rsid w:val="005A4F79"/>
    <w:rsid w:val="005A5337"/>
    <w:rsid w:val="005A598F"/>
    <w:rsid w:val="005B172E"/>
    <w:rsid w:val="005B2A87"/>
    <w:rsid w:val="005B58A1"/>
    <w:rsid w:val="005C04BB"/>
    <w:rsid w:val="005C0E2A"/>
    <w:rsid w:val="005C20D9"/>
    <w:rsid w:val="005C2621"/>
    <w:rsid w:val="005C286E"/>
    <w:rsid w:val="005C33B4"/>
    <w:rsid w:val="005C423C"/>
    <w:rsid w:val="005C50FC"/>
    <w:rsid w:val="005C54B0"/>
    <w:rsid w:val="005C5E06"/>
    <w:rsid w:val="005C6321"/>
    <w:rsid w:val="005D021A"/>
    <w:rsid w:val="005D4603"/>
    <w:rsid w:val="005D532E"/>
    <w:rsid w:val="005D7CF3"/>
    <w:rsid w:val="005E0A1A"/>
    <w:rsid w:val="005E22A5"/>
    <w:rsid w:val="005E292E"/>
    <w:rsid w:val="005E6A3C"/>
    <w:rsid w:val="005E7295"/>
    <w:rsid w:val="005F0A77"/>
    <w:rsid w:val="005F2D36"/>
    <w:rsid w:val="005F31C0"/>
    <w:rsid w:val="005F43D7"/>
    <w:rsid w:val="005F5BA7"/>
    <w:rsid w:val="005F5FFE"/>
    <w:rsid w:val="005F6830"/>
    <w:rsid w:val="005F7C5A"/>
    <w:rsid w:val="00600B7F"/>
    <w:rsid w:val="00600F05"/>
    <w:rsid w:val="00603FF7"/>
    <w:rsid w:val="00604BE2"/>
    <w:rsid w:val="006059DF"/>
    <w:rsid w:val="0060707B"/>
    <w:rsid w:val="006075C7"/>
    <w:rsid w:val="00616358"/>
    <w:rsid w:val="0061675E"/>
    <w:rsid w:val="00617B1B"/>
    <w:rsid w:val="0062182F"/>
    <w:rsid w:val="0062241E"/>
    <w:rsid w:val="006226A2"/>
    <w:rsid w:val="006228E2"/>
    <w:rsid w:val="0062567E"/>
    <w:rsid w:val="00626691"/>
    <w:rsid w:val="00630C90"/>
    <w:rsid w:val="0063244C"/>
    <w:rsid w:val="006324F3"/>
    <w:rsid w:val="00632F9E"/>
    <w:rsid w:val="00634425"/>
    <w:rsid w:val="00634C3B"/>
    <w:rsid w:val="00634E66"/>
    <w:rsid w:val="0063688D"/>
    <w:rsid w:val="00640767"/>
    <w:rsid w:val="00640F7D"/>
    <w:rsid w:val="0064229A"/>
    <w:rsid w:val="006469D1"/>
    <w:rsid w:val="00646DDA"/>
    <w:rsid w:val="0065006B"/>
    <w:rsid w:val="00650EBF"/>
    <w:rsid w:val="00651F4A"/>
    <w:rsid w:val="00651FF4"/>
    <w:rsid w:val="00655D39"/>
    <w:rsid w:val="0065657E"/>
    <w:rsid w:val="006575EF"/>
    <w:rsid w:val="0066069C"/>
    <w:rsid w:val="00661AF9"/>
    <w:rsid w:val="00661B51"/>
    <w:rsid w:val="00664AD0"/>
    <w:rsid w:val="00664C7C"/>
    <w:rsid w:val="0066583A"/>
    <w:rsid w:val="00665B4D"/>
    <w:rsid w:val="0066688F"/>
    <w:rsid w:val="00666F6E"/>
    <w:rsid w:val="006733AF"/>
    <w:rsid w:val="00673E6A"/>
    <w:rsid w:val="0067540A"/>
    <w:rsid w:val="00675EDB"/>
    <w:rsid w:val="00676E4D"/>
    <w:rsid w:val="00677034"/>
    <w:rsid w:val="0068067E"/>
    <w:rsid w:val="00682090"/>
    <w:rsid w:val="0068319C"/>
    <w:rsid w:val="00686481"/>
    <w:rsid w:val="00686BB3"/>
    <w:rsid w:val="00687C66"/>
    <w:rsid w:val="006929FB"/>
    <w:rsid w:val="0069363F"/>
    <w:rsid w:val="00694161"/>
    <w:rsid w:val="00694A12"/>
    <w:rsid w:val="00695911"/>
    <w:rsid w:val="00696634"/>
    <w:rsid w:val="006A0632"/>
    <w:rsid w:val="006A131B"/>
    <w:rsid w:val="006A3850"/>
    <w:rsid w:val="006A3E01"/>
    <w:rsid w:val="006A7A14"/>
    <w:rsid w:val="006A7F48"/>
    <w:rsid w:val="006B005F"/>
    <w:rsid w:val="006B3BF8"/>
    <w:rsid w:val="006B4BFE"/>
    <w:rsid w:val="006B6609"/>
    <w:rsid w:val="006C0F33"/>
    <w:rsid w:val="006C2B18"/>
    <w:rsid w:val="006C4942"/>
    <w:rsid w:val="006C4BE5"/>
    <w:rsid w:val="006C5470"/>
    <w:rsid w:val="006C571B"/>
    <w:rsid w:val="006C60D2"/>
    <w:rsid w:val="006C6F61"/>
    <w:rsid w:val="006C7186"/>
    <w:rsid w:val="006D0AA2"/>
    <w:rsid w:val="006D0EAD"/>
    <w:rsid w:val="006D0FF5"/>
    <w:rsid w:val="006D2901"/>
    <w:rsid w:val="006D4339"/>
    <w:rsid w:val="006D5D1F"/>
    <w:rsid w:val="006D6B2A"/>
    <w:rsid w:val="006D7835"/>
    <w:rsid w:val="006D7F88"/>
    <w:rsid w:val="006E42A0"/>
    <w:rsid w:val="006E49E5"/>
    <w:rsid w:val="006E4AC6"/>
    <w:rsid w:val="006E4B7F"/>
    <w:rsid w:val="006E5418"/>
    <w:rsid w:val="006E5E54"/>
    <w:rsid w:val="006F05C3"/>
    <w:rsid w:val="006F15B1"/>
    <w:rsid w:val="006F174B"/>
    <w:rsid w:val="006F3032"/>
    <w:rsid w:val="006F346E"/>
    <w:rsid w:val="006F5B38"/>
    <w:rsid w:val="006F6A9F"/>
    <w:rsid w:val="006F7A93"/>
    <w:rsid w:val="00700579"/>
    <w:rsid w:val="00700F3B"/>
    <w:rsid w:val="00701E5A"/>
    <w:rsid w:val="00702822"/>
    <w:rsid w:val="0070367B"/>
    <w:rsid w:val="00707ED6"/>
    <w:rsid w:val="007102AD"/>
    <w:rsid w:val="00710CF7"/>
    <w:rsid w:val="0071282D"/>
    <w:rsid w:val="007135AF"/>
    <w:rsid w:val="00717835"/>
    <w:rsid w:val="00720489"/>
    <w:rsid w:val="0072072E"/>
    <w:rsid w:val="00720BC7"/>
    <w:rsid w:val="00722B78"/>
    <w:rsid w:val="00723374"/>
    <w:rsid w:val="00730697"/>
    <w:rsid w:val="0073096B"/>
    <w:rsid w:val="007317BC"/>
    <w:rsid w:val="0073357B"/>
    <w:rsid w:val="00733A77"/>
    <w:rsid w:val="00734D74"/>
    <w:rsid w:val="0073504D"/>
    <w:rsid w:val="00736CE0"/>
    <w:rsid w:val="007377F1"/>
    <w:rsid w:val="0074205E"/>
    <w:rsid w:val="00742246"/>
    <w:rsid w:val="00743031"/>
    <w:rsid w:val="007439F4"/>
    <w:rsid w:val="007445AD"/>
    <w:rsid w:val="00745F3B"/>
    <w:rsid w:val="0074676D"/>
    <w:rsid w:val="00746993"/>
    <w:rsid w:val="00747267"/>
    <w:rsid w:val="007505B0"/>
    <w:rsid w:val="00751946"/>
    <w:rsid w:val="007532C9"/>
    <w:rsid w:val="00754014"/>
    <w:rsid w:val="00754981"/>
    <w:rsid w:val="00756119"/>
    <w:rsid w:val="00760434"/>
    <w:rsid w:val="00761877"/>
    <w:rsid w:val="00761D2D"/>
    <w:rsid w:val="00763D19"/>
    <w:rsid w:val="0076461D"/>
    <w:rsid w:val="00764AB6"/>
    <w:rsid w:val="007704A9"/>
    <w:rsid w:val="00772867"/>
    <w:rsid w:val="00772B26"/>
    <w:rsid w:val="0077330C"/>
    <w:rsid w:val="00776D16"/>
    <w:rsid w:val="00783919"/>
    <w:rsid w:val="00783DA7"/>
    <w:rsid w:val="00784603"/>
    <w:rsid w:val="0078653A"/>
    <w:rsid w:val="007866BB"/>
    <w:rsid w:val="00792C32"/>
    <w:rsid w:val="00794AFB"/>
    <w:rsid w:val="00795535"/>
    <w:rsid w:val="00797164"/>
    <w:rsid w:val="007A1E54"/>
    <w:rsid w:val="007A238A"/>
    <w:rsid w:val="007A293E"/>
    <w:rsid w:val="007A2BBA"/>
    <w:rsid w:val="007A5E7D"/>
    <w:rsid w:val="007A65B2"/>
    <w:rsid w:val="007A7123"/>
    <w:rsid w:val="007B0003"/>
    <w:rsid w:val="007B008F"/>
    <w:rsid w:val="007B059C"/>
    <w:rsid w:val="007B13FA"/>
    <w:rsid w:val="007B17C2"/>
    <w:rsid w:val="007B3030"/>
    <w:rsid w:val="007B32AD"/>
    <w:rsid w:val="007B4217"/>
    <w:rsid w:val="007B43CA"/>
    <w:rsid w:val="007B4A75"/>
    <w:rsid w:val="007C0BE8"/>
    <w:rsid w:val="007C0D2F"/>
    <w:rsid w:val="007C0EBF"/>
    <w:rsid w:val="007C2127"/>
    <w:rsid w:val="007C31C5"/>
    <w:rsid w:val="007C44DA"/>
    <w:rsid w:val="007D1972"/>
    <w:rsid w:val="007D1FBD"/>
    <w:rsid w:val="007D46EC"/>
    <w:rsid w:val="007D4D5F"/>
    <w:rsid w:val="007D76FB"/>
    <w:rsid w:val="007E0B9B"/>
    <w:rsid w:val="007E27C7"/>
    <w:rsid w:val="007E3170"/>
    <w:rsid w:val="007E4256"/>
    <w:rsid w:val="007E5364"/>
    <w:rsid w:val="007F2B2C"/>
    <w:rsid w:val="007F47C3"/>
    <w:rsid w:val="00800EE9"/>
    <w:rsid w:val="00801786"/>
    <w:rsid w:val="0080229C"/>
    <w:rsid w:val="00802851"/>
    <w:rsid w:val="00803F61"/>
    <w:rsid w:val="008050EE"/>
    <w:rsid w:val="008071C5"/>
    <w:rsid w:val="008079BB"/>
    <w:rsid w:val="00810BB3"/>
    <w:rsid w:val="0081142F"/>
    <w:rsid w:val="00813AC8"/>
    <w:rsid w:val="00813EE2"/>
    <w:rsid w:val="00816EB4"/>
    <w:rsid w:val="0082083D"/>
    <w:rsid w:val="00821AC8"/>
    <w:rsid w:val="008221AA"/>
    <w:rsid w:val="0082448C"/>
    <w:rsid w:val="00824683"/>
    <w:rsid w:val="00826253"/>
    <w:rsid w:val="0082671D"/>
    <w:rsid w:val="00826DD8"/>
    <w:rsid w:val="008270DC"/>
    <w:rsid w:val="0083118E"/>
    <w:rsid w:val="00831EA7"/>
    <w:rsid w:val="00833324"/>
    <w:rsid w:val="00835A63"/>
    <w:rsid w:val="0083724D"/>
    <w:rsid w:val="008377B5"/>
    <w:rsid w:val="00841477"/>
    <w:rsid w:val="00842E02"/>
    <w:rsid w:val="008502C2"/>
    <w:rsid w:val="008507EF"/>
    <w:rsid w:val="00850904"/>
    <w:rsid w:val="008525DD"/>
    <w:rsid w:val="0085301F"/>
    <w:rsid w:val="00853829"/>
    <w:rsid w:val="00853BF9"/>
    <w:rsid w:val="00855C5E"/>
    <w:rsid w:val="00856AB0"/>
    <w:rsid w:val="00861FED"/>
    <w:rsid w:val="00862A3F"/>
    <w:rsid w:val="008648BF"/>
    <w:rsid w:val="00867757"/>
    <w:rsid w:val="00867C20"/>
    <w:rsid w:val="00870BB1"/>
    <w:rsid w:val="0087187D"/>
    <w:rsid w:val="00871E93"/>
    <w:rsid w:val="00872B95"/>
    <w:rsid w:val="008733D8"/>
    <w:rsid w:val="008745A8"/>
    <w:rsid w:val="0088245A"/>
    <w:rsid w:val="008832DB"/>
    <w:rsid w:val="00884B5C"/>
    <w:rsid w:val="0088500E"/>
    <w:rsid w:val="00886AC1"/>
    <w:rsid w:val="008876AB"/>
    <w:rsid w:val="008915FB"/>
    <w:rsid w:val="0089577E"/>
    <w:rsid w:val="00895CB0"/>
    <w:rsid w:val="00897DE4"/>
    <w:rsid w:val="008A1A85"/>
    <w:rsid w:val="008A1F39"/>
    <w:rsid w:val="008A2948"/>
    <w:rsid w:val="008A7380"/>
    <w:rsid w:val="008B0F94"/>
    <w:rsid w:val="008B25E6"/>
    <w:rsid w:val="008B3FDA"/>
    <w:rsid w:val="008B4683"/>
    <w:rsid w:val="008B472E"/>
    <w:rsid w:val="008B57A8"/>
    <w:rsid w:val="008B59ED"/>
    <w:rsid w:val="008B660F"/>
    <w:rsid w:val="008C00B4"/>
    <w:rsid w:val="008C1668"/>
    <w:rsid w:val="008C2EB3"/>
    <w:rsid w:val="008C3FAF"/>
    <w:rsid w:val="008C62AD"/>
    <w:rsid w:val="008C6BEB"/>
    <w:rsid w:val="008D1717"/>
    <w:rsid w:val="008D174D"/>
    <w:rsid w:val="008D2E1A"/>
    <w:rsid w:val="008D2FF6"/>
    <w:rsid w:val="008D554A"/>
    <w:rsid w:val="008D5DC5"/>
    <w:rsid w:val="008D79AF"/>
    <w:rsid w:val="008E2B05"/>
    <w:rsid w:val="008E51DC"/>
    <w:rsid w:val="008E569D"/>
    <w:rsid w:val="008E7BCB"/>
    <w:rsid w:val="008F0099"/>
    <w:rsid w:val="008F0605"/>
    <w:rsid w:val="008F0A60"/>
    <w:rsid w:val="008F25E0"/>
    <w:rsid w:val="008F2DEC"/>
    <w:rsid w:val="008F3F14"/>
    <w:rsid w:val="008F5F88"/>
    <w:rsid w:val="00902E57"/>
    <w:rsid w:val="00903920"/>
    <w:rsid w:val="00904305"/>
    <w:rsid w:val="009049D1"/>
    <w:rsid w:val="00904B63"/>
    <w:rsid w:val="00905A5F"/>
    <w:rsid w:val="009062BF"/>
    <w:rsid w:val="00906F7A"/>
    <w:rsid w:val="00910330"/>
    <w:rsid w:val="00910824"/>
    <w:rsid w:val="00910C21"/>
    <w:rsid w:val="00910CCC"/>
    <w:rsid w:val="009141DF"/>
    <w:rsid w:val="00917120"/>
    <w:rsid w:val="009171A0"/>
    <w:rsid w:val="00920B77"/>
    <w:rsid w:val="009210FD"/>
    <w:rsid w:val="00921A94"/>
    <w:rsid w:val="0092248C"/>
    <w:rsid w:val="00922DEC"/>
    <w:rsid w:val="00922FC1"/>
    <w:rsid w:val="009232EE"/>
    <w:rsid w:val="00923F25"/>
    <w:rsid w:val="0092466F"/>
    <w:rsid w:val="00925D56"/>
    <w:rsid w:val="0092640D"/>
    <w:rsid w:val="0092668F"/>
    <w:rsid w:val="00930E07"/>
    <w:rsid w:val="00930FCC"/>
    <w:rsid w:val="00935C5E"/>
    <w:rsid w:val="009361A2"/>
    <w:rsid w:val="009379DE"/>
    <w:rsid w:val="0094179F"/>
    <w:rsid w:val="00944853"/>
    <w:rsid w:val="00947D69"/>
    <w:rsid w:val="009500BC"/>
    <w:rsid w:val="009536A2"/>
    <w:rsid w:val="00953F53"/>
    <w:rsid w:val="00956D8E"/>
    <w:rsid w:val="009575CF"/>
    <w:rsid w:val="00961994"/>
    <w:rsid w:val="009622E1"/>
    <w:rsid w:val="00962F5F"/>
    <w:rsid w:val="00964308"/>
    <w:rsid w:val="00964E59"/>
    <w:rsid w:val="009666C0"/>
    <w:rsid w:val="00966860"/>
    <w:rsid w:val="00967F46"/>
    <w:rsid w:val="00971C3A"/>
    <w:rsid w:val="00972641"/>
    <w:rsid w:val="009727E2"/>
    <w:rsid w:val="00973A02"/>
    <w:rsid w:val="00974A06"/>
    <w:rsid w:val="00974B18"/>
    <w:rsid w:val="009751DC"/>
    <w:rsid w:val="00980270"/>
    <w:rsid w:val="00980D53"/>
    <w:rsid w:val="009810FB"/>
    <w:rsid w:val="00981759"/>
    <w:rsid w:val="0098306F"/>
    <w:rsid w:val="00983251"/>
    <w:rsid w:val="00983ECF"/>
    <w:rsid w:val="009846F1"/>
    <w:rsid w:val="00985089"/>
    <w:rsid w:val="009853F5"/>
    <w:rsid w:val="00985454"/>
    <w:rsid w:val="00985B49"/>
    <w:rsid w:val="00986A71"/>
    <w:rsid w:val="00986CFB"/>
    <w:rsid w:val="00990736"/>
    <w:rsid w:val="00991650"/>
    <w:rsid w:val="00991FC3"/>
    <w:rsid w:val="00992CA5"/>
    <w:rsid w:val="00993BC1"/>
    <w:rsid w:val="00994791"/>
    <w:rsid w:val="00994BF3"/>
    <w:rsid w:val="00995B4D"/>
    <w:rsid w:val="00997530"/>
    <w:rsid w:val="009A2498"/>
    <w:rsid w:val="009A2654"/>
    <w:rsid w:val="009A28AF"/>
    <w:rsid w:val="009A3AAC"/>
    <w:rsid w:val="009A5A09"/>
    <w:rsid w:val="009A6BE0"/>
    <w:rsid w:val="009A6E3B"/>
    <w:rsid w:val="009A7BE0"/>
    <w:rsid w:val="009B2E15"/>
    <w:rsid w:val="009B3519"/>
    <w:rsid w:val="009B4B0D"/>
    <w:rsid w:val="009B6105"/>
    <w:rsid w:val="009C1A67"/>
    <w:rsid w:val="009C32A5"/>
    <w:rsid w:val="009C419C"/>
    <w:rsid w:val="009C4809"/>
    <w:rsid w:val="009C5170"/>
    <w:rsid w:val="009C5522"/>
    <w:rsid w:val="009C5B28"/>
    <w:rsid w:val="009C7411"/>
    <w:rsid w:val="009D2F27"/>
    <w:rsid w:val="009D3614"/>
    <w:rsid w:val="009D44D6"/>
    <w:rsid w:val="009D523A"/>
    <w:rsid w:val="009D5A73"/>
    <w:rsid w:val="009D5B4E"/>
    <w:rsid w:val="009D5C70"/>
    <w:rsid w:val="009D7A98"/>
    <w:rsid w:val="009E072A"/>
    <w:rsid w:val="009E07EA"/>
    <w:rsid w:val="009E0DFB"/>
    <w:rsid w:val="009E1059"/>
    <w:rsid w:val="009E120D"/>
    <w:rsid w:val="009E1234"/>
    <w:rsid w:val="009E3311"/>
    <w:rsid w:val="009E6159"/>
    <w:rsid w:val="009F0360"/>
    <w:rsid w:val="009F0786"/>
    <w:rsid w:val="009F0EAB"/>
    <w:rsid w:val="009F104D"/>
    <w:rsid w:val="009F146E"/>
    <w:rsid w:val="009F14CE"/>
    <w:rsid w:val="009F228E"/>
    <w:rsid w:val="009F54AE"/>
    <w:rsid w:val="009F67CC"/>
    <w:rsid w:val="009F72E3"/>
    <w:rsid w:val="009F7643"/>
    <w:rsid w:val="009F7E1A"/>
    <w:rsid w:val="00A00B7C"/>
    <w:rsid w:val="00A00EEB"/>
    <w:rsid w:val="00A021C3"/>
    <w:rsid w:val="00A03220"/>
    <w:rsid w:val="00A05877"/>
    <w:rsid w:val="00A1154D"/>
    <w:rsid w:val="00A11F58"/>
    <w:rsid w:val="00A12F4D"/>
    <w:rsid w:val="00A13F72"/>
    <w:rsid w:val="00A15D98"/>
    <w:rsid w:val="00A160BF"/>
    <w:rsid w:val="00A171D3"/>
    <w:rsid w:val="00A17719"/>
    <w:rsid w:val="00A2094D"/>
    <w:rsid w:val="00A20EFB"/>
    <w:rsid w:val="00A2115F"/>
    <w:rsid w:val="00A23369"/>
    <w:rsid w:val="00A24C1D"/>
    <w:rsid w:val="00A27B3A"/>
    <w:rsid w:val="00A308DB"/>
    <w:rsid w:val="00A3110D"/>
    <w:rsid w:val="00A31871"/>
    <w:rsid w:val="00A31B2A"/>
    <w:rsid w:val="00A32543"/>
    <w:rsid w:val="00A3317C"/>
    <w:rsid w:val="00A33D00"/>
    <w:rsid w:val="00A37C87"/>
    <w:rsid w:val="00A431C7"/>
    <w:rsid w:val="00A439DA"/>
    <w:rsid w:val="00A44347"/>
    <w:rsid w:val="00A45DE3"/>
    <w:rsid w:val="00A474F3"/>
    <w:rsid w:val="00A500EE"/>
    <w:rsid w:val="00A51D62"/>
    <w:rsid w:val="00A52427"/>
    <w:rsid w:val="00A544C6"/>
    <w:rsid w:val="00A55E93"/>
    <w:rsid w:val="00A56DAE"/>
    <w:rsid w:val="00A616E0"/>
    <w:rsid w:val="00A6232F"/>
    <w:rsid w:val="00A641B0"/>
    <w:rsid w:val="00A64291"/>
    <w:rsid w:val="00A649BB"/>
    <w:rsid w:val="00A66DF7"/>
    <w:rsid w:val="00A6703B"/>
    <w:rsid w:val="00A6765E"/>
    <w:rsid w:val="00A70E02"/>
    <w:rsid w:val="00A72282"/>
    <w:rsid w:val="00A7252E"/>
    <w:rsid w:val="00A73197"/>
    <w:rsid w:val="00A73507"/>
    <w:rsid w:val="00A7459E"/>
    <w:rsid w:val="00A75998"/>
    <w:rsid w:val="00A7688B"/>
    <w:rsid w:val="00A817EC"/>
    <w:rsid w:val="00A81B52"/>
    <w:rsid w:val="00A82AA1"/>
    <w:rsid w:val="00A82BB4"/>
    <w:rsid w:val="00A83FB0"/>
    <w:rsid w:val="00A85835"/>
    <w:rsid w:val="00A905F5"/>
    <w:rsid w:val="00A925C9"/>
    <w:rsid w:val="00A92D91"/>
    <w:rsid w:val="00A95DB5"/>
    <w:rsid w:val="00A969EB"/>
    <w:rsid w:val="00A96B59"/>
    <w:rsid w:val="00A97764"/>
    <w:rsid w:val="00A9777A"/>
    <w:rsid w:val="00AA55D2"/>
    <w:rsid w:val="00AA6BEE"/>
    <w:rsid w:val="00AB5F42"/>
    <w:rsid w:val="00AB67B2"/>
    <w:rsid w:val="00AB6B56"/>
    <w:rsid w:val="00AB7A72"/>
    <w:rsid w:val="00AC0DA1"/>
    <w:rsid w:val="00AC1CF7"/>
    <w:rsid w:val="00AC2B52"/>
    <w:rsid w:val="00AC61A8"/>
    <w:rsid w:val="00AD0BD8"/>
    <w:rsid w:val="00AD1B31"/>
    <w:rsid w:val="00AD1E95"/>
    <w:rsid w:val="00AD21D8"/>
    <w:rsid w:val="00AD2642"/>
    <w:rsid w:val="00AD2800"/>
    <w:rsid w:val="00AD39AC"/>
    <w:rsid w:val="00AD4629"/>
    <w:rsid w:val="00AD6A1D"/>
    <w:rsid w:val="00AD6ECF"/>
    <w:rsid w:val="00AD7513"/>
    <w:rsid w:val="00AE0DA1"/>
    <w:rsid w:val="00AE230E"/>
    <w:rsid w:val="00AE3CED"/>
    <w:rsid w:val="00AE4F48"/>
    <w:rsid w:val="00AE5974"/>
    <w:rsid w:val="00AE6A0B"/>
    <w:rsid w:val="00AE7A2F"/>
    <w:rsid w:val="00AF143D"/>
    <w:rsid w:val="00AF32EA"/>
    <w:rsid w:val="00AF55EF"/>
    <w:rsid w:val="00AF7AC8"/>
    <w:rsid w:val="00B01286"/>
    <w:rsid w:val="00B0130B"/>
    <w:rsid w:val="00B01769"/>
    <w:rsid w:val="00B01B6B"/>
    <w:rsid w:val="00B0449A"/>
    <w:rsid w:val="00B06CD9"/>
    <w:rsid w:val="00B11503"/>
    <w:rsid w:val="00B12FBB"/>
    <w:rsid w:val="00B16C50"/>
    <w:rsid w:val="00B20E43"/>
    <w:rsid w:val="00B2117C"/>
    <w:rsid w:val="00B22E0E"/>
    <w:rsid w:val="00B303B9"/>
    <w:rsid w:val="00B30A20"/>
    <w:rsid w:val="00B335C9"/>
    <w:rsid w:val="00B33FB9"/>
    <w:rsid w:val="00B34992"/>
    <w:rsid w:val="00B35F66"/>
    <w:rsid w:val="00B36D92"/>
    <w:rsid w:val="00B40E2C"/>
    <w:rsid w:val="00B410B9"/>
    <w:rsid w:val="00B4117A"/>
    <w:rsid w:val="00B42633"/>
    <w:rsid w:val="00B42A4C"/>
    <w:rsid w:val="00B440E5"/>
    <w:rsid w:val="00B44520"/>
    <w:rsid w:val="00B45036"/>
    <w:rsid w:val="00B46119"/>
    <w:rsid w:val="00B46719"/>
    <w:rsid w:val="00B5016E"/>
    <w:rsid w:val="00B502BF"/>
    <w:rsid w:val="00B52C79"/>
    <w:rsid w:val="00B534DA"/>
    <w:rsid w:val="00B55CA4"/>
    <w:rsid w:val="00B60451"/>
    <w:rsid w:val="00B616CD"/>
    <w:rsid w:val="00B62726"/>
    <w:rsid w:val="00B6562C"/>
    <w:rsid w:val="00B677F2"/>
    <w:rsid w:val="00B73492"/>
    <w:rsid w:val="00B74584"/>
    <w:rsid w:val="00B7764C"/>
    <w:rsid w:val="00B77958"/>
    <w:rsid w:val="00B77C3D"/>
    <w:rsid w:val="00B8362B"/>
    <w:rsid w:val="00B92C27"/>
    <w:rsid w:val="00B9315A"/>
    <w:rsid w:val="00B932BE"/>
    <w:rsid w:val="00B9352B"/>
    <w:rsid w:val="00B93A5E"/>
    <w:rsid w:val="00B94086"/>
    <w:rsid w:val="00B942FD"/>
    <w:rsid w:val="00B95B69"/>
    <w:rsid w:val="00B96662"/>
    <w:rsid w:val="00BA0965"/>
    <w:rsid w:val="00BA2321"/>
    <w:rsid w:val="00BA2E7F"/>
    <w:rsid w:val="00BA4BA8"/>
    <w:rsid w:val="00BB1681"/>
    <w:rsid w:val="00BB421D"/>
    <w:rsid w:val="00BB4B24"/>
    <w:rsid w:val="00BB6B52"/>
    <w:rsid w:val="00BC03DC"/>
    <w:rsid w:val="00BC1F50"/>
    <w:rsid w:val="00BC207F"/>
    <w:rsid w:val="00BC23B8"/>
    <w:rsid w:val="00BC307B"/>
    <w:rsid w:val="00BC42A7"/>
    <w:rsid w:val="00BC6ABA"/>
    <w:rsid w:val="00BD0882"/>
    <w:rsid w:val="00BD1DD0"/>
    <w:rsid w:val="00BD29F1"/>
    <w:rsid w:val="00BD4DF6"/>
    <w:rsid w:val="00BD5404"/>
    <w:rsid w:val="00BD5862"/>
    <w:rsid w:val="00BD63BE"/>
    <w:rsid w:val="00BD6F9A"/>
    <w:rsid w:val="00BE0B08"/>
    <w:rsid w:val="00BE294C"/>
    <w:rsid w:val="00BE308A"/>
    <w:rsid w:val="00BE4553"/>
    <w:rsid w:val="00BE4810"/>
    <w:rsid w:val="00BE5423"/>
    <w:rsid w:val="00BE589F"/>
    <w:rsid w:val="00BE78AD"/>
    <w:rsid w:val="00BF026B"/>
    <w:rsid w:val="00BF0F97"/>
    <w:rsid w:val="00BF2B93"/>
    <w:rsid w:val="00BF2C40"/>
    <w:rsid w:val="00BF2DF4"/>
    <w:rsid w:val="00BF2E8D"/>
    <w:rsid w:val="00BF31F4"/>
    <w:rsid w:val="00BF4B90"/>
    <w:rsid w:val="00BF5E4F"/>
    <w:rsid w:val="00BF7378"/>
    <w:rsid w:val="00BF780B"/>
    <w:rsid w:val="00C00128"/>
    <w:rsid w:val="00C012AB"/>
    <w:rsid w:val="00C02236"/>
    <w:rsid w:val="00C02C23"/>
    <w:rsid w:val="00C02C6A"/>
    <w:rsid w:val="00C05443"/>
    <w:rsid w:val="00C05589"/>
    <w:rsid w:val="00C075A4"/>
    <w:rsid w:val="00C10D1F"/>
    <w:rsid w:val="00C13E67"/>
    <w:rsid w:val="00C15742"/>
    <w:rsid w:val="00C15AB7"/>
    <w:rsid w:val="00C16031"/>
    <w:rsid w:val="00C17A13"/>
    <w:rsid w:val="00C24355"/>
    <w:rsid w:val="00C24843"/>
    <w:rsid w:val="00C24C23"/>
    <w:rsid w:val="00C25057"/>
    <w:rsid w:val="00C25696"/>
    <w:rsid w:val="00C279DD"/>
    <w:rsid w:val="00C315EE"/>
    <w:rsid w:val="00C3225D"/>
    <w:rsid w:val="00C32B1D"/>
    <w:rsid w:val="00C32DEF"/>
    <w:rsid w:val="00C333A0"/>
    <w:rsid w:val="00C34D0E"/>
    <w:rsid w:val="00C351B7"/>
    <w:rsid w:val="00C365BA"/>
    <w:rsid w:val="00C36E90"/>
    <w:rsid w:val="00C37760"/>
    <w:rsid w:val="00C379C4"/>
    <w:rsid w:val="00C408EC"/>
    <w:rsid w:val="00C40BC0"/>
    <w:rsid w:val="00C41E75"/>
    <w:rsid w:val="00C42424"/>
    <w:rsid w:val="00C427D6"/>
    <w:rsid w:val="00C45064"/>
    <w:rsid w:val="00C4592B"/>
    <w:rsid w:val="00C51375"/>
    <w:rsid w:val="00C5330F"/>
    <w:rsid w:val="00C544C4"/>
    <w:rsid w:val="00C54A1A"/>
    <w:rsid w:val="00C553CE"/>
    <w:rsid w:val="00C557D4"/>
    <w:rsid w:val="00C55A6C"/>
    <w:rsid w:val="00C5617B"/>
    <w:rsid w:val="00C6025D"/>
    <w:rsid w:val="00C619D0"/>
    <w:rsid w:val="00C61B37"/>
    <w:rsid w:val="00C7097C"/>
    <w:rsid w:val="00C70AD9"/>
    <w:rsid w:val="00C72374"/>
    <w:rsid w:val="00C77545"/>
    <w:rsid w:val="00C77CDA"/>
    <w:rsid w:val="00C81187"/>
    <w:rsid w:val="00C812C2"/>
    <w:rsid w:val="00C82339"/>
    <w:rsid w:val="00C84D5A"/>
    <w:rsid w:val="00C851FC"/>
    <w:rsid w:val="00C860DE"/>
    <w:rsid w:val="00C867FB"/>
    <w:rsid w:val="00C90227"/>
    <w:rsid w:val="00C915DE"/>
    <w:rsid w:val="00C929DD"/>
    <w:rsid w:val="00C93698"/>
    <w:rsid w:val="00C97982"/>
    <w:rsid w:val="00CA0412"/>
    <w:rsid w:val="00CA1F00"/>
    <w:rsid w:val="00CA2EE6"/>
    <w:rsid w:val="00CA33C7"/>
    <w:rsid w:val="00CA4C37"/>
    <w:rsid w:val="00CA5F04"/>
    <w:rsid w:val="00CA61A0"/>
    <w:rsid w:val="00CB022F"/>
    <w:rsid w:val="00CB1CD8"/>
    <w:rsid w:val="00CB462E"/>
    <w:rsid w:val="00CB4BAA"/>
    <w:rsid w:val="00CC03DA"/>
    <w:rsid w:val="00CC3B51"/>
    <w:rsid w:val="00CC400E"/>
    <w:rsid w:val="00CC5EE3"/>
    <w:rsid w:val="00CC78E0"/>
    <w:rsid w:val="00CC7D21"/>
    <w:rsid w:val="00CD0981"/>
    <w:rsid w:val="00CD11B6"/>
    <w:rsid w:val="00CD3BB9"/>
    <w:rsid w:val="00CD4EFE"/>
    <w:rsid w:val="00CE2F33"/>
    <w:rsid w:val="00CE5DF7"/>
    <w:rsid w:val="00CF0312"/>
    <w:rsid w:val="00CF0BBA"/>
    <w:rsid w:val="00CF198E"/>
    <w:rsid w:val="00CF23A3"/>
    <w:rsid w:val="00CF2F46"/>
    <w:rsid w:val="00CF3028"/>
    <w:rsid w:val="00CF4928"/>
    <w:rsid w:val="00CF7201"/>
    <w:rsid w:val="00CF7CB1"/>
    <w:rsid w:val="00D0022F"/>
    <w:rsid w:val="00D004D5"/>
    <w:rsid w:val="00D0059B"/>
    <w:rsid w:val="00D01018"/>
    <w:rsid w:val="00D04910"/>
    <w:rsid w:val="00D04B01"/>
    <w:rsid w:val="00D05B8B"/>
    <w:rsid w:val="00D076D5"/>
    <w:rsid w:val="00D100BF"/>
    <w:rsid w:val="00D11E8A"/>
    <w:rsid w:val="00D11F29"/>
    <w:rsid w:val="00D120CD"/>
    <w:rsid w:val="00D12812"/>
    <w:rsid w:val="00D13013"/>
    <w:rsid w:val="00D1542A"/>
    <w:rsid w:val="00D15723"/>
    <w:rsid w:val="00D1795D"/>
    <w:rsid w:val="00D17F46"/>
    <w:rsid w:val="00D20642"/>
    <w:rsid w:val="00D2213B"/>
    <w:rsid w:val="00D227C2"/>
    <w:rsid w:val="00D245FB"/>
    <w:rsid w:val="00D254A5"/>
    <w:rsid w:val="00D277F6"/>
    <w:rsid w:val="00D32FCC"/>
    <w:rsid w:val="00D33375"/>
    <w:rsid w:val="00D352D9"/>
    <w:rsid w:val="00D373E1"/>
    <w:rsid w:val="00D3753F"/>
    <w:rsid w:val="00D37A4B"/>
    <w:rsid w:val="00D40BCC"/>
    <w:rsid w:val="00D41FA8"/>
    <w:rsid w:val="00D42417"/>
    <w:rsid w:val="00D4297F"/>
    <w:rsid w:val="00D42A03"/>
    <w:rsid w:val="00D46D94"/>
    <w:rsid w:val="00D4719E"/>
    <w:rsid w:val="00D47C66"/>
    <w:rsid w:val="00D5257C"/>
    <w:rsid w:val="00D528DB"/>
    <w:rsid w:val="00D55B8A"/>
    <w:rsid w:val="00D571DE"/>
    <w:rsid w:val="00D57DE9"/>
    <w:rsid w:val="00D60210"/>
    <w:rsid w:val="00D603FC"/>
    <w:rsid w:val="00D60CD9"/>
    <w:rsid w:val="00D61B62"/>
    <w:rsid w:val="00D63214"/>
    <w:rsid w:val="00D64255"/>
    <w:rsid w:val="00D64F66"/>
    <w:rsid w:val="00D65FFD"/>
    <w:rsid w:val="00D66261"/>
    <w:rsid w:val="00D66655"/>
    <w:rsid w:val="00D7035E"/>
    <w:rsid w:val="00D704CC"/>
    <w:rsid w:val="00D710CC"/>
    <w:rsid w:val="00D713CE"/>
    <w:rsid w:val="00D71DFC"/>
    <w:rsid w:val="00D726F8"/>
    <w:rsid w:val="00D7448A"/>
    <w:rsid w:val="00D7624B"/>
    <w:rsid w:val="00D76CF7"/>
    <w:rsid w:val="00D77B69"/>
    <w:rsid w:val="00D77F76"/>
    <w:rsid w:val="00D803BD"/>
    <w:rsid w:val="00D815E8"/>
    <w:rsid w:val="00D81845"/>
    <w:rsid w:val="00D82746"/>
    <w:rsid w:val="00D83489"/>
    <w:rsid w:val="00D84706"/>
    <w:rsid w:val="00D84C83"/>
    <w:rsid w:val="00D91BC2"/>
    <w:rsid w:val="00D91CEF"/>
    <w:rsid w:val="00D91F55"/>
    <w:rsid w:val="00D93106"/>
    <w:rsid w:val="00D93DB0"/>
    <w:rsid w:val="00D94CD1"/>
    <w:rsid w:val="00D96C21"/>
    <w:rsid w:val="00DA0E06"/>
    <w:rsid w:val="00DA40F0"/>
    <w:rsid w:val="00DA5801"/>
    <w:rsid w:val="00DA6090"/>
    <w:rsid w:val="00DA6CF2"/>
    <w:rsid w:val="00DB1097"/>
    <w:rsid w:val="00DB1994"/>
    <w:rsid w:val="00DB4209"/>
    <w:rsid w:val="00DB71BA"/>
    <w:rsid w:val="00DB739F"/>
    <w:rsid w:val="00DB7E31"/>
    <w:rsid w:val="00DC1A1B"/>
    <w:rsid w:val="00DC1BD4"/>
    <w:rsid w:val="00DC3ED1"/>
    <w:rsid w:val="00DC4628"/>
    <w:rsid w:val="00DC6BEA"/>
    <w:rsid w:val="00DC7F0F"/>
    <w:rsid w:val="00DD12B3"/>
    <w:rsid w:val="00DD1747"/>
    <w:rsid w:val="00DD1995"/>
    <w:rsid w:val="00DD1A9F"/>
    <w:rsid w:val="00DD1AF7"/>
    <w:rsid w:val="00DD4661"/>
    <w:rsid w:val="00DD5C89"/>
    <w:rsid w:val="00DD7880"/>
    <w:rsid w:val="00DD7A23"/>
    <w:rsid w:val="00DE0783"/>
    <w:rsid w:val="00DE13FD"/>
    <w:rsid w:val="00DE1D1B"/>
    <w:rsid w:val="00DE23F4"/>
    <w:rsid w:val="00DE2494"/>
    <w:rsid w:val="00DE283C"/>
    <w:rsid w:val="00DE4085"/>
    <w:rsid w:val="00DF0354"/>
    <w:rsid w:val="00DF2C39"/>
    <w:rsid w:val="00DF2F7E"/>
    <w:rsid w:val="00DF5756"/>
    <w:rsid w:val="00DF57F1"/>
    <w:rsid w:val="00DF70D9"/>
    <w:rsid w:val="00E00927"/>
    <w:rsid w:val="00E035F0"/>
    <w:rsid w:val="00E0371E"/>
    <w:rsid w:val="00E03B56"/>
    <w:rsid w:val="00E05C04"/>
    <w:rsid w:val="00E06442"/>
    <w:rsid w:val="00E06672"/>
    <w:rsid w:val="00E07080"/>
    <w:rsid w:val="00E1019A"/>
    <w:rsid w:val="00E10677"/>
    <w:rsid w:val="00E10AB6"/>
    <w:rsid w:val="00E11A38"/>
    <w:rsid w:val="00E13003"/>
    <w:rsid w:val="00E16AF8"/>
    <w:rsid w:val="00E16D1A"/>
    <w:rsid w:val="00E21388"/>
    <w:rsid w:val="00E24C4B"/>
    <w:rsid w:val="00E26517"/>
    <w:rsid w:val="00E2703D"/>
    <w:rsid w:val="00E27695"/>
    <w:rsid w:val="00E279C3"/>
    <w:rsid w:val="00E27BE9"/>
    <w:rsid w:val="00E315C8"/>
    <w:rsid w:val="00E3208D"/>
    <w:rsid w:val="00E3278B"/>
    <w:rsid w:val="00E35B7D"/>
    <w:rsid w:val="00E368D6"/>
    <w:rsid w:val="00E37B85"/>
    <w:rsid w:val="00E37CF7"/>
    <w:rsid w:val="00E403BF"/>
    <w:rsid w:val="00E4100B"/>
    <w:rsid w:val="00E41819"/>
    <w:rsid w:val="00E41939"/>
    <w:rsid w:val="00E43877"/>
    <w:rsid w:val="00E4401A"/>
    <w:rsid w:val="00E44AE6"/>
    <w:rsid w:val="00E456FF"/>
    <w:rsid w:val="00E46F66"/>
    <w:rsid w:val="00E47383"/>
    <w:rsid w:val="00E52126"/>
    <w:rsid w:val="00E52E6A"/>
    <w:rsid w:val="00E534EB"/>
    <w:rsid w:val="00E5460E"/>
    <w:rsid w:val="00E546CF"/>
    <w:rsid w:val="00E55327"/>
    <w:rsid w:val="00E563A4"/>
    <w:rsid w:val="00E57A43"/>
    <w:rsid w:val="00E606B2"/>
    <w:rsid w:val="00E63ADA"/>
    <w:rsid w:val="00E63BDA"/>
    <w:rsid w:val="00E674D5"/>
    <w:rsid w:val="00E70ABD"/>
    <w:rsid w:val="00E724EC"/>
    <w:rsid w:val="00E730BC"/>
    <w:rsid w:val="00E757B4"/>
    <w:rsid w:val="00E779B7"/>
    <w:rsid w:val="00E77A50"/>
    <w:rsid w:val="00E8084A"/>
    <w:rsid w:val="00E810A3"/>
    <w:rsid w:val="00E812B2"/>
    <w:rsid w:val="00E84E10"/>
    <w:rsid w:val="00E905D4"/>
    <w:rsid w:val="00E90F40"/>
    <w:rsid w:val="00E91D14"/>
    <w:rsid w:val="00E91FD4"/>
    <w:rsid w:val="00E948E4"/>
    <w:rsid w:val="00E94D94"/>
    <w:rsid w:val="00E96345"/>
    <w:rsid w:val="00E96E76"/>
    <w:rsid w:val="00E973BF"/>
    <w:rsid w:val="00E97E45"/>
    <w:rsid w:val="00EA0954"/>
    <w:rsid w:val="00EA0C3D"/>
    <w:rsid w:val="00EA0E24"/>
    <w:rsid w:val="00EA2F5B"/>
    <w:rsid w:val="00EA369C"/>
    <w:rsid w:val="00EA3C99"/>
    <w:rsid w:val="00EA52B6"/>
    <w:rsid w:val="00EA5B71"/>
    <w:rsid w:val="00EA755E"/>
    <w:rsid w:val="00EB0163"/>
    <w:rsid w:val="00EB12E0"/>
    <w:rsid w:val="00EB2A7D"/>
    <w:rsid w:val="00EB3649"/>
    <w:rsid w:val="00EB3985"/>
    <w:rsid w:val="00EB4A80"/>
    <w:rsid w:val="00EB5F36"/>
    <w:rsid w:val="00EB7D33"/>
    <w:rsid w:val="00EC0443"/>
    <w:rsid w:val="00EC17A9"/>
    <w:rsid w:val="00EC1D6A"/>
    <w:rsid w:val="00EC35EA"/>
    <w:rsid w:val="00EC6954"/>
    <w:rsid w:val="00EC6E1A"/>
    <w:rsid w:val="00ED28F2"/>
    <w:rsid w:val="00ED3465"/>
    <w:rsid w:val="00ED3E7D"/>
    <w:rsid w:val="00ED5039"/>
    <w:rsid w:val="00EE0069"/>
    <w:rsid w:val="00EE50D2"/>
    <w:rsid w:val="00EE574A"/>
    <w:rsid w:val="00EE59C2"/>
    <w:rsid w:val="00EE76C5"/>
    <w:rsid w:val="00EF249A"/>
    <w:rsid w:val="00EF347D"/>
    <w:rsid w:val="00EF3A67"/>
    <w:rsid w:val="00EF3E6A"/>
    <w:rsid w:val="00EF415A"/>
    <w:rsid w:val="00EF46A2"/>
    <w:rsid w:val="00EF4C56"/>
    <w:rsid w:val="00F00259"/>
    <w:rsid w:val="00F019F7"/>
    <w:rsid w:val="00F026D5"/>
    <w:rsid w:val="00F028D8"/>
    <w:rsid w:val="00F02BFD"/>
    <w:rsid w:val="00F05414"/>
    <w:rsid w:val="00F05A28"/>
    <w:rsid w:val="00F05D6B"/>
    <w:rsid w:val="00F0719E"/>
    <w:rsid w:val="00F07336"/>
    <w:rsid w:val="00F10753"/>
    <w:rsid w:val="00F10FA6"/>
    <w:rsid w:val="00F1599B"/>
    <w:rsid w:val="00F15ACC"/>
    <w:rsid w:val="00F1703D"/>
    <w:rsid w:val="00F178A6"/>
    <w:rsid w:val="00F20AEF"/>
    <w:rsid w:val="00F22A97"/>
    <w:rsid w:val="00F23533"/>
    <w:rsid w:val="00F23E7C"/>
    <w:rsid w:val="00F24693"/>
    <w:rsid w:val="00F26E4E"/>
    <w:rsid w:val="00F27614"/>
    <w:rsid w:val="00F305A7"/>
    <w:rsid w:val="00F31DC7"/>
    <w:rsid w:val="00F326B3"/>
    <w:rsid w:val="00F36057"/>
    <w:rsid w:val="00F362C6"/>
    <w:rsid w:val="00F36940"/>
    <w:rsid w:val="00F4115C"/>
    <w:rsid w:val="00F411CB"/>
    <w:rsid w:val="00F443C6"/>
    <w:rsid w:val="00F45742"/>
    <w:rsid w:val="00F507F6"/>
    <w:rsid w:val="00F51A73"/>
    <w:rsid w:val="00F54087"/>
    <w:rsid w:val="00F55F14"/>
    <w:rsid w:val="00F56824"/>
    <w:rsid w:val="00F570E0"/>
    <w:rsid w:val="00F62E54"/>
    <w:rsid w:val="00F63FAF"/>
    <w:rsid w:val="00F64EFC"/>
    <w:rsid w:val="00F65818"/>
    <w:rsid w:val="00F7052B"/>
    <w:rsid w:val="00F75E5D"/>
    <w:rsid w:val="00F7632B"/>
    <w:rsid w:val="00F80F6C"/>
    <w:rsid w:val="00F81A8B"/>
    <w:rsid w:val="00F8269D"/>
    <w:rsid w:val="00F82BCE"/>
    <w:rsid w:val="00F84248"/>
    <w:rsid w:val="00F854FE"/>
    <w:rsid w:val="00F868A2"/>
    <w:rsid w:val="00F8793E"/>
    <w:rsid w:val="00F91587"/>
    <w:rsid w:val="00F943AD"/>
    <w:rsid w:val="00F95373"/>
    <w:rsid w:val="00F960C4"/>
    <w:rsid w:val="00F96207"/>
    <w:rsid w:val="00F97372"/>
    <w:rsid w:val="00FA03F2"/>
    <w:rsid w:val="00FA2369"/>
    <w:rsid w:val="00FA37DD"/>
    <w:rsid w:val="00FA5256"/>
    <w:rsid w:val="00FB41E1"/>
    <w:rsid w:val="00FB6150"/>
    <w:rsid w:val="00FB7807"/>
    <w:rsid w:val="00FB7AB0"/>
    <w:rsid w:val="00FC2585"/>
    <w:rsid w:val="00FC26B5"/>
    <w:rsid w:val="00FC39F2"/>
    <w:rsid w:val="00FC4174"/>
    <w:rsid w:val="00FC54F6"/>
    <w:rsid w:val="00FC5505"/>
    <w:rsid w:val="00FC5EF5"/>
    <w:rsid w:val="00FC649C"/>
    <w:rsid w:val="00FD14C0"/>
    <w:rsid w:val="00FD1B1E"/>
    <w:rsid w:val="00FD48F4"/>
    <w:rsid w:val="00FD50E5"/>
    <w:rsid w:val="00FD65F1"/>
    <w:rsid w:val="00FD71D3"/>
    <w:rsid w:val="00FE09E0"/>
    <w:rsid w:val="00FE1B20"/>
    <w:rsid w:val="00FE21EF"/>
    <w:rsid w:val="00FE37C1"/>
    <w:rsid w:val="00FE4809"/>
    <w:rsid w:val="00FE4AC5"/>
    <w:rsid w:val="00FE4F7C"/>
    <w:rsid w:val="00FE5257"/>
    <w:rsid w:val="00FE7142"/>
    <w:rsid w:val="00FE7D9F"/>
    <w:rsid w:val="00FF05CC"/>
    <w:rsid w:val="00FF5B04"/>
    <w:rsid w:val="00FF704D"/>
    <w:rsid w:val="00FF78AA"/>
    <w:rsid w:val="00FF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uiPriority w:val="39"/>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semiHidden/>
    <w:rsid w:val="00831EA7"/>
    <w:rPr>
      <w:sz w:val="16"/>
      <w:szCs w:val="16"/>
    </w:rPr>
  </w:style>
  <w:style w:type="paragraph" w:styleId="CommentText">
    <w:name w:val="annotation text"/>
    <w:basedOn w:val="Normal"/>
    <w:semiHidden/>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paragraph" w:customStyle="1" w:styleId="Default">
    <w:name w:val="Default"/>
    <w:rsid w:val="009A2498"/>
    <w:pPr>
      <w:autoSpaceDE w:val="0"/>
      <w:autoSpaceDN w:val="0"/>
      <w:adjustRightInd w:val="0"/>
    </w:pPr>
    <w:rPr>
      <w:rFonts w:ascii="Arial Narrow" w:hAnsi="Arial Narrow" w:cs="Arial Narro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uiPriority w:val="39"/>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semiHidden/>
    <w:rsid w:val="00831EA7"/>
    <w:rPr>
      <w:sz w:val="16"/>
      <w:szCs w:val="16"/>
    </w:rPr>
  </w:style>
  <w:style w:type="paragraph" w:styleId="CommentText">
    <w:name w:val="annotation text"/>
    <w:basedOn w:val="Normal"/>
    <w:semiHidden/>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paragraph" w:customStyle="1" w:styleId="Default">
    <w:name w:val="Default"/>
    <w:rsid w:val="009A2498"/>
    <w:pPr>
      <w:autoSpaceDE w:val="0"/>
      <w:autoSpaceDN w:val="0"/>
      <w:adjustRightInd w:val="0"/>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7485">
      <w:bodyDiv w:val="1"/>
      <w:marLeft w:val="0"/>
      <w:marRight w:val="0"/>
      <w:marTop w:val="0"/>
      <w:marBottom w:val="0"/>
      <w:divBdr>
        <w:top w:val="none" w:sz="0" w:space="0" w:color="auto"/>
        <w:left w:val="none" w:sz="0" w:space="0" w:color="auto"/>
        <w:bottom w:val="none" w:sz="0" w:space="0" w:color="auto"/>
        <w:right w:val="none" w:sz="0" w:space="0" w:color="auto"/>
      </w:divBdr>
    </w:div>
    <w:div w:id="62486517">
      <w:bodyDiv w:val="1"/>
      <w:marLeft w:val="0"/>
      <w:marRight w:val="0"/>
      <w:marTop w:val="0"/>
      <w:marBottom w:val="0"/>
      <w:divBdr>
        <w:top w:val="none" w:sz="0" w:space="0" w:color="auto"/>
        <w:left w:val="none" w:sz="0" w:space="0" w:color="auto"/>
        <w:bottom w:val="none" w:sz="0" w:space="0" w:color="auto"/>
        <w:right w:val="none" w:sz="0" w:space="0" w:color="auto"/>
      </w:divBdr>
    </w:div>
    <w:div w:id="121926159">
      <w:bodyDiv w:val="1"/>
      <w:marLeft w:val="0"/>
      <w:marRight w:val="0"/>
      <w:marTop w:val="0"/>
      <w:marBottom w:val="0"/>
      <w:divBdr>
        <w:top w:val="none" w:sz="0" w:space="0" w:color="auto"/>
        <w:left w:val="none" w:sz="0" w:space="0" w:color="auto"/>
        <w:bottom w:val="none" w:sz="0" w:space="0" w:color="auto"/>
        <w:right w:val="none" w:sz="0" w:space="0" w:color="auto"/>
      </w:divBdr>
    </w:div>
    <w:div w:id="171190926">
      <w:bodyDiv w:val="1"/>
      <w:marLeft w:val="0"/>
      <w:marRight w:val="0"/>
      <w:marTop w:val="0"/>
      <w:marBottom w:val="0"/>
      <w:divBdr>
        <w:top w:val="none" w:sz="0" w:space="0" w:color="auto"/>
        <w:left w:val="none" w:sz="0" w:space="0" w:color="auto"/>
        <w:bottom w:val="none" w:sz="0" w:space="0" w:color="auto"/>
        <w:right w:val="none" w:sz="0" w:space="0" w:color="auto"/>
      </w:divBdr>
    </w:div>
    <w:div w:id="207954744">
      <w:bodyDiv w:val="1"/>
      <w:marLeft w:val="0"/>
      <w:marRight w:val="0"/>
      <w:marTop w:val="0"/>
      <w:marBottom w:val="0"/>
      <w:divBdr>
        <w:top w:val="none" w:sz="0" w:space="0" w:color="auto"/>
        <w:left w:val="none" w:sz="0" w:space="0" w:color="auto"/>
        <w:bottom w:val="none" w:sz="0" w:space="0" w:color="auto"/>
        <w:right w:val="none" w:sz="0" w:space="0" w:color="auto"/>
      </w:divBdr>
    </w:div>
    <w:div w:id="220672841">
      <w:bodyDiv w:val="1"/>
      <w:marLeft w:val="0"/>
      <w:marRight w:val="0"/>
      <w:marTop w:val="0"/>
      <w:marBottom w:val="0"/>
      <w:divBdr>
        <w:top w:val="none" w:sz="0" w:space="0" w:color="auto"/>
        <w:left w:val="none" w:sz="0" w:space="0" w:color="auto"/>
        <w:bottom w:val="none" w:sz="0" w:space="0" w:color="auto"/>
        <w:right w:val="none" w:sz="0" w:space="0" w:color="auto"/>
      </w:divBdr>
    </w:div>
    <w:div w:id="238563706">
      <w:bodyDiv w:val="1"/>
      <w:marLeft w:val="0"/>
      <w:marRight w:val="0"/>
      <w:marTop w:val="0"/>
      <w:marBottom w:val="0"/>
      <w:divBdr>
        <w:top w:val="none" w:sz="0" w:space="0" w:color="auto"/>
        <w:left w:val="none" w:sz="0" w:space="0" w:color="auto"/>
        <w:bottom w:val="none" w:sz="0" w:space="0" w:color="auto"/>
        <w:right w:val="none" w:sz="0" w:space="0" w:color="auto"/>
      </w:divBdr>
    </w:div>
    <w:div w:id="352347433">
      <w:bodyDiv w:val="1"/>
      <w:marLeft w:val="0"/>
      <w:marRight w:val="0"/>
      <w:marTop w:val="0"/>
      <w:marBottom w:val="0"/>
      <w:divBdr>
        <w:top w:val="none" w:sz="0" w:space="0" w:color="auto"/>
        <w:left w:val="none" w:sz="0" w:space="0" w:color="auto"/>
        <w:bottom w:val="none" w:sz="0" w:space="0" w:color="auto"/>
        <w:right w:val="none" w:sz="0" w:space="0" w:color="auto"/>
      </w:divBdr>
    </w:div>
    <w:div w:id="354229598">
      <w:bodyDiv w:val="1"/>
      <w:marLeft w:val="0"/>
      <w:marRight w:val="0"/>
      <w:marTop w:val="0"/>
      <w:marBottom w:val="0"/>
      <w:divBdr>
        <w:top w:val="none" w:sz="0" w:space="0" w:color="auto"/>
        <w:left w:val="none" w:sz="0" w:space="0" w:color="auto"/>
        <w:bottom w:val="none" w:sz="0" w:space="0" w:color="auto"/>
        <w:right w:val="none" w:sz="0" w:space="0" w:color="auto"/>
      </w:divBdr>
    </w:div>
    <w:div w:id="480317950">
      <w:bodyDiv w:val="1"/>
      <w:marLeft w:val="0"/>
      <w:marRight w:val="0"/>
      <w:marTop w:val="0"/>
      <w:marBottom w:val="0"/>
      <w:divBdr>
        <w:top w:val="none" w:sz="0" w:space="0" w:color="auto"/>
        <w:left w:val="none" w:sz="0" w:space="0" w:color="auto"/>
        <w:bottom w:val="none" w:sz="0" w:space="0" w:color="auto"/>
        <w:right w:val="none" w:sz="0" w:space="0" w:color="auto"/>
      </w:divBdr>
    </w:div>
    <w:div w:id="723262331">
      <w:bodyDiv w:val="1"/>
      <w:marLeft w:val="0"/>
      <w:marRight w:val="0"/>
      <w:marTop w:val="0"/>
      <w:marBottom w:val="0"/>
      <w:divBdr>
        <w:top w:val="none" w:sz="0" w:space="0" w:color="auto"/>
        <w:left w:val="none" w:sz="0" w:space="0" w:color="auto"/>
        <w:bottom w:val="none" w:sz="0" w:space="0" w:color="auto"/>
        <w:right w:val="none" w:sz="0" w:space="0" w:color="auto"/>
      </w:divBdr>
    </w:div>
    <w:div w:id="749929087">
      <w:bodyDiv w:val="1"/>
      <w:marLeft w:val="0"/>
      <w:marRight w:val="0"/>
      <w:marTop w:val="0"/>
      <w:marBottom w:val="0"/>
      <w:divBdr>
        <w:top w:val="none" w:sz="0" w:space="0" w:color="auto"/>
        <w:left w:val="none" w:sz="0" w:space="0" w:color="auto"/>
        <w:bottom w:val="none" w:sz="0" w:space="0" w:color="auto"/>
        <w:right w:val="none" w:sz="0" w:space="0" w:color="auto"/>
      </w:divBdr>
    </w:div>
    <w:div w:id="767114079">
      <w:bodyDiv w:val="1"/>
      <w:marLeft w:val="0"/>
      <w:marRight w:val="0"/>
      <w:marTop w:val="0"/>
      <w:marBottom w:val="0"/>
      <w:divBdr>
        <w:top w:val="none" w:sz="0" w:space="0" w:color="auto"/>
        <w:left w:val="none" w:sz="0" w:space="0" w:color="auto"/>
        <w:bottom w:val="none" w:sz="0" w:space="0" w:color="auto"/>
        <w:right w:val="none" w:sz="0" w:space="0" w:color="auto"/>
      </w:divBdr>
    </w:div>
    <w:div w:id="801770373">
      <w:bodyDiv w:val="1"/>
      <w:marLeft w:val="0"/>
      <w:marRight w:val="0"/>
      <w:marTop w:val="0"/>
      <w:marBottom w:val="0"/>
      <w:divBdr>
        <w:top w:val="none" w:sz="0" w:space="0" w:color="auto"/>
        <w:left w:val="none" w:sz="0" w:space="0" w:color="auto"/>
        <w:bottom w:val="none" w:sz="0" w:space="0" w:color="auto"/>
        <w:right w:val="none" w:sz="0" w:space="0" w:color="auto"/>
      </w:divBdr>
    </w:div>
    <w:div w:id="817376707">
      <w:bodyDiv w:val="1"/>
      <w:marLeft w:val="0"/>
      <w:marRight w:val="0"/>
      <w:marTop w:val="0"/>
      <w:marBottom w:val="0"/>
      <w:divBdr>
        <w:top w:val="none" w:sz="0" w:space="0" w:color="auto"/>
        <w:left w:val="none" w:sz="0" w:space="0" w:color="auto"/>
        <w:bottom w:val="none" w:sz="0" w:space="0" w:color="auto"/>
        <w:right w:val="none" w:sz="0" w:space="0" w:color="auto"/>
      </w:divBdr>
    </w:div>
    <w:div w:id="871655549">
      <w:bodyDiv w:val="1"/>
      <w:marLeft w:val="0"/>
      <w:marRight w:val="0"/>
      <w:marTop w:val="0"/>
      <w:marBottom w:val="0"/>
      <w:divBdr>
        <w:top w:val="none" w:sz="0" w:space="0" w:color="auto"/>
        <w:left w:val="none" w:sz="0" w:space="0" w:color="auto"/>
        <w:bottom w:val="none" w:sz="0" w:space="0" w:color="auto"/>
        <w:right w:val="none" w:sz="0" w:space="0" w:color="auto"/>
      </w:divBdr>
    </w:div>
    <w:div w:id="888155233">
      <w:bodyDiv w:val="1"/>
      <w:marLeft w:val="0"/>
      <w:marRight w:val="0"/>
      <w:marTop w:val="0"/>
      <w:marBottom w:val="0"/>
      <w:divBdr>
        <w:top w:val="none" w:sz="0" w:space="0" w:color="auto"/>
        <w:left w:val="none" w:sz="0" w:space="0" w:color="auto"/>
        <w:bottom w:val="none" w:sz="0" w:space="0" w:color="auto"/>
        <w:right w:val="none" w:sz="0" w:space="0" w:color="auto"/>
      </w:divBdr>
    </w:div>
    <w:div w:id="898129485">
      <w:bodyDiv w:val="1"/>
      <w:marLeft w:val="0"/>
      <w:marRight w:val="0"/>
      <w:marTop w:val="0"/>
      <w:marBottom w:val="0"/>
      <w:divBdr>
        <w:top w:val="none" w:sz="0" w:space="0" w:color="auto"/>
        <w:left w:val="none" w:sz="0" w:space="0" w:color="auto"/>
        <w:bottom w:val="none" w:sz="0" w:space="0" w:color="auto"/>
        <w:right w:val="none" w:sz="0" w:space="0" w:color="auto"/>
      </w:divBdr>
    </w:div>
    <w:div w:id="922910050">
      <w:bodyDiv w:val="1"/>
      <w:marLeft w:val="0"/>
      <w:marRight w:val="0"/>
      <w:marTop w:val="0"/>
      <w:marBottom w:val="0"/>
      <w:divBdr>
        <w:top w:val="none" w:sz="0" w:space="0" w:color="auto"/>
        <w:left w:val="none" w:sz="0" w:space="0" w:color="auto"/>
        <w:bottom w:val="none" w:sz="0" w:space="0" w:color="auto"/>
        <w:right w:val="none" w:sz="0" w:space="0" w:color="auto"/>
      </w:divBdr>
    </w:div>
    <w:div w:id="924727223">
      <w:bodyDiv w:val="1"/>
      <w:marLeft w:val="0"/>
      <w:marRight w:val="0"/>
      <w:marTop w:val="0"/>
      <w:marBottom w:val="0"/>
      <w:divBdr>
        <w:top w:val="none" w:sz="0" w:space="0" w:color="auto"/>
        <w:left w:val="none" w:sz="0" w:space="0" w:color="auto"/>
        <w:bottom w:val="none" w:sz="0" w:space="0" w:color="auto"/>
        <w:right w:val="none" w:sz="0" w:space="0" w:color="auto"/>
      </w:divBdr>
    </w:div>
    <w:div w:id="952052456">
      <w:bodyDiv w:val="1"/>
      <w:marLeft w:val="0"/>
      <w:marRight w:val="0"/>
      <w:marTop w:val="0"/>
      <w:marBottom w:val="0"/>
      <w:divBdr>
        <w:top w:val="none" w:sz="0" w:space="0" w:color="auto"/>
        <w:left w:val="none" w:sz="0" w:space="0" w:color="auto"/>
        <w:bottom w:val="none" w:sz="0" w:space="0" w:color="auto"/>
        <w:right w:val="none" w:sz="0" w:space="0" w:color="auto"/>
      </w:divBdr>
    </w:div>
    <w:div w:id="1031609817">
      <w:bodyDiv w:val="1"/>
      <w:marLeft w:val="0"/>
      <w:marRight w:val="0"/>
      <w:marTop w:val="0"/>
      <w:marBottom w:val="0"/>
      <w:divBdr>
        <w:top w:val="none" w:sz="0" w:space="0" w:color="auto"/>
        <w:left w:val="none" w:sz="0" w:space="0" w:color="auto"/>
        <w:bottom w:val="none" w:sz="0" w:space="0" w:color="auto"/>
        <w:right w:val="none" w:sz="0" w:space="0" w:color="auto"/>
      </w:divBdr>
    </w:div>
    <w:div w:id="1047870693">
      <w:bodyDiv w:val="1"/>
      <w:marLeft w:val="0"/>
      <w:marRight w:val="0"/>
      <w:marTop w:val="0"/>
      <w:marBottom w:val="0"/>
      <w:divBdr>
        <w:top w:val="none" w:sz="0" w:space="0" w:color="auto"/>
        <w:left w:val="none" w:sz="0" w:space="0" w:color="auto"/>
        <w:bottom w:val="none" w:sz="0" w:space="0" w:color="auto"/>
        <w:right w:val="none" w:sz="0" w:space="0" w:color="auto"/>
      </w:divBdr>
    </w:div>
    <w:div w:id="1242836437">
      <w:bodyDiv w:val="1"/>
      <w:marLeft w:val="0"/>
      <w:marRight w:val="0"/>
      <w:marTop w:val="0"/>
      <w:marBottom w:val="0"/>
      <w:divBdr>
        <w:top w:val="none" w:sz="0" w:space="0" w:color="auto"/>
        <w:left w:val="none" w:sz="0" w:space="0" w:color="auto"/>
        <w:bottom w:val="none" w:sz="0" w:space="0" w:color="auto"/>
        <w:right w:val="none" w:sz="0" w:space="0" w:color="auto"/>
      </w:divBdr>
    </w:div>
    <w:div w:id="1248463678">
      <w:bodyDiv w:val="1"/>
      <w:marLeft w:val="0"/>
      <w:marRight w:val="0"/>
      <w:marTop w:val="0"/>
      <w:marBottom w:val="0"/>
      <w:divBdr>
        <w:top w:val="none" w:sz="0" w:space="0" w:color="auto"/>
        <w:left w:val="none" w:sz="0" w:space="0" w:color="auto"/>
        <w:bottom w:val="none" w:sz="0" w:space="0" w:color="auto"/>
        <w:right w:val="none" w:sz="0" w:space="0" w:color="auto"/>
      </w:divBdr>
    </w:div>
    <w:div w:id="1250653147">
      <w:bodyDiv w:val="1"/>
      <w:marLeft w:val="0"/>
      <w:marRight w:val="0"/>
      <w:marTop w:val="0"/>
      <w:marBottom w:val="0"/>
      <w:divBdr>
        <w:top w:val="none" w:sz="0" w:space="0" w:color="auto"/>
        <w:left w:val="none" w:sz="0" w:space="0" w:color="auto"/>
        <w:bottom w:val="none" w:sz="0" w:space="0" w:color="auto"/>
        <w:right w:val="none" w:sz="0" w:space="0" w:color="auto"/>
      </w:divBdr>
    </w:div>
    <w:div w:id="1374697160">
      <w:bodyDiv w:val="1"/>
      <w:marLeft w:val="0"/>
      <w:marRight w:val="0"/>
      <w:marTop w:val="0"/>
      <w:marBottom w:val="0"/>
      <w:divBdr>
        <w:top w:val="none" w:sz="0" w:space="0" w:color="auto"/>
        <w:left w:val="none" w:sz="0" w:space="0" w:color="auto"/>
        <w:bottom w:val="none" w:sz="0" w:space="0" w:color="auto"/>
        <w:right w:val="none" w:sz="0" w:space="0" w:color="auto"/>
      </w:divBdr>
    </w:div>
    <w:div w:id="1382558724">
      <w:bodyDiv w:val="1"/>
      <w:marLeft w:val="0"/>
      <w:marRight w:val="0"/>
      <w:marTop w:val="0"/>
      <w:marBottom w:val="0"/>
      <w:divBdr>
        <w:top w:val="none" w:sz="0" w:space="0" w:color="auto"/>
        <w:left w:val="none" w:sz="0" w:space="0" w:color="auto"/>
        <w:bottom w:val="none" w:sz="0" w:space="0" w:color="auto"/>
        <w:right w:val="none" w:sz="0" w:space="0" w:color="auto"/>
      </w:divBdr>
    </w:div>
    <w:div w:id="1422600485">
      <w:bodyDiv w:val="1"/>
      <w:marLeft w:val="0"/>
      <w:marRight w:val="0"/>
      <w:marTop w:val="0"/>
      <w:marBottom w:val="0"/>
      <w:divBdr>
        <w:top w:val="none" w:sz="0" w:space="0" w:color="auto"/>
        <w:left w:val="none" w:sz="0" w:space="0" w:color="auto"/>
        <w:bottom w:val="none" w:sz="0" w:space="0" w:color="auto"/>
        <w:right w:val="none" w:sz="0" w:space="0" w:color="auto"/>
      </w:divBdr>
    </w:div>
    <w:div w:id="1470826157">
      <w:bodyDiv w:val="1"/>
      <w:marLeft w:val="0"/>
      <w:marRight w:val="0"/>
      <w:marTop w:val="0"/>
      <w:marBottom w:val="0"/>
      <w:divBdr>
        <w:top w:val="none" w:sz="0" w:space="0" w:color="auto"/>
        <w:left w:val="none" w:sz="0" w:space="0" w:color="auto"/>
        <w:bottom w:val="none" w:sz="0" w:space="0" w:color="auto"/>
        <w:right w:val="none" w:sz="0" w:space="0" w:color="auto"/>
      </w:divBdr>
    </w:div>
    <w:div w:id="1477914069">
      <w:bodyDiv w:val="1"/>
      <w:marLeft w:val="0"/>
      <w:marRight w:val="0"/>
      <w:marTop w:val="0"/>
      <w:marBottom w:val="0"/>
      <w:divBdr>
        <w:top w:val="none" w:sz="0" w:space="0" w:color="auto"/>
        <w:left w:val="none" w:sz="0" w:space="0" w:color="auto"/>
        <w:bottom w:val="none" w:sz="0" w:space="0" w:color="auto"/>
        <w:right w:val="none" w:sz="0" w:space="0" w:color="auto"/>
      </w:divBdr>
    </w:div>
    <w:div w:id="1529752478">
      <w:bodyDiv w:val="1"/>
      <w:marLeft w:val="0"/>
      <w:marRight w:val="0"/>
      <w:marTop w:val="0"/>
      <w:marBottom w:val="0"/>
      <w:divBdr>
        <w:top w:val="none" w:sz="0" w:space="0" w:color="auto"/>
        <w:left w:val="none" w:sz="0" w:space="0" w:color="auto"/>
        <w:bottom w:val="none" w:sz="0" w:space="0" w:color="auto"/>
        <w:right w:val="none" w:sz="0" w:space="0" w:color="auto"/>
      </w:divBdr>
    </w:div>
    <w:div w:id="1629820460">
      <w:bodyDiv w:val="1"/>
      <w:marLeft w:val="0"/>
      <w:marRight w:val="0"/>
      <w:marTop w:val="0"/>
      <w:marBottom w:val="0"/>
      <w:divBdr>
        <w:top w:val="none" w:sz="0" w:space="0" w:color="auto"/>
        <w:left w:val="none" w:sz="0" w:space="0" w:color="auto"/>
        <w:bottom w:val="none" w:sz="0" w:space="0" w:color="auto"/>
        <w:right w:val="none" w:sz="0" w:space="0" w:color="auto"/>
      </w:divBdr>
    </w:div>
    <w:div w:id="1646885167">
      <w:bodyDiv w:val="1"/>
      <w:marLeft w:val="0"/>
      <w:marRight w:val="0"/>
      <w:marTop w:val="0"/>
      <w:marBottom w:val="0"/>
      <w:divBdr>
        <w:top w:val="none" w:sz="0" w:space="0" w:color="auto"/>
        <w:left w:val="none" w:sz="0" w:space="0" w:color="auto"/>
        <w:bottom w:val="none" w:sz="0" w:space="0" w:color="auto"/>
        <w:right w:val="none" w:sz="0" w:space="0" w:color="auto"/>
      </w:divBdr>
    </w:div>
    <w:div w:id="1709376948">
      <w:bodyDiv w:val="1"/>
      <w:marLeft w:val="0"/>
      <w:marRight w:val="0"/>
      <w:marTop w:val="0"/>
      <w:marBottom w:val="0"/>
      <w:divBdr>
        <w:top w:val="none" w:sz="0" w:space="0" w:color="auto"/>
        <w:left w:val="none" w:sz="0" w:space="0" w:color="auto"/>
        <w:bottom w:val="none" w:sz="0" w:space="0" w:color="auto"/>
        <w:right w:val="none" w:sz="0" w:space="0" w:color="auto"/>
      </w:divBdr>
    </w:div>
    <w:div w:id="1744064571">
      <w:bodyDiv w:val="1"/>
      <w:marLeft w:val="0"/>
      <w:marRight w:val="0"/>
      <w:marTop w:val="0"/>
      <w:marBottom w:val="0"/>
      <w:divBdr>
        <w:top w:val="none" w:sz="0" w:space="0" w:color="auto"/>
        <w:left w:val="none" w:sz="0" w:space="0" w:color="auto"/>
        <w:bottom w:val="none" w:sz="0" w:space="0" w:color="auto"/>
        <w:right w:val="none" w:sz="0" w:space="0" w:color="auto"/>
      </w:divBdr>
    </w:div>
    <w:div w:id="1759323129">
      <w:bodyDiv w:val="1"/>
      <w:marLeft w:val="0"/>
      <w:marRight w:val="0"/>
      <w:marTop w:val="0"/>
      <w:marBottom w:val="0"/>
      <w:divBdr>
        <w:top w:val="none" w:sz="0" w:space="0" w:color="auto"/>
        <w:left w:val="none" w:sz="0" w:space="0" w:color="auto"/>
        <w:bottom w:val="none" w:sz="0" w:space="0" w:color="auto"/>
        <w:right w:val="none" w:sz="0" w:space="0" w:color="auto"/>
      </w:divBdr>
    </w:div>
    <w:div w:id="1826628191">
      <w:bodyDiv w:val="1"/>
      <w:marLeft w:val="0"/>
      <w:marRight w:val="0"/>
      <w:marTop w:val="0"/>
      <w:marBottom w:val="0"/>
      <w:divBdr>
        <w:top w:val="none" w:sz="0" w:space="0" w:color="auto"/>
        <w:left w:val="none" w:sz="0" w:space="0" w:color="auto"/>
        <w:bottom w:val="none" w:sz="0" w:space="0" w:color="auto"/>
        <w:right w:val="none" w:sz="0" w:space="0" w:color="auto"/>
      </w:divBdr>
    </w:div>
    <w:div w:id="1872498169">
      <w:bodyDiv w:val="1"/>
      <w:marLeft w:val="0"/>
      <w:marRight w:val="0"/>
      <w:marTop w:val="0"/>
      <w:marBottom w:val="0"/>
      <w:divBdr>
        <w:top w:val="none" w:sz="0" w:space="0" w:color="auto"/>
        <w:left w:val="none" w:sz="0" w:space="0" w:color="auto"/>
        <w:bottom w:val="none" w:sz="0" w:space="0" w:color="auto"/>
        <w:right w:val="none" w:sz="0" w:space="0" w:color="auto"/>
      </w:divBdr>
    </w:div>
    <w:div w:id="1929733658">
      <w:bodyDiv w:val="1"/>
      <w:marLeft w:val="0"/>
      <w:marRight w:val="0"/>
      <w:marTop w:val="0"/>
      <w:marBottom w:val="0"/>
      <w:divBdr>
        <w:top w:val="none" w:sz="0" w:space="0" w:color="auto"/>
        <w:left w:val="none" w:sz="0" w:space="0" w:color="auto"/>
        <w:bottom w:val="none" w:sz="0" w:space="0" w:color="auto"/>
        <w:right w:val="none" w:sz="0" w:space="0" w:color="auto"/>
      </w:divBdr>
    </w:div>
    <w:div w:id="2031487402">
      <w:bodyDiv w:val="1"/>
      <w:marLeft w:val="0"/>
      <w:marRight w:val="0"/>
      <w:marTop w:val="0"/>
      <w:marBottom w:val="0"/>
      <w:divBdr>
        <w:top w:val="none" w:sz="0" w:space="0" w:color="auto"/>
        <w:left w:val="none" w:sz="0" w:space="0" w:color="auto"/>
        <w:bottom w:val="none" w:sz="0" w:space="0" w:color="auto"/>
        <w:right w:val="none" w:sz="0" w:space="0" w:color="auto"/>
      </w:divBdr>
    </w:div>
    <w:div w:id="2123718319">
      <w:bodyDiv w:val="1"/>
      <w:marLeft w:val="0"/>
      <w:marRight w:val="0"/>
      <w:marTop w:val="0"/>
      <w:marBottom w:val="0"/>
      <w:divBdr>
        <w:top w:val="none" w:sz="0" w:space="0" w:color="auto"/>
        <w:left w:val="none" w:sz="0" w:space="0" w:color="auto"/>
        <w:bottom w:val="none" w:sz="0" w:space="0" w:color="auto"/>
        <w:right w:val="none" w:sz="0" w:space="0" w:color="auto"/>
      </w:divBdr>
    </w:div>
    <w:div w:id="212935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Steve.porter@fns.usda.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153BEC61D80344AC147B80D934BDFD" ma:contentTypeVersion="2" ma:contentTypeDescription="Create a new document." ma:contentTypeScope="" ma:versionID="14a5e6ad631fcf04b74043bfb0c12f9f">
  <xsd:schema xmlns:xsd="http://www.w3.org/2001/XMLSchema" xmlns:p="http://schemas.microsoft.com/office/2006/metadata/properties" xmlns:ns2="9dbcbb5a-2d39-43bd-b6c7-d27f844c7fb7" targetNamespace="http://schemas.microsoft.com/office/2006/metadata/properties" ma:root="true" ma:fieldsID="41d8cef941c44b07acba7b2f1d173e7b" ns2:_="">
    <xsd:import namespace="9dbcbb5a-2d39-43bd-b6c7-d27f844c7fb7"/>
    <xsd:element name="properties">
      <xsd:complexType>
        <xsd:sequence>
          <xsd:element name="documentManagement">
            <xsd:complexType>
              <xsd:all>
                <xsd:element ref="ns2:Rank" minOccurs="0"/>
                <xsd:element ref="ns2:Description0" minOccurs="0"/>
              </xsd:all>
            </xsd:complexType>
          </xsd:element>
        </xsd:sequence>
      </xsd:complexType>
    </xsd:element>
  </xsd:schema>
  <xsd:schema xmlns:xsd="http://www.w3.org/2001/XMLSchema" xmlns:dms="http://schemas.microsoft.com/office/2006/documentManagement/types" targetNamespace="9dbcbb5a-2d39-43bd-b6c7-d27f844c7fb7" elementFormDefault="qualified">
    <xsd:import namespace="http://schemas.microsoft.com/office/2006/documentManagement/types"/>
    <xsd:element name="Rank" ma:index="8" nillable="true" ma:displayName="Rank" ma:internalName="Rank">
      <xsd:simpleType>
        <xsd:restriction base="dms:Number"/>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Rank xmlns="9dbcbb5a-2d39-43bd-b6c7-d27f844c7fb7">2</Rank>
    <Description0 xmlns="9dbcbb5a-2d39-43bd-b6c7-d27f844c7fb7">Standard template for Part A</Description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818F4-65E6-4A53-8BA6-8D390C92C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cbb5a-2d39-43bd-b6c7-d27f844c7fb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5DD7420-095D-468C-BC80-9E7A41869B57}">
  <ds:schemaRefs>
    <ds:schemaRef ds:uri="http://schemas.microsoft.com/office/2006/metadata/properties"/>
    <ds:schemaRef ds:uri="9dbcbb5a-2d39-43bd-b6c7-d27f844c7fb7"/>
  </ds:schemaRefs>
</ds:datastoreItem>
</file>

<file path=customXml/itemProps3.xml><?xml version="1.0" encoding="utf-8"?>
<ds:datastoreItem xmlns:ds="http://schemas.openxmlformats.org/officeDocument/2006/customXml" ds:itemID="{2403C59E-8F3A-431A-BF85-36005A4BD2AB}">
  <ds:schemaRefs>
    <ds:schemaRef ds:uri="http://schemas.microsoft.com/sharepoint/v3/contenttype/forms"/>
  </ds:schemaRefs>
</ds:datastoreItem>
</file>

<file path=customXml/itemProps4.xml><?xml version="1.0" encoding="utf-8"?>
<ds:datastoreItem xmlns:ds="http://schemas.openxmlformats.org/officeDocument/2006/customXml" ds:itemID="{86656252-E07D-42C7-960A-DDE898B27177}">
  <ds:schemaRefs>
    <ds:schemaRef ds:uri="http://schemas.microsoft.com/office/2006/metadata/customXsn"/>
  </ds:schemaRefs>
</ds:datastoreItem>
</file>

<file path=customXml/itemProps5.xml><?xml version="1.0" encoding="utf-8"?>
<ds:datastoreItem xmlns:ds="http://schemas.openxmlformats.org/officeDocument/2006/customXml" ds:itemID="{E5D8BECA-0A6B-4FB7-AFC6-B7DEA53E1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4931</Words>
  <Characters>28107</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32973</CharactersWithSpaces>
  <SharedDoc>false</SharedDoc>
  <HLinks>
    <vt:vector size="6" baseType="variant">
      <vt:variant>
        <vt:i4>4849721</vt:i4>
      </vt:variant>
      <vt:variant>
        <vt:i4>0</vt:i4>
      </vt:variant>
      <vt:variant>
        <vt:i4>0</vt:i4>
      </vt:variant>
      <vt:variant>
        <vt:i4>5</vt:i4>
      </vt:variant>
      <vt:variant>
        <vt:lpwstr>http://www.bls.gov/oes/2008/may/oes_nat.htm</vt:lpwstr>
      </vt:variant>
      <vt:variant>
        <vt:lpwstr>b21-0000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creator>USDA</dc:creator>
  <cp:lastModifiedBy>CS</cp:lastModifiedBy>
  <cp:revision>4</cp:revision>
  <cp:lastPrinted>2015-05-28T22:38:00Z</cp:lastPrinted>
  <dcterms:created xsi:type="dcterms:W3CDTF">2015-06-03T21:04:00Z</dcterms:created>
  <dcterms:modified xsi:type="dcterms:W3CDTF">2015-06-03T21:08:00Z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0x010100E9153BEC61D80344AC147B80D934BDFD</vt:lpwstr>
  </property>
  <property fmtid="{D5CDD505-2E9C-101B-9397-08002B2CF9AE}" pid="3" name="Order">
    <vt:r8>500</vt:r8>
  </property>
</Properties>
</file>