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75763" w14:textId="5C5F1612" w:rsidR="001B4EC4" w:rsidRPr="00050326" w:rsidRDefault="00050326" w:rsidP="00F123FB">
      <w:pPr>
        <w:rPr>
          <w:rFonts w:ascii="Calibri" w:hAnsi="Calibri"/>
          <w:b/>
        </w:rPr>
      </w:pPr>
      <w:bookmarkStart w:id="0" w:name="_GoBack"/>
      <w:bookmarkEnd w:id="0"/>
      <w:r w:rsidRPr="00050326">
        <w:rPr>
          <w:rFonts w:ascii="Calibri" w:hAnsi="Calibri"/>
          <w:b/>
        </w:rPr>
        <w:t>MEMORANDUM</w:t>
      </w:r>
    </w:p>
    <w:p w14:paraId="4430537F" w14:textId="77777777" w:rsidR="00E379B2" w:rsidRPr="00DE2624" w:rsidRDefault="00E379B2" w:rsidP="00F123FB">
      <w:pPr>
        <w:rPr>
          <w:rFonts w:ascii="Calibri" w:hAnsi="Calibri"/>
          <w:b/>
        </w:rPr>
      </w:pPr>
    </w:p>
    <w:p w14:paraId="0D000382" w14:textId="3922D367" w:rsidR="00050326" w:rsidRPr="00B73D4B" w:rsidRDefault="00B70EEF" w:rsidP="00F123FB">
      <w:pPr>
        <w:rPr>
          <w:rFonts w:ascii="Calibri" w:hAnsi="Calibri"/>
        </w:rPr>
      </w:pPr>
      <w:r w:rsidRPr="00B73D4B">
        <w:rPr>
          <w:rFonts w:ascii="Calibri" w:hAnsi="Calibri"/>
        </w:rPr>
        <w:t>Date:</w:t>
      </w:r>
      <w:r w:rsidRPr="00B73D4B">
        <w:rPr>
          <w:rFonts w:ascii="Calibri" w:hAnsi="Calibri"/>
        </w:rPr>
        <w:tab/>
      </w:r>
      <w:r w:rsidRPr="00B73D4B">
        <w:rPr>
          <w:rFonts w:ascii="Calibri" w:hAnsi="Calibri"/>
        </w:rPr>
        <w:tab/>
        <w:t>January 22, 2015</w:t>
      </w:r>
    </w:p>
    <w:p w14:paraId="12B8084B" w14:textId="77777777" w:rsidR="00B70EEF" w:rsidRDefault="00B70EEF" w:rsidP="00F123FB">
      <w:pPr>
        <w:rPr>
          <w:rFonts w:ascii="Calibri" w:hAnsi="Calibri"/>
        </w:rPr>
      </w:pPr>
    </w:p>
    <w:p w14:paraId="549359EF" w14:textId="77777777" w:rsidR="00394427" w:rsidRPr="00DD4632" w:rsidRDefault="00C947B8" w:rsidP="00F123FB">
      <w:pPr>
        <w:rPr>
          <w:rFonts w:ascii="Calibri" w:hAnsi="Calibri"/>
          <w:color w:val="0000FF"/>
        </w:rPr>
      </w:pPr>
      <w:r w:rsidRPr="00B606D6">
        <w:rPr>
          <w:rFonts w:ascii="Calibri" w:hAnsi="Calibri"/>
          <w:b/>
        </w:rPr>
        <w:t>To:</w:t>
      </w:r>
      <w:r w:rsidRPr="009B796B">
        <w:rPr>
          <w:rFonts w:ascii="Calibri" w:hAnsi="Calibri"/>
        </w:rPr>
        <w:tab/>
      </w:r>
      <w:r w:rsidR="00666E68" w:rsidRPr="009B796B">
        <w:rPr>
          <w:rFonts w:ascii="Calibri" w:hAnsi="Calibri"/>
        </w:rPr>
        <w:tab/>
      </w:r>
      <w:r w:rsidR="00335CD1" w:rsidRPr="005A49AD">
        <w:rPr>
          <w:rFonts w:ascii="Calibri" w:hAnsi="Calibri"/>
        </w:rPr>
        <w:t>Margo Schwab</w:t>
      </w:r>
      <w:r w:rsidR="00F97D27" w:rsidRPr="005A49AD">
        <w:rPr>
          <w:rFonts w:ascii="Calibri" w:hAnsi="Calibri"/>
        </w:rPr>
        <w:t xml:space="preserve"> and Brian Harris-Kojetin</w:t>
      </w:r>
    </w:p>
    <w:p w14:paraId="33EDF925" w14:textId="77777777" w:rsidR="006E19EB" w:rsidRPr="009B796B" w:rsidRDefault="00394427" w:rsidP="00F123FB">
      <w:pPr>
        <w:rPr>
          <w:rFonts w:ascii="Calibri" w:hAnsi="Calibri"/>
        </w:rPr>
      </w:pPr>
      <w:r w:rsidRPr="009B796B">
        <w:rPr>
          <w:rFonts w:ascii="Calibri" w:hAnsi="Calibri"/>
        </w:rPr>
        <w:tab/>
      </w:r>
      <w:r w:rsidRPr="009B796B">
        <w:rPr>
          <w:rFonts w:ascii="Calibri" w:hAnsi="Calibri"/>
        </w:rPr>
        <w:tab/>
      </w:r>
      <w:r w:rsidR="006E19EB" w:rsidRPr="009B796B">
        <w:rPr>
          <w:rFonts w:ascii="Calibri" w:hAnsi="Calibri"/>
        </w:rPr>
        <w:t>Office of Management and Budget</w:t>
      </w:r>
    </w:p>
    <w:p w14:paraId="4B7BD9AE" w14:textId="77777777" w:rsidR="006E19EB" w:rsidRPr="009B796B" w:rsidRDefault="006E19EB" w:rsidP="00F123FB">
      <w:pPr>
        <w:rPr>
          <w:rFonts w:ascii="Calibri" w:hAnsi="Calibri"/>
        </w:rPr>
      </w:pPr>
    </w:p>
    <w:p w14:paraId="5BBEC847" w14:textId="6B8E9E4F" w:rsidR="00A8629C" w:rsidRPr="009B796B" w:rsidRDefault="00C947B8" w:rsidP="007A2445">
      <w:pPr>
        <w:ind w:left="1440" w:hanging="1440"/>
        <w:rPr>
          <w:rFonts w:ascii="Calibri" w:hAnsi="Calibri"/>
        </w:rPr>
      </w:pPr>
      <w:r w:rsidRPr="00B606D6">
        <w:rPr>
          <w:rFonts w:ascii="Calibri" w:hAnsi="Calibri"/>
          <w:b/>
        </w:rPr>
        <w:t>From:</w:t>
      </w:r>
      <w:r w:rsidRPr="00B606D6">
        <w:rPr>
          <w:rFonts w:ascii="Calibri" w:hAnsi="Calibri"/>
          <w:b/>
        </w:rPr>
        <w:tab/>
      </w:r>
      <w:r w:rsidR="00452E38" w:rsidRPr="00452E38">
        <w:rPr>
          <w:rFonts w:ascii="Calibri" w:hAnsi="Calibri"/>
        </w:rPr>
        <w:t>Joyce Abma (Contracting Officer’s Representative</w:t>
      </w:r>
      <w:r w:rsidR="00452E38">
        <w:rPr>
          <w:rFonts w:ascii="Calibri" w:hAnsi="Calibri"/>
        </w:rPr>
        <w:t xml:space="preserve">) and </w:t>
      </w:r>
      <w:r w:rsidR="007A2445">
        <w:rPr>
          <w:rFonts w:ascii="Calibri" w:hAnsi="Calibri"/>
        </w:rPr>
        <w:t>Anjani Chandra</w:t>
      </w:r>
      <w:r w:rsidR="00452E38">
        <w:rPr>
          <w:rFonts w:ascii="Calibri" w:hAnsi="Calibri"/>
        </w:rPr>
        <w:t xml:space="preserve"> (</w:t>
      </w:r>
      <w:r w:rsidR="007A2445">
        <w:rPr>
          <w:rFonts w:ascii="Calibri" w:hAnsi="Calibri"/>
        </w:rPr>
        <w:t>Team Leader, NSFG</w:t>
      </w:r>
      <w:r w:rsidR="00452E38">
        <w:rPr>
          <w:rFonts w:ascii="Calibri" w:hAnsi="Calibri"/>
        </w:rPr>
        <w:t>)</w:t>
      </w:r>
      <w:r w:rsidR="007A2445">
        <w:rPr>
          <w:rFonts w:ascii="Calibri" w:hAnsi="Calibri"/>
        </w:rPr>
        <w:t>, Reproductive Statistics Branch, NCHS</w:t>
      </w:r>
    </w:p>
    <w:p w14:paraId="41163D62" w14:textId="77777777" w:rsidR="00850E0F" w:rsidRPr="009B796B" w:rsidRDefault="00850E0F" w:rsidP="00F123FB">
      <w:pPr>
        <w:rPr>
          <w:rFonts w:ascii="Calibri" w:hAnsi="Calibri"/>
        </w:rPr>
      </w:pPr>
      <w:r w:rsidRPr="009B796B">
        <w:rPr>
          <w:rFonts w:ascii="Calibri" w:hAnsi="Calibri"/>
        </w:rPr>
        <w:tab/>
      </w:r>
      <w:r w:rsidRPr="009B796B">
        <w:rPr>
          <w:rFonts w:ascii="Calibri" w:hAnsi="Calibri"/>
        </w:rPr>
        <w:tab/>
      </w:r>
    </w:p>
    <w:p w14:paraId="150FD26A" w14:textId="1FA12016" w:rsidR="00664AB3" w:rsidRDefault="00D6666B" w:rsidP="00F123FB">
      <w:pPr>
        <w:rPr>
          <w:rFonts w:ascii="Calibri" w:hAnsi="Calibri"/>
        </w:rPr>
      </w:pPr>
      <w:r w:rsidRPr="00B606D6">
        <w:rPr>
          <w:rFonts w:ascii="Calibri" w:hAnsi="Calibri"/>
          <w:b/>
        </w:rPr>
        <w:t>Through:</w:t>
      </w:r>
      <w:r w:rsidRPr="009B796B">
        <w:rPr>
          <w:rFonts w:ascii="Calibri" w:hAnsi="Calibri"/>
        </w:rPr>
        <w:t xml:space="preserve"> </w:t>
      </w:r>
      <w:r w:rsidRPr="009B796B">
        <w:rPr>
          <w:rFonts w:ascii="Calibri" w:hAnsi="Calibri"/>
        </w:rPr>
        <w:tab/>
      </w:r>
      <w:r w:rsidR="00664AB3">
        <w:rPr>
          <w:rFonts w:ascii="Calibri" w:hAnsi="Calibri"/>
        </w:rPr>
        <w:t>Amy Branum, Chief, R</w:t>
      </w:r>
      <w:r w:rsidR="00515918">
        <w:rPr>
          <w:rFonts w:ascii="Calibri" w:hAnsi="Calibri"/>
        </w:rPr>
        <w:t>eproductive Statistics Branch</w:t>
      </w:r>
      <w:r w:rsidR="00664AB3">
        <w:rPr>
          <w:rFonts w:ascii="Calibri" w:hAnsi="Calibri"/>
        </w:rPr>
        <w:t>, NCHS</w:t>
      </w:r>
    </w:p>
    <w:p w14:paraId="1B07D80B" w14:textId="77777777" w:rsidR="00664AB3" w:rsidRDefault="00664AB3" w:rsidP="00F123FB">
      <w:pPr>
        <w:rPr>
          <w:rFonts w:ascii="Calibri" w:hAnsi="Calibri"/>
        </w:rPr>
      </w:pPr>
      <w:r>
        <w:rPr>
          <w:rFonts w:ascii="Calibri" w:hAnsi="Calibri"/>
        </w:rPr>
        <w:tab/>
      </w:r>
      <w:r>
        <w:rPr>
          <w:rFonts w:ascii="Calibri" w:hAnsi="Calibri"/>
        </w:rPr>
        <w:tab/>
        <w:t>Delton Atkinson, Director, D</w:t>
      </w:r>
      <w:r w:rsidR="00515918">
        <w:rPr>
          <w:rFonts w:ascii="Calibri" w:hAnsi="Calibri"/>
        </w:rPr>
        <w:t>ivision of Vital Statistics</w:t>
      </w:r>
      <w:r>
        <w:rPr>
          <w:rFonts w:ascii="Calibri" w:hAnsi="Calibri"/>
        </w:rPr>
        <w:t>, NCHS</w:t>
      </w:r>
    </w:p>
    <w:p w14:paraId="16F7E5EE" w14:textId="76B2BA5D" w:rsidR="00D6666B" w:rsidRPr="009B796B" w:rsidRDefault="00664AB3" w:rsidP="00F123FB">
      <w:pPr>
        <w:rPr>
          <w:rFonts w:ascii="Calibri" w:hAnsi="Calibri"/>
        </w:rPr>
      </w:pPr>
      <w:r>
        <w:rPr>
          <w:rFonts w:ascii="Calibri" w:hAnsi="Calibri"/>
          <w:color w:val="000000"/>
        </w:rPr>
        <w:tab/>
      </w:r>
      <w:r>
        <w:rPr>
          <w:rFonts w:ascii="Calibri" w:hAnsi="Calibri"/>
          <w:color w:val="000000"/>
        </w:rPr>
        <w:tab/>
      </w:r>
      <w:r w:rsidR="009B2FD8" w:rsidRPr="00345EA1">
        <w:rPr>
          <w:rFonts w:ascii="Calibri" w:hAnsi="Calibri"/>
          <w:color w:val="000000"/>
        </w:rPr>
        <w:t xml:space="preserve">Verita Buie, </w:t>
      </w:r>
      <w:r w:rsidR="00452E38">
        <w:rPr>
          <w:rFonts w:ascii="Calibri" w:hAnsi="Calibri"/>
          <w:color w:val="000000"/>
        </w:rPr>
        <w:t>OMB Clearance Liaison</w:t>
      </w:r>
      <w:r w:rsidR="00D6666B" w:rsidRPr="009B796B">
        <w:rPr>
          <w:rFonts w:ascii="Calibri" w:hAnsi="Calibri"/>
        </w:rPr>
        <w:t>, NCHS</w:t>
      </w:r>
    </w:p>
    <w:p w14:paraId="3F3C9D53" w14:textId="77777777" w:rsidR="00216A8C" w:rsidRPr="009B796B" w:rsidRDefault="00216A8C" w:rsidP="00F123FB">
      <w:pPr>
        <w:rPr>
          <w:rFonts w:ascii="Calibri" w:hAnsi="Calibri"/>
        </w:rPr>
      </w:pPr>
    </w:p>
    <w:p w14:paraId="136C4608" w14:textId="77777777" w:rsidR="00E117F8" w:rsidRPr="009B796B" w:rsidRDefault="00F123FB" w:rsidP="00C81D3E">
      <w:pPr>
        <w:ind w:left="1080" w:hanging="1080"/>
        <w:rPr>
          <w:rFonts w:ascii="Calibri" w:hAnsi="Calibri"/>
          <w:b/>
        </w:rPr>
      </w:pPr>
      <w:r w:rsidRPr="009B796B">
        <w:rPr>
          <w:rFonts w:ascii="Calibri" w:hAnsi="Calibri"/>
          <w:b/>
        </w:rPr>
        <w:t xml:space="preserve">Subject: </w:t>
      </w:r>
      <w:r w:rsidR="00C81D3E" w:rsidRPr="009B796B">
        <w:rPr>
          <w:rFonts w:ascii="Calibri" w:hAnsi="Calibri"/>
          <w:b/>
        </w:rPr>
        <w:tab/>
      </w:r>
      <w:r w:rsidR="00666E68" w:rsidRPr="009B796B">
        <w:rPr>
          <w:rFonts w:ascii="Calibri" w:hAnsi="Calibri"/>
          <w:b/>
        </w:rPr>
        <w:tab/>
      </w:r>
      <w:r w:rsidR="00E117F8" w:rsidRPr="009B796B">
        <w:rPr>
          <w:rFonts w:ascii="Calibri" w:hAnsi="Calibri"/>
          <w:b/>
        </w:rPr>
        <w:t xml:space="preserve">OMB Number </w:t>
      </w:r>
      <w:r w:rsidR="009B2FD8" w:rsidRPr="00345EA1">
        <w:rPr>
          <w:rFonts w:ascii="Calibri" w:hAnsi="Calibri"/>
          <w:b/>
          <w:color w:val="000000"/>
        </w:rPr>
        <w:t>0920-0314</w:t>
      </w:r>
    </w:p>
    <w:p w14:paraId="3BC76252" w14:textId="77777777" w:rsidR="00E925ED" w:rsidRPr="005A49AD" w:rsidRDefault="00E117F8" w:rsidP="00E925ED">
      <w:pPr>
        <w:ind w:left="1080" w:hanging="1080"/>
        <w:rPr>
          <w:rFonts w:ascii="Calibri" w:hAnsi="Calibri"/>
        </w:rPr>
      </w:pPr>
      <w:r w:rsidRPr="009B796B">
        <w:rPr>
          <w:rFonts w:ascii="Calibri" w:hAnsi="Calibri"/>
        </w:rPr>
        <w:tab/>
      </w:r>
      <w:r w:rsidRPr="009B796B">
        <w:rPr>
          <w:rFonts w:ascii="Calibri" w:hAnsi="Calibri"/>
        </w:rPr>
        <w:tab/>
      </w:r>
      <w:r w:rsidR="00641452" w:rsidRPr="005A49AD">
        <w:rPr>
          <w:rFonts w:ascii="Calibri" w:hAnsi="Calibri"/>
        </w:rPr>
        <w:t xml:space="preserve">Results of </w:t>
      </w:r>
      <w:r w:rsidR="00C81D3E" w:rsidRPr="005A49AD">
        <w:rPr>
          <w:rFonts w:ascii="Calibri" w:hAnsi="Calibri"/>
        </w:rPr>
        <w:t xml:space="preserve">Incentive </w:t>
      </w:r>
      <w:r w:rsidR="00641452" w:rsidRPr="005A49AD">
        <w:rPr>
          <w:rFonts w:ascii="Calibri" w:hAnsi="Calibri"/>
        </w:rPr>
        <w:t xml:space="preserve">Experiment in </w:t>
      </w:r>
      <w:r w:rsidR="00E379B2" w:rsidRPr="005A49AD">
        <w:rPr>
          <w:rFonts w:ascii="Calibri" w:hAnsi="Calibri"/>
        </w:rPr>
        <w:t>201</w:t>
      </w:r>
      <w:r w:rsidR="004232FC">
        <w:rPr>
          <w:rFonts w:ascii="Calibri" w:hAnsi="Calibri"/>
        </w:rPr>
        <w:t>3</w:t>
      </w:r>
      <w:r w:rsidR="00E379B2" w:rsidRPr="005A49AD">
        <w:rPr>
          <w:rFonts w:ascii="Calibri" w:hAnsi="Calibri"/>
        </w:rPr>
        <w:t>-201</w:t>
      </w:r>
      <w:r w:rsidR="000C14C6" w:rsidRPr="005A49AD">
        <w:rPr>
          <w:rFonts w:ascii="Calibri" w:hAnsi="Calibri"/>
        </w:rPr>
        <w:t>4</w:t>
      </w:r>
      <w:r w:rsidR="00E379B2" w:rsidRPr="005A49AD">
        <w:rPr>
          <w:rFonts w:ascii="Calibri" w:hAnsi="Calibri"/>
        </w:rPr>
        <w:t xml:space="preserve"> Continuous </w:t>
      </w:r>
      <w:r w:rsidR="00641452" w:rsidRPr="005A49AD">
        <w:rPr>
          <w:rFonts w:ascii="Calibri" w:hAnsi="Calibri"/>
        </w:rPr>
        <w:t>NSFG</w:t>
      </w:r>
    </w:p>
    <w:p w14:paraId="00210568" w14:textId="77777777" w:rsidR="00CA6BD6" w:rsidRDefault="00CA6BD6">
      <w:pPr>
        <w:rPr>
          <w:rFonts w:ascii="Calibri" w:hAnsi="Calibri"/>
        </w:rPr>
      </w:pPr>
    </w:p>
    <w:p w14:paraId="46DEA6B3" w14:textId="77777777" w:rsidR="00DE2624" w:rsidRPr="000C045C" w:rsidRDefault="00DE2624">
      <w:pPr>
        <w:rPr>
          <w:rFonts w:ascii="Calibri" w:hAnsi="Calibri"/>
        </w:rPr>
      </w:pPr>
    </w:p>
    <w:p w14:paraId="0DD912FE" w14:textId="77777777" w:rsidR="00A8629C" w:rsidRDefault="00A8629C" w:rsidP="00A8629C">
      <w:pPr>
        <w:rPr>
          <w:rFonts w:asciiTheme="minorHAnsi" w:eastAsiaTheme="minorHAnsi" w:hAnsiTheme="minorHAnsi" w:cstheme="minorBidi"/>
          <w:b/>
        </w:rPr>
      </w:pPr>
      <w:r>
        <w:rPr>
          <w:rFonts w:asciiTheme="minorHAnsi" w:eastAsiaTheme="minorHAnsi" w:hAnsiTheme="minorHAnsi" w:cstheme="minorBidi"/>
          <w:b/>
        </w:rPr>
        <w:t>BACKGROUND: EXPECTED FINDINGS</w:t>
      </w:r>
    </w:p>
    <w:p w14:paraId="16269B5B" w14:textId="77777777" w:rsidR="00064C07" w:rsidRDefault="00064C07" w:rsidP="00A8629C">
      <w:pPr>
        <w:rPr>
          <w:rFonts w:asciiTheme="minorHAnsi" w:eastAsiaTheme="minorHAnsi" w:hAnsiTheme="minorHAnsi" w:cstheme="minorBidi"/>
          <w:b/>
        </w:rPr>
      </w:pPr>
    </w:p>
    <w:p w14:paraId="6222AF59" w14:textId="6638B8D5" w:rsidR="00064C07" w:rsidRDefault="00064C07" w:rsidP="00A8629C">
      <w:pPr>
        <w:rPr>
          <w:rFonts w:asciiTheme="minorHAnsi" w:eastAsiaTheme="minorHAnsi" w:hAnsiTheme="minorHAnsi" w:cstheme="minorBidi"/>
        </w:rPr>
      </w:pPr>
      <w:r w:rsidRPr="00064C07">
        <w:rPr>
          <w:rFonts w:asciiTheme="minorHAnsi" w:eastAsiaTheme="minorHAnsi" w:hAnsiTheme="minorHAnsi" w:cstheme="minorBidi"/>
        </w:rPr>
        <w:t>The</w:t>
      </w:r>
      <w:r>
        <w:rPr>
          <w:rFonts w:asciiTheme="minorHAnsi" w:eastAsiaTheme="minorHAnsi" w:hAnsiTheme="minorHAnsi" w:cstheme="minorBidi"/>
        </w:rPr>
        <w:t xml:space="preserve"> N</w:t>
      </w:r>
      <w:r w:rsidR="00452E38">
        <w:rPr>
          <w:rFonts w:asciiTheme="minorHAnsi" w:eastAsiaTheme="minorHAnsi" w:hAnsiTheme="minorHAnsi" w:cstheme="minorBidi"/>
        </w:rPr>
        <w:t>ational Survey of Family Growth (N</w:t>
      </w:r>
      <w:r>
        <w:rPr>
          <w:rFonts w:asciiTheme="minorHAnsi" w:eastAsiaTheme="minorHAnsi" w:hAnsiTheme="minorHAnsi" w:cstheme="minorBidi"/>
        </w:rPr>
        <w:t>SFG</w:t>
      </w:r>
      <w:r w:rsidR="00452E38">
        <w:rPr>
          <w:rFonts w:asciiTheme="minorHAnsi" w:eastAsiaTheme="minorHAnsi" w:hAnsiTheme="minorHAnsi" w:cstheme="minorBidi"/>
        </w:rPr>
        <w:t>)</w:t>
      </w:r>
      <w:r>
        <w:rPr>
          <w:rFonts w:asciiTheme="minorHAnsi" w:eastAsiaTheme="minorHAnsi" w:hAnsiTheme="minorHAnsi" w:cstheme="minorBidi"/>
        </w:rPr>
        <w:t xml:space="preserve"> has been experimenting with different incentive amounts in Phase 1 since September 2013. The experiment randomized area segments to two different treatments (the current $40 or an experimental amount of $60). The Phase 2 incentive was the same for both arms</w:t>
      </w:r>
      <w:r w:rsidR="00AF71AF">
        <w:rPr>
          <w:rFonts w:asciiTheme="minorHAnsi" w:eastAsiaTheme="minorHAnsi" w:hAnsiTheme="minorHAnsi" w:cstheme="minorBidi"/>
        </w:rPr>
        <w:t xml:space="preserve">: </w:t>
      </w:r>
      <w:r>
        <w:rPr>
          <w:rFonts w:asciiTheme="minorHAnsi" w:eastAsiaTheme="minorHAnsi" w:hAnsiTheme="minorHAnsi" w:cstheme="minorBidi"/>
        </w:rPr>
        <w:t>all respondents received $80 for completing the interview. We have now completed four quarters of data collection under this experimental design.</w:t>
      </w:r>
    </w:p>
    <w:p w14:paraId="3997DC84" w14:textId="77777777" w:rsidR="00064C07" w:rsidRDefault="00064C07" w:rsidP="00A8629C">
      <w:pPr>
        <w:rPr>
          <w:rFonts w:asciiTheme="minorHAnsi" w:eastAsiaTheme="minorHAnsi" w:hAnsiTheme="minorHAnsi" w:cstheme="minorBidi"/>
        </w:rPr>
      </w:pPr>
    </w:p>
    <w:p w14:paraId="11F38BD9" w14:textId="534A2F41" w:rsidR="00064C07" w:rsidRDefault="00064C07" w:rsidP="00A8629C">
      <w:pPr>
        <w:rPr>
          <w:rFonts w:asciiTheme="minorHAnsi" w:eastAsiaTheme="minorHAnsi" w:hAnsiTheme="minorHAnsi" w:cstheme="minorBidi"/>
        </w:rPr>
      </w:pPr>
      <w:r>
        <w:rPr>
          <w:rFonts w:asciiTheme="minorHAnsi" w:eastAsiaTheme="minorHAnsi" w:hAnsiTheme="minorHAnsi" w:cstheme="minorBidi"/>
        </w:rPr>
        <w:t>At the beginning of the experiment, we hypothesized that this incentive change would increase response rates approximately 7%. We also expected there to be savings</w:t>
      </w:r>
      <w:r w:rsidR="009E244A">
        <w:rPr>
          <w:rFonts w:asciiTheme="minorHAnsi" w:eastAsiaTheme="minorHAnsi" w:hAnsiTheme="minorHAnsi" w:cstheme="minorBidi"/>
        </w:rPr>
        <w:t xml:space="preserve"> in effort</w:t>
      </w:r>
      <w:r>
        <w:rPr>
          <w:rFonts w:asciiTheme="minorHAnsi" w:eastAsiaTheme="minorHAnsi" w:hAnsiTheme="minorHAnsi" w:cstheme="minorBidi"/>
        </w:rPr>
        <w:t xml:space="preserve"> from an increased incentive</w:t>
      </w:r>
      <w:r w:rsidR="009E244A">
        <w:rPr>
          <w:rFonts w:asciiTheme="minorHAnsi" w:eastAsiaTheme="minorHAnsi" w:hAnsiTheme="minorHAnsi" w:cstheme="minorBidi"/>
        </w:rPr>
        <w:t xml:space="preserve"> such that the incentive would be, at least, cost neutral</w:t>
      </w:r>
      <w:r>
        <w:rPr>
          <w:rFonts w:asciiTheme="minorHAnsi" w:eastAsiaTheme="minorHAnsi" w:hAnsiTheme="minorHAnsi" w:cstheme="minorBidi"/>
        </w:rPr>
        <w:t>. At the time we proposed the experiment, we observed that interviewers were making more calls to produce fewer interviews. We presented the following information:</w:t>
      </w:r>
    </w:p>
    <w:p w14:paraId="6003B743" w14:textId="77777777" w:rsidR="009E244A" w:rsidRDefault="009E244A" w:rsidP="00A8629C">
      <w:pPr>
        <w:rPr>
          <w:rFonts w:asciiTheme="minorHAnsi" w:eastAsiaTheme="minorHAnsi" w:hAnsiTheme="minorHAnsi" w:cstheme="minorBidi"/>
        </w:rPr>
      </w:pPr>
    </w:p>
    <w:p w14:paraId="4ECFBA08" w14:textId="40FBD2B9" w:rsidR="00064C07" w:rsidRPr="00CE21B5" w:rsidRDefault="00064C07" w:rsidP="00064C07">
      <w:pPr>
        <w:rPr>
          <w:rFonts w:asciiTheme="minorHAnsi" w:hAnsiTheme="minorHAnsi"/>
          <w:b/>
          <w:u w:val="single"/>
        </w:rPr>
      </w:pP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b/>
          <w:u w:val="single"/>
        </w:rPr>
        <w:t>2006-</w:t>
      </w:r>
      <w:r w:rsidR="007A2445">
        <w:rPr>
          <w:rFonts w:asciiTheme="minorHAnsi" w:hAnsiTheme="minorHAnsi"/>
          <w:b/>
          <w:u w:val="single"/>
        </w:rPr>
        <w:t>20</w:t>
      </w:r>
      <w:r w:rsidRPr="00CE21B5">
        <w:rPr>
          <w:rFonts w:asciiTheme="minorHAnsi" w:hAnsiTheme="minorHAnsi"/>
          <w:b/>
          <w:u w:val="single"/>
        </w:rPr>
        <w:t>10</w:t>
      </w:r>
      <w:r w:rsidRPr="00CE21B5">
        <w:rPr>
          <w:rFonts w:asciiTheme="minorHAnsi" w:hAnsiTheme="minorHAnsi"/>
        </w:rPr>
        <w:tab/>
      </w:r>
      <w:r w:rsidRPr="00CE21B5">
        <w:rPr>
          <w:rFonts w:asciiTheme="minorHAnsi" w:hAnsiTheme="minorHAnsi"/>
          <w:b/>
          <w:u w:val="single"/>
        </w:rPr>
        <w:t>2011-2012</w:t>
      </w:r>
    </w:p>
    <w:p w14:paraId="12209130" w14:textId="77777777" w:rsidR="00064C07" w:rsidRPr="00CE21B5" w:rsidRDefault="00064C07" w:rsidP="00064C07">
      <w:pPr>
        <w:rPr>
          <w:rFonts w:asciiTheme="minorHAnsi" w:hAnsiTheme="minorHAnsi"/>
        </w:rPr>
      </w:pPr>
      <w:r w:rsidRPr="00CE21B5">
        <w:rPr>
          <w:rFonts w:asciiTheme="minorHAnsi" w:hAnsiTheme="minorHAnsi"/>
        </w:rPr>
        <w:t xml:space="preserve">Hours of labor per interview:  </w:t>
      </w:r>
      <w:r w:rsidRPr="00CE21B5">
        <w:rPr>
          <w:rFonts w:asciiTheme="minorHAnsi" w:hAnsiTheme="minorHAnsi"/>
        </w:rPr>
        <w:tab/>
      </w:r>
      <w:r w:rsidRPr="00CE21B5">
        <w:rPr>
          <w:rFonts w:asciiTheme="minorHAnsi" w:hAnsiTheme="minorHAnsi"/>
        </w:rPr>
        <w:tab/>
        <w:t>9.1 hours</w:t>
      </w:r>
      <w:r w:rsidRPr="00CE21B5">
        <w:rPr>
          <w:rFonts w:asciiTheme="minorHAnsi" w:hAnsiTheme="minorHAnsi"/>
        </w:rPr>
        <w:tab/>
        <w:t xml:space="preserve">  9.5 hours</w:t>
      </w:r>
    </w:p>
    <w:p w14:paraId="066E8E78" w14:textId="77777777" w:rsidR="00064C07" w:rsidRPr="00CE21B5" w:rsidRDefault="00064C07" w:rsidP="00064C07">
      <w:pPr>
        <w:rPr>
          <w:rFonts w:asciiTheme="minorHAnsi" w:hAnsiTheme="minorHAnsi"/>
        </w:rPr>
      </w:pPr>
      <w:r w:rsidRPr="00CE21B5">
        <w:rPr>
          <w:rFonts w:asciiTheme="minorHAnsi" w:hAnsiTheme="minorHAnsi"/>
        </w:rPr>
        <w:t>Average no. of visits to HH per interview:</w:t>
      </w:r>
      <w:r w:rsidRPr="00CE21B5">
        <w:rPr>
          <w:rFonts w:asciiTheme="minorHAnsi" w:hAnsiTheme="minorHAnsi"/>
        </w:rPr>
        <w:tab/>
        <w:t xml:space="preserve"> 7.1 visits</w:t>
      </w:r>
      <w:r w:rsidRPr="00CE21B5">
        <w:rPr>
          <w:rFonts w:asciiTheme="minorHAnsi" w:hAnsiTheme="minorHAnsi"/>
        </w:rPr>
        <w:tab/>
        <w:t xml:space="preserve">   8.1 visits</w:t>
      </w:r>
    </w:p>
    <w:p w14:paraId="5A5C55A1" w14:textId="77777777" w:rsidR="00064C07" w:rsidRPr="00CE21B5" w:rsidRDefault="00064C07" w:rsidP="00064C07">
      <w:pPr>
        <w:rPr>
          <w:rFonts w:asciiTheme="minorHAnsi" w:hAnsiTheme="minorHAnsi"/>
        </w:rPr>
      </w:pPr>
      <w:r w:rsidRPr="00CE21B5">
        <w:rPr>
          <w:rFonts w:asciiTheme="minorHAnsi" w:hAnsiTheme="minorHAnsi"/>
        </w:rPr>
        <w:t xml:space="preserve">Response rate:   </w:t>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t xml:space="preserve">   76.6%</w:t>
      </w:r>
      <w:r w:rsidRPr="00CE21B5">
        <w:rPr>
          <w:rFonts w:asciiTheme="minorHAnsi" w:hAnsiTheme="minorHAnsi"/>
        </w:rPr>
        <w:tab/>
        <w:t xml:space="preserve">   72.7%</w:t>
      </w:r>
    </w:p>
    <w:p w14:paraId="704CD9E5" w14:textId="77777777" w:rsidR="00064C07" w:rsidRDefault="00064C07" w:rsidP="00A8629C">
      <w:pPr>
        <w:rPr>
          <w:rFonts w:asciiTheme="minorHAnsi" w:eastAsiaTheme="minorHAnsi" w:hAnsiTheme="minorHAnsi" w:cstheme="minorBidi"/>
        </w:rPr>
      </w:pPr>
    </w:p>
    <w:p w14:paraId="234DD8A2" w14:textId="77A6FE17" w:rsidR="00064C07" w:rsidRDefault="00064C07" w:rsidP="00A8629C">
      <w:pPr>
        <w:rPr>
          <w:rFonts w:asciiTheme="minorHAnsi" w:eastAsiaTheme="minorHAnsi" w:hAnsiTheme="minorHAnsi" w:cstheme="minorBidi"/>
        </w:rPr>
      </w:pPr>
      <w:r>
        <w:rPr>
          <w:rFonts w:asciiTheme="minorHAnsi" w:eastAsiaTheme="minorHAnsi" w:hAnsiTheme="minorHAnsi" w:cstheme="minorBidi"/>
        </w:rPr>
        <w:t>It was our hope that an increased incentive would increase both efficiency and response rates.</w:t>
      </w:r>
    </w:p>
    <w:p w14:paraId="35272B9A" w14:textId="77777777" w:rsidR="00064C07" w:rsidRDefault="00064C07" w:rsidP="00A8629C">
      <w:pPr>
        <w:rPr>
          <w:rFonts w:asciiTheme="minorHAnsi" w:eastAsiaTheme="minorHAnsi" w:hAnsiTheme="minorHAnsi" w:cstheme="minorBidi"/>
        </w:rPr>
      </w:pPr>
    </w:p>
    <w:p w14:paraId="5C6E9D6F" w14:textId="641105A4" w:rsidR="00064C07" w:rsidRDefault="00064C07" w:rsidP="00A8629C">
      <w:pPr>
        <w:rPr>
          <w:rFonts w:asciiTheme="minorHAnsi" w:eastAsiaTheme="minorHAnsi" w:hAnsiTheme="minorHAnsi" w:cstheme="minorBidi"/>
        </w:rPr>
      </w:pPr>
      <w:r>
        <w:rPr>
          <w:rFonts w:asciiTheme="minorHAnsi" w:eastAsiaTheme="minorHAnsi" w:hAnsiTheme="minorHAnsi" w:cstheme="minorBidi"/>
        </w:rPr>
        <w:t xml:space="preserve">Finally, with respect to who would be recruited by the new protocol, we noted that during the </w:t>
      </w:r>
      <w:r w:rsidR="00CE21B5">
        <w:rPr>
          <w:rFonts w:asciiTheme="minorHAnsi" w:eastAsiaTheme="minorHAnsi" w:hAnsiTheme="minorHAnsi" w:cstheme="minorBidi"/>
        </w:rPr>
        <w:t>current</w:t>
      </w:r>
      <w:r>
        <w:rPr>
          <w:rFonts w:asciiTheme="minorHAnsi" w:eastAsiaTheme="minorHAnsi" w:hAnsiTheme="minorHAnsi" w:cstheme="minorBidi"/>
        </w:rPr>
        <w:t xml:space="preserve"> cycle, we had </w:t>
      </w:r>
      <w:r w:rsidR="00CE21B5">
        <w:rPr>
          <w:rFonts w:asciiTheme="minorHAnsi" w:eastAsiaTheme="minorHAnsi" w:hAnsiTheme="minorHAnsi" w:cstheme="minorBidi"/>
        </w:rPr>
        <w:t xml:space="preserve">continued to </w:t>
      </w:r>
      <w:r>
        <w:rPr>
          <w:rFonts w:asciiTheme="minorHAnsi" w:eastAsiaTheme="minorHAnsi" w:hAnsiTheme="minorHAnsi" w:cstheme="minorBidi"/>
        </w:rPr>
        <w:t>be very successful at recruiting</w:t>
      </w:r>
      <w:r w:rsidR="00CE21B5">
        <w:rPr>
          <w:rFonts w:asciiTheme="minorHAnsi" w:eastAsiaTheme="minorHAnsi" w:hAnsiTheme="minorHAnsi" w:cstheme="minorBidi"/>
        </w:rPr>
        <w:t xml:space="preserve"> Hispanic respondents. However, response rates for White/Other </w:t>
      </w:r>
      <w:r w:rsidR="00FE1B1C">
        <w:rPr>
          <w:rFonts w:asciiTheme="minorHAnsi" w:eastAsiaTheme="minorHAnsi" w:hAnsiTheme="minorHAnsi" w:cstheme="minorBidi"/>
        </w:rPr>
        <w:t xml:space="preserve">and Black </w:t>
      </w:r>
      <w:r w:rsidR="00CE21B5">
        <w:rPr>
          <w:rFonts w:asciiTheme="minorHAnsi" w:eastAsiaTheme="minorHAnsi" w:hAnsiTheme="minorHAnsi" w:cstheme="minorBidi"/>
        </w:rPr>
        <w:t>respondents, particularly males, had fallen compared to our experience in a previous cycle.</w:t>
      </w:r>
    </w:p>
    <w:p w14:paraId="3663AF08" w14:textId="13E5FA4B" w:rsidR="00B24EDE" w:rsidRDefault="00B24EDE">
      <w:r>
        <w:br w:type="page"/>
      </w:r>
    </w:p>
    <w:p w14:paraId="293E8A05" w14:textId="2129E347" w:rsidR="00CE21B5" w:rsidRPr="00CE21B5" w:rsidRDefault="00CE21B5" w:rsidP="00CE21B5">
      <w:pPr>
        <w:rPr>
          <w:rFonts w:asciiTheme="minorHAnsi" w:hAnsiTheme="minorHAnsi"/>
        </w:rPr>
      </w:pPr>
      <w:r w:rsidRPr="00CE21B5">
        <w:rPr>
          <w:rFonts w:asciiTheme="minorHAnsi" w:hAnsiTheme="minorHAnsi"/>
        </w:rPr>
        <w:lastRenderedPageBreak/>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b/>
          <w:u w:val="single"/>
        </w:rPr>
        <w:t>2006-</w:t>
      </w:r>
      <w:r w:rsidR="007A2445">
        <w:rPr>
          <w:rFonts w:asciiTheme="minorHAnsi" w:hAnsiTheme="minorHAnsi"/>
          <w:b/>
          <w:u w:val="single"/>
        </w:rPr>
        <w:t>20</w:t>
      </w:r>
      <w:r w:rsidRPr="00CE21B5">
        <w:rPr>
          <w:rFonts w:asciiTheme="minorHAnsi" w:hAnsiTheme="minorHAnsi"/>
          <w:b/>
          <w:u w:val="single"/>
        </w:rPr>
        <w:t>10</w:t>
      </w:r>
      <w:r w:rsidRPr="00CE21B5">
        <w:rPr>
          <w:rFonts w:asciiTheme="minorHAnsi" w:hAnsiTheme="minorHAnsi"/>
        </w:rPr>
        <w:tab/>
        <w:t xml:space="preserve">   </w:t>
      </w:r>
      <w:r w:rsidRPr="00CE21B5">
        <w:rPr>
          <w:rFonts w:asciiTheme="minorHAnsi" w:hAnsiTheme="minorHAnsi"/>
          <w:b/>
          <w:u w:val="single"/>
        </w:rPr>
        <w:t>2011-</w:t>
      </w:r>
      <w:r w:rsidR="007A2445">
        <w:rPr>
          <w:rFonts w:asciiTheme="minorHAnsi" w:hAnsiTheme="minorHAnsi"/>
          <w:b/>
          <w:u w:val="single"/>
        </w:rPr>
        <w:t>20</w:t>
      </w:r>
      <w:r w:rsidRPr="00CE21B5">
        <w:rPr>
          <w:rFonts w:asciiTheme="minorHAnsi" w:hAnsiTheme="minorHAnsi"/>
          <w:b/>
          <w:u w:val="single"/>
        </w:rPr>
        <w:t>12</w:t>
      </w:r>
    </w:p>
    <w:p w14:paraId="5F419990" w14:textId="77777777" w:rsidR="00CE21B5" w:rsidRPr="00CE21B5" w:rsidRDefault="00CE21B5" w:rsidP="00CE21B5">
      <w:pPr>
        <w:rPr>
          <w:rFonts w:asciiTheme="minorHAnsi" w:hAnsiTheme="minorHAnsi"/>
        </w:rPr>
      </w:pPr>
      <w:r w:rsidRPr="00CE21B5">
        <w:rPr>
          <w:rFonts w:asciiTheme="minorHAnsi" w:hAnsiTheme="minorHAnsi"/>
          <w:b/>
        </w:rPr>
        <w:t>Male</w:t>
      </w:r>
      <w:r w:rsidRPr="00CE21B5">
        <w:rPr>
          <w:rFonts w:asciiTheme="minorHAnsi" w:hAnsiTheme="minorHAnsi"/>
          <w:b/>
        </w:rPr>
        <w:tab/>
      </w:r>
      <w:r w:rsidRPr="00CE21B5">
        <w:rPr>
          <w:rFonts w:asciiTheme="minorHAnsi" w:hAnsiTheme="minorHAnsi"/>
          <w:b/>
        </w:rPr>
        <w:tab/>
      </w:r>
      <w:r w:rsidRPr="00CE21B5">
        <w:rPr>
          <w:rFonts w:asciiTheme="minorHAnsi" w:hAnsiTheme="minorHAnsi"/>
          <w:b/>
        </w:rPr>
        <w:tab/>
      </w:r>
      <w:r w:rsidRPr="00CE21B5">
        <w:rPr>
          <w:rFonts w:asciiTheme="minorHAnsi" w:hAnsiTheme="minorHAnsi"/>
          <w:b/>
        </w:rPr>
        <w:tab/>
      </w:r>
      <w:r w:rsidRPr="00CE21B5">
        <w:rPr>
          <w:rFonts w:asciiTheme="minorHAnsi" w:hAnsiTheme="minorHAnsi"/>
          <w:b/>
        </w:rPr>
        <w:tab/>
      </w:r>
      <w:r w:rsidRPr="00CE21B5">
        <w:rPr>
          <w:rFonts w:asciiTheme="minorHAnsi" w:hAnsiTheme="minorHAnsi"/>
        </w:rPr>
        <w:tab/>
      </w:r>
      <w:r w:rsidRPr="00CE21B5">
        <w:rPr>
          <w:rFonts w:asciiTheme="minorHAnsi" w:hAnsiTheme="minorHAnsi"/>
          <w:b/>
        </w:rPr>
        <w:t>75%</w:t>
      </w:r>
      <w:r w:rsidRPr="00CE21B5">
        <w:rPr>
          <w:rFonts w:asciiTheme="minorHAnsi" w:hAnsiTheme="minorHAnsi"/>
          <w:b/>
        </w:rPr>
        <w:tab/>
      </w:r>
      <w:r w:rsidRPr="00CE21B5">
        <w:rPr>
          <w:rFonts w:asciiTheme="minorHAnsi" w:hAnsiTheme="minorHAnsi"/>
          <w:b/>
        </w:rPr>
        <w:tab/>
        <w:t xml:space="preserve">    72%</w:t>
      </w:r>
      <w:r w:rsidRPr="00CE21B5">
        <w:rPr>
          <w:rFonts w:asciiTheme="minorHAnsi" w:hAnsiTheme="minorHAnsi"/>
        </w:rPr>
        <w:tab/>
      </w:r>
      <w:r w:rsidRPr="00CE21B5">
        <w:rPr>
          <w:rFonts w:asciiTheme="minorHAnsi" w:hAnsiTheme="minorHAnsi"/>
        </w:rPr>
        <w:tab/>
        <w:t xml:space="preserve">   </w:t>
      </w:r>
    </w:p>
    <w:p w14:paraId="72AD088B" w14:textId="77777777" w:rsidR="00CE21B5" w:rsidRPr="00CE21B5" w:rsidRDefault="00CE21B5" w:rsidP="00CE21B5">
      <w:pPr>
        <w:rPr>
          <w:rFonts w:asciiTheme="minorHAnsi" w:hAnsiTheme="minorHAnsi"/>
          <w:b/>
        </w:rPr>
      </w:pPr>
      <w:r w:rsidRPr="00CE21B5">
        <w:rPr>
          <w:rFonts w:asciiTheme="minorHAnsi" w:hAnsiTheme="minorHAnsi"/>
        </w:rPr>
        <w:t>Black</w:t>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b/>
        </w:rPr>
        <w:t>77%</w:t>
      </w:r>
      <w:r w:rsidRPr="00CE21B5">
        <w:rPr>
          <w:rFonts w:asciiTheme="minorHAnsi" w:hAnsiTheme="minorHAnsi"/>
          <w:b/>
        </w:rPr>
        <w:tab/>
      </w:r>
      <w:r w:rsidRPr="00CE21B5">
        <w:rPr>
          <w:rFonts w:asciiTheme="minorHAnsi" w:hAnsiTheme="minorHAnsi"/>
          <w:b/>
        </w:rPr>
        <w:tab/>
        <w:t xml:space="preserve">    73%</w:t>
      </w:r>
    </w:p>
    <w:p w14:paraId="732DB787" w14:textId="77777777" w:rsidR="00CE21B5" w:rsidRPr="00CE21B5" w:rsidRDefault="00CE21B5" w:rsidP="00CE21B5">
      <w:pPr>
        <w:rPr>
          <w:rFonts w:asciiTheme="minorHAnsi" w:hAnsiTheme="minorHAnsi"/>
        </w:rPr>
      </w:pPr>
      <w:r w:rsidRPr="00CE21B5">
        <w:rPr>
          <w:rFonts w:asciiTheme="minorHAnsi" w:hAnsiTheme="minorHAnsi"/>
        </w:rPr>
        <w:t>Hispanic</w:t>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t>74%</w:t>
      </w:r>
      <w:r w:rsidRPr="00CE21B5">
        <w:rPr>
          <w:rFonts w:asciiTheme="minorHAnsi" w:hAnsiTheme="minorHAnsi"/>
        </w:rPr>
        <w:tab/>
      </w:r>
      <w:r w:rsidRPr="00CE21B5">
        <w:rPr>
          <w:rFonts w:asciiTheme="minorHAnsi" w:hAnsiTheme="minorHAnsi"/>
        </w:rPr>
        <w:tab/>
        <w:t xml:space="preserve">    73%</w:t>
      </w:r>
    </w:p>
    <w:p w14:paraId="3BE699A0" w14:textId="77777777" w:rsidR="00CE21B5" w:rsidRPr="00CE21B5" w:rsidRDefault="00CE21B5" w:rsidP="00CE21B5">
      <w:pPr>
        <w:rPr>
          <w:rFonts w:asciiTheme="minorHAnsi" w:hAnsiTheme="minorHAnsi"/>
          <w:b/>
        </w:rPr>
      </w:pPr>
      <w:r w:rsidRPr="00CE21B5">
        <w:rPr>
          <w:rFonts w:asciiTheme="minorHAnsi" w:hAnsiTheme="minorHAnsi"/>
        </w:rPr>
        <w:t>White &amp; other</w:t>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b/>
        </w:rPr>
        <w:t>75%</w:t>
      </w:r>
      <w:r w:rsidRPr="00CE21B5">
        <w:rPr>
          <w:rFonts w:asciiTheme="minorHAnsi" w:hAnsiTheme="minorHAnsi"/>
          <w:b/>
        </w:rPr>
        <w:tab/>
      </w:r>
      <w:r w:rsidRPr="00CE21B5">
        <w:rPr>
          <w:rFonts w:asciiTheme="minorHAnsi" w:hAnsiTheme="minorHAnsi"/>
          <w:b/>
        </w:rPr>
        <w:tab/>
        <w:t xml:space="preserve">    72%</w:t>
      </w:r>
    </w:p>
    <w:p w14:paraId="18A0520A" w14:textId="77777777" w:rsidR="00CE21B5" w:rsidRPr="00CE21B5" w:rsidRDefault="00CE21B5" w:rsidP="00CE21B5">
      <w:pPr>
        <w:rPr>
          <w:rFonts w:asciiTheme="minorHAnsi" w:hAnsiTheme="minorHAnsi"/>
          <w:b/>
        </w:rPr>
      </w:pPr>
    </w:p>
    <w:p w14:paraId="597804FA" w14:textId="77777777" w:rsidR="00CE21B5" w:rsidRPr="00CE21B5" w:rsidRDefault="00CE21B5" w:rsidP="00CE21B5">
      <w:pPr>
        <w:rPr>
          <w:rFonts w:asciiTheme="minorHAnsi" w:hAnsiTheme="minorHAnsi"/>
          <w:b/>
        </w:rPr>
      </w:pPr>
      <w:r w:rsidRPr="00CE21B5">
        <w:rPr>
          <w:rFonts w:asciiTheme="minorHAnsi" w:hAnsiTheme="minorHAnsi"/>
          <w:b/>
        </w:rPr>
        <w:t>Female</w:t>
      </w:r>
      <w:r w:rsidRPr="00CE21B5">
        <w:rPr>
          <w:rFonts w:asciiTheme="minorHAnsi" w:hAnsiTheme="minorHAnsi"/>
          <w:b/>
        </w:rPr>
        <w:tab/>
      </w:r>
      <w:r w:rsidRPr="00CE21B5">
        <w:rPr>
          <w:rFonts w:asciiTheme="minorHAnsi" w:hAnsiTheme="minorHAnsi"/>
          <w:b/>
        </w:rPr>
        <w:tab/>
      </w:r>
      <w:r w:rsidRPr="00CE21B5">
        <w:rPr>
          <w:rFonts w:asciiTheme="minorHAnsi" w:hAnsiTheme="minorHAnsi"/>
          <w:b/>
        </w:rPr>
        <w:tab/>
      </w:r>
      <w:r w:rsidRPr="00CE21B5">
        <w:rPr>
          <w:rFonts w:asciiTheme="minorHAnsi" w:hAnsiTheme="minorHAnsi"/>
          <w:b/>
        </w:rPr>
        <w:tab/>
      </w:r>
      <w:r w:rsidRPr="00CE21B5">
        <w:rPr>
          <w:rFonts w:asciiTheme="minorHAnsi" w:hAnsiTheme="minorHAnsi"/>
          <w:b/>
        </w:rPr>
        <w:tab/>
        <w:t>78%</w:t>
      </w:r>
      <w:r w:rsidRPr="00CE21B5">
        <w:rPr>
          <w:rFonts w:asciiTheme="minorHAnsi" w:hAnsiTheme="minorHAnsi"/>
          <w:b/>
        </w:rPr>
        <w:tab/>
      </w:r>
      <w:r w:rsidRPr="00CE21B5">
        <w:rPr>
          <w:rFonts w:asciiTheme="minorHAnsi" w:hAnsiTheme="minorHAnsi"/>
          <w:b/>
        </w:rPr>
        <w:tab/>
        <w:t xml:space="preserve">    73%</w:t>
      </w:r>
    </w:p>
    <w:p w14:paraId="6C63BF43" w14:textId="77777777" w:rsidR="00CE21B5" w:rsidRPr="00CE21B5" w:rsidRDefault="00CE21B5" w:rsidP="00CE21B5">
      <w:pPr>
        <w:rPr>
          <w:rFonts w:asciiTheme="minorHAnsi" w:hAnsiTheme="minorHAnsi"/>
        </w:rPr>
      </w:pPr>
      <w:r w:rsidRPr="00CE21B5">
        <w:rPr>
          <w:rFonts w:asciiTheme="minorHAnsi" w:hAnsiTheme="minorHAnsi"/>
        </w:rPr>
        <w:t>Black</w:t>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t>81%</w:t>
      </w:r>
      <w:r w:rsidRPr="00CE21B5">
        <w:rPr>
          <w:rFonts w:asciiTheme="minorHAnsi" w:hAnsiTheme="minorHAnsi"/>
        </w:rPr>
        <w:tab/>
      </w:r>
      <w:r w:rsidRPr="00CE21B5">
        <w:rPr>
          <w:rFonts w:asciiTheme="minorHAnsi" w:hAnsiTheme="minorHAnsi"/>
        </w:rPr>
        <w:tab/>
        <w:t xml:space="preserve">    77%</w:t>
      </w:r>
    </w:p>
    <w:p w14:paraId="49AD6261" w14:textId="77777777" w:rsidR="00CE21B5" w:rsidRPr="00CE21B5" w:rsidRDefault="00CE21B5" w:rsidP="00CE21B5">
      <w:pPr>
        <w:rPr>
          <w:rFonts w:asciiTheme="minorHAnsi" w:hAnsiTheme="minorHAnsi"/>
        </w:rPr>
      </w:pPr>
      <w:r w:rsidRPr="00CE21B5">
        <w:rPr>
          <w:rFonts w:asciiTheme="minorHAnsi" w:hAnsiTheme="minorHAnsi"/>
        </w:rPr>
        <w:t>Hispanic</w:t>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t>80%</w:t>
      </w:r>
      <w:r w:rsidRPr="00CE21B5">
        <w:rPr>
          <w:rFonts w:asciiTheme="minorHAnsi" w:hAnsiTheme="minorHAnsi"/>
        </w:rPr>
        <w:tab/>
      </w:r>
      <w:r w:rsidRPr="00CE21B5">
        <w:rPr>
          <w:rFonts w:asciiTheme="minorHAnsi" w:hAnsiTheme="minorHAnsi"/>
        </w:rPr>
        <w:tab/>
        <w:t xml:space="preserve">    79%</w:t>
      </w:r>
    </w:p>
    <w:p w14:paraId="1BA3F271" w14:textId="77777777" w:rsidR="00CE21B5" w:rsidRPr="00CE21B5" w:rsidRDefault="00CE21B5" w:rsidP="00CE21B5">
      <w:pPr>
        <w:rPr>
          <w:rFonts w:asciiTheme="minorHAnsi" w:hAnsiTheme="minorHAnsi"/>
          <w:b/>
        </w:rPr>
      </w:pPr>
      <w:r w:rsidRPr="00CE21B5">
        <w:rPr>
          <w:rFonts w:asciiTheme="minorHAnsi" w:hAnsiTheme="minorHAnsi"/>
        </w:rPr>
        <w:t>White &amp; Other</w:t>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rPr>
        <w:tab/>
      </w:r>
      <w:r w:rsidRPr="00CE21B5">
        <w:rPr>
          <w:rFonts w:asciiTheme="minorHAnsi" w:hAnsiTheme="minorHAnsi"/>
          <w:b/>
        </w:rPr>
        <w:t>76%</w:t>
      </w:r>
      <w:r w:rsidRPr="00CE21B5">
        <w:rPr>
          <w:rFonts w:asciiTheme="minorHAnsi" w:hAnsiTheme="minorHAnsi"/>
          <w:b/>
        </w:rPr>
        <w:tab/>
      </w:r>
      <w:r w:rsidRPr="00CE21B5">
        <w:rPr>
          <w:rFonts w:asciiTheme="minorHAnsi" w:hAnsiTheme="minorHAnsi"/>
          <w:b/>
        </w:rPr>
        <w:tab/>
        <w:t xml:space="preserve">    70%</w:t>
      </w:r>
    </w:p>
    <w:p w14:paraId="068EFBEF" w14:textId="77777777" w:rsidR="00CE21B5" w:rsidRPr="00CE21B5" w:rsidRDefault="00CE21B5" w:rsidP="00A8629C">
      <w:pPr>
        <w:rPr>
          <w:rFonts w:asciiTheme="minorHAnsi" w:eastAsiaTheme="minorHAnsi" w:hAnsiTheme="minorHAnsi" w:cstheme="minorBidi"/>
        </w:rPr>
      </w:pPr>
    </w:p>
    <w:p w14:paraId="4B359073" w14:textId="7BF5B8BA" w:rsidR="00CE21B5" w:rsidRDefault="00003D51" w:rsidP="00A8629C">
      <w:pPr>
        <w:rPr>
          <w:rFonts w:asciiTheme="minorHAnsi" w:eastAsiaTheme="minorHAnsi" w:hAnsiTheme="minorHAnsi" w:cstheme="minorBidi"/>
        </w:rPr>
      </w:pPr>
      <w:r>
        <w:rPr>
          <w:rFonts w:asciiTheme="minorHAnsi" w:eastAsiaTheme="minorHAnsi" w:hAnsiTheme="minorHAnsi" w:cstheme="minorBidi"/>
        </w:rPr>
        <w:t xml:space="preserve">To return to our </w:t>
      </w:r>
      <w:r w:rsidR="00CE21B5">
        <w:rPr>
          <w:rFonts w:asciiTheme="minorHAnsi" w:eastAsiaTheme="minorHAnsi" w:hAnsiTheme="minorHAnsi" w:cstheme="minorBidi"/>
        </w:rPr>
        <w:t>hypotheses</w:t>
      </w:r>
      <w:r>
        <w:rPr>
          <w:rFonts w:asciiTheme="minorHAnsi" w:eastAsiaTheme="minorHAnsi" w:hAnsiTheme="minorHAnsi" w:cstheme="minorBidi"/>
        </w:rPr>
        <w:t xml:space="preserve">, we expected that a $20 increase in the Phase 1 incentive would produce a 7-8 percentage point increase in the response rate to the survey, and result in lower interviewer labor costs per case, sufficient to pay for most of the cost of the incentive increase. Given that the Phase 2 incentive was not changed, we expected most of these gains to come in Phase 1 of NSFG data collection. </w:t>
      </w:r>
    </w:p>
    <w:p w14:paraId="7758D359" w14:textId="77777777" w:rsidR="005B0786" w:rsidRDefault="005B0786">
      <w:pPr>
        <w:rPr>
          <w:rFonts w:ascii="Calibri" w:hAnsi="Calibri"/>
          <w:b/>
          <w:color w:val="000000"/>
        </w:rPr>
      </w:pPr>
    </w:p>
    <w:p w14:paraId="25B10375" w14:textId="77777777" w:rsidR="00D82098" w:rsidRPr="00393DBF" w:rsidRDefault="00D5710B">
      <w:pPr>
        <w:rPr>
          <w:rFonts w:ascii="Calibri" w:hAnsi="Calibri"/>
          <w:b/>
        </w:rPr>
      </w:pPr>
      <w:r w:rsidRPr="00393DBF">
        <w:rPr>
          <w:rFonts w:ascii="Calibri" w:hAnsi="Calibri"/>
          <w:b/>
        </w:rPr>
        <w:t xml:space="preserve">BASIC </w:t>
      </w:r>
      <w:r w:rsidR="00D82098" w:rsidRPr="00393DBF">
        <w:rPr>
          <w:rFonts w:ascii="Calibri" w:hAnsi="Calibri"/>
          <w:b/>
        </w:rPr>
        <w:t>NSFG PROCEDURES</w:t>
      </w:r>
      <w:r w:rsidRPr="00393DBF">
        <w:rPr>
          <w:rFonts w:ascii="Calibri" w:hAnsi="Calibri"/>
          <w:b/>
        </w:rPr>
        <w:t xml:space="preserve"> BEFORE THE </w:t>
      </w:r>
      <w:r w:rsidR="000530B2" w:rsidRPr="00393DBF">
        <w:rPr>
          <w:rFonts w:ascii="Calibri" w:hAnsi="Calibri"/>
          <w:b/>
        </w:rPr>
        <w:t xml:space="preserve">INCENTIVE </w:t>
      </w:r>
      <w:r w:rsidRPr="00393DBF">
        <w:rPr>
          <w:rFonts w:ascii="Calibri" w:hAnsi="Calibri"/>
          <w:b/>
        </w:rPr>
        <w:t>EXPERIMENT</w:t>
      </w:r>
    </w:p>
    <w:p w14:paraId="785B4164" w14:textId="77777777" w:rsidR="00D5710B" w:rsidRDefault="00D5710B">
      <w:pPr>
        <w:rPr>
          <w:rFonts w:ascii="Calibri" w:hAnsi="Calibri"/>
          <w:color w:val="000000"/>
        </w:rPr>
      </w:pPr>
    </w:p>
    <w:p w14:paraId="49EE64FA" w14:textId="32DE3495" w:rsidR="00A26595" w:rsidRPr="00345EA1" w:rsidRDefault="00A26595" w:rsidP="00A26595">
      <w:pPr>
        <w:rPr>
          <w:rFonts w:ascii="Calibri" w:hAnsi="Calibri"/>
          <w:color w:val="000000"/>
        </w:rPr>
      </w:pPr>
      <w:r w:rsidRPr="00345EA1">
        <w:rPr>
          <w:rFonts w:ascii="Calibri" w:hAnsi="Calibri"/>
          <w:color w:val="000000"/>
        </w:rPr>
        <w:t xml:space="preserve">Briefly, the NSFG is conducted in person using an area probability sample. About 20,000 addresses are selected each year in about 35 Primary Sampling Units (PSUs) across the nation. </w:t>
      </w:r>
      <w:r>
        <w:rPr>
          <w:rFonts w:ascii="Calibri" w:hAnsi="Calibri"/>
          <w:color w:val="000000"/>
        </w:rPr>
        <w:t xml:space="preserve"> </w:t>
      </w:r>
      <w:r w:rsidR="00201942">
        <w:rPr>
          <w:rFonts w:ascii="Calibri" w:hAnsi="Calibri"/>
          <w:color w:val="000000"/>
        </w:rPr>
        <w:t xml:space="preserve">The interviewing process is divided into “stages.” The </w:t>
      </w:r>
      <w:r w:rsidR="00201942" w:rsidRPr="00FE1B1C">
        <w:rPr>
          <w:rFonts w:ascii="Calibri" w:hAnsi="Calibri"/>
          <w:color w:val="000000"/>
          <w:u w:val="single"/>
        </w:rPr>
        <w:t>first stage</w:t>
      </w:r>
      <w:r w:rsidR="00201942">
        <w:rPr>
          <w:rFonts w:ascii="Calibri" w:hAnsi="Calibri"/>
          <w:color w:val="000000"/>
        </w:rPr>
        <w:t xml:space="preserve"> involves identifying eligible persons using a screening interview that produces a list of all the persons in a household, including their age, sex, race, and ethnicity. </w:t>
      </w:r>
      <w:r w:rsidRPr="00345EA1">
        <w:rPr>
          <w:rFonts w:ascii="Calibri" w:hAnsi="Calibri"/>
          <w:color w:val="000000"/>
        </w:rPr>
        <w:t xml:space="preserve">About 14,000 </w:t>
      </w:r>
      <w:r w:rsidR="00201942">
        <w:rPr>
          <w:rFonts w:ascii="Calibri" w:hAnsi="Calibri"/>
          <w:color w:val="000000"/>
        </w:rPr>
        <w:t>“</w:t>
      </w:r>
      <w:r w:rsidRPr="00345EA1">
        <w:rPr>
          <w:rFonts w:ascii="Calibri" w:hAnsi="Calibri"/>
          <w:color w:val="000000"/>
        </w:rPr>
        <w:t>screeners</w:t>
      </w:r>
      <w:r w:rsidR="00201942">
        <w:rPr>
          <w:rFonts w:ascii="Calibri" w:hAnsi="Calibri"/>
          <w:color w:val="000000"/>
        </w:rPr>
        <w:t>”</w:t>
      </w:r>
      <w:r w:rsidRPr="00345EA1">
        <w:rPr>
          <w:rFonts w:ascii="Calibri" w:hAnsi="Calibri"/>
          <w:color w:val="000000"/>
        </w:rPr>
        <w:t xml:space="preserve"> are completed each year to identify households containing the </w:t>
      </w:r>
      <w:r w:rsidRPr="00B70F7C">
        <w:rPr>
          <w:rFonts w:ascii="Calibri" w:hAnsi="Calibri"/>
        </w:rPr>
        <w:t>NSFG-eligible population, persons 15-44 years of age. About half of those households contain at least one person 15-44</w:t>
      </w:r>
      <w:r w:rsidRPr="00345EA1">
        <w:rPr>
          <w:rFonts w:ascii="Calibri" w:hAnsi="Calibri"/>
          <w:color w:val="000000"/>
        </w:rPr>
        <w:t xml:space="preserve">.  </w:t>
      </w:r>
      <w:r w:rsidR="00201942">
        <w:rPr>
          <w:rFonts w:ascii="Calibri" w:hAnsi="Calibri"/>
          <w:color w:val="000000"/>
        </w:rPr>
        <w:t xml:space="preserve">In the </w:t>
      </w:r>
      <w:r w:rsidR="00201942" w:rsidRPr="00FE1B1C">
        <w:rPr>
          <w:rFonts w:ascii="Calibri" w:hAnsi="Calibri"/>
          <w:color w:val="000000"/>
          <w:u w:val="single"/>
        </w:rPr>
        <w:t>second stage</w:t>
      </w:r>
      <w:r w:rsidR="00201942">
        <w:rPr>
          <w:rFonts w:ascii="Calibri" w:hAnsi="Calibri"/>
          <w:color w:val="000000"/>
        </w:rPr>
        <w:t>, a randomly selected person is given a “main” interview that obtains the substantive content of the NSFG.</w:t>
      </w:r>
    </w:p>
    <w:p w14:paraId="59A49C6A" w14:textId="77777777" w:rsidR="00A26595" w:rsidRPr="00345EA1" w:rsidRDefault="00A26595" w:rsidP="00A26595">
      <w:pPr>
        <w:rPr>
          <w:rFonts w:ascii="Calibri" w:hAnsi="Calibri"/>
          <w:color w:val="000000"/>
        </w:rPr>
      </w:pPr>
    </w:p>
    <w:p w14:paraId="1B11874B" w14:textId="77777777" w:rsidR="00A26595" w:rsidRPr="00345EA1" w:rsidRDefault="00A26595" w:rsidP="00A26595">
      <w:pPr>
        <w:rPr>
          <w:rFonts w:ascii="Calibri" w:hAnsi="Calibri"/>
          <w:color w:val="000000"/>
        </w:rPr>
      </w:pPr>
      <w:r w:rsidRPr="00345EA1">
        <w:rPr>
          <w:rFonts w:ascii="Calibri" w:hAnsi="Calibri"/>
          <w:color w:val="000000"/>
        </w:rPr>
        <w:t xml:space="preserve">The fieldwork is organized into four 12-week “Quarters” (abbreviated Q below). Each </w:t>
      </w:r>
    </w:p>
    <w:p w14:paraId="0A801A99" w14:textId="28B230D7" w:rsidR="00A26595" w:rsidRPr="00345EA1" w:rsidRDefault="00A26595" w:rsidP="00A26595">
      <w:pPr>
        <w:rPr>
          <w:rFonts w:ascii="Calibri" w:hAnsi="Calibri"/>
          <w:color w:val="000000"/>
        </w:rPr>
      </w:pPr>
      <w:r w:rsidRPr="00345EA1">
        <w:rPr>
          <w:rFonts w:ascii="Calibri" w:hAnsi="Calibri"/>
          <w:color w:val="000000"/>
        </w:rPr>
        <w:t>12-w</w:t>
      </w:r>
      <w:r w:rsidR="00614E76">
        <w:rPr>
          <w:rFonts w:ascii="Calibri" w:hAnsi="Calibri"/>
          <w:color w:val="000000"/>
        </w:rPr>
        <w:t>eek Quarter is divided into 2 “P</w:t>
      </w:r>
      <w:r w:rsidRPr="00345EA1">
        <w:rPr>
          <w:rFonts w:ascii="Calibri" w:hAnsi="Calibri"/>
          <w:color w:val="000000"/>
        </w:rPr>
        <w:t xml:space="preserve">hases,” following responsive design principles: </w:t>
      </w:r>
    </w:p>
    <w:p w14:paraId="6F890498" w14:textId="77777777" w:rsidR="00A26595" w:rsidRPr="00345EA1" w:rsidRDefault="00A26595" w:rsidP="00A26595">
      <w:pPr>
        <w:rPr>
          <w:rFonts w:ascii="Calibri" w:hAnsi="Calibri"/>
          <w:color w:val="000000"/>
        </w:rPr>
      </w:pPr>
      <w:r w:rsidRPr="00345EA1">
        <w:rPr>
          <w:rFonts w:ascii="Calibri" w:hAnsi="Calibri"/>
          <w:color w:val="000000"/>
        </w:rPr>
        <w:t xml:space="preserve"> </w:t>
      </w:r>
    </w:p>
    <w:p w14:paraId="76823114" w14:textId="7A546AC4" w:rsidR="00A26595" w:rsidRPr="00345EA1" w:rsidRDefault="00A26595" w:rsidP="00A26595">
      <w:pPr>
        <w:numPr>
          <w:ilvl w:val="0"/>
          <w:numId w:val="7"/>
        </w:numPr>
        <w:rPr>
          <w:rFonts w:ascii="Calibri" w:hAnsi="Calibri"/>
          <w:color w:val="000000"/>
        </w:rPr>
      </w:pPr>
      <w:r w:rsidRPr="00345EA1">
        <w:rPr>
          <w:rFonts w:ascii="Calibri" w:hAnsi="Calibri"/>
          <w:color w:val="000000"/>
        </w:rPr>
        <w:t xml:space="preserve">Weeks 1-10 comprise </w:t>
      </w:r>
      <w:r w:rsidR="00003D51" w:rsidRPr="00512DB9">
        <w:rPr>
          <w:rFonts w:ascii="Calibri" w:hAnsi="Calibri"/>
          <w:color w:val="000000"/>
          <w:u w:val="single"/>
        </w:rPr>
        <w:t>P</w:t>
      </w:r>
      <w:r w:rsidRPr="00FE1B1C">
        <w:rPr>
          <w:rFonts w:ascii="Calibri" w:hAnsi="Calibri"/>
          <w:color w:val="000000"/>
          <w:u w:val="single"/>
        </w:rPr>
        <w:t>hase 1</w:t>
      </w:r>
      <w:r w:rsidRPr="00345EA1">
        <w:rPr>
          <w:rFonts w:ascii="Calibri" w:hAnsi="Calibri"/>
          <w:color w:val="000000"/>
        </w:rPr>
        <w:t xml:space="preserve">, in which a $40 </w:t>
      </w:r>
      <w:r w:rsidR="00003D51">
        <w:rPr>
          <w:rFonts w:ascii="Calibri" w:hAnsi="Calibri"/>
          <w:color w:val="000000"/>
        </w:rPr>
        <w:t xml:space="preserve">conditional </w:t>
      </w:r>
      <w:r w:rsidRPr="00345EA1">
        <w:rPr>
          <w:rFonts w:ascii="Calibri" w:hAnsi="Calibri"/>
          <w:color w:val="000000"/>
        </w:rPr>
        <w:t xml:space="preserve">incentive is offered, and interviewers are given a larger caseload. </w:t>
      </w:r>
      <w:r>
        <w:rPr>
          <w:rFonts w:ascii="Calibri" w:hAnsi="Calibri"/>
          <w:color w:val="000000"/>
        </w:rPr>
        <w:t xml:space="preserve"> </w:t>
      </w:r>
      <w:r w:rsidRPr="00345EA1">
        <w:rPr>
          <w:rFonts w:ascii="Calibri" w:hAnsi="Calibri"/>
          <w:color w:val="000000"/>
        </w:rPr>
        <w:t xml:space="preserve">By the end of this </w:t>
      </w:r>
      <w:r w:rsidR="00614E76">
        <w:rPr>
          <w:rFonts w:ascii="Calibri" w:hAnsi="Calibri"/>
          <w:color w:val="000000"/>
        </w:rPr>
        <w:t>P</w:t>
      </w:r>
      <w:r w:rsidRPr="00345EA1">
        <w:rPr>
          <w:rFonts w:ascii="Calibri" w:hAnsi="Calibri"/>
          <w:color w:val="000000"/>
        </w:rPr>
        <w:t xml:space="preserve">hase, the response rate is about 55% and we have expended about 8 hours of interviewer labor per case. </w:t>
      </w:r>
    </w:p>
    <w:p w14:paraId="7BA1C1D3" w14:textId="77777777" w:rsidR="00A26595" w:rsidRPr="00345EA1" w:rsidRDefault="00A26595" w:rsidP="00A26595">
      <w:pPr>
        <w:ind w:left="720"/>
        <w:rPr>
          <w:rFonts w:ascii="Calibri" w:hAnsi="Calibri"/>
          <w:color w:val="000000"/>
        </w:rPr>
      </w:pPr>
    </w:p>
    <w:p w14:paraId="0795BBB5" w14:textId="200B9C5B" w:rsidR="00A26595" w:rsidRPr="00345EA1" w:rsidRDefault="00A26595" w:rsidP="00A26595">
      <w:pPr>
        <w:numPr>
          <w:ilvl w:val="0"/>
          <w:numId w:val="7"/>
        </w:numPr>
        <w:rPr>
          <w:rFonts w:ascii="Calibri" w:hAnsi="Calibri"/>
          <w:color w:val="000000"/>
        </w:rPr>
      </w:pPr>
      <w:r w:rsidRPr="00345EA1">
        <w:rPr>
          <w:rFonts w:ascii="Calibri" w:hAnsi="Calibri"/>
          <w:color w:val="000000"/>
        </w:rPr>
        <w:t xml:space="preserve">Weeks 11-12 comprise </w:t>
      </w:r>
      <w:r w:rsidR="00003D51" w:rsidRPr="00512DB9">
        <w:rPr>
          <w:rFonts w:ascii="Calibri" w:hAnsi="Calibri"/>
          <w:color w:val="000000"/>
          <w:u w:val="single"/>
        </w:rPr>
        <w:t>P</w:t>
      </w:r>
      <w:r w:rsidRPr="00FE1B1C">
        <w:rPr>
          <w:rFonts w:ascii="Calibri" w:hAnsi="Calibri"/>
          <w:color w:val="000000"/>
          <w:u w:val="single"/>
        </w:rPr>
        <w:t>hase 2</w:t>
      </w:r>
      <w:r w:rsidRPr="00345EA1">
        <w:rPr>
          <w:rFonts w:ascii="Calibri" w:hAnsi="Calibri"/>
          <w:color w:val="000000"/>
        </w:rPr>
        <w:t xml:space="preserve">, in which 2 major changes are made: first, a one-third sample is taken of the remaining non-responding cases, thereby lowering the caseload from 45% to 15% of the original sample – and allowing interviewers to spend 3 times as many hours per case as they did in </w:t>
      </w:r>
      <w:r w:rsidR="00003D51">
        <w:rPr>
          <w:rFonts w:ascii="Calibri" w:hAnsi="Calibri"/>
          <w:color w:val="000000"/>
        </w:rPr>
        <w:t>P</w:t>
      </w:r>
      <w:r w:rsidR="00003D51" w:rsidRPr="00345EA1">
        <w:rPr>
          <w:rFonts w:ascii="Calibri" w:hAnsi="Calibri"/>
          <w:color w:val="000000"/>
        </w:rPr>
        <w:t xml:space="preserve">hase </w:t>
      </w:r>
      <w:r w:rsidRPr="00345EA1">
        <w:rPr>
          <w:rFonts w:ascii="Calibri" w:hAnsi="Calibri"/>
          <w:color w:val="000000"/>
        </w:rPr>
        <w:t xml:space="preserve">1; and second, the </w:t>
      </w:r>
      <w:r w:rsidR="00003D51">
        <w:rPr>
          <w:rFonts w:ascii="Calibri" w:hAnsi="Calibri"/>
          <w:color w:val="000000"/>
        </w:rPr>
        <w:t xml:space="preserve">conditional </w:t>
      </w:r>
      <w:r w:rsidRPr="00345EA1">
        <w:rPr>
          <w:rFonts w:ascii="Calibri" w:hAnsi="Calibri"/>
          <w:color w:val="000000"/>
        </w:rPr>
        <w:t>incentive is increased to $80.</w:t>
      </w:r>
    </w:p>
    <w:p w14:paraId="72F69E56" w14:textId="77777777" w:rsidR="00B24EDE" w:rsidRDefault="00B24EDE" w:rsidP="00A26595">
      <w:pPr>
        <w:rPr>
          <w:rFonts w:ascii="Calibri" w:hAnsi="Calibri"/>
        </w:rPr>
      </w:pPr>
    </w:p>
    <w:p w14:paraId="68F0C6E9" w14:textId="73F5338A" w:rsidR="00A26595" w:rsidRPr="00393DBF" w:rsidRDefault="00A26595" w:rsidP="00A26595">
      <w:pPr>
        <w:rPr>
          <w:rFonts w:ascii="Calibri" w:hAnsi="Calibri"/>
        </w:rPr>
      </w:pPr>
      <w:r w:rsidRPr="00B70F7C">
        <w:rPr>
          <w:rFonts w:ascii="Calibri" w:hAnsi="Calibri"/>
        </w:rPr>
        <w:t xml:space="preserve">The main interview response rate in </w:t>
      </w:r>
      <w:r w:rsidR="00003D51">
        <w:rPr>
          <w:rFonts w:ascii="Calibri" w:hAnsi="Calibri"/>
        </w:rPr>
        <w:t>P</w:t>
      </w:r>
      <w:r w:rsidR="00003D51" w:rsidRPr="00B70F7C">
        <w:rPr>
          <w:rFonts w:ascii="Calibri" w:hAnsi="Calibri"/>
        </w:rPr>
        <w:t xml:space="preserve">hase </w:t>
      </w:r>
      <w:r w:rsidRPr="00345EA1">
        <w:rPr>
          <w:rFonts w:ascii="Calibri" w:hAnsi="Calibri"/>
          <w:color w:val="000000"/>
        </w:rPr>
        <w:t>1 was about 58% in 2006-2010</w:t>
      </w:r>
      <w:r>
        <w:rPr>
          <w:rFonts w:ascii="Calibri" w:hAnsi="Calibri"/>
          <w:color w:val="000000"/>
        </w:rPr>
        <w:t xml:space="preserve"> (Lepkowski et al, Series 2, No. 158, table N)</w:t>
      </w:r>
      <w:r w:rsidRPr="00345EA1">
        <w:rPr>
          <w:rFonts w:ascii="Calibri" w:hAnsi="Calibri"/>
          <w:color w:val="000000"/>
        </w:rPr>
        <w:t xml:space="preserve">, but it has been falling  to closer to 50% in recent quarters. This trend </w:t>
      </w:r>
      <w:r w:rsidRPr="00345EA1">
        <w:rPr>
          <w:rFonts w:ascii="Calibri" w:hAnsi="Calibri"/>
          <w:color w:val="000000"/>
        </w:rPr>
        <w:lastRenderedPageBreak/>
        <w:t xml:space="preserve">raised concerns about </w:t>
      </w:r>
      <w:r w:rsidR="006923B9">
        <w:rPr>
          <w:rFonts w:ascii="Calibri" w:hAnsi="Calibri"/>
          <w:color w:val="000000"/>
        </w:rPr>
        <w:t>non</w:t>
      </w:r>
      <w:r w:rsidRPr="00345EA1">
        <w:rPr>
          <w:rFonts w:ascii="Calibri" w:hAnsi="Calibri"/>
          <w:color w:val="000000"/>
        </w:rPr>
        <w:t xml:space="preserve">response bias </w:t>
      </w:r>
      <w:r>
        <w:rPr>
          <w:rFonts w:ascii="Calibri" w:hAnsi="Calibri"/>
          <w:color w:val="000000"/>
        </w:rPr>
        <w:t>as well as i</w:t>
      </w:r>
      <w:r w:rsidRPr="00345EA1">
        <w:rPr>
          <w:rFonts w:ascii="Calibri" w:hAnsi="Calibri"/>
          <w:color w:val="000000"/>
        </w:rPr>
        <w:t xml:space="preserve">nadequate sample yield </w:t>
      </w:r>
      <w:r w:rsidRPr="00393DBF">
        <w:rPr>
          <w:rFonts w:ascii="Calibri" w:hAnsi="Calibri"/>
        </w:rPr>
        <w:t>– both for the entire population 15-44 and in some key population sub-groups.</w:t>
      </w:r>
    </w:p>
    <w:p w14:paraId="12906E91" w14:textId="77777777" w:rsidR="00A26595" w:rsidRDefault="00A26595">
      <w:pPr>
        <w:rPr>
          <w:rFonts w:ascii="Calibri" w:hAnsi="Calibri"/>
          <w:color w:val="000000"/>
        </w:rPr>
      </w:pPr>
    </w:p>
    <w:p w14:paraId="381B9D77" w14:textId="77777777" w:rsidR="00B73D4B" w:rsidRDefault="00B73D4B">
      <w:pPr>
        <w:rPr>
          <w:rFonts w:ascii="Calibri" w:hAnsi="Calibri"/>
          <w:color w:val="000000"/>
        </w:rPr>
      </w:pPr>
    </w:p>
    <w:p w14:paraId="5FE89DBA" w14:textId="77777777" w:rsidR="00B45F22" w:rsidRPr="00B73D4B" w:rsidRDefault="006025D5">
      <w:pPr>
        <w:rPr>
          <w:rFonts w:ascii="Calibri" w:hAnsi="Calibri"/>
          <w:b/>
          <w:color w:val="000000"/>
        </w:rPr>
      </w:pPr>
      <w:r w:rsidRPr="00B73D4B">
        <w:rPr>
          <w:rFonts w:ascii="Calibri" w:hAnsi="Calibri"/>
          <w:b/>
          <w:color w:val="000000"/>
        </w:rPr>
        <w:t>EXPERIMENTAL PROCEDURES</w:t>
      </w:r>
    </w:p>
    <w:p w14:paraId="7B9D3F6A" w14:textId="77777777" w:rsidR="0015581E" w:rsidRPr="00345EA1" w:rsidRDefault="0015581E">
      <w:pPr>
        <w:rPr>
          <w:rFonts w:ascii="Calibri" w:hAnsi="Calibri"/>
          <w:b/>
          <w:color w:val="000000"/>
        </w:rPr>
      </w:pPr>
    </w:p>
    <w:p w14:paraId="451EF962" w14:textId="77777777" w:rsidR="0015581E" w:rsidRPr="009B796B" w:rsidRDefault="0015581E" w:rsidP="0015581E">
      <w:pPr>
        <w:rPr>
          <w:rFonts w:ascii="Calibri" w:hAnsi="Calibri"/>
        </w:rPr>
      </w:pPr>
      <w:r w:rsidRPr="009B796B">
        <w:rPr>
          <w:rFonts w:ascii="Calibri" w:hAnsi="Calibri"/>
        </w:rPr>
        <w:t>Key elements of the experimental design are as follows:</w:t>
      </w:r>
    </w:p>
    <w:p w14:paraId="458AC199" w14:textId="7FCDC4C0" w:rsidR="0015581E" w:rsidRDefault="0015581E" w:rsidP="0015581E">
      <w:pPr>
        <w:numPr>
          <w:ilvl w:val="0"/>
          <w:numId w:val="6"/>
        </w:numPr>
        <w:rPr>
          <w:rFonts w:ascii="Calibri" w:hAnsi="Calibri"/>
        </w:rPr>
      </w:pPr>
      <w:r w:rsidRPr="0015581E">
        <w:rPr>
          <w:rFonts w:ascii="Calibri" w:hAnsi="Calibri"/>
        </w:rPr>
        <w:t xml:space="preserve">The incentive was either $40 (control) or $60 (experimental) in </w:t>
      </w:r>
      <w:r w:rsidR="006923B9">
        <w:rPr>
          <w:rFonts w:ascii="Calibri" w:hAnsi="Calibri"/>
        </w:rPr>
        <w:t>P</w:t>
      </w:r>
      <w:r w:rsidR="006923B9" w:rsidRPr="0015581E">
        <w:rPr>
          <w:rFonts w:ascii="Calibri" w:hAnsi="Calibri"/>
        </w:rPr>
        <w:t xml:space="preserve">hase </w:t>
      </w:r>
      <w:r w:rsidRPr="0015581E">
        <w:rPr>
          <w:rFonts w:ascii="Calibri" w:hAnsi="Calibri"/>
        </w:rPr>
        <w:t>1 (weeks 1-10) of each quarter.</w:t>
      </w:r>
    </w:p>
    <w:p w14:paraId="74E5C35B" w14:textId="2C15496C" w:rsidR="0015581E" w:rsidRPr="0015581E" w:rsidRDefault="0015581E" w:rsidP="0015581E">
      <w:pPr>
        <w:numPr>
          <w:ilvl w:val="0"/>
          <w:numId w:val="6"/>
        </w:numPr>
        <w:rPr>
          <w:rFonts w:ascii="Calibri" w:hAnsi="Calibri"/>
        </w:rPr>
      </w:pPr>
      <w:r w:rsidRPr="0015581E">
        <w:rPr>
          <w:rFonts w:ascii="Calibri" w:hAnsi="Calibri"/>
        </w:rPr>
        <w:t xml:space="preserve">Both </w:t>
      </w:r>
      <w:r w:rsidR="006923B9">
        <w:rPr>
          <w:rFonts w:ascii="Calibri" w:hAnsi="Calibri"/>
        </w:rPr>
        <w:t>P</w:t>
      </w:r>
      <w:r w:rsidR="006923B9" w:rsidRPr="0015581E">
        <w:rPr>
          <w:rFonts w:ascii="Calibri" w:hAnsi="Calibri"/>
        </w:rPr>
        <w:t xml:space="preserve">hase </w:t>
      </w:r>
      <w:r w:rsidRPr="0015581E">
        <w:rPr>
          <w:rFonts w:ascii="Calibri" w:hAnsi="Calibri"/>
        </w:rPr>
        <w:t xml:space="preserve">1 groups were offered the same incentive ($80) in </w:t>
      </w:r>
      <w:r w:rsidR="006923B9">
        <w:rPr>
          <w:rFonts w:ascii="Calibri" w:hAnsi="Calibri"/>
        </w:rPr>
        <w:t>P</w:t>
      </w:r>
      <w:r w:rsidR="006923B9" w:rsidRPr="0015581E">
        <w:rPr>
          <w:rFonts w:ascii="Calibri" w:hAnsi="Calibri"/>
        </w:rPr>
        <w:t xml:space="preserve">hase </w:t>
      </w:r>
      <w:r w:rsidRPr="0015581E">
        <w:rPr>
          <w:rFonts w:ascii="Calibri" w:hAnsi="Calibri"/>
        </w:rPr>
        <w:t xml:space="preserve">2. </w:t>
      </w:r>
    </w:p>
    <w:p w14:paraId="4F00E152" w14:textId="77777777" w:rsidR="0015581E" w:rsidRDefault="0015581E" w:rsidP="0015581E">
      <w:pPr>
        <w:rPr>
          <w:rFonts w:ascii="Calibri" w:hAnsi="Calibri"/>
        </w:rPr>
      </w:pPr>
    </w:p>
    <w:p w14:paraId="2D8481C1" w14:textId="7EF86875" w:rsidR="0015581E" w:rsidRDefault="0015581E" w:rsidP="0015581E">
      <w:pPr>
        <w:rPr>
          <w:rFonts w:ascii="Calibri" w:hAnsi="Calibri"/>
        </w:rPr>
      </w:pPr>
      <w:r w:rsidRPr="00393DBF">
        <w:rPr>
          <w:rFonts w:ascii="Calibri" w:hAnsi="Calibri"/>
        </w:rPr>
        <w:t xml:space="preserve">Randomization to experimental and control conditions for </w:t>
      </w:r>
      <w:r w:rsidR="00170B72">
        <w:rPr>
          <w:rFonts w:ascii="Calibri" w:hAnsi="Calibri"/>
        </w:rPr>
        <w:t>P</w:t>
      </w:r>
      <w:r w:rsidRPr="00393DBF">
        <w:rPr>
          <w:rFonts w:ascii="Calibri" w:hAnsi="Calibri"/>
        </w:rPr>
        <w:t xml:space="preserve">hase 1 occurred at the segment level. This has more statistical power than randomizing at the PSU level, but it does require each interviewer to use different procedures in the segments she is assigned each quarter (each interviewer is assigned 2-3 segments each quarter; all interviewers take part in the experiment). Randomizing at the sample line (household or respondent) level would have offered still more statistical power, but it would also increase the odds of interviewers inadvertently offering the wrong incentive to a </w:t>
      </w:r>
      <w:r w:rsidRPr="009B796B">
        <w:rPr>
          <w:rFonts w:ascii="Calibri" w:hAnsi="Calibri"/>
        </w:rPr>
        <w:t>sampled person</w:t>
      </w:r>
      <w:r w:rsidRPr="00345EA1">
        <w:rPr>
          <w:rFonts w:ascii="Calibri" w:hAnsi="Calibri"/>
          <w:color w:val="000000"/>
        </w:rPr>
        <w:t>, and increase the risk that neighbors would discover that others are being offered different amounts.</w:t>
      </w:r>
    </w:p>
    <w:p w14:paraId="5BB6D3EE" w14:textId="77777777" w:rsidR="004973A4" w:rsidRPr="009B796B" w:rsidRDefault="004973A4">
      <w:pPr>
        <w:rPr>
          <w:rFonts w:ascii="Calibri" w:hAnsi="Calibri"/>
        </w:rPr>
      </w:pPr>
    </w:p>
    <w:p w14:paraId="1674B78C" w14:textId="77777777" w:rsidR="00B73D4B" w:rsidRDefault="00B73D4B">
      <w:pPr>
        <w:rPr>
          <w:rFonts w:ascii="Calibri" w:hAnsi="Calibri"/>
          <w:b/>
        </w:rPr>
      </w:pPr>
    </w:p>
    <w:p w14:paraId="44F6AF44" w14:textId="5506161A" w:rsidR="006025D5" w:rsidRDefault="00DD27D5">
      <w:pPr>
        <w:rPr>
          <w:rFonts w:ascii="Calibri" w:hAnsi="Calibri"/>
          <w:b/>
        </w:rPr>
      </w:pPr>
      <w:r w:rsidRPr="00DD27D5">
        <w:rPr>
          <w:rFonts w:ascii="Calibri" w:hAnsi="Calibri"/>
          <w:b/>
        </w:rPr>
        <w:t>RESULTS</w:t>
      </w:r>
      <w:r w:rsidR="000F33D1">
        <w:rPr>
          <w:rFonts w:ascii="Calibri" w:hAnsi="Calibri"/>
          <w:b/>
        </w:rPr>
        <w:t xml:space="preserve"> </w:t>
      </w:r>
      <w:r w:rsidR="00DE2624">
        <w:rPr>
          <w:rFonts w:ascii="Calibri" w:hAnsi="Calibri"/>
          <w:b/>
        </w:rPr>
        <w:t>OF THE EXPERIMENT</w:t>
      </w:r>
    </w:p>
    <w:p w14:paraId="33E2DA25" w14:textId="77777777" w:rsidR="006F2A25" w:rsidRDefault="006F2A25">
      <w:pPr>
        <w:rPr>
          <w:rFonts w:ascii="Calibri" w:hAnsi="Calibri"/>
          <w:b/>
        </w:rPr>
      </w:pPr>
    </w:p>
    <w:p w14:paraId="20D78A3F" w14:textId="47AE7D84" w:rsidR="006F2A25" w:rsidRPr="006F2A25" w:rsidRDefault="006F2A25">
      <w:pPr>
        <w:rPr>
          <w:rFonts w:ascii="Calibri" w:hAnsi="Calibri"/>
        </w:rPr>
      </w:pPr>
      <w:r w:rsidRPr="006F2A25">
        <w:rPr>
          <w:rFonts w:ascii="Calibri" w:hAnsi="Calibri"/>
        </w:rPr>
        <w:t>Since the experimental treatment was applied to Phase 1, we look at the results first at the end of Phase 1.</w:t>
      </w:r>
      <w:r>
        <w:rPr>
          <w:rFonts w:ascii="Calibri" w:hAnsi="Calibri"/>
        </w:rPr>
        <w:t xml:space="preserve"> We will also examine the results </w:t>
      </w:r>
      <w:r w:rsidR="00FE1B1C">
        <w:rPr>
          <w:rFonts w:ascii="Calibri" w:hAnsi="Calibri"/>
        </w:rPr>
        <w:t>from</w:t>
      </w:r>
      <w:r>
        <w:rPr>
          <w:rFonts w:ascii="Calibri" w:hAnsi="Calibri"/>
        </w:rPr>
        <w:t xml:space="preserve"> Phase 2 and </w:t>
      </w:r>
      <w:r w:rsidR="006923B9">
        <w:rPr>
          <w:rFonts w:ascii="Calibri" w:hAnsi="Calibri"/>
        </w:rPr>
        <w:t xml:space="preserve">cumulatively </w:t>
      </w:r>
      <w:r>
        <w:rPr>
          <w:rFonts w:ascii="Calibri" w:hAnsi="Calibri"/>
        </w:rPr>
        <w:t>since the experimental treatment may have “carryover” effects.</w:t>
      </w:r>
    </w:p>
    <w:p w14:paraId="53BF0342" w14:textId="77777777" w:rsidR="00DD27D5" w:rsidRPr="009B796B" w:rsidRDefault="00DD27D5">
      <w:pPr>
        <w:rPr>
          <w:rFonts w:ascii="Calibri" w:hAnsi="Calibri"/>
        </w:rPr>
      </w:pPr>
    </w:p>
    <w:p w14:paraId="7E70927F" w14:textId="5B4B1294" w:rsidR="00B96802" w:rsidRPr="00DE2624" w:rsidRDefault="0074074C" w:rsidP="00DE2624">
      <w:pPr>
        <w:pStyle w:val="ListParagraph"/>
        <w:numPr>
          <w:ilvl w:val="0"/>
          <w:numId w:val="15"/>
        </w:numPr>
        <w:rPr>
          <w:rFonts w:ascii="Calibri" w:hAnsi="Calibri"/>
          <w:b/>
        </w:rPr>
      </w:pPr>
      <w:r w:rsidRPr="00DE2624">
        <w:rPr>
          <w:rFonts w:ascii="Calibri" w:hAnsi="Calibri"/>
          <w:b/>
        </w:rPr>
        <w:t xml:space="preserve">Phase 1 </w:t>
      </w:r>
      <w:r w:rsidR="00B96802" w:rsidRPr="00DE2624">
        <w:rPr>
          <w:rFonts w:ascii="Calibri" w:hAnsi="Calibri"/>
          <w:b/>
        </w:rPr>
        <w:t xml:space="preserve">Case Counts and </w:t>
      </w:r>
      <w:r w:rsidR="0056132B" w:rsidRPr="00DE2624">
        <w:rPr>
          <w:rFonts w:ascii="Calibri" w:hAnsi="Calibri"/>
          <w:b/>
        </w:rPr>
        <w:t>Response Rates</w:t>
      </w:r>
    </w:p>
    <w:p w14:paraId="0DE6824B" w14:textId="77777777" w:rsidR="009454CC" w:rsidRDefault="009454CC" w:rsidP="00B96802">
      <w:pPr>
        <w:rPr>
          <w:rFonts w:ascii="Calibri" w:hAnsi="Calibri"/>
          <w:b/>
        </w:rPr>
      </w:pPr>
    </w:p>
    <w:p w14:paraId="65CC06A5" w14:textId="44F41EA1" w:rsidR="00F92A85" w:rsidRDefault="00F92A85" w:rsidP="00F92A85">
      <w:pPr>
        <w:rPr>
          <w:rFonts w:ascii="Calibri" w:hAnsi="Calibri"/>
        </w:rPr>
      </w:pPr>
      <w:r>
        <w:rPr>
          <w:rFonts w:ascii="Calibri" w:hAnsi="Calibri"/>
        </w:rPr>
        <w:t xml:space="preserve">The first panel of </w:t>
      </w:r>
      <w:r w:rsidR="0015581E" w:rsidRPr="0015581E">
        <w:rPr>
          <w:rFonts w:ascii="Calibri" w:hAnsi="Calibri"/>
        </w:rPr>
        <w:t>Table</w:t>
      </w:r>
      <w:r w:rsidR="0015581E">
        <w:rPr>
          <w:rFonts w:ascii="Calibri" w:hAnsi="Calibri"/>
        </w:rPr>
        <w:t xml:space="preserve"> 1 gives </w:t>
      </w:r>
      <w:r w:rsidR="00FE1B1C">
        <w:rPr>
          <w:rFonts w:ascii="Calibri" w:hAnsi="Calibri"/>
        </w:rPr>
        <w:t>sample sizes</w:t>
      </w:r>
      <w:r w:rsidR="0015581E">
        <w:rPr>
          <w:rFonts w:ascii="Calibri" w:hAnsi="Calibri"/>
        </w:rPr>
        <w:t>, completed screening interviews, and completed main interviews by the two treatmen</w:t>
      </w:r>
      <w:r>
        <w:rPr>
          <w:rFonts w:ascii="Calibri" w:hAnsi="Calibri"/>
        </w:rPr>
        <w:t>ts as they stood at the end of P</w:t>
      </w:r>
      <w:r w:rsidR="0015581E">
        <w:rPr>
          <w:rFonts w:ascii="Calibri" w:hAnsi="Calibri"/>
        </w:rPr>
        <w:t>hase 1.</w:t>
      </w:r>
      <w:r>
        <w:rPr>
          <w:rFonts w:ascii="Calibri" w:hAnsi="Calibri"/>
        </w:rPr>
        <w:t xml:space="preserve">  The second panel presents unweighted screener and main completion rates, as well as overall response rates for Phase 1. </w:t>
      </w:r>
      <w:r>
        <w:rPr>
          <w:rFonts w:asciiTheme="minorHAnsi" w:hAnsiTheme="minorHAnsi"/>
        </w:rPr>
        <w:t xml:space="preserve">The counts in Tables 1 and 2 are different. </w:t>
      </w:r>
      <w:r>
        <w:rPr>
          <w:rFonts w:asciiTheme="minorHAnsi" w:hAnsiTheme="minorHAnsi" w:cs="Arial"/>
          <w:color w:val="222222"/>
          <w:shd w:val="clear" w:color="auto" w:fill="FFFFFF"/>
        </w:rPr>
        <w:t xml:space="preserve">The counts in Table 1 are sample sizes, completed screeners and completed main interviews. These are the numerators in the various response rate calculations.  The N’s in Table 2, on the other hand, are denominators of the response rate – the total sample size minus nonsample cases.  </w:t>
      </w:r>
      <w:r>
        <w:rPr>
          <w:rStyle w:val="apple-converted-space"/>
          <w:rFonts w:ascii="Arial" w:hAnsi="Arial" w:cs="Arial"/>
          <w:color w:val="222222"/>
          <w:shd w:val="clear" w:color="auto" w:fill="FFFFFF"/>
        </w:rPr>
        <w:t> </w:t>
      </w:r>
    </w:p>
    <w:p w14:paraId="5F27CC0B" w14:textId="77777777" w:rsidR="00F92A85" w:rsidRPr="009B796B" w:rsidRDefault="00F92A85" w:rsidP="00F92A85">
      <w:pPr>
        <w:rPr>
          <w:rFonts w:ascii="Calibri" w:hAnsi="Calibri"/>
          <w:b/>
        </w:rPr>
      </w:pPr>
    </w:p>
    <w:p w14:paraId="615AA5F8" w14:textId="41A35233" w:rsidR="0015581E" w:rsidRPr="0015581E" w:rsidRDefault="009E5E52" w:rsidP="00B96802">
      <w:pPr>
        <w:rPr>
          <w:rFonts w:ascii="Calibri" w:hAnsi="Calibri"/>
        </w:rPr>
      </w:pPr>
      <w:r>
        <w:rPr>
          <w:rFonts w:ascii="Calibri" w:hAnsi="Calibri"/>
        </w:rPr>
        <w:t xml:space="preserve"> </w:t>
      </w:r>
    </w:p>
    <w:p w14:paraId="6A267B72" w14:textId="00F9D9C7" w:rsidR="009E5E52" w:rsidRDefault="009E5E52">
      <w:pPr>
        <w:rPr>
          <w:rFonts w:ascii="Calibri" w:hAnsi="Calibri"/>
          <w:b/>
        </w:rPr>
      </w:pPr>
      <w:r>
        <w:rPr>
          <w:rFonts w:ascii="Calibri" w:hAnsi="Calibri"/>
          <w:b/>
        </w:rPr>
        <w:br w:type="page"/>
      </w:r>
    </w:p>
    <w:p w14:paraId="0C245155" w14:textId="77777777" w:rsidR="0015581E" w:rsidRPr="009B796B" w:rsidRDefault="0015581E" w:rsidP="00B96802">
      <w:pPr>
        <w:rPr>
          <w:rFonts w:ascii="Calibri" w:hAnsi="Calibri"/>
          <w:b/>
        </w:rPr>
      </w:pPr>
    </w:p>
    <w:tbl>
      <w:tblPr>
        <w:tblW w:w="8983" w:type="dxa"/>
        <w:tblLook w:val="04A0" w:firstRow="1" w:lastRow="0" w:firstColumn="1" w:lastColumn="0" w:noHBand="0" w:noVBand="1"/>
      </w:tblPr>
      <w:tblGrid>
        <w:gridCol w:w="3752"/>
        <w:gridCol w:w="1014"/>
        <w:gridCol w:w="875"/>
        <w:gridCol w:w="317"/>
        <w:gridCol w:w="558"/>
        <w:gridCol w:w="717"/>
        <w:gridCol w:w="875"/>
        <w:gridCol w:w="875"/>
      </w:tblGrid>
      <w:tr w:rsidR="007D6051" w14:paraId="7653396E" w14:textId="77777777" w:rsidTr="00B753A2">
        <w:trPr>
          <w:trHeight w:val="699"/>
        </w:trPr>
        <w:tc>
          <w:tcPr>
            <w:tcW w:w="8983" w:type="dxa"/>
            <w:gridSpan w:val="8"/>
            <w:tcBorders>
              <w:top w:val="single" w:sz="12" w:space="0" w:color="auto"/>
              <w:left w:val="single" w:sz="12" w:space="0" w:color="auto"/>
              <w:bottom w:val="single" w:sz="4" w:space="0" w:color="auto"/>
              <w:right w:val="single" w:sz="12" w:space="0" w:color="000000"/>
            </w:tcBorders>
            <w:shd w:val="clear" w:color="auto" w:fill="auto"/>
            <w:noWrap/>
            <w:vAlign w:val="bottom"/>
            <w:hideMark/>
          </w:tcPr>
          <w:p w14:paraId="2EAAA8B4" w14:textId="43F3B735" w:rsidR="007D6051" w:rsidRDefault="009E5E52" w:rsidP="009E5E52">
            <w:pPr>
              <w:rPr>
                <w:rFonts w:ascii="Calibri" w:hAnsi="Calibri"/>
                <w:b/>
                <w:bCs/>
                <w:color w:val="000000"/>
                <w:sz w:val="22"/>
                <w:szCs w:val="22"/>
              </w:rPr>
            </w:pPr>
            <w:r>
              <w:rPr>
                <w:rFonts w:ascii="Calibri" w:hAnsi="Calibri"/>
                <w:b/>
                <w:bCs/>
                <w:color w:val="000000"/>
                <w:sz w:val="22"/>
                <w:szCs w:val="22"/>
              </w:rPr>
              <w:t>Table 1.</w:t>
            </w:r>
            <w:r w:rsidR="007D6051">
              <w:rPr>
                <w:rFonts w:ascii="Calibri" w:hAnsi="Calibri"/>
                <w:b/>
                <w:bCs/>
                <w:color w:val="000000"/>
                <w:sz w:val="22"/>
                <w:szCs w:val="22"/>
              </w:rPr>
              <w:t xml:space="preserve"> </w:t>
            </w:r>
            <w:r>
              <w:rPr>
                <w:rFonts w:ascii="Calibri" w:hAnsi="Calibri"/>
                <w:b/>
                <w:bCs/>
                <w:color w:val="000000"/>
                <w:sz w:val="22"/>
                <w:szCs w:val="22"/>
              </w:rPr>
              <w:t xml:space="preserve">Phase 1: </w:t>
            </w:r>
            <w:r w:rsidR="007D6051">
              <w:rPr>
                <w:rFonts w:ascii="Calibri" w:hAnsi="Calibri"/>
                <w:b/>
                <w:bCs/>
                <w:color w:val="000000"/>
                <w:sz w:val="22"/>
                <w:szCs w:val="22"/>
              </w:rPr>
              <w:t>Unweighted Case Counts</w:t>
            </w:r>
            <w:r>
              <w:rPr>
                <w:rFonts w:ascii="Calibri" w:hAnsi="Calibri"/>
                <w:b/>
                <w:bCs/>
                <w:color w:val="000000"/>
                <w:sz w:val="22"/>
                <w:szCs w:val="22"/>
              </w:rPr>
              <w:t xml:space="preserve"> and Comp</w:t>
            </w:r>
            <w:r w:rsidR="00614E76">
              <w:rPr>
                <w:rFonts w:ascii="Calibri" w:hAnsi="Calibri"/>
                <w:b/>
                <w:bCs/>
                <w:color w:val="000000"/>
                <w:sz w:val="22"/>
                <w:szCs w:val="22"/>
              </w:rPr>
              <w:t>l</w:t>
            </w:r>
            <w:r>
              <w:rPr>
                <w:rFonts w:ascii="Calibri" w:hAnsi="Calibri"/>
                <w:b/>
                <w:bCs/>
                <w:color w:val="000000"/>
                <w:sz w:val="22"/>
                <w:szCs w:val="22"/>
              </w:rPr>
              <w:t>etion and Response rates</w:t>
            </w:r>
          </w:p>
          <w:p w14:paraId="2704984B" w14:textId="2A0576C8" w:rsidR="009E5E52" w:rsidRDefault="009E5E52" w:rsidP="009E5E52">
            <w:pPr>
              <w:rPr>
                <w:rFonts w:ascii="Calibri" w:hAnsi="Calibri"/>
                <w:b/>
                <w:bCs/>
                <w:color w:val="000000"/>
                <w:sz w:val="22"/>
                <w:szCs w:val="22"/>
              </w:rPr>
            </w:pPr>
          </w:p>
        </w:tc>
      </w:tr>
      <w:tr w:rsidR="009E5E52" w14:paraId="67D8C0C2" w14:textId="77777777" w:rsidTr="0002585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tcPr>
          <w:p w14:paraId="171DCEF8" w14:textId="03FF31EF" w:rsidR="009E5E52" w:rsidRDefault="009E5E52">
            <w:pPr>
              <w:rPr>
                <w:rFonts w:ascii="Calibri" w:hAnsi="Calibri"/>
                <w:color w:val="000000"/>
                <w:sz w:val="22"/>
                <w:szCs w:val="22"/>
              </w:rPr>
            </w:pPr>
            <w:r>
              <w:rPr>
                <w:rFonts w:ascii="Calibri" w:hAnsi="Calibri"/>
                <w:b/>
                <w:bCs/>
                <w:color w:val="000000"/>
                <w:sz w:val="22"/>
                <w:szCs w:val="22"/>
              </w:rPr>
              <w:t>Unweighted Phase 1 Case Counts</w:t>
            </w:r>
          </w:p>
        </w:tc>
        <w:tc>
          <w:tcPr>
            <w:tcW w:w="2206" w:type="dxa"/>
            <w:gridSpan w:val="3"/>
            <w:tcBorders>
              <w:top w:val="nil"/>
              <w:left w:val="nil"/>
              <w:bottom w:val="single" w:sz="4" w:space="0" w:color="auto"/>
              <w:right w:val="single" w:sz="4" w:space="0" w:color="auto"/>
            </w:tcBorders>
            <w:shd w:val="clear" w:color="auto" w:fill="auto"/>
            <w:noWrap/>
            <w:vAlign w:val="center"/>
          </w:tcPr>
          <w:p w14:paraId="6D99BFC8" w14:textId="77777777" w:rsidR="009E5E52" w:rsidRDefault="009E5E52">
            <w:pPr>
              <w:jc w:val="center"/>
              <w:rPr>
                <w:rFonts w:ascii="Calibri" w:hAnsi="Calibri"/>
                <w:color w:val="000000"/>
                <w:sz w:val="22"/>
                <w:szCs w:val="22"/>
              </w:rPr>
            </w:pPr>
          </w:p>
        </w:tc>
        <w:tc>
          <w:tcPr>
            <w:tcW w:w="3025" w:type="dxa"/>
            <w:gridSpan w:val="4"/>
            <w:tcBorders>
              <w:top w:val="nil"/>
              <w:left w:val="nil"/>
              <w:bottom w:val="single" w:sz="4" w:space="0" w:color="auto"/>
              <w:right w:val="single" w:sz="12" w:space="0" w:color="auto"/>
            </w:tcBorders>
            <w:shd w:val="clear" w:color="auto" w:fill="auto"/>
            <w:noWrap/>
            <w:vAlign w:val="center"/>
          </w:tcPr>
          <w:p w14:paraId="3E5F44A2" w14:textId="77777777" w:rsidR="009E5E52" w:rsidRDefault="009E5E52">
            <w:pPr>
              <w:jc w:val="center"/>
              <w:rPr>
                <w:rFonts w:ascii="Calibri" w:hAnsi="Calibri"/>
                <w:color w:val="000000"/>
                <w:sz w:val="22"/>
                <w:szCs w:val="22"/>
              </w:rPr>
            </w:pPr>
          </w:p>
        </w:tc>
      </w:tr>
      <w:tr w:rsidR="007D6051" w14:paraId="2F9FE1C8" w14:textId="77777777" w:rsidTr="0002585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71CF1609" w14:textId="77777777" w:rsidR="007D6051" w:rsidRDefault="007D6051">
            <w:pPr>
              <w:rPr>
                <w:rFonts w:ascii="Calibri" w:hAnsi="Calibri"/>
                <w:color w:val="000000"/>
                <w:sz w:val="22"/>
                <w:szCs w:val="22"/>
              </w:rPr>
            </w:pPr>
            <w:r>
              <w:rPr>
                <w:rFonts w:ascii="Calibri" w:hAnsi="Calibri"/>
                <w:color w:val="000000"/>
                <w:sz w:val="22"/>
                <w:szCs w:val="22"/>
              </w:rPr>
              <w:t> </w:t>
            </w:r>
          </w:p>
        </w:tc>
        <w:tc>
          <w:tcPr>
            <w:tcW w:w="2206" w:type="dxa"/>
            <w:gridSpan w:val="3"/>
            <w:tcBorders>
              <w:top w:val="nil"/>
              <w:left w:val="nil"/>
              <w:bottom w:val="single" w:sz="4" w:space="0" w:color="auto"/>
              <w:right w:val="single" w:sz="4" w:space="0" w:color="auto"/>
            </w:tcBorders>
            <w:shd w:val="clear" w:color="auto" w:fill="auto"/>
            <w:noWrap/>
            <w:vAlign w:val="center"/>
            <w:hideMark/>
          </w:tcPr>
          <w:p w14:paraId="308D58D2" w14:textId="77777777" w:rsidR="007D6051" w:rsidRPr="0002585C" w:rsidRDefault="007D6051">
            <w:pPr>
              <w:jc w:val="center"/>
              <w:rPr>
                <w:rFonts w:ascii="Calibri" w:hAnsi="Calibri"/>
                <w:b/>
                <w:color w:val="000000"/>
                <w:sz w:val="22"/>
                <w:szCs w:val="22"/>
              </w:rPr>
            </w:pPr>
            <w:r w:rsidRPr="0002585C">
              <w:rPr>
                <w:rFonts w:ascii="Calibri" w:hAnsi="Calibri"/>
                <w:b/>
                <w:color w:val="000000"/>
                <w:sz w:val="22"/>
                <w:szCs w:val="22"/>
              </w:rPr>
              <w:t xml:space="preserve">$40 </w:t>
            </w:r>
          </w:p>
        </w:tc>
        <w:tc>
          <w:tcPr>
            <w:tcW w:w="3025" w:type="dxa"/>
            <w:gridSpan w:val="4"/>
            <w:tcBorders>
              <w:top w:val="nil"/>
              <w:left w:val="nil"/>
              <w:bottom w:val="single" w:sz="4" w:space="0" w:color="auto"/>
              <w:right w:val="single" w:sz="12" w:space="0" w:color="auto"/>
            </w:tcBorders>
            <w:shd w:val="clear" w:color="auto" w:fill="auto"/>
            <w:noWrap/>
            <w:vAlign w:val="center"/>
            <w:hideMark/>
          </w:tcPr>
          <w:p w14:paraId="39954C60" w14:textId="77777777" w:rsidR="007D6051" w:rsidRPr="0002585C" w:rsidRDefault="007D6051">
            <w:pPr>
              <w:jc w:val="center"/>
              <w:rPr>
                <w:rFonts w:ascii="Calibri" w:hAnsi="Calibri"/>
                <w:b/>
                <w:color w:val="000000"/>
                <w:sz w:val="22"/>
                <w:szCs w:val="22"/>
              </w:rPr>
            </w:pPr>
            <w:r w:rsidRPr="0002585C">
              <w:rPr>
                <w:rFonts w:ascii="Calibri" w:hAnsi="Calibri"/>
                <w:b/>
                <w:color w:val="000000"/>
                <w:sz w:val="22"/>
                <w:szCs w:val="22"/>
              </w:rPr>
              <w:t xml:space="preserve">$60 </w:t>
            </w:r>
          </w:p>
        </w:tc>
      </w:tr>
      <w:tr w:rsidR="007D6051" w14:paraId="0E6BA8C1" w14:textId="77777777" w:rsidTr="0002585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23A58682" w14:textId="77777777" w:rsidR="007D6051" w:rsidRPr="0002585C" w:rsidRDefault="007D6051" w:rsidP="0002585C">
            <w:pPr>
              <w:ind w:firstLineChars="200" w:firstLine="440"/>
              <w:rPr>
                <w:rFonts w:ascii="Calibri" w:hAnsi="Calibri"/>
                <w:color w:val="000000"/>
                <w:sz w:val="22"/>
                <w:szCs w:val="22"/>
              </w:rPr>
            </w:pPr>
            <w:r w:rsidRPr="0002585C">
              <w:rPr>
                <w:rFonts w:ascii="Calibri" w:hAnsi="Calibri"/>
                <w:color w:val="000000"/>
                <w:sz w:val="22"/>
                <w:szCs w:val="22"/>
              </w:rPr>
              <w:t>Sample Size</w:t>
            </w:r>
          </w:p>
        </w:tc>
        <w:tc>
          <w:tcPr>
            <w:tcW w:w="2206" w:type="dxa"/>
            <w:gridSpan w:val="3"/>
            <w:tcBorders>
              <w:top w:val="nil"/>
              <w:left w:val="nil"/>
              <w:bottom w:val="single" w:sz="4" w:space="0" w:color="auto"/>
              <w:right w:val="single" w:sz="4" w:space="0" w:color="auto"/>
            </w:tcBorders>
            <w:shd w:val="clear" w:color="auto" w:fill="auto"/>
            <w:noWrap/>
            <w:vAlign w:val="center"/>
            <w:hideMark/>
          </w:tcPr>
          <w:p w14:paraId="2025DC54" w14:textId="4C17B563" w:rsidR="007D6051" w:rsidRDefault="007D6051">
            <w:pPr>
              <w:jc w:val="center"/>
              <w:rPr>
                <w:rFonts w:ascii="Calibri" w:hAnsi="Calibri"/>
                <w:color w:val="000000"/>
                <w:sz w:val="22"/>
                <w:szCs w:val="22"/>
              </w:rPr>
            </w:pPr>
            <w:r>
              <w:rPr>
                <w:rFonts w:ascii="Calibri" w:hAnsi="Calibri"/>
                <w:color w:val="000000"/>
                <w:sz w:val="22"/>
                <w:szCs w:val="22"/>
              </w:rPr>
              <w:t> </w:t>
            </w:r>
            <w:r w:rsidR="002A33FE">
              <w:rPr>
                <w:rFonts w:ascii="Calibri" w:hAnsi="Calibri"/>
                <w:color w:val="000000"/>
                <w:sz w:val="22"/>
                <w:szCs w:val="22"/>
              </w:rPr>
              <w:t>9,926</w:t>
            </w:r>
          </w:p>
        </w:tc>
        <w:tc>
          <w:tcPr>
            <w:tcW w:w="3025" w:type="dxa"/>
            <w:gridSpan w:val="4"/>
            <w:tcBorders>
              <w:top w:val="nil"/>
              <w:left w:val="nil"/>
              <w:bottom w:val="single" w:sz="4" w:space="0" w:color="auto"/>
              <w:right w:val="single" w:sz="12" w:space="0" w:color="auto"/>
            </w:tcBorders>
            <w:shd w:val="clear" w:color="auto" w:fill="auto"/>
            <w:noWrap/>
            <w:vAlign w:val="center"/>
            <w:hideMark/>
          </w:tcPr>
          <w:p w14:paraId="678257B5" w14:textId="44967992" w:rsidR="007D6051" w:rsidRDefault="002A33FE">
            <w:pPr>
              <w:jc w:val="center"/>
              <w:rPr>
                <w:rFonts w:ascii="Calibri" w:hAnsi="Calibri"/>
                <w:color w:val="000000"/>
                <w:sz w:val="22"/>
                <w:szCs w:val="22"/>
              </w:rPr>
            </w:pPr>
            <w:r>
              <w:rPr>
                <w:rFonts w:ascii="Calibri" w:hAnsi="Calibri"/>
                <w:color w:val="000000"/>
                <w:sz w:val="22"/>
                <w:szCs w:val="22"/>
              </w:rPr>
              <w:t>9,933</w:t>
            </w:r>
            <w:r w:rsidR="007D6051">
              <w:rPr>
                <w:rFonts w:ascii="Calibri" w:hAnsi="Calibri"/>
                <w:color w:val="000000"/>
                <w:sz w:val="22"/>
                <w:szCs w:val="22"/>
              </w:rPr>
              <w:t> </w:t>
            </w:r>
          </w:p>
        </w:tc>
      </w:tr>
      <w:tr w:rsidR="007D6051" w14:paraId="4A65B4CE" w14:textId="77777777" w:rsidTr="00B753A2">
        <w:trPr>
          <w:trHeight w:val="300"/>
        </w:trPr>
        <w:tc>
          <w:tcPr>
            <w:tcW w:w="8983" w:type="dxa"/>
            <w:gridSpan w:val="8"/>
            <w:tcBorders>
              <w:top w:val="single" w:sz="4" w:space="0" w:color="auto"/>
              <w:left w:val="single" w:sz="12" w:space="0" w:color="auto"/>
              <w:bottom w:val="single" w:sz="4" w:space="0" w:color="auto"/>
              <w:right w:val="single" w:sz="12" w:space="0" w:color="000000"/>
            </w:tcBorders>
            <w:shd w:val="clear" w:color="auto" w:fill="auto"/>
            <w:noWrap/>
            <w:vAlign w:val="bottom"/>
            <w:hideMark/>
          </w:tcPr>
          <w:p w14:paraId="53359A1A" w14:textId="3108368B" w:rsidR="007D6051" w:rsidRDefault="007D6051">
            <w:pPr>
              <w:rPr>
                <w:rFonts w:ascii="Calibri" w:hAnsi="Calibri"/>
                <w:b/>
                <w:bCs/>
                <w:color w:val="000000"/>
                <w:sz w:val="22"/>
                <w:szCs w:val="22"/>
              </w:rPr>
            </w:pPr>
          </w:p>
        </w:tc>
      </w:tr>
      <w:tr w:rsidR="007D6051" w14:paraId="24D5F4A4" w14:textId="77777777" w:rsidTr="0002585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3AD6291D" w14:textId="4C10783B" w:rsidR="007D6051" w:rsidRPr="0002585C" w:rsidRDefault="006F2A25" w:rsidP="0002585C">
            <w:pPr>
              <w:ind w:firstLineChars="200" w:firstLine="440"/>
              <w:rPr>
                <w:rFonts w:ascii="Calibri" w:hAnsi="Calibri"/>
                <w:color w:val="000000"/>
                <w:sz w:val="22"/>
                <w:szCs w:val="22"/>
              </w:rPr>
            </w:pPr>
            <w:r w:rsidRPr="0002585C">
              <w:rPr>
                <w:rFonts w:ascii="Calibri" w:hAnsi="Calibri"/>
                <w:bCs/>
                <w:color w:val="000000"/>
                <w:sz w:val="22"/>
                <w:szCs w:val="22"/>
              </w:rPr>
              <w:t>Completed Screeners</w:t>
            </w:r>
          </w:p>
        </w:tc>
        <w:tc>
          <w:tcPr>
            <w:tcW w:w="2206" w:type="dxa"/>
            <w:gridSpan w:val="3"/>
            <w:tcBorders>
              <w:top w:val="nil"/>
              <w:left w:val="nil"/>
              <w:bottom w:val="single" w:sz="4" w:space="0" w:color="auto"/>
              <w:right w:val="single" w:sz="4" w:space="0" w:color="auto"/>
            </w:tcBorders>
            <w:shd w:val="clear" w:color="auto" w:fill="auto"/>
            <w:noWrap/>
            <w:vAlign w:val="center"/>
            <w:hideMark/>
          </w:tcPr>
          <w:p w14:paraId="44F4150D" w14:textId="77777777" w:rsidR="007D6051" w:rsidRDefault="007D6051">
            <w:pPr>
              <w:jc w:val="center"/>
              <w:rPr>
                <w:rFonts w:ascii="Calibri" w:hAnsi="Calibri"/>
                <w:color w:val="000000"/>
                <w:sz w:val="22"/>
                <w:szCs w:val="22"/>
              </w:rPr>
            </w:pPr>
            <w:r>
              <w:rPr>
                <w:rFonts w:ascii="Calibri" w:hAnsi="Calibri"/>
                <w:color w:val="000000"/>
                <w:sz w:val="22"/>
                <w:szCs w:val="22"/>
              </w:rPr>
              <w:t>7,273</w:t>
            </w:r>
          </w:p>
        </w:tc>
        <w:tc>
          <w:tcPr>
            <w:tcW w:w="3025" w:type="dxa"/>
            <w:gridSpan w:val="4"/>
            <w:tcBorders>
              <w:top w:val="nil"/>
              <w:left w:val="nil"/>
              <w:bottom w:val="single" w:sz="4" w:space="0" w:color="auto"/>
              <w:right w:val="single" w:sz="12" w:space="0" w:color="auto"/>
            </w:tcBorders>
            <w:shd w:val="clear" w:color="auto" w:fill="auto"/>
            <w:noWrap/>
            <w:vAlign w:val="center"/>
            <w:hideMark/>
          </w:tcPr>
          <w:p w14:paraId="62D8738E" w14:textId="77777777" w:rsidR="007D6051" w:rsidRDefault="007D6051">
            <w:pPr>
              <w:jc w:val="center"/>
              <w:rPr>
                <w:rFonts w:ascii="Calibri" w:hAnsi="Calibri"/>
                <w:color w:val="000000"/>
                <w:sz w:val="22"/>
                <w:szCs w:val="22"/>
              </w:rPr>
            </w:pPr>
            <w:r>
              <w:rPr>
                <w:rFonts w:ascii="Calibri" w:hAnsi="Calibri"/>
                <w:color w:val="000000"/>
                <w:sz w:val="22"/>
                <w:szCs w:val="22"/>
              </w:rPr>
              <w:t>7,304</w:t>
            </w:r>
          </w:p>
        </w:tc>
      </w:tr>
      <w:tr w:rsidR="007D6051" w14:paraId="0C1170C2" w14:textId="77777777" w:rsidTr="0002585C">
        <w:trPr>
          <w:trHeight w:val="300"/>
        </w:trPr>
        <w:tc>
          <w:tcPr>
            <w:tcW w:w="3752" w:type="dxa"/>
            <w:tcBorders>
              <w:top w:val="single" w:sz="4" w:space="0" w:color="auto"/>
              <w:left w:val="single" w:sz="12" w:space="0" w:color="auto"/>
              <w:bottom w:val="single" w:sz="12" w:space="0" w:color="auto"/>
              <w:right w:val="single" w:sz="4" w:space="0" w:color="auto"/>
            </w:tcBorders>
            <w:shd w:val="clear" w:color="auto" w:fill="auto"/>
            <w:noWrap/>
            <w:vAlign w:val="bottom"/>
            <w:hideMark/>
          </w:tcPr>
          <w:p w14:paraId="4A4695C7" w14:textId="30232DB1" w:rsidR="007D6051" w:rsidRPr="0002585C" w:rsidRDefault="006F2A25" w:rsidP="0002585C">
            <w:pPr>
              <w:ind w:firstLineChars="200" w:firstLine="440"/>
              <w:rPr>
                <w:rFonts w:ascii="Calibri" w:hAnsi="Calibri"/>
                <w:color w:val="000000"/>
                <w:sz w:val="22"/>
                <w:szCs w:val="22"/>
              </w:rPr>
            </w:pPr>
            <w:r w:rsidRPr="0002585C">
              <w:rPr>
                <w:rFonts w:ascii="Calibri" w:hAnsi="Calibri"/>
                <w:bCs/>
                <w:color w:val="000000"/>
                <w:sz w:val="22"/>
                <w:szCs w:val="22"/>
              </w:rPr>
              <w:t>Completed Main Interviews</w:t>
            </w:r>
          </w:p>
        </w:tc>
        <w:tc>
          <w:tcPr>
            <w:tcW w:w="2206" w:type="dxa"/>
            <w:gridSpan w:val="3"/>
            <w:tcBorders>
              <w:top w:val="single" w:sz="4" w:space="0" w:color="auto"/>
              <w:left w:val="nil"/>
              <w:bottom w:val="single" w:sz="12" w:space="0" w:color="auto"/>
              <w:right w:val="single" w:sz="4" w:space="0" w:color="auto"/>
            </w:tcBorders>
            <w:shd w:val="clear" w:color="auto" w:fill="auto"/>
            <w:noWrap/>
            <w:vAlign w:val="center"/>
            <w:hideMark/>
          </w:tcPr>
          <w:p w14:paraId="10ECCBA3" w14:textId="77777777" w:rsidR="007D6051" w:rsidRDefault="007D6051">
            <w:pPr>
              <w:jc w:val="center"/>
              <w:rPr>
                <w:rFonts w:ascii="Calibri" w:hAnsi="Calibri"/>
                <w:color w:val="000000"/>
                <w:sz w:val="22"/>
                <w:szCs w:val="22"/>
              </w:rPr>
            </w:pPr>
            <w:r>
              <w:rPr>
                <w:rFonts w:ascii="Calibri" w:hAnsi="Calibri"/>
                <w:color w:val="000000"/>
                <w:sz w:val="22"/>
                <w:szCs w:val="22"/>
              </w:rPr>
              <w:t>2,173</w:t>
            </w:r>
          </w:p>
        </w:tc>
        <w:tc>
          <w:tcPr>
            <w:tcW w:w="3025" w:type="dxa"/>
            <w:gridSpan w:val="4"/>
            <w:tcBorders>
              <w:top w:val="single" w:sz="4" w:space="0" w:color="auto"/>
              <w:left w:val="nil"/>
              <w:bottom w:val="single" w:sz="12" w:space="0" w:color="auto"/>
              <w:right w:val="single" w:sz="12" w:space="0" w:color="auto"/>
            </w:tcBorders>
            <w:shd w:val="clear" w:color="auto" w:fill="auto"/>
            <w:noWrap/>
            <w:vAlign w:val="center"/>
            <w:hideMark/>
          </w:tcPr>
          <w:p w14:paraId="674CE59C" w14:textId="77777777" w:rsidR="007D6051" w:rsidRDefault="007D6051">
            <w:pPr>
              <w:jc w:val="center"/>
              <w:rPr>
                <w:rFonts w:ascii="Calibri" w:hAnsi="Calibri"/>
                <w:color w:val="000000"/>
                <w:sz w:val="22"/>
                <w:szCs w:val="22"/>
              </w:rPr>
            </w:pPr>
            <w:r>
              <w:rPr>
                <w:rFonts w:ascii="Calibri" w:hAnsi="Calibri"/>
                <w:color w:val="000000"/>
                <w:sz w:val="22"/>
                <w:szCs w:val="22"/>
              </w:rPr>
              <w:t>2,495</w:t>
            </w:r>
          </w:p>
        </w:tc>
      </w:tr>
      <w:tr w:rsidR="0002585C" w14:paraId="607B0D3C" w14:textId="77777777" w:rsidTr="00B753A2">
        <w:trPr>
          <w:trHeight w:val="315"/>
        </w:trPr>
        <w:tc>
          <w:tcPr>
            <w:tcW w:w="8983" w:type="dxa"/>
            <w:gridSpan w:val="8"/>
            <w:tcBorders>
              <w:top w:val="single" w:sz="12" w:space="0" w:color="auto"/>
              <w:left w:val="single" w:sz="12" w:space="0" w:color="auto"/>
              <w:bottom w:val="single" w:sz="4" w:space="0" w:color="auto"/>
              <w:right w:val="single" w:sz="12" w:space="0" w:color="000000"/>
            </w:tcBorders>
            <w:shd w:val="clear" w:color="auto" w:fill="auto"/>
            <w:noWrap/>
            <w:vAlign w:val="bottom"/>
          </w:tcPr>
          <w:p w14:paraId="6F99205A" w14:textId="77777777" w:rsidR="0002585C" w:rsidRDefault="0002585C" w:rsidP="009E5E52">
            <w:pPr>
              <w:rPr>
                <w:rFonts w:ascii="Calibri" w:hAnsi="Calibri"/>
                <w:b/>
                <w:bCs/>
                <w:color w:val="000000"/>
                <w:sz w:val="22"/>
                <w:szCs w:val="22"/>
              </w:rPr>
            </w:pPr>
          </w:p>
        </w:tc>
      </w:tr>
      <w:tr w:rsidR="009E5E52" w14:paraId="1375D59B" w14:textId="77777777" w:rsidTr="00B753A2">
        <w:trPr>
          <w:trHeight w:val="315"/>
        </w:trPr>
        <w:tc>
          <w:tcPr>
            <w:tcW w:w="8983" w:type="dxa"/>
            <w:gridSpan w:val="8"/>
            <w:tcBorders>
              <w:top w:val="single" w:sz="12" w:space="0" w:color="auto"/>
              <w:left w:val="single" w:sz="12" w:space="0" w:color="auto"/>
              <w:bottom w:val="single" w:sz="4" w:space="0" w:color="auto"/>
              <w:right w:val="single" w:sz="12" w:space="0" w:color="000000"/>
            </w:tcBorders>
            <w:shd w:val="clear" w:color="auto" w:fill="auto"/>
            <w:noWrap/>
            <w:vAlign w:val="bottom"/>
            <w:hideMark/>
          </w:tcPr>
          <w:p w14:paraId="51CF2972" w14:textId="6855AC15" w:rsidR="009E5E52" w:rsidRDefault="009E5E52" w:rsidP="009E5E52">
            <w:pPr>
              <w:rPr>
                <w:rFonts w:ascii="Calibri" w:hAnsi="Calibri"/>
                <w:b/>
                <w:bCs/>
                <w:color w:val="000000"/>
                <w:sz w:val="22"/>
                <w:szCs w:val="22"/>
              </w:rPr>
            </w:pPr>
            <w:r>
              <w:rPr>
                <w:rFonts w:ascii="Calibri" w:hAnsi="Calibri"/>
                <w:b/>
                <w:bCs/>
                <w:color w:val="000000"/>
                <w:sz w:val="22"/>
                <w:szCs w:val="22"/>
              </w:rPr>
              <w:t>Screener and Main Completion Rates and Combined Response Rates</w:t>
            </w:r>
          </w:p>
        </w:tc>
      </w:tr>
      <w:tr w:rsidR="009E5E52" w14:paraId="23DBE38F" w14:textId="77777777" w:rsidTr="00B753A2">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2A9050F5" w14:textId="77777777" w:rsidR="009E5E52" w:rsidRDefault="009E5E52" w:rsidP="009E5E52">
            <w:pPr>
              <w:rPr>
                <w:rFonts w:ascii="Calibri" w:hAnsi="Calibri"/>
                <w:color w:val="000000"/>
                <w:sz w:val="22"/>
                <w:szCs w:val="22"/>
              </w:rPr>
            </w:pPr>
            <w:r>
              <w:rPr>
                <w:rFonts w:ascii="Calibri" w:hAnsi="Calibri"/>
                <w:color w:val="000000"/>
                <w:sz w:val="22"/>
                <w:szCs w:val="22"/>
              </w:rPr>
              <w:t> </w:t>
            </w:r>
          </w:p>
        </w:tc>
        <w:tc>
          <w:tcPr>
            <w:tcW w:w="276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7EA2F0" w14:textId="77777777" w:rsidR="009E5E52" w:rsidRPr="0002585C" w:rsidRDefault="009E5E52" w:rsidP="009E5E52">
            <w:pPr>
              <w:jc w:val="center"/>
              <w:rPr>
                <w:rFonts w:ascii="Calibri" w:hAnsi="Calibri"/>
                <w:b/>
                <w:color w:val="000000"/>
                <w:sz w:val="22"/>
                <w:szCs w:val="22"/>
              </w:rPr>
            </w:pPr>
            <w:r w:rsidRPr="0002585C">
              <w:rPr>
                <w:rFonts w:ascii="Calibri" w:hAnsi="Calibri"/>
                <w:b/>
                <w:color w:val="000000"/>
                <w:sz w:val="22"/>
                <w:szCs w:val="22"/>
              </w:rPr>
              <w:t xml:space="preserve">$40 </w:t>
            </w:r>
          </w:p>
        </w:tc>
        <w:tc>
          <w:tcPr>
            <w:tcW w:w="2467" w:type="dxa"/>
            <w:gridSpan w:val="3"/>
            <w:tcBorders>
              <w:top w:val="single" w:sz="4" w:space="0" w:color="auto"/>
              <w:left w:val="nil"/>
              <w:bottom w:val="single" w:sz="4" w:space="0" w:color="auto"/>
              <w:right w:val="single" w:sz="12" w:space="0" w:color="000000"/>
            </w:tcBorders>
            <w:shd w:val="clear" w:color="auto" w:fill="auto"/>
            <w:noWrap/>
            <w:vAlign w:val="center"/>
            <w:hideMark/>
          </w:tcPr>
          <w:p w14:paraId="7E3DCC84" w14:textId="77777777" w:rsidR="009E5E52" w:rsidRPr="0002585C" w:rsidRDefault="009E5E52" w:rsidP="009E5E52">
            <w:pPr>
              <w:jc w:val="center"/>
              <w:rPr>
                <w:rFonts w:ascii="Calibri" w:hAnsi="Calibri"/>
                <w:b/>
                <w:color w:val="000000"/>
                <w:sz w:val="22"/>
                <w:szCs w:val="22"/>
              </w:rPr>
            </w:pPr>
            <w:r w:rsidRPr="0002585C">
              <w:rPr>
                <w:rFonts w:ascii="Calibri" w:hAnsi="Calibri"/>
                <w:b/>
                <w:color w:val="000000"/>
                <w:sz w:val="22"/>
                <w:szCs w:val="22"/>
              </w:rPr>
              <w:t xml:space="preserve">$60 </w:t>
            </w:r>
          </w:p>
        </w:tc>
      </w:tr>
      <w:tr w:rsidR="009E5E52" w14:paraId="35E7801F" w14:textId="77777777" w:rsidTr="00B753A2">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45B5A550" w14:textId="77777777" w:rsidR="009E5E52" w:rsidRDefault="009E5E52" w:rsidP="009E5E52">
            <w:pPr>
              <w:rPr>
                <w:rFonts w:ascii="Calibri" w:hAnsi="Calibri"/>
                <w:color w:val="000000"/>
                <w:sz w:val="22"/>
                <w:szCs w:val="22"/>
              </w:rPr>
            </w:pPr>
            <w:r>
              <w:rPr>
                <w:rFonts w:ascii="Calibri" w:hAnsi="Calibri"/>
                <w:color w:val="000000"/>
                <w:sz w:val="22"/>
                <w:szCs w:val="22"/>
              </w:rPr>
              <w:t> </w:t>
            </w:r>
          </w:p>
        </w:tc>
        <w:tc>
          <w:tcPr>
            <w:tcW w:w="1014" w:type="dxa"/>
            <w:tcBorders>
              <w:top w:val="nil"/>
              <w:left w:val="nil"/>
              <w:bottom w:val="single" w:sz="4" w:space="0" w:color="auto"/>
              <w:right w:val="single" w:sz="4" w:space="0" w:color="auto"/>
            </w:tcBorders>
            <w:shd w:val="clear" w:color="auto" w:fill="auto"/>
            <w:noWrap/>
            <w:vAlign w:val="center"/>
            <w:hideMark/>
          </w:tcPr>
          <w:p w14:paraId="6493C906" w14:textId="77777777" w:rsidR="009E5E52" w:rsidRDefault="009E5E52" w:rsidP="009E5E52">
            <w:pPr>
              <w:jc w:val="center"/>
              <w:rPr>
                <w:rFonts w:ascii="Calibri" w:hAnsi="Calibri"/>
                <w:color w:val="000000"/>
                <w:sz w:val="22"/>
                <w:szCs w:val="22"/>
              </w:rPr>
            </w:pPr>
            <w:r>
              <w:rPr>
                <w:rFonts w:ascii="Calibri" w:hAnsi="Calibri"/>
                <w:color w:val="000000"/>
                <w:sz w:val="22"/>
                <w:szCs w:val="22"/>
              </w:rPr>
              <w:t>N</w:t>
            </w:r>
          </w:p>
        </w:tc>
        <w:tc>
          <w:tcPr>
            <w:tcW w:w="875" w:type="dxa"/>
            <w:tcBorders>
              <w:top w:val="nil"/>
              <w:left w:val="nil"/>
              <w:bottom w:val="single" w:sz="4" w:space="0" w:color="auto"/>
              <w:right w:val="single" w:sz="4" w:space="0" w:color="auto"/>
            </w:tcBorders>
            <w:shd w:val="clear" w:color="auto" w:fill="auto"/>
            <w:noWrap/>
            <w:vAlign w:val="center"/>
            <w:hideMark/>
          </w:tcPr>
          <w:p w14:paraId="1493D8A7" w14:textId="77777777" w:rsidR="009E5E52" w:rsidRDefault="009E5E52" w:rsidP="009E5E52">
            <w:pPr>
              <w:jc w:val="center"/>
              <w:rPr>
                <w:rFonts w:ascii="Calibri" w:hAnsi="Calibri"/>
                <w:color w:val="000000"/>
                <w:sz w:val="22"/>
                <w:szCs w:val="22"/>
              </w:rPr>
            </w:pPr>
            <w:r>
              <w:rPr>
                <w:rFonts w:ascii="Calibri" w:hAnsi="Calibri"/>
                <w:color w:val="000000"/>
                <w:sz w:val="22"/>
                <w:szCs w:val="22"/>
              </w:rPr>
              <w:t>%</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6EB409C" w14:textId="77777777" w:rsidR="009E5E52" w:rsidRDefault="009E5E52" w:rsidP="009E5E52">
            <w:pPr>
              <w:jc w:val="center"/>
              <w:rPr>
                <w:rFonts w:ascii="Calibri" w:hAnsi="Calibri"/>
                <w:color w:val="000000"/>
                <w:sz w:val="22"/>
                <w:szCs w:val="22"/>
              </w:rPr>
            </w:pPr>
            <w:r>
              <w:rPr>
                <w:rFonts w:ascii="Calibri" w:hAnsi="Calibri"/>
                <w:color w:val="000000"/>
                <w:sz w:val="22"/>
                <w:szCs w:val="22"/>
              </w:rPr>
              <w:t>SE(%)</w:t>
            </w:r>
          </w:p>
        </w:tc>
        <w:tc>
          <w:tcPr>
            <w:tcW w:w="717" w:type="dxa"/>
            <w:tcBorders>
              <w:top w:val="nil"/>
              <w:left w:val="nil"/>
              <w:bottom w:val="single" w:sz="4" w:space="0" w:color="auto"/>
              <w:right w:val="single" w:sz="4" w:space="0" w:color="auto"/>
            </w:tcBorders>
            <w:shd w:val="clear" w:color="auto" w:fill="auto"/>
            <w:noWrap/>
            <w:vAlign w:val="center"/>
            <w:hideMark/>
          </w:tcPr>
          <w:p w14:paraId="0A1A4E28" w14:textId="77777777" w:rsidR="009E5E52" w:rsidRDefault="009E5E52" w:rsidP="009E5E52">
            <w:pPr>
              <w:jc w:val="center"/>
              <w:rPr>
                <w:rFonts w:ascii="Calibri" w:hAnsi="Calibri"/>
                <w:color w:val="000000"/>
                <w:sz w:val="22"/>
                <w:szCs w:val="22"/>
              </w:rPr>
            </w:pPr>
            <w:r>
              <w:rPr>
                <w:rFonts w:ascii="Calibri" w:hAnsi="Calibri"/>
                <w:color w:val="000000"/>
                <w:sz w:val="22"/>
                <w:szCs w:val="22"/>
              </w:rPr>
              <w:t>N</w:t>
            </w:r>
          </w:p>
        </w:tc>
        <w:tc>
          <w:tcPr>
            <w:tcW w:w="875" w:type="dxa"/>
            <w:tcBorders>
              <w:top w:val="nil"/>
              <w:left w:val="nil"/>
              <w:bottom w:val="single" w:sz="4" w:space="0" w:color="auto"/>
              <w:right w:val="single" w:sz="4" w:space="0" w:color="auto"/>
            </w:tcBorders>
            <w:shd w:val="clear" w:color="auto" w:fill="auto"/>
            <w:noWrap/>
            <w:vAlign w:val="center"/>
            <w:hideMark/>
          </w:tcPr>
          <w:p w14:paraId="2E3511D3" w14:textId="77777777" w:rsidR="009E5E52" w:rsidRDefault="009E5E52" w:rsidP="009E5E52">
            <w:pPr>
              <w:jc w:val="center"/>
              <w:rPr>
                <w:rFonts w:ascii="Calibri" w:hAnsi="Calibri"/>
                <w:color w:val="000000"/>
                <w:sz w:val="22"/>
                <w:szCs w:val="22"/>
              </w:rPr>
            </w:pPr>
            <w:r>
              <w:rPr>
                <w:rFonts w:ascii="Calibri" w:hAnsi="Calibri"/>
                <w:color w:val="000000"/>
                <w:sz w:val="22"/>
                <w:szCs w:val="22"/>
              </w:rPr>
              <w:t>%</w:t>
            </w:r>
          </w:p>
        </w:tc>
        <w:tc>
          <w:tcPr>
            <w:tcW w:w="875" w:type="dxa"/>
            <w:tcBorders>
              <w:top w:val="nil"/>
              <w:left w:val="nil"/>
              <w:bottom w:val="single" w:sz="4" w:space="0" w:color="auto"/>
              <w:right w:val="single" w:sz="12" w:space="0" w:color="auto"/>
            </w:tcBorders>
            <w:shd w:val="clear" w:color="auto" w:fill="auto"/>
            <w:noWrap/>
            <w:vAlign w:val="center"/>
            <w:hideMark/>
          </w:tcPr>
          <w:p w14:paraId="44F99575" w14:textId="77777777" w:rsidR="009E5E52" w:rsidRDefault="009E5E52" w:rsidP="009E5E52">
            <w:pPr>
              <w:jc w:val="center"/>
              <w:rPr>
                <w:rFonts w:ascii="Calibri" w:hAnsi="Calibri"/>
                <w:color w:val="000000"/>
                <w:sz w:val="22"/>
                <w:szCs w:val="22"/>
              </w:rPr>
            </w:pPr>
            <w:r>
              <w:rPr>
                <w:rFonts w:ascii="Calibri" w:hAnsi="Calibri"/>
                <w:color w:val="000000"/>
                <w:sz w:val="22"/>
                <w:szCs w:val="22"/>
              </w:rPr>
              <w:t>SE(%)</w:t>
            </w:r>
          </w:p>
        </w:tc>
      </w:tr>
      <w:tr w:rsidR="009E5E52" w14:paraId="68E67DC2" w14:textId="77777777" w:rsidTr="00B753A2">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0D2AFE34" w14:textId="77777777" w:rsidR="009E5E52" w:rsidRPr="0002585C" w:rsidRDefault="009E5E52" w:rsidP="0002585C">
            <w:pPr>
              <w:ind w:firstLineChars="200" w:firstLine="440"/>
              <w:rPr>
                <w:rFonts w:ascii="Calibri" w:hAnsi="Calibri"/>
                <w:color w:val="000000"/>
                <w:sz w:val="22"/>
                <w:szCs w:val="22"/>
              </w:rPr>
            </w:pPr>
            <w:r w:rsidRPr="0002585C">
              <w:rPr>
                <w:rFonts w:ascii="Calibri" w:hAnsi="Calibri"/>
                <w:bCs/>
                <w:color w:val="000000"/>
                <w:sz w:val="22"/>
                <w:szCs w:val="22"/>
              </w:rPr>
              <w:t>Screener Completion Rates</w:t>
            </w:r>
          </w:p>
        </w:tc>
        <w:tc>
          <w:tcPr>
            <w:tcW w:w="1014" w:type="dxa"/>
            <w:tcBorders>
              <w:top w:val="nil"/>
              <w:left w:val="nil"/>
              <w:bottom w:val="single" w:sz="4" w:space="0" w:color="auto"/>
              <w:right w:val="single" w:sz="4" w:space="0" w:color="auto"/>
            </w:tcBorders>
            <w:shd w:val="clear" w:color="auto" w:fill="auto"/>
            <w:noWrap/>
            <w:vAlign w:val="center"/>
            <w:hideMark/>
          </w:tcPr>
          <w:p w14:paraId="4566DBAB" w14:textId="77777777" w:rsidR="009E5E52" w:rsidRDefault="009E5E52" w:rsidP="009E5E52">
            <w:pPr>
              <w:jc w:val="center"/>
              <w:rPr>
                <w:rFonts w:ascii="Calibri" w:hAnsi="Calibri"/>
                <w:color w:val="000000"/>
                <w:sz w:val="22"/>
                <w:szCs w:val="22"/>
              </w:rPr>
            </w:pPr>
            <w:r>
              <w:rPr>
                <w:rFonts w:ascii="Calibri" w:hAnsi="Calibri"/>
                <w:color w:val="000000"/>
                <w:sz w:val="22"/>
                <w:szCs w:val="22"/>
              </w:rPr>
              <w:t>8,587</w:t>
            </w:r>
          </w:p>
        </w:tc>
        <w:tc>
          <w:tcPr>
            <w:tcW w:w="875" w:type="dxa"/>
            <w:tcBorders>
              <w:top w:val="nil"/>
              <w:left w:val="nil"/>
              <w:bottom w:val="single" w:sz="4" w:space="0" w:color="auto"/>
              <w:right w:val="single" w:sz="4" w:space="0" w:color="auto"/>
            </w:tcBorders>
            <w:shd w:val="clear" w:color="auto" w:fill="auto"/>
            <w:noWrap/>
            <w:vAlign w:val="center"/>
            <w:hideMark/>
          </w:tcPr>
          <w:p w14:paraId="1606139A" w14:textId="77777777" w:rsidR="009E5E52" w:rsidRDefault="009E5E52" w:rsidP="009E5E52">
            <w:pPr>
              <w:jc w:val="center"/>
              <w:rPr>
                <w:rFonts w:ascii="Calibri" w:hAnsi="Calibri"/>
                <w:color w:val="000000"/>
                <w:sz w:val="22"/>
                <w:szCs w:val="22"/>
              </w:rPr>
            </w:pPr>
            <w:r>
              <w:rPr>
                <w:rFonts w:ascii="Calibri" w:hAnsi="Calibri"/>
                <w:color w:val="000000"/>
                <w:sz w:val="22"/>
                <w:szCs w:val="22"/>
              </w:rPr>
              <w:t>84.7%</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22AC4AE" w14:textId="77777777" w:rsidR="009E5E52" w:rsidRDefault="009E5E52" w:rsidP="009E5E52">
            <w:pPr>
              <w:jc w:val="center"/>
              <w:rPr>
                <w:rFonts w:ascii="Calibri" w:hAnsi="Calibri"/>
                <w:color w:val="000000"/>
                <w:sz w:val="22"/>
                <w:szCs w:val="22"/>
              </w:rPr>
            </w:pPr>
            <w:r>
              <w:rPr>
                <w:rFonts w:ascii="Calibri" w:hAnsi="Calibri"/>
                <w:color w:val="000000"/>
                <w:sz w:val="22"/>
                <w:szCs w:val="22"/>
              </w:rPr>
              <w:t>0.4%</w:t>
            </w:r>
          </w:p>
        </w:tc>
        <w:tc>
          <w:tcPr>
            <w:tcW w:w="717" w:type="dxa"/>
            <w:tcBorders>
              <w:top w:val="nil"/>
              <w:left w:val="nil"/>
              <w:bottom w:val="single" w:sz="4" w:space="0" w:color="auto"/>
              <w:right w:val="single" w:sz="4" w:space="0" w:color="auto"/>
            </w:tcBorders>
            <w:shd w:val="clear" w:color="auto" w:fill="auto"/>
            <w:noWrap/>
            <w:vAlign w:val="center"/>
            <w:hideMark/>
          </w:tcPr>
          <w:p w14:paraId="3DC7F07F" w14:textId="77777777" w:rsidR="009E5E52" w:rsidRDefault="009E5E52" w:rsidP="009E5E52">
            <w:pPr>
              <w:jc w:val="center"/>
              <w:rPr>
                <w:rFonts w:ascii="Calibri" w:hAnsi="Calibri"/>
                <w:color w:val="000000"/>
                <w:sz w:val="22"/>
                <w:szCs w:val="22"/>
              </w:rPr>
            </w:pPr>
            <w:r>
              <w:rPr>
                <w:rFonts w:ascii="Calibri" w:hAnsi="Calibri"/>
                <w:color w:val="000000"/>
                <w:sz w:val="22"/>
                <w:szCs w:val="22"/>
              </w:rPr>
              <w:t>8,747</w:t>
            </w:r>
          </w:p>
        </w:tc>
        <w:tc>
          <w:tcPr>
            <w:tcW w:w="875" w:type="dxa"/>
            <w:tcBorders>
              <w:top w:val="nil"/>
              <w:left w:val="nil"/>
              <w:bottom w:val="single" w:sz="4" w:space="0" w:color="auto"/>
              <w:right w:val="single" w:sz="4" w:space="0" w:color="auto"/>
            </w:tcBorders>
            <w:shd w:val="clear" w:color="auto" w:fill="auto"/>
            <w:noWrap/>
            <w:vAlign w:val="center"/>
            <w:hideMark/>
          </w:tcPr>
          <w:p w14:paraId="3A621533" w14:textId="77777777" w:rsidR="009E5E52" w:rsidRDefault="009E5E52" w:rsidP="009E5E52">
            <w:pPr>
              <w:jc w:val="center"/>
              <w:rPr>
                <w:rFonts w:ascii="Calibri" w:hAnsi="Calibri"/>
                <w:color w:val="000000"/>
                <w:sz w:val="22"/>
                <w:szCs w:val="22"/>
              </w:rPr>
            </w:pPr>
            <w:r>
              <w:rPr>
                <w:rFonts w:ascii="Calibri" w:hAnsi="Calibri"/>
                <w:color w:val="000000"/>
                <w:sz w:val="22"/>
                <w:szCs w:val="22"/>
              </w:rPr>
              <w:t>83.5%</w:t>
            </w:r>
          </w:p>
        </w:tc>
        <w:tc>
          <w:tcPr>
            <w:tcW w:w="875" w:type="dxa"/>
            <w:tcBorders>
              <w:top w:val="nil"/>
              <w:left w:val="nil"/>
              <w:bottom w:val="single" w:sz="4" w:space="0" w:color="auto"/>
              <w:right w:val="single" w:sz="12" w:space="0" w:color="auto"/>
            </w:tcBorders>
            <w:shd w:val="clear" w:color="auto" w:fill="auto"/>
            <w:noWrap/>
            <w:vAlign w:val="center"/>
            <w:hideMark/>
          </w:tcPr>
          <w:p w14:paraId="5FD426EF" w14:textId="77777777" w:rsidR="009E5E52" w:rsidRDefault="009E5E52" w:rsidP="009E5E52">
            <w:pPr>
              <w:jc w:val="center"/>
              <w:rPr>
                <w:rFonts w:ascii="Calibri" w:hAnsi="Calibri"/>
                <w:color w:val="000000"/>
                <w:sz w:val="22"/>
                <w:szCs w:val="22"/>
              </w:rPr>
            </w:pPr>
            <w:r>
              <w:rPr>
                <w:rFonts w:ascii="Calibri" w:hAnsi="Calibri"/>
                <w:color w:val="000000"/>
                <w:sz w:val="22"/>
                <w:szCs w:val="22"/>
              </w:rPr>
              <w:t>0.4%</w:t>
            </w:r>
          </w:p>
        </w:tc>
      </w:tr>
      <w:tr w:rsidR="009E5E52" w14:paraId="2D9A3C04" w14:textId="77777777" w:rsidTr="00B753A2">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6D735AA2" w14:textId="77777777" w:rsidR="009E5E52" w:rsidRPr="0002585C" w:rsidRDefault="009E5E52" w:rsidP="0002585C">
            <w:pPr>
              <w:ind w:firstLineChars="200" w:firstLine="440"/>
              <w:rPr>
                <w:rFonts w:ascii="Calibri" w:hAnsi="Calibri"/>
                <w:color w:val="000000"/>
                <w:sz w:val="22"/>
                <w:szCs w:val="22"/>
              </w:rPr>
            </w:pPr>
            <w:r w:rsidRPr="0002585C">
              <w:rPr>
                <w:rFonts w:ascii="Calibri" w:hAnsi="Calibri"/>
                <w:bCs/>
                <w:color w:val="000000"/>
                <w:sz w:val="22"/>
                <w:szCs w:val="22"/>
              </w:rPr>
              <w:t>Main Completion Rates</w:t>
            </w:r>
          </w:p>
        </w:tc>
        <w:tc>
          <w:tcPr>
            <w:tcW w:w="1014" w:type="dxa"/>
            <w:tcBorders>
              <w:top w:val="nil"/>
              <w:left w:val="nil"/>
              <w:bottom w:val="single" w:sz="4" w:space="0" w:color="auto"/>
              <w:right w:val="single" w:sz="4" w:space="0" w:color="auto"/>
            </w:tcBorders>
            <w:shd w:val="clear" w:color="auto" w:fill="auto"/>
            <w:noWrap/>
            <w:vAlign w:val="center"/>
            <w:hideMark/>
          </w:tcPr>
          <w:p w14:paraId="7D68ECE9" w14:textId="77777777" w:rsidR="009E5E52" w:rsidRDefault="009E5E52" w:rsidP="009E5E52">
            <w:pPr>
              <w:jc w:val="center"/>
              <w:rPr>
                <w:rFonts w:ascii="Calibri" w:hAnsi="Calibri"/>
                <w:color w:val="000000"/>
                <w:sz w:val="22"/>
                <w:szCs w:val="22"/>
              </w:rPr>
            </w:pPr>
            <w:r>
              <w:rPr>
                <w:rFonts w:ascii="Calibri" w:hAnsi="Calibri"/>
                <w:color w:val="000000"/>
                <w:sz w:val="22"/>
                <w:szCs w:val="22"/>
              </w:rPr>
              <w:t>3,494</w:t>
            </w:r>
          </w:p>
        </w:tc>
        <w:tc>
          <w:tcPr>
            <w:tcW w:w="875" w:type="dxa"/>
            <w:tcBorders>
              <w:top w:val="nil"/>
              <w:left w:val="nil"/>
              <w:bottom w:val="single" w:sz="4" w:space="0" w:color="auto"/>
              <w:right w:val="single" w:sz="4" w:space="0" w:color="auto"/>
            </w:tcBorders>
            <w:shd w:val="clear" w:color="auto" w:fill="auto"/>
            <w:noWrap/>
            <w:vAlign w:val="center"/>
            <w:hideMark/>
          </w:tcPr>
          <w:p w14:paraId="3D55B4C9" w14:textId="77777777" w:rsidR="009E5E52" w:rsidRDefault="009E5E52" w:rsidP="009E5E52">
            <w:pPr>
              <w:jc w:val="center"/>
              <w:rPr>
                <w:rFonts w:ascii="Calibri" w:hAnsi="Calibri"/>
                <w:color w:val="000000"/>
                <w:sz w:val="22"/>
                <w:szCs w:val="22"/>
              </w:rPr>
            </w:pPr>
            <w:r>
              <w:rPr>
                <w:rFonts w:ascii="Calibri" w:hAnsi="Calibri"/>
                <w:color w:val="000000"/>
                <w:sz w:val="22"/>
                <w:szCs w:val="22"/>
              </w:rPr>
              <w:t>62.2%</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C054C87" w14:textId="77777777" w:rsidR="009E5E52" w:rsidRDefault="009E5E52" w:rsidP="009E5E52">
            <w:pPr>
              <w:jc w:val="center"/>
              <w:rPr>
                <w:rFonts w:ascii="Calibri" w:hAnsi="Calibri"/>
                <w:color w:val="000000"/>
                <w:sz w:val="22"/>
                <w:szCs w:val="22"/>
              </w:rPr>
            </w:pPr>
            <w:r>
              <w:rPr>
                <w:rFonts w:ascii="Calibri" w:hAnsi="Calibri"/>
                <w:color w:val="000000"/>
                <w:sz w:val="22"/>
                <w:szCs w:val="22"/>
              </w:rPr>
              <w:t>0.8%</w:t>
            </w:r>
          </w:p>
        </w:tc>
        <w:tc>
          <w:tcPr>
            <w:tcW w:w="717" w:type="dxa"/>
            <w:tcBorders>
              <w:top w:val="nil"/>
              <w:left w:val="nil"/>
              <w:bottom w:val="single" w:sz="4" w:space="0" w:color="auto"/>
              <w:right w:val="single" w:sz="4" w:space="0" w:color="auto"/>
            </w:tcBorders>
            <w:shd w:val="clear" w:color="auto" w:fill="auto"/>
            <w:noWrap/>
            <w:vAlign w:val="center"/>
            <w:hideMark/>
          </w:tcPr>
          <w:p w14:paraId="125591CA" w14:textId="77777777" w:rsidR="009E5E52" w:rsidRDefault="009E5E52" w:rsidP="009E5E52">
            <w:pPr>
              <w:jc w:val="center"/>
              <w:rPr>
                <w:rFonts w:ascii="Calibri" w:hAnsi="Calibri"/>
                <w:color w:val="000000"/>
                <w:sz w:val="22"/>
                <w:szCs w:val="22"/>
              </w:rPr>
            </w:pPr>
            <w:r>
              <w:rPr>
                <w:rFonts w:ascii="Calibri" w:hAnsi="Calibri"/>
                <w:color w:val="000000"/>
                <w:sz w:val="22"/>
                <w:szCs w:val="22"/>
              </w:rPr>
              <w:t>3,728</w:t>
            </w:r>
          </w:p>
        </w:tc>
        <w:tc>
          <w:tcPr>
            <w:tcW w:w="875" w:type="dxa"/>
            <w:tcBorders>
              <w:top w:val="nil"/>
              <w:left w:val="nil"/>
              <w:bottom w:val="single" w:sz="4" w:space="0" w:color="auto"/>
              <w:right w:val="single" w:sz="4" w:space="0" w:color="auto"/>
            </w:tcBorders>
            <w:shd w:val="clear" w:color="auto" w:fill="auto"/>
            <w:noWrap/>
            <w:vAlign w:val="center"/>
            <w:hideMark/>
          </w:tcPr>
          <w:p w14:paraId="77C6B571" w14:textId="77777777" w:rsidR="009E5E52" w:rsidRDefault="009E5E52" w:rsidP="009E5E52">
            <w:pPr>
              <w:jc w:val="center"/>
              <w:rPr>
                <w:rFonts w:ascii="Calibri" w:hAnsi="Calibri"/>
                <w:color w:val="000000"/>
                <w:sz w:val="22"/>
                <w:szCs w:val="22"/>
              </w:rPr>
            </w:pPr>
            <w:r>
              <w:rPr>
                <w:rFonts w:ascii="Calibri" w:hAnsi="Calibri"/>
                <w:color w:val="000000"/>
                <w:sz w:val="22"/>
                <w:szCs w:val="22"/>
              </w:rPr>
              <w:t>66.9%</w:t>
            </w:r>
          </w:p>
        </w:tc>
        <w:tc>
          <w:tcPr>
            <w:tcW w:w="875" w:type="dxa"/>
            <w:tcBorders>
              <w:top w:val="nil"/>
              <w:left w:val="nil"/>
              <w:bottom w:val="single" w:sz="4" w:space="0" w:color="auto"/>
              <w:right w:val="single" w:sz="12" w:space="0" w:color="auto"/>
            </w:tcBorders>
            <w:shd w:val="clear" w:color="auto" w:fill="auto"/>
            <w:noWrap/>
            <w:vAlign w:val="center"/>
            <w:hideMark/>
          </w:tcPr>
          <w:p w14:paraId="1D2B9FB2" w14:textId="77777777" w:rsidR="009E5E52" w:rsidRDefault="009E5E52" w:rsidP="009E5E52">
            <w:pPr>
              <w:jc w:val="center"/>
              <w:rPr>
                <w:rFonts w:ascii="Calibri" w:hAnsi="Calibri"/>
                <w:color w:val="000000"/>
                <w:sz w:val="22"/>
                <w:szCs w:val="22"/>
              </w:rPr>
            </w:pPr>
            <w:r>
              <w:rPr>
                <w:rFonts w:ascii="Calibri" w:hAnsi="Calibri"/>
                <w:color w:val="000000"/>
                <w:sz w:val="22"/>
                <w:szCs w:val="22"/>
              </w:rPr>
              <w:t>0.8%</w:t>
            </w:r>
          </w:p>
        </w:tc>
      </w:tr>
      <w:tr w:rsidR="009E5E52" w14:paraId="559F42F1" w14:textId="77777777" w:rsidTr="00B753A2">
        <w:trPr>
          <w:trHeight w:val="300"/>
        </w:trPr>
        <w:tc>
          <w:tcPr>
            <w:tcW w:w="375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0FD42D1" w14:textId="77777777" w:rsidR="009E5E52" w:rsidRPr="0002585C" w:rsidRDefault="009E5E52" w:rsidP="0002585C">
            <w:pPr>
              <w:ind w:firstLineChars="200" w:firstLine="440"/>
              <w:rPr>
                <w:rFonts w:ascii="Calibri" w:hAnsi="Calibri"/>
                <w:color w:val="000000"/>
                <w:sz w:val="22"/>
                <w:szCs w:val="22"/>
              </w:rPr>
            </w:pPr>
            <w:r w:rsidRPr="0002585C">
              <w:rPr>
                <w:rFonts w:ascii="Calibri" w:hAnsi="Calibri"/>
                <w:bCs/>
                <w:color w:val="000000"/>
                <w:sz w:val="22"/>
                <w:szCs w:val="22"/>
              </w:rPr>
              <w:t>Overall Response Rates</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14:paraId="5EF90BD7" w14:textId="77777777" w:rsidR="009E5E52" w:rsidRDefault="009E5E52" w:rsidP="009E5E52">
            <w:pPr>
              <w:jc w:val="center"/>
              <w:rPr>
                <w:rFonts w:ascii="Calibri" w:hAnsi="Calibri"/>
                <w:color w:val="000000"/>
                <w:sz w:val="22"/>
                <w:szCs w:val="22"/>
              </w:rPr>
            </w:pPr>
            <w:r>
              <w:rPr>
                <w:rFonts w:ascii="Calibri" w:hAnsi="Calibri"/>
                <w:color w:val="000000"/>
                <w:sz w:val="22"/>
                <w:szCs w:val="22"/>
              </w:rPr>
              <w:t> </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13480EA0" w14:textId="77777777" w:rsidR="009E5E52" w:rsidRDefault="009E5E52" w:rsidP="009E5E52">
            <w:pPr>
              <w:jc w:val="center"/>
              <w:rPr>
                <w:rFonts w:ascii="Calibri" w:hAnsi="Calibri"/>
                <w:color w:val="000000"/>
                <w:sz w:val="22"/>
                <w:szCs w:val="22"/>
              </w:rPr>
            </w:pPr>
            <w:r>
              <w:rPr>
                <w:rFonts w:ascii="Calibri" w:hAnsi="Calibri"/>
                <w:color w:val="000000"/>
                <w:sz w:val="22"/>
                <w:szCs w:val="22"/>
              </w:rPr>
              <w:t>52.7%</w:t>
            </w:r>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65C998" w14:textId="77777777" w:rsidR="009E5E52" w:rsidRDefault="009E5E52" w:rsidP="009E5E52">
            <w:pPr>
              <w:jc w:val="center"/>
              <w:rPr>
                <w:rFonts w:ascii="Calibri" w:hAnsi="Calibri"/>
                <w:color w:val="000000"/>
                <w:sz w:val="22"/>
                <w:szCs w:val="22"/>
              </w:rPr>
            </w:pPr>
            <w:r>
              <w:rPr>
                <w:rFonts w:ascii="Calibri" w:hAnsi="Calibri"/>
                <w:color w:val="000000"/>
                <w:sz w:val="22"/>
                <w:szCs w:val="22"/>
              </w:rPr>
              <w:t> </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14:paraId="31F3B246" w14:textId="77777777" w:rsidR="009E5E52" w:rsidRDefault="009E5E52" w:rsidP="009E5E52">
            <w:pPr>
              <w:jc w:val="center"/>
              <w:rPr>
                <w:rFonts w:ascii="Calibri" w:hAnsi="Calibri"/>
                <w:color w:val="000000"/>
                <w:sz w:val="22"/>
                <w:szCs w:val="22"/>
              </w:rPr>
            </w:pPr>
            <w:r>
              <w:rPr>
                <w:rFonts w:ascii="Calibri" w:hAnsi="Calibri"/>
                <w:color w:val="000000"/>
                <w:sz w:val="22"/>
                <w:szCs w:val="22"/>
              </w:rPr>
              <w:t> </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14:paraId="6D0AEA0A" w14:textId="77777777" w:rsidR="009E5E52" w:rsidRDefault="009E5E52" w:rsidP="009E5E52">
            <w:pPr>
              <w:jc w:val="center"/>
              <w:rPr>
                <w:rFonts w:ascii="Calibri" w:hAnsi="Calibri"/>
                <w:color w:val="000000"/>
                <w:sz w:val="22"/>
                <w:szCs w:val="22"/>
              </w:rPr>
            </w:pPr>
            <w:r>
              <w:rPr>
                <w:rFonts w:ascii="Calibri" w:hAnsi="Calibri"/>
                <w:color w:val="000000"/>
                <w:sz w:val="22"/>
                <w:szCs w:val="22"/>
              </w:rPr>
              <w:t>55.9%</w:t>
            </w:r>
          </w:p>
        </w:tc>
        <w:tc>
          <w:tcPr>
            <w:tcW w:w="875" w:type="dxa"/>
            <w:tcBorders>
              <w:top w:val="single" w:sz="4" w:space="0" w:color="auto"/>
              <w:left w:val="nil"/>
              <w:bottom w:val="single" w:sz="4" w:space="0" w:color="auto"/>
              <w:right w:val="single" w:sz="12" w:space="0" w:color="auto"/>
            </w:tcBorders>
            <w:shd w:val="clear" w:color="auto" w:fill="auto"/>
            <w:noWrap/>
            <w:vAlign w:val="center"/>
            <w:hideMark/>
          </w:tcPr>
          <w:p w14:paraId="56C16DD4" w14:textId="77777777" w:rsidR="009E5E52" w:rsidRDefault="009E5E52" w:rsidP="009E5E52">
            <w:pPr>
              <w:jc w:val="center"/>
              <w:rPr>
                <w:rFonts w:ascii="Calibri" w:hAnsi="Calibri"/>
                <w:color w:val="000000"/>
                <w:sz w:val="22"/>
                <w:szCs w:val="22"/>
              </w:rPr>
            </w:pPr>
            <w:r>
              <w:rPr>
                <w:rFonts w:ascii="Calibri" w:hAnsi="Calibri"/>
                <w:color w:val="000000"/>
                <w:sz w:val="22"/>
                <w:szCs w:val="22"/>
              </w:rPr>
              <w:t> </w:t>
            </w:r>
          </w:p>
        </w:tc>
      </w:tr>
      <w:tr w:rsidR="009E5E52" w14:paraId="2428671B" w14:textId="77777777" w:rsidTr="00B753A2">
        <w:trPr>
          <w:trHeight w:val="300"/>
        </w:trPr>
        <w:tc>
          <w:tcPr>
            <w:tcW w:w="3752" w:type="dxa"/>
            <w:tcBorders>
              <w:top w:val="single" w:sz="4" w:space="0" w:color="auto"/>
              <w:left w:val="single" w:sz="12" w:space="0" w:color="auto"/>
              <w:bottom w:val="single" w:sz="12" w:space="0" w:color="auto"/>
              <w:right w:val="single" w:sz="4" w:space="0" w:color="auto"/>
            </w:tcBorders>
            <w:shd w:val="clear" w:color="auto" w:fill="auto"/>
            <w:noWrap/>
            <w:vAlign w:val="bottom"/>
          </w:tcPr>
          <w:p w14:paraId="59D80B17" w14:textId="77777777" w:rsidR="009E5E52" w:rsidRPr="0002585C" w:rsidRDefault="009E5E52" w:rsidP="0002585C">
            <w:pPr>
              <w:ind w:firstLineChars="200" w:firstLine="440"/>
              <w:rPr>
                <w:rFonts w:ascii="Calibri" w:hAnsi="Calibri"/>
                <w:bCs/>
                <w:color w:val="000000"/>
                <w:sz w:val="22"/>
                <w:szCs w:val="22"/>
              </w:rPr>
            </w:pPr>
            <w:r w:rsidRPr="0002585C">
              <w:rPr>
                <w:rFonts w:ascii="Calibri" w:hAnsi="Calibri"/>
                <w:bCs/>
                <w:color w:val="000000"/>
                <w:sz w:val="22"/>
                <w:szCs w:val="22"/>
              </w:rPr>
              <w:t>Eligibility Rate</w:t>
            </w:r>
          </w:p>
        </w:tc>
        <w:tc>
          <w:tcPr>
            <w:tcW w:w="1014" w:type="dxa"/>
            <w:tcBorders>
              <w:top w:val="single" w:sz="4" w:space="0" w:color="auto"/>
              <w:left w:val="nil"/>
              <w:bottom w:val="single" w:sz="12" w:space="0" w:color="auto"/>
              <w:right w:val="single" w:sz="4" w:space="0" w:color="auto"/>
            </w:tcBorders>
            <w:shd w:val="clear" w:color="auto" w:fill="auto"/>
            <w:noWrap/>
            <w:vAlign w:val="center"/>
          </w:tcPr>
          <w:p w14:paraId="502E4EA4" w14:textId="77777777" w:rsidR="009E5E52" w:rsidRDefault="009E5E52" w:rsidP="009E5E52">
            <w:pPr>
              <w:jc w:val="center"/>
              <w:rPr>
                <w:rFonts w:ascii="Calibri" w:hAnsi="Calibri"/>
                <w:color w:val="000000"/>
                <w:sz w:val="22"/>
                <w:szCs w:val="22"/>
              </w:rPr>
            </w:pPr>
            <w:r>
              <w:rPr>
                <w:rFonts w:ascii="Calibri" w:hAnsi="Calibri"/>
                <w:color w:val="000000"/>
                <w:sz w:val="22"/>
                <w:szCs w:val="22"/>
              </w:rPr>
              <w:t>7,272</w:t>
            </w:r>
          </w:p>
        </w:tc>
        <w:tc>
          <w:tcPr>
            <w:tcW w:w="875" w:type="dxa"/>
            <w:tcBorders>
              <w:top w:val="single" w:sz="4" w:space="0" w:color="auto"/>
              <w:left w:val="nil"/>
              <w:bottom w:val="single" w:sz="12" w:space="0" w:color="auto"/>
              <w:right w:val="single" w:sz="4" w:space="0" w:color="auto"/>
            </w:tcBorders>
            <w:shd w:val="clear" w:color="auto" w:fill="auto"/>
            <w:noWrap/>
            <w:vAlign w:val="center"/>
          </w:tcPr>
          <w:p w14:paraId="1B8BC8E4" w14:textId="77777777" w:rsidR="009E5E52" w:rsidRDefault="009E5E52" w:rsidP="009E5E52">
            <w:pPr>
              <w:jc w:val="center"/>
              <w:rPr>
                <w:rFonts w:ascii="Calibri" w:hAnsi="Calibri"/>
                <w:color w:val="000000"/>
                <w:sz w:val="22"/>
                <w:szCs w:val="22"/>
              </w:rPr>
            </w:pPr>
            <w:r>
              <w:rPr>
                <w:rFonts w:ascii="Calibri" w:hAnsi="Calibri"/>
                <w:color w:val="000000"/>
                <w:sz w:val="22"/>
                <w:szCs w:val="22"/>
              </w:rPr>
              <w:t>48.0%</w:t>
            </w:r>
          </w:p>
        </w:tc>
        <w:tc>
          <w:tcPr>
            <w:tcW w:w="875" w:type="dxa"/>
            <w:gridSpan w:val="2"/>
            <w:tcBorders>
              <w:top w:val="single" w:sz="4" w:space="0" w:color="auto"/>
              <w:left w:val="nil"/>
              <w:bottom w:val="single" w:sz="12" w:space="0" w:color="auto"/>
              <w:right w:val="single" w:sz="4" w:space="0" w:color="auto"/>
            </w:tcBorders>
            <w:shd w:val="clear" w:color="auto" w:fill="auto"/>
            <w:noWrap/>
            <w:vAlign w:val="center"/>
          </w:tcPr>
          <w:p w14:paraId="5CA6881A" w14:textId="77777777" w:rsidR="009E5E52" w:rsidRDefault="009E5E52" w:rsidP="009E5E52">
            <w:pPr>
              <w:jc w:val="center"/>
              <w:rPr>
                <w:rFonts w:ascii="Calibri" w:hAnsi="Calibri"/>
                <w:color w:val="000000"/>
                <w:sz w:val="22"/>
                <w:szCs w:val="22"/>
              </w:rPr>
            </w:pPr>
            <w:r>
              <w:rPr>
                <w:rFonts w:ascii="Calibri" w:hAnsi="Calibri"/>
                <w:color w:val="000000"/>
                <w:sz w:val="22"/>
                <w:szCs w:val="22"/>
              </w:rPr>
              <w:t>0.6%</w:t>
            </w:r>
          </w:p>
        </w:tc>
        <w:tc>
          <w:tcPr>
            <w:tcW w:w="717" w:type="dxa"/>
            <w:tcBorders>
              <w:top w:val="single" w:sz="4" w:space="0" w:color="auto"/>
              <w:left w:val="nil"/>
              <w:bottom w:val="single" w:sz="12" w:space="0" w:color="auto"/>
              <w:right w:val="single" w:sz="4" w:space="0" w:color="auto"/>
            </w:tcBorders>
            <w:shd w:val="clear" w:color="auto" w:fill="auto"/>
            <w:noWrap/>
            <w:vAlign w:val="center"/>
          </w:tcPr>
          <w:p w14:paraId="7BC02CE7" w14:textId="77777777" w:rsidR="009E5E52" w:rsidRDefault="009E5E52" w:rsidP="009E5E52">
            <w:pPr>
              <w:jc w:val="center"/>
              <w:rPr>
                <w:rFonts w:ascii="Calibri" w:hAnsi="Calibri"/>
                <w:color w:val="000000"/>
                <w:sz w:val="22"/>
                <w:szCs w:val="22"/>
              </w:rPr>
            </w:pPr>
            <w:r>
              <w:rPr>
                <w:rFonts w:ascii="Calibri" w:hAnsi="Calibri"/>
                <w:color w:val="000000"/>
                <w:sz w:val="22"/>
                <w:szCs w:val="22"/>
              </w:rPr>
              <w:t>7,304</w:t>
            </w:r>
          </w:p>
        </w:tc>
        <w:tc>
          <w:tcPr>
            <w:tcW w:w="875" w:type="dxa"/>
            <w:tcBorders>
              <w:top w:val="single" w:sz="4" w:space="0" w:color="auto"/>
              <w:left w:val="nil"/>
              <w:bottom w:val="single" w:sz="12" w:space="0" w:color="auto"/>
              <w:right w:val="single" w:sz="4" w:space="0" w:color="auto"/>
            </w:tcBorders>
            <w:shd w:val="clear" w:color="auto" w:fill="auto"/>
            <w:noWrap/>
            <w:vAlign w:val="center"/>
          </w:tcPr>
          <w:p w14:paraId="1687837F" w14:textId="77777777" w:rsidR="009E5E52" w:rsidRDefault="009E5E52" w:rsidP="009E5E52">
            <w:pPr>
              <w:jc w:val="center"/>
              <w:rPr>
                <w:rFonts w:ascii="Calibri" w:hAnsi="Calibri"/>
                <w:color w:val="000000"/>
                <w:sz w:val="22"/>
                <w:szCs w:val="22"/>
              </w:rPr>
            </w:pPr>
            <w:r>
              <w:rPr>
                <w:rFonts w:ascii="Calibri" w:hAnsi="Calibri"/>
                <w:color w:val="000000"/>
                <w:sz w:val="22"/>
                <w:szCs w:val="22"/>
              </w:rPr>
              <w:t>51.4%</w:t>
            </w:r>
          </w:p>
        </w:tc>
        <w:tc>
          <w:tcPr>
            <w:tcW w:w="875" w:type="dxa"/>
            <w:tcBorders>
              <w:top w:val="single" w:sz="4" w:space="0" w:color="auto"/>
              <w:left w:val="nil"/>
              <w:bottom w:val="single" w:sz="12" w:space="0" w:color="auto"/>
              <w:right w:val="single" w:sz="12" w:space="0" w:color="auto"/>
            </w:tcBorders>
            <w:shd w:val="clear" w:color="auto" w:fill="auto"/>
            <w:noWrap/>
            <w:vAlign w:val="center"/>
          </w:tcPr>
          <w:p w14:paraId="67CC5010" w14:textId="77777777" w:rsidR="009E5E52" w:rsidRDefault="009E5E52" w:rsidP="009E5E52">
            <w:pPr>
              <w:jc w:val="center"/>
              <w:rPr>
                <w:rFonts w:ascii="Calibri" w:hAnsi="Calibri"/>
                <w:color w:val="000000"/>
                <w:sz w:val="22"/>
                <w:szCs w:val="22"/>
              </w:rPr>
            </w:pPr>
            <w:r>
              <w:rPr>
                <w:rFonts w:ascii="Calibri" w:hAnsi="Calibri"/>
                <w:color w:val="000000"/>
                <w:sz w:val="22"/>
                <w:szCs w:val="22"/>
              </w:rPr>
              <w:t>0.6%</w:t>
            </w:r>
          </w:p>
        </w:tc>
      </w:tr>
    </w:tbl>
    <w:p w14:paraId="7F083E87" w14:textId="6DC5ED6C" w:rsidR="00421CBC" w:rsidRDefault="00421CBC">
      <w:pPr>
        <w:rPr>
          <w:rFonts w:ascii="Calibri" w:hAnsi="Calibri"/>
          <w:b/>
        </w:rPr>
      </w:pPr>
    </w:p>
    <w:p w14:paraId="5D32357B" w14:textId="6D62888F" w:rsidR="0015581E" w:rsidRDefault="004734DC">
      <w:pPr>
        <w:rPr>
          <w:rFonts w:ascii="Calibri" w:hAnsi="Calibri"/>
        </w:rPr>
      </w:pPr>
      <w:r w:rsidRPr="00D91C06">
        <w:rPr>
          <w:rFonts w:ascii="Calibri" w:hAnsi="Calibri"/>
        </w:rPr>
        <w:t>As shown in the first panel, t</w:t>
      </w:r>
      <w:r w:rsidR="0015581E" w:rsidRPr="00D91C06">
        <w:rPr>
          <w:rFonts w:ascii="Calibri" w:hAnsi="Calibri"/>
        </w:rPr>
        <w:t>he $60 treatment appear</w:t>
      </w:r>
      <w:r w:rsidR="00CC2877" w:rsidRPr="00D91C06">
        <w:rPr>
          <w:rFonts w:ascii="Calibri" w:hAnsi="Calibri"/>
        </w:rPr>
        <w:t>ed</w:t>
      </w:r>
      <w:r w:rsidR="0015581E" w:rsidRPr="00D91C06">
        <w:rPr>
          <w:rFonts w:ascii="Calibri" w:hAnsi="Calibri"/>
        </w:rPr>
        <w:t xml:space="preserve"> to increase the production of completed screening interviews</w:t>
      </w:r>
      <w:r w:rsidR="00CC2877" w:rsidRPr="00D91C06">
        <w:rPr>
          <w:rFonts w:ascii="Calibri" w:hAnsi="Calibri"/>
        </w:rPr>
        <w:t xml:space="preserve"> slightly. It </w:t>
      </w:r>
      <w:r w:rsidR="0015581E" w:rsidRPr="00D91C06">
        <w:rPr>
          <w:rFonts w:ascii="Calibri" w:hAnsi="Calibri"/>
        </w:rPr>
        <w:t>led to a</w:t>
      </w:r>
      <w:r w:rsidR="00CC2877" w:rsidRPr="00D91C06">
        <w:rPr>
          <w:rFonts w:ascii="Calibri" w:hAnsi="Calibri"/>
        </w:rPr>
        <w:t xml:space="preserve"> more substantial</w:t>
      </w:r>
      <w:r w:rsidR="0015581E" w:rsidRPr="00D91C06">
        <w:rPr>
          <w:rFonts w:ascii="Calibri" w:hAnsi="Calibri"/>
        </w:rPr>
        <w:t xml:space="preserve"> increase in the number</w:t>
      </w:r>
      <w:r w:rsidR="0015581E">
        <w:rPr>
          <w:rFonts w:ascii="Calibri" w:hAnsi="Calibri"/>
        </w:rPr>
        <w:t xml:space="preserve"> of completed main interviews. We will examine this in more detail</w:t>
      </w:r>
      <w:r w:rsidR="00FE1B1C">
        <w:rPr>
          <w:rFonts w:ascii="Calibri" w:hAnsi="Calibri"/>
        </w:rPr>
        <w:t xml:space="preserve"> later</w:t>
      </w:r>
      <w:r w:rsidR="0015581E">
        <w:rPr>
          <w:rFonts w:ascii="Calibri" w:hAnsi="Calibri"/>
        </w:rPr>
        <w:t>.</w:t>
      </w:r>
    </w:p>
    <w:p w14:paraId="68CC8940" w14:textId="77777777" w:rsidR="004734DC" w:rsidRDefault="004734DC" w:rsidP="007D6051">
      <w:pPr>
        <w:pStyle w:val="FootnoteText"/>
        <w:rPr>
          <w:rStyle w:val="apple-converted-space"/>
          <w:rFonts w:ascii="Arial" w:hAnsi="Arial" w:cs="Arial"/>
          <w:color w:val="222222"/>
          <w:shd w:val="clear" w:color="auto" w:fill="FFFFFF"/>
        </w:rPr>
      </w:pPr>
    </w:p>
    <w:p w14:paraId="29B65B1F" w14:textId="6E02B288" w:rsidR="007D3565" w:rsidRDefault="004734DC" w:rsidP="007D6051">
      <w:pPr>
        <w:pStyle w:val="FootnoteText"/>
        <w:rPr>
          <w:rStyle w:val="apple-converted-space"/>
          <w:rFonts w:asciiTheme="minorHAnsi" w:hAnsiTheme="minorHAnsi" w:cs="Arial"/>
          <w:color w:val="222222"/>
          <w:sz w:val="24"/>
          <w:szCs w:val="24"/>
          <w:shd w:val="clear" w:color="auto" w:fill="FFFFFF"/>
        </w:rPr>
      </w:pPr>
      <w:r>
        <w:rPr>
          <w:rStyle w:val="apple-converted-space"/>
          <w:rFonts w:ascii="Arial" w:hAnsi="Arial" w:cs="Arial"/>
          <w:color w:val="222222"/>
          <w:shd w:val="clear" w:color="auto" w:fill="FFFFFF"/>
        </w:rPr>
        <w:t>As shown in the second panel, t</w:t>
      </w:r>
      <w:r w:rsidR="0079582E" w:rsidRPr="00C80D6F">
        <w:rPr>
          <w:rStyle w:val="apple-converted-space"/>
          <w:rFonts w:asciiTheme="minorHAnsi" w:hAnsiTheme="minorHAnsi" w:cs="Arial"/>
          <w:color w:val="222222"/>
          <w:sz w:val="24"/>
          <w:szCs w:val="24"/>
          <w:shd w:val="clear" w:color="auto" w:fill="FFFFFF"/>
        </w:rPr>
        <w:t>he screener response rates are approximately the same across the two treatment groups. It does not appear that the incentive is having an effect on this stage of the process. The main completion rates, however, are significantly different. Here, the $60 treatment increases the rate at which main interviews are completed (p=</w:t>
      </w:r>
      <w:r w:rsidR="00091049">
        <w:rPr>
          <w:rStyle w:val="apple-converted-space"/>
          <w:rFonts w:asciiTheme="minorHAnsi" w:hAnsiTheme="minorHAnsi" w:cs="Arial"/>
          <w:color w:val="222222"/>
          <w:sz w:val="24"/>
          <w:szCs w:val="24"/>
          <w:shd w:val="clear" w:color="auto" w:fill="FFFFFF"/>
        </w:rPr>
        <w:t>0.0041)</w:t>
      </w:r>
      <w:r w:rsidR="006923B9">
        <w:rPr>
          <w:rStyle w:val="apple-converted-space"/>
          <w:rFonts w:asciiTheme="minorHAnsi" w:hAnsiTheme="minorHAnsi" w:cs="Arial"/>
          <w:color w:val="222222"/>
          <w:sz w:val="24"/>
          <w:szCs w:val="24"/>
          <w:shd w:val="clear" w:color="auto" w:fill="FFFFFF"/>
        </w:rPr>
        <w:t>, a difference of 4.7 percentage points</w:t>
      </w:r>
      <w:r w:rsidR="0079582E" w:rsidRPr="00C80D6F">
        <w:rPr>
          <w:rStyle w:val="apple-converted-space"/>
          <w:rFonts w:asciiTheme="minorHAnsi" w:hAnsiTheme="minorHAnsi" w:cs="Arial"/>
          <w:color w:val="222222"/>
          <w:sz w:val="24"/>
          <w:szCs w:val="24"/>
          <w:shd w:val="clear" w:color="auto" w:fill="FFFFFF"/>
        </w:rPr>
        <w:t xml:space="preserve">. </w:t>
      </w:r>
      <w:r w:rsidR="00300C77" w:rsidRPr="00C80D6F">
        <w:rPr>
          <w:rStyle w:val="apple-converted-space"/>
          <w:rFonts w:asciiTheme="minorHAnsi" w:hAnsiTheme="minorHAnsi" w:cs="Arial"/>
          <w:color w:val="222222"/>
          <w:sz w:val="24"/>
          <w:szCs w:val="24"/>
          <w:shd w:val="clear" w:color="auto" w:fill="FFFFFF"/>
        </w:rPr>
        <w:t>The overall</w:t>
      </w:r>
      <w:r w:rsidR="008A7425">
        <w:rPr>
          <w:rStyle w:val="apple-converted-space"/>
          <w:rFonts w:asciiTheme="minorHAnsi" w:hAnsiTheme="minorHAnsi" w:cs="Arial"/>
          <w:color w:val="222222"/>
          <w:sz w:val="24"/>
          <w:szCs w:val="24"/>
          <w:shd w:val="clear" w:color="auto" w:fill="FFFFFF"/>
        </w:rPr>
        <w:t xml:space="preserve"> (unweighted)</w:t>
      </w:r>
      <w:r w:rsidR="00B24EDE">
        <w:rPr>
          <w:rStyle w:val="apple-converted-space"/>
          <w:rFonts w:asciiTheme="minorHAnsi" w:hAnsiTheme="minorHAnsi" w:cs="Arial"/>
          <w:color w:val="222222"/>
          <w:sz w:val="24"/>
          <w:szCs w:val="24"/>
          <w:shd w:val="clear" w:color="auto" w:fill="FFFFFF"/>
        </w:rPr>
        <w:t xml:space="preserve"> </w:t>
      </w:r>
      <w:r w:rsidR="00300C77" w:rsidRPr="00C80D6F">
        <w:rPr>
          <w:rStyle w:val="apple-converted-space"/>
          <w:rFonts w:asciiTheme="minorHAnsi" w:hAnsiTheme="minorHAnsi" w:cs="Arial"/>
          <w:color w:val="222222"/>
          <w:sz w:val="24"/>
          <w:szCs w:val="24"/>
          <w:shd w:val="clear" w:color="auto" w:fill="FFFFFF"/>
        </w:rPr>
        <w:t xml:space="preserve">response rates at the end of </w:t>
      </w:r>
      <w:r w:rsidR="00FE1B1C">
        <w:rPr>
          <w:rStyle w:val="apple-converted-space"/>
          <w:rFonts w:asciiTheme="minorHAnsi" w:hAnsiTheme="minorHAnsi" w:cs="Arial"/>
          <w:color w:val="222222"/>
          <w:sz w:val="24"/>
          <w:szCs w:val="24"/>
          <w:shd w:val="clear" w:color="auto" w:fill="FFFFFF"/>
        </w:rPr>
        <w:t>P</w:t>
      </w:r>
      <w:r w:rsidR="00300C77" w:rsidRPr="00C80D6F">
        <w:rPr>
          <w:rStyle w:val="apple-converted-space"/>
          <w:rFonts w:asciiTheme="minorHAnsi" w:hAnsiTheme="minorHAnsi" w:cs="Arial"/>
          <w:color w:val="222222"/>
          <w:sz w:val="24"/>
          <w:szCs w:val="24"/>
          <w:shd w:val="clear" w:color="auto" w:fill="FFFFFF"/>
        </w:rPr>
        <w:t>hase 1</w:t>
      </w:r>
      <w:r w:rsidR="00FE1B1C">
        <w:rPr>
          <w:rStyle w:val="apple-converted-space"/>
          <w:rFonts w:asciiTheme="minorHAnsi" w:hAnsiTheme="minorHAnsi" w:cs="Arial"/>
          <w:color w:val="222222"/>
          <w:sz w:val="24"/>
          <w:szCs w:val="24"/>
          <w:shd w:val="clear" w:color="auto" w:fill="FFFFFF"/>
        </w:rPr>
        <w:t xml:space="preserve"> are listed in the bottom row. These are</w:t>
      </w:r>
      <w:r w:rsidR="00300C77" w:rsidRPr="00C80D6F">
        <w:rPr>
          <w:rStyle w:val="apple-converted-space"/>
          <w:rFonts w:asciiTheme="minorHAnsi" w:hAnsiTheme="minorHAnsi" w:cs="Arial"/>
          <w:color w:val="222222"/>
          <w:sz w:val="24"/>
          <w:szCs w:val="24"/>
          <w:shd w:val="clear" w:color="auto" w:fill="FFFFFF"/>
        </w:rPr>
        <w:t xml:space="preserve"> not as far apart as hypothesized. The </w:t>
      </w:r>
      <w:r w:rsidR="006923B9">
        <w:rPr>
          <w:rStyle w:val="apple-converted-space"/>
          <w:rFonts w:asciiTheme="minorHAnsi" w:hAnsiTheme="minorHAnsi" w:cs="Arial"/>
          <w:color w:val="222222"/>
          <w:sz w:val="24"/>
          <w:szCs w:val="24"/>
          <w:shd w:val="clear" w:color="auto" w:fill="FFFFFF"/>
        </w:rPr>
        <w:t xml:space="preserve">overall Phase 1 response rate for the </w:t>
      </w:r>
      <w:r w:rsidR="00300C77" w:rsidRPr="00C80D6F">
        <w:rPr>
          <w:rStyle w:val="apple-converted-space"/>
          <w:rFonts w:asciiTheme="minorHAnsi" w:hAnsiTheme="minorHAnsi" w:cs="Arial"/>
          <w:color w:val="222222"/>
          <w:sz w:val="24"/>
          <w:szCs w:val="24"/>
          <w:shd w:val="clear" w:color="auto" w:fill="FFFFFF"/>
        </w:rPr>
        <w:t xml:space="preserve">$60 treatment </w:t>
      </w:r>
      <w:r w:rsidR="006923B9">
        <w:rPr>
          <w:rStyle w:val="apple-converted-space"/>
          <w:rFonts w:asciiTheme="minorHAnsi" w:hAnsiTheme="minorHAnsi" w:cs="Arial"/>
          <w:color w:val="222222"/>
          <w:sz w:val="24"/>
          <w:szCs w:val="24"/>
          <w:shd w:val="clear" w:color="auto" w:fill="FFFFFF"/>
        </w:rPr>
        <w:t xml:space="preserve">is </w:t>
      </w:r>
      <w:r w:rsidR="00300C77" w:rsidRPr="00C80D6F">
        <w:rPr>
          <w:rStyle w:val="apple-converted-space"/>
          <w:rFonts w:asciiTheme="minorHAnsi" w:hAnsiTheme="minorHAnsi" w:cs="Arial"/>
          <w:color w:val="222222"/>
          <w:sz w:val="24"/>
          <w:szCs w:val="24"/>
          <w:shd w:val="clear" w:color="auto" w:fill="FFFFFF"/>
        </w:rPr>
        <w:t>about 3.2</w:t>
      </w:r>
      <w:r w:rsidR="006923B9">
        <w:rPr>
          <w:rStyle w:val="apple-converted-space"/>
          <w:rFonts w:asciiTheme="minorHAnsi" w:hAnsiTheme="minorHAnsi" w:cs="Arial"/>
          <w:color w:val="222222"/>
          <w:sz w:val="24"/>
          <w:szCs w:val="24"/>
          <w:shd w:val="clear" w:color="auto" w:fill="FFFFFF"/>
        </w:rPr>
        <w:t xml:space="preserve"> percentage points higher than that for the $40 control group.</w:t>
      </w:r>
      <w:r w:rsidR="00300C77" w:rsidRPr="00C80D6F">
        <w:rPr>
          <w:rStyle w:val="apple-converted-space"/>
          <w:rFonts w:asciiTheme="minorHAnsi" w:hAnsiTheme="minorHAnsi" w:cs="Arial"/>
          <w:color w:val="222222"/>
          <w:sz w:val="24"/>
          <w:szCs w:val="24"/>
          <w:shd w:val="clear" w:color="auto" w:fill="FFFFFF"/>
        </w:rPr>
        <w:t xml:space="preserve"> </w:t>
      </w:r>
      <w:r w:rsidR="006A3EF8">
        <w:rPr>
          <w:rStyle w:val="apple-converted-space"/>
          <w:rFonts w:asciiTheme="minorHAnsi" w:hAnsiTheme="minorHAnsi" w:cs="Arial"/>
          <w:color w:val="222222"/>
          <w:sz w:val="24"/>
          <w:szCs w:val="24"/>
          <w:shd w:val="clear" w:color="auto" w:fill="FFFFFF"/>
        </w:rPr>
        <w:t xml:space="preserve">Finally, the eligibility rates are significantly higher for the higher </w:t>
      </w:r>
      <w:r w:rsidR="00FA0DEE">
        <w:rPr>
          <w:rStyle w:val="apple-converted-space"/>
          <w:rFonts w:asciiTheme="minorHAnsi" w:hAnsiTheme="minorHAnsi" w:cs="Arial"/>
          <w:color w:val="222222"/>
          <w:sz w:val="24"/>
          <w:szCs w:val="24"/>
          <w:shd w:val="clear" w:color="auto" w:fill="FFFFFF"/>
        </w:rPr>
        <w:t>incentive group</w:t>
      </w:r>
      <w:r w:rsidR="006A3EF8">
        <w:rPr>
          <w:rStyle w:val="apple-converted-space"/>
          <w:rFonts w:asciiTheme="minorHAnsi" w:hAnsiTheme="minorHAnsi" w:cs="Arial"/>
          <w:color w:val="222222"/>
          <w:sz w:val="24"/>
          <w:szCs w:val="24"/>
          <w:shd w:val="clear" w:color="auto" w:fill="FFFFFF"/>
        </w:rPr>
        <w:t>.</w:t>
      </w:r>
    </w:p>
    <w:p w14:paraId="3F489AE2" w14:textId="77777777" w:rsidR="00F03068" w:rsidRDefault="00F03068" w:rsidP="007D6051">
      <w:pPr>
        <w:pStyle w:val="FootnoteText"/>
        <w:rPr>
          <w:rStyle w:val="apple-converted-space"/>
          <w:rFonts w:asciiTheme="minorHAnsi" w:hAnsiTheme="minorHAnsi" w:cs="Arial"/>
          <w:color w:val="222222"/>
          <w:sz w:val="24"/>
          <w:szCs w:val="24"/>
          <w:shd w:val="clear" w:color="auto" w:fill="FFFFFF"/>
        </w:rPr>
      </w:pPr>
    </w:p>
    <w:p w14:paraId="0A96FE58" w14:textId="0C63B68C" w:rsidR="00DE3E12" w:rsidRDefault="00F03068" w:rsidP="007D6051">
      <w:pPr>
        <w:pStyle w:val="FootnoteText"/>
        <w:rPr>
          <w:rStyle w:val="apple-converted-space"/>
          <w:rFonts w:asciiTheme="minorHAnsi" w:hAnsiTheme="minorHAnsi" w:cs="Arial"/>
          <w:b/>
          <w:color w:val="222222"/>
          <w:sz w:val="24"/>
          <w:szCs w:val="24"/>
          <w:shd w:val="clear" w:color="auto" w:fill="FFFFFF"/>
        </w:rPr>
      </w:pPr>
      <w:r>
        <w:rPr>
          <w:rFonts w:asciiTheme="minorHAnsi" w:hAnsiTheme="minorHAnsi"/>
          <w:sz w:val="24"/>
          <w:szCs w:val="24"/>
        </w:rPr>
        <w:t xml:space="preserve">Table </w:t>
      </w:r>
      <w:r w:rsidR="001D5DA1">
        <w:rPr>
          <w:rFonts w:asciiTheme="minorHAnsi" w:hAnsiTheme="minorHAnsi"/>
          <w:sz w:val="24"/>
          <w:szCs w:val="24"/>
        </w:rPr>
        <w:t>2</w:t>
      </w:r>
      <w:r>
        <w:rPr>
          <w:rFonts w:asciiTheme="minorHAnsi" w:hAnsiTheme="minorHAnsi"/>
          <w:sz w:val="24"/>
          <w:szCs w:val="24"/>
        </w:rPr>
        <w:t xml:space="preserve"> shows interview rates and completion rates for several key demographic subgroups at the end of Phase 1. </w:t>
      </w:r>
    </w:p>
    <w:p w14:paraId="1F44A8FA" w14:textId="77777777" w:rsidR="00DE3E12" w:rsidRDefault="00DE3E12" w:rsidP="007D6051">
      <w:pPr>
        <w:pStyle w:val="FootnoteText"/>
        <w:rPr>
          <w:rStyle w:val="apple-converted-space"/>
          <w:rFonts w:asciiTheme="minorHAnsi" w:hAnsiTheme="minorHAnsi" w:cs="Arial"/>
          <w:b/>
          <w:color w:val="222222"/>
          <w:sz w:val="24"/>
          <w:szCs w:val="24"/>
          <w:shd w:val="clear" w:color="auto" w:fill="FFFFFF"/>
        </w:rPr>
      </w:pPr>
    </w:p>
    <w:p w14:paraId="01F44229" w14:textId="77777777" w:rsidR="00B24EDE" w:rsidRDefault="00B24EDE">
      <w:pPr>
        <w:rPr>
          <w:rStyle w:val="apple-converted-space"/>
          <w:rFonts w:asciiTheme="minorHAnsi" w:hAnsiTheme="minorHAnsi" w:cs="Arial"/>
          <w:b/>
          <w:color w:val="222222"/>
          <w:shd w:val="clear" w:color="auto" w:fill="FFFFFF"/>
        </w:rPr>
      </w:pPr>
      <w:r>
        <w:rPr>
          <w:rStyle w:val="apple-converted-space"/>
          <w:rFonts w:asciiTheme="minorHAnsi" w:hAnsiTheme="minorHAnsi" w:cs="Arial"/>
          <w:b/>
          <w:color w:val="222222"/>
          <w:shd w:val="clear" w:color="auto" w:fill="FFFFFF"/>
        </w:rPr>
        <w:br w:type="page"/>
      </w:r>
    </w:p>
    <w:p w14:paraId="527E2F7F" w14:textId="1F184AA4" w:rsidR="00F4374A" w:rsidRPr="0057182D" w:rsidRDefault="00F03068" w:rsidP="007D6051">
      <w:pPr>
        <w:pStyle w:val="FootnoteText"/>
        <w:rPr>
          <w:rStyle w:val="apple-converted-space"/>
          <w:rFonts w:asciiTheme="minorHAnsi" w:hAnsiTheme="minorHAnsi" w:cs="Arial"/>
          <w:b/>
          <w:color w:val="222222"/>
          <w:sz w:val="24"/>
          <w:szCs w:val="24"/>
          <w:shd w:val="clear" w:color="auto" w:fill="FFFFFF"/>
        </w:rPr>
      </w:pPr>
      <w:r w:rsidRPr="0057182D">
        <w:rPr>
          <w:rStyle w:val="apple-converted-space"/>
          <w:rFonts w:asciiTheme="minorHAnsi" w:hAnsiTheme="minorHAnsi" w:cs="Arial"/>
          <w:b/>
          <w:color w:val="222222"/>
          <w:sz w:val="24"/>
          <w:szCs w:val="24"/>
          <w:shd w:val="clear" w:color="auto" w:fill="FFFFFF"/>
        </w:rPr>
        <w:lastRenderedPageBreak/>
        <w:t xml:space="preserve">Table </w:t>
      </w:r>
      <w:r w:rsidR="001D5DA1">
        <w:rPr>
          <w:rStyle w:val="apple-converted-space"/>
          <w:rFonts w:asciiTheme="minorHAnsi" w:hAnsiTheme="minorHAnsi" w:cs="Arial"/>
          <w:b/>
          <w:color w:val="222222"/>
          <w:sz w:val="24"/>
          <w:szCs w:val="24"/>
          <w:shd w:val="clear" w:color="auto" w:fill="FFFFFF"/>
        </w:rPr>
        <w:t>2</w:t>
      </w:r>
      <w:r w:rsidRPr="0057182D">
        <w:rPr>
          <w:rStyle w:val="apple-converted-space"/>
          <w:rFonts w:asciiTheme="minorHAnsi" w:hAnsiTheme="minorHAnsi" w:cs="Arial"/>
          <w:b/>
          <w:color w:val="222222"/>
          <w:sz w:val="24"/>
          <w:szCs w:val="24"/>
          <w:shd w:val="clear" w:color="auto" w:fill="FFFFFF"/>
        </w:rPr>
        <w:t>. Phase 1 Main Interview Completion Rates by Demographic Subgroups</w:t>
      </w:r>
    </w:p>
    <w:tbl>
      <w:tblPr>
        <w:tblW w:w="9555" w:type="dxa"/>
        <w:tblInd w:w="93" w:type="dxa"/>
        <w:tblLayout w:type="fixed"/>
        <w:tblLook w:val="04A0" w:firstRow="1" w:lastRow="0" w:firstColumn="1" w:lastColumn="0" w:noHBand="0" w:noVBand="1"/>
      </w:tblPr>
      <w:tblGrid>
        <w:gridCol w:w="1545"/>
        <w:gridCol w:w="1179"/>
        <w:gridCol w:w="1100"/>
        <w:gridCol w:w="781"/>
        <w:gridCol w:w="1260"/>
        <w:gridCol w:w="1170"/>
        <w:gridCol w:w="810"/>
        <w:gridCol w:w="960"/>
        <w:gridCol w:w="750"/>
      </w:tblGrid>
      <w:tr w:rsidR="00F03068" w14:paraId="374FDCBF" w14:textId="77777777" w:rsidTr="00FE1B1C">
        <w:trPr>
          <w:trHeight w:val="315"/>
        </w:trPr>
        <w:tc>
          <w:tcPr>
            <w:tcW w:w="1545" w:type="dxa"/>
            <w:vMerge w:val="restart"/>
            <w:tcBorders>
              <w:top w:val="single" w:sz="12" w:space="0" w:color="auto"/>
              <w:left w:val="single" w:sz="12" w:space="0" w:color="auto"/>
              <w:bottom w:val="nil"/>
              <w:right w:val="single" w:sz="4" w:space="0" w:color="auto"/>
            </w:tcBorders>
            <w:shd w:val="clear" w:color="auto" w:fill="auto"/>
            <w:vAlign w:val="center"/>
            <w:hideMark/>
          </w:tcPr>
          <w:p w14:paraId="698BEF19" w14:textId="744CCEBD" w:rsidR="00F4374A" w:rsidRDefault="00F4374A">
            <w:pPr>
              <w:rPr>
                <w:rFonts w:ascii="Calibri" w:hAnsi="Calibri"/>
                <w:b/>
                <w:bCs/>
                <w:color w:val="000000"/>
                <w:sz w:val="22"/>
                <w:szCs w:val="22"/>
              </w:rPr>
            </w:pPr>
          </w:p>
        </w:tc>
        <w:tc>
          <w:tcPr>
            <w:tcW w:w="3060" w:type="dxa"/>
            <w:gridSpan w:val="3"/>
            <w:tcBorders>
              <w:top w:val="single" w:sz="12" w:space="0" w:color="auto"/>
              <w:left w:val="nil"/>
              <w:bottom w:val="single" w:sz="4" w:space="0" w:color="auto"/>
              <w:right w:val="single" w:sz="4" w:space="0" w:color="auto"/>
            </w:tcBorders>
            <w:shd w:val="clear" w:color="auto" w:fill="auto"/>
            <w:vAlign w:val="center"/>
            <w:hideMark/>
          </w:tcPr>
          <w:p w14:paraId="386073B7" w14:textId="77777777" w:rsidR="00F4374A" w:rsidRDefault="00F4374A">
            <w:pPr>
              <w:jc w:val="center"/>
              <w:rPr>
                <w:rFonts w:ascii="Calibri" w:hAnsi="Calibri"/>
                <w:b/>
                <w:bCs/>
                <w:color w:val="000000"/>
                <w:sz w:val="22"/>
                <w:szCs w:val="22"/>
              </w:rPr>
            </w:pPr>
            <w:r>
              <w:rPr>
                <w:rFonts w:ascii="Calibri" w:hAnsi="Calibri"/>
                <w:b/>
                <w:bCs/>
                <w:color w:val="000000"/>
                <w:sz w:val="22"/>
                <w:szCs w:val="22"/>
              </w:rPr>
              <w:t xml:space="preserve">$40 </w:t>
            </w:r>
          </w:p>
        </w:tc>
        <w:tc>
          <w:tcPr>
            <w:tcW w:w="3240" w:type="dxa"/>
            <w:gridSpan w:val="3"/>
            <w:tcBorders>
              <w:top w:val="single" w:sz="12" w:space="0" w:color="auto"/>
              <w:left w:val="nil"/>
              <w:bottom w:val="single" w:sz="4" w:space="0" w:color="auto"/>
              <w:right w:val="single" w:sz="4" w:space="0" w:color="auto"/>
            </w:tcBorders>
            <w:shd w:val="clear" w:color="auto" w:fill="auto"/>
            <w:vAlign w:val="center"/>
            <w:hideMark/>
          </w:tcPr>
          <w:p w14:paraId="674400F4" w14:textId="77777777" w:rsidR="00F4374A" w:rsidRDefault="00F4374A">
            <w:pPr>
              <w:jc w:val="center"/>
              <w:rPr>
                <w:rFonts w:ascii="Calibri" w:hAnsi="Calibri"/>
                <w:b/>
                <w:bCs/>
                <w:color w:val="000000"/>
                <w:sz w:val="22"/>
                <w:szCs w:val="22"/>
              </w:rPr>
            </w:pPr>
            <w:r>
              <w:rPr>
                <w:rFonts w:ascii="Calibri" w:hAnsi="Calibri"/>
                <w:b/>
                <w:bCs/>
                <w:color w:val="000000"/>
                <w:sz w:val="22"/>
                <w:szCs w:val="22"/>
              </w:rPr>
              <w:t xml:space="preserve">$60 </w:t>
            </w:r>
          </w:p>
        </w:tc>
        <w:tc>
          <w:tcPr>
            <w:tcW w:w="960" w:type="dxa"/>
            <w:vMerge w:val="restart"/>
            <w:tcBorders>
              <w:top w:val="single" w:sz="12" w:space="0" w:color="auto"/>
              <w:left w:val="single" w:sz="4" w:space="0" w:color="auto"/>
              <w:bottom w:val="single" w:sz="8" w:space="0" w:color="000000"/>
              <w:right w:val="single" w:sz="4" w:space="0" w:color="auto"/>
            </w:tcBorders>
            <w:shd w:val="clear" w:color="auto" w:fill="auto"/>
            <w:vAlign w:val="bottom"/>
            <w:hideMark/>
          </w:tcPr>
          <w:p w14:paraId="36E589CD" w14:textId="77777777" w:rsidR="00F4374A" w:rsidRDefault="00F4374A">
            <w:pPr>
              <w:jc w:val="center"/>
              <w:rPr>
                <w:rFonts w:ascii="Calibri" w:hAnsi="Calibri"/>
                <w:b/>
                <w:bCs/>
                <w:color w:val="000000"/>
                <w:sz w:val="22"/>
                <w:szCs w:val="22"/>
              </w:rPr>
            </w:pPr>
            <w:r>
              <w:rPr>
                <w:rFonts w:ascii="Calibri" w:hAnsi="Calibri"/>
                <w:b/>
                <w:bCs/>
                <w:color w:val="000000"/>
                <w:sz w:val="22"/>
                <w:szCs w:val="22"/>
              </w:rPr>
              <w:t>Comp Rate Diff ($60-$40)</w:t>
            </w:r>
          </w:p>
        </w:tc>
        <w:tc>
          <w:tcPr>
            <w:tcW w:w="750" w:type="dxa"/>
            <w:vMerge w:val="restart"/>
            <w:tcBorders>
              <w:top w:val="single" w:sz="12" w:space="0" w:color="auto"/>
              <w:left w:val="single" w:sz="4" w:space="0" w:color="auto"/>
              <w:bottom w:val="nil"/>
              <w:right w:val="single" w:sz="12" w:space="0" w:color="auto"/>
            </w:tcBorders>
            <w:shd w:val="clear" w:color="auto" w:fill="auto"/>
            <w:noWrap/>
            <w:vAlign w:val="center"/>
            <w:hideMark/>
          </w:tcPr>
          <w:p w14:paraId="1EE44C4D" w14:textId="6976A60C" w:rsidR="00F4374A" w:rsidRPr="00FE1B1C" w:rsidRDefault="00F4374A">
            <w:pPr>
              <w:jc w:val="center"/>
              <w:rPr>
                <w:rFonts w:ascii="Calibri" w:hAnsi="Calibri"/>
                <w:b/>
                <w:i/>
                <w:iCs/>
                <w:color w:val="000000"/>
                <w:sz w:val="22"/>
                <w:szCs w:val="22"/>
              </w:rPr>
            </w:pPr>
            <w:r w:rsidRPr="00FE1B1C">
              <w:rPr>
                <w:rFonts w:ascii="Calibri" w:hAnsi="Calibri"/>
                <w:b/>
                <w:i/>
                <w:iCs/>
                <w:color w:val="000000"/>
                <w:sz w:val="22"/>
                <w:szCs w:val="22"/>
              </w:rPr>
              <w:t>p</w:t>
            </w:r>
            <w:r w:rsidR="00F03068" w:rsidRPr="00FE1B1C">
              <w:rPr>
                <w:rFonts w:ascii="Calibri" w:hAnsi="Calibri"/>
                <w:b/>
                <w:i/>
                <w:iCs/>
                <w:color w:val="000000"/>
                <w:sz w:val="22"/>
                <w:szCs w:val="22"/>
              </w:rPr>
              <w:t>-</w:t>
            </w:r>
            <w:r w:rsidRPr="00FE1B1C">
              <w:rPr>
                <w:rFonts w:ascii="Calibri" w:hAnsi="Calibri"/>
                <w:b/>
                <w:i/>
                <w:iCs/>
                <w:color w:val="000000"/>
                <w:sz w:val="22"/>
                <w:szCs w:val="22"/>
              </w:rPr>
              <w:t xml:space="preserve"> value</w:t>
            </w:r>
          </w:p>
        </w:tc>
      </w:tr>
      <w:tr w:rsidR="00F03068" w14:paraId="2E4D3EA6" w14:textId="77777777" w:rsidTr="00FE1B1C">
        <w:trPr>
          <w:trHeight w:val="300"/>
        </w:trPr>
        <w:tc>
          <w:tcPr>
            <w:tcW w:w="1545" w:type="dxa"/>
            <w:vMerge/>
            <w:tcBorders>
              <w:top w:val="single" w:sz="12" w:space="0" w:color="auto"/>
              <w:left w:val="single" w:sz="12" w:space="0" w:color="auto"/>
              <w:bottom w:val="nil"/>
              <w:right w:val="single" w:sz="4" w:space="0" w:color="auto"/>
            </w:tcBorders>
            <w:vAlign w:val="center"/>
            <w:hideMark/>
          </w:tcPr>
          <w:p w14:paraId="0DD45CC3" w14:textId="77777777" w:rsidR="00F4374A" w:rsidRDefault="00F4374A">
            <w:pPr>
              <w:rPr>
                <w:rFonts w:ascii="Calibri" w:hAnsi="Calibri"/>
                <w:b/>
                <w:bCs/>
                <w:color w:val="000000"/>
                <w:sz w:val="22"/>
                <w:szCs w:val="22"/>
              </w:rPr>
            </w:pPr>
          </w:p>
        </w:tc>
        <w:tc>
          <w:tcPr>
            <w:tcW w:w="1179" w:type="dxa"/>
            <w:vMerge w:val="restart"/>
            <w:tcBorders>
              <w:top w:val="nil"/>
              <w:left w:val="single" w:sz="4" w:space="0" w:color="auto"/>
              <w:bottom w:val="single" w:sz="4" w:space="0" w:color="auto"/>
              <w:right w:val="single" w:sz="4" w:space="0" w:color="auto"/>
            </w:tcBorders>
            <w:shd w:val="clear" w:color="auto" w:fill="auto"/>
            <w:vAlign w:val="bottom"/>
            <w:hideMark/>
          </w:tcPr>
          <w:p w14:paraId="26F7625C" w14:textId="479CA5EE" w:rsidR="00F4374A" w:rsidRDefault="003D20B3" w:rsidP="00330C79">
            <w:pPr>
              <w:jc w:val="center"/>
              <w:rPr>
                <w:rFonts w:ascii="Calibri" w:hAnsi="Calibri"/>
                <w:b/>
                <w:bCs/>
                <w:color w:val="000000"/>
                <w:sz w:val="22"/>
                <w:szCs w:val="22"/>
              </w:rPr>
            </w:pPr>
            <w:r>
              <w:rPr>
                <w:rFonts w:ascii="Calibri" w:hAnsi="Calibri"/>
                <w:b/>
                <w:bCs/>
                <w:color w:val="000000"/>
                <w:sz w:val="22"/>
                <w:szCs w:val="22"/>
              </w:rPr>
              <w:t>Eligible Persons (N)</w:t>
            </w:r>
          </w:p>
        </w:tc>
        <w:tc>
          <w:tcPr>
            <w:tcW w:w="1100" w:type="dxa"/>
            <w:vMerge w:val="restart"/>
            <w:tcBorders>
              <w:top w:val="nil"/>
              <w:left w:val="single" w:sz="4" w:space="0" w:color="auto"/>
              <w:bottom w:val="single" w:sz="4" w:space="0" w:color="auto"/>
              <w:right w:val="single" w:sz="4" w:space="0" w:color="auto"/>
            </w:tcBorders>
            <w:shd w:val="clear" w:color="auto" w:fill="auto"/>
            <w:vAlign w:val="bottom"/>
            <w:hideMark/>
          </w:tcPr>
          <w:p w14:paraId="7B851BC4" w14:textId="77777777" w:rsidR="00F4374A" w:rsidRDefault="00F4374A" w:rsidP="00330C79">
            <w:pPr>
              <w:jc w:val="center"/>
              <w:rPr>
                <w:rFonts w:ascii="Calibri" w:hAnsi="Calibri"/>
                <w:b/>
                <w:bCs/>
                <w:color w:val="000000"/>
                <w:sz w:val="22"/>
                <w:szCs w:val="22"/>
              </w:rPr>
            </w:pPr>
            <w:r>
              <w:rPr>
                <w:rFonts w:ascii="Calibri" w:hAnsi="Calibri"/>
                <w:b/>
                <w:bCs/>
                <w:color w:val="000000"/>
                <w:sz w:val="22"/>
                <w:szCs w:val="22"/>
              </w:rPr>
              <w:t>% Complete</w:t>
            </w:r>
          </w:p>
        </w:tc>
        <w:tc>
          <w:tcPr>
            <w:tcW w:w="781" w:type="dxa"/>
            <w:vMerge w:val="restart"/>
            <w:tcBorders>
              <w:top w:val="nil"/>
              <w:left w:val="single" w:sz="4" w:space="0" w:color="auto"/>
              <w:bottom w:val="single" w:sz="4" w:space="0" w:color="auto"/>
              <w:right w:val="single" w:sz="4" w:space="0" w:color="auto"/>
            </w:tcBorders>
            <w:shd w:val="clear" w:color="auto" w:fill="auto"/>
            <w:vAlign w:val="bottom"/>
            <w:hideMark/>
          </w:tcPr>
          <w:p w14:paraId="3C871ED2" w14:textId="77777777" w:rsidR="00F4374A" w:rsidRDefault="00F4374A" w:rsidP="00330C79">
            <w:pPr>
              <w:jc w:val="center"/>
              <w:rPr>
                <w:rFonts w:ascii="Calibri" w:hAnsi="Calibri"/>
                <w:b/>
                <w:bCs/>
                <w:i/>
                <w:iCs/>
                <w:color w:val="000000"/>
                <w:sz w:val="22"/>
                <w:szCs w:val="22"/>
              </w:rPr>
            </w:pPr>
            <w:r>
              <w:rPr>
                <w:rFonts w:ascii="Calibri" w:hAnsi="Calibri"/>
                <w:b/>
                <w:bCs/>
                <w:i/>
                <w:iCs/>
                <w:color w:val="000000"/>
                <w:sz w:val="22"/>
                <w:szCs w:val="22"/>
              </w:rPr>
              <w:t>(SE)</w:t>
            </w:r>
          </w:p>
        </w:tc>
        <w:tc>
          <w:tcPr>
            <w:tcW w:w="1260" w:type="dxa"/>
            <w:vMerge w:val="restart"/>
            <w:tcBorders>
              <w:top w:val="nil"/>
              <w:left w:val="single" w:sz="4" w:space="0" w:color="auto"/>
              <w:bottom w:val="single" w:sz="4" w:space="0" w:color="auto"/>
              <w:right w:val="single" w:sz="4" w:space="0" w:color="auto"/>
            </w:tcBorders>
            <w:shd w:val="clear" w:color="auto" w:fill="auto"/>
            <w:vAlign w:val="bottom"/>
            <w:hideMark/>
          </w:tcPr>
          <w:p w14:paraId="26B6386E" w14:textId="6A52BC9E" w:rsidR="00F4374A" w:rsidRDefault="003D20B3" w:rsidP="00330C79">
            <w:pPr>
              <w:jc w:val="center"/>
              <w:rPr>
                <w:rFonts w:ascii="Calibri" w:hAnsi="Calibri"/>
                <w:b/>
                <w:bCs/>
                <w:color w:val="000000"/>
                <w:sz w:val="22"/>
                <w:szCs w:val="22"/>
              </w:rPr>
            </w:pPr>
            <w:r>
              <w:rPr>
                <w:rFonts w:ascii="Calibri" w:hAnsi="Calibri"/>
                <w:b/>
                <w:bCs/>
                <w:color w:val="000000"/>
                <w:sz w:val="22"/>
                <w:szCs w:val="22"/>
              </w:rPr>
              <w:t>Eligible Persons (N)</w:t>
            </w:r>
          </w:p>
        </w:tc>
        <w:tc>
          <w:tcPr>
            <w:tcW w:w="1170" w:type="dxa"/>
            <w:vMerge w:val="restart"/>
            <w:tcBorders>
              <w:top w:val="nil"/>
              <w:left w:val="single" w:sz="4" w:space="0" w:color="auto"/>
              <w:bottom w:val="single" w:sz="4" w:space="0" w:color="auto"/>
              <w:right w:val="single" w:sz="4" w:space="0" w:color="auto"/>
            </w:tcBorders>
            <w:shd w:val="clear" w:color="auto" w:fill="auto"/>
            <w:vAlign w:val="bottom"/>
            <w:hideMark/>
          </w:tcPr>
          <w:p w14:paraId="379F9B25" w14:textId="77777777" w:rsidR="00F4374A" w:rsidRDefault="00F4374A" w:rsidP="00330C79">
            <w:pPr>
              <w:jc w:val="center"/>
              <w:rPr>
                <w:rFonts w:ascii="Calibri" w:hAnsi="Calibri"/>
                <w:b/>
                <w:bCs/>
                <w:color w:val="000000"/>
                <w:sz w:val="22"/>
                <w:szCs w:val="22"/>
              </w:rPr>
            </w:pPr>
            <w:r>
              <w:rPr>
                <w:rFonts w:ascii="Calibri" w:hAnsi="Calibri"/>
                <w:b/>
                <w:bCs/>
                <w:color w:val="000000"/>
                <w:sz w:val="22"/>
                <w:szCs w:val="22"/>
              </w:rPr>
              <w:t>% Complete</w:t>
            </w:r>
          </w:p>
        </w:tc>
        <w:tc>
          <w:tcPr>
            <w:tcW w:w="810" w:type="dxa"/>
            <w:vMerge w:val="restart"/>
            <w:tcBorders>
              <w:top w:val="nil"/>
              <w:left w:val="single" w:sz="4" w:space="0" w:color="auto"/>
              <w:bottom w:val="single" w:sz="4" w:space="0" w:color="auto"/>
              <w:right w:val="single" w:sz="4" w:space="0" w:color="auto"/>
            </w:tcBorders>
            <w:shd w:val="clear" w:color="auto" w:fill="auto"/>
            <w:vAlign w:val="bottom"/>
            <w:hideMark/>
          </w:tcPr>
          <w:p w14:paraId="010FA35A" w14:textId="77777777" w:rsidR="00F4374A" w:rsidRDefault="00F4374A" w:rsidP="00330C79">
            <w:pPr>
              <w:jc w:val="center"/>
              <w:rPr>
                <w:rFonts w:ascii="Calibri" w:hAnsi="Calibri"/>
                <w:b/>
                <w:bCs/>
                <w:i/>
                <w:iCs/>
                <w:color w:val="000000"/>
                <w:sz w:val="22"/>
                <w:szCs w:val="22"/>
              </w:rPr>
            </w:pPr>
            <w:r>
              <w:rPr>
                <w:rFonts w:ascii="Calibri" w:hAnsi="Calibri"/>
                <w:b/>
                <w:bCs/>
                <w:i/>
                <w:iCs/>
                <w:color w:val="000000"/>
                <w:sz w:val="22"/>
                <w:szCs w:val="22"/>
              </w:rPr>
              <w:t>(SE)</w:t>
            </w:r>
          </w:p>
        </w:tc>
        <w:tc>
          <w:tcPr>
            <w:tcW w:w="960" w:type="dxa"/>
            <w:vMerge/>
            <w:tcBorders>
              <w:top w:val="single" w:sz="12" w:space="0" w:color="auto"/>
              <w:left w:val="single" w:sz="4" w:space="0" w:color="auto"/>
              <w:bottom w:val="single" w:sz="8" w:space="0" w:color="000000"/>
              <w:right w:val="single" w:sz="4" w:space="0" w:color="auto"/>
            </w:tcBorders>
            <w:vAlign w:val="center"/>
            <w:hideMark/>
          </w:tcPr>
          <w:p w14:paraId="4FFA5D0E" w14:textId="77777777" w:rsidR="00F4374A" w:rsidRDefault="00F4374A">
            <w:pPr>
              <w:rPr>
                <w:rFonts w:ascii="Calibri" w:hAnsi="Calibri"/>
                <w:b/>
                <w:bCs/>
                <w:color w:val="000000"/>
                <w:sz w:val="22"/>
                <w:szCs w:val="22"/>
              </w:rPr>
            </w:pPr>
          </w:p>
        </w:tc>
        <w:tc>
          <w:tcPr>
            <w:tcW w:w="750" w:type="dxa"/>
            <w:vMerge/>
            <w:tcBorders>
              <w:top w:val="single" w:sz="12" w:space="0" w:color="auto"/>
              <w:left w:val="single" w:sz="4" w:space="0" w:color="auto"/>
              <w:bottom w:val="nil"/>
              <w:right w:val="single" w:sz="12" w:space="0" w:color="auto"/>
            </w:tcBorders>
            <w:vAlign w:val="center"/>
            <w:hideMark/>
          </w:tcPr>
          <w:p w14:paraId="52D0C61E" w14:textId="77777777" w:rsidR="00F4374A" w:rsidRDefault="00F4374A">
            <w:pPr>
              <w:rPr>
                <w:rFonts w:ascii="Calibri" w:hAnsi="Calibri"/>
                <w:i/>
                <w:iCs/>
                <w:color w:val="000000"/>
                <w:sz w:val="22"/>
                <w:szCs w:val="22"/>
              </w:rPr>
            </w:pPr>
          </w:p>
        </w:tc>
      </w:tr>
      <w:tr w:rsidR="00F03068" w14:paraId="2E1E720A" w14:textId="77777777" w:rsidTr="00FE1B1C">
        <w:trPr>
          <w:trHeight w:val="315"/>
        </w:trPr>
        <w:tc>
          <w:tcPr>
            <w:tcW w:w="1545" w:type="dxa"/>
            <w:vMerge/>
            <w:tcBorders>
              <w:top w:val="single" w:sz="12" w:space="0" w:color="auto"/>
              <w:left w:val="single" w:sz="12" w:space="0" w:color="auto"/>
              <w:bottom w:val="nil"/>
              <w:right w:val="single" w:sz="4" w:space="0" w:color="auto"/>
            </w:tcBorders>
            <w:vAlign w:val="center"/>
            <w:hideMark/>
          </w:tcPr>
          <w:p w14:paraId="6469204C" w14:textId="77777777" w:rsidR="00F4374A" w:rsidRDefault="00F4374A">
            <w:pPr>
              <w:rPr>
                <w:rFonts w:ascii="Calibri" w:hAnsi="Calibri"/>
                <w:b/>
                <w:bCs/>
                <w:color w:val="000000"/>
                <w:sz w:val="22"/>
                <w:szCs w:val="22"/>
              </w:rPr>
            </w:pPr>
          </w:p>
        </w:tc>
        <w:tc>
          <w:tcPr>
            <w:tcW w:w="1179" w:type="dxa"/>
            <w:vMerge/>
            <w:tcBorders>
              <w:top w:val="nil"/>
              <w:left w:val="single" w:sz="4" w:space="0" w:color="auto"/>
              <w:bottom w:val="single" w:sz="4" w:space="0" w:color="auto"/>
              <w:right w:val="single" w:sz="4" w:space="0" w:color="auto"/>
            </w:tcBorders>
            <w:vAlign w:val="center"/>
            <w:hideMark/>
          </w:tcPr>
          <w:p w14:paraId="3008F414" w14:textId="77777777" w:rsidR="00F4374A" w:rsidRDefault="00F4374A">
            <w:pPr>
              <w:rPr>
                <w:rFonts w:ascii="Calibri" w:hAnsi="Calibri"/>
                <w:b/>
                <w:bCs/>
                <w:color w:val="000000"/>
                <w:sz w:val="22"/>
                <w:szCs w:val="22"/>
              </w:rPr>
            </w:pPr>
          </w:p>
        </w:tc>
        <w:tc>
          <w:tcPr>
            <w:tcW w:w="1100" w:type="dxa"/>
            <w:vMerge/>
            <w:tcBorders>
              <w:top w:val="nil"/>
              <w:left w:val="single" w:sz="4" w:space="0" w:color="auto"/>
              <w:bottom w:val="single" w:sz="4" w:space="0" w:color="auto"/>
              <w:right w:val="single" w:sz="4" w:space="0" w:color="auto"/>
            </w:tcBorders>
            <w:vAlign w:val="center"/>
            <w:hideMark/>
          </w:tcPr>
          <w:p w14:paraId="62886F64" w14:textId="77777777" w:rsidR="00F4374A" w:rsidRDefault="00F4374A">
            <w:pPr>
              <w:rPr>
                <w:rFonts w:ascii="Calibri" w:hAnsi="Calibri"/>
                <w:b/>
                <w:bCs/>
                <w:color w:val="000000"/>
                <w:sz w:val="22"/>
                <w:szCs w:val="22"/>
              </w:rPr>
            </w:pPr>
          </w:p>
        </w:tc>
        <w:tc>
          <w:tcPr>
            <w:tcW w:w="781" w:type="dxa"/>
            <w:vMerge/>
            <w:tcBorders>
              <w:top w:val="nil"/>
              <w:left w:val="single" w:sz="4" w:space="0" w:color="auto"/>
              <w:bottom w:val="single" w:sz="4" w:space="0" w:color="auto"/>
              <w:right w:val="single" w:sz="4" w:space="0" w:color="auto"/>
            </w:tcBorders>
            <w:vAlign w:val="center"/>
            <w:hideMark/>
          </w:tcPr>
          <w:p w14:paraId="27263E26" w14:textId="77777777" w:rsidR="00F4374A" w:rsidRDefault="00F4374A">
            <w:pPr>
              <w:rPr>
                <w:rFonts w:ascii="Calibri" w:hAnsi="Calibri"/>
                <w:b/>
                <w:bCs/>
                <w:i/>
                <w:iCs/>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hideMark/>
          </w:tcPr>
          <w:p w14:paraId="012B0416" w14:textId="77777777" w:rsidR="00F4374A" w:rsidRDefault="00F4374A">
            <w:pPr>
              <w:rPr>
                <w:rFonts w:ascii="Calibri" w:hAnsi="Calibri"/>
                <w:b/>
                <w:bCs/>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14:paraId="6A487005" w14:textId="77777777" w:rsidR="00F4374A" w:rsidRDefault="00F4374A">
            <w:pPr>
              <w:rPr>
                <w:rFonts w:ascii="Calibri" w:hAnsi="Calibri"/>
                <w:b/>
                <w:bCs/>
                <w:color w:val="000000"/>
                <w:sz w:val="22"/>
                <w:szCs w:val="22"/>
              </w:rPr>
            </w:pPr>
          </w:p>
        </w:tc>
        <w:tc>
          <w:tcPr>
            <w:tcW w:w="810" w:type="dxa"/>
            <w:vMerge/>
            <w:tcBorders>
              <w:top w:val="nil"/>
              <w:left w:val="single" w:sz="4" w:space="0" w:color="auto"/>
              <w:bottom w:val="single" w:sz="4" w:space="0" w:color="auto"/>
              <w:right w:val="single" w:sz="4" w:space="0" w:color="auto"/>
            </w:tcBorders>
            <w:vAlign w:val="center"/>
            <w:hideMark/>
          </w:tcPr>
          <w:p w14:paraId="77FE5A36" w14:textId="77777777" w:rsidR="00F4374A" w:rsidRDefault="00F4374A">
            <w:pPr>
              <w:rPr>
                <w:rFonts w:ascii="Calibri" w:hAnsi="Calibri"/>
                <w:b/>
                <w:bCs/>
                <w:i/>
                <w:iCs/>
                <w:color w:val="000000"/>
                <w:sz w:val="22"/>
                <w:szCs w:val="22"/>
              </w:rPr>
            </w:pPr>
          </w:p>
        </w:tc>
        <w:tc>
          <w:tcPr>
            <w:tcW w:w="960" w:type="dxa"/>
            <w:vMerge/>
            <w:tcBorders>
              <w:top w:val="single" w:sz="12" w:space="0" w:color="auto"/>
              <w:left w:val="single" w:sz="4" w:space="0" w:color="auto"/>
              <w:bottom w:val="single" w:sz="8" w:space="0" w:color="000000"/>
              <w:right w:val="single" w:sz="4" w:space="0" w:color="auto"/>
            </w:tcBorders>
            <w:vAlign w:val="center"/>
            <w:hideMark/>
          </w:tcPr>
          <w:p w14:paraId="73D7D295" w14:textId="77777777" w:rsidR="00F4374A" w:rsidRDefault="00F4374A">
            <w:pPr>
              <w:rPr>
                <w:rFonts w:ascii="Calibri" w:hAnsi="Calibri"/>
                <w:b/>
                <w:bCs/>
                <w:color w:val="000000"/>
                <w:sz w:val="22"/>
                <w:szCs w:val="22"/>
              </w:rPr>
            </w:pPr>
          </w:p>
        </w:tc>
        <w:tc>
          <w:tcPr>
            <w:tcW w:w="750" w:type="dxa"/>
            <w:vMerge/>
            <w:tcBorders>
              <w:top w:val="single" w:sz="12" w:space="0" w:color="auto"/>
              <w:left w:val="single" w:sz="4" w:space="0" w:color="auto"/>
              <w:bottom w:val="nil"/>
              <w:right w:val="single" w:sz="12" w:space="0" w:color="auto"/>
            </w:tcBorders>
            <w:vAlign w:val="center"/>
            <w:hideMark/>
          </w:tcPr>
          <w:p w14:paraId="39B69FD5" w14:textId="77777777" w:rsidR="00F4374A" w:rsidRDefault="00F4374A">
            <w:pPr>
              <w:rPr>
                <w:rFonts w:ascii="Calibri" w:hAnsi="Calibri"/>
                <w:i/>
                <w:iCs/>
                <w:color w:val="000000"/>
                <w:sz w:val="22"/>
                <w:szCs w:val="22"/>
              </w:rPr>
            </w:pPr>
          </w:p>
        </w:tc>
      </w:tr>
      <w:tr w:rsidR="00F4374A" w14:paraId="4EBC6935" w14:textId="77777777" w:rsidTr="00FE1B1C">
        <w:trPr>
          <w:trHeight w:val="315"/>
        </w:trPr>
        <w:tc>
          <w:tcPr>
            <w:tcW w:w="9555" w:type="dxa"/>
            <w:gridSpan w:val="9"/>
            <w:tcBorders>
              <w:top w:val="single" w:sz="8" w:space="0" w:color="auto"/>
              <w:left w:val="single" w:sz="12" w:space="0" w:color="auto"/>
              <w:bottom w:val="single" w:sz="8" w:space="0" w:color="auto"/>
              <w:right w:val="single" w:sz="12" w:space="0" w:color="auto"/>
            </w:tcBorders>
            <w:shd w:val="clear" w:color="auto" w:fill="auto"/>
            <w:vAlign w:val="center"/>
            <w:hideMark/>
          </w:tcPr>
          <w:p w14:paraId="6109C44B" w14:textId="77777777" w:rsidR="00F4374A" w:rsidRDefault="00F4374A">
            <w:pPr>
              <w:rPr>
                <w:rFonts w:ascii="Calibri" w:hAnsi="Calibri"/>
                <w:b/>
                <w:bCs/>
                <w:color w:val="000000"/>
                <w:sz w:val="22"/>
                <w:szCs w:val="22"/>
              </w:rPr>
            </w:pPr>
            <w:r>
              <w:rPr>
                <w:rFonts w:ascii="Calibri" w:hAnsi="Calibri"/>
                <w:b/>
                <w:bCs/>
                <w:color w:val="000000"/>
                <w:sz w:val="22"/>
                <w:szCs w:val="22"/>
              </w:rPr>
              <w:t>Race</w:t>
            </w:r>
          </w:p>
        </w:tc>
      </w:tr>
      <w:tr w:rsidR="00F03068" w14:paraId="40D5BD54" w14:textId="77777777" w:rsidTr="00FE1B1C">
        <w:trPr>
          <w:trHeight w:val="300"/>
        </w:trPr>
        <w:tc>
          <w:tcPr>
            <w:tcW w:w="1545" w:type="dxa"/>
            <w:tcBorders>
              <w:top w:val="nil"/>
              <w:left w:val="single" w:sz="12" w:space="0" w:color="auto"/>
              <w:bottom w:val="single" w:sz="4" w:space="0" w:color="auto"/>
              <w:right w:val="single" w:sz="4" w:space="0" w:color="auto"/>
            </w:tcBorders>
            <w:shd w:val="clear" w:color="auto" w:fill="auto"/>
            <w:vAlign w:val="center"/>
            <w:hideMark/>
          </w:tcPr>
          <w:p w14:paraId="2D1CE8AD" w14:textId="77777777" w:rsidR="00F4374A" w:rsidRDefault="00F4374A">
            <w:pPr>
              <w:rPr>
                <w:rFonts w:ascii="Calibri" w:hAnsi="Calibri"/>
                <w:color w:val="000000"/>
                <w:sz w:val="22"/>
                <w:szCs w:val="22"/>
              </w:rPr>
            </w:pPr>
            <w:r>
              <w:rPr>
                <w:rFonts w:ascii="Calibri" w:hAnsi="Calibri"/>
                <w:color w:val="000000"/>
                <w:sz w:val="22"/>
                <w:szCs w:val="22"/>
              </w:rPr>
              <w:t>Hispanic</w:t>
            </w:r>
          </w:p>
        </w:tc>
        <w:tc>
          <w:tcPr>
            <w:tcW w:w="1179" w:type="dxa"/>
            <w:tcBorders>
              <w:top w:val="nil"/>
              <w:left w:val="nil"/>
              <w:bottom w:val="single" w:sz="4" w:space="0" w:color="auto"/>
              <w:right w:val="single" w:sz="4" w:space="0" w:color="auto"/>
            </w:tcBorders>
            <w:shd w:val="clear" w:color="auto" w:fill="auto"/>
            <w:noWrap/>
            <w:vAlign w:val="center"/>
            <w:hideMark/>
          </w:tcPr>
          <w:p w14:paraId="49170732" w14:textId="77777777" w:rsidR="00F4374A" w:rsidRDefault="00F4374A">
            <w:pPr>
              <w:jc w:val="center"/>
              <w:rPr>
                <w:rFonts w:ascii="Calibri" w:hAnsi="Calibri"/>
                <w:color w:val="000000"/>
                <w:sz w:val="22"/>
                <w:szCs w:val="22"/>
              </w:rPr>
            </w:pPr>
            <w:r>
              <w:rPr>
                <w:rFonts w:ascii="Calibri" w:hAnsi="Calibri"/>
                <w:color w:val="000000"/>
                <w:sz w:val="22"/>
                <w:szCs w:val="22"/>
              </w:rPr>
              <w:t>770</w:t>
            </w:r>
          </w:p>
        </w:tc>
        <w:tc>
          <w:tcPr>
            <w:tcW w:w="1100" w:type="dxa"/>
            <w:tcBorders>
              <w:top w:val="nil"/>
              <w:left w:val="nil"/>
              <w:bottom w:val="single" w:sz="4" w:space="0" w:color="auto"/>
              <w:right w:val="single" w:sz="4" w:space="0" w:color="auto"/>
            </w:tcBorders>
            <w:shd w:val="clear" w:color="auto" w:fill="auto"/>
            <w:noWrap/>
            <w:vAlign w:val="center"/>
            <w:hideMark/>
          </w:tcPr>
          <w:p w14:paraId="137BD48C" w14:textId="6E23740C" w:rsidR="00F4374A" w:rsidRDefault="00F4374A" w:rsidP="001A3F5D">
            <w:pPr>
              <w:jc w:val="center"/>
              <w:rPr>
                <w:rFonts w:ascii="Calibri" w:hAnsi="Calibri"/>
                <w:color w:val="000000"/>
                <w:sz w:val="22"/>
                <w:szCs w:val="22"/>
              </w:rPr>
            </w:pPr>
            <w:r>
              <w:rPr>
                <w:rFonts w:ascii="Calibri" w:hAnsi="Calibri"/>
                <w:color w:val="000000"/>
                <w:sz w:val="22"/>
                <w:szCs w:val="22"/>
              </w:rPr>
              <w:t>61.9%</w:t>
            </w:r>
          </w:p>
        </w:tc>
        <w:tc>
          <w:tcPr>
            <w:tcW w:w="781" w:type="dxa"/>
            <w:tcBorders>
              <w:top w:val="nil"/>
              <w:left w:val="nil"/>
              <w:bottom w:val="single" w:sz="4" w:space="0" w:color="auto"/>
              <w:right w:val="single" w:sz="4" w:space="0" w:color="auto"/>
            </w:tcBorders>
            <w:shd w:val="clear" w:color="auto" w:fill="auto"/>
            <w:noWrap/>
            <w:vAlign w:val="center"/>
            <w:hideMark/>
          </w:tcPr>
          <w:p w14:paraId="1095A800" w14:textId="145F9D5A" w:rsidR="00F4374A" w:rsidRDefault="00F4374A" w:rsidP="001A3F5D">
            <w:pPr>
              <w:jc w:val="center"/>
              <w:rPr>
                <w:rFonts w:ascii="Calibri" w:hAnsi="Calibri"/>
                <w:i/>
                <w:iCs/>
                <w:color w:val="000000"/>
                <w:sz w:val="22"/>
                <w:szCs w:val="22"/>
              </w:rPr>
            </w:pPr>
            <w:r>
              <w:rPr>
                <w:rFonts w:ascii="Calibri" w:hAnsi="Calibri"/>
                <w:i/>
                <w:iCs/>
                <w:color w:val="000000"/>
                <w:sz w:val="22"/>
                <w:szCs w:val="22"/>
              </w:rPr>
              <w:t>1.8%</w:t>
            </w:r>
          </w:p>
        </w:tc>
        <w:tc>
          <w:tcPr>
            <w:tcW w:w="1260" w:type="dxa"/>
            <w:tcBorders>
              <w:top w:val="nil"/>
              <w:left w:val="nil"/>
              <w:bottom w:val="single" w:sz="4" w:space="0" w:color="auto"/>
              <w:right w:val="single" w:sz="4" w:space="0" w:color="auto"/>
            </w:tcBorders>
            <w:shd w:val="clear" w:color="auto" w:fill="auto"/>
            <w:noWrap/>
            <w:vAlign w:val="center"/>
            <w:hideMark/>
          </w:tcPr>
          <w:p w14:paraId="585AB0C3" w14:textId="77777777" w:rsidR="00F4374A" w:rsidRDefault="00F4374A">
            <w:pPr>
              <w:jc w:val="center"/>
              <w:rPr>
                <w:rFonts w:ascii="Calibri" w:hAnsi="Calibri"/>
                <w:color w:val="000000"/>
                <w:sz w:val="22"/>
                <w:szCs w:val="22"/>
              </w:rPr>
            </w:pPr>
            <w:r>
              <w:rPr>
                <w:rFonts w:ascii="Calibri" w:hAnsi="Calibri"/>
                <w:color w:val="000000"/>
                <w:sz w:val="22"/>
                <w:szCs w:val="22"/>
              </w:rPr>
              <w:t>867</w:t>
            </w:r>
          </w:p>
        </w:tc>
        <w:tc>
          <w:tcPr>
            <w:tcW w:w="1170" w:type="dxa"/>
            <w:tcBorders>
              <w:top w:val="nil"/>
              <w:left w:val="nil"/>
              <w:bottom w:val="single" w:sz="4" w:space="0" w:color="auto"/>
              <w:right w:val="single" w:sz="4" w:space="0" w:color="auto"/>
            </w:tcBorders>
            <w:shd w:val="clear" w:color="auto" w:fill="auto"/>
            <w:noWrap/>
            <w:vAlign w:val="center"/>
            <w:hideMark/>
          </w:tcPr>
          <w:p w14:paraId="2A3BFB7D" w14:textId="3FB2728D" w:rsidR="00F4374A" w:rsidRDefault="00F4374A" w:rsidP="001A3F5D">
            <w:pPr>
              <w:jc w:val="center"/>
              <w:rPr>
                <w:rFonts w:ascii="Calibri" w:hAnsi="Calibri"/>
                <w:color w:val="000000"/>
                <w:sz w:val="22"/>
                <w:szCs w:val="22"/>
              </w:rPr>
            </w:pPr>
            <w:r>
              <w:rPr>
                <w:rFonts w:ascii="Calibri" w:hAnsi="Calibri"/>
                <w:color w:val="000000"/>
                <w:sz w:val="22"/>
                <w:szCs w:val="22"/>
              </w:rPr>
              <w:t>69.1%</w:t>
            </w:r>
          </w:p>
        </w:tc>
        <w:tc>
          <w:tcPr>
            <w:tcW w:w="810" w:type="dxa"/>
            <w:tcBorders>
              <w:top w:val="nil"/>
              <w:left w:val="nil"/>
              <w:bottom w:val="single" w:sz="4" w:space="0" w:color="auto"/>
              <w:right w:val="nil"/>
            </w:tcBorders>
            <w:shd w:val="clear" w:color="auto" w:fill="auto"/>
            <w:noWrap/>
            <w:vAlign w:val="center"/>
            <w:hideMark/>
          </w:tcPr>
          <w:p w14:paraId="5A2BAB4C" w14:textId="6BFF7A8D" w:rsidR="00F4374A" w:rsidRDefault="00F4374A" w:rsidP="001A3F5D">
            <w:pPr>
              <w:jc w:val="center"/>
              <w:rPr>
                <w:rFonts w:ascii="Calibri" w:hAnsi="Calibri"/>
                <w:i/>
                <w:iCs/>
                <w:color w:val="000000"/>
                <w:sz w:val="22"/>
                <w:szCs w:val="22"/>
              </w:rPr>
            </w:pPr>
            <w:r>
              <w:rPr>
                <w:rFonts w:ascii="Calibri" w:hAnsi="Calibri"/>
                <w:i/>
                <w:iCs/>
                <w:color w:val="000000"/>
                <w:sz w:val="22"/>
                <w:szCs w:val="22"/>
              </w:rPr>
              <w:t>1.6%</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14:paraId="585767FC" w14:textId="0FB47D1A" w:rsidR="00F4374A" w:rsidRDefault="00F4374A" w:rsidP="001A3F5D">
            <w:pPr>
              <w:jc w:val="center"/>
              <w:rPr>
                <w:rFonts w:ascii="Calibri" w:hAnsi="Calibri"/>
                <w:color w:val="000000"/>
                <w:sz w:val="22"/>
                <w:szCs w:val="22"/>
              </w:rPr>
            </w:pPr>
            <w:r>
              <w:rPr>
                <w:rFonts w:ascii="Calibri" w:hAnsi="Calibri"/>
                <w:color w:val="000000"/>
                <w:sz w:val="22"/>
                <w:szCs w:val="22"/>
              </w:rPr>
              <w:t>7.2%</w:t>
            </w:r>
          </w:p>
        </w:tc>
        <w:tc>
          <w:tcPr>
            <w:tcW w:w="750" w:type="dxa"/>
            <w:tcBorders>
              <w:top w:val="nil"/>
              <w:left w:val="nil"/>
              <w:bottom w:val="single" w:sz="4" w:space="0" w:color="auto"/>
              <w:right w:val="single" w:sz="12" w:space="0" w:color="auto"/>
            </w:tcBorders>
            <w:shd w:val="clear" w:color="auto" w:fill="auto"/>
            <w:noWrap/>
            <w:vAlign w:val="center"/>
            <w:hideMark/>
          </w:tcPr>
          <w:p w14:paraId="2C3D2589" w14:textId="77777777" w:rsidR="00F4374A" w:rsidRDefault="00F4374A">
            <w:pPr>
              <w:jc w:val="center"/>
              <w:rPr>
                <w:rFonts w:ascii="Calibri" w:hAnsi="Calibri"/>
                <w:color w:val="000000"/>
                <w:sz w:val="22"/>
                <w:szCs w:val="22"/>
              </w:rPr>
            </w:pPr>
            <w:r>
              <w:rPr>
                <w:rFonts w:ascii="Calibri" w:hAnsi="Calibri"/>
                <w:color w:val="000000"/>
                <w:sz w:val="22"/>
                <w:szCs w:val="22"/>
              </w:rPr>
              <w:t>0.017</w:t>
            </w:r>
          </w:p>
        </w:tc>
      </w:tr>
      <w:tr w:rsidR="00F03068" w14:paraId="68B88598" w14:textId="77777777" w:rsidTr="00FE1B1C">
        <w:trPr>
          <w:trHeight w:val="300"/>
        </w:trPr>
        <w:tc>
          <w:tcPr>
            <w:tcW w:w="1545" w:type="dxa"/>
            <w:tcBorders>
              <w:top w:val="nil"/>
              <w:left w:val="single" w:sz="12" w:space="0" w:color="auto"/>
              <w:bottom w:val="single" w:sz="4" w:space="0" w:color="auto"/>
              <w:right w:val="single" w:sz="4" w:space="0" w:color="auto"/>
            </w:tcBorders>
            <w:shd w:val="clear" w:color="auto" w:fill="auto"/>
            <w:vAlign w:val="center"/>
            <w:hideMark/>
          </w:tcPr>
          <w:p w14:paraId="62CD2112" w14:textId="77777777" w:rsidR="00F4374A" w:rsidRDefault="00F4374A">
            <w:pPr>
              <w:rPr>
                <w:rFonts w:ascii="Calibri" w:hAnsi="Calibri"/>
                <w:color w:val="000000"/>
                <w:sz w:val="22"/>
                <w:szCs w:val="22"/>
              </w:rPr>
            </w:pPr>
            <w:r>
              <w:rPr>
                <w:rFonts w:ascii="Calibri" w:hAnsi="Calibri"/>
                <w:color w:val="000000"/>
                <w:sz w:val="22"/>
                <w:szCs w:val="22"/>
              </w:rPr>
              <w:t>Black</w:t>
            </w:r>
          </w:p>
        </w:tc>
        <w:tc>
          <w:tcPr>
            <w:tcW w:w="1179" w:type="dxa"/>
            <w:tcBorders>
              <w:top w:val="nil"/>
              <w:left w:val="nil"/>
              <w:bottom w:val="single" w:sz="4" w:space="0" w:color="auto"/>
              <w:right w:val="single" w:sz="4" w:space="0" w:color="auto"/>
            </w:tcBorders>
            <w:shd w:val="clear" w:color="auto" w:fill="auto"/>
            <w:noWrap/>
            <w:vAlign w:val="center"/>
            <w:hideMark/>
          </w:tcPr>
          <w:p w14:paraId="727A9C68" w14:textId="77777777" w:rsidR="00F4374A" w:rsidRDefault="00F4374A">
            <w:pPr>
              <w:jc w:val="center"/>
              <w:rPr>
                <w:rFonts w:ascii="Calibri" w:hAnsi="Calibri"/>
                <w:color w:val="000000"/>
                <w:sz w:val="22"/>
                <w:szCs w:val="22"/>
              </w:rPr>
            </w:pPr>
            <w:r>
              <w:rPr>
                <w:rFonts w:ascii="Calibri" w:hAnsi="Calibri"/>
                <w:color w:val="000000"/>
                <w:sz w:val="22"/>
                <w:szCs w:val="22"/>
              </w:rPr>
              <w:t>659</w:t>
            </w:r>
          </w:p>
        </w:tc>
        <w:tc>
          <w:tcPr>
            <w:tcW w:w="1100" w:type="dxa"/>
            <w:tcBorders>
              <w:top w:val="nil"/>
              <w:left w:val="nil"/>
              <w:bottom w:val="single" w:sz="4" w:space="0" w:color="auto"/>
              <w:right w:val="single" w:sz="4" w:space="0" w:color="auto"/>
            </w:tcBorders>
            <w:shd w:val="clear" w:color="auto" w:fill="auto"/>
            <w:noWrap/>
            <w:vAlign w:val="center"/>
            <w:hideMark/>
          </w:tcPr>
          <w:p w14:paraId="64CF3F0F" w14:textId="6127DB48" w:rsidR="00F4374A" w:rsidRDefault="00F4374A" w:rsidP="001A3F5D">
            <w:pPr>
              <w:jc w:val="center"/>
              <w:rPr>
                <w:rFonts w:ascii="Calibri" w:hAnsi="Calibri"/>
                <w:color w:val="000000"/>
                <w:sz w:val="22"/>
                <w:szCs w:val="22"/>
              </w:rPr>
            </w:pPr>
            <w:r>
              <w:rPr>
                <w:rFonts w:ascii="Calibri" w:hAnsi="Calibri"/>
                <w:color w:val="000000"/>
                <w:sz w:val="22"/>
                <w:szCs w:val="22"/>
              </w:rPr>
              <w:t>68.7%</w:t>
            </w:r>
          </w:p>
        </w:tc>
        <w:tc>
          <w:tcPr>
            <w:tcW w:w="781" w:type="dxa"/>
            <w:tcBorders>
              <w:top w:val="nil"/>
              <w:left w:val="nil"/>
              <w:bottom w:val="single" w:sz="4" w:space="0" w:color="auto"/>
              <w:right w:val="single" w:sz="4" w:space="0" w:color="auto"/>
            </w:tcBorders>
            <w:shd w:val="clear" w:color="auto" w:fill="auto"/>
            <w:noWrap/>
            <w:vAlign w:val="center"/>
            <w:hideMark/>
          </w:tcPr>
          <w:p w14:paraId="7DB31742" w14:textId="3324435D" w:rsidR="00F4374A" w:rsidRDefault="00F4374A" w:rsidP="001A3F5D">
            <w:pPr>
              <w:jc w:val="center"/>
              <w:rPr>
                <w:rFonts w:ascii="Calibri" w:hAnsi="Calibri"/>
                <w:i/>
                <w:iCs/>
                <w:color w:val="000000"/>
                <w:sz w:val="22"/>
                <w:szCs w:val="22"/>
              </w:rPr>
            </w:pPr>
            <w:r>
              <w:rPr>
                <w:rFonts w:ascii="Calibri" w:hAnsi="Calibri"/>
                <w:i/>
                <w:iCs/>
                <w:color w:val="000000"/>
                <w:sz w:val="22"/>
                <w:szCs w:val="22"/>
              </w:rPr>
              <w:t>1.8%</w:t>
            </w:r>
          </w:p>
        </w:tc>
        <w:tc>
          <w:tcPr>
            <w:tcW w:w="1260" w:type="dxa"/>
            <w:tcBorders>
              <w:top w:val="nil"/>
              <w:left w:val="nil"/>
              <w:bottom w:val="single" w:sz="4" w:space="0" w:color="auto"/>
              <w:right w:val="single" w:sz="4" w:space="0" w:color="auto"/>
            </w:tcBorders>
            <w:shd w:val="clear" w:color="auto" w:fill="auto"/>
            <w:noWrap/>
            <w:vAlign w:val="center"/>
            <w:hideMark/>
          </w:tcPr>
          <w:p w14:paraId="5A9045FF" w14:textId="77777777" w:rsidR="00F4374A" w:rsidRDefault="00F4374A">
            <w:pPr>
              <w:jc w:val="center"/>
              <w:rPr>
                <w:rFonts w:ascii="Calibri" w:hAnsi="Calibri"/>
                <w:color w:val="000000"/>
                <w:sz w:val="22"/>
                <w:szCs w:val="22"/>
              </w:rPr>
            </w:pPr>
            <w:r>
              <w:rPr>
                <w:rFonts w:ascii="Calibri" w:hAnsi="Calibri"/>
                <w:color w:val="000000"/>
                <w:sz w:val="22"/>
                <w:szCs w:val="22"/>
              </w:rPr>
              <w:t>667</w:t>
            </w:r>
          </w:p>
        </w:tc>
        <w:tc>
          <w:tcPr>
            <w:tcW w:w="1170" w:type="dxa"/>
            <w:tcBorders>
              <w:top w:val="nil"/>
              <w:left w:val="nil"/>
              <w:bottom w:val="single" w:sz="4" w:space="0" w:color="auto"/>
              <w:right w:val="single" w:sz="4" w:space="0" w:color="auto"/>
            </w:tcBorders>
            <w:shd w:val="clear" w:color="auto" w:fill="auto"/>
            <w:noWrap/>
            <w:vAlign w:val="center"/>
            <w:hideMark/>
          </w:tcPr>
          <w:p w14:paraId="6BDA2DC3" w14:textId="3BE14F8F" w:rsidR="00F4374A" w:rsidRDefault="00F4374A" w:rsidP="001A3F5D">
            <w:pPr>
              <w:jc w:val="center"/>
              <w:rPr>
                <w:rFonts w:ascii="Calibri" w:hAnsi="Calibri"/>
                <w:color w:val="000000"/>
                <w:sz w:val="22"/>
                <w:szCs w:val="22"/>
              </w:rPr>
            </w:pPr>
            <w:r>
              <w:rPr>
                <w:rFonts w:ascii="Calibri" w:hAnsi="Calibri"/>
                <w:color w:val="000000"/>
                <w:sz w:val="22"/>
                <w:szCs w:val="22"/>
              </w:rPr>
              <w:t>74.4%</w:t>
            </w:r>
          </w:p>
        </w:tc>
        <w:tc>
          <w:tcPr>
            <w:tcW w:w="810" w:type="dxa"/>
            <w:tcBorders>
              <w:top w:val="nil"/>
              <w:left w:val="nil"/>
              <w:bottom w:val="single" w:sz="4" w:space="0" w:color="auto"/>
              <w:right w:val="nil"/>
            </w:tcBorders>
            <w:shd w:val="clear" w:color="auto" w:fill="auto"/>
            <w:noWrap/>
            <w:vAlign w:val="center"/>
            <w:hideMark/>
          </w:tcPr>
          <w:p w14:paraId="2C1A81C9" w14:textId="430D6AA9" w:rsidR="00F4374A" w:rsidRDefault="00F4374A" w:rsidP="001A3F5D">
            <w:pPr>
              <w:jc w:val="center"/>
              <w:rPr>
                <w:rFonts w:ascii="Calibri" w:hAnsi="Calibri"/>
                <w:i/>
                <w:iCs/>
                <w:color w:val="000000"/>
                <w:sz w:val="22"/>
                <w:szCs w:val="22"/>
              </w:rPr>
            </w:pPr>
            <w:r>
              <w:rPr>
                <w:rFonts w:ascii="Calibri" w:hAnsi="Calibri"/>
                <w:i/>
                <w:iCs/>
                <w:color w:val="000000"/>
                <w:sz w:val="22"/>
                <w:szCs w:val="22"/>
              </w:rPr>
              <w:t>1.7%</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14:paraId="0FF1BDE2" w14:textId="166DDC98" w:rsidR="00F4374A" w:rsidRDefault="00F4374A" w:rsidP="001A3F5D">
            <w:pPr>
              <w:jc w:val="center"/>
              <w:rPr>
                <w:rFonts w:ascii="Calibri" w:hAnsi="Calibri"/>
                <w:color w:val="000000"/>
                <w:sz w:val="22"/>
                <w:szCs w:val="22"/>
              </w:rPr>
            </w:pPr>
            <w:r>
              <w:rPr>
                <w:rFonts w:ascii="Calibri" w:hAnsi="Calibri"/>
                <w:color w:val="000000"/>
                <w:sz w:val="22"/>
                <w:szCs w:val="22"/>
              </w:rPr>
              <w:t>5.7%</w:t>
            </w:r>
          </w:p>
        </w:tc>
        <w:tc>
          <w:tcPr>
            <w:tcW w:w="750" w:type="dxa"/>
            <w:tcBorders>
              <w:top w:val="nil"/>
              <w:left w:val="nil"/>
              <w:bottom w:val="single" w:sz="4" w:space="0" w:color="auto"/>
              <w:right w:val="single" w:sz="12" w:space="0" w:color="auto"/>
            </w:tcBorders>
            <w:shd w:val="clear" w:color="auto" w:fill="auto"/>
            <w:noWrap/>
            <w:vAlign w:val="center"/>
            <w:hideMark/>
          </w:tcPr>
          <w:p w14:paraId="480E53FA" w14:textId="77777777" w:rsidR="00F4374A" w:rsidRDefault="00F4374A">
            <w:pPr>
              <w:jc w:val="center"/>
              <w:rPr>
                <w:rFonts w:ascii="Calibri" w:hAnsi="Calibri"/>
                <w:color w:val="000000"/>
                <w:sz w:val="22"/>
                <w:szCs w:val="22"/>
              </w:rPr>
            </w:pPr>
            <w:r>
              <w:rPr>
                <w:rFonts w:ascii="Calibri" w:hAnsi="Calibri"/>
                <w:color w:val="000000"/>
                <w:sz w:val="22"/>
                <w:szCs w:val="22"/>
              </w:rPr>
              <w:t>0.138</w:t>
            </w:r>
          </w:p>
        </w:tc>
      </w:tr>
      <w:tr w:rsidR="00F03068" w14:paraId="7F183882" w14:textId="77777777" w:rsidTr="00FE1B1C">
        <w:trPr>
          <w:trHeight w:val="315"/>
        </w:trPr>
        <w:tc>
          <w:tcPr>
            <w:tcW w:w="1545" w:type="dxa"/>
            <w:tcBorders>
              <w:top w:val="nil"/>
              <w:left w:val="single" w:sz="12" w:space="0" w:color="auto"/>
              <w:bottom w:val="nil"/>
              <w:right w:val="single" w:sz="4" w:space="0" w:color="auto"/>
            </w:tcBorders>
            <w:shd w:val="clear" w:color="auto" w:fill="auto"/>
            <w:vAlign w:val="center"/>
            <w:hideMark/>
          </w:tcPr>
          <w:p w14:paraId="09EA0804" w14:textId="77777777" w:rsidR="00F4374A" w:rsidRDefault="00F4374A">
            <w:pPr>
              <w:rPr>
                <w:rFonts w:ascii="Calibri" w:hAnsi="Calibri"/>
                <w:color w:val="000000"/>
                <w:sz w:val="22"/>
                <w:szCs w:val="22"/>
              </w:rPr>
            </w:pPr>
            <w:r>
              <w:rPr>
                <w:rFonts w:ascii="Calibri" w:hAnsi="Calibri"/>
                <w:color w:val="000000"/>
                <w:sz w:val="22"/>
                <w:szCs w:val="22"/>
              </w:rPr>
              <w:t>White &amp; Other</w:t>
            </w:r>
          </w:p>
        </w:tc>
        <w:tc>
          <w:tcPr>
            <w:tcW w:w="1179" w:type="dxa"/>
            <w:tcBorders>
              <w:top w:val="nil"/>
              <w:left w:val="nil"/>
              <w:bottom w:val="nil"/>
              <w:right w:val="single" w:sz="4" w:space="0" w:color="auto"/>
            </w:tcBorders>
            <w:shd w:val="clear" w:color="auto" w:fill="auto"/>
            <w:noWrap/>
            <w:vAlign w:val="center"/>
            <w:hideMark/>
          </w:tcPr>
          <w:p w14:paraId="7242353A" w14:textId="77777777" w:rsidR="00F4374A" w:rsidRDefault="00F4374A">
            <w:pPr>
              <w:jc w:val="center"/>
              <w:rPr>
                <w:rFonts w:ascii="Calibri" w:hAnsi="Calibri"/>
                <w:color w:val="000000"/>
                <w:sz w:val="22"/>
                <w:szCs w:val="22"/>
              </w:rPr>
            </w:pPr>
            <w:r>
              <w:rPr>
                <w:rFonts w:ascii="Calibri" w:hAnsi="Calibri"/>
                <w:color w:val="000000"/>
                <w:sz w:val="22"/>
                <w:szCs w:val="22"/>
              </w:rPr>
              <w:t>2065</w:t>
            </w:r>
          </w:p>
        </w:tc>
        <w:tc>
          <w:tcPr>
            <w:tcW w:w="1100" w:type="dxa"/>
            <w:tcBorders>
              <w:top w:val="nil"/>
              <w:left w:val="nil"/>
              <w:bottom w:val="nil"/>
              <w:right w:val="single" w:sz="4" w:space="0" w:color="auto"/>
            </w:tcBorders>
            <w:shd w:val="clear" w:color="auto" w:fill="auto"/>
            <w:noWrap/>
            <w:vAlign w:val="center"/>
            <w:hideMark/>
          </w:tcPr>
          <w:p w14:paraId="7100DF9D" w14:textId="51143AC9" w:rsidR="00F4374A" w:rsidRDefault="00F4374A" w:rsidP="001A3F5D">
            <w:pPr>
              <w:jc w:val="center"/>
              <w:rPr>
                <w:rFonts w:ascii="Calibri" w:hAnsi="Calibri"/>
                <w:color w:val="000000"/>
                <w:sz w:val="22"/>
                <w:szCs w:val="22"/>
              </w:rPr>
            </w:pPr>
            <w:r>
              <w:rPr>
                <w:rFonts w:ascii="Calibri" w:hAnsi="Calibri"/>
                <w:color w:val="000000"/>
                <w:sz w:val="22"/>
                <w:szCs w:val="22"/>
              </w:rPr>
              <w:t>60.2%</w:t>
            </w:r>
          </w:p>
        </w:tc>
        <w:tc>
          <w:tcPr>
            <w:tcW w:w="781" w:type="dxa"/>
            <w:tcBorders>
              <w:top w:val="nil"/>
              <w:left w:val="nil"/>
              <w:bottom w:val="nil"/>
              <w:right w:val="single" w:sz="4" w:space="0" w:color="auto"/>
            </w:tcBorders>
            <w:shd w:val="clear" w:color="auto" w:fill="auto"/>
            <w:noWrap/>
            <w:vAlign w:val="center"/>
            <w:hideMark/>
          </w:tcPr>
          <w:p w14:paraId="498F7974" w14:textId="11390D12" w:rsidR="00F4374A" w:rsidRDefault="00F4374A" w:rsidP="001A3F5D">
            <w:pPr>
              <w:jc w:val="center"/>
              <w:rPr>
                <w:rFonts w:ascii="Calibri" w:hAnsi="Calibri"/>
                <w:i/>
                <w:iCs/>
                <w:color w:val="000000"/>
                <w:sz w:val="22"/>
                <w:szCs w:val="22"/>
              </w:rPr>
            </w:pPr>
            <w:r>
              <w:rPr>
                <w:rFonts w:ascii="Calibri" w:hAnsi="Calibri"/>
                <w:i/>
                <w:iCs/>
                <w:color w:val="000000"/>
                <w:sz w:val="22"/>
                <w:szCs w:val="22"/>
              </w:rPr>
              <w:t>1.1%</w:t>
            </w:r>
          </w:p>
        </w:tc>
        <w:tc>
          <w:tcPr>
            <w:tcW w:w="1260" w:type="dxa"/>
            <w:tcBorders>
              <w:top w:val="nil"/>
              <w:left w:val="nil"/>
              <w:bottom w:val="nil"/>
              <w:right w:val="single" w:sz="4" w:space="0" w:color="auto"/>
            </w:tcBorders>
            <w:shd w:val="clear" w:color="auto" w:fill="auto"/>
            <w:noWrap/>
            <w:vAlign w:val="center"/>
            <w:hideMark/>
          </w:tcPr>
          <w:p w14:paraId="203334E1" w14:textId="77777777" w:rsidR="00F4374A" w:rsidRDefault="00F4374A">
            <w:pPr>
              <w:jc w:val="center"/>
              <w:rPr>
                <w:rFonts w:ascii="Calibri" w:hAnsi="Calibri"/>
                <w:color w:val="000000"/>
                <w:sz w:val="22"/>
                <w:szCs w:val="22"/>
              </w:rPr>
            </w:pPr>
            <w:r>
              <w:rPr>
                <w:rFonts w:ascii="Calibri" w:hAnsi="Calibri"/>
                <w:color w:val="000000"/>
                <w:sz w:val="22"/>
                <w:szCs w:val="22"/>
              </w:rPr>
              <w:t>2194</w:t>
            </w:r>
          </w:p>
        </w:tc>
        <w:tc>
          <w:tcPr>
            <w:tcW w:w="1170" w:type="dxa"/>
            <w:tcBorders>
              <w:top w:val="nil"/>
              <w:left w:val="nil"/>
              <w:bottom w:val="nil"/>
              <w:right w:val="single" w:sz="4" w:space="0" w:color="auto"/>
            </w:tcBorders>
            <w:shd w:val="clear" w:color="auto" w:fill="auto"/>
            <w:noWrap/>
            <w:vAlign w:val="center"/>
            <w:hideMark/>
          </w:tcPr>
          <w:p w14:paraId="67805821" w14:textId="4DB5ED9A" w:rsidR="00F4374A" w:rsidRDefault="00F4374A" w:rsidP="001A3F5D">
            <w:pPr>
              <w:jc w:val="center"/>
              <w:rPr>
                <w:rFonts w:ascii="Calibri" w:hAnsi="Calibri"/>
                <w:color w:val="000000"/>
                <w:sz w:val="22"/>
                <w:szCs w:val="22"/>
              </w:rPr>
            </w:pPr>
            <w:r>
              <w:rPr>
                <w:rFonts w:ascii="Calibri" w:hAnsi="Calibri"/>
                <w:color w:val="000000"/>
                <w:sz w:val="22"/>
                <w:szCs w:val="22"/>
              </w:rPr>
              <w:t>63.8%</w:t>
            </w:r>
          </w:p>
        </w:tc>
        <w:tc>
          <w:tcPr>
            <w:tcW w:w="810" w:type="dxa"/>
            <w:tcBorders>
              <w:top w:val="nil"/>
              <w:left w:val="nil"/>
              <w:bottom w:val="nil"/>
              <w:right w:val="nil"/>
            </w:tcBorders>
            <w:shd w:val="clear" w:color="auto" w:fill="auto"/>
            <w:noWrap/>
            <w:vAlign w:val="center"/>
            <w:hideMark/>
          </w:tcPr>
          <w:p w14:paraId="41C1D343" w14:textId="74C19D8C" w:rsidR="00F4374A" w:rsidRDefault="00F4374A" w:rsidP="001A3F5D">
            <w:pPr>
              <w:jc w:val="center"/>
              <w:rPr>
                <w:rFonts w:ascii="Calibri" w:hAnsi="Calibri"/>
                <w:i/>
                <w:iCs/>
                <w:color w:val="000000"/>
                <w:sz w:val="22"/>
                <w:szCs w:val="22"/>
              </w:rPr>
            </w:pPr>
            <w:r>
              <w:rPr>
                <w:rFonts w:ascii="Calibri" w:hAnsi="Calibri"/>
                <w:i/>
                <w:iCs/>
                <w:color w:val="000000"/>
                <w:sz w:val="22"/>
                <w:szCs w:val="22"/>
              </w:rPr>
              <w:t>1.0%</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43D2930C" w14:textId="08CF5EA0" w:rsidR="00F4374A" w:rsidRDefault="00F4374A" w:rsidP="001A3F5D">
            <w:pPr>
              <w:jc w:val="center"/>
              <w:rPr>
                <w:rFonts w:ascii="Calibri" w:hAnsi="Calibri"/>
                <w:color w:val="000000"/>
                <w:sz w:val="22"/>
                <w:szCs w:val="22"/>
              </w:rPr>
            </w:pPr>
            <w:r>
              <w:rPr>
                <w:rFonts w:ascii="Calibri" w:hAnsi="Calibri"/>
                <w:color w:val="000000"/>
                <w:sz w:val="22"/>
                <w:szCs w:val="22"/>
              </w:rPr>
              <w:t>3.6%</w:t>
            </w:r>
          </w:p>
        </w:tc>
        <w:tc>
          <w:tcPr>
            <w:tcW w:w="750" w:type="dxa"/>
            <w:tcBorders>
              <w:top w:val="nil"/>
              <w:left w:val="nil"/>
              <w:bottom w:val="single" w:sz="8" w:space="0" w:color="auto"/>
              <w:right w:val="single" w:sz="12" w:space="0" w:color="auto"/>
            </w:tcBorders>
            <w:shd w:val="clear" w:color="auto" w:fill="auto"/>
            <w:noWrap/>
            <w:vAlign w:val="center"/>
            <w:hideMark/>
          </w:tcPr>
          <w:p w14:paraId="006007CF" w14:textId="77777777" w:rsidR="00F4374A" w:rsidRDefault="00F4374A">
            <w:pPr>
              <w:jc w:val="center"/>
              <w:rPr>
                <w:rFonts w:ascii="Calibri" w:hAnsi="Calibri"/>
                <w:color w:val="000000"/>
                <w:sz w:val="22"/>
                <w:szCs w:val="22"/>
              </w:rPr>
            </w:pPr>
            <w:r>
              <w:rPr>
                <w:rFonts w:ascii="Calibri" w:hAnsi="Calibri"/>
                <w:color w:val="000000"/>
                <w:sz w:val="22"/>
                <w:szCs w:val="22"/>
              </w:rPr>
              <w:t>0.004</w:t>
            </w:r>
          </w:p>
        </w:tc>
      </w:tr>
      <w:tr w:rsidR="00F4374A" w14:paraId="39EFD575" w14:textId="77777777" w:rsidTr="00FE1B1C">
        <w:trPr>
          <w:trHeight w:val="315"/>
        </w:trPr>
        <w:tc>
          <w:tcPr>
            <w:tcW w:w="9555" w:type="dxa"/>
            <w:gridSpan w:val="9"/>
            <w:tcBorders>
              <w:top w:val="single" w:sz="8" w:space="0" w:color="auto"/>
              <w:left w:val="single" w:sz="12" w:space="0" w:color="auto"/>
              <w:bottom w:val="single" w:sz="8" w:space="0" w:color="auto"/>
              <w:right w:val="single" w:sz="12" w:space="0" w:color="auto"/>
            </w:tcBorders>
            <w:shd w:val="clear" w:color="auto" w:fill="auto"/>
            <w:noWrap/>
            <w:vAlign w:val="bottom"/>
            <w:hideMark/>
          </w:tcPr>
          <w:p w14:paraId="5F3CC8CA" w14:textId="77777777" w:rsidR="00F4374A" w:rsidRDefault="00F4374A">
            <w:pPr>
              <w:rPr>
                <w:rFonts w:ascii="Calibri" w:hAnsi="Calibri"/>
                <w:b/>
                <w:bCs/>
                <w:color w:val="000000"/>
                <w:sz w:val="22"/>
                <w:szCs w:val="22"/>
              </w:rPr>
            </w:pPr>
            <w:r>
              <w:rPr>
                <w:rFonts w:ascii="Calibri" w:hAnsi="Calibri"/>
                <w:b/>
                <w:bCs/>
                <w:color w:val="000000"/>
                <w:sz w:val="22"/>
                <w:szCs w:val="22"/>
              </w:rPr>
              <w:t>Gender</w:t>
            </w:r>
          </w:p>
        </w:tc>
      </w:tr>
      <w:tr w:rsidR="00F03068" w14:paraId="5134ABD7" w14:textId="77777777" w:rsidTr="00FE1B1C">
        <w:trPr>
          <w:trHeight w:val="300"/>
        </w:trPr>
        <w:tc>
          <w:tcPr>
            <w:tcW w:w="1545" w:type="dxa"/>
            <w:tcBorders>
              <w:top w:val="nil"/>
              <w:left w:val="single" w:sz="12" w:space="0" w:color="auto"/>
              <w:bottom w:val="single" w:sz="4" w:space="0" w:color="auto"/>
              <w:right w:val="single" w:sz="4" w:space="0" w:color="auto"/>
            </w:tcBorders>
            <w:shd w:val="clear" w:color="auto" w:fill="auto"/>
            <w:noWrap/>
            <w:vAlign w:val="bottom"/>
            <w:hideMark/>
          </w:tcPr>
          <w:p w14:paraId="40DCCECF" w14:textId="77777777" w:rsidR="00F4374A" w:rsidRDefault="00F4374A">
            <w:pPr>
              <w:rPr>
                <w:rFonts w:ascii="Calibri" w:hAnsi="Calibri"/>
                <w:color w:val="000000"/>
                <w:sz w:val="22"/>
                <w:szCs w:val="22"/>
              </w:rPr>
            </w:pPr>
            <w:r>
              <w:rPr>
                <w:rFonts w:ascii="Calibri" w:hAnsi="Calibri"/>
                <w:color w:val="000000"/>
                <w:sz w:val="22"/>
                <w:szCs w:val="22"/>
              </w:rPr>
              <w:t>Male</w:t>
            </w:r>
          </w:p>
        </w:tc>
        <w:tc>
          <w:tcPr>
            <w:tcW w:w="1179" w:type="dxa"/>
            <w:tcBorders>
              <w:top w:val="nil"/>
              <w:left w:val="nil"/>
              <w:bottom w:val="single" w:sz="4" w:space="0" w:color="auto"/>
              <w:right w:val="single" w:sz="4" w:space="0" w:color="auto"/>
            </w:tcBorders>
            <w:shd w:val="clear" w:color="auto" w:fill="auto"/>
            <w:noWrap/>
            <w:vAlign w:val="center"/>
            <w:hideMark/>
          </w:tcPr>
          <w:p w14:paraId="71F6A4DA" w14:textId="77777777" w:rsidR="00F4374A" w:rsidRDefault="00F4374A">
            <w:pPr>
              <w:jc w:val="center"/>
              <w:rPr>
                <w:rFonts w:ascii="Calibri" w:hAnsi="Calibri"/>
                <w:color w:val="000000"/>
                <w:sz w:val="22"/>
                <w:szCs w:val="22"/>
              </w:rPr>
            </w:pPr>
            <w:r>
              <w:rPr>
                <w:rFonts w:ascii="Calibri" w:hAnsi="Calibri"/>
                <w:color w:val="000000"/>
                <w:sz w:val="22"/>
                <w:szCs w:val="22"/>
              </w:rPr>
              <w:t>1642</w:t>
            </w:r>
          </w:p>
        </w:tc>
        <w:tc>
          <w:tcPr>
            <w:tcW w:w="1100" w:type="dxa"/>
            <w:tcBorders>
              <w:top w:val="nil"/>
              <w:left w:val="nil"/>
              <w:bottom w:val="single" w:sz="4" w:space="0" w:color="auto"/>
              <w:right w:val="single" w:sz="4" w:space="0" w:color="auto"/>
            </w:tcBorders>
            <w:shd w:val="clear" w:color="auto" w:fill="auto"/>
            <w:noWrap/>
            <w:vAlign w:val="center"/>
            <w:hideMark/>
          </w:tcPr>
          <w:p w14:paraId="1E1F2E3E" w14:textId="102024DD" w:rsidR="00F4374A" w:rsidRDefault="00F4374A" w:rsidP="001A3F5D">
            <w:pPr>
              <w:jc w:val="center"/>
              <w:rPr>
                <w:rFonts w:ascii="Calibri" w:hAnsi="Calibri"/>
                <w:color w:val="000000"/>
                <w:sz w:val="22"/>
                <w:szCs w:val="22"/>
              </w:rPr>
            </w:pPr>
            <w:r>
              <w:rPr>
                <w:rFonts w:ascii="Calibri" w:hAnsi="Calibri"/>
                <w:color w:val="000000"/>
                <w:sz w:val="22"/>
                <w:szCs w:val="22"/>
              </w:rPr>
              <w:t>59.2%</w:t>
            </w:r>
          </w:p>
        </w:tc>
        <w:tc>
          <w:tcPr>
            <w:tcW w:w="781" w:type="dxa"/>
            <w:tcBorders>
              <w:top w:val="nil"/>
              <w:left w:val="nil"/>
              <w:bottom w:val="single" w:sz="4" w:space="0" w:color="auto"/>
              <w:right w:val="single" w:sz="4" w:space="0" w:color="auto"/>
            </w:tcBorders>
            <w:shd w:val="clear" w:color="auto" w:fill="auto"/>
            <w:noWrap/>
            <w:vAlign w:val="center"/>
            <w:hideMark/>
          </w:tcPr>
          <w:p w14:paraId="2D3DBB7E" w14:textId="54B72D8D" w:rsidR="00F4374A" w:rsidRDefault="00F4374A" w:rsidP="001A3F5D">
            <w:pPr>
              <w:jc w:val="center"/>
              <w:rPr>
                <w:rFonts w:ascii="Calibri" w:hAnsi="Calibri"/>
                <w:i/>
                <w:iCs/>
                <w:color w:val="000000"/>
                <w:sz w:val="22"/>
                <w:szCs w:val="22"/>
              </w:rPr>
            </w:pPr>
            <w:r>
              <w:rPr>
                <w:rFonts w:ascii="Calibri" w:hAnsi="Calibri"/>
                <w:i/>
                <w:iCs/>
                <w:color w:val="000000"/>
                <w:sz w:val="22"/>
                <w:szCs w:val="22"/>
              </w:rPr>
              <w:t>1.2%</w:t>
            </w:r>
          </w:p>
        </w:tc>
        <w:tc>
          <w:tcPr>
            <w:tcW w:w="1260" w:type="dxa"/>
            <w:tcBorders>
              <w:top w:val="nil"/>
              <w:left w:val="nil"/>
              <w:bottom w:val="single" w:sz="4" w:space="0" w:color="auto"/>
              <w:right w:val="single" w:sz="4" w:space="0" w:color="auto"/>
            </w:tcBorders>
            <w:shd w:val="clear" w:color="auto" w:fill="auto"/>
            <w:noWrap/>
            <w:vAlign w:val="center"/>
            <w:hideMark/>
          </w:tcPr>
          <w:p w14:paraId="344EA8BE" w14:textId="77777777" w:rsidR="00F4374A" w:rsidRDefault="00F4374A">
            <w:pPr>
              <w:jc w:val="center"/>
              <w:rPr>
                <w:rFonts w:ascii="Calibri" w:hAnsi="Calibri"/>
                <w:color w:val="000000"/>
                <w:sz w:val="22"/>
                <w:szCs w:val="22"/>
              </w:rPr>
            </w:pPr>
            <w:r>
              <w:rPr>
                <w:rFonts w:ascii="Calibri" w:hAnsi="Calibri"/>
                <w:color w:val="000000"/>
                <w:sz w:val="22"/>
                <w:szCs w:val="22"/>
              </w:rPr>
              <w:t>1713</w:t>
            </w:r>
          </w:p>
        </w:tc>
        <w:tc>
          <w:tcPr>
            <w:tcW w:w="1170" w:type="dxa"/>
            <w:tcBorders>
              <w:top w:val="nil"/>
              <w:left w:val="nil"/>
              <w:bottom w:val="single" w:sz="4" w:space="0" w:color="auto"/>
              <w:right w:val="single" w:sz="4" w:space="0" w:color="auto"/>
            </w:tcBorders>
            <w:shd w:val="clear" w:color="auto" w:fill="auto"/>
            <w:noWrap/>
            <w:vAlign w:val="center"/>
            <w:hideMark/>
          </w:tcPr>
          <w:p w14:paraId="48AC3DF1" w14:textId="5768FFD1" w:rsidR="00F4374A" w:rsidRDefault="00F4374A" w:rsidP="001A3F5D">
            <w:pPr>
              <w:jc w:val="center"/>
              <w:rPr>
                <w:rFonts w:ascii="Calibri" w:hAnsi="Calibri"/>
                <w:color w:val="000000"/>
                <w:sz w:val="22"/>
                <w:szCs w:val="22"/>
              </w:rPr>
            </w:pPr>
            <w:r>
              <w:rPr>
                <w:rFonts w:ascii="Calibri" w:hAnsi="Calibri"/>
                <w:color w:val="000000"/>
                <w:sz w:val="22"/>
                <w:szCs w:val="22"/>
              </w:rPr>
              <w:t>64.7%</w:t>
            </w:r>
          </w:p>
        </w:tc>
        <w:tc>
          <w:tcPr>
            <w:tcW w:w="810" w:type="dxa"/>
            <w:tcBorders>
              <w:top w:val="nil"/>
              <w:left w:val="nil"/>
              <w:bottom w:val="single" w:sz="4" w:space="0" w:color="auto"/>
              <w:right w:val="nil"/>
            </w:tcBorders>
            <w:shd w:val="clear" w:color="auto" w:fill="auto"/>
            <w:noWrap/>
            <w:vAlign w:val="center"/>
            <w:hideMark/>
          </w:tcPr>
          <w:p w14:paraId="12D113E1" w14:textId="42C600FD" w:rsidR="00F4374A" w:rsidRDefault="00F4374A" w:rsidP="001A3F5D">
            <w:pPr>
              <w:jc w:val="center"/>
              <w:rPr>
                <w:rFonts w:ascii="Calibri" w:hAnsi="Calibri"/>
                <w:i/>
                <w:iCs/>
                <w:color w:val="000000"/>
                <w:sz w:val="22"/>
                <w:szCs w:val="22"/>
              </w:rPr>
            </w:pPr>
            <w:r>
              <w:rPr>
                <w:rFonts w:ascii="Calibri" w:hAnsi="Calibri"/>
                <w:i/>
                <w:iCs/>
                <w:color w:val="000000"/>
                <w:sz w:val="22"/>
                <w:szCs w:val="22"/>
              </w:rPr>
              <w:t>1.2%</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14:paraId="79F46398" w14:textId="7816412D" w:rsidR="00F4374A" w:rsidRDefault="00F4374A" w:rsidP="001A3F5D">
            <w:pPr>
              <w:jc w:val="center"/>
              <w:rPr>
                <w:rFonts w:ascii="Calibri" w:hAnsi="Calibri"/>
                <w:color w:val="000000"/>
                <w:sz w:val="22"/>
                <w:szCs w:val="22"/>
              </w:rPr>
            </w:pPr>
            <w:r>
              <w:rPr>
                <w:rFonts w:ascii="Calibri" w:hAnsi="Calibri"/>
                <w:color w:val="000000"/>
                <w:sz w:val="22"/>
                <w:szCs w:val="22"/>
              </w:rPr>
              <w:t>5.5%</w:t>
            </w:r>
          </w:p>
        </w:tc>
        <w:tc>
          <w:tcPr>
            <w:tcW w:w="750" w:type="dxa"/>
            <w:tcBorders>
              <w:top w:val="nil"/>
              <w:left w:val="nil"/>
              <w:bottom w:val="single" w:sz="4" w:space="0" w:color="auto"/>
              <w:right w:val="single" w:sz="12" w:space="0" w:color="auto"/>
            </w:tcBorders>
            <w:shd w:val="clear" w:color="auto" w:fill="auto"/>
            <w:noWrap/>
            <w:vAlign w:val="center"/>
            <w:hideMark/>
          </w:tcPr>
          <w:p w14:paraId="2F9DBBA6" w14:textId="77777777" w:rsidR="00F4374A" w:rsidRDefault="00F4374A">
            <w:pPr>
              <w:jc w:val="center"/>
              <w:rPr>
                <w:rFonts w:ascii="Calibri" w:hAnsi="Calibri"/>
                <w:color w:val="000000"/>
                <w:sz w:val="22"/>
                <w:szCs w:val="22"/>
              </w:rPr>
            </w:pPr>
            <w:r>
              <w:rPr>
                <w:rFonts w:ascii="Calibri" w:hAnsi="Calibri"/>
                <w:color w:val="000000"/>
                <w:sz w:val="22"/>
                <w:szCs w:val="22"/>
              </w:rPr>
              <w:t>0.008</w:t>
            </w:r>
          </w:p>
        </w:tc>
      </w:tr>
      <w:tr w:rsidR="00F03068" w14:paraId="570AFB3B" w14:textId="77777777" w:rsidTr="00FE1B1C">
        <w:trPr>
          <w:trHeight w:val="315"/>
        </w:trPr>
        <w:tc>
          <w:tcPr>
            <w:tcW w:w="1545" w:type="dxa"/>
            <w:tcBorders>
              <w:top w:val="nil"/>
              <w:left w:val="single" w:sz="12" w:space="0" w:color="auto"/>
              <w:bottom w:val="nil"/>
              <w:right w:val="single" w:sz="4" w:space="0" w:color="auto"/>
            </w:tcBorders>
            <w:shd w:val="clear" w:color="auto" w:fill="auto"/>
            <w:noWrap/>
            <w:vAlign w:val="bottom"/>
            <w:hideMark/>
          </w:tcPr>
          <w:p w14:paraId="6CB13D75" w14:textId="77777777" w:rsidR="00F4374A" w:rsidRDefault="00F4374A">
            <w:pPr>
              <w:rPr>
                <w:rFonts w:ascii="Calibri" w:hAnsi="Calibri"/>
                <w:color w:val="000000"/>
                <w:sz w:val="22"/>
                <w:szCs w:val="22"/>
              </w:rPr>
            </w:pPr>
            <w:r>
              <w:rPr>
                <w:rFonts w:ascii="Calibri" w:hAnsi="Calibri"/>
                <w:color w:val="000000"/>
                <w:sz w:val="22"/>
                <w:szCs w:val="22"/>
              </w:rPr>
              <w:t>Female</w:t>
            </w:r>
          </w:p>
        </w:tc>
        <w:tc>
          <w:tcPr>
            <w:tcW w:w="1179" w:type="dxa"/>
            <w:tcBorders>
              <w:top w:val="nil"/>
              <w:left w:val="nil"/>
              <w:bottom w:val="nil"/>
              <w:right w:val="single" w:sz="4" w:space="0" w:color="auto"/>
            </w:tcBorders>
            <w:shd w:val="clear" w:color="auto" w:fill="auto"/>
            <w:noWrap/>
            <w:vAlign w:val="center"/>
            <w:hideMark/>
          </w:tcPr>
          <w:p w14:paraId="668F8FFD" w14:textId="77777777" w:rsidR="00F4374A" w:rsidRDefault="00F4374A">
            <w:pPr>
              <w:jc w:val="center"/>
              <w:rPr>
                <w:rFonts w:ascii="Calibri" w:hAnsi="Calibri"/>
                <w:color w:val="000000"/>
                <w:sz w:val="22"/>
                <w:szCs w:val="22"/>
              </w:rPr>
            </w:pPr>
            <w:r>
              <w:rPr>
                <w:rFonts w:ascii="Calibri" w:hAnsi="Calibri"/>
                <w:color w:val="000000"/>
                <w:sz w:val="22"/>
                <w:szCs w:val="22"/>
              </w:rPr>
              <w:t>1852</w:t>
            </w:r>
          </w:p>
        </w:tc>
        <w:tc>
          <w:tcPr>
            <w:tcW w:w="1100" w:type="dxa"/>
            <w:tcBorders>
              <w:top w:val="nil"/>
              <w:left w:val="nil"/>
              <w:bottom w:val="nil"/>
              <w:right w:val="single" w:sz="4" w:space="0" w:color="auto"/>
            </w:tcBorders>
            <w:shd w:val="clear" w:color="auto" w:fill="auto"/>
            <w:noWrap/>
            <w:vAlign w:val="center"/>
            <w:hideMark/>
          </w:tcPr>
          <w:p w14:paraId="2C93B8B3" w14:textId="3C32DEB8" w:rsidR="00F4374A" w:rsidRDefault="00F4374A" w:rsidP="001A3F5D">
            <w:pPr>
              <w:jc w:val="center"/>
              <w:rPr>
                <w:rFonts w:ascii="Calibri" w:hAnsi="Calibri"/>
                <w:color w:val="000000"/>
                <w:sz w:val="22"/>
                <w:szCs w:val="22"/>
              </w:rPr>
            </w:pPr>
            <w:r>
              <w:rPr>
                <w:rFonts w:ascii="Calibri" w:hAnsi="Calibri"/>
                <w:color w:val="000000"/>
                <w:sz w:val="22"/>
                <w:szCs w:val="22"/>
              </w:rPr>
              <w:t>64.8%</w:t>
            </w:r>
          </w:p>
        </w:tc>
        <w:tc>
          <w:tcPr>
            <w:tcW w:w="781" w:type="dxa"/>
            <w:tcBorders>
              <w:top w:val="nil"/>
              <w:left w:val="nil"/>
              <w:bottom w:val="nil"/>
              <w:right w:val="single" w:sz="4" w:space="0" w:color="auto"/>
            </w:tcBorders>
            <w:shd w:val="clear" w:color="auto" w:fill="auto"/>
            <w:noWrap/>
            <w:vAlign w:val="center"/>
            <w:hideMark/>
          </w:tcPr>
          <w:p w14:paraId="3A21720F" w14:textId="125B550A" w:rsidR="00F4374A" w:rsidRDefault="00F4374A" w:rsidP="001A3F5D">
            <w:pPr>
              <w:jc w:val="center"/>
              <w:rPr>
                <w:rFonts w:ascii="Calibri" w:hAnsi="Calibri"/>
                <w:i/>
                <w:iCs/>
                <w:color w:val="000000"/>
                <w:sz w:val="22"/>
                <w:szCs w:val="22"/>
              </w:rPr>
            </w:pPr>
            <w:r>
              <w:rPr>
                <w:rFonts w:ascii="Calibri" w:hAnsi="Calibri"/>
                <w:i/>
                <w:iCs/>
                <w:color w:val="000000"/>
                <w:sz w:val="22"/>
                <w:szCs w:val="22"/>
              </w:rPr>
              <w:t>1.1%</w:t>
            </w:r>
          </w:p>
        </w:tc>
        <w:tc>
          <w:tcPr>
            <w:tcW w:w="1260" w:type="dxa"/>
            <w:tcBorders>
              <w:top w:val="nil"/>
              <w:left w:val="nil"/>
              <w:bottom w:val="nil"/>
              <w:right w:val="single" w:sz="4" w:space="0" w:color="auto"/>
            </w:tcBorders>
            <w:shd w:val="clear" w:color="auto" w:fill="auto"/>
            <w:noWrap/>
            <w:vAlign w:val="center"/>
            <w:hideMark/>
          </w:tcPr>
          <w:p w14:paraId="30218AC8" w14:textId="77777777" w:rsidR="00F4374A" w:rsidRDefault="00F4374A">
            <w:pPr>
              <w:jc w:val="center"/>
              <w:rPr>
                <w:rFonts w:ascii="Calibri" w:hAnsi="Calibri"/>
                <w:color w:val="000000"/>
                <w:sz w:val="22"/>
                <w:szCs w:val="22"/>
              </w:rPr>
            </w:pPr>
            <w:r>
              <w:rPr>
                <w:rFonts w:ascii="Calibri" w:hAnsi="Calibri"/>
                <w:color w:val="000000"/>
                <w:sz w:val="22"/>
                <w:szCs w:val="22"/>
              </w:rPr>
              <w:t>2015</w:t>
            </w:r>
          </w:p>
        </w:tc>
        <w:tc>
          <w:tcPr>
            <w:tcW w:w="1170" w:type="dxa"/>
            <w:tcBorders>
              <w:top w:val="nil"/>
              <w:left w:val="nil"/>
              <w:bottom w:val="nil"/>
              <w:right w:val="single" w:sz="4" w:space="0" w:color="auto"/>
            </w:tcBorders>
            <w:shd w:val="clear" w:color="auto" w:fill="auto"/>
            <w:noWrap/>
            <w:vAlign w:val="center"/>
            <w:hideMark/>
          </w:tcPr>
          <w:p w14:paraId="11D5F2A0" w14:textId="722ACAB7" w:rsidR="00F4374A" w:rsidRDefault="00F4374A" w:rsidP="001A3F5D">
            <w:pPr>
              <w:jc w:val="center"/>
              <w:rPr>
                <w:rFonts w:ascii="Calibri" w:hAnsi="Calibri"/>
                <w:color w:val="000000"/>
                <w:sz w:val="22"/>
                <w:szCs w:val="22"/>
              </w:rPr>
            </w:pPr>
            <w:r>
              <w:rPr>
                <w:rFonts w:ascii="Calibri" w:hAnsi="Calibri"/>
                <w:color w:val="000000"/>
                <w:sz w:val="22"/>
                <w:szCs w:val="22"/>
              </w:rPr>
              <w:t>68.8%</w:t>
            </w:r>
          </w:p>
        </w:tc>
        <w:tc>
          <w:tcPr>
            <w:tcW w:w="810" w:type="dxa"/>
            <w:tcBorders>
              <w:top w:val="nil"/>
              <w:left w:val="nil"/>
              <w:bottom w:val="nil"/>
              <w:right w:val="nil"/>
            </w:tcBorders>
            <w:shd w:val="clear" w:color="auto" w:fill="auto"/>
            <w:noWrap/>
            <w:vAlign w:val="center"/>
            <w:hideMark/>
          </w:tcPr>
          <w:p w14:paraId="57C9A10A" w14:textId="4120D0F0" w:rsidR="00F4374A" w:rsidRDefault="00F4374A" w:rsidP="001A3F5D">
            <w:pPr>
              <w:jc w:val="center"/>
              <w:rPr>
                <w:rFonts w:ascii="Calibri" w:hAnsi="Calibri"/>
                <w:i/>
                <w:iCs/>
                <w:color w:val="000000"/>
                <w:sz w:val="22"/>
                <w:szCs w:val="22"/>
              </w:rPr>
            </w:pPr>
            <w:r>
              <w:rPr>
                <w:rFonts w:ascii="Calibri" w:hAnsi="Calibri"/>
                <w:i/>
                <w:iCs/>
                <w:color w:val="000000"/>
                <w:sz w:val="22"/>
                <w:szCs w:val="22"/>
              </w:rPr>
              <w:t>1.0%</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6D33F052" w14:textId="4B402D4A" w:rsidR="00F4374A" w:rsidRDefault="00F4374A" w:rsidP="001A3F5D">
            <w:pPr>
              <w:jc w:val="center"/>
              <w:rPr>
                <w:rFonts w:ascii="Calibri" w:hAnsi="Calibri"/>
                <w:color w:val="000000"/>
                <w:sz w:val="22"/>
                <w:szCs w:val="22"/>
              </w:rPr>
            </w:pPr>
            <w:r>
              <w:rPr>
                <w:rFonts w:ascii="Calibri" w:hAnsi="Calibri"/>
                <w:color w:val="000000"/>
                <w:sz w:val="22"/>
                <w:szCs w:val="22"/>
              </w:rPr>
              <w:t>4.0%</w:t>
            </w:r>
          </w:p>
        </w:tc>
        <w:tc>
          <w:tcPr>
            <w:tcW w:w="750" w:type="dxa"/>
            <w:tcBorders>
              <w:top w:val="nil"/>
              <w:left w:val="nil"/>
              <w:bottom w:val="single" w:sz="8" w:space="0" w:color="auto"/>
              <w:right w:val="single" w:sz="12" w:space="0" w:color="auto"/>
            </w:tcBorders>
            <w:shd w:val="clear" w:color="auto" w:fill="auto"/>
            <w:noWrap/>
            <w:vAlign w:val="center"/>
            <w:hideMark/>
          </w:tcPr>
          <w:p w14:paraId="7C976502" w14:textId="77777777" w:rsidR="00F4374A" w:rsidRDefault="00F4374A">
            <w:pPr>
              <w:jc w:val="center"/>
              <w:rPr>
                <w:rFonts w:ascii="Calibri" w:hAnsi="Calibri"/>
                <w:color w:val="000000"/>
                <w:sz w:val="22"/>
                <w:szCs w:val="22"/>
              </w:rPr>
            </w:pPr>
            <w:r>
              <w:rPr>
                <w:rFonts w:ascii="Calibri" w:hAnsi="Calibri"/>
                <w:color w:val="000000"/>
                <w:sz w:val="22"/>
                <w:szCs w:val="22"/>
              </w:rPr>
              <w:t>0.036</w:t>
            </w:r>
          </w:p>
        </w:tc>
      </w:tr>
      <w:tr w:rsidR="00F4374A" w14:paraId="639C9E8C" w14:textId="77777777" w:rsidTr="00FE1B1C">
        <w:trPr>
          <w:trHeight w:val="315"/>
        </w:trPr>
        <w:tc>
          <w:tcPr>
            <w:tcW w:w="9555" w:type="dxa"/>
            <w:gridSpan w:val="9"/>
            <w:tcBorders>
              <w:top w:val="single" w:sz="8" w:space="0" w:color="auto"/>
              <w:left w:val="single" w:sz="12" w:space="0" w:color="auto"/>
              <w:bottom w:val="single" w:sz="8" w:space="0" w:color="auto"/>
              <w:right w:val="single" w:sz="12" w:space="0" w:color="auto"/>
            </w:tcBorders>
            <w:shd w:val="clear" w:color="auto" w:fill="auto"/>
            <w:noWrap/>
            <w:vAlign w:val="bottom"/>
            <w:hideMark/>
          </w:tcPr>
          <w:p w14:paraId="5B54E9DD" w14:textId="77777777" w:rsidR="00F4374A" w:rsidRDefault="00F4374A">
            <w:pPr>
              <w:rPr>
                <w:rFonts w:ascii="Calibri" w:hAnsi="Calibri"/>
                <w:b/>
                <w:bCs/>
                <w:color w:val="000000"/>
                <w:sz w:val="22"/>
                <w:szCs w:val="22"/>
              </w:rPr>
            </w:pPr>
            <w:r>
              <w:rPr>
                <w:rFonts w:ascii="Calibri" w:hAnsi="Calibri"/>
                <w:b/>
                <w:bCs/>
                <w:color w:val="000000"/>
                <w:sz w:val="22"/>
                <w:szCs w:val="22"/>
              </w:rPr>
              <w:t>Age</w:t>
            </w:r>
          </w:p>
        </w:tc>
      </w:tr>
      <w:tr w:rsidR="00F03068" w14:paraId="74D4B813" w14:textId="77777777" w:rsidTr="00FE1B1C">
        <w:trPr>
          <w:trHeight w:val="300"/>
        </w:trPr>
        <w:tc>
          <w:tcPr>
            <w:tcW w:w="1545" w:type="dxa"/>
            <w:tcBorders>
              <w:top w:val="nil"/>
              <w:left w:val="single" w:sz="12" w:space="0" w:color="auto"/>
              <w:bottom w:val="single" w:sz="4" w:space="0" w:color="auto"/>
              <w:right w:val="single" w:sz="4" w:space="0" w:color="auto"/>
            </w:tcBorders>
            <w:shd w:val="clear" w:color="auto" w:fill="auto"/>
            <w:noWrap/>
            <w:vAlign w:val="bottom"/>
            <w:hideMark/>
          </w:tcPr>
          <w:p w14:paraId="0A7B43D8" w14:textId="77777777" w:rsidR="00F4374A" w:rsidRDefault="00F4374A">
            <w:pPr>
              <w:rPr>
                <w:rFonts w:ascii="Calibri" w:hAnsi="Calibri"/>
                <w:color w:val="000000"/>
                <w:sz w:val="22"/>
                <w:szCs w:val="22"/>
              </w:rPr>
            </w:pPr>
            <w:r>
              <w:rPr>
                <w:rFonts w:ascii="Calibri" w:hAnsi="Calibri"/>
                <w:color w:val="000000"/>
                <w:sz w:val="22"/>
                <w:szCs w:val="22"/>
              </w:rPr>
              <w:t>15 - 19</w:t>
            </w:r>
          </w:p>
        </w:tc>
        <w:tc>
          <w:tcPr>
            <w:tcW w:w="1179" w:type="dxa"/>
            <w:tcBorders>
              <w:top w:val="nil"/>
              <w:left w:val="nil"/>
              <w:bottom w:val="single" w:sz="4" w:space="0" w:color="auto"/>
              <w:right w:val="single" w:sz="4" w:space="0" w:color="auto"/>
            </w:tcBorders>
            <w:shd w:val="clear" w:color="auto" w:fill="auto"/>
            <w:noWrap/>
            <w:vAlign w:val="center"/>
            <w:hideMark/>
          </w:tcPr>
          <w:p w14:paraId="35E666EC" w14:textId="77777777" w:rsidR="00F4374A" w:rsidRDefault="00F4374A">
            <w:pPr>
              <w:jc w:val="center"/>
              <w:rPr>
                <w:rFonts w:ascii="Calibri" w:hAnsi="Calibri"/>
                <w:color w:val="000000"/>
                <w:sz w:val="22"/>
                <w:szCs w:val="22"/>
              </w:rPr>
            </w:pPr>
            <w:r>
              <w:rPr>
                <w:rFonts w:ascii="Calibri" w:hAnsi="Calibri"/>
                <w:color w:val="000000"/>
                <w:sz w:val="22"/>
                <w:szCs w:val="22"/>
              </w:rPr>
              <w:t>635</w:t>
            </w:r>
          </w:p>
        </w:tc>
        <w:tc>
          <w:tcPr>
            <w:tcW w:w="1100" w:type="dxa"/>
            <w:tcBorders>
              <w:top w:val="nil"/>
              <w:left w:val="nil"/>
              <w:bottom w:val="single" w:sz="4" w:space="0" w:color="auto"/>
              <w:right w:val="single" w:sz="4" w:space="0" w:color="auto"/>
            </w:tcBorders>
            <w:shd w:val="clear" w:color="auto" w:fill="auto"/>
            <w:noWrap/>
            <w:vAlign w:val="center"/>
            <w:hideMark/>
          </w:tcPr>
          <w:p w14:paraId="63074113" w14:textId="069707AC" w:rsidR="00F4374A" w:rsidRDefault="00F4374A" w:rsidP="001A3F5D">
            <w:pPr>
              <w:jc w:val="center"/>
              <w:rPr>
                <w:rFonts w:ascii="Calibri" w:hAnsi="Calibri"/>
                <w:color w:val="000000"/>
                <w:sz w:val="22"/>
                <w:szCs w:val="22"/>
              </w:rPr>
            </w:pPr>
            <w:r>
              <w:rPr>
                <w:rFonts w:ascii="Calibri" w:hAnsi="Calibri"/>
                <w:color w:val="000000"/>
                <w:sz w:val="22"/>
                <w:szCs w:val="22"/>
              </w:rPr>
              <w:t>72.3%</w:t>
            </w:r>
          </w:p>
        </w:tc>
        <w:tc>
          <w:tcPr>
            <w:tcW w:w="781" w:type="dxa"/>
            <w:tcBorders>
              <w:top w:val="nil"/>
              <w:left w:val="nil"/>
              <w:bottom w:val="single" w:sz="4" w:space="0" w:color="auto"/>
              <w:right w:val="single" w:sz="4" w:space="0" w:color="auto"/>
            </w:tcBorders>
            <w:shd w:val="clear" w:color="auto" w:fill="auto"/>
            <w:noWrap/>
            <w:vAlign w:val="center"/>
            <w:hideMark/>
          </w:tcPr>
          <w:p w14:paraId="285871D6" w14:textId="54DA19CD" w:rsidR="00F4374A" w:rsidRDefault="00F4374A" w:rsidP="001A3F5D">
            <w:pPr>
              <w:jc w:val="center"/>
              <w:rPr>
                <w:rFonts w:ascii="Calibri" w:hAnsi="Calibri"/>
                <w:i/>
                <w:iCs/>
                <w:color w:val="000000"/>
                <w:sz w:val="22"/>
                <w:szCs w:val="22"/>
              </w:rPr>
            </w:pPr>
            <w:r>
              <w:rPr>
                <w:rFonts w:ascii="Calibri" w:hAnsi="Calibri"/>
                <w:i/>
                <w:iCs/>
                <w:color w:val="000000"/>
                <w:sz w:val="22"/>
                <w:szCs w:val="22"/>
              </w:rPr>
              <w:t>1.8%</w:t>
            </w:r>
          </w:p>
        </w:tc>
        <w:tc>
          <w:tcPr>
            <w:tcW w:w="1260" w:type="dxa"/>
            <w:tcBorders>
              <w:top w:val="nil"/>
              <w:left w:val="nil"/>
              <w:bottom w:val="single" w:sz="4" w:space="0" w:color="auto"/>
              <w:right w:val="single" w:sz="4" w:space="0" w:color="auto"/>
            </w:tcBorders>
            <w:shd w:val="clear" w:color="auto" w:fill="auto"/>
            <w:noWrap/>
            <w:vAlign w:val="center"/>
            <w:hideMark/>
          </w:tcPr>
          <w:p w14:paraId="6413E2DA" w14:textId="77777777" w:rsidR="00F4374A" w:rsidRDefault="00F4374A">
            <w:pPr>
              <w:jc w:val="center"/>
              <w:rPr>
                <w:rFonts w:ascii="Calibri" w:hAnsi="Calibri"/>
                <w:color w:val="000000"/>
                <w:sz w:val="22"/>
                <w:szCs w:val="22"/>
              </w:rPr>
            </w:pPr>
            <w:r>
              <w:rPr>
                <w:rFonts w:ascii="Calibri" w:hAnsi="Calibri"/>
                <w:color w:val="000000"/>
                <w:sz w:val="22"/>
                <w:szCs w:val="22"/>
              </w:rPr>
              <w:t>694</w:t>
            </w:r>
          </w:p>
        </w:tc>
        <w:tc>
          <w:tcPr>
            <w:tcW w:w="1170" w:type="dxa"/>
            <w:tcBorders>
              <w:top w:val="nil"/>
              <w:left w:val="nil"/>
              <w:bottom w:val="single" w:sz="4" w:space="0" w:color="auto"/>
              <w:right w:val="single" w:sz="4" w:space="0" w:color="auto"/>
            </w:tcBorders>
            <w:shd w:val="clear" w:color="auto" w:fill="auto"/>
            <w:noWrap/>
            <w:vAlign w:val="center"/>
            <w:hideMark/>
          </w:tcPr>
          <w:p w14:paraId="69F2A34E" w14:textId="6EAFCDDB" w:rsidR="00F4374A" w:rsidRDefault="00F4374A" w:rsidP="001A3F5D">
            <w:pPr>
              <w:jc w:val="center"/>
              <w:rPr>
                <w:rFonts w:ascii="Calibri" w:hAnsi="Calibri"/>
                <w:color w:val="000000"/>
                <w:sz w:val="22"/>
                <w:szCs w:val="22"/>
              </w:rPr>
            </w:pPr>
            <w:r>
              <w:rPr>
                <w:rFonts w:ascii="Calibri" w:hAnsi="Calibri"/>
                <w:color w:val="000000"/>
                <w:sz w:val="22"/>
                <w:szCs w:val="22"/>
              </w:rPr>
              <w:t>77.1%</w:t>
            </w:r>
          </w:p>
        </w:tc>
        <w:tc>
          <w:tcPr>
            <w:tcW w:w="810" w:type="dxa"/>
            <w:tcBorders>
              <w:top w:val="nil"/>
              <w:left w:val="nil"/>
              <w:bottom w:val="single" w:sz="4" w:space="0" w:color="auto"/>
              <w:right w:val="nil"/>
            </w:tcBorders>
            <w:shd w:val="clear" w:color="auto" w:fill="auto"/>
            <w:noWrap/>
            <w:vAlign w:val="center"/>
            <w:hideMark/>
          </w:tcPr>
          <w:p w14:paraId="1C6FC693" w14:textId="22FC57AA" w:rsidR="00F4374A" w:rsidRDefault="00F4374A" w:rsidP="001A3F5D">
            <w:pPr>
              <w:jc w:val="center"/>
              <w:rPr>
                <w:rFonts w:ascii="Calibri" w:hAnsi="Calibri"/>
                <w:i/>
                <w:iCs/>
                <w:color w:val="000000"/>
                <w:sz w:val="22"/>
                <w:szCs w:val="22"/>
              </w:rPr>
            </w:pPr>
            <w:r>
              <w:rPr>
                <w:rFonts w:ascii="Calibri" w:hAnsi="Calibri"/>
                <w:i/>
                <w:iCs/>
                <w:color w:val="000000"/>
                <w:sz w:val="22"/>
                <w:szCs w:val="22"/>
              </w:rPr>
              <w:t>1.6%</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14:paraId="0721A3B6" w14:textId="616A6F64" w:rsidR="00F4374A" w:rsidRDefault="00F4374A" w:rsidP="001A3F5D">
            <w:pPr>
              <w:jc w:val="center"/>
              <w:rPr>
                <w:rFonts w:ascii="Calibri" w:hAnsi="Calibri"/>
                <w:color w:val="000000"/>
                <w:sz w:val="22"/>
                <w:szCs w:val="22"/>
              </w:rPr>
            </w:pPr>
            <w:r>
              <w:rPr>
                <w:rFonts w:ascii="Calibri" w:hAnsi="Calibri"/>
                <w:color w:val="000000"/>
                <w:sz w:val="22"/>
                <w:szCs w:val="22"/>
              </w:rPr>
              <w:t>4.8%</w:t>
            </w:r>
          </w:p>
        </w:tc>
        <w:tc>
          <w:tcPr>
            <w:tcW w:w="750" w:type="dxa"/>
            <w:tcBorders>
              <w:top w:val="nil"/>
              <w:left w:val="nil"/>
              <w:bottom w:val="single" w:sz="4" w:space="0" w:color="auto"/>
              <w:right w:val="single" w:sz="12" w:space="0" w:color="auto"/>
            </w:tcBorders>
            <w:shd w:val="clear" w:color="auto" w:fill="auto"/>
            <w:noWrap/>
            <w:vAlign w:val="center"/>
            <w:hideMark/>
          </w:tcPr>
          <w:p w14:paraId="30923A56" w14:textId="77777777" w:rsidR="00F4374A" w:rsidRDefault="00F4374A">
            <w:pPr>
              <w:jc w:val="center"/>
              <w:rPr>
                <w:rFonts w:ascii="Calibri" w:hAnsi="Calibri"/>
                <w:color w:val="000000"/>
                <w:sz w:val="22"/>
                <w:szCs w:val="22"/>
              </w:rPr>
            </w:pPr>
            <w:r>
              <w:rPr>
                <w:rFonts w:ascii="Calibri" w:hAnsi="Calibri"/>
                <w:color w:val="000000"/>
                <w:sz w:val="22"/>
                <w:szCs w:val="22"/>
              </w:rPr>
              <w:t>0.058</w:t>
            </w:r>
          </w:p>
        </w:tc>
      </w:tr>
      <w:tr w:rsidR="00F03068" w14:paraId="4A42809C" w14:textId="77777777" w:rsidTr="00FE1B1C">
        <w:trPr>
          <w:trHeight w:val="315"/>
        </w:trPr>
        <w:tc>
          <w:tcPr>
            <w:tcW w:w="1545" w:type="dxa"/>
            <w:tcBorders>
              <w:top w:val="nil"/>
              <w:left w:val="single" w:sz="12" w:space="0" w:color="auto"/>
              <w:bottom w:val="single" w:sz="12" w:space="0" w:color="auto"/>
              <w:right w:val="single" w:sz="4" w:space="0" w:color="auto"/>
            </w:tcBorders>
            <w:shd w:val="clear" w:color="auto" w:fill="auto"/>
            <w:noWrap/>
            <w:vAlign w:val="bottom"/>
            <w:hideMark/>
          </w:tcPr>
          <w:p w14:paraId="1FA6B202" w14:textId="77777777" w:rsidR="00F4374A" w:rsidRDefault="00F4374A">
            <w:pPr>
              <w:rPr>
                <w:rFonts w:ascii="Calibri" w:hAnsi="Calibri"/>
                <w:color w:val="000000"/>
                <w:sz w:val="22"/>
                <w:szCs w:val="22"/>
              </w:rPr>
            </w:pPr>
            <w:r>
              <w:rPr>
                <w:rFonts w:ascii="Calibri" w:hAnsi="Calibri"/>
                <w:color w:val="000000"/>
                <w:sz w:val="22"/>
                <w:szCs w:val="22"/>
              </w:rPr>
              <w:t>20 - 44</w:t>
            </w:r>
          </w:p>
        </w:tc>
        <w:tc>
          <w:tcPr>
            <w:tcW w:w="1179" w:type="dxa"/>
            <w:tcBorders>
              <w:top w:val="nil"/>
              <w:left w:val="nil"/>
              <w:bottom w:val="single" w:sz="12" w:space="0" w:color="auto"/>
              <w:right w:val="single" w:sz="4" w:space="0" w:color="auto"/>
            </w:tcBorders>
            <w:shd w:val="clear" w:color="auto" w:fill="auto"/>
            <w:noWrap/>
            <w:vAlign w:val="center"/>
            <w:hideMark/>
          </w:tcPr>
          <w:p w14:paraId="5907A901" w14:textId="77777777" w:rsidR="00F4374A" w:rsidRDefault="00F4374A">
            <w:pPr>
              <w:jc w:val="center"/>
              <w:rPr>
                <w:rFonts w:ascii="Calibri" w:hAnsi="Calibri"/>
                <w:color w:val="000000"/>
                <w:sz w:val="22"/>
                <w:szCs w:val="22"/>
              </w:rPr>
            </w:pPr>
            <w:r>
              <w:rPr>
                <w:rFonts w:ascii="Calibri" w:hAnsi="Calibri"/>
                <w:color w:val="000000"/>
                <w:sz w:val="22"/>
                <w:szCs w:val="22"/>
              </w:rPr>
              <w:t>2859</w:t>
            </w:r>
          </w:p>
        </w:tc>
        <w:tc>
          <w:tcPr>
            <w:tcW w:w="1100" w:type="dxa"/>
            <w:tcBorders>
              <w:top w:val="nil"/>
              <w:left w:val="nil"/>
              <w:bottom w:val="single" w:sz="12" w:space="0" w:color="auto"/>
              <w:right w:val="single" w:sz="4" w:space="0" w:color="auto"/>
            </w:tcBorders>
            <w:shd w:val="clear" w:color="auto" w:fill="auto"/>
            <w:noWrap/>
            <w:vAlign w:val="center"/>
            <w:hideMark/>
          </w:tcPr>
          <w:p w14:paraId="15EB60A2" w14:textId="6B0E0841" w:rsidR="00F4374A" w:rsidRDefault="00F4374A" w:rsidP="001A3F5D">
            <w:pPr>
              <w:jc w:val="center"/>
              <w:rPr>
                <w:rFonts w:ascii="Calibri" w:hAnsi="Calibri"/>
                <w:color w:val="000000"/>
                <w:sz w:val="22"/>
                <w:szCs w:val="22"/>
              </w:rPr>
            </w:pPr>
            <w:r>
              <w:rPr>
                <w:rFonts w:ascii="Calibri" w:hAnsi="Calibri"/>
                <w:color w:val="000000"/>
                <w:sz w:val="22"/>
                <w:szCs w:val="22"/>
              </w:rPr>
              <w:t>60.0%</w:t>
            </w:r>
          </w:p>
        </w:tc>
        <w:tc>
          <w:tcPr>
            <w:tcW w:w="781" w:type="dxa"/>
            <w:tcBorders>
              <w:top w:val="nil"/>
              <w:left w:val="nil"/>
              <w:bottom w:val="single" w:sz="12" w:space="0" w:color="auto"/>
              <w:right w:val="single" w:sz="4" w:space="0" w:color="auto"/>
            </w:tcBorders>
            <w:shd w:val="clear" w:color="auto" w:fill="auto"/>
            <w:noWrap/>
            <w:vAlign w:val="center"/>
            <w:hideMark/>
          </w:tcPr>
          <w:p w14:paraId="01E6F575" w14:textId="4E1CBE04" w:rsidR="00F4374A" w:rsidRDefault="00F4374A" w:rsidP="001A3F5D">
            <w:pPr>
              <w:jc w:val="center"/>
              <w:rPr>
                <w:rFonts w:ascii="Calibri" w:hAnsi="Calibri"/>
                <w:i/>
                <w:iCs/>
                <w:color w:val="000000"/>
                <w:sz w:val="22"/>
                <w:szCs w:val="22"/>
              </w:rPr>
            </w:pPr>
            <w:r>
              <w:rPr>
                <w:rFonts w:ascii="Calibri" w:hAnsi="Calibri"/>
                <w:i/>
                <w:iCs/>
                <w:color w:val="000000"/>
                <w:sz w:val="22"/>
                <w:szCs w:val="22"/>
              </w:rPr>
              <w:t>0.9%</w:t>
            </w:r>
          </w:p>
        </w:tc>
        <w:tc>
          <w:tcPr>
            <w:tcW w:w="1260" w:type="dxa"/>
            <w:tcBorders>
              <w:top w:val="nil"/>
              <w:left w:val="nil"/>
              <w:bottom w:val="single" w:sz="12" w:space="0" w:color="auto"/>
              <w:right w:val="single" w:sz="4" w:space="0" w:color="auto"/>
            </w:tcBorders>
            <w:shd w:val="clear" w:color="auto" w:fill="auto"/>
            <w:noWrap/>
            <w:vAlign w:val="center"/>
            <w:hideMark/>
          </w:tcPr>
          <w:p w14:paraId="14632B60" w14:textId="77777777" w:rsidR="00F4374A" w:rsidRDefault="00F4374A">
            <w:pPr>
              <w:jc w:val="center"/>
              <w:rPr>
                <w:rFonts w:ascii="Calibri" w:hAnsi="Calibri"/>
                <w:color w:val="000000"/>
                <w:sz w:val="22"/>
                <w:szCs w:val="22"/>
              </w:rPr>
            </w:pPr>
            <w:r>
              <w:rPr>
                <w:rFonts w:ascii="Calibri" w:hAnsi="Calibri"/>
                <w:color w:val="000000"/>
                <w:sz w:val="22"/>
                <w:szCs w:val="22"/>
              </w:rPr>
              <w:t>3034</w:t>
            </w:r>
          </w:p>
        </w:tc>
        <w:tc>
          <w:tcPr>
            <w:tcW w:w="1170" w:type="dxa"/>
            <w:tcBorders>
              <w:top w:val="nil"/>
              <w:left w:val="nil"/>
              <w:bottom w:val="single" w:sz="12" w:space="0" w:color="auto"/>
              <w:right w:val="single" w:sz="4" w:space="0" w:color="auto"/>
            </w:tcBorders>
            <w:shd w:val="clear" w:color="auto" w:fill="auto"/>
            <w:noWrap/>
            <w:vAlign w:val="center"/>
            <w:hideMark/>
          </w:tcPr>
          <w:p w14:paraId="3B83B940" w14:textId="697942AB" w:rsidR="00F4374A" w:rsidRDefault="00F4374A" w:rsidP="001A3F5D">
            <w:pPr>
              <w:jc w:val="center"/>
              <w:rPr>
                <w:rFonts w:ascii="Calibri" w:hAnsi="Calibri"/>
                <w:color w:val="000000"/>
                <w:sz w:val="22"/>
                <w:szCs w:val="22"/>
              </w:rPr>
            </w:pPr>
            <w:r>
              <w:rPr>
                <w:rFonts w:ascii="Calibri" w:hAnsi="Calibri"/>
                <w:color w:val="000000"/>
                <w:sz w:val="22"/>
                <w:szCs w:val="22"/>
              </w:rPr>
              <w:t>64.6%</w:t>
            </w:r>
          </w:p>
        </w:tc>
        <w:tc>
          <w:tcPr>
            <w:tcW w:w="810" w:type="dxa"/>
            <w:tcBorders>
              <w:top w:val="nil"/>
              <w:left w:val="nil"/>
              <w:bottom w:val="single" w:sz="12" w:space="0" w:color="auto"/>
              <w:right w:val="nil"/>
            </w:tcBorders>
            <w:shd w:val="clear" w:color="auto" w:fill="auto"/>
            <w:noWrap/>
            <w:vAlign w:val="center"/>
            <w:hideMark/>
          </w:tcPr>
          <w:p w14:paraId="47669FA5" w14:textId="45BBCB61" w:rsidR="00F4374A" w:rsidRDefault="00F4374A" w:rsidP="001A3F5D">
            <w:pPr>
              <w:jc w:val="center"/>
              <w:rPr>
                <w:rFonts w:ascii="Calibri" w:hAnsi="Calibri"/>
                <w:i/>
                <w:iCs/>
                <w:color w:val="000000"/>
                <w:sz w:val="22"/>
                <w:szCs w:val="22"/>
              </w:rPr>
            </w:pPr>
            <w:r>
              <w:rPr>
                <w:rFonts w:ascii="Calibri" w:hAnsi="Calibri"/>
                <w:i/>
                <w:iCs/>
                <w:color w:val="000000"/>
                <w:sz w:val="22"/>
                <w:szCs w:val="22"/>
              </w:rPr>
              <w:t>0.9%</w:t>
            </w:r>
          </w:p>
        </w:tc>
        <w:tc>
          <w:tcPr>
            <w:tcW w:w="960" w:type="dxa"/>
            <w:tcBorders>
              <w:top w:val="nil"/>
              <w:left w:val="single" w:sz="4" w:space="0" w:color="auto"/>
              <w:bottom w:val="single" w:sz="12" w:space="0" w:color="auto"/>
              <w:right w:val="single" w:sz="4" w:space="0" w:color="auto"/>
            </w:tcBorders>
            <w:shd w:val="clear" w:color="auto" w:fill="auto"/>
            <w:noWrap/>
            <w:vAlign w:val="center"/>
            <w:hideMark/>
          </w:tcPr>
          <w:p w14:paraId="47075D26" w14:textId="50763209" w:rsidR="00F4374A" w:rsidRDefault="00F4374A" w:rsidP="001A3F5D">
            <w:pPr>
              <w:jc w:val="center"/>
              <w:rPr>
                <w:rFonts w:ascii="Calibri" w:hAnsi="Calibri"/>
                <w:color w:val="000000"/>
                <w:sz w:val="22"/>
                <w:szCs w:val="22"/>
              </w:rPr>
            </w:pPr>
            <w:r>
              <w:rPr>
                <w:rFonts w:ascii="Calibri" w:hAnsi="Calibri"/>
                <w:color w:val="000000"/>
                <w:sz w:val="22"/>
                <w:szCs w:val="22"/>
              </w:rPr>
              <w:t>4.6%</w:t>
            </w:r>
          </w:p>
        </w:tc>
        <w:tc>
          <w:tcPr>
            <w:tcW w:w="750" w:type="dxa"/>
            <w:tcBorders>
              <w:top w:val="nil"/>
              <w:left w:val="single" w:sz="8" w:space="0" w:color="auto"/>
              <w:bottom w:val="single" w:sz="12" w:space="0" w:color="auto"/>
              <w:right w:val="single" w:sz="12" w:space="0" w:color="auto"/>
            </w:tcBorders>
            <w:shd w:val="clear" w:color="auto" w:fill="auto"/>
            <w:noWrap/>
            <w:vAlign w:val="center"/>
            <w:hideMark/>
          </w:tcPr>
          <w:p w14:paraId="008D5D57" w14:textId="77777777" w:rsidR="00F4374A" w:rsidRDefault="00F4374A">
            <w:pPr>
              <w:jc w:val="center"/>
              <w:rPr>
                <w:rFonts w:ascii="Calibri" w:hAnsi="Calibri"/>
                <w:color w:val="000000"/>
                <w:sz w:val="22"/>
                <w:szCs w:val="22"/>
              </w:rPr>
            </w:pPr>
            <w:r>
              <w:rPr>
                <w:rFonts w:ascii="Calibri" w:hAnsi="Calibri"/>
                <w:color w:val="000000"/>
                <w:sz w:val="22"/>
                <w:szCs w:val="22"/>
              </w:rPr>
              <w:t>0.012</w:t>
            </w:r>
          </w:p>
        </w:tc>
      </w:tr>
    </w:tbl>
    <w:p w14:paraId="28002C75" w14:textId="77777777" w:rsidR="007D3565" w:rsidRDefault="007D3565" w:rsidP="007D6051">
      <w:pPr>
        <w:pStyle w:val="FootnoteText"/>
        <w:rPr>
          <w:rFonts w:asciiTheme="minorHAnsi" w:hAnsiTheme="minorHAnsi"/>
          <w:sz w:val="24"/>
          <w:szCs w:val="24"/>
        </w:rPr>
      </w:pPr>
    </w:p>
    <w:p w14:paraId="17843469" w14:textId="3E03EA16" w:rsidR="001D5DA1" w:rsidRDefault="001D5DA1" w:rsidP="001D5DA1">
      <w:pPr>
        <w:pStyle w:val="FootnoteText"/>
        <w:rPr>
          <w:rStyle w:val="apple-converted-space"/>
          <w:rFonts w:asciiTheme="minorHAnsi" w:hAnsiTheme="minorHAnsi" w:cs="Arial"/>
          <w:color w:val="222222"/>
          <w:sz w:val="24"/>
          <w:szCs w:val="24"/>
          <w:shd w:val="clear" w:color="auto" w:fill="FFFFFF"/>
        </w:rPr>
      </w:pPr>
      <w:r w:rsidRPr="00D91C06">
        <w:rPr>
          <w:rFonts w:asciiTheme="minorHAnsi" w:hAnsiTheme="minorHAnsi"/>
          <w:sz w:val="24"/>
          <w:szCs w:val="24"/>
        </w:rPr>
        <w:t>Table 2 shows that the $60 treatment produced higher completion rates for every subgroup.</w:t>
      </w:r>
      <w:r>
        <w:rPr>
          <w:rFonts w:asciiTheme="minorHAnsi" w:hAnsiTheme="minorHAnsi"/>
          <w:sz w:val="24"/>
          <w:szCs w:val="24"/>
        </w:rPr>
        <w:t xml:space="preserve"> The range of subgroup response rates is higher for the $40 treatment (72.3-59.2=13.1%) than the $60 treatment (77.1-63.8=7.3%). Reducing the variance of these subgroup response rates may be useful in controlling nonresponse bias, but at the very least is useful for controlling potential nonresponse adjustments. The biggest increases did not occur for the “White and Other” and “Black” subgroups – the groups that had seen larger declines in response rates before the experiment began – as we had expected. Increasing main interview rates for these groups will be a continued focus of the NSFG team.</w:t>
      </w:r>
    </w:p>
    <w:p w14:paraId="685ECA4F" w14:textId="77777777" w:rsidR="001D5DA1" w:rsidRDefault="001D5DA1" w:rsidP="007D6051">
      <w:pPr>
        <w:pStyle w:val="FootnoteText"/>
        <w:rPr>
          <w:rFonts w:asciiTheme="minorHAnsi" w:hAnsiTheme="minorHAnsi"/>
          <w:sz w:val="24"/>
          <w:szCs w:val="24"/>
        </w:rPr>
      </w:pPr>
    </w:p>
    <w:p w14:paraId="18831EBA" w14:textId="5C84B148" w:rsidR="006F2A25" w:rsidRPr="006F2A25" w:rsidRDefault="008A7425" w:rsidP="00421CBC">
      <w:pPr>
        <w:rPr>
          <w:rFonts w:ascii="Calibri" w:hAnsi="Calibri"/>
        </w:rPr>
      </w:pPr>
      <w:r>
        <w:rPr>
          <w:rFonts w:ascii="Calibri" w:hAnsi="Calibri"/>
        </w:rPr>
        <w:t>Thus, as shown by Tables 1 and 2: a</w:t>
      </w:r>
      <w:r w:rsidR="006F2A25">
        <w:rPr>
          <w:rFonts w:ascii="Calibri" w:hAnsi="Calibri"/>
        </w:rPr>
        <w:t>t the end of Phase 1, we observed the hypothesized</w:t>
      </w:r>
      <w:r w:rsidR="00803E9B">
        <w:rPr>
          <w:rFonts w:ascii="Calibri" w:hAnsi="Calibri"/>
        </w:rPr>
        <w:t xml:space="preserve"> increase in </w:t>
      </w:r>
      <w:r>
        <w:rPr>
          <w:rFonts w:ascii="Calibri" w:hAnsi="Calibri"/>
        </w:rPr>
        <w:t xml:space="preserve">(unweighted) </w:t>
      </w:r>
      <w:r w:rsidR="00803E9B">
        <w:rPr>
          <w:rFonts w:ascii="Calibri" w:hAnsi="Calibri"/>
        </w:rPr>
        <w:t>response rates</w:t>
      </w:r>
      <w:r>
        <w:rPr>
          <w:rFonts w:ascii="Calibri" w:hAnsi="Calibri"/>
        </w:rPr>
        <w:t xml:space="preserve"> (Table 1</w:t>
      </w:r>
      <w:r w:rsidR="0035034D">
        <w:rPr>
          <w:rFonts w:ascii="Calibri" w:hAnsi="Calibri"/>
        </w:rPr>
        <w:t>,</w:t>
      </w:r>
      <w:r>
        <w:rPr>
          <w:rFonts w:ascii="Calibri" w:hAnsi="Calibri"/>
        </w:rPr>
        <w:t xml:space="preserve"> 2</w:t>
      </w:r>
      <w:r w:rsidRPr="008A7425">
        <w:rPr>
          <w:rFonts w:ascii="Calibri" w:hAnsi="Calibri"/>
          <w:vertAlign w:val="superscript"/>
        </w:rPr>
        <w:t>nd</w:t>
      </w:r>
      <w:r>
        <w:rPr>
          <w:rFonts w:ascii="Calibri" w:hAnsi="Calibri"/>
        </w:rPr>
        <w:t xml:space="preserve"> panel)</w:t>
      </w:r>
      <w:r w:rsidR="00803E9B">
        <w:rPr>
          <w:rFonts w:ascii="Calibri" w:hAnsi="Calibri"/>
        </w:rPr>
        <w:t xml:space="preserve">. We found that these rates increased for all subgroups and that the </w:t>
      </w:r>
      <w:r w:rsidR="008845B4">
        <w:rPr>
          <w:rFonts w:ascii="Calibri" w:hAnsi="Calibri"/>
        </w:rPr>
        <w:t>variation in the</w:t>
      </w:r>
      <w:r w:rsidR="00803E9B">
        <w:rPr>
          <w:rFonts w:ascii="Calibri" w:hAnsi="Calibri"/>
        </w:rPr>
        <w:t xml:space="preserve"> rates was somewhat decreased</w:t>
      </w:r>
      <w:r>
        <w:rPr>
          <w:rFonts w:ascii="Calibri" w:hAnsi="Calibri"/>
        </w:rPr>
        <w:t xml:space="preserve"> (Table 2)</w:t>
      </w:r>
      <w:r w:rsidR="00803E9B">
        <w:rPr>
          <w:rFonts w:ascii="Calibri" w:hAnsi="Calibri"/>
        </w:rPr>
        <w:t xml:space="preserve">. However, the increase </w:t>
      </w:r>
      <w:r w:rsidR="008845B4">
        <w:rPr>
          <w:rFonts w:ascii="Calibri" w:hAnsi="Calibri"/>
        </w:rPr>
        <w:t xml:space="preserve">in the Phase 1 </w:t>
      </w:r>
      <w:r w:rsidR="00B2390D">
        <w:rPr>
          <w:rFonts w:ascii="Calibri" w:hAnsi="Calibri"/>
        </w:rPr>
        <w:t xml:space="preserve">response </w:t>
      </w:r>
      <w:r w:rsidR="008845B4">
        <w:rPr>
          <w:rFonts w:ascii="Calibri" w:hAnsi="Calibri"/>
        </w:rPr>
        <w:t xml:space="preserve">rate </w:t>
      </w:r>
      <w:r w:rsidR="00803E9B">
        <w:rPr>
          <w:rFonts w:ascii="Calibri" w:hAnsi="Calibri"/>
        </w:rPr>
        <w:t>was not as large as expected.</w:t>
      </w:r>
    </w:p>
    <w:p w14:paraId="793E78F8" w14:textId="77777777" w:rsidR="006F2A25" w:rsidRDefault="006F2A25" w:rsidP="00421CBC">
      <w:pPr>
        <w:rPr>
          <w:rFonts w:ascii="Calibri" w:hAnsi="Calibri"/>
          <w:b/>
        </w:rPr>
      </w:pPr>
    </w:p>
    <w:p w14:paraId="2BE29EC9" w14:textId="0FC963B7" w:rsidR="00C4506D" w:rsidRPr="00DE2624" w:rsidRDefault="0074074C" w:rsidP="00DE2624">
      <w:pPr>
        <w:pStyle w:val="ListParagraph"/>
        <w:numPr>
          <w:ilvl w:val="0"/>
          <w:numId w:val="15"/>
        </w:numPr>
        <w:rPr>
          <w:rFonts w:ascii="Calibri" w:hAnsi="Calibri"/>
          <w:b/>
        </w:rPr>
      </w:pPr>
      <w:r w:rsidRPr="00DE2624">
        <w:rPr>
          <w:rFonts w:ascii="Calibri" w:hAnsi="Calibri"/>
          <w:b/>
        </w:rPr>
        <w:t>Phase 2 and Cumulative Case Counts and Response Rates</w:t>
      </w:r>
    </w:p>
    <w:p w14:paraId="1DCC88A8" w14:textId="77777777" w:rsidR="00803E9B" w:rsidRDefault="00803E9B" w:rsidP="00421CBC">
      <w:pPr>
        <w:rPr>
          <w:rFonts w:ascii="Calibri" w:hAnsi="Calibri"/>
          <w:b/>
        </w:rPr>
      </w:pPr>
    </w:p>
    <w:p w14:paraId="1FA65ABF" w14:textId="77777777" w:rsidR="007B2426" w:rsidRDefault="00B076F6" w:rsidP="007B2426">
      <w:pPr>
        <w:rPr>
          <w:rFonts w:ascii="Calibri" w:hAnsi="Calibri"/>
        </w:rPr>
      </w:pPr>
      <w:r>
        <w:rPr>
          <w:rFonts w:ascii="Calibri" w:hAnsi="Calibri"/>
        </w:rPr>
        <w:t>We now turn our attention to the Phase 2 and cumulative results.</w:t>
      </w:r>
      <w:r w:rsidR="001A3F5D">
        <w:rPr>
          <w:rFonts w:ascii="Calibri" w:hAnsi="Calibri"/>
        </w:rPr>
        <w:t xml:space="preserve"> </w:t>
      </w:r>
      <w:r w:rsidR="007B2426">
        <w:rPr>
          <w:rFonts w:ascii="Calibri" w:hAnsi="Calibri"/>
        </w:rPr>
        <w:t xml:space="preserve">During Phase 2, all respondents received the same incentive for completing the interview ($80). </w:t>
      </w:r>
    </w:p>
    <w:p w14:paraId="2A000127" w14:textId="6D123A46" w:rsidR="00B076F6" w:rsidRDefault="00B076F6" w:rsidP="00421CBC">
      <w:pPr>
        <w:rPr>
          <w:rFonts w:ascii="Calibri" w:hAnsi="Calibri"/>
        </w:rPr>
      </w:pPr>
      <w:r>
        <w:rPr>
          <w:rFonts w:ascii="Calibri" w:hAnsi="Calibri"/>
        </w:rPr>
        <w:t xml:space="preserve">Table </w:t>
      </w:r>
      <w:r w:rsidR="00DF2E6F">
        <w:rPr>
          <w:rFonts w:ascii="Calibri" w:hAnsi="Calibri"/>
        </w:rPr>
        <w:t>3</w:t>
      </w:r>
      <w:r w:rsidR="0071760A">
        <w:rPr>
          <w:rFonts w:ascii="Calibri" w:hAnsi="Calibri"/>
        </w:rPr>
        <w:t xml:space="preserve"> </w:t>
      </w:r>
      <w:r>
        <w:rPr>
          <w:rFonts w:ascii="Calibri" w:hAnsi="Calibri"/>
        </w:rPr>
        <w:t xml:space="preserve">shows the Phase 2 and the overall </w:t>
      </w:r>
      <w:r w:rsidR="00F62164">
        <w:rPr>
          <w:rFonts w:ascii="Calibri" w:hAnsi="Calibri"/>
        </w:rPr>
        <w:t xml:space="preserve">(Phase 1 and 2 combined) </w:t>
      </w:r>
      <w:r>
        <w:rPr>
          <w:rFonts w:ascii="Calibri" w:hAnsi="Calibri"/>
        </w:rPr>
        <w:t xml:space="preserve">counts of completed screener and main interviews. </w:t>
      </w:r>
      <w:r w:rsidR="001A3F5D">
        <w:rPr>
          <w:rFonts w:ascii="Calibri" w:hAnsi="Calibri"/>
        </w:rPr>
        <w:t xml:space="preserve">The differences between the two treatments, in terms of counts of screener and main interviews, </w:t>
      </w:r>
      <w:r w:rsidR="001A3F5D" w:rsidRPr="00D91C06">
        <w:rPr>
          <w:rFonts w:ascii="Calibri" w:hAnsi="Calibri"/>
        </w:rPr>
        <w:t>are small.</w:t>
      </w:r>
      <w:r w:rsidR="007B2426" w:rsidRPr="00D91C06">
        <w:rPr>
          <w:rFonts w:ascii="Calibri" w:hAnsi="Calibri"/>
        </w:rPr>
        <w:t xml:space="preserve"> </w:t>
      </w:r>
      <w:r w:rsidR="00DF2E6F" w:rsidRPr="00D91C06">
        <w:rPr>
          <w:rFonts w:ascii="Calibri" w:hAnsi="Calibri"/>
        </w:rPr>
        <w:t xml:space="preserve"> See Appendix I for hypotheses and discussion of this lack of difference.</w:t>
      </w:r>
    </w:p>
    <w:p w14:paraId="5D38EBDD" w14:textId="129AC470" w:rsidR="00B24EDE" w:rsidRDefault="00B24EDE">
      <w:pPr>
        <w:rPr>
          <w:rFonts w:ascii="Calibri" w:hAnsi="Calibri"/>
        </w:rPr>
      </w:pPr>
      <w:r>
        <w:rPr>
          <w:rFonts w:ascii="Calibri" w:hAnsi="Calibri"/>
        </w:rPr>
        <w:br w:type="page"/>
      </w:r>
    </w:p>
    <w:tbl>
      <w:tblPr>
        <w:tblW w:w="4923" w:type="dxa"/>
        <w:tblLook w:val="04A0" w:firstRow="1" w:lastRow="0" w:firstColumn="1" w:lastColumn="0" w:noHBand="0" w:noVBand="1"/>
      </w:tblPr>
      <w:tblGrid>
        <w:gridCol w:w="2932"/>
        <w:gridCol w:w="874"/>
        <w:gridCol w:w="1117"/>
      </w:tblGrid>
      <w:tr w:rsidR="006F2A25" w14:paraId="5BEE0A32" w14:textId="77777777" w:rsidTr="00F62164">
        <w:trPr>
          <w:trHeight w:val="315"/>
        </w:trPr>
        <w:tc>
          <w:tcPr>
            <w:tcW w:w="4923" w:type="dxa"/>
            <w:gridSpan w:val="3"/>
            <w:tcBorders>
              <w:top w:val="single" w:sz="12" w:space="0" w:color="auto"/>
              <w:left w:val="single" w:sz="12" w:space="0" w:color="auto"/>
              <w:bottom w:val="single" w:sz="4" w:space="0" w:color="auto"/>
              <w:right w:val="single" w:sz="12" w:space="0" w:color="000000"/>
            </w:tcBorders>
            <w:shd w:val="clear" w:color="auto" w:fill="auto"/>
            <w:noWrap/>
            <w:vAlign w:val="bottom"/>
            <w:hideMark/>
          </w:tcPr>
          <w:p w14:paraId="2D84D50C" w14:textId="013A65FA" w:rsidR="006F2A25" w:rsidRDefault="006F2A25" w:rsidP="0071760A">
            <w:pPr>
              <w:rPr>
                <w:rFonts w:ascii="Calibri" w:hAnsi="Calibri"/>
                <w:b/>
                <w:bCs/>
                <w:color w:val="000000"/>
                <w:sz w:val="22"/>
                <w:szCs w:val="22"/>
              </w:rPr>
            </w:pPr>
            <w:r>
              <w:rPr>
                <w:rFonts w:ascii="Calibri" w:hAnsi="Calibri"/>
                <w:b/>
                <w:bCs/>
                <w:color w:val="000000"/>
                <w:sz w:val="22"/>
                <w:szCs w:val="22"/>
              </w:rPr>
              <w:lastRenderedPageBreak/>
              <w:t xml:space="preserve">Table </w:t>
            </w:r>
            <w:r w:rsidR="00DF2E6F">
              <w:rPr>
                <w:rFonts w:ascii="Calibri" w:hAnsi="Calibri"/>
                <w:b/>
                <w:bCs/>
                <w:color w:val="000000"/>
                <w:sz w:val="22"/>
                <w:szCs w:val="22"/>
              </w:rPr>
              <w:t>3</w:t>
            </w:r>
            <w:r>
              <w:rPr>
                <w:rFonts w:ascii="Calibri" w:hAnsi="Calibri"/>
                <w:b/>
                <w:bCs/>
                <w:color w:val="000000"/>
                <w:sz w:val="22"/>
                <w:szCs w:val="22"/>
              </w:rPr>
              <w:t>: Unweighted Case Counts</w:t>
            </w:r>
          </w:p>
        </w:tc>
      </w:tr>
      <w:tr w:rsidR="006F2A25" w14:paraId="438F5B18" w14:textId="77777777" w:rsidTr="00F62164">
        <w:trPr>
          <w:trHeight w:val="300"/>
        </w:trPr>
        <w:tc>
          <w:tcPr>
            <w:tcW w:w="2932" w:type="dxa"/>
            <w:tcBorders>
              <w:top w:val="nil"/>
              <w:left w:val="single" w:sz="12" w:space="0" w:color="auto"/>
              <w:bottom w:val="single" w:sz="4" w:space="0" w:color="auto"/>
              <w:right w:val="single" w:sz="4" w:space="0" w:color="auto"/>
            </w:tcBorders>
            <w:shd w:val="clear" w:color="auto" w:fill="auto"/>
            <w:noWrap/>
            <w:vAlign w:val="bottom"/>
            <w:hideMark/>
          </w:tcPr>
          <w:p w14:paraId="5609FC06" w14:textId="77777777" w:rsidR="006F2A25" w:rsidRDefault="006F2A25" w:rsidP="00894D65">
            <w:pPr>
              <w:rPr>
                <w:rFonts w:ascii="Calibri" w:hAnsi="Calibri"/>
                <w:color w:val="000000"/>
                <w:sz w:val="22"/>
                <w:szCs w:val="22"/>
              </w:rPr>
            </w:pPr>
            <w:r>
              <w:rPr>
                <w:rFonts w:ascii="Calibri" w:hAnsi="Calibri"/>
                <w:color w:val="000000"/>
                <w:sz w:val="22"/>
                <w:szCs w:val="22"/>
              </w:rPr>
              <w:t> </w:t>
            </w:r>
          </w:p>
        </w:tc>
        <w:tc>
          <w:tcPr>
            <w:tcW w:w="874" w:type="dxa"/>
            <w:tcBorders>
              <w:top w:val="nil"/>
              <w:left w:val="nil"/>
              <w:bottom w:val="single" w:sz="4" w:space="0" w:color="auto"/>
              <w:right w:val="single" w:sz="4" w:space="0" w:color="auto"/>
            </w:tcBorders>
            <w:shd w:val="clear" w:color="auto" w:fill="auto"/>
            <w:noWrap/>
            <w:vAlign w:val="center"/>
            <w:hideMark/>
          </w:tcPr>
          <w:p w14:paraId="5816668B" w14:textId="77777777" w:rsidR="006F2A25" w:rsidRDefault="006F2A25" w:rsidP="00894D65">
            <w:pPr>
              <w:jc w:val="center"/>
              <w:rPr>
                <w:rFonts w:ascii="Calibri" w:hAnsi="Calibri"/>
                <w:color w:val="000000"/>
                <w:sz w:val="22"/>
                <w:szCs w:val="22"/>
              </w:rPr>
            </w:pPr>
            <w:r>
              <w:rPr>
                <w:rFonts w:ascii="Calibri" w:hAnsi="Calibri"/>
                <w:color w:val="000000"/>
                <w:sz w:val="22"/>
                <w:szCs w:val="22"/>
              </w:rPr>
              <w:t xml:space="preserve">$40 </w:t>
            </w:r>
          </w:p>
        </w:tc>
        <w:tc>
          <w:tcPr>
            <w:tcW w:w="1117" w:type="dxa"/>
            <w:tcBorders>
              <w:top w:val="nil"/>
              <w:left w:val="nil"/>
              <w:bottom w:val="single" w:sz="4" w:space="0" w:color="auto"/>
              <w:right w:val="single" w:sz="12" w:space="0" w:color="auto"/>
            </w:tcBorders>
            <w:shd w:val="clear" w:color="auto" w:fill="auto"/>
            <w:noWrap/>
            <w:vAlign w:val="center"/>
            <w:hideMark/>
          </w:tcPr>
          <w:p w14:paraId="6E68BFB4" w14:textId="77777777" w:rsidR="006F2A25" w:rsidRDefault="006F2A25" w:rsidP="00894D65">
            <w:pPr>
              <w:jc w:val="center"/>
              <w:rPr>
                <w:rFonts w:ascii="Calibri" w:hAnsi="Calibri"/>
                <w:color w:val="000000"/>
                <w:sz w:val="22"/>
                <w:szCs w:val="22"/>
              </w:rPr>
            </w:pPr>
            <w:r>
              <w:rPr>
                <w:rFonts w:ascii="Calibri" w:hAnsi="Calibri"/>
                <w:color w:val="000000"/>
                <w:sz w:val="22"/>
                <w:szCs w:val="22"/>
              </w:rPr>
              <w:t xml:space="preserve">$60 </w:t>
            </w:r>
          </w:p>
        </w:tc>
      </w:tr>
      <w:tr w:rsidR="006F2A25" w14:paraId="25CDD2E9" w14:textId="77777777" w:rsidTr="00F62164">
        <w:trPr>
          <w:trHeight w:val="300"/>
        </w:trPr>
        <w:tc>
          <w:tcPr>
            <w:tcW w:w="4923" w:type="dxa"/>
            <w:gridSpan w:val="3"/>
            <w:tcBorders>
              <w:top w:val="single" w:sz="4" w:space="0" w:color="auto"/>
              <w:left w:val="single" w:sz="12" w:space="0" w:color="auto"/>
              <w:bottom w:val="single" w:sz="4" w:space="0" w:color="auto"/>
              <w:right w:val="single" w:sz="12" w:space="0" w:color="000000"/>
            </w:tcBorders>
            <w:shd w:val="clear" w:color="auto" w:fill="auto"/>
            <w:noWrap/>
            <w:vAlign w:val="bottom"/>
            <w:hideMark/>
          </w:tcPr>
          <w:p w14:paraId="1707EAF7" w14:textId="77777777" w:rsidR="006F2A25" w:rsidRDefault="006F2A25" w:rsidP="00894D65">
            <w:pPr>
              <w:rPr>
                <w:rFonts w:ascii="Calibri" w:hAnsi="Calibri"/>
                <w:b/>
                <w:bCs/>
                <w:color w:val="000000"/>
                <w:sz w:val="22"/>
                <w:szCs w:val="22"/>
              </w:rPr>
            </w:pPr>
            <w:r>
              <w:rPr>
                <w:rFonts w:ascii="Calibri" w:hAnsi="Calibri"/>
                <w:b/>
                <w:bCs/>
                <w:color w:val="000000"/>
                <w:sz w:val="22"/>
                <w:szCs w:val="22"/>
              </w:rPr>
              <w:t>Completed Screeners</w:t>
            </w:r>
          </w:p>
        </w:tc>
      </w:tr>
      <w:tr w:rsidR="006F2A25" w14:paraId="5D6D6588" w14:textId="77777777" w:rsidTr="00F62164">
        <w:trPr>
          <w:trHeight w:val="300"/>
        </w:trPr>
        <w:tc>
          <w:tcPr>
            <w:tcW w:w="2932" w:type="dxa"/>
            <w:tcBorders>
              <w:top w:val="nil"/>
              <w:left w:val="single" w:sz="12" w:space="0" w:color="auto"/>
              <w:bottom w:val="single" w:sz="4" w:space="0" w:color="auto"/>
              <w:right w:val="single" w:sz="4" w:space="0" w:color="auto"/>
            </w:tcBorders>
            <w:shd w:val="clear" w:color="auto" w:fill="auto"/>
            <w:noWrap/>
            <w:vAlign w:val="bottom"/>
            <w:hideMark/>
          </w:tcPr>
          <w:p w14:paraId="6420EB91" w14:textId="24C3D0E9" w:rsidR="006F2A25" w:rsidRDefault="006F2A25" w:rsidP="0010215B">
            <w:pPr>
              <w:ind w:firstLineChars="200" w:firstLine="440"/>
              <w:rPr>
                <w:rFonts w:ascii="Calibri" w:hAnsi="Calibri"/>
                <w:color w:val="000000"/>
                <w:sz w:val="22"/>
                <w:szCs w:val="22"/>
              </w:rPr>
            </w:pPr>
            <w:r>
              <w:rPr>
                <w:rFonts w:ascii="Calibri" w:hAnsi="Calibri"/>
                <w:color w:val="000000"/>
                <w:sz w:val="22"/>
                <w:szCs w:val="22"/>
              </w:rPr>
              <w:t xml:space="preserve">Phase </w:t>
            </w:r>
            <w:r w:rsidR="0010215B">
              <w:rPr>
                <w:rFonts w:ascii="Calibri" w:hAnsi="Calibri"/>
                <w:color w:val="000000"/>
                <w:sz w:val="22"/>
                <w:szCs w:val="22"/>
              </w:rPr>
              <w:t>2</w:t>
            </w:r>
          </w:p>
        </w:tc>
        <w:tc>
          <w:tcPr>
            <w:tcW w:w="874" w:type="dxa"/>
            <w:tcBorders>
              <w:top w:val="nil"/>
              <w:left w:val="nil"/>
              <w:bottom w:val="single" w:sz="4" w:space="0" w:color="auto"/>
              <w:right w:val="single" w:sz="4" w:space="0" w:color="auto"/>
            </w:tcBorders>
            <w:shd w:val="clear" w:color="auto" w:fill="auto"/>
            <w:noWrap/>
            <w:vAlign w:val="center"/>
            <w:hideMark/>
          </w:tcPr>
          <w:p w14:paraId="5DF9F8FC" w14:textId="49395BDD" w:rsidR="006F2A25" w:rsidRDefault="0010215B" w:rsidP="0010215B">
            <w:pPr>
              <w:jc w:val="center"/>
              <w:rPr>
                <w:rFonts w:ascii="Calibri" w:hAnsi="Calibri"/>
                <w:color w:val="000000"/>
                <w:sz w:val="22"/>
                <w:szCs w:val="22"/>
              </w:rPr>
            </w:pPr>
            <w:r>
              <w:rPr>
                <w:rFonts w:ascii="Calibri" w:hAnsi="Calibri"/>
                <w:color w:val="000000"/>
                <w:sz w:val="22"/>
                <w:szCs w:val="22"/>
              </w:rPr>
              <w:t>218</w:t>
            </w:r>
          </w:p>
        </w:tc>
        <w:tc>
          <w:tcPr>
            <w:tcW w:w="1117" w:type="dxa"/>
            <w:tcBorders>
              <w:top w:val="nil"/>
              <w:left w:val="nil"/>
              <w:bottom w:val="single" w:sz="4" w:space="0" w:color="auto"/>
              <w:right w:val="single" w:sz="12" w:space="0" w:color="auto"/>
            </w:tcBorders>
            <w:shd w:val="clear" w:color="auto" w:fill="auto"/>
            <w:noWrap/>
            <w:vAlign w:val="center"/>
            <w:hideMark/>
          </w:tcPr>
          <w:p w14:paraId="59D1B72F" w14:textId="1FF3A830" w:rsidR="006F2A25" w:rsidRDefault="0010215B" w:rsidP="00894D65">
            <w:pPr>
              <w:jc w:val="center"/>
              <w:rPr>
                <w:rFonts w:ascii="Calibri" w:hAnsi="Calibri"/>
                <w:color w:val="000000"/>
                <w:sz w:val="22"/>
                <w:szCs w:val="22"/>
              </w:rPr>
            </w:pPr>
            <w:r>
              <w:rPr>
                <w:rFonts w:ascii="Calibri" w:hAnsi="Calibri"/>
                <w:color w:val="000000"/>
                <w:sz w:val="22"/>
                <w:szCs w:val="22"/>
              </w:rPr>
              <w:t>237</w:t>
            </w:r>
          </w:p>
        </w:tc>
      </w:tr>
      <w:tr w:rsidR="006F2A25" w14:paraId="3B95DB6A" w14:textId="77777777" w:rsidTr="0010215B">
        <w:trPr>
          <w:trHeight w:val="300"/>
        </w:trPr>
        <w:tc>
          <w:tcPr>
            <w:tcW w:w="2932" w:type="dxa"/>
            <w:tcBorders>
              <w:top w:val="nil"/>
              <w:left w:val="single" w:sz="12" w:space="0" w:color="auto"/>
              <w:bottom w:val="single" w:sz="4" w:space="0" w:color="auto"/>
              <w:right w:val="single" w:sz="4" w:space="0" w:color="auto"/>
            </w:tcBorders>
            <w:shd w:val="clear" w:color="auto" w:fill="auto"/>
            <w:noWrap/>
            <w:vAlign w:val="bottom"/>
            <w:hideMark/>
          </w:tcPr>
          <w:p w14:paraId="48DCFBFB" w14:textId="77777777" w:rsidR="006F2A25" w:rsidRDefault="006F2A25" w:rsidP="00894D65">
            <w:pPr>
              <w:ind w:firstLineChars="200" w:firstLine="440"/>
              <w:rPr>
                <w:rFonts w:ascii="Calibri" w:hAnsi="Calibri"/>
                <w:color w:val="000000"/>
                <w:sz w:val="22"/>
                <w:szCs w:val="22"/>
              </w:rPr>
            </w:pPr>
            <w:r>
              <w:rPr>
                <w:rFonts w:ascii="Calibri" w:hAnsi="Calibri"/>
                <w:color w:val="000000"/>
                <w:sz w:val="22"/>
                <w:szCs w:val="22"/>
              </w:rPr>
              <w:t>Overall</w:t>
            </w:r>
          </w:p>
        </w:tc>
        <w:tc>
          <w:tcPr>
            <w:tcW w:w="874" w:type="dxa"/>
            <w:tcBorders>
              <w:top w:val="nil"/>
              <w:left w:val="nil"/>
              <w:bottom w:val="single" w:sz="4" w:space="0" w:color="auto"/>
              <w:right w:val="single" w:sz="4" w:space="0" w:color="auto"/>
            </w:tcBorders>
            <w:shd w:val="clear" w:color="auto" w:fill="auto"/>
            <w:noWrap/>
            <w:vAlign w:val="center"/>
            <w:hideMark/>
          </w:tcPr>
          <w:p w14:paraId="60BBA366" w14:textId="371CD8BB" w:rsidR="006F2A25" w:rsidRPr="0010215B" w:rsidRDefault="0010215B" w:rsidP="00894D65">
            <w:pPr>
              <w:jc w:val="center"/>
              <w:rPr>
                <w:rFonts w:ascii="Calibri" w:hAnsi="Calibri"/>
                <w:color w:val="000000"/>
                <w:sz w:val="22"/>
                <w:szCs w:val="22"/>
              </w:rPr>
            </w:pPr>
            <w:r>
              <w:rPr>
                <w:rFonts w:ascii="Calibri" w:hAnsi="Calibri"/>
                <w:color w:val="000000"/>
                <w:sz w:val="22"/>
                <w:szCs w:val="22"/>
              </w:rPr>
              <w:t>7,491</w:t>
            </w:r>
          </w:p>
        </w:tc>
        <w:tc>
          <w:tcPr>
            <w:tcW w:w="1117" w:type="dxa"/>
            <w:tcBorders>
              <w:top w:val="nil"/>
              <w:left w:val="nil"/>
              <w:bottom w:val="single" w:sz="4" w:space="0" w:color="auto"/>
              <w:right w:val="single" w:sz="12" w:space="0" w:color="auto"/>
            </w:tcBorders>
            <w:shd w:val="clear" w:color="auto" w:fill="auto"/>
            <w:noWrap/>
            <w:vAlign w:val="center"/>
          </w:tcPr>
          <w:p w14:paraId="19786A61" w14:textId="4380157F" w:rsidR="006F2A25" w:rsidRPr="0010215B" w:rsidRDefault="0010215B" w:rsidP="00894D65">
            <w:pPr>
              <w:jc w:val="center"/>
              <w:rPr>
                <w:rFonts w:ascii="Calibri" w:hAnsi="Calibri"/>
                <w:color w:val="000000"/>
                <w:sz w:val="22"/>
                <w:szCs w:val="22"/>
              </w:rPr>
            </w:pPr>
            <w:r>
              <w:rPr>
                <w:rFonts w:ascii="Calibri" w:hAnsi="Calibri"/>
                <w:color w:val="000000"/>
                <w:sz w:val="22"/>
                <w:szCs w:val="22"/>
              </w:rPr>
              <w:t>7,541</w:t>
            </w:r>
          </w:p>
        </w:tc>
      </w:tr>
      <w:tr w:rsidR="006F2A25" w14:paraId="0515D1AF" w14:textId="77777777" w:rsidTr="00F62164">
        <w:trPr>
          <w:trHeight w:val="300"/>
        </w:trPr>
        <w:tc>
          <w:tcPr>
            <w:tcW w:w="4923" w:type="dxa"/>
            <w:gridSpan w:val="3"/>
            <w:tcBorders>
              <w:top w:val="single" w:sz="4" w:space="0" w:color="auto"/>
              <w:left w:val="single" w:sz="12" w:space="0" w:color="auto"/>
              <w:bottom w:val="single" w:sz="4" w:space="0" w:color="auto"/>
              <w:right w:val="single" w:sz="12" w:space="0" w:color="000000"/>
            </w:tcBorders>
            <w:shd w:val="clear" w:color="auto" w:fill="auto"/>
            <w:noWrap/>
            <w:vAlign w:val="bottom"/>
            <w:hideMark/>
          </w:tcPr>
          <w:p w14:paraId="7F0F329E" w14:textId="77777777" w:rsidR="006F2A25" w:rsidRDefault="006F2A25" w:rsidP="00894D65">
            <w:pPr>
              <w:rPr>
                <w:rFonts w:ascii="Calibri" w:hAnsi="Calibri"/>
                <w:b/>
                <w:bCs/>
                <w:color w:val="000000"/>
                <w:sz w:val="22"/>
                <w:szCs w:val="22"/>
              </w:rPr>
            </w:pPr>
            <w:r>
              <w:rPr>
                <w:rFonts w:ascii="Calibri" w:hAnsi="Calibri"/>
                <w:b/>
                <w:bCs/>
                <w:color w:val="000000"/>
                <w:sz w:val="22"/>
                <w:szCs w:val="22"/>
              </w:rPr>
              <w:t>Completed Main Interviews</w:t>
            </w:r>
          </w:p>
        </w:tc>
      </w:tr>
      <w:tr w:rsidR="006F2A25" w14:paraId="3585D346" w14:textId="77777777" w:rsidTr="00F62164">
        <w:trPr>
          <w:trHeight w:val="300"/>
        </w:trPr>
        <w:tc>
          <w:tcPr>
            <w:tcW w:w="2932" w:type="dxa"/>
            <w:tcBorders>
              <w:top w:val="nil"/>
              <w:left w:val="single" w:sz="12" w:space="0" w:color="auto"/>
              <w:bottom w:val="single" w:sz="4" w:space="0" w:color="auto"/>
              <w:right w:val="single" w:sz="4" w:space="0" w:color="auto"/>
            </w:tcBorders>
            <w:shd w:val="clear" w:color="auto" w:fill="auto"/>
            <w:noWrap/>
            <w:vAlign w:val="bottom"/>
            <w:hideMark/>
          </w:tcPr>
          <w:p w14:paraId="3119EAD6" w14:textId="4AF1EB20" w:rsidR="006F2A25" w:rsidRDefault="006F2A25" w:rsidP="00894D65">
            <w:pPr>
              <w:ind w:firstLineChars="200" w:firstLine="440"/>
              <w:rPr>
                <w:rFonts w:ascii="Calibri" w:hAnsi="Calibri"/>
                <w:color w:val="000000"/>
                <w:sz w:val="22"/>
                <w:szCs w:val="22"/>
              </w:rPr>
            </w:pPr>
            <w:r>
              <w:rPr>
                <w:rFonts w:ascii="Calibri" w:hAnsi="Calibri"/>
                <w:color w:val="000000"/>
                <w:sz w:val="22"/>
                <w:szCs w:val="22"/>
              </w:rPr>
              <w:t xml:space="preserve">Phase </w:t>
            </w:r>
            <w:r w:rsidR="00B076F6">
              <w:rPr>
                <w:rFonts w:ascii="Calibri" w:hAnsi="Calibri"/>
                <w:color w:val="000000"/>
                <w:sz w:val="22"/>
                <w:szCs w:val="22"/>
              </w:rPr>
              <w:t>2</w:t>
            </w:r>
          </w:p>
        </w:tc>
        <w:tc>
          <w:tcPr>
            <w:tcW w:w="874" w:type="dxa"/>
            <w:tcBorders>
              <w:top w:val="nil"/>
              <w:left w:val="nil"/>
              <w:bottom w:val="single" w:sz="4" w:space="0" w:color="auto"/>
              <w:right w:val="single" w:sz="4" w:space="0" w:color="auto"/>
            </w:tcBorders>
            <w:shd w:val="clear" w:color="auto" w:fill="auto"/>
            <w:noWrap/>
            <w:vAlign w:val="center"/>
            <w:hideMark/>
          </w:tcPr>
          <w:p w14:paraId="4A52D96D" w14:textId="4E6FE815" w:rsidR="006F2A25" w:rsidRDefault="00B076F6" w:rsidP="00894D65">
            <w:pPr>
              <w:jc w:val="center"/>
              <w:rPr>
                <w:rFonts w:ascii="Calibri" w:hAnsi="Calibri"/>
                <w:color w:val="000000"/>
                <w:sz w:val="22"/>
                <w:szCs w:val="22"/>
              </w:rPr>
            </w:pPr>
            <w:r>
              <w:rPr>
                <w:rFonts w:ascii="Calibri" w:hAnsi="Calibri"/>
                <w:color w:val="000000"/>
                <w:sz w:val="22"/>
                <w:szCs w:val="22"/>
              </w:rPr>
              <w:t>262</w:t>
            </w:r>
          </w:p>
        </w:tc>
        <w:tc>
          <w:tcPr>
            <w:tcW w:w="1117" w:type="dxa"/>
            <w:tcBorders>
              <w:top w:val="nil"/>
              <w:left w:val="nil"/>
              <w:bottom w:val="single" w:sz="4" w:space="0" w:color="auto"/>
              <w:right w:val="single" w:sz="12" w:space="0" w:color="auto"/>
            </w:tcBorders>
            <w:shd w:val="clear" w:color="auto" w:fill="auto"/>
            <w:noWrap/>
            <w:vAlign w:val="center"/>
            <w:hideMark/>
          </w:tcPr>
          <w:p w14:paraId="676C0196" w14:textId="731E8EE0" w:rsidR="006F2A25" w:rsidRDefault="00B076F6" w:rsidP="00894D65">
            <w:pPr>
              <w:jc w:val="center"/>
              <w:rPr>
                <w:rFonts w:ascii="Calibri" w:hAnsi="Calibri"/>
                <w:color w:val="000000"/>
                <w:sz w:val="22"/>
                <w:szCs w:val="22"/>
              </w:rPr>
            </w:pPr>
            <w:r>
              <w:rPr>
                <w:rFonts w:ascii="Calibri" w:hAnsi="Calibri"/>
                <w:color w:val="000000"/>
                <w:sz w:val="22"/>
                <w:szCs w:val="22"/>
              </w:rPr>
              <w:t>230</w:t>
            </w:r>
          </w:p>
        </w:tc>
      </w:tr>
      <w:tr w:rsidR="006F2A25" w14:paraId="24906240" w14:textId="77777777" w:rsidTr="00F62164">
        <w:trPr>
          <w:trHeight w:val="315"/>
        </w:trPr>
        <w:tc>
          <w:tcPr>
            <w:tcW w:w="2932" w:type="dxa"/>
            <w:tcBorders>
              <w:top w:val="nil"/>
              <w:left w:val="single" w:sz="12" w:space="0" w:color="auto"/>
              <w:bottom w:val="single" w:sz="12" w:space="0" w:color="auto"/>
              <w:right w:val="single" w:sz="4" w:space="0" w:color="auto"/>
            </w:tcBorders>
            <w:shd w:val="clear" w:color="auto" w:fill="auto"/>
            <w:noWrap/>
            <w:vAlign w:val="bottom"/>
            <w:hideMark/>
          </w:tcPr>
          <w:p w14:paraId="6A0700F7" w14:textId="77777777" w:rsidR="006F2A25" w:rsidRDefault="006F2A25" w:rsidP="00894D65">
            <w:pPr>
              <w:ind w:firstLineChars="200" w:firstLine="440"/>
              <w:rPr>
                <w:rFonts w:ascii="Calibri" w:hAnsi="Calibri"/>
                <w:color w:val="000000"/>
                <w:sz w:val="22"/>
                <w:szCs w:val="22"/>
              </w:rPr>
            </w:pPr>
            <w:r>
              <w:rPr>
                <w:rFonts w:ascii="Calibri" w:hAnsi="Calibri"/>
                <w:color w:val="000000"/>
                <w:sz w:val="22"/>
                <w:szCs w:val="22"/>
              </w:rPr>
              <w:t>Overall</w:t>
            </w:r>
          </w:p>
        </w:tc>
        <w:tc>
          <w:tcPr>
            <w:tcW w:w="874" w:type="dxa"/>
            <w:tcBorders>
              <w:top w:val="nil"/>
              <w:left w:val="nil"/>
              <w:bottom w:val="single" w:sz="12" w:space="0" w:color="auto"/>
              <w:right w:val="single" w:sz="4" w:space="0" w:color="auto"/>
            </w:tcBorders>
            <w:shd w:val="clear" w:color="auto" w:fill="auto"/>
            <w:noWrap/>
            <w:vAlign w:val="center"/>
            <w:hideMark/>
          </w:tcPr>
          <w:p w14:paraId="29BCEA16" w14:textId="77777777" w:rsidR="006F2A25" w:rsidRDefault="006F2A25" w:rsidP="00894D65">
            <w:pPr>
              <w:jc w:val="center"/>
              <w:rPr>
                <w:rFonts w:ascii="Calibri" w:hAnsi="Calibri"/>
                <w:color w:val="000000"/>
                <w:sz w:val="22"/>
                <w:szCs w:val="22"/>
              </w:rPr>
            </w:pPr>
            <w:r>
              <w:rPr>
                <w:rFonts w:ascii="Calibri" w:hAnsi="Calibri"/>
                <w:color w:val="000000"/>
                <w:sz w:val="22"/>
                <w:szCs w:val="22"/>
              </w:rPr>
              <w:t>2,435</w:t>
            </w:r>
          </w:p>
        </w:tc>
        <w:tc>
          <w:tcPr>
            <w:tcW w:w="1117" w:type="dxa"/>
            <w:tcBorders>
              <w:top w:val="nil"/>
              <w:left w:val="nil"/>
              <w:bottom w:val="single" w:sz="12" w:space="0" w:color="auto"/>
              <w:right w:val="single" w:sz="12" w:space="0" w:color="auto"/>
            </w:tcBorders>
            <w:shd w:val="clear" w:color="auto" w:fill="auto"/>
            <w:noWrap/>
            <w:vAlign w:val="center"/>
            <w:hideMark/>
          </w:tcPr>
          <w:p w14:paraId="4F6D061D" w14:textId="77777777" w:rsidR="006F2A25" w:rsidRDefault="006F2A25" w:rsidP="00894D65">
            <w:pPr>
              <w:jc w:val="center"/>
              <w:rPr>
                <w:rFonts w:ascii="Calibri" w:hAnsi="Calibri"/>
                <w:color w:val="000000"/>
                <w:sz w:val="22"/>
                <w:szCs w:val="22"/>
              </w:rPr>
            </w:pPr>
            <w:r>
              <w:rPr>
                <w:rFonts w:ascii="Calibri" w:hAnsi="Calibri"/>
                <w:color w:val="000000"/>
                <w:sz w:val="22"/>
                <w:szCs w:val="22"/>
              </w:rPr>
              <w:t>2,725</w:t>
            </w:r>
          </w:p>
        </w:tc>
      </w:tr>
    </w:tbl>
    <w:p w14:paraId="11276DDD" w14:textId="77777777" w:rsidR="006F2A25" w:rsidRDefault="006F2A25" w:rsidP="00421CBC">
      <w:pPr>
        <w:rPr>
          <w:rFonts w:ascii="Calibri" w:hAnsi="Calibri"/>
          <w:b/>
        </w:rPr>
      </w:pPr>
    </w:p>
    <w:p w14:paraId="05DCB113" w14:textId="5D3FA10C" w:rsidR="005219BC" w:rsidRPr="005219BC" w:rsidRDefault="005219BC" w:rsidP="00421CBC">
      <w:pPr>
        <w:rPr>
          <w:rFonts w:ascii="Calibri" w:hAnsi="Calibri"/>
        </w:rPr>
      </w:pPr>
      <w:r>
        <w:rPr>
          <w:rFonts w:ascii="Calibri" w:hAnsi="Calibri"/>
        </w:rPr>
        <w:t xml:space="preserve">Table </w:t>
      </w:r>
      <w:r w:rsidR="00DF2E6F">
        <w:rPr>
          <w:rFonts w:ascii="Calibri" w:hAnsi="Calibri"/>
        </w:rPr>
        <w:t>4</w:t>
      </w:r>
      <w:r w:rsidR="0071760A">
        <w:rPr>
          <w:rFonts w:ascii="Calibri" w:hAnsi="Calibri"/>
        </w:rPr>
        <w:t xml:space="preserve"> </w:t>
      </w:r>
      <w:r>
        <w:rPr>
          <w:rFonts w:ascii="Calibri" w:hAnsi="Calibri"/>
        </w:rPr>
        <w:t xml:space="preserve">provides the results that are parallel to those presented in Table 2. </w:t>
      </w:r>
      <w:r w:rsidR="001C73A4">
        <w:rPr>
          <w:rFonts w:ascii="Calibri" w:hAnsi="Calibri"/>
        </w:rPr>
        <w:t xml:space="preserve">The </w:t>
      </w:r>
      <w:r w:rsidR="00B517CA">
        <w:rPr>
          <w:rFonts w:ascii="Calibri" w:hAnsi="Calibri"/>
        </w:rPr>
        <w:t xml:space="preserve">weighted </w:t>
      </w:r>
      <w:r w:rsidR="001C73A4">
        <w:rPr>
          <w:rFonts w:ascii="Calibri" w:hAnsi="Calibri"/>
        </w:rPr>
        <w:t xml:space="preserve">Phase 2 screening response rate was 57.1% for the $40 group and 56.0% for the $60 group. This difference is not significant. </w:t>
      </w:r>
      <w:r w:rsidR="00B517CA">
        <w:rPr>
          <w:rFonts w:ascii="Calibri" w:hAnsi="Calibri"/>
        </w:rPr>
        <w:t xml:space="preserve">Table </w:t>
      </w:r>
      <w:r w:rsidR="0071760A">
        <w:rPr>
          <w:rFonts w:ascii="Calibri" w:hAnsi="Calibri"/>
        </w:rPr>
        <w:t xml:space="preserve">6 </w:t>
      </w:r>
      <w:r w:rsidR="00B517CA">
        <w:rPr>
          <w:rFonts w:ascii="Calibri" w:hAnsi="Calibri"/>
        </w:rPr>
        <w:t xml:space="preserve">also shows the </w:t>
      </w:r>
      <w:r>
        <w:rPr>
          <w:rFonts w:ascii="Calibri" w:hAnsi="Calibri"/>
        </w:rPr>
        <w:t xml:space="preserve">unweighted and weighted final screening and main interview rates, </w:t>
      </w:r>
      <w:r w:rsidR="00674682">
        <w:rPr>
          <w:rFonts w:ascii="Calibri" w:hAnsi="Calibri"/>
        </w:rPr>
        <w:t>and</w:t>
      </w:r>
      <w:r>
        <w:rPr>
          <w:rFonts w:ascii="Calibri" w:hAnsi="Calibri"/>
        </w:rPr>
        <w:t xml:space="preserve"> a final combined response rate.</w:t>
      </w:r>
      <w:r w:rsidR="006A3EF8">
        <w:rPr>
          <w:rFonts w:ascii="Calibri" w:hAnsi="Calibri"/>
        </w:rPr>
        <w:t xml:space="preserve"> Finally, we note that the incentive seemed to produce a higher eligibility rate.</w:t>
      </w:r>
    </w:p>
    <w:p w14:paraId="42642AC9" w14:textId="77777777" w:rsidR="00F62164" w:rsidRDefault="00F62164" w:rsidP="00421CBC">
      <w:pPr>
        <w:rPr>
          <w:rFonts w:ascii="Calibri" w:hAnsi="Calibri"/>
          <w:b/>
        </w:rPr>
      </w:pPr>
    </w:p>
    <w:tbl>
      <w:tblPr>
        <w:tblW w:w="8686" w:type="dxa"/>
        <w:tblLook w:val="04A0" w:firstRow="1" w:lastRow="0" w:firstColumn="1" w:lastColumn="0" w:noHBand="0" w:noVBand="1"/>
      </w:tblPr>
      <w:tblGrid>
        <w:gridCol w:w="3752"/>
        <w:gridCol w:w="717"/>
        <w:gridCol w:w="875"/>
        <w:gridCol w:w="875"/>
        <w:gridCol w:w="717"/>
        <w:gridCol w:w="875"/>
        <w:gridCol w:w="875"/>
      </w:tblGrid>
      <w:tr w:rsidR="006F2A25" w14:paraId="6F39F567" w14:textId="77777777" w:rsidTr="005219BC">
        <w:trPr>
          <w:trHeight w:val="315"/>
        </w:trPr>
        <w:tc>
          <w:tcPr>
            <w:tcW w:w="8686" w:type="dxa"/>
            <w:gridSpan w:val="7"/>
            <w:tcBorders>
              <w:top w:val="single" w:sz="12" w:space="0" w:color="auto"/>
              <w:left w:val="single" w:sz="12" w:space="0" w:color="auto"/>
              <w:bottom w:val="single" w:sz="4" w:space="0" w:color="auto"/>
              <w:right w:val="single" w:sz="12" w:space="0" w:color="000000"/>
            </w:tcBorders>
            <w:shd w:val="clear" w:color="auto" w:fill="auto"/>
            <w:noWrap/>
            <w:vAlign w:val="bottom"/>
            <w:hideMark/>
          </w:tcPr>
          <w:p w14:paraId="5C98DBED" w14:textId="4BD33D3E" w:rsidR="006F2A25" w:rsidRDefault="005219BC" w:rsidP="00DF2E6F">
            <w:pPr>
              <w:rPr>
                <w:rFonts w:ascii="Calibri" w:hAnsi="Calibri"/>
                <w:b/>
                <w:bCs/>
                <w:color w:val="000000"/>
                <w:sz w:val="22"/>
                <w:szCs w:val="22"/>
              </w:rPr>
            </w:pPr>
            <w:r>
              <w:rPr>
                <w:rFonts w:ascii="Calibri" w:hAnsi="Calibri"/>
                <w:b/>
                <w:bCs/>
                <w:color w:val="000000"/>
                <w:sz w:val="22"/>
                <w:szCs w:val="22"/>
              </w:rPr>
              <w:t xml:space="preserve">Table </w:t>
            </w:r>
            <w:r w:rsidR="00DF2E6F">
              <w:rPr>
                <w:rFonts w:ascii="Calibri" w:hAnsi="Calibri"/>
                <w:b/>
                <w:bCs/>
                <w:color w:val="000000"/>
                <w:sz w:val="22"/>
                <w:szCs w:val="22"/>
              </w:rPr>
              <w:t>4</w:t>
            </w:r>
            <w:r w:rsidR="006F2A25">
              <w:rPr>
                <w:rFonts w:ascii="Calibri" w:hAnsi="Calibri"/>
                <w:b/>
                <w:bCs/>
                <w:color w:val="000000"/>
                <w:sz w:val="22"/>
                <w:szCs w:val="22"/>
              </w:rPr>
              <w:t xml:space="preserve">: Screener and Main Completion Rates and </w:t>
            </w:r>
            <w:r>
              <w:rPr>
                <w:rFonts w:ascii="Calibri" w:hAnsi="Calibri"/>
                <w:b/>
                <w:bCs/>
                <w:color w:val="000000"/>
                <w:sz w:val="22"/>
                <w:szCs w:val="22"/>
              </w:rPr>
              <w:t>Combined</w:t>
            </w:r>
            <w:r w:rsidR="006F2A25">
              <w:rPr>
                <w:rFonts w:ascii="Calibri" w:hAnsi="Calibri"/>
                <w:b/>
                <w:bCs/>
                <w:color w:val="000000"/>
                <w:sz w:val="22"/>
                <w:szCs w:val="22"/>
              </w:rPr>
              <w:t xml:space="preserve"> Response Rates</w:t>
            </w:r>
          </w:p>
        </w:tc>
      </w:tr>
      <w:tr w:rsidR="006F2A25" w14:paraId="2E38C939" w14:textId="77777777" w:rsidTr="005219B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1D88563F" w14:textId="77777777" w:rsidR="006F2A25" w:rsidRDefault="006F2A25" w:rsidP="00894D65">
            <w:pPr>
              <w:rPr>
                <w:rFonts w:ascii="Calibri" w:hAnsi="Calibri"/>
                <w:color w:val="000000"/>
                <w:sz w:val="22"/>
                <w:szCs w:val="22"/>
              </w:rPr>
            </w:pPr>
            <w:r>
              <w:rPr>
                <w:rFonts w:ascii="Calibri" w:hAnsi="Calibri"/>
                <w:color w:val="000000"/>
                <w:sz w:val="22"/>
                <w:szCs w:val="22"/>
              </w:rPr>
              <w:t> </w:t>
            </w:r>
          </w:p>
        </w:tc>
        <w:tc>
          <w:tcPr>
            <w:tcW w:w="246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618309" w14:textId="77777777" w:rsidR="006F2A25" w:rsidRDefault="006F2A25" w:rsidP="00894D65">
            <w:pPr>
              <w:jc w:val="center"/>
              <w:rPr>
                <w:rFonts w:ascii="Calibri" w:hAnsi="Calibri"/>
                <w:color w:val="000000"/>
                <w:sz w:val="22"/>
                <w:szCs w:val="22"/>
              </w:rPr>
            </w:pPr>
            <w:r>
              <w:rPr>
                <w:rFonts w:ascii="Calibri" w:hAnsi="Calibri"/>
                <w:color w:val="000000"/>
                <w:sz w:val="22"/>
                <w:szCs w:val="22"/>
              </w:rPr>
              <w:t xml:space="preserve">$40 </w:t>
            </w:r>
          </w:p>
        </w:tc>
        <w:tc>
          <w:tcPr>
            <w:tcW w:w="2467" w:type="dxa"/>
            <w:gridSpan w:val="3"/>
            <w:tcBorders>
              <w:top w:val="single" w:sz="4" w:space="0" w:color="auto"/>
              <w:left w:val="nil"/>
              <w:bottom w:val="single" w:sz="4" w:space="0" w:color="auto"/>
              <w:right w:val="single" w:sz="12" w:space="0" w:color="000000"/>
            </w:tcBorders>
            <w:shd w:val="clear" w:color="auto" w:fill="auto"/>
            <w:noWrap/>
            <w:vAlign w:val="center"/>
            <w:hideMark/>
          </w:tcPr>
          <w:p w14:paraId="41ECA312" w14:textId="77777777" w:rsidR="006F2A25" w:rsidRDefault="006F2A25" w:rsidP="00894D65">
            <w:pPr>
              <w:jc w:val="center"/>
              <w:rPr>
                <w:rFonts w:ascii="Calibri" w:hAnsi="Calibri"/>
                <w:color w:val="000000"/>
                <w:sz w:val="22"/>
                <w:szCs w:val="22"/>
              </w:rPr>
            </w:pPr>
            <w:r>
              <w:rPr>
                <w:rFonts w:ascii="Calibri" w:hAnsi="Calibri"/>
                <w:color w:val="000000"/>
                <w:sz w:val="22"/>
                <w:szCs w:val="22"/>
              </w:rPr>
              <w:t xml:space="preserve">$60 </w:t>
            </w:r>
          </w:p>
        </w:tc>
      </w:tr>
      <w:tr w:rsidR="006F2A25" w14:paraId="7C9E80A8" w14:textId="77777777" w:rsidTr="005219B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538C67D2" w14:textId="77777777" w:rsidR="006F2A25" w:rsidRDefault="006F2A25" w:rsidP="00894D65">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center"/>
            <w:hideMark/>
          </w:tcPr>
          <w:p w14:paraId="4C77D481" w14:textId="77777777" w:rsidR="006F2A25" w:rsidRDefault="006F2A25" w:rsidP="00894D65">
            <w:pPr>
              <w:jc w:val="center"/>
              <w:rPr>
                <w:rFonts w:ascii="Calibri" w:hAnsi="Calibri"/>
                <w:color w:val="000000"/>
                <w:sz w:val="22"/>
                <w:szCs w:val="22"/>
              </w:rPr>
            </w:pPr>
            <w:r>
              <w:rPr>
                <w:rFonts w:ascii="Calibri" w:hAnsi="Calibri"/>
                <w:color w:val="000000"/>
                <w:sz w:val="22"/>
                <w:szCs w:val="22"/>
              </w:rPr>
              <w:t>N</w:t>
            </w:r>
          </w:p>
        </w:tc>
        <w:tc>
          <w:tcPr>
            <w:tcW w:w="875" w:type="dxa"/>
            <w:tcBorders>
              <w:top w:val="nil"/>
              <w:left w:val="nil"/>
              <w:bottom w:val="single" w:sz="4" w:space="0" w:color="auto"/>
              <w:right w:val="single" w:sz="4" w:space="0" w:color="auto"/>
            </w:tcBorders>
            <w:shd w:val="clear" w:color="auto" w:fill="auto"/>
            <w:noWrap/>
            <w:vAlign w:val="center"/>
            <w:hideMark/>
          </w:tcPr>
          <w:p w14:paraId="2C204450" w14:textId="77777777" w:rsidR="006F2A25" w:rsidRDefault="006F2A25" w:rsidP="00894D65">
            <w:pPr>
              <w:jc w:val="center"/>
              <w:rPr>
                <w:rFonts w:ascii="Calibri" w:hAnsi="Calibri"/>
                <w:color w:val="000000"/>
                <w:sz w:val="22"/>
                <w:szCs w:val="22"/>
              </w:rPr>
            </w:pPr>
            <w:r>
              <w:rPr>
                <w:rFonts w:ascii="Calibri" w:hAnsi="Calibri"/>
                <w:color w:val="000000"/>
                <w:sz w:val="22"/>
                <w:szCs w:val="22"/>
              </w:rPr>
              <w:t>%</w:t>
            </w:r>
          </w:p>
        </w:tc>
        <w:tc>
          <w:tcPr>
            <w:tcW w:w="875" w:type="dxa"/>
            <w:tcBorders>
              <w:top w:val="nil"/>
              <w:left w:val="nil"/>
              <w:bottom w:val="single" w:sz="4" w:space="0" w:color="auto"/>
              <w:right w:val="single" w:sz="4" w:space="0" w:color="auto"/>
            </w:tcBorders>
            <w:shd w:val="clear" w:color="auto" w:fill="auto"/>
            <w:noWrap/>
            <w:vAlign w:val="center"/>
            <w:hideMark/>
          </w:tcPr>
          <w:p w14:paraId="6CE976AB" w14:textId="77777777" w:rsidR="006F2A25" w:rsidRDefault="006F2A25" w:rsidP="00894D65">
            <w:pPr>
              <w:jc w:val="center"/>
              <w:rPr>
                <w:rFonts w:ascii="Calibri" w:hAnsi="Calibri"/>
                <w:color w:val="000000"/>
                <w:sz w:val="22"/>
                <w:szCs w:val="22"/>
              </w:rPr>
            </w:pPr>
            <w:r>
              <w:rPr>
                <w:rFonts w:ascii="Calibri" w:hAnsi="Calibri"/>
                <w:color w:val="000000"/>
                <w:sz w:val="22"/>
                <w:szCs w:val="22"/>
              </w:rPr>
              <w:t>SE(%)</w:t>
            </w:r>
          </w:p>
        </w:tc>
        <w:tc>
          <w:tcPr>
            <w:tcW w:w="717" w:type="dxa"/>
            <w:tcBorders>
              <w:top w:val="nil"/>
              <w:left w:val="nil"/>
              <w:bottom w:val="single" w:sz="4" w:space="0" w:color="auto"/>
              <w:right w:val="single" w:sz="4" w:space="0" w:color="auto"/>
            </w:tcBorders>
            <w:shd w:val="clear" w:color="auto" w:fill="auto"/>
            <w:noWrap/>
            <w:vAlign w:val="center"/>
            <w:hideMark/>
          </w:tcPr>
          <w:p w14:paraId="537A7482" w14:textId="77777777" w:rsidR="006F2A25" w:rsidRDefault="006F2A25" w:rsidP="00894D65">
            <w:pPr>
              <w:jc w:val="center"/>
              <w:rPr>
                <w:rFonts w:ascii="Calibri" w:hAnsi="Calibri"/>
                <w:color w:val="000000"/>
                <w:sz w:val="22"/>
                <w:szCs w:val="22"/>
              </w:rPr>
            </w:pPr>
            <w:r>
              <w:rPr>
                <w:rFonts w:ascii="Calibri" w:hAnsi="Calibri"/>
                <w:color w:val="000000"/>
                <w:sz w:val="22"/>
                <w:szCs w:val="22"/>
              </w:rPr>
              <w:t>N</w:t>
            </w:r>
          </w:p>
        </w:tc>
        <w:tc>
          <w:tcPr>
            <w:tcW w:w="875" w:type="dxa"/>
            <w:tcBorders>
              <w:top w:val="nil"/>
              <w:left w:val="nil"/>
              <w:bottom w:val="single" w:sz="4" w:space="0" w:color="auto"/>
              <w:right w:val="single" w:sz="4" w:space="0" w:color="auto"/>
            </w:tcBorders>
            <w:shd w:val="clear" w:color="auto" w:fill="auto"/>
            <w:noWrap/>
            <w:vAlign w:val="center"/>
            <w:hideMark/>
          </w:tcPr>
          <w:p w14:paraId="1BD478C5" w14:textId="77777777" w:rsidR="006F2A25" w:rsidRDefault="006F2A25" w:rsidP="00894D65">
            <w:pPr>
              <w:jc w:val="center"/>
              <w:rPr>
                <w:rFonts w:ascii="Calibri" w:hAnsi="Calibri"/>
                <w:color w:val="000000"/>
                <w:sz w:val="22"/>
                <w:szCs w:val="22"/>
              </w:rPr>
            </w:pPr>
            <w:r>
              <w:rPr>
                <w:rFonts w:ascii="Calibri" w:hAnsi="Calibri"/>
                <w:color w:val="000000"/>
                <w:sz w:val="22"/>
                <w:szCs w:val="22"/>
              </w:rPr>
              <w:t>%</w:t>
            </w:r>
          </w:p>
        </w:tc>
        <w:tc>
          <w:tcPr>
            <w:tcW w:w="875" w:type="dxa"/>
            <w:tcBorders>
              <w:top w:val="nil"/>
              <w:left w:val="nil"/>
              <w:bottom w:val="single" w:sz="4" w:space="0" w:color="auto"/>
              <w:right w:val="single" w:sz="12" w:space="0" w:color="auto"/>
            </w:tcBorders>
            <w:shd w:val="clear" w:color="auto" w:fill="auto"/>
            <w:noWrap/>
            <w:vAlign w:val="center"/>
            <w:hideMark/>
          </w:tcPr>
          <w:p w14:paraId="4129D35D" w14:textId="77777777" w:rsidR="006F2A25" w:rsidRDefault="006F2A25" w:rsidP="00894D65">
            <w:pPr>
              <w:jc w:val="center"/>
              <w:rPr>
                <w:rFonts w:ascii="Calibri" w:hAnsi="Calibri"/>
                <w:color w:val="000000"/>
                <w:sz w:val="22"/>
                <w:szCs w:val="22"/>
              </w:rPr>
            </w:pPr>
            <w:r>
              <w:rPr>
                <w:rFonts w:ascii="Calibri" w:hAnsi="Calibri"/>
                <w:color w:val="000000"/>
                <w:sz w:val="22"/>
                <w:szCs w:val="22"/>
              </w:rPr>
              <w:t>SE(%)</w:t>
            </w:r>
          </w:p>
        </w:tc>
      </w:tr>
      <w:tr w:rsidR="006F2A25" w14:paraId="7D9D9F19" w14:textId="77777777" w:rsidTr="005219BC">
        <w:trPr>
          <w:trHeight w:val="300"/>
        </w:trPr>
        <w:tc>
          <w:tcPr>
            <w:tcW w:w="8686" w:type="dxa"/>
            <w:gridSpan w:val="7"/>
            <w:tcBorders>
              <w:top w:val="single" w:sz="4" w:space="0" w:color="auto"/>
              <w:left w:val="single" w:sz="12" w:space="0" w:color="auto"/>
              <w:bottom w:val="single" w:sz="4" w:space="0" w:color="auto"/>
              <w:right w:val="single" w:sz="12" w:space="0" w:color="000000"/>
            </w:tcBorders>
            <w:shd w:val="clear" w:color="auto" w:fill="auto"/>
            <w:noWrap/>
            <w:vAlign w:val="bottom"/>
            <w:hideMark/>
          </w:tcPr>
          <w:p w14:paraId="67BAA01E" w14:textId="77777777" w:rsidR="006F2A25" w:rsidRDefault="006F2A25" w:rsidP="00894D65">
            <w:pPr>
              <w:rPr>
                <w:rFonts w:ascii="Calibri" w:hAnsi="Calibri"/>
                <w:b/>
                <w:bCs/>
                <w:color w:val="000000"/>
                <w:sz w:val="22"/>
                <w:szCs w:val="22"/>
              </w:rPr>
            </w:pPr>
            <w:r>
              <w:rPr>
                <w:rFonts w:ascii="Calibri" w:hAnsi="Calibri"/>
                <w:b/>
                <w:bCs/>
                <w:color w:val="000000"/>
                <w:sz w:val="22"/>
                <w:szCs w:val="22"/>
              </w:rPr>
              <w:t>Screener Completion Rates</w:t>
            </w:r>
          </w:p>
        </w:tc>
      </w:tr>
      <w:tr w:rsidR="001A3F5D" w14:paraId="260A6B21" w14:textId="77777777" w:rsidTr="005219B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tcPr>
          <w:p w14:paraId="42265011" w14:textId="29C5AC9A" w:rsidR="001A3F5D" w:rsidRDefault="001A3F5D" w:rsidP="00894D65">
            <w:pPr>
              <w:ind w:firstLineChars="200" w:firstLine="440"/>
              <w:rPr>
                <w:rFonts w:ascii="Calibri" w:hAnsi="Calibri"/>
                <w:color w:val="000000"/>
                <w:sz w:val="22"/>
                <w:szCs w:val="22"/>
              </w:rPr>
            </w:pPr>
            <w:r>
              <w:rPr>
                <w:rFonts w:ascii="Calibri" w:hAnsi="Calibri"/>
                <w:color w:val="000000"/>
                <w:sz w:val="22"/>
                <w:szCs w:val="22"/>
              </w:rPr>
              <w:t>Weighted Phase 2 Rate</w:t>
            </w:r>
          </w:p>
        </w:tc>
        <w:tc>
          <w:tcPr>
            <w:tcW w:w="717" w:type="dxa"/>
            <w:tcBorders>
              <w:top w:val="nil"/>
              <w:left w:val="nil"/>
              <w:bottom w:val="single" w:sz="4" w:space="0" w:color="auto"/>
              <w:right w:val="single" w:sz="4" w:space="0" w:color="auto"/>
            </w:tcBorders>
            <w:shd w:val="clear" w:color="auto" w:fill="auto"/>
            <w:noWrap/>
            <w:vAlign w:val="center"/>
          </w:tcPr>
          <w:p w14:paraId="52DA7E42" w14:textId="2BDF7D12" w:rsidR="001A3F5D" w:rsidRDefault="001A3F5D" w:rsidP="00894D65">
            <w:pPr>
              <w:jc w:val="center"/>
              <w:rPr>
                <w:rFonts w:ascii="Calibri" w:hAnsi="Calibri"/>
                <w:color w:val="000000"/>
                <w:sz w:val="22"/>
                <w:szCs w:val="22"/>
              </w:rPr>
            </w:pPr>
            <w:r>
              <w:rPr>
                <w:rFonts w:ascii="Calibri" w:hAnsi="Calibri"/>
                <w:color w:val="000000"/>
                <w:sz w:val="22"/>
                <w:szCs w:val="22"/>
              </w:rPr>
              <w:t>344</w:t>
            </w:r>
          </w:p>
        </w:tc>
        <w:tc>
          <w:tcPr>
            <w:tcW w:w="875" w:type="dxa"/>
            <w:tcBorders>
              <w:top w:val="nil"/>
              <w:left w:val="nil"/>
              <w:bottom w:val="single" w:sz="4" w:space="0" w:color="auto"/>
              <w:right w:val="single" w:sz="4" w:space="0" w:color="auto"/>
            </w:tcBorders>
            <w:shd w:val="clear" w:color="auto" w:fill="auto"/>
            <w:noWrap/>
            <w:vAlign w:val="center"/>
          </w:tcPr>
          <w:p w14:paraId="232A7AE7" w14:textId="778B08DA" w:rsidR="001A3F5D" w:rsidRDefault="001A3F5D" w:rsidP="005219BC">
            <w:pPr>
              <w:jc w:val="center"/>
              <w:rPr>
                <w:rFonts w:ascii="Calibri" w:hAnsi="Calibri"/>
                <w:color w:val="000000"/>
                <w:sz w:val="22"/>
                <w:szCs w:val="22"/>
              </w:rPr>
            </w:pPr>
            <w:r>
              <w:rPr>
                <w:rFonts w:ascii="Calibri" w:hAnsi="Calibri"/>
                <w:color w:val="000000"/>
                <w:sz w:val="22"/>
                <w:szCs w:val="22"/>
              </w:rPr>
              <w:t>57.1%</w:t>
            </w:r>
          </w:p>
        </w:tc>
        <w:tc>
          <w:tcPr>
            <w:tcW w:w="875" w:type="dxa"/>
            <w:tcBorders>
              <w:top w:val="nil"/>
              <w:left w:val="nil"/>
              <w:bottom w:val="single" w:sz="4" w:space="0" w:color="auto"/>
              <w:right w:val="single" w:sz="4" w:space="0" w:color="auto"/>
            </w:tcBorders>
            <w:shd w:val="clear" w:color="auto" w:fill="auto"/>
            <w:noWrap/>
            <w:vAlign w:val="center"/>
          </w:tcPr>
          <w:p w14:paraId="2FB9A9FD" w14:textId="37CDE857" w:rsidR="001A3F5D" w:rsidRDefault="001A3F5D" w:rsidP="005219BC">
            <w:pPr>
              <w:jc w:val="center"/>
              <w:rPr>
                <w:rFonts w:ascii="Calibri" w:hAnsi="Calibri"/>
                <w:color w:val="000000"/>
                <w:sz w:val="22"/>
                <w:szCs w:val="22"/>
              </w:rPr>
            </w:pPr>
            <w:r>
              <w:rPr>
                <w:rFonts w:ascii="Calibri" w:hAnsi="Calibri"/>
                <w:color w:val="000000"/>
                <w:sz w:val="22"/>
                <w:szCs w:val="22"/>
              </w:rPr>
              <w:t>2.7%</w:t>
            </w:r>
          </w:p>
        </w:tc>
        <w:tc>
          <w:tcPr>
            <w:tcW w:w="717" w:type="dxa"/>
            <w:tcBorders>
              <w:top w:val="nil"/>
              <w:left w:val="nil"/>
              <w:bottom w:val="single" w:sz="4" w:space="0" w:color="auto"/>
              <w:right w:val="single" w:sz="4" w:space="0" w:color="auto"/>
            </w:tcBorders>
            <w:shd w:val="clear" w:color="auto" w:fill="auto"/>
            <w:noWrap/>
            <w:vAlign w:val="center"/>
          </w:tcPr>
          <w:p w14:paraId="00BB1FFD" w14:textId="71573269" w:rsidR="001A3F5D" w:rsidRDefault="001A3F5D" w:rsidP="00894D65">
            <w:pPr>
              <w:jc w:val="center"/>
              <w:rPr>
                <w:rFonts w:ascii="Calibri" w:hAnsi="Calibri"/>
                <w:color w:val="000000"/>
                <w:sz w:val="22"/>
                <w:szCs w:val="22"/>
              </w:rPr>
            </w:pPr>
            <w:r>
              <w:rPr>
                <w:rFonts w:ascii="Calibri" w:hAnsi="Calibri"/>
                <w:color w:val="000000"/>
                <w:sz w:val="22"/>
                <w:szCs w:val="22"/>
              </w:rPr>
              <w:t>369</w:t>
            </w:r>
          </w:p>
        </w:tc>
        <w:tc>
          <w:tcPr>
            <w:tcW w:w="875" w:type="dxa"/>
            <w:tcBorders>
              <w:top w:val="nil"/>
              <w:left w:val="nil"/>
              <w:bottom w:val="single" w:sz="4" w:space="0" w:color="auto"/>
              <w:right w:val="single" w:sz="4" w:space="0" w:color="auto"/>
            </w:tcBorders>
            <w:shd w:val="clear" w:color="auto" w:fill="auto"/>
            <w:noWrap/>
            <w:vAlign w:val="center"/>
          </w:tcPr>
          <w:p w14:paraId="25C6CE8E" w14:textId="3935DA0F" w:rsidR="001A3F5D" w:rsidRDefault="001A3F5D" w:rsidP="005219BC">
            <w:pPr>
              <w:jc w:val="center"/>
              <w:rPr>
                <w:rFonts w:ascii="Calibri" w:hAnsi="Calibri"/>
                <w:color w:val="000000"/>
                <w:sz w:val="22"/>
                <w:szCs w:val="22"/>
              </w:rPr>
            </w:pPr>
            <w:r>
              <w:rPr>
                <w:rFonts w:ascii="Calibri" w:hAnsi="Calibri"/>
                <w:color w:val="000000"/>
                <w:sz w:val="22"/>
                <w:szCs w:val="22"/>
              </w:rPr>
              <w:t>56.0%</w:t>
            </w:r>
          </w:p>
        </w:tc>
        <w:tc>
          <w:tcPr>
            <w:tcW w:w="875" w:type="dxa"/>
            <w:tcBorders>
              <w:top w:val="nil"/>
              <w:left w:val="nil"/>
              <w:bottom w:val="single" w:sz="4" w:space="0" w:color="auto"/>
              <w:right w:val="single" w:sz="12" w:space="0" w:color="auto"/>
            </w:tcBorders>
            <w:shd w:val="clear" w:color="auto" w:fill="auto"/>
            <w:noWrap/>
            <w:vAlign w:val="center"/>
          </w:tcPr>
          <w:p w14:paraId="56EEE66B" w14:textId="61FB4B49" w:rsidR="001A3F5D" w:rsidRDefault="001A3F5D" w:rsidP="005219BC">
            <w:pPr>
              <w:jc w:val="center"/>
              <w:rPr>
                <w:rFonts w:ascii="Calibri" w:hAnsi="Calibri"/>
                <w:color w:val="000000"/>
                <w:sz w:val="22"/>
                <w:szCs w:val="22"/>
              </w:rPr>
            </w:pPr>
            <w:r>
              <w:rPr>
                <w:rFonts w:ascii="Calibri" w:hAnsi="Calibri"/>
                <w:color w:val="000000"/>
                <w:sz w:val="22"/>
                <w:szCs w:val="22"/>
              </w:rPr>
              <w:t>2.6%</w:t>
            </w:r>
          </w:p>
        </w:tc>
      </w:tr>
      <w:tr w:rsidR="006F2A25" w14:paraId="7BB6CAC2" w14:textId="77777777" w:rsidTr="005219B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0E2A7460" w14:textId="77777777" w:rsidR="006F2A25" w:rsidRDefault="006F2A25" w:rsidP="00894D65">
            <w:pPr>
              <w:ind w:firstLineChars="200" w:firstLine="440"/>
              <w:rPr>
                <w:rFonts w:ascii="Calibri" w:hAnsi="Calibri"/>
                <w:color w:val="000000"/>
                <w:sz w:val="22"/>
                <w:szCs w:val="22"/>
              </w:rPr>
            </w:pPr>
            <w:r>
              <w:rPr>
                <w:rFonts w:ascii="Calibri" w:hAnsi="Calibri"/>
                <w:color w:val="000000"/>
                <w:sz w:val="22"/>
                <w:szCs w:val="22"/>
              </w:rPr>
              <w:t>Unweighted Final Rate</w:t>
            </w:r>
          </w:p>
        </w:tc>
        <w:tc>
          <w:tcPr>
            <w:tcW w:w="717" w:type="dxa"/>
            <w:tcBorders>
              <w:top w:val="nil"/>
              <w:left w:val="nil"/>
              <w:bottom w:val="single" w:sz="4" w:space="0" w:color="auto"/>
              <w:right w:val="single" w:sz="4" w:space="0" w:color="auto"/>
            </w:tcBorders>
            <w:shd w:val="clear" w:color="auto" w:fill="auto"/>
            <w:noWrap/>
            <w:vAlign w:val="center"/>
            <w:hideMark/>
          </w:tcPr>
          <w:p w14:paraId="0DBF5182" w14:textId="77777777" w:rsidR="006F2A25" w:rsidRDefault="006F2A25" w:rsidP="00894D65">
            <w:pPr>
              <w:jc w:val="center"/>
              <w:rPr>
                <w:rFonts w:ascii="Calibri" w:hAnsi="Calibri"/>
                <w:color w:val="000000"/>
                <w:sz w:val="22"/>
                <w:szCs w:val="22"/>
              </w:rPr>
            </w:pPr>
            <w:r>
              <w:rPr>
                <w:rFonts w:ascii="Calibri" w:hAnsi="Calibri"/>
                <w:color w:val="000000"/>
                <w:sz w:val="22"/>
                <w:szCs w:val="22"/>
              </w:rPr>
              <w:t>7,010</w:t>
            </w:r>
          </w:p>
        </w:tc>
        <w:tc>
          <w:tcPr>
            <w:tcW w:w="875" w:type="dxa"/>
            <w:tcBorders>
              <w:top w:val="nil"/>
              <w:left w:val="nil"/>
              <w:bottom w:val="single" w:sz="4" w:space="0" w:color="auto"/>
              <w:right w:val="single" w:sz="4" w:space="0" w:color="auto"/>
            </w:tcBorders>
            <w:shd w:val="clear" w:color="auto" w:fill="auto"/>
            <w:noWrap/>
            <w:vAlign w:val="center"/>
            <w:hideMark/>
          </w:tcPr>
          <w:p w14:paraId="7FA69867" w14:textId="2662D98E" w:rsidR="006F2A25" w:rsidRDefault="006F2A25" w:rsidP="005219BC">
            <w:pPr>
              <w:jc w:val="center"/>
              <w:rPr>
                <w:rFonts w:ascii="Calibri" w:hAnsi="Calibri"/>
                <w:color w:val="000000"/>
                <w:sz w:val="22"/>
                <w:szCs w:val="22"/>
              </w:rPr>
            </w:pPr>
            <w:r>
              <w:rPr>
                <w:rFonts w:ascii="Calibri" w:hAnsi="Calibri"/>
                <w:color w:val="000000"/>
                <w:sz w:val="22"/>
                <w:szCs w:val="22"/>
              </w:rPr>
              <w:t>96.2%</w:t>
            </w:r>
          </w:p>
        </w:tc>
        <w:tc>
          <w:tcPr>
            <w:tcW w:w="875" w:type="dxa"/>
            <w:tcBorders>
              <w:top w:val="nil"/>
              <w:left w:val="nil"/>
              <w:bottom w:val="single" w:sz="4" w:space="0" w:color="auto"/>
              <w:right w:val="single" w:sz="4" w:space="0" w:color="auto"/>
            </w:tcBorders>
            <w:shd w:val="clear" w:color="auto" w:fill="auto"/>
            <w:noWrap/>
            <w:vAlign w:val="center"/>
            <w:hideMark/>
          </w:tcPr>
          <w:p w14:paraId="35319FC1" w14:textId="5E9C1F1F" w:rsidR="006F2A25" w:rsidRDefault="006F2A25" w:rsidP="005219BC">
            <w:pPr>
              <w:jc w:val="center"/>
              <w:rPr>
                <w:rFonts w:ascii="Calibri" w:hAnsi="Calibri"/>
                <w:color w:val="000000"/>
                <w:sz w:val="22"/>
                <w:szCs w:val="22"/>
              </w:rPr>
            </w:pPr>
            <w:r>
              <w:rPr>
                <w:rFonts w:ascii="Calibri" w:hAnsi="Calibri"/>
                <w:color w:val="000000"/>
                <w:sz w:val="22"/>
                <w:szCs w:val="22"/>
              </w:rPr>
              <w:t>0.2%</w:t>
            </w:r>
          </w:p>
        </w:tc>
        <w:tc>
          <w:tcPr>
            <w:tcW w:w="717" w:type="dxa"/>
            <w:tcBorders>
              <w:top w:val="nil"/>
              <w:left w:val="nil"/>
              <w:bottom w:val="single" w:sz="4" w:space="0" w:color="auto"/>
              <w:right w:val="single" w:sz="4" w:space="0" w:color="auto"/>
            </w:tcBorders>
            <w:shd w:val="clear" w:color="auto" w:fill="auto"/>
            <w:noWrap/>
            <w:vAlign w:val="center"/>
            <w:hideMark/>
          </w:tcPr>
          <w:p w14:paraId="4BCA7E03" w14:textId="77777777" w:rsidR="006F2A25" w:rsidRDefault="006F2A25" w:rsidP="00894D65">
            <w:pPr>
              <w:jc w:val="center"/>
              <w:rPr>
                <w:rFonts w:ascii="Calibri" w:hAnsi="Calibri"/>
                <w:color w:val="000000"/>
                <w:sz w:val="22"/>
                <w:szCs w:val="22"/>
              </w:rPr>
            </w:pPr>
            <w:r>
              <w:rPr>
                <w:rFonts w:ascii="Calibri" w:hAnsi="Calibri"/>
                <w:color w:val="000000"/>
                <w:sz w:val="22"/>
                <w:szCs w:val="22"/>
              </w:rPr>
              <w:t>7,148</w:t>
            </w:r>
          </w:p>
        </w:tc>
        <w:tc>
          <w:tcPr>
            <w:tcW w:w="875" w:type="dxa"/>
            <w:tcBorders>
              <w:top w:val="nil"/>
              <w:left w:val="nil"/>
              <w:bottom w:val="single" w:sz="4" w:space="0" w:color="auto"/>
              <w:right w:val="single" w:sz="4" w:space="0" w:color="auto"/>
            </w:tcBorders>
            <w:shd w:val="clear" w:color="auto" w:fill="auto"/>
            <w:noWrap/>
            <w:vAlign w:val="center"/>
            <w:hideMark/>
          </w:tcPr>
          <w:p w14:paraId="32511D32" w14:textId="0A299D12" w:rsidR="006F2A25" w:rsidRDefault="006F2A25" w:rsidP="005219BC">
            <w:pPr>
              <w:jc w:val="center"/>
              <w:rPr>
                <w:rFonts w:ascii="Calibri" w:hAnsi="Calibri"/>
                <w:color w:val="000000"/>
                <w:sz w:val="22"/>
                <w:szCs w:val="22"/>
              </w:rPr>
            </w:pPr>
            <w:r>
              <w:rPr>
                <w:rFonts w:ascii="Calibri" w:hAnsi="Calibri"/>
                <w:color w:val="000000"/>
                <w:sz w:val="22"/>
                <w:szCs w:val="22"/>
              </w:rPr>
              <w:t>95.9%</w:t>
            </w:r>
          </w:p>
        </w:tc>
        <w:tc>
          <w:tcPr>
            <w:tcW w:w="875" w:type="dxa"/>
            <w:tcBorders>
              <w:top w:val="nil"/>
              <w:left w:val="nil"/>
              <w:bottom w:val="single" w:sz="4" w:space="0" w:color="auto"/>
              <w:right w:val="single" w:sz="12" w:space="0" w:color="auto"/>
            </w:tcBorders>
            <w:shd w:val="clear" w:color="auto" w:fill="auto"/>
            <w:noWrap/>
            <w:vAlign w:val="center"/>
            <w:hideMark/>
          </w:tcPr>
          <w:p w14:paraId="6CD9D46A" w14:textId="0DF48E6C" w:rsidR="006F2A25" w:rsidRDefault="006F2A25" w:rsidP="005219BC">
            <w:pPr>
              <w:jc w:val="center"/>
              <w:rPr>
                <w:rFonts w:ascii="Calibri" w:hAnsi="Calibri"/>
                <w:color w:val="000000"/>
                <w:sz w:val="22"/>
                <w:szCs w:val="22"/>
              </w:rPr>
            </w:pPr>
            <w:r>
              <w:rPr>
                <w:rFonts w:ascii="Calibri" w:hAnsi="Calibri"/>
                <w:color w:val="000000"/>
                <w:sz w:val="22"/>
                <w:szCs w:val="22"/>
              </w:rPr>
              <w:t>0.2%</w:t>
            </w:r>
          </w:p>
        </w:tc>
      </w:tr>
      <w:tr w:rsidR="006F2A25" w14:paraId="49BB5A73" w14:textId="77777777" w:rsidTr="005219B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2E8D7607" w14:textId="77777777" w:rsidR="006F2A25" w:rsidRDefault="006F2A25" w:rsidP="00894D65">
            <w:pPr>
              <w:ind w:firstLineChars="200" w:firstLine="440"/>
              <w:rPr>
                <w:rFonts w:ascii="Calibri" w:hAnsi="Calibri"/>
                <w:color w:val="000000"/>
                <w:sz w:val="22"/>
                <w:szCs w:val="22"/>
              </w:rPr>
            </w:pPr>
            <w:r>
              <w:rPr>
                <w:rFonts w:ascii="Calibri" w:hAnsi="Calibri"/>
                <w:color w:val="000000"/>
                <w:sz w:val="22"/>
                <w:szCs w:val="22"/>
              </w:rPr>
              <w:t>Weighted Final Rate</w:t>
            </w:r>
          </w:p>
        </w:tc>
        <w:tc>
          <w:tcPr>
            <w:tcW w:w="717" w:type="dxa"/>
            <w:tcBorders>
              <w:top w:val="nil"/>
              <w:left w:val="nil"/>
              <w:bottom w:val="single" w:sz="4" w:space="0" w:color="auto"/>
              <w:right w:val="single" w:sz="4" w:space="0" w:color="auto"/>
            </w:tcBorders>
            <w:shd w:val="clear" w:color="auto" w:fill="auto"/>
            <w:noWrap/>
            <w:vAlign w:val="center"/>
            <w:hideMark/>
          </w:tcPr>
          <w:p w14:paraId="03F5C6A2" w14:textId="77777777" w:rsidR="006F2A25" w:rsidRDefault="006F2A25" w:rsidP="00894D65">
            <w:pPr>
              <w:jc w:val="center"/>
              <w:rPr>
                <w:rFonts w:ascii="Calibri" w:hAnsi="Calibri"/>
                <w:color w:val="000000"/>
                <w:sz w:val="22"/>
                <w:szCs w:val="22"/>
              </w:rPr>
            </w:pPr>
            <w:r>
              <w:rPr>
                <w:rFonts w:ascii="Calibri" w:hAnsi="Calibri"/>
                <w:color w:val="000000"/>
                <w:sz w:val="22"/>
                <w:szCs w:val="22"/>
              </w:rPr>
              <w:t>7,010</w:t>
            </w:r>
          </w:p>
        </w:tc>
        <w:tc>
          <w:tcPr>
            <w:tcW w:w="875" w:type="dxa"/>
            <w:tcBorders>
              <w:top w:val="nil"/>
              <w:left w:val="nil"/>
              <w:bottom w:val="single" w:sz="4" w:space="0" w:color="auto"/>
              <w:right w:val="single" w:sz="4" w:space="0" w:color="auto"/>
            </w:tcBorders>
            <w:shd w:val="clear" w:color="auto" w:fill="auto"/>
            <w:noWrap/>
            <w:vAlign w:val="center"/>
            <w:hideMark/>
          </w:tcPr>
          <w:p w14:paraId="06D1F166" w14:textId="3940E8A4" w:rsidR="006F2A25" w:rsidRDefault="006F2A25" w:rsidP="005219BC">
            <w:pPr>
              <w:jc w:val="center"/>
              <w:rPr>
                <w:rFonts w:ascii="Calibri" w:hAnsi="Calibri"/>
                <w:color w:val="000000"/>
                <w:sz w:val="22"/>
                <w:szCs w:val="22"/>
              </w:rPr>
            </w:pPr>
            <w:r>
              <w:rPr>
                <w:rFonts w:ascii="Calibri" w:hAnsi="Calibri"/>
                <w:color w:val="000000"/>
                <w:sz w:val="22"/>
                <w:szCs w:val="22"/>
              </w:rPr>
              <w:t>92.8%</w:t>
            </w:r>
          </w:p>
        </w:tc>
        <w:tc>
          <w:tcPr>
            <w:tcW w:w="875" w:type="dxa"/>
            <w:tcBorders>
              <w:top w:val="nil"/>
              <w:left w:val="nil"/>
              <w:bottom w:val="single" w:sz="4" w:space="0" w:color="auto"/>
              <w:right w:val="single" w:sz="4" w:space="0" w:color="auto"/>
            </w:tcBorders>
            <w:shd w:val="clear" w:color="auto" w:fill="auto"/>
            <w:noWrap/>
            <w:vAlign w:val="center"/>
            <w:hideMark/>
          </w:tcPr>
          <w:p w14:paraId="3F26808A" w14:textId="0A579FDA" w:rsidR="006F2A25" w:rsidRDefault="006F2A25" w:rsidP="005219BC">
            <w:pPr>
              <w:jc w:val="center"/>
              <w:rPr>
                <w:rFonts w:ascii="Calibri" w:hAnsi="Calibri"/>
                <w:color w:val="000000"/>
                <w:sz w:val="22"/>
                <w:szCs w:val="22"/>
              </w:rPr>
            </w:pPr>
            <w:r>
              <w:rPr>
                <w:rFonts w:ascii="Calibri" w:hAnsi="Calibri"/>
                <w:color w:val="000000"/>
                <w:sz w:val="22"/>
                <w:szCs w:val="22"/>
              </w:rPr>
              <w:t>0.</w:t>
            </w:r>
            <w:r w:rsidR="005219BC">
              <w:rPr>
                <w:rFonts w:ascii="Calibri" w:hAnsi="Calibri"/>
                <w:color w:val="000000"/>
                <w:sz w:val="22"/>
                <w:szCs w:val="22"/>
              </w:rPr>
              <w:t>3</w:t>
            </w:r>
            <w:r>
              <w:rPr>
                <w:rFonts w:ascii="Calibri" w:hAnsi="Calibri"/>
                <w:color w:val="000000"/>
                <w:sz w:val="22"/>
                <w:szCs w:val="22"/>
              </w:rPr>
              <w:t>%</w:t>
            </w:r>
          </w:p>
        </w:tc>
        <w:tc>
          <w:tcPr>
            <w:tcW w:w="717" w:type="dxa"/>
            <w:tcBorders>
              <w:top w:val="nil"/>
              <w:left w:val="nil"/>
              <w:bottom w:val="single" w:sz="4" w:space="0" w:color="auto"/>
              <w:right w:val="single" w:sz="4" w:space="0" w:color="auto"/>
            </w:tcBorders>
            <w:shd w:val="clear" w:color="auto" w:fill="auto"/>
            <w:noWrap/>
            <w:vAlign w:val="center"/>
            <w:hideMark/>
          </w:tcPr>
          <w:p w14:paraId="431E0799" w14:textId="77777777" w:rsidR="006F2A25" w:rsidRDefault="006F2A25" w:rsidP="00894D65">
            <w:pPr>
              <w:jc w:val="center"/>
              <w:rPr>
                <w:rFonts w:ascii="Calibri" w:hAnsi="Calibri"/>
                <w:color w:val="000000"/>
                <w:sz w:val="22"/>
                <w:szCs w:val="22"/>
              </w:rPr>
            </w:pPr>
            <w:r>
              <w:rPr>
                <w:rFonts w:ascii="Calibri" w:hAnsi="Calibri"/>
                <w:color w:val="000000"/>
                <w:sz w:val="22"/>
                <w:szCs w:val="22"/>
              </w:rPr>
              <w:t>7,148</w:t>
            </w:r>
          </w:p>
        </w:tc>
        <w:tc>
          <w:tcPr>
            <w:tcW w:w="875" w:type="dxa"/>
            <w:tcBorders>
              <w:top w:val="nil"/>
              <w:left w:val="nil"/>
              <w:bottom w:val="single" w:sz="4" w:space="0" w:color="auto"/>
              <w:right w:val="single" w:sz="4" w:space="0" w:color="auto"/>
            </w:tcBorders>
            <w:shd w:val="clear" w:color="auto" w:fill="auto"/>
            <w:noWrap/>
            <w:vAlign w:val="center"/>
            <w:hideMark/>
          </w:tcPr>
          <w:p w14:paraId="72164DC6" w14:textId="797B6592" w:rsidR="006F2A25" w:rsidRDefault="006F2A25" w:rsidP="005219BC">
            <w:pPr>
              <w:jc w:val="center"/>
              <w:rPr>
                <w:rFonts w:ascii="Calibri" w:hAnsi="Calibri"/>
                <w:color w:val="000000"/>
                <w:sz w:val="22"/>
                <w:szCs w:val="22"/>
              </w:rPr>
            </w:pPr>
            <w:r>
              <w:rPr>
                <w:rFonts w:ascii="Calibri" w:hAnsi="Calibri"/>
                <w:color w:val="000000"/>
                <w:sz w:val="22"/>
                <w:szCs w:val="22"/>
              </w:rPr>
              <w:t>92.3%</w:t>
            </w:r>
          </w:p>
        </w:tc>
        <w:tc>
          <w:tcPr>
            <w:tcW w:w="875" w:type="dxa"/>
            <w:tcBorders>
              <w:top w:val="nil"/>
              <w:left w:val="nil"/>
              <w:bottom w:val="single" w:sz="4" w:space="0" w:color="auto"/>
              <w:right w:val="single" w:sz="12" w:space="0" w:color="auto"/>
            </w:tcBorders>
            <w:shd w:val="clear" w:color="auto" w:fill="auto"/>
            <w:noWrap/>
            <w:vAlign w:val="center"/>
            <w:hideMark/>
          </w:tcPr>
          <w:p w14:paraId="5CB292EC" w14:textId="7A088CCA" w:rsidR="006F2A25" w:rsidRDefault="006F2A25" w:rsidP="005219BC">
            <w:pPr>
              <w:jc w:val="center"/>
              <w:rPr>
                <w:rFonts w:ascii="Calibri" w:hAnsi="Calibri"/>
                <w:color w:val="000000"/>
                <w:sz w:val="22"/>
                <w:szCs w:val="22"/>
              </w:rPr>
            </w:pPr>
            <w:r>
              <w:rPr>
                <w:rFonts w:ascii="Calibri" w:hAnsi="Calibri"/>
                <w:color w:val="000000"/>
                <w:sz w:val="22"/>
                <w:szCs w:val="22"/>
              </w:rPr>
              <w:t>30.0%</w:t>
            </w:r>
          </w:p>
        </w:tc>
      </w:tr>
      <w:tr w:rsidR="006F2A25" w14:paraId="4842E3FE" w14:textId="77777777" w:rsidTr="005219BC">
        <w:trPr>
          <w:trHeight w:val="300"/>
        </w:trPr>
        <w:tc>
          <w:tcPr>
            <w:tcW w:w="8686" w:type="dxa"/>
            <w:gridSpan w:val="7"/>
            <w:tcBorders>
              <w:top w:val="single" w:sz="4" w:space="0" w:color="auto"/>
              <w:left w:val="single" w:sz="12" w:space="0" w:color="auto"/>
              <w:bottom w:val="single" w:sz="4" w:space="0" w:color="auto"/>
              <w:right w:val="single" w:sz="12" w:space="0" w:color="000000"/>
            </w:tcBorders>
            <w:shd w:val="clear" w:color="auto" w:fill="auto"/>
            <w:noWrap/>
            <w:vAlign w:val="bottom"/>
            <w:hideMark/>
          </w:tcPr>
          <w:p w14:paraId="3389CB24" w14:textId="77777777" w:rsidR="006F2A25" w:rsidRDefault="006F2A25" w:rsidP="00894D65">
            <w:pPr>
              <w:rPr>
                <w:rFonts w:ascii="Calibri" w:hAnsi="Calibri"/>
                <w:b/>
                <w:bCs/>
                <w:color w:val="000000"/>
                <w:sz w:val="22"/>
                <w:szCs w:val="22"/>
              </w:rPr>
            </w:pPr>
            <w:r>
              <w:rPr>
                <w:rFonts w:ascii="Calibri" w:hAnsi="Calibri"/>
                <w:b/>
                <w:bCs/>
                <w:color w:val="000000"/>
                <w:sz w:val="22"/>
                <w:szCs w:val="22"/>
              </w:rPr>
              <w:t>Main Completion Rates</w:t>
            </w:r>
          </w:p>
        </w:tc>
      </w:tr>
      <w:tr w:rsidR="001A3F5D" w14:paraId="068DD79F" w14:textId="77777777" w:rsidTr="005219B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tcPr>
          <w:p w14:paraId="2D76456C" w14:textId="3C9955B9" w:rsidR="001A3F5D" w:rsidRDefault="001A3F5D" w:rsidP="00894D65">
            <w:pPr>
              <w:ind w:firstLineChars="200" w:firstLine="440"/>
              <w:rPr>
                <w:rFonts w:ascii="Calibri" w:hAnsi="Calibri"/>
                <w:color w:val="000000"/>
                <w:sz w:val="22"/>
                <w:szCs w:val="22"/>
              </w:rPr>
            </w:pPr>
            <w:r>
              <w:rPr>
                <w:rFonts w:ascii="Calibri" w:hAnsi="Calibri"/>
                <w:color w:val="000000"/>
                <w:sz w:val="22"/>
                <w:szCs w:val="22"/>
              </w:rPr>
              <w:t>Weighted Phase 2 Rate</w:t>
            </w:r>
          </w:p>
        </w:tc>
        <w:tc>
          <w:tcPr>
            <w:tcW w:w="717" w:type="dxa"/>
            <w:tcBorders>
              <w:top w:val="nil"/>
              <w:left w:val="nil"/>
              <w:bottom w:val="single" w:sz="4" w:space="0" w:color="auto"/>
              <w:right w:val="single" w:sz="4" w:space="0" w:color="auto"/>
            </w:tcBorders>
            <w:shd w:val="clear" w:color="auto" w:fill="auto"/>
            <w:noWrap/>
            <w:vAlign w:val="center"/>
          </w:tcPr>
          <w:p w14:paraId="2D52047F" w14:textId="617A7C23" w:rsidR="001A3F5D" w:rsidRDefault="001A3F5D" w:rsidP="00894D65">
            <w:pPr>
              <w:jc w:val="center"/>
              <w:rPr>
                <w:rFonts w:ascii="Calibri" w:hAnsi="Calibri"/>
                <w:color w:val="000000"/>
                <w:sz w:val="22"/>
                <w:szCs w:val="22"/>
              </w:rPr>
            </w:pPr>
            <w:r>
              <w:rPr>
                <w:rFonts w:ascii="Calibri" w:hAnsi="Calibri"/>
                <w:color w:val="000000"/>
                <w:sz w:val="22"/>
                <w:szCs w:val="22"/>
              </w:rPr>
              <w:t>457</w:t>
            </w:r>
          </w:p>
        </w:tc>
        <w:tc>
          <w:tcPr>
            <w:tcW w:w="875" w:type="dxa"/>
            <w:tcBorders>
              <w:top w:val="nil"/>
              <w:left w:val="nil"/>
              <w:bottom w:val="single" w:sz="4" w:space="0" w:color="auto"/>
              <w:right w:val="single" w:sz="4" w:space="0" w:color="auto"/>
            </w:tcBorders>
            <w:shd w:val="clear" w:color="auto" w:fill="auto"/>
            <w:noWrap/>
            <w:vAlign w:val="center"/>
          </w:tcPr>
          <w:p w14:paraId="3E8341D2" w14:textId="32F93411" w:rsidR="001A3F5D" w:rsidRDefault="001A3F5D" w:rsidP="005219BC">
            <w:pPr>
              <w:jc w:val="center"/>
              <w:rPr>
                <w:rFonts w:ascii="Calibri" w:hAnsi="Calibri"/>
                <w:color w:val="000000"/>
                <w:sz w:val="22"/>
                <w:szCs w:val="22"/>
              </w:rPr>
            </w:pPr>
            <w:r>
              <w:rPr>
                <w:rFonts w:ascii="Calibri" w:hAnsi="Calibri"/>
                <w:color w:val="000000"/>
                <w:sz w:val="22"/>
                <w:szCs w:val="22"/>
              </w:rPr>
              <w:t>54.8%</w:t>
            </w:r>
          </w:p>
        </w:tc>
        <w:tc>
          <w:tcPr>
            <w:tcW w:w="875" w:type="dxa"/>
            <w:tcBorders>
              <w:top w:val="nil"/>
              <w:left w:val="nil"/>
              <w:bottom w:val="single" w:sz="4" w:space="0" w:color="auto"/>
              <w:right w:val="single" w:sz="4" w:space="0" w:color="auto"/>
            </w:tcBorders>
            <w:shd w:val="clear" w:color="auto" w:fill="auto"/>
            <w:noWrap/>
            <w:vAlign w:val="center"/>
          </w:tcPr>
          <w:p w14:paraId="4C80EC48" w14:textId="1D4F327D" w:rsidR="001A3F5D" w:rsidRDefault="001A3F5D" w:rsidP="005219BC">
            <w:pPr>
              <w:jc w:val="center"/>
              <w:rPr>
                <w:rFonts w:ascii="Calibri" w:hAnsi="Calibri"/>
                <w:color w:val="000000"/>
                <w:sz w:val="22"/>
                <w:szCs w:val="22"/>
              </w:rPr>
            </w:pPr>
            <w:r>
              <w:rPr>
                <w:rFonts w:ascii="Calibri" w:hAnsi="Calibri"/>
                <w:color w:val="000000"/>
                <w:sz w:val="22"/>
                <w:szCs w:val="22"/>
              </w:rPr>
              <w:t>2.3%</w:t>
            </w:r>
          </w:p>
        </w:tc>
        <w:tc>
          <w:tcPr>
            <w:tcW w:w="717" w:type="dxa"/>
            <w:tcBorders>
              <w:top w:val="nil"/>
              <w:left w:val="nil"/>
              <w:bottom w:val="single" w:sz="4" w:space="0" w:color="auto"/>
              <w:right w:val="single" w:sz="4" w:space="0" w:color="auto"/>
            </w:tcBorders>
            <w:shd w:val="clear" w:color="auto" w:fill="auto"/>
            <w:noWrap/>
            <w:vAlign w:val="center"/>
          </w:tcPr>
          <w:p w14:paraId="08F55B94" w14:textId="0250B5BD" w:rsidR="001A3F5D" w:rsidRDefault="001A3F5D" w:rsidP="00894D65">
            <w:pPr>
              <w:jc w:val="center"/>
              <w:rPr>
                <w:rFonts w:ascii="Calibri" w:hAnsi="Calibri"/>
                <w:color w:val="000000"/>
                <w:sz w:val="22"/>
                <w:szCs w:val="22"/>
              </w:rPr>
            </w:pPr>
            <w:r>
              <w:rPr>
                <w:rFonts w:ascii="Calibri" w:hAnsi="Calibri"/>
                <w:color w:val="000000"/>
                <w:sz w:val="22"/>
                <w:szCs w:val="22"/>
              </w:rPr>
              <w:t>481</w:t>
            </w:r>
          </w:p>
        </w:tc>
        <w:tc>
          <w:tcPr>
            <w:tcW w:w="875" w:type="dxa"/>
            <w:tcBorders>
              <w:top w:val="nil"/>
              <w:left w:val="nil"/>
              <w:bottom w:val="single" w:sz="4" w:space="0" w:color="auto"/>
              <w:right w:val="single" w:sz="4" w:space="0" w:color="auto"/>
            </w:tcBorders>
            <w:shd w:val="clear" w:color="auto" w:fill="auto"/>
            <w:noWrap/>
            <w:vAlign w:val="center"/>
          </w:tcPr>
          <w:p w14:paraId="47C6F2F0" w14:textId="6D58BC58" w:rsidR="001A3F5D" w:rsidRDefault="001A3F5D" w:rsidP="005219BC">
            <w:pPr>
              <w:jc w:val="center"/>
              <w:rPr>
                <w:rFonts w:ascii="Calibri" w:hAnsi="Calibri"/>
                <w:color w:val="000000"/>
                <w:sz w:val="22"/>
                <w:szCs w:val="22"/>
              </w:rPr>
            </w:pPr>
            <w:r>
              <w:rPr>
                <w:rFonts w:ascii="Calibri" w:hAnsi="Calibri"/>
                <w:color w:val="000000"/>
                <w:sz w:val="22"/>
                <w:szCs w:val="22"/>
              </w:rPr>
              <w:t>46.7%</w:t>
            </w:r>
          </w:p>
        </w:tc>
        <w:tc>
          <w:tcPr>
            <w:tcW w:w="875" w:type="dxa"/>
            <w:tcBorders>
              <w:top w:val="nil"/>
              <w:left w:val="nil"/>
              <w:bottom w:val="single" w:sz="4" w:space="0" w:color="auto"/>
              <w:right w:val="single" w:sz="12" w:space="0" w:color="auto"/>
            </w:tcBorders>
            <w:shd w:val="clear" w:color="auto" w:fill="auto"/>
            <w:noWrap/>
            <w:vAlign w:val="center"/>
          </w:tcPr>
          <w:p w14:paraId="3662C78A" w14:textId="003E6E04" w:rsidR="001A3F5D" w:rsidRDefault="001A3F5D" w:rsidP="005219BC">
            <w:pPr>
              <w:jc w:val="center"/>
              <w:rPr>
                <w:rFonts w:ascii="Calibri" w:hAnsi="Calibri"/>
                <w:color w:val="000000"/>
                <w:sz w:val="22"/>
                <w:szCs w:val="22"/>
              </w:rPr>
            </w:pPr>
            <w:r>
              <w:rPr>
                <w:rFonts w:ascii="Calibri" w:hAnsi="Calibri"/>
                <w:color w:val="000000"/>
                <w:sz w:val="22"/>
                <w:szCs w:val="22"/>
              </w:rPr>
              <w:t>2.3%</w:t>
            </w:r>
          </w:p>
        </w:tc>
      </w:tr>
      <w:tr w:rsidR="006F2A25" w14:paraId="32D7587F" w14:textId="77777777" w:rsidTr="005219B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7982332B" w14:textId="77777777" w:rsidR="006F2A25" w:rsidRDefault="006F2A25" w:rsidP="00894D65">
            <w:pPr>
              <w:ind w:firstLineChars="200" w:firstLine="440"/>
              <w:rPr>
                <w:rFonts w:ascii="Calibri" w:hAnsi="Calibri"/>
                <w:color w:val="000000"/>
                <w:sz w:val="22"/>
                <w:szCs w:val="22"/>
              </w:rPr>
            </w:pPr>
            <w:r>
              <w:rPr>
                <w:rFonts w:ascii="Calibri" w:hAnsi="Calibri"/>
                <w:color w:val="000000"/>
                <w:sz w:val="22"/>
                <w:szCs w:val="22"/>
              </w:rPr>
              <w:t>Unweighted Final Rate</w:t>
            </w:r>
          </w:p>
        </w:tc>
        <w:tc>
          <w:tcPr>
            <w:tcW w:w="717" w:type="dxa"/>
            <w:tcBorders>
              <w:top w:val="nil"/>
              <w:left w:val="nil"/>
              <w:bottom w:val="single" w:sz="4" w:space="0" w:color="auto"/>
              <w:right w:val="single" w:sz="4" w:space="0" w:color="auto"/>
            </w:tcBorders>
            <w:shd w:val="clear" w:color="auto" w:fill="auto"/>
            <w:noWrap/>
            <w:vAlign w:val="center"/>
            <w:hideMark/>
          </w:tcPr>
          <w:p w14:paraId="12F1E1E6" w14:textId="77777777" w:rsidR="006F2A25" w:rsidRDefault="006F2A25" w:rsidP="00894D65">
            <w:pPr>
              <w:jc w:val="center"/>
              <w:rPr>
                <w:rFonts w:ascii="Calibri" w:hAnsi="Calibri"/>
                <w:color w:val="000000"/>
                <w:sz w:val="22"/>
                <w:szCs w:val="22"/>
              </w:rPr>
            </w:pPr>
            <w:r>
              <w:rPr>
                <w:rFonts w:ascii="Calibri" w:hAnsi="Calibri"/>
                <w:color w:val="000000"/>
                <w:sz w:val="22"/>
                <w:szCs w:val="22"/>
              </w:rPr>
              <w:t>2,850</w:t>
            </w:r>
          </w:p>
        </w:tc>
        <w:tc>
          <w:tcPr>
            <w:tcW w:w="875" w:type="dxa"/>
            <w:tcBorders>
              <w:top w:val="nil"/>
              <w:left w:val="nil"/>
              <w:bottom w:val="single" w:sz="4" w:space="0" w:color="auto"/>
              <w:right w:val="single" w:sz="4" w:space="0" w:color="auto"/>
            </w:tcBorders>
            <w:shd w:val="clear" w:color="auto" w:fill="auto"/>
            <w:noWrap/>
            <w:vAlign w:val="center"/>
            <w:hideMark/>
          </w:tcPr>
          <w:p w14:paraId="6473EFF9" w14:textId="350E0D21" w:rsidR="006F2A25" w:rsidRDefault="006F2A25" w:rsidP="005219BC">
            <w:pPr>
              <w:jc w:val="center"/>
              <w:rPr>
                <w:rFonts w:ascii="Calibri" w:hAnsi="Calibri"/>
                <w:color w:val="000000"/>
                <w:sz w:val="22"/>
                <w:szCs w:val="22"/>
              </w:rPr>
            </w:pPr>
            <w:r>
              <w:rPr>
                <w:rFonts w:ascii="Calibri" w:hAnsi="Calibri"/>
                <w:color w:val="000000"/>
                <w:sz w:val="22"/>
                <w:szCs w:val="22"/>
              </w:rPr>
              <w:t>85.4%</w:t>
            </w:r>
          </w:p>
        </w:tc>
        <w:tc>
          <w:tcPr>
            <w:tcW w:w="875" w:type="dxa"/>
            <w:tcBorders>
              <w:top w:val="nil"/>
              <w:left w:val="nil"/>
              <w:bottom w:val="single" w:sz="4" w:space="0" w:color="auto"/>
              <w:right w:val="single" w:sz="4" w:space="0" w:color="auto"/>
            </w:tcBorders>
            <w:shd w:val="clear" w:color="auto" w:fill="auto"/>
            <w:noWrap/>
            <w:vAlign w:val="center"/>
            <w:hideMark/>
          </w:tcPr>
          <w:p w14:paraId="4EC9FEDE" w14:textId="26B62BB0" w:rsidR="006F2A25" w:rsidRDefault="006F2A25" w:rsidP="005219BC">
            <w:pPr>
              <w:jc w:val="center"/>
              <w:rPr>
                <w:rFonts w:ascii="Calibri" w:hAnsi="Calibri"/>
                <w:color w:val="000000"/>
                <w:sz w:val="22"/>
                <w:szCs w:val="22"/>
              </w:rPr>
            </w:pPr>
            <w:r>
              <w:rPr>
                <w:rFonts w:ascii="Calibri" w:hAnsi="Calibri"/>
                <w:color w:val="000000"/>
                <w:sz w:val="22"/>
                <w:szCs w:val="22"/>
              </w:rPr>
              <w:t>0.7%</w:t>
            </w:r>
          </w:p>
        </w:tc>
        <w:tc>
          <w:tcPr>
            <w:tcW w:w="717" w:type="dxa"/>
            <w:tcBorders>
              <w:top w:val="nil"/>
              <w:left w:val="nil"/>
              <w:bottom w:val="single" w:sz="4" w:space="0" w:color="auto"/>
              <w:right w:val="single" w:sz="4" w:space="0" w:color="auto"/>
            </w:tcBorders>
            <w:shd w:val="clear" w:color="auto" w:fill="auto"/>
            <w:noWrap/>
            <w:vAlign w:val="center"/>
            <w:hideMark/>
          </w:tcPr>
          <w:p w14:paraId="36437B91" w14:textId="77777777" w:rsidR="006F2A25" w:rsidRDefault="006F2A25" w:rsidP="00894D65">
            <w:pPr>
              <w:jc w:val="center"/>
              <w:rPr>
                <w:rFonts w:ascii="Calibri" w:hAnsi="Calibri"/>
                <w:color w:val="000000"/>
                <w:sz w:val="22"/>
                <w:szCs w:val="22"/>
              </w:rPr>
            </w:pPr>
            <w:r>
              <w:rPr>
                <w:rFonts w:ascii="Calibri" w:hAnsi="Calibri"/>
                <w:color w:val="000000"/>
                <w:sz w:val="22"/>
                <w:szCs w:val="22"/>
              </w:rPr>
              <w:t>3,177</w:t>
            </w:r>
          </w:p>
        </w:tc>
        <w:tc>
          <w:tcPr>
            <w:tcW w:w="875" w:type="dxa"/>
            <w:tcBorders>
              <w:top w:val="nil"/>
              <w:left w:val="nil"/>
              <w:bottom w:val="single" w:sz="4" w:space="0" w:color="auto"/>
              <w:right w:val="single" w:sz="4" w:space="0" w:color="auto"/>
            </w:tcBorders>
            <w:shd w:val="clear" w:color="auto" w:fill="auto"/>
            <w:noWrap/>
            <w:vAlign w:val="center"/>
            <w:hideMark/>
          </w:tcPr>
          <w:p w14:paraId="55E83940" w14:textId="6D7A2512" w:rsidR="006F2A25" w:rsidRDefault="006F2A25" w:rsidP="005219BC">
            <w:pPr>
              <w:jc w:val="center"/>
              <w:rPr>
                <w:rFonts w:ascii="Calibri" w:hAnsi="Calibri"/>
                <w:color w:val="000000"/>
                <w:sz w:val="22"/>
                <w:szCs w:val="22"/>
              </w:rPr>
            </w:pPr>
            <w:r>
              <w:rPr>
                <w:rFonts w:ascii="Calibri" w:hAnsi="Calibri"/>
                <w:color w:val="000000"/>
                <w:sz w:val="22"/>
                <w:szCs w:val="22"/>
              </w:rPr>
              <w:t>85.8%</w:t>
            </w:r>
          </w:p>
        </w:tc>
        <w:tc>
          <w:tcPr>
            <w:tcW w:w="875" w:type="dxa"/>
            <w:tcBorders>
              <w:top w:val="nil"/>
              <w:left w:val="nil"/>
              <w:bottom w:val="single" w:sz="4" w:space="0" w:color="auto"/>
              <w:right w:val="single" w:sz="12" w:space="0" w:color="auto"/>
            </w:tcBorders>
            <w:shd w:val="clear" w:color="auto" w:fill="auto"/>
            <w:noWrap/>
            <w:vAlign w:val="center"/>
            <w:hideMark/>
          </w:tcPr>
          <w:p w14:paraId="48E92258" w14:textId="41E3A4C2" w:rsidR="006F2A25" w:rsidRDefault="006F2A25" w:rsidP="005219BC">
            <w:pPr>
              <w:jc w:val="center"/>
              <w:rPr>
                <w:rFonts w:ascii="Calibri" w:hAnsi="Calibri"/>
                <w:color w:val="000000"/>
                <w:sz w:val="22"/>
                <w:szCs w:val="22"/>
              </w:rPr>
            </w:pPr>
            <w:r>
              <w:rPr>
                <w:rFonts w:ascii="Calibri" w:hAnsi="Calibri"/>
                <w:color w:val="000000"/>
                <w:sz w:val="22"/>
                <w:szCs w:val="22"/>
              </w:rPr>
              <w:t>0.6%</w:t>
            </w:r>
          </w:p>
        </w:tc>
      </w:tr>
      <w:tr w:rsidR="006F2A25" w14:paraId="08E2A624" w14:textId="77777777" w:rsidTr="005219B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0A6AC167" w14:textId="77777777" w:rsidR="006F2A25" w:rsidRDefault="006F2A25" w:rsidP="00894D65">
            <w:pPr>
              <w:ind w:firstLineChars="200" w:firstLine="440"/>
              <w:rPr>
                <w:rFonts w:ascii="Calibri" w:hAnsi="Calibri"/>
                <w:color w:val="000000"/>
                <w:sz w:val="22"/>
                <w:szCs w:val="22"/>
              </w:rPr>
            </w:pPr>
            <w:r>
              <w:rPr>
                <w:rFonts w:ascii="Calibri" w:hAnsi="Calibri"/>
                <w:color w:val="000000"/>
                <w:sz w:val="22"/>
                <w:szCs w:val="22"/>
              </w:rPr>
              <w:t>Weighted Final Rate</w:t>
            </w:r>
          </w:p>
        </w:tc>
        <w:tc>
          <w:tcPr>
            <w:tcW w:w="717" w:type="dxa"/>
            <w:tcBorders>
              <w:top w:val="nil"/>
              <w:left w:val="nil"/>
              <w:bottom w:val="single" w:sz="4" w:space="0" w:color="auto"/>
              <w:right w:val="single" w:sz="4" w:space="0" w:color="auto"/>
            </w:tcBorders>
            <w:shd w:val="clear" w:color="auto" w:fill="auto"/>
            <w:noWrap/>
            <w:vAlign w:val="center"/>
            <w:hideMark/>
          </w:tcPr>
          <w:p w14:paraId="3C8A47E9" w14:textId="77777777" w:rsidR="006F2A25" w:rsidRDefault="006F2A25" w:rsidP="00894D65">
            <w:pPr>
              <w:jc w:val="center"/>
              <w:rPr>
                <w:rFonts w:ascii="Calibri" w:hAnsi="Calibri"/>
                <w:color w:val="000000"/>
                <w:sz w:val="22"/>
                <w:szCs w:val="22"/>
              </w:rPr>
            </w:pPr>
            <w:r>
              <w:rPr>
                <w:rFonts w:ascii="Calibri" w:hAnsi="Calibri"/>
                <w:color w:val="000000"/>
                <w:sz w:val="22"/>
                <w:szCs w:val="22"/>
              </w:rPr>
              <w:t>2,850</w:t>
            </w:r>
          </w:p>
        </w:tc>
        <w:tc>
          <w:tcPr>
            <w:tcW w:w="875" w:type="dxa"/>
            <w:tcBorders>
              <w:top w:val="nil"/>
              <w:left w:val="nil"/>
              <w:bottom w:val="single" w:sz="4" w:space="0" w:color="auto"/>
              <w:right w:val="single" w:sz="4" w:space="0" w:color="auto"/>
            </w:tcBorders>
            <w:shd w:val="clear" w:color="auto" w:fill="auto"/>
            <w:noWrap/>
            <w:vAlign w:val="center"/>
            <w:hideMark/>
          </w:tcPr>
          <w:p w14:paraId="1FF59807" w14:textId="771A8C9E" w:rsidR="006F2A25" w:rsidRDefault="006F2A25" w:rsidP="005219BC">
            <w:pPr>
              <w:jc w:val="center"/>
              <w:rPr>
                <w:rFonts w:ascii="Calibri" w:hAnsi="Calibri"/>
                <w:color w:val="000000"/>
                <w:sz w:val="22"/>
                <w:szCs w:val="22"/>
              </w:rPr>
            </w:pPr>
            <w:r>
              <w:rPr>
                <w:rFonts w:ascii="Calibri" w:hAnsi="Calibri"/>
                <w:color w:val="000000"/>
                <w:sz w:val="22"/>
                <w:szCs w:val="22"/>
              </w:rPr>
              <w:t>77.7%</w:t>
            </w:r>
          </w:p>
        </w:tc>
        <w:tc>
          <w:tcPr>
            <w:tcW w:w="875" w:type="dxa"/>
            <w:tcBorders>
              <w:top w:val="nil"/>
              <w:left w:val="nil"/>
              <w:bottom w:val="single" w:sz="4" w:space="0" w:color="auto"/>
              <w:right w:val="single" w:sz="4" w:space="0" w:color="auto"/>
            </w:tcBorders>
            <w:shd w:val="clear" w:color="auto" w:fill="auto"/>
            <w:noWrap/>
            <w:vAlign w:val="center"/>
            <w:hideMark/>
          </w:tcPr>
          <w:p w14:paraId="2BD60AFA" w14:textId="35B6D3AF" w:rsidR="006F2A25" w:rsidRDefault="006F2A25" w:rsidP="005219BC">
            <w:pPr>
              <w:jc w:val="center"/>
              <w:rPr>
                <w:rFonts w:ascii="Calibri" w:hAnsi="Calibri"/>
                <w:color w:val="000000"/>
                <w:sz w:val="22"/>
                <w:szCs w:val="22"/>
              </w:rPr>
            </w:pPr>
            <w:r>
              <w:rPr>
                <w:rFonts w:ascii="Calibri" w:hAnsi="Calibri"/>
                <w:color w:val="000000"/>
                <w:sz w:val="22"/>
                <w:szCs w:val="22"/>
              </w:rPr>
              <w:t>0.8%</w:t>
            </w:r>
          </w:p>
        </w:tc>
        <w:tc>
          <w:tcPr>
            <w:tcW w:w="717" w:type="dxa"/>
            <w:tcBorders>
              <w:top w:val="nil"/>
              <w:left w:val="nil"/>
              <w:bottom w:val="single" w:sz="4" w:space="0" w:color="auto"/>
              <w:right w:val="single" w:sz="4" w:space="0" w:color="auto"/>
            </w:tcBorders>
            <w:shd w:val="clear" w:color="auto" w:fill="auto"/>
            <w:noWrap/>
            <w:vAlign w:val="center"/>
            <w:hideMark/>
          </w:tcPr>
          <w:p w14:paraId="4D6FE8C5" w14:textId="77777777" w:rsidR="006F2A25" w:rsidRDefault="006F2A25" w:rsidP="00894D65">
            <w:pPr>
              <w:jc w:val="center"/>
              <w:rPr>
                <w:rFonts w:ascii="Calibri" w:hAnsi="Calibri"/>
                <w:color w:val="000000"/>
                <w:sz w:val="22"/>
                <w:szCs w:val="22"/>
              </w:rPr>
            </w:pPr>
            <w:r>
              <w:rPr>
                <w:rFonts w:ascii="Calibri" w:hAnsi="Calibri"/>
                <w:color w:val="000000"/>
                <w:sz w:val="22"/>
                <w:szCs w:val="22"/>
              </w:rPr>
              <w:t>3,177</w:t>
            </w:r>
          </w:p>
        </w:tc>
        <w:tc>
          <w:tcPr>
            <w:tcW w:w="875" w:type="dxa"/>
            <w:tcBorders>
              <w:top w:val="nil"/>
              <w:left w:val="nil"/>
              <w:bottom w:val="single" w:sz="4" w:space="0" w:color="auto"/>
              <w:right w:val="single" w:sz="4" w:space="0" w:color="auto"/>
            </w:tcBorders>
            <w:shd w:val="clear" w:color="auto" w:fill="auto"/>
            <w:noWrap/>
            <w:vAlign w:val="center"/>
            <w:hideMark/>
          </w:tcPr>
          <w:p w14:paraId="5941A023" w14:textId="5BDAA1B3" w:rsidR="006F2A25" w:rsidRDefault="006F2A25" w:rsidP="005219BC">
            <w:pPr>
              <w:jc w:val="center"/>
              <w:rPr>
                <w:rFonts w:ascii="Calibri" w:hAnsi="Calibri"/>
                <w:color w:val="000000"/>
                <w:sz w:val="22"/>
                <w:szCs w:val="22"/>
              </w:rPr>
            </w:pPr>
            <w:r>
              <w:rPr>
                <w:rFonts w:ascii="Calibri" w:hAnsi="Calibri"/>
                <w:color w:val="000000"/>
                <w:sz w:val="22"/>
                <w:szCs w:val="22"/>
              </w:rPr>
              <w:t>77.0%</w:t>
            </w:r>
          </w:p>
        </w:tc>
        <w:tc>
          <w:tcPr>
            <w:tcW w:w="875" w:type="dxa"/>
            <w:tcBorders>
              <w:top w:val="nil"/>
              <w:left w:val="nil"/>
              <w:bottom w:val="single" w:sz="4" w:space="0" w:color="auto"/>
              <w:right w:val="single" w:sz="12" w:space="0" w:color="auto"/>
            </w:tcBorders>
            <w:shd w:val="clear" w:color="auto" w:fill="auto"/>
            <w:noWrap/>
            <w:vAlign w:val="center"/>
            <w:hideMark/>
          </w:tcPr>
          <w:p w14:paraId="45A93EFF" w14:textId="55348B8E" w:rsidR="006F2A25" w:rsidRDefault="006F2A25" w:rsidP="005219BC">
            <w:pPr>
              <w:jc w:val="center"/>
              <w:rPr>
                <w:rFonts w:ascii="Calibri" w:hAnsi="Calibri"/>
                <w:color w:val="000000"/>
                <w:sz w:val="22"/>
                <w:szCs w:val="22"/>
              </w:rPr>
            </w:pPr>
            <w:r>
              <w:rPr>
                <w:rFonts w:ascii="Calibri" w:hAnsi="Calibri"/>
                <w:color w:val="000000"/>
                <w:sz w:val="22"/>
                <w:szCs w:val="22"/>
              </w:rPr>
              <w:t>0.7%</w:t>
            </w:r>
          </w:p>
        </w:tc>
      </w:tr>
      <w:tr w:rsidR="006F2A25" w14:paraId="475737D0" w14:textId="77777777" w:rsidTr="005219BC">
        <w:trPr>
          <w:trHeight w:val="300"/>
        </w:trPr>
        <w:tc>
          <w:tcPr>
            <w:tcW w:w="8686" w:type="dxa"/>
            <w:gridSpan w:val="7"/>
            <w:tcBorders>
              <w:top w:val="single" w:sz="4" w:space="0" w:color="auto"/>
              <w:left w:val="single" w:sz="12" w:space="0" w:color="auto"/>
              <w:bottom w:val="single" w:sz="4" w:space="0" w:color="auto"/>
              <w:right w:val="single" w:sz="12" w:space="0" w:color="000000"/>
            </w:tcBorders>
            <w:shd w:val="clear" w:color="auto" w:fill="auto"/>
            <w:noWrap/>
            <w:vAlign w:val="bottom"/>
            <w:hideMark/>
          </w:tcPr>
          <w:p w14:paraId="7A0C5CF6" w14:textId="77777777" w:rsidR="006F2A25" w:rsidRDefault="006F2A25" w:rsidP="00894D65">
            <w:pPr>
              <w:rPr>
                <w:rFonts w:ascii="Calibri" w:hAnsi="Calibri"/>
                <w:b/>
                <w:bCs/>
                <w:color w:val="000000"/>
                <w:sz w:val="22"/>
                <w:szCs w:val="22"/>
              </w:rPr>
            </w:pPr>
            <w:r>
              <w:rPr>
                <w:rFonts w:ascii="Calibri" w:hAnsi="Calibri"/>
                <w:b/>
                <w:bCs/>
                <w:color w:val="000000"/>
                <w:sz w:val="22"/>
                <w:szCs w:val="22"/>
              </w:rPr>
              <w:t>Overall Response Rates</w:t>
            </w:r>
          </w:p>
        </w:tc>
      </w:tr>
      <w:tr w:rsidR="001A3F5D" w14:paraId="11E4A4F1" w14:textId="77777777" w:rsidTr="005219B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tcPr>
          <w:p w14:paraId="6C608EA8" w14:textId="0B9877E9" w:rsidR="001A3F5D" w:rsidRDefault="001A3F5D" w:rsidP="00894D65">
            <w:pPr>
              <w:ind w:firstLineChars="200" w:firstLine="440"/>
              <w:rPr>
                <w:rFonts w:ascii="Calibri" w:hAnsi="Calibri"/>
                <w:color w:val="000000"/>
                <w:sz w:val="22"/>
                <w:szCs w:val="22"/>
              </w:rPr>
            </w:pPr>
            <w:r>
              <w:rPr>
                <w:rFonts w:ascii="Calibri" w:hAnsi="Calibri"/>
                <w:color w:val="000000"/>
                <w:sz w:val="22"/>
                <w:szCs w:val="22"/>
              </w:rPr>
              <w:t>Weighted Phase 2 Rate</w:t>
            </w:r>
          </w:p>
        </w:tc>
        <w:tc>
          <w:tcPr>
            <w:tcW w:w="717" w:type="dxa"/>
            <w:tcBorders>
              <w:top w:val="nil"/>
              <w:left w:val="nil"/>
              <w:bottom w:val="single" w:sz="4" w:space="0" w:color="auto"/>
              <w:right w:val="single" w:sz="4" w:space="0" w:color="auto"/>
            </w:tcBorders>
            <w:shd w:val="clear" w:color="auto" w:fill="auto"/>
            <w:noWrap/>
            <w:vAlign w:val="center"/>
          </w:tcPr>
          <w:p w14:paraId="4F4DB7D8" w14:textId="77777777" w:rsidR="001A3F5D" w:rsidRDefault="001A3F5D" w:rsidP="00894D65">
            <w:pPr>
              <w:jc w:val="center"/>
              <w:rPr>
                <w:rFonts w:ascii="Calibri" w:hAnsi="Calibri"/>
                <w:color w:val="000000"/>
                <w:sz w:val="22"/>
                <w:szCs w:val="22"/>
              </w:rPr>
            </w:pPr>
          </w:p>
        </w:tc>
        <w:tc>
          <w:tcPr>
            <w:tcW w:w="875" w:type="dxa"/>
            <w:tcBorders>
              <w:top w:val="nil"/>
              <w:left w:val="nil"/>
              <w:bottom w:val="single" w:sz="4" w:space="0" w:color="auto"/>
              <w:right w:val="single" w:sz="4" w:space="0" w:color="auto"/>
            </w:tcBorders>
            <w:shd w:val="clear" w:color="auto" w:fill="auto"/>
            <w:noWrap/>
            <w:vAlign w:val="center"/>
          </w:tcPr>
          <w:p w14:paraId="7392BA33" w14:textId="3B1B7B45" w:rsidR="001A3F5D" w:rsidRDefault="001A3F5D" w:rsidP="005219BC">
            <w:pPr>
              <w:jc w:val="center"/>
              <w:rPr>
                <w:rFonts w:ascii="Calibri" w:hAnsi="Calibri"/>
                <w:color w:val="000000"/>
                <w:sz w:val="22"/>
                <w:szCs w:val="22"/>
              </w:rPr>
            </w:pPr>
            <w:r>
              <w:rPr>
                <w:rFonts w:ascii="Calibri" w:hAnsi="Calibri"/>
                <w:color w:val="000000"/>
                <w:sz w:val="22"/>
                <w:szCs w:val="22"/>
              </w:rPr>
              <w:t>31.3%</w:t>
            </w:r>
          </w:p>
        </w:tc>
        <w:tc>
          <w:tcPr>
            <w:tcW w:w="875" w:type="dxa"/>
            <w:tcBorders>
              <w:top w:val="nil"/>
              <w:left w:val="nil"/>
              <w:bottom w:val="single" w:sz="4" w:space="0" w:color="auto"/>
              <w:right w:val="single" w:sz="4" w:space="0" w:color="auto"/>
            </w:tcBorders>
            <w:shd w:val="clear" w:color="auto" w:fill="auto"/>
            <w:noWrap/>
            <w:vAlign w:val="center"/>
          </w:tcPr>
          <w:p w14:paraId="5EFE2379" w14:textId="77777777" w:rsidR="001A3F5D" w:rsidRDefault="001A3F5D" w:rsidP="00894D65">
            <w:pPr>
              <w:jc w:val="center"/>
              <w:rPr>
                <w:rFonts w:ascii="Calibri" w:hAnsi="Calibri"/>
                <w:color w:val="000000"/>
                <w:sz w:val="22"/>
                <w:szCs w:val="22"/>
              </w:rPr>
            </w:pPr>
          </w:p>
        </w:tc>
        <w:tc>
          <w:tcPr>
            <w:tcW w:w="717" w:type="dxa"/>
            <w:tcBorders>
              <w:top w:val="nil"/>
              <w:left w:val="nil"/>
              <w:bottom w:val="single" w:sz="4" w:space="0" w:color="auto"/>
              <w:right w:val="single" w:sz="4" w:space="0" w:color="auto"/>
            </w:tcBorders>
            <w:shd w:val="clear" w:color="auto" w:fill="auto"/>
            <w:noWrap/>
            <w:vAlign w:val="center"/>
          </w:tcPr>
          <w:p w14:paraId="56A3B6FE" w14:textId="77777777" w:rsidR="001A3F5D" w:rsidRDefault="001A3F5D" w:rsidP="00894D65">
            <w:pPr>
              <w:jc w:val="center"/>
              <w:rPr>
                <w:rFonts w:ascii="Calibri" w:hAnsi="Calibri"/>
                <w:color w:val="000000"/>
                <w:sz w:val="22"/>
                <w:szCs w:val="22"/>
              </w:rPr>
            </w:pPr>
          </w:p>
        </w:tc>
        <w:tc>
          <w:tcPr>
            <w:tcW w:w="875" w:type="dxa"/>
            <w:tcBorders>
              <w:top w:val="nil"/>
              <w:left w:val="nil"/>
              <w:bottom w:val="single" w:sz="4" w:space="0" w:color="auto"/>
              <w:right w:val="single" w:sz="4" w:space="0" w:color="auto"/>
            </w:tcBorders>
            <w:shd w:val="clear" w:color="auto" w:fill="auto"/>
            <w:noWrap/>
            <w:vAlign w:val="center"/>
          </w:tcPr>
          <w:p w14:paraId="61B0068A" w14:textId="2854E6CD" w:rsidR="001A3F5D" w:rsidRDefault="001A3F5D" w:rsidP="005219BC">
            <w:pPr>
              <w:jc w:val="center"/>
              <w:rPr>
                <w:rFonts w:ascii="Calibri" w:hAnsi="Calibri"/>
                <w:color w:val="000000"/>
                <w:sz w:val="22"/>
                <w:szCs w:val="22"/>
              </w:rPr>
            </w:pPr>
            <w:r>
              <w:rPr>
                <w:rFonts w:ascii="Calibri" w:hAnsi="Calibri"/>
                <w:color w:val="000000"/>
                <w:sz w:val="22"/>
                <w:szCs w:val="22"/>
              </w:rPr>
              <w:t>26.2%</w:t>
            </w:r>
          </w:p>
        </w:tc>
        <w:tc>
          <w:tcPr>
            <w:tcW w:w="875" w:type="dxa"/>
            <w:tcBorders>
              <w:top w:val="nil"/>
              <w:left w:val="nil"/>
              <w:bottom w:val="single" w:sz="4" w:space="0" w:color="auto"/>
              <w:right w:val="single" w:sz="12" w:space="0" w:color="auto"/>
            </w:tcBorders>
            <w:shd w:val="clear" w:color="auto" w:fill="auto"/>
            <w:noWrap/>
            <w:vAlign w:val="center"/>
          </w:tcPr>
          <w:p w14:paraId="38F7B4EC" w14:textId="77777777" w:rsidR="001A3F5D" w:rsidRDefault="001A3F5D" w:rsidP="00894D65">
            <w:pPr>
              <w:jc w:val="center"/>
              <w:rPr>
                <w:rFonts w:ascii="Calibri" w:hAnsi="Calibri"/>
                <w:color w:val="000000"/>
                <w:sz w:val="22"/>
                <w:szCs w:val="22"/>
              </w:rPr>
            </w:pPr>
          </w:p>
        </w:tc>
      </w:tr>
      <w:tr w:rsidR="006F2A25" w14:paraId="66197E9C" w14:textId="77777777" w:rsidTr="005219BC">
        <w:trPr>
          <w:trHeight w:val="300"/>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461BE733" w14:textId="77777777" w:rsidR="006F2A25" w:rsidRDefault="006F2A25" w:rsidP="00894D65">
            <w:pPr>
              <w:ind w:firstLineChars="200" w:firstLine="440"/>
              <w:rPr>
                <w:rFonts w:ascii="Calibri" w:hAnsi="Calibri"/>
                <w:color w:val="000000"/>
                <w:sz w:val="22"/>
                <w:szCs w:val="22"/>
              </w:rPr>
            </w:pPr>
            <w:r>
              <w:rPr>
                <w:rFonts w:ascii="Calibri" w:hAnsi="Calibri"/>
                <w:color w:val="000000"/>
                <w:sz w:val="22"/>
                <w:szCs w:val="22"/>
              </w:rPr>
              <w:t>Unweighted Final Rate</w:t>
            </w:r>
          </w:p>
        </w:tc>
        <w:tc>
          <w:tcPr>
            <w:tcW w:w="717" w:type="dxa"/>
            <w:tcBorders>
              <w:top w:val="nil"/>
              <w:left w:val="nil"/>
              <w:bottom w:val="single" w:sz="4" w:space="0" w:color="auto"/>
              <w:right w:val="single" w:sz="4" w:space="0" w:color="auto"/>
            </w:tcBorders>
            <w:shd w:val="clear" w:color="auto" w:fill="auto"/>
            <w:noWrap/>
            <w:vAlign w:val="center"/>
            <w:hideMark/>
          </w:tcPr>
          <w:p w14:paraId="3781676B" w14:textId="77777777" w:rsidR="006F2A25" w:rsidRDefault="006F2A25" w:rsidP="00894D65">
            <w:pPr>
              <w:jc w:val="center"/>
              <w:rPr>
                <w:rFonts w:ascii="Calibri" w:hAnsi="Calibri"/>
                <w:color w:val="000000"/>
                <w:sz w:val="22"/>
                <w:szCs w:val="22"/>
              </w:rPr>
            </w:pPr>
            <w:r>
              <w:rPr>
                <w:rFonts w:ascii="Calibri" w:hAnsi="Calibri"/>
                <w:color w:val="000000"/>
                <w:sz w:val="22"/>
                <w:szCs w:val="22"/>
              </w:rPr>
              <w:t> </w:t>
            </w:r>
          </w:p>
        </w:tc>
        <w:tc>
          <w:tcPr>
            <w:tcW w:w="875" w:type="dxa"/>
            <w:tcBorders>
              <w:top w:val="nil"/>
              <w:left w:val="nil"/>
              <w:bottom w:val="single" w:sz="4" w:space="0" w:color="auto"/>
              <w:right w:val="single" w:sz="4" w:space="0" w:color="auto"/>
            </w:tcBorders>
            <w:shd w:val="clear" w:color="auto" w:fill="auto"/>
            <w:noWrap/>
            <w:vAlign w:val="center"/>
            <w:hideMark/>
          </w:tcPr>
          <w:p w14:paraId="7A69502E" w14:textId="2339C892" w:rsidR="006F2A25" w:rsidRDefault="006F2A25" w:rsidP="005219BC">
            <w:pPr>
              <w:jc w:val="center"/>
              <w:rPr>
                <w:rFonts w:ascii="Calibri" w:hAnsi="Calibri"/>
                <w:color w:val="000000"/>
                <w:sz w:val="22"/>
                <w:szCs w:val="22"/>
              </w:rPr>
            </w:pPr>
            <w:r>
              <w:rPr>
                <w:rFonts w:ascii="Calibri" w:hAnsi="Calibri"/>
                <w:color w:val="000000"/>
                <w:sz w:val="22"/>
                <w:szCs w:val="22"/>
              </w:rPr>
              <w:t>82.</w:t>
            </w:r>
            <w:r w:rsidR="005219BC">
              <w:rPr>
                <w:rFonts w:ascii="Calibri" w:hAnsi="Calibri"/>
                <w:color w:val="000000"/>
                <w:sz w:val="22"/>
                <w:szCs w:val="22"/>
              </w:rPr>
              <w:t>2</w:t>
            </w:r>
            <w:r>
              <w:rPr>
                <w:rFonts w:ascii="Calibri" w:hAnsi="Calibri"/>
                <w:color w:val="000000"/>
                <w:sz w:val="22"/>
                <w:szCs w:val="22"/>
              </w:rPr>
              <w:t>%</w:t>
            </w:r>
          </w:p>
        </w:tc>
        <w:tc>
          <w:tcPr>
            <w:tcW w:w="875" w:type="dxa"/>
            <w:tcBorders>
              <w:top w:val="nil"/>
              <w:left w:val="nil"/>
              <w:bottom w:val="single" w:sz="4" w:space="0" w:color="auto"/>
              <w:right w:val="single" w:sz="4" w:space="0" w:color="auto"/>
            </w:tcBorders>
            <w:shd w:val="clear" w:color="auto" w:fill="auto"/>
            <w:noWrap/>
            <w:vAlign w:val="center"/>
            <w:hideMark/>
          </w:tcPr>
          <w:p w14:paraId="3535EC86" w14:textId="77777777" w:rsidR="006F2A25" w:rsidRDefault="006F2A25" w:rsidP="00894D65">
            <w:pPr>
              <w:jc w:val="cente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center"/>
            <w:hideMark/>
          </w:tcPr>
          <w:p w14:paraId="70BF953D" w14:textId="77777777" w:rsidR="006F2A25" w:rsidRDefault="006F2A25" w:rsidP="00894D65">
            <w:pPr>
              <w:jc w:val="center"/>
              <w:rPr>
                <w:rFonts w:ascii="Calibri" w:hAnsi="Calibri"/>
                <w:color w:val="000000"/>
                <w:sz w:val="22"/>
                <w:szCs w:val="22"/>
              </w:rPr>
            </w:pPr>
            <w:r>
              <w:rPr>
                <w:rFonts w:ascii="Calibri" w:hAnsi="Calibri"/>
                <w:color w:val="000000"/>
                <w:sz w:val="22"/>
                <w:szCs w:val="22"/>
              </w:rPr>
              <w:t> </w:t>
            </w:r>
          </w:p>
        </w:tc>
        <w:tc>
          <w:tcPr>
            <w:tcW w:w="875" w:type="dxa"/>
            <w:tcBorders>
              <w:top w:val="nil"/>
              <w:left w:val="nil"/>
              <w:bottom w:val="single" w:sz="4" w:space="0" w:color="auto"/>
              <w:right w:val="single" w:sz="4" w:space="0" w:color="auto"/>
            </w:tcBorders>
            <w:shd w:val="clear" w:color="auto" w:fill="auto"/>
            <w:noWrap/>
            <w:vAlign w:val="center"/>
            <w:hideMark/>
          </w:tcPr>
          <w:p w14:paraId="00CD26B9" w14:textId="01312FB5" w:rsidR="006F2A25" w:rsidRDefault="006F2A25" w:rsidP="005219BC">
            <w:pPr>
              <w:jc w:val="center"/>
              <w:rPr>
                <w:rFonts w:ascii="Calibri" w:hAnsi="Calibri"/>
                <w:color w:val="000000"/>
                <w:sz w:val="22"/>
                <w:szCs w:val="22"/>
              </w:rPr>
            </w:pPr>
            <w:r>
              <w:rPr>
                <w:rFonts w:ascii="Calibri" w:hAnsi="Calibri"/>
                <w:color w:val="000000"/>
                <w:sz w:val="22"/>
                <w:szCs w:val="22"/>
              </w:rPr>
              <w:t>82.</w:t>
            </w:r>
            <w:r w:rsidR="005219BC">
              <w:rPr>
                <w:rFonts w:ascii="Calibri" w:hAnsi="Calibri"/>
                <w:color w:val="000000"/>
                <w:sz w:val="22"/>
                <w:szCs w:val="22"/>
              </w:rPr>
              <w:t>3</w:t>
            </w:r>
            <w:r>
              <w:rPr>
                <w:rFonts w:ascii="Calibri" w:hAnsi="Calibri"/>
                <w:color w:val="000000"/>
                <w:sz w:val="22"/>
                <w:szCs w:val="22"/>
              </w:rPr>
              <w:t>%</w:t>
            </w:r>
          </w:p>
        </w:tc>
        <w:tc>
          <w:tcPr>
            <w:tcW w:w="875" w:type="dxa"/>
            <w:tcBorders>
              <w:top w:val="nil"/>
              <w:left w:val="nil"/>
              <w:bottom w:val="single" w:sz="4" w:space="0" w:color="auto"/>
              <w:right w:val="single" w:sz="12" w:space="0" w:color="auto"/>
            </w:tcBorders>
            <w:shd w:val="clear" w:color="auto" w:fill="auto"/>
            <w:noWrap/>
            <w:vAlign w:val="center"/>
            <w:hideMark/>
          </w:tcPr>
          <w:p w14:paraId="5953275A" w14:textId="77777777" w:rsidR="006F2A25" w:rsidRDefault="006F2A25" w:rsidP="00894D65">
            <w:pPr>
              <w:jc w:val="center"/>
              <w:rPr>
                <w:rFonts w:ascii="Calibri" w:hAnsi="Calibri"/>
                <w:color w:val="000000"/>
                <w:sz w:val="22"/>
                <w:szCs w:val="22"/>
              </w:rPr>
            </w:pPr>
            <w:r>
              <w:rPr>
                <w:rFonts w:ascii="Calibri" w:hAnsi="Calibri"/>
                <w:color w:val="000000"/>
                <w:sz w:val="22"/>
                <w:szCs w:val="22"/>
              </w:rPr>
              <w:t> </w:t>
            </w:r>
          </w:p>
        </w:tc>
      </w:tr>
      <w:tr w:rsidR="006F2A25" w14:paraId="3B11E5E8" w14:textId="77777777" w:rsidTr="005C005E">
        <w:trPr>
          <w:trHeight w:val="315"/>
        </w:trPr>
        <w:tc>
          <w:tcPr>
            <w:tcW w:w="3752" w:type="dxa"/>
            <w:tcBorders>
              <w:top w:val="nil"/>
              <w:left w:val="single" w:sz="12" w:space="0" w:color="auto"/>
              <w:bottom w:val="single" w:sz="4" w:space="0" w:color="auto"/>
              <w:right w:val="single" w:sz="4" w:space="0" w:color="auto"/>
            </w:tcBorders>
            <w:shd w:val="clear" w:color="auto" w:fill="auto"/>
            <w:noWrap/>
            <w:vAlign w:val="bottom"/>
            <w:hideMark/>
          </w:tcPr>
          <w:p w14:paraId="7B1B26F2" w14:textId="77777777" w:rsidR="006F2A25" w:rsidRDefault="006F2A25" w:rsidP="00894D65">
            <w:pPr>
              <w:ind w:firstLineChars="200" w:firstLine="440"/>
              <w:rPr>
                <w:rFonts w:ascii="Calibri" w:hAnsi="Calibri"/>
                <w:color w:val="000000"/>
                <w:sz w:val="22"/>
                <w:szCs w:val="22"/>
              </w:rPr>
            </w:pPr>
            <w:r>
              <w:rPr>
                <w:rFonts w:ascii="Calibri" w:hAnsi="Calibri"/>
                <w:color w:val="000000"/>
                <w:sz w:val="22"/>
                <w:szCs w:val="22"/>
              </w:rPr>
              <w:t>Weighted Final Rate</w:t>
            </w:r>
          </w:p>
        </w:tc>
        <w:tc>
          <w:tcPr>
            <w:tcW w:w="717" w:type="dxa"/>
            <w:tcBorders>
              <w:top w:val="nil"/>
              <w:left w:val="nil"/>
              <w:bottom w:val="single" w:sz="4" w:space="0" w:color="auto"/>
              <w:right w:val="single" w:sz="4" w:space="0" w:color="auto"/>
            </w:tcBorders>
            <w:shd w:val="clear" w:color="auto" w:fill="auto"/>
            <w:noWrap/>
            <w:vAlign w:val="center"/>
            <w:hideMark/>
          </w:tcPr>
          <w:p w14:paraId="5BB210EB" w14:textId="77777777" w:rsidR="006F2A25" w:rsidRDefault="006F2A25" w:rsidP="00894D65">
            <w:pPr>
              <w:jc w:val="center"/>
              <w:rPr>
                <w:rFonts w:ascii="Calibri" w:hAnsi="Calibri"/>
                <w:color w:val="000000"/>
                <w:sz w:val="22"/>
                <w:szCs w:val="22"/>
              </w:rPr>
            </w:pPr>
            <w:r>
              <w:rPr>
                <w:rFonts w:ascii="Calibri" w:hAnsi="Calibri"/>
                <w:color w:val="000000"/>
                <w:sz w:val="22"/>
                <w:szCs w:val="22"/>
              </w:rPr>
              <w:t> </w:t>
            </w:r>
          </w:p>
        </w:tc>
        <w:tc>
          <w:tcPr>
            <w:tcW w:w="875" w:type="dxa"/>
            <w:tcBorders>
              <w:top w:val="nil"/>
              <w:left w:val="nil"/>
              <w:bottom w:val="single" w:sz="4" w:space="0" w:color="auto"/>
              <w:right w:val="single" w:sz="4" w:space="0" w:color="auto"/>
            </w:tcBorders>
            <w:shd w:val="clear" w:color="auto" w:fill="auto"/>
            <w:noWrap/>
            <w:vAlign w:val="center"/>
            <w:hideMark/>
          </w:tcPr>
          <w:p w14:paraId="593FDCB7" w14:textId="7AD05E14" w:rsidR="006F2A25" w:rsidRDefault="006F2A25" w:rsidP="005219BC">
            <w:pPr>
              <w:jc w:val="center"/>
              <w:rPr>
                <w:rFonts w:ascii="Calibri" w:hAnsi="Calibri"/>
                <w:color w:val="000000"/>
                <w:sz w:val="22"/>
                <w:szCs w:val="22"/>
              </w:rPr>
            </w:pPr>
            <w:r>
              <w:rPr>
                <w:rFonts w:ascii="Calibri" w:hAnsi="Calibri"/>
                <w:color w:val="000000"/>
                <w:sz w:val="22"/>
                <w:szCs w:val="22"/>
              </w:rPr>
              <w:t>72.1%</w:t>
            </w:r>
          </w:p>
        </w:tc>
        <w:tc>
          <w:tcPr>
            <w:tcW w:w="875" w:type="dxa"/>
            <w:tcBorders>
              <w:top w:val="nil"/>
              <w:left w:val="nil"/>
              <w:bottom w:val="single" w:sz="4" w:space="0" w:color="auto"/>
              <w:right w:val="single" w:sz="4" w:space="0" w:color="auto"/>
            </w:tcBorders>
            <w:shd w:val="clear" w:color="auto" w:fill="auto"/>
            <w:noWrap/>
            <w:vAlign w:val="center"/>
            <w:hideMark/>
          </w:tcPr>
          <w:p w14:paraId="02032E0D" w14:textId="77777777" w:rsidR="006F2A25" w:rsidRDefault="006F2A25" w:rsidP="00894D65">
            <w:pPr>
              <w:jc w:val="cente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center"/>
            <w:hideMark/>
          </w:tcPr>
          <w:p w14:paraId="4F0A6CD5" w14:textId="77777777" w:rsidR="006F2A25" w:rsidRDefault="006F2A25" w:rsidP="00894D65">
            <w:pPr>
              <w:jc w:val="center"/>
              <w:rPr>
                <w:rFonts w:ascii="Calibri" w:hAnsi="Calibri"/>
                <w:color w:val="000000"/>
                <w:sz w:val="22"/>
                <w:szCs w:val="22"/>
              </w:rPr>
            </w:pPr>
            <w:r>
              <w:rPr>
                <w:rFonts w:ascii="Calibri" w:hAnsi="Calibri"/>
                <w:color w:val="000000"/>
                <w:sz w:val="22"/>
                <w:szCs w:val="22"/>
              </w:rPr>
              <w:t> </w:t>
            </w:r>
          </w:p>
        </w:tc>
        <w:tc>
          <w:tcPr>
            <w:tcW w:w="875" w:type="dxa"/>
            <w:tcBorders>
              <w:top w:val="nil"/>
              <w:left w:val="nil"/>
              <w:bottom w:val="single" w:sz="4" w:space="0" w:color="auto"/>
              <w:right w:val="single" w:sz="4" w:space="0" w:color="auto"/>
            </w:tcBorders>
            <w:shd w:val="clear" w:color="auto" w:fill="auto"/>
            <w:noWrap/>
            <w:vAlign w:val="center"/>
            <w:hideMark/>
          </w:tcPr>
          <w:p w14:paraId="5DFE057D" w14:textId="3BE49591" w:rsidR="006F2A25" w:rsidRDefault="006F2A25" w:rsidP="005219BC">
            <w:pPr>
              <w:jc w:val="center"/>
              <w:rPr>
                <w:rFonts w:ascii="Calibri" w:hAnsi="Calibri"/>
                <w:color w:val="000000"/>
                <w:sz w:val="22"/>
                <w:szCs w:val="22"/>
              </w:rPr>
            </w:pPr>
            <w:r>
              <w:rPr>
                <w:rFonts w:ascii="Calibri" w:hAnsi="Calibri"/>
                <w:color w:val="000000"/>
                <w:sz w:val="22"/>
                <w:szCs w:val="22"/>
              </w:rPr>
              <w:t>71.</w:t>
            </w:r>
            <w:r w:rsidR="005219BC">
              <w:rPr>
                <w:rFonts w:ascii="Calibri" w:hAnsi="Calibri"/>
                <w:color w:val="000000"/>
                <w:sz w:val="22"/>
                <w:szCs w:val="22"/>
              </w:rPr>
              <w:t>1</w:t>
            </w:r>
            <w:r>
              <w:rPr>
                <w:rFonts w:ascii="Calibri" w:hAnsi="Calibri"/>
                <w:color w:val="000000"/>
                <w:sz w:val="22"/>
                <w:szCs w:val="22"/>
              </w:rPr>
              <w:t>%</w:t>
            </w:r>
          </w:p>
        </w:tc>
        <w:tc>
          <w:tcPr>
            <w:tcW w:w="875" w:type="dxa"/>
            <w:tcBorders>
              <w:top w:val="nil"/>
              <w:left w:val="nil"/>
              <w:bottom w:val="single" w:sz="4" w:space="0" w:color="auto"/>
              <w:right w:val="single" w:sz="12" w:space="0" w:color="auto"/>
            </w:tcBorders>
            <w:shd w:val="clear" w:color="auto" w:fill="auto"/>
            <w:noWrap/>
            <w:vAlign w:val="center"/>
            <w:hideMark/>
          </w:tcPr>
          <w:p w14:paraId="752582A5" w14:textId="77777777" w:rsidR="006F2A25" w:rsidRDefault="006F2A25" w:rsidP="00894D65">
            <w:pPr>
              <w:jc w:val="center"/>
              <w:rPr>
                <w:rFonts w:ascii="Calibri" w:hAnsi="Calibri"/>
                <w:color w:val="000000"/>
                <w:sz w:val="22"/>
                <w:szCs w:val="22"/>
              </w:rPr>
            </w:pPr>
            <w:r>
              <w:rPr>
                <w:rFonts w:ascii="Calibri" w:hAnsi="Calibri"/>
                <w:color w:val="000000"/>
                <w:sz w:val="22"/>
                <w:szCs w:val="22"/>
              </w:rPr>
              <w:t> </w:t>
            </w:r>
          </w:p>
        </w:tc>
      </w:tr>
      <w:tr w:rsidR="005C005E" w14:paraId="0B668E4F" w14:textId="77777777" w:rsidTr="00452E38">
        <w:trPr>
          <w:trHeight w:val="315"/>
        </w:trPr>
        <w:tc>
          <w:tcPr>
            <w:tcW w:w="8686" w:type="dxa"/>
            <w:gridSpan w:val="7"/>
            <w:tcBorders>
              <w:top w:val="single" w:sz="4" w:space="0" w:color="auto"/>
              <w:left w:val="single" w:sz="12" w:space="0" w:color="auto"/>
              <w:bottom w:val="single" w:sz="12" w:space="0" w:color="auto"/>
              <w:right w:val="single" w:sz="12" w:space="0" w:color="auto"/>
            </w:tcBorders>
            <w:shd w:val="clear" w:color="auto" w:fill="auto"/>
            <w:noWrap/>
            <w:vAlign w:val="bottom"/>
          </w:tcPr>
          <w:p w14:paraId="2F19C9FC" w14:textId="77777777" w:rsidR="005C005E" w:rsidRDefault="005C005E" w:rsidP="00894D65">
            <w:pPr>
              <w:jc w:val="center"/>
              <w:rPr>
                <w:rFonts w:ascii="Calibri" w:hAnsi="Calibri"/>
                <w:color w:val="000000"/>
                <w:sz w:val="22"/>
                <w:szCs w:val="22"/>
              </w:rPr>
            </w:pPr>
          </w:p>
        </w:tc>
      </w:tr>
      <w:tr w:rsidR="00E16DC0" w14:paraId="1DA76BB0" w14:textId="77777777" w:rsidTr="005C005E">
        <w:trPr>
          <w:trHeight w:val="315"/>
        </w:trPr>
        <w:tc>
          <w:tcPr>
            <w:tcW w:w="3752" w:type="dxa"/>
            <w:tcBorders>
              <w:top w:val="single" w:sz="4" w:space="0" w:color="auto"/>
              <w:left w:val="single" w:sz="12" w:space="0" w:color="auto"/>
              <w:bottom w:val="single" w:sz="12" w:space="0" w:color="auto"/>
              <w:right w:val="single" w:sz="4" w:space="0" w:color="auto"/>
            </w:tcBorders>
            <w:shd w:val="clear" w:color="auto" w:fill="auto"/>
            <w:noWrap/>
            <w:vAlign w:val="bottom"/>
          </w:tcPr>
          <w:p w14:paraId="158B1D84" w14:textId="3ADB0020" w:rsidR="00E16DC0" w:rsidRPr="009A55F4" w:rsidRDefault="00E16DC0" w:rsidP="009A55F4">
            <w:pPr>
              <w:rPr>
                <w:rFonts w:ascii="Calibri" w:hAnsi="Calibri"/>
                <w:b/>
                <w:color w:val="000000"/>
                <w:sz w:val="22"/>
                <w:szCs w:val="22"/>
              </w:rPr>
            </w:pPr>
            <w:r w:rsidRPr="009A55F4">
              <w:rPr>
                <w:rFonts w:ascii="Calibri" w:hAnsi="Calibri"/>
                <w:b/>
                <w:color w:val="000000"/>
                <w:sz w:val="22"/>
                <w:szCs w:val="22"/>
              </w:rPr>
              <w:t>Weighted Final Eligibility Rate</w:t>
            </w:r>
          </w:p>
        </w:tc>
        <w:tc>
          <w:tcPr>
            <w:tcW w:w="717" w:type="dxa"/>
            <w:tcBorders>
              <w:top w:val="single" w:sz="4" w:space="0" w:color="auto"/>
              <w:left w:val="nil"/>
              <w:bottom w:val="single" w:sz="12" w:space="0" w:color="auto"/>
              <w:right w:val="single" w:sz="4" w:space="0" w:color="auto"/>
            </w:tcBorders>
            <w:shd w:val="clear" w:color="auto" w:fill="auto"/>
            <w:noWrap/>
            <w:vAlign w:val="center"/>
          </w:tcPr>
          <w:p w14:paraId="14F80E79" w14:textId="7EA0A682" w:rsidR="00E16DC0" w:rsidRDefault="00E16DC0" w:rsidP="00894D65">
            <w:pPr>
              <w:jc w:val="center"/>
              <w:rPr>
                <w:rFonts w:ascii="Calibri" w:hAnsi="Calibri"/>
                <w:color w:val="000000"/>
                <w:sz w:val="22"/>
                <w:szCs w:val="22"/>
              </w:rPr>
            </w:pPr>
            <w:r>
              <w:rPr>
                <w:rFonts w:ascii="Calibri" w:hAnsi="Calibri"/>
                <w:color w:val="000000"/>
                <w:sz w:val="22"/>
                <w:szCs w:val="22"/>
              </w:rPr>
              <w:t>6,741</w:t>
            </w:r>
          </w:p>
        </w:tc>
        <w:tc>
          <w:tcPr>
            <w:tcW w:w="875" w:type="dxa"/>
            <w:tcBorders>
              <w:top w:val="single" w:sz="4" w:space="0" w:color="auto"/>
              <w:left w:val="nil"/>
              <w:bottom w:val="single" w:sz="12" w:space="0" w:color="auto"/>
              <w:right w:val="single" w:sz="4" w:space="0" w:color="auto"/>
            </w:tcBorders>
            <w:shd w:val="clear" w:color="auto" w:fill="auto"/>
            <w:noWrap/>
            <w:vAlign w:val="center"/>
          </w:tcPr>
          <w:p w14:paraId="0B4FF04F" w14:textId="7420D617" w:rsidR="00E16DC0" w:rsidRDefault="00E16DC0" w:rsidP="005219BC">
            <w:pPr>
              <w:jc w:val="center"/>
              <w:rPr>
                <w:rFonts w:ascii="Calibri" w:hAnsi="Calibri"/>
                <w:color w:val="000000"/>
                <w:sz w:val="22"/>
                <w:szCs w:val="22"/>
              </w:rPr>
            </w:pPr>
            <w:r>
              <w:rPr>
                <w:rFonts w:ascii="Calibri" w:hAnsi="Calibri"/>
                <w:color w:val="000000"/>
                <w:sz w:val="22"/>
                <w:szCs w:val="22"/>
              </w:rPr>
              <w:t>47.7%</w:t>
            </w:r>
          </w:p>
        </w:tc>
        <w:tc>
          <w:tcPr>
            <w:tcW w:w="875" w:type="dxa"/>
            <w:tcBorders>
              <w:top w:val="single" w:sz="4" w:space="0" w:color="auto"/>
              <w:left w:val="nil"/>
              <w:bottom w:val="single" w:sz="12" w:space="0" w:color="auto"/>
              <w:right w:val="single" w:sz="4" w:space="0" w:color="auto"/>
            </w:tcBorders>
            <w:shd w:val="clear" w:color="auto" w:fill="auto"/>
            <w:noWrap/>
            <w:vAlign w:val="center"/>
          </w:tcPr>
          <w:p w14:paraId="14C2AA98" w14:textId="2AC21CC7" w:rsidR="00E16DC0" w:rsidRDefault="00E16DC0" w:rsidP="00894D65">
            <w:pPr>
              <w:jc w:val="center"/>
              <w:rPr>
                <w:rFonts w:ascii="Calibri" w:hAnsi="Calibri"/>
                <w:color w:val="000000"/>
                <w:sz w:val="22"/>
                <w:szCs w:val="22"/>
              </w:rPr>
            </w:pPr>
            <w:r>
              <w:rPr>
                <w:rFonts w:ascii="Calibri" w:hAnsi="Calibri"/>
                <w:color w:val="000000"/>
                <w:sz w:val="22"/>
                <w:szCs w:val="22"/>
              </w:rPr>
              <w:t>0.6%</w:t>
            </w:r>
          </w:p>
        </w:tc>
        <w:tc>
          <w:tcPr>
            <w:tcW w:w="717" w:type="dxa"/>
            <w:tcBorders>
              <w:top w:val="single" w:sz="4" w:space="0" w:color="auto"/>
              <w:left w:val="nil"/>
              <w:bottom w:val="single" w:sz="12" w:space="0" w:color="auto"/>
              <w:right w:val="single" w:sz="4" w:space="0" w:color="auto"/>
            </w:tcBorders>
            <w:shd w:val="clear" w:color="auto" w:fill="auto"/>
            <w:noWrap/>
            <w:vAlign w:val="center"/>
          </w:tcPr>
          <w:p w14:paraId="0B173CEC" w14:textId="73D6D1D6" w:rsidR="00E16DC0" w:rsidRDefault="00E16DC0" w:rsidP="00894D65">
            <w:pPr>
              <w:jc w:val="center"/>
              <w:rPr>
                <w:rFonts w:ascii="Calibri" w:hAnsi="Calibri"/>
                <w:color w:val="000000"/>
                <w:sz w:val="22"/>
                <w:szCs w:val="22"/>
              </w:rPr>
            </w:pPr>
            <w:r>
              <w:rPr>
                <w:rFonts w:ascii="Calibri" w:hAnsi="Calibri"/>
                <w:color w:val="000000"/>
                <w:sz w:val="22"/>
                <w:szCs w:val="22"/>
              </w:rPr>
              <w:t>6,856</w:t>
            </w:r>
          </w:p>
        </w:tc>
        <w:tc>
          <w:tcPr>
            <w:tcW w:w="875" w:type="dxa"/>
            <w:tcBorders>
              <w:top w:val="single" w:sz="4" w:space="0" w:color="auto"/>
              <w:left w:val="nil"/>
              <w:bottom w:val="single" w:sz="12" w:space="0" w:color="auto"/>
              <w:right w:val="single" w:sz="4" w:space="0" w:color="auto"/>
            </w:tcBorders>
            <w:shd w:val="clear" w:color="auto" w:fill="auto"/>
            <w:noWrap/>
            <w:vAlign w:val="center"/>
          </w:tcPr>
          <w:p w14:paraId="1588E9F3" w14:textId="133CECE4" w:rsidR="00E16DC0" w:rsidRDefault="00E16DC0" w:rsidP="005219BC">
            <w:pPr>
              <w:jc w:val="center"/>
              <w:rPr>
                <w:rFonts w:ascii="Calibri" w:hAnsi="Calibri"/>
                <w:color w:val="000000"/>
                <w:sz w:val="22"/>
                <w:szCs w:val="22"/>
              </w:rPr>
            </w:pPr>
            <w:r>
              <w:rPr>
                <w:rFonts w:ascii="Calibri" w:hAnsi="Calibri"/>
                <w:color w:val="000000"/>
                <w:sz w:val="22"/>
                <w:szCs w:val="22"/>
              </w:rPr>
              <w:t>51.4%</w:t>
            </w:r>
          </w:p>
        </w:tc>
        <w:tc>
          <w:tcPr>
            <w:tcW w:w="875" w:type="dxa"/>
            <w:tcBorders>
              <w:top w:val="single" w:sz="4" w:space="0" w:color="auto"/>
              <w:left w:val="nil"/>
              <w:bottom w:val="single" w:sz="12" w:space="0" w:color="auto"/>
              <w:right w:val="single" w:sz="12" w:space="0" w:color="auto"/>
            </w:tcBorders>
            <w:shd w:val="clear" w:color="auto" w:fill="auto"/>
            <w:noWrap/>
            <w:vAlign w:val="center"/>
          </w:tcPr>
          <w:p w14:paraId="4083DC4E" w14:textId="23589AE8" w:rsidR="00E16DC0" w:rsidRDefault="00E16DC0" w:rsidP="00894D65">
            <w:pPr>
              <w:jc w:val="center"/>
              <w:rPr>
                <w:rFonts w:ascii="Calibri" w:hAnsi="Calibri"/>
                <w:color w:val="000000"/>
                <w:sz w:val="22"/>
                <w:szCs w:val="22"/>
              </w:rPr>
            </w:pPr>
            <w:r>
              <w:rPr>
                <w:rFonts w:ascii="Calibri" w:hAnsi="Calibri"/>
                <w:color w:val="000000"/>
                <w:sz w:val="22"/>
                <w:szCs w:val="22"/>
              </w:rPr>
              <w:t>0.6%</w:t>
            </w:r>
          </w:p>
        </w:tc>
      </w:tr>
    </w:tbl>
    <w:p w14:paraId="516696A1" w14:textId="77777777" w:rsidR="005219BC" w:rsidRDefault="005219BC" w:rsidP="00421CBC">
      <w:pPr>
        <w:rPr>
          <w:rFonts w:ascii="Calibri" w:hAnsi="Calibri"/>
          <w:b/>
        </w:rPr>
      </w:pPr>
    </w:p>
    <w:p w14:paraId="7549C815" w14:textId="11731A8B" w:rsidR="005219BC" w:rsidRDefault="00674682" w:rsidP="00421CBC">
      <w:pPr>
        <w:rPr>
          <w:rFonts w:ascii="Calibri" w:hAnsi="Calibri"/>
        </w:rPr>
      </w:pPr>
      <w:r>
        <w:rPr>
          <w:rFonts w:ascii="Calibri" w:hAnsi="Calibri"/>
        </w:rPr>
        <w:t>It appears that Phase 2 was somewhat less effective for the $60 treatment. As a result, the final response rates</w:t>
      </w:r>
      <w:r w:rsidR="005219BC">
        <w:rPr>
          <w:rFonts w:ascii="Calibri" w:hAnsi="Calibri"/>
        </w:rPr>
        <w:t xml:space="preserve"> are </w:t>
      </w:r>
      <w:r w:rsidR="00B517CA">
        <w:rPr>
          <w:rFonts w:ascii="Calibri" w:hAnsi="Calibri"/>
        </w:rPr>
        <w:t xml:space="preserve">very </w:t>
      </w:r>
      <w:r w:rsidR="005219BC">
        <w:rPr>
          <w:rFonts w:ascii="Calibri" w:hAnsi="Calibri"/>
        </w:rPr>
        <w:t xml:space="preserve">similar across the two treatments. Thus, it appears that, with respect to response rates, the impact of the second </w:t>
      </w:r>
      <w:r w:rsidR="00614E76">
        <w:rPr>
          <w:rFonts w:ascii="Calibri" w:hAnsi="Calibri"/>
        </w:rPr>
        <w:t>Phase</w:t>
      </w:r>
      <w:r w:rsidR="005219BC">
        <w:rPr>
          <w:rFonts w:ascii="Calibri" w:hAnsi="Calibri"/>
        </w:rPr>
        <w:t xml:space="preserve"> is somewhat mitigated </w:t>
      </w:r>
      <w:r>
        <w:rPr>
          <w:rFonts w:ascii="Calibri" w:hAnsi="Calibri"/>
        </w:rPr>
        <w:t>following</w:t>
      </w:r>
      <w:r w:rsidR="005219BC">
        <w:rPr>
          <w:rFonts w:ascii="Calibri" w:hAnsi="Calibri"/>
        </w:rPr>
        <w:t xml:space="preserve"> the $60 treatment</w:t>
      </w:r>
      <w:r w:rsidR="00B517CA">
        <w:rPr>
          <w:rFonts w:ascii="Calibri" w:hAnsi="Calibri"/>
        </w:rPr>
        <w:t xml:space="preserve"> in the first </w:t>
      </w:r>
      <w:r w:rsidR="00614E76">
        <w:rPr>
          <w:rFonts w:ascii="Calibri" w:hAnsi="Calibri"/>
        </w:rPr>
        <w:t>Phase</w:t>
      </w:r>
      <w:r w:rsidR="005219BC">
        <w:rPr>
          <w:rFonts w:ascii="Calibri" w:hAnsi="Calibri"/>
        </w:rPr>
        <w:t>.</w:t>
      </w:r>
    </w:p>
    <w:p w14:paraId="4C7EFA54" w14:textId="77777777" w:rsidR="00AF1A1B" w:rsidRDefault="00AF1A1B" w:rsidP="00421CBC">
      <w:pPr>
        <w:rPr>
          <w:rFonts w:ascii="Calibri" w:hAnsi="Calibri"/>
        </w:rPr>
      </w:pPr>
    </w:p>
    <w:p w14:paraId="746632BF" w14:textId="39B28DDB" w:rsidR="00674682" w:rsidRDefault="00674682" w:rsidP="00421CBC">
      <w:pPr>
        <w:rPr>
          <w:rFonts w:ascii="Calibri" w:hAnsi="Calibri"/>
        </w:rPr>
      </w:pPr>
      <w:r>
        <w:rPr>
          <w:rFonts w:ascii="Calibri" w:hAnsi="Calibri"/>
        </w:rPr>
        <w:t xml:space="preserve">Table </w:t>
      </w:r>
      <w:r w:rsidR="00DF2E6F">
        <w:rPr>
          <w:rFonts w:ascii="Calibri" w:hAnsi="Calibri"/>
        </w:rPr>
        <w:t>5</w:t>
      </w:r>
      <w:r w:rsidR="0071760A">
        <w:rPr>
          <w:rFonts w:ascii="Calibri" w:hAnsi="Calibri"/>
        </w:rPr>
        <w:t xml:space="preserve"> </w:t>
      </w:r>
      <w:r>
        <w:rPr>
          <w:rFonts w:ascii="Calibri" w:hAnsi="Calibri"/>
        </w:rPr>
        <w:t xml:space="preserve">shows the weighted Phase 2 main interview rates by demographic subgroup. In this case, there is a consistent pattern that favors the $40 treatment. </w:t>
      </w:r>
      <w:r w:rsidR="001C73A4">
        <w:rPr>
          <w:rFonts w:ascii="Calibri" w:hAnsi="Calibri"/>
        </w:rPr>
        <w:t xml:space="preserve">In each case, the $40 treatment has the higher main interview rate. </w:t>
      </w:r>
      <w:r w:rsidR="00B517CA">
        <w:rPr>
          <w:rFonts w:ascii="Calibri" w:hAnsi="Calibri"/>
        </w:rPr>
        <w:t>S</w:t>
      </w:r>
      <w:r>
        <w:rPr>
          <w:rFonts w:ascii="Calibri" w:hAnsi="Calibri"/>
        </w:rPr>
        <w:t xml:space="preserve">everal of these differences are significant or marginally significant. </w:t>
      </w:r>
    </w:p>
    <w:p w14:paraId="67973C95" w14:textId="77777777" w:rsidR="00674682" w:rsidRDefault="00674682" w:rsidP="00421CBC">
      <w:pPr>
        <w:rPr>
          <w:rFonts w:ascii="Calibri" w:hAnsi="Calibri"/>
        </w:rPr>
      </w:pPr>
    </w:p>
    <w:p w14:paraId="2FFBFD44" w14:textId="14F47F02" w:rsidR="00674682" w:rsidRPr="00D30CC0" w:rsidRDefault="00674682" w:rsidP="00421CBC">
      <w:pPr>
        <w:rPr>
          <w:rFonts w:ascii="Calibri" w:hAnsi="Calibri"/>
          <w:b/>
        </w:rPr>
      </w:pPr>
      <w:r w:rsidRPr="00D30CC0">
        <w:rPr>
          <w:rFonts w:ascii="Calibri" w:hAnsi="Calibri"/>
          <w:b/>
        </w:rPr>
        <w:t xml:space="preserve">Table </w:t>
      </w:r>
      <w:r w:rsidR="00DF2E6F" w:rsidRPr="00D30CC0">
        <w:rPr>
          <w:rFonts w:ascii="Calibri" w:hAnsi="Calibri"/>
          <w:b/>
        </w:rPr>
        <w:t>5</w:t>
      </w:r>
      <w:r w:rsidRPr="00D30CC0">
        <w:rPr>
          <w:rFonts w:ascii="Calibri" w:hAnsi="Calibri"/>
          <w:b/>
        </w:rPr>
        <w:t>. Weighted Phase 2 Main Interview Rate by Demographic Subgroup</w:t>
      </w:r>
    </w:p>
    <w:tbl>
      <w:tblPr>
        <w:tblW w:w="9135" w:type="dxa"/>
        <w:tblInd w:w="93" w:type="dxa"/>
        <w:tblLook w:val="04A0" w:firstRow="1" w:lastRow="0" w:firstColumn="1" w:lastColumn="0" w:noHBand="0" w:noVBand="1"/>
      </w:tblPr>
      <w:tblGrid>
        <w:gridCol w:w="1635"/>
        <w:gridCol w:w="900"/>
        <w:gridCol w:w="1100"/>
        <w:gridCol w:w="790"/>
        <w:gridCol w:w="900"/>
        <w:gridCol w:w="1120"/>
        <w:gridCol w:w="770"/>
        <w:gridCol w:w="960"/>
        <w:gridCol w:w="960"/>
      </w:tblGrid>
      <w:tr w:rsidR="00674682" w14:paraId="3CA104B7" w14:textId="77777777" w:rsidTr="00674682">
        <w:trPr>
          <w:trHeight w:val="315"/>
        </w:trPr>
        <w:tc>
          <w:tcPr>
            <w:tcW w:w="1635" w:type="dxa"/>
            <w:vMerge w:val="restart"/>
            <w:tcBorders>
              <w:top w:val="single" w:sz="12" w:space="0" w:color="auto"/>
              <w:left w:val="single" w:sz="12" w:space="0" w:color="auto"/>
              <w:bottom w:val="nil"/>
              <w:right w:val="single" w:sz="4" w:space="0" w:color="auto"/>
            </w:tcBorders>
            <w:shd w:val="clear" w:color="auto" w:fill="auto"/>
            <w:vAlign w:val="center"/>
            <w:hideMark/>
          </w:tcPr>
          <w:p w14:paraId="73C5CCD0" w14:textId="7B9393BA" w:rsidR="00674682" w:rsidRDefault="00674682">
            <w:pPr>
              <w:rPr>
                <w:rFonts w:ascii="Calibri" w:hAnsi="Calibri"/>
                <w:b/>
                <w:bCs/>
                <w:color w:val="000000"/>
                <w:sz w:val="22"/>
                <w:szCs w:val="22"/>
              </w:rPr>
            </w:pPr>
          </w:p>
        </w:tc>
        <w:tc>
          <w:tcPr>
            <w:tcW w:w="2790" w:type="dxa"/>
            <w:gridSpan w:val="3"/>
            <w:tcBorders>
              <w:top w:val="single" w:sz="12" w:space="0" w:color="auto"/>
              <w:left w:val="nil"/>
              <w:bottom w:val="single" w:sz="4" w:space="0" w:color="auto"/>
              <w:right w:val="single" w:sz="4" w:space="0" w:color="auto"/>
            </w:tcBorders>
            <w:shd w:val="clear" w:color="auto" w:fill="auto"/>
            <w:vAlign w:val="center"/>
            <w:hideMark/>
          </w:tcPr>
          <w:p w14:paraId="064F3470" w14:textId="77777777" w:rsidR="00674682" w:rsidRDefault="00674682">
            <w:pPr>
              <w:jc w:val="center"/>
              <w:rPr>
                <w:rFonts w:ascii="Calibri" w:hAnsi="Calibri"/>
                <w:b/>
                <w:bCs/>
                <w:color w:val="000000"/>
                <w:sz w:val="22"/>
                <w:szCs w:val="22"/>
              </w:rPr>
            </w:pPr>
            <w:r>
              <w:rPr>
                <w:rFonts w:ascii="Calibri" w:hAnsi="Calibri"/>
                <w:b/>
                <w:bCs/>
                <w:color w:val="000000"/>
                <w:sz w:val="22"/>
                <w:szCs w:val="22"/>
              </w:rPr>
              <w:t xml:space="preserve">$40 </w:t>
            </w:r>
          </w:p>
        </w:tc>
        <w:tc>
          <w:tcPr>
            <w:tcW w:w="2790" w:type="dxa"/>
            <w:gridSpan w:val="3"/>
            <w:tcBorders>
              <w:top w:val="single" w:sz="12" w:space="0" w:color="auto"/>
              <w:left w:val="nil"/>
              <w:bottom w:val="single" w:sz="4" w:space="0" w:color="auto"/>
              <w:right w:val="single" w:sz="4" w:space="0" w:color="auto"/>
            </w:tcBorders>
            <w:shd w:val="clear" w:color="auto" w:fill="auto"/>
            <w:vAlign w:val="center"/>
            <w:hideMark/>
          </w:tcPr>
          <w:p w14:paraId="279B5D51" w14:textId="77777777" w:rsidR="00674682" w:rsidRDefault="00674682">
            <w:pPr>
              <w:jc w:val="center"/>
              <w:rPr>
                <w:rFonts w:ascii="Calibri" w:hAnsi="Calibri"/>
                <w:b/>
                <w:bCs/>
                <w:color w:val="000000"/>
                <w:sz w:val="22"/>
                <w:szCs w:val="22"/>
              </w:rPr>
            </w:pPr>
            <w:r>
              <w:rPr>
                <w:rFonts w:ascii="Calibri" w:hAnsi="Calibri"/>
                <w:b/>
                <w:bCs/>
                <w:color w:val="000000"/>
                <w:sz w:val="22"/>
                <w:szCs w:val="22"/>
              </w:rPr>
              <w:t xml:space="preserve">$60 </w:t>
            </w:r>
          </w:p>
        </w:tc>
        <w:tc>
          <w:tcPr>
            <w:tcW w:w="960" w:type="dxa"/>
            <w:vMerge w:val="restart"/>
            <w:tcBorders>
              <w:top w:val="single" w:sz="12" w:space="0" w:color="auto"/>
              <w:left w:val="single" w:sz="4" w:space="0" w:color="auto"/>
              <w:bottom w:val="single" w:sz="8" w:space="0" w:color="000000"/>
              <w:right w:val="single" w:sz="8" w:space="0" w:color="auto"/>
            </w:tcBorders>
            <w:shd w:val="clear" w:color="auto" w:fill="auto"/>
            <w:vAlign w:val="bottom"/>
            <w:hideMark/>
          </w:tcPr>
          <w:p w14:paraId="0E57C1D9" w14:textId="77777777" w:rsidR="00674682" w:rsidRDefault="00674682">
            <w:pPr>
              <w:jc w:val="center"/>
              <w:rPr>
                <w:rFonts w:ascii="Calibri" w:hAnsi="Calibri"/>
                <w:b/>
                <w:bCs/>
                <w:color w:val="000000"/>
                <w:sz w:val="22"/>
                <w:szCs w:val="22"/>
              </w:rPr>
            </w:pPr>
            <w:r>
              <w:rPr>
                <w:rFonts w:ascii="Calibri" w:hAnsi="Calibri"/>
                <w:b/>
                <w:bCs/>
                <w:color w:val="000000"/>
                <w:sz w:val="22"/>
                <w:szCs w:val="22"/>
              </w:rPr>
              <w:t>Comp Rate Diff ($60-$40)</w:t>
            </w:r>
          </w:p>
        </w:tc>
        <w:tc>
          <w:tcPr>
            <w:tcW w:w="960" w:type="dxa"/>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14:paraId="57B45801" w14:textId="3F3D4877" w:rsidR="00674682" w:rsidRPr="001C73A4" w:rsidRDefault="00674682">
            <w:pPr>
              <w:jc w:val="center"/>
              <w:rPr>
                <w:rFonts w:ascii="Calibri" w:hAnsi="Calibri"/>
                <w:b/>
                <w:i/>
                <w:iCs/>
                <w:color w:val="000000"/>
                <w:sz w:val="22"/>
                <w:szCs w:val="22"/>
              </w:rPr>
            </w:pPr>
            <w:r w:rsidRPr="001C73A4">
              <w:rPr>
                <w:rFonts w:ascii="Calibri" w:hAnsi="Calibri"/>
                <w:b/>
                <w:i/>
                <w:iCs/>
                <w:color w:val="000000"/>
                <w:sz w:val="22"/>
                <w:szCs w:val="22"/>
              </w:rPr>
              <w:t>p-value</w:t>
            </w:r>
          </w:p>
        </w:tc>
      </w:tr>
      <w:tr w:rsidR="00674682" w14:paraId="346E0A01" w14:textId="77777777" w:rsidTr="00330C79">
        <w:trPr>
          <w:trHeight w:val="300"/>
        </w:trPr>
        <w:tc>
          <w:tcPr>
            <w:tcW w:w="1635" w:type="dxa"/>
            <w:vMerge/>
            <w:tcBorders>
              <w:top w:val="single" w:sz="12" w:space="0" w:color="auto"/>
              <w:left w:val="single" w:sz="12" w:space="0" w:color="auto"/>
              <w:bottom w:val="nil"/>
              <w:right w:val="single" w:sz="4" w:space="0" w:color="auto"/>
            </w:tcBorders>
            <w:vAlign w:val="center"/>
            <w:hideMark/>
          </w:tcPr>
          <w:p w14:paraId="083EBEF8" w14:textId="77777777" w:rsidR="00674682" w:rsidRDefault="00674682">
            <w:pPr>
              <w:rPr>
                <w:rFonts w:ascii="Calibri" w:hAnsi="Calibri"/>
                <w:b/>
                <w:bCs/>
                <w:color w:val="000000"/>
                <w:sz w:val="22"/>
                <w:szCs w:val="22"/>
              </w:rPr>
            </w:pPr>
          </w:p>
        </w:tc>
        <w:tc>
          <w:tcPr>
            <w:tcW w:w="900" w:type="dxa"/>
            <w:vMerge w:val="restart"/>
            <w:tcBorders>
              <w:top w:val="nil"/>
              <w:left w:val="single" w:sz="4" w:space="0" w:color="auto"/>
              <w:bottom w:val="single" w:sz="4" w:space="0" w:color="auto"/>
              <w:right w:val="single" w:sz="4" w:space="0" w:color="auto"/>
            </w:tcBorders>
            <w:shd w:val="clear" w:color="auto" w:fill="auto"/>
            <w:vAlign w:val="bottom"/>
            <w:hideMark/>
          </w:tcPr>
          <w:p w14:paraId="6A30E571" w14:textId="77777777" w:rsidR="00674682" w:rsidRDefault="00674682" w:rsidP="00330C79">
            <w:pPr>
              <w:jc w:val="center"/>
              <w:rPr>
                <w:rFonts w:ascii="Calibri" w:hAnsi="Calibri"/>
                <w:b/>
                <w:bCs/>
                <w:color w:val="000000"/>
                <w:sz w:val="22"/>
                <w:szCs w:val="22"/>
              </w:rPr>
            </w:pPr>
            <w:r>
              <w:rPr>
                <w:rFonts w:ascii="Calibri" w:hAnsi="Calibri"/>
                <w:b/>
                <w:bCs/>
                <w:color w:val="000000"/>
                <w:sz w:val="22"/>
                <w:szCs w:val="22"/>
              </w:rPr>
              <w:t>N</w:t>
            </w:r>
          </w:p>
        </w:tc>
        <w:tc>
          <w:tcPr>
            <w:tcW w:w="1100" w:type="dxa"/>
            <w:vMerge w:val="restart"/>
            <w:tcBorders>
              <w:top w:val="nil"/>
              <w:left w:val="single" w:sz="4" w:space="0" w:color="auto"/>
              <w:bottom w:val="single" w:sz="4" w:space="0" w:color="auto"/>
              <w:right w:val="single" w:sz="4" w:space="0" w:color="auto"/>
            </w:tcBorders>
            <w:shd w:val="clear" w:color="auto" w:fill="auto"/>
            <w:vAlign w:val="bottom"/>
            <w:hideMark/>
          </w:tcPr>
          <w:p w14:paraId="70DF067A" w14:textId="77777777" w:rsidR="00674682" w:rsidRDefault="00674682" w:rsidP="00330C79">
            <w:pPr>
              <w:jc w:val="center"/>
              <w:rPr>
                <w:rFonts w:ascii="Calibri" w:hAnsi="Calibri"/>
                <w:b/>
                <w:bCs/>
                <w:color w:val="000000"/>
                <w:sz w:val="22"/>
                <w:szCs w:val="22"/>
              </w:rPr>
            </w:pPr>
            <w:r>
              <w:rPr>
                <w:rFonts w:ascii="Calibri" w:hAnsi="Calibri"/>
                <w:b/>
                <w:bCs/>
                <w:color w:val="000000"/>
                <w:sz w:val="22"/>
                <w:szCs w:val="22"/>
              </w:rPr>
              <w:t>% Complete</w:t>
            </w:r>
          </w:p>
        </w:tc>
        <w:tc>
          <w:tcPr>
            <w:tcW w:w="790" w:type="dxa"/>
            <w:vMerge w:val="restart"/>
            <w:tcBorders>
              <w:top w:val="nil"/>
              <w:left w:val="single" w:sz="4" w:space="0" w:color="auto"/>
              <w:bottom w:val="single" w:sz="4" w:space="0" w:color="auto"/>
              <w:right w:val="single" w:sz="4" w:space="0" w:color="auto"/>
            </w:tcBorders>
            <w:shd w:val="clear" w:color="auto" w:fill="auto"/>
            <w:vAlign w:val="bottom"/>
            <w:hideMark/>
          </w:tcPr>
          <w:p w14:paraId="37085BC6" w14:textId="77777777" w:rsidR="00674682" w:rsidRDefault="00674682" w:rsidP="00330C79">
            <w:pPr>
              <w:jc w:val="center"/>
              <w:rPr>
                <w:rFonts w:ascii="Calibri" w:hAnsi="Calibri"/>
                <w:b/>
                <w:bCs/>
                <w:i/>
                <w:iCs/>
                <w:color w:val="000000"/>
                <w:sz w:val="22"/>
                <w:szCs w:val="22"/>
              </w:rPr>
            </w:pPr>
            <w:r>
              <w:rPr>
                <w:rFonts w:ascii="Calibri" w:hAnsi="Calibri"/>
                <w:b/>
                <w:bCs/>
                <w:i/>
                <w:iCs/>
                <w:color w:val="000000"/>
                <w:sz w:val="22"/>
                <w:szCs w:val="22"/>
              </w:rPr>
              <w:t>(SE)</w:t>
            </w:r>
          </w:p>
        </w:tc>
        <w:tc>
          <w:tcPr>
            <w:tcW w:w="900" w:type="dxa"/>
            <w:vMerge w:val="restart"/>
            <w:tcBorders>
              <w:top w:val="nil"/>
              <w:left w:val="single" w:sz="4" w:space="0" w:color="auto"/>
              <w:bottom w:val="single" w:sz="4" w:space="0" w:color="auto"/>
              <w:right w:val="single" w:sz="4" w:space="0" w:color="auto"/>
            </w:tcBorders>
            <w:shd w:val="clear" w:color="auto" w:fill="auto"/>
            <w:vAlign w:val="bottom"/>
            <w:hideMark/>
          </w:tcPr>
          <w:p w14:paraId="56B592AB" w14:textId="77777777" w:rsidR="00674682" w:rsidRDefault="00674682" w:rsidP="00330C79">
            <w:pPr>
              <w:jc w:val="center"/>
              <w:rPr>
                <w:rFonts w:ascii="Calibri" w:hAnsi="Calibri"/>
                <w:b/>
                <w:bCs/>
                <w:color w:val="000000"/>
                <w:sz w:val="22"/>
                <w:szCs w:val="22"/>
              </w:rPr>
            </w:pPr>
            <w:r>
              <w:rPr>
                <w:rFonts w:ascii="Calibri" w:hAnsi="Calibri"/>
                <w:b/>
                <w:bCs/>
                <w:color w:val="000000"/>
                <w:sz w:val="22"/>
                <w:szCs w:val="22"/>
              </w:rPr>
              <w:t>N</w:t>
            </w:r>
          </w:p>
        </w:tc>
        <w:tc>
          <w:tcPr>
            <w:tcW w:w="1120" w:type="dxa"/>
            <w:vMerge w:val="restart"/>
            <w:tcBorders>
              <w:top w:val="nil"/>
              <w:left w:val="single" w:sz="4" w:space="0" w:color="auto"/>
              <w:bottom w:val="single" w:sz="4" w:space="0" w:color="auto"/>
              <w:right w:val="single" w:sz="4" w:space="0" w:color="auto"/>
            </w:tcBorders>
            <w:shd w:val="clear" w:color="auto" w:fill="auto"/>
            <w:vAlign w:val="bottom"/>
            <w:hideMark/>
          </w:tcPr>
          <w:p w14:paraId="0EC89EDD" w14:textId="77777777" w:rsidR="00674682" w:rsidRDefault="00674682" w:rsidP="00330C79">
            <w:pPr>
              <w:jc w:val="center"/>
              <w:rPr>
                <w:rFonts w:ascii="Calibri" w:hAnsi="Calibri"/>
                <w:b/>
                <w:bCs/>
                <w:color w:val="000000"/>
                <w:sz w:val="22"/>
                <w:szCs w:val="22"/>
              </w:rPr>
            </w:pPr>
            <w:r>
              <w:rPr>
                <w:rFonts w:ascii="Calibri" w:hAnsi="Calibri"/>
                <w:b/>
                <w:bCs/>
                <w:color w:val="000000"/>
                <w:sz w:val="22"/>
                <w:szCs w:val="22"/>
              </w:rPr>
              <w:t>% Complete</w:t>
            </w:r>
          </w:p>
        </w:tc>
        <w:tc>
          <w:tcPr>
            <w:tcW w:w="770" w:type="dxa"/>
            <w:vMerge w:val="restart"/>
            <w:tcBorders>
              <w:top w:val="nil"/>
              <w:left w:val="single" w:sz="4" w:space="0" w:color="auto"/>
              <w:bottom w:val="single" w:sz="4" w:space="0" w:color="auto"/>
              <w:right w:val="nil"/>
            </w:tcBorders>
            <w:shd w:val="clear" w:color="auto" w:fill="auto"/>
            <w:vAlign w:val="bottom"/>
            <w:hideMark/>
          </w:tcPr>
          <w:p w14:paraId="4183379C" w14:textId="77777777" w:rsidR="00674682" w:rsidRDefault="00674682" w:rsidP="00330C79">
            <w:pPr>
              <w:jc w:val="center"/>
              <w:rPr>
                <w:rFonts w:ascii="Calibri" w:hAnsi="Calibri"/>
                <w:b/>
                <w:bCs/>
                <w:i/>
                <w:iCs/>
                <w:color w:val="000000"/>
                <w:sz w:val="22"/>
                <w:szCs w:val="22"/>
              </w:rPr>
            </w:pPr>
            <w:r>
              <w:rPr>
                <w:rFonts w:ascii="Calibri" w:hAnsi="Calibri"/>
                <w:b/>
                <w:bCs/>
                <w:i/>
                <w:iCs/>
                <w:color w:val="000000"/>
                <w:sz w:val="22"/>
                <w:szCs w:val="22"/>
              </w:rPr>
              <w:t>(SE)</w:t>
            </w:r>
          </w:p>
        </w:tc>
        <w:tc>
          <w:tcPr>
            <w:tcW w:w="960" w:type="dxa"/>
            <w:vMerge/>
            <w:tcBorders>
              <w:top w:val="single" w:sz="12" w:space="0" w:color="auto"/>
              <w:left w:val="single" w:sz="4" w:space="0" w:color="auto"/>
              <w:bottom w:val="single" w:sz="8" w:space="0" w:color="000000"/>
              <w:right w:val="single" w:sz="8" w:space="0" w:color="auto"/>
            </w:tcBorders>
            <w:vAlign w:val="center"/>
            <w:hideMark/>
          </w:tcPr>
          <w:p w14:paraId="61F945C5" w14:textId="77777777" w:rsidR="00674682" w:rsidRDefault="00674682">
            <w:pPr>
              <w:rPr>
                <w:rFonts w:ascii="Calibri" w:hAnsi="Calibri"/>
                <w:b/>
                <w:bCs/>
                <w:color w:val="000000"/>
                <w:sz w:val="22"/>
                <w:szCs w:val="22"/>
              </w:rPr>
            </w:pPr>
          </w:p>
        </w:tc>
        <w:tc>
          <w:tcPr>
            <w:tcW w:w="960" w:type="dxa"/>
            <w:vMerge/>
            <w:tcBorders>
              <w:top w:val="single" w:sz="12" w:space="0" w:color="auto"/>
              <w:left w:val="single" w:sz="8" w:space="0" w:color="auto"/>
              <w:bottom w:val="single" w:sz="8" w:space="0" w:color="000000"/>
              <w:right w:val="single" w:sz="12" w:space="0" w:color="auto"/>
            </w:tcBorders>
            <w:vAlign w:val="center"/>
            <w:hideMark/>
          </w:tcPr>
          <w:p w14:paraId="32F67833" w14:textId="77777777" w:rsidR="00674682" w:rsidRDefault="00674682">
            <w:pPr>
              <w:rPr>
                <w:rFonts w:ascii="Calibri" w:hAnsi="Calibri"/>
                <w:i/>
                <w:iCs/>
                <w:color w:val="000000"/>
                <w:sz w:val="22"/>
                <w:szCs w:val="22"/>
              </w:rPr>
            </w:pPr>
          </w:p>
        </w:tc>
      </w:tr>
      <w:tr w:rsidR="00674682" w14:paraId="01069D25" w14:textId="77777777" w:rsidTr="00674682">
        <w:trPr>
          <w:trHeight w:val="315"/>
        </w:trPr>
        <w:tc>
          <w:tcPr>
            <w:tcW w:w="1635" w:type="dxa"/>
            <w:vMerge/>
            <w:tcBorders>
              <w:top w:val="single" w:sz="12" w:space="0" w:color="auto"/>
              <w:left w:val="single" w:sz="12" w:space="0" w:color="auto"/>
              <w:bottom w:val="nil"/>
              <w:right w:val="single" w:sz="4" w:space="0" w:color="auto"/>
            </w:tcBorders>
            <w:vAlign w:val="center"/>
            <w:hideMark/>
          </w:tcPr>
          <w:p w14:paraId="7C829B28" w14:textId="77777777" w:rsidR="00674682" w:rsidRDefault="00674682">
            <w:pPr>
              <w:rPr>
                <w:rFonts w:ascii="Calibri" w:hAnsi="Calibri"/>
                <w:b/>
                <w:bCs/>
                <w:color w:val="000000"/>
                <w:sz w:val="22"/>
                <w:szCs w:val="22"/>
              </w:rPr>
            </w:pPr>
          </w:p>
        </w:tc>
        <w:tc>
          <w:tcPr>
            <w:tcW w:w="900" w:type="dxa"/>
            <w:vMerge/>
            <w:tcBorders>
              <w:top w:val="nil"/>
              <w:left w:val="single" w:sz="4" w:space="0" w:color="auto"/>
              <w:bottom w:val="single" w:sz="4" w:space="0" w:color="auto"/>
              <w:right w:val="single" w:sz="4" w:space="0" w:color="auto"/>
            </w:tcBorders>
            <w:vAlign w:val="center"/>
            <w:hideMark/>
          </w:tcPr>
          <w:p w14:paraId="398742B8" w14:textId="77777777" w:rsidR="00674682" w:rsidRDefault="00674682">
            <w:pPr>
              <w:rPr>
                <w:rFonts w:ascii="Calibri" w:hAnsi="Calibri"/>
                <w:b/>
                <w:bCs/>
                <w:color w:val="000000"/>
                <w:sz w:val="22"/>
                <w:szCs w:val="22"/>
              </w:rPr>
            </w:pPr>
          </w:p>
        </w:tc>
        <w:tc>
          <w:tcPr>
            <w:tcW w:w="1100" w:type="dxa"/>
            <w:vMerge/>
            <w:tcBorders>
              <w:top w:val="nil"/>
              <w:left w:val="single" w:sz="4" w:space="0" w:color="auto"/>
              <w:bottom w:val="single" w:sz="4" w:space="0" w:color="auto"/>
              <w:right w:val="single" w:sz="4" w:space="0" w:color="auto"/>
            </w:tcBorders>
            <w:vAlign w:val="center"/>
            <w:hideMark/>
          </w:tcPr>
          <w:p w14:paraId="151769FC" w14:textId="77777777" w:rsidR="00674682" w:rsidRDefault="00674682">
            <w:pPr>
              <w:rPr>
                <w:rFonts w:ascii="Calibri" w:hAnsi="Calibri"/>
                <w:b/>
                <w:bCs/>
                <w:color w:val="000000"/>
                <w:sz w:val="22"/>
                <w:szCs w:val="22"/>
              </w:rPr>
            </w:pPr>
          </w:p>
        </w:tc>
        <w:tc>
          <w:tcPr>
            <w:tcW w:w="790" w:type="dxa"/>
            <w:vMerge/>
            <w:tcBorders>
              <w:top w:val="nil"/>
              <w:left w:val="single" w:sz="4" w:space="0" w:color="auto"/>
              <w:bottom w:val="single" w:sz="4" w:space="0" w:color="auto"/>
              <w:right w:val="single" w:sz="4" w:space="0" w:color="auto"/>
            </w:tcBorders>
            <w:vAlign w:val="center"/>
            <w:hideMark/>
          </w:tcPr>
          <w:p w14:paraId="3E49938E" w14:textId="77777777" w:rsidR="00674682" w:rsidRDefault="00674682">
            <w:pPr>
              <w:rPr>
                <w:rFonts w:ascii="Calibri" w:hAnsi="Calibri"/>
                <w:b/>
                <w:bCs/>
                <w:i/>
                <w:iCs/>
                <w:color w:val="000000"/>
                <w:sz w:val="22"/>
                <w:szCs w:val="22"/>
              </w:rPr>
            </w:pPr>
          </w:p>
        </w:tc>
        <w:tc>
          <w:tcPr>
            <w:tcW w:w="900" w:type="dxa"/>
            <w:vMerge/>
            <w:tcBorders>
              <w:top w:val="nil"/>
              <w:left w:val="single" w:sz="4" w:space="0" w:color="auto"/>
              <w:bottom w:val="single" w:sz="4" w:space="0" w:color="auto"/>
              <w:right w:val="single" w:sz="4" w:space="0" w:color="auto"/>
            </w:tcBorders>
            <w:vAlign w:val="center"/>
            <w:hideMark/>
          </w:tcPr>
          <w:p w14:paraId="27AE9278" w14:textId="77777777" w:rsidR="00674682" w:rsidRDefault="00674682">
            <w:pPr>
              <w:rPr>
                <w:rFonts w:ascii="Calibri" w:hAnsi="Calibri"/>
                <w:b/>
                <w:bCs/>
                <w:color w:val="00000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14:paraId="6F35BDF0" w14:textId="77777777" w:rsidR="00674682" w:rsidRDefault="00674682">
            <w:pPr>
              <w:rPr>
                <w:rFonts w:ascii="Calibri" w:hAnsi="Calibri"/>
                <w:b/>
                <w:bCs/>
                <w:color w:val="000000"/>
                <w:sz w:val="22"/>
                <w:szCs w:val="22"/>
              </w:rPr>
            </w:pPr>
          </w:p>
        </w:tc>
        <w:tc>
          <w:tcPr>
            <w:tcW w:w="770" w:type="dxa"/>
            <w:vMerge/>
            <w:tcBorders>
              <w:top w:val="nil"/>
              <w:left w:val="single" w:sz="4" w:space="0" w:color="auto"/>
              <w:bottom w:val="single" w:sz="4" w:space="0" w:color="auto"/>
              <w:right w:val="nil"/>
            </w:tcBorders>
            <w:vAlign w:val="center"/>
            <w:hideMark/>
          </w:tcPr>
          <w:p w14:paraId="7BC490CD" w14:textId="77777777" w:rsidR="00674682" w:rsidRDefault="00674682">
            <w:pPr>
              <w:rPr>
                <w:rFonts w:ascii="Calibri" w:hAnsi="Calibri"/>
                <w:b/>
                <w:bCs/>
                <w:i/>
                <w:iCs/>
                <w:color w:val="000000"/>
                <w:sz w:val="22"/>
                <w:szCs w:val="22"/>
              </w:rPr>
            </w:pPr>
          </w:p>
        </w:tc>
        <w:tc>
          <w:tcPr>
            <w:tcW w:w="960" w:type="dxa"/>
            <w:vMerge/>
            <w:tcBorders>
              <w:top w:val="single" w:sz="12" w:space="0" w:color="auto"/>
              <w:left w:val="single" w:sz="4" w:space="0" w:color="auto"/>
              <w:bottom w:val="single" w:sz="8" w:space="0" w:color="000000"/>
              <w:right w:val="single" w:sz="8" w:space="0" w:color="auto"/>
            </w:tcBorders>
            <w:vAlign w:val="center"/>
            <w:hideMark/>
          </w:tcPr>
          <w:p w14:paraId="3EF408FA" w14:textId="77777777" w:rsidR="00674682" w:rsidRDefault="00674682">
            <w:pPr>
              <w:rPr>
                <w:rFonts w:ascii="Calibri" w:hAnsi="Calibri"/>
                <w:b/>
                <w:bCs/>
                <w:color w:val="000000"/>
                <w:sz w:val="22"/>
                <w:szCs w:val="22"/>
              </w:rPr>
            </w:pPr>
          </w:p>
        </w:tc>
        <w:tc>
          <w:tcPr>
            <w:tcW w:w="960" w:type="dxa"/>
            <w:vMerge/>
            <w:tcBorders>
              <w:top w:val="single" w:sz="12" w:space="0" w:color="auto"/>
              <w:left w:val="single" w:sz="8" w:space="0" w:color="auto"/>
              <w:bottom w:val="single" w:sz="8" w:space="0" w:color="000000"/>
              <w:right w:val="single" w:sz="12" w:space="0" w:color="auto"/>
            </w:tcBorders>
            <w:vAlign w:val="center"/>
            <w:hideMark/>
          </w:tcPr>
          <w:p w14:paraId="33092614" w14:textId="77777777" w:rsidR="00674682" w:rsidRDefault="00674682">
            <w:pPr>
              <w:rPr>
                <w:rFonts w:ascii="Calibri" w:hAnsi="Calibri"/>
                <w:i/>
                <w:iCs/>
                <w:color w:val="000000"/>
                <w:sz w:val="22"/>
                <w:szCs w:val="22"/>
              </w:rPr>
            </w:pPr>
          </w:p>
        </w:tc>
      </w:tr>
      <w:tr w:rsidR="00674682" w14:paraId="76FCAC9D" w14:textId="77777777" w:rsidTr="00674682">
        <w:trPr>
          <w:trHeight w:val="315"/>
        </w:trPr>
        <w:tc>
          <w:tcPr>
            <w:tcW w:w="9135" w:type="dxa"/>
            <w:gridSpan w:val="9"/>
            <w:tcBorders>
              <w:top w:val="single" w:sz="8" w:space="0" w:color="auto"/>
              <w:left w:val="single" w:sz="12" w:space="0" w:color="auto"/>
              <w:bottom w:val="single" w:sz="8" w:space="0" w:color="auto"/>
              <w:right w:val="single" w:sz="12" w:space="0" w:color="000000"/>
            </w:tcBorders>
            <w:shd w:val="clear" w:color="auto" w:fill="auto"/>
            <w:vAlign w:val="center"/>
            <w:hideMark/>
          </w:tcPr>
          <w:p w14:paraId="75C739AE" w14:textId="77777777" w:rsidR="00674682" w:rsidRDefault="00674682">
            <w:pPr>
              <w:rPr>
                <w:rFonts w:ascii="Calibri" w:hAnsi="Calibri"/>
                <w:b/>
                <w:bCs/>
                <w:color w:val="000000"/>
                <w:sz w:val="22"/>
                <w:szCs w:val="22"/>
              </w:rPr>
            </w:pPr>
            <w:r>
              <w:rPr>
                <w:rFonts w:ascii="Calibri" w:hAnsi="Calibri"/>
                <w:b/>
                <w:bCs/>
                <w:color w:val="000000"/>
                <w:sz w:val="22"/>
                <w:szCs w:val="22"/>
              </w:rPr>
              <w:t>Overall</w:t>
            </w:r>
          </w:p>
        </w:tc>
      </w:tr>
      <w:tr w:rsidR="00674682" w14:paraId="26788891" w14:textId="77777777" w:rsidTr="00674682">
        <w:trPr>
          <w:trHeight w:val="315"/>
        </w:trPr>
        <w:tc>
          <w:tcPr>
            <w:tcW w:w="1635" w:type="dxa"/>
            <w:tcBorders>
              <w:top w:val="nil"/>
              <w:left w:val="single" w:sz="12" w:space="0" w:color="auto"/>
              <w:bottom w:val="single" w:sz="4" w:space="0" w:color="auto"/>
              <w:right w:val="single" w:sz="4" w:space="0" w:color="auto"/>
            </w:tcBorders>
            <w:shd w:val="clear" w:color="auto" w:fill="auto"/>
            <w:vAlign w:val="center"/>
            <w:hideMark/>
          </w:tcPr>
          <w:p w14:paraId="5676F7B3" w14:textId="77777777" w:rsidR="00674682" w:rsidRDefault="00674682">
            <w:pPr>
              <w:rPr>
                <w:rFonts w:ascii="Calibri" w:hAnsi="Calibri"/>
                <w:color w:val="000000"/>
                <w:sz w:val="22"/>
                <w:szCs w:val="22"/>
              </w:rPr>
            </w:pPr>
            <w:r>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center"/>
            <w:hideMark/>
          </w:tcPr>
          <w:p w14:paraId="2D0960D3" w14:textId="77777777" w:rsidR="00674682" w:rsidRDefault="00674682">
            <w:pPr>
              <w:jc w:val="center"/>
              <w:rPr>
                <w:rFonts w:ascii="Calibri" w:hAnsi="Calibri"/>
                <w:color w:val="000000"/>
                <w:sz w:val="22"/>
                <w:szCs w:val="22"/>
              </w:rPr>
            </w:pPr>
            <w:r>
              <w:rPr>
                <w:rFonts w:ascii="Calibri" w:hAnsi="Calibri"/>
                <w:color w:val="000000"/>
                <w:sz w:val="22"/>
                <w:szCs w:val="22"/>
              </w:rPr>
              <w:t>457</w:t>
            </w:r>
          </w:p>
        </w:tc>
        <w:tc>
          <w:tcPr>
            <w:tcW w:w="1100" w:type="dxa"/>
            <w:tcBorders>
              <w:top w:val="nil"/>
              <w:left w:val="nil"/>
              <w:bottom w:val="single" w:sz="4" w:space="0" w:color="auto"/>
              <w:right w:val="single" w:sz="4" w:space="0" w:color="auto"/>
            </w:tcBorders>
            <w:shd w:val="clear" w:color="auto" w:fill="auto"/>
            <w:noWrap/>
            <w:vAlign w:val="center"/>
            <w:hideMark/>
          </w:tcPr>
          <w:p w14:paraId="5BD44D7A" w14:textId="77777777" w:rsidR="00674682" w:rsidRDefault="00674682">
            <w:pPr>
              <w:jc w:val="center"/>
              <w:rPr>
                <w:rFonts w:ascii="Calibri" w:hAnsi="Calibri"/>
                <w:color w:val="000000"/>
                <w:sz w:val="22"/>
                <w:szCs w:val="22"/>
              </w:rPr>
            </w:pPr>
            <w:r>
              <w:rPr>
                <w:rFonts w:ascii="Calibri" w:hAnsi="Calibri"/>
                <w:color w:val="000000"/>
                <w:sz w:val="22"/>
                <w:szCs w:val="22"/>
              </w:rPr>
              <w:t>54.80%</w:t>
            </w:r>
          </w:p>
        </w:tc>
        <w:tc>
          <w:tcPr>
            <w:tcW w:w="790" w:type="dxa"/>
            <w:tcBorders>
              <w:top w:val="nil"/>
              <w:left w:val="nil"/>
              <w:bottom w:val="single" w:sz="4" w:space="0" w:color="auto"/>
              <w:right w:val="single" w:sz="4" w:space="0" w:color="auto"/>
            </w:tcBorders>
            <w:shd w:val="clear" w:color="auto" w:fill="auto"/>
            <w:noWrap/>
            <w:vAlign w:val="center"/>
            <w:hideMark/>
          </w:tcPr>
          <w:p w14:paraId="7AAD1E74" w14:textId="77777777" w:rsidR="00674682" w:rsidRDefault="00674682">
            <w:pPr>
              <w:jc w:val="center"/>
              <w:rPr>
                <w:rFonts w:ascii="Calibri" w:hAnsi="Calibri"/>
                <w:i/>
                <w:iCs/>
                <w:color w:val="000000"/>
                <w:sz w:val="22"/>
                <w:szCs w:val="22"/>
              </w:rPr>
            </w:pPr>
            <w:r>
              <w:rPr>
                <w:rFonts w:ascii="Calibri" w:hAnsi="Calibri"/>
                <w:i/>
                <w:iCs/>
                <w:color w:val="000000"/>
                <w:sz w:val="22"/>
                <w:szCs w:val="22"/>
              </w:rPr>
              <w:t>2.30%</w:t>
            </w:r>
          </w:p>
        </w:tc>
        <w:tc>
          <w:tcPr>
            <w:tcW w:w="900" w:type="dxa"/>
            <w:tcBorders>
              <w:top w:val="nil"/>
              <w:left w:val="nil"/>
              <w:bottom w:val="single" w:sz="4" w:space="0" w:color="auto"/>
              <w:right w:val="single" w:sz="4" w:space="0" w:color="auto"/>
            </w:tcBorders>
            <w:shd w:val="clear" w:color="auto" w:fill="auto"/>
            <w:noWrap/>
            <w:vAlign w:val="center"/>
            <w:hideMark/>
          </w:tcPr>
          <w:p w14:paraId="5E763FE0" w14:textId="77777777" w:rsidR="00674682" w:rsidRDefault="00674682">
            <w:pPr>
              <w:jc w:val="center"/>
              <w:rPr>
                <w:rFonts w:ascii="Calibri" w:hAnsi="Calibri"/>
                <w:color w:val="000000"/>
                <w:sz w:val="22"/>
                <w:szCs w:val="22"/>
              </w:rPr>
            </w:pPr>
            <w:r>
              <w:rPr>
                <w:rFonts w:ascii="Calibri" w:hAnsi="Calibri"/>
                <w:color w:val="000000"/>
                <w:sz w:val="22"/>
                <w:szCs w:val="22"/>
              </w:rPr>
              <w:t>481</w:t>
            </w:r>
          </w:p>
        </w:tc>
        <w:tc>
          <w:tcPr>
            <w:tcW w:w="1120" w:type="dxa"/>
            <w:tcBorders>
              <w:top w:val="nil"/>
              <w:left w:val="nil"/>
              <w:bottom w:val="single" w:sz="4" w:space="0" w:color="auto"/>
              <w:right w:val="single" w:sz="4" w:space="0" w:color="auto"/>
            </w:tcBorders>
            <w:shd w:val="clear" w:color="auto" w:fill="auto"/>
            <w:noWrap/>
            <w:vAlign w:val="center"/>
            <w:hideMark/>
          </w:tcPr>
          <w:p w14:paraId="797D5867" w14:textId="77777777" w:rsidR="00674682" w:rsidRDefault="00674682">
            <w:pPr>
              <w:jc w:val="center"/>
              <w:rPr>
                <w:rFonts w:ascii="Calibri" w:hAnsi="Calibri"/>
                <w:color w:val="000000"/>
                <w:sz w:val="22"/>
                <w:szCs w:val="22"/>
              </w:rPr>
            </w:pPr>
            <w:r>
              <w:rPr>
                <w:rFonts w:ascii="Calibri" w:hAnsi="Calibri"/>
                <w:color w:val="000000"/>
                <w:sz w:val="22"/>
                <w:szCs w:val="22"/>
              </w:rPr>
              <w:t>46.70%</w:t>
            </w:r>
          </w:p>
        </w:tc>
        <w:tc>
          <w:tcPr>
            <w:tcW w:w="770" w:type="dxa"/>
            <w:tcBorders>
              <w:top w:val="nil"/>
              <w:left w:val="nil"/>
              <w:bottom w:val="single" w:sz="4" w:space="0" w:color="auto"/>
              <w:right w:val="nil"/>
            </w:tcBorders>
            <w:shd w:val="clear" w:color="auto" w:fill="auto"/>
            <w:noWrap/>
            <w:vAlign w:val="center"/>
            <w:hideMark/>
          </w:tcPr>
          <w:p w14:paraId="58B55410" w14:textId="77777777" w:rsidR="00674682" w:rsidRDefault="00674682">
            <w:pPr>
              <w:jc w:val="center"/>
              <w:rPr>
                <w:rFonts w:ascii="Calibri" w:hAnsi="Calibri"/>
                <w:i/>
                <w:iCs/>
                <w:color w:val="000000"/>
                <w:sz w:val="22"/>
                <w:szCs w:val="22"/>
              </w:rPr>
            </w:pPr>
            <w:r>
              <w:rPr>
                <w:rFonts w:ascii="Calibri" w:hAnsi="Calibri"/>
                <w:i/>
                <w:iCs/>
                <w:color w:val="000000"/>
                <w:sz w:val="22"/>
                <w:szCs w:val="22"/>
              </w:rPr>
              <w:t>2.30%</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3F66D256" w14:textId="77777777" w:rsidR="00674682" w:rsidRDefault="00674682">
            <w:pPr>
              <w:jc w:val="center"/>
              <w:rPr>
                <w:rFonts w:ascii="Calibri" w:hAnsi="Calibri"/>
                <w:i/>
                <w:iCs/>
                <w:color w:val="000000"/>
                <w:sz w:val="22"/>
                <w:szCs w:val="22"/>
              </w:rPr>
            </w:pPr>
            <w:r>
              <w:rPr>
                <w:rFonts w:ascii="Calibri" w:hAnsi="Calibri"/>
                <w:i/>
                <w:iCs/>
                <w:color w:val="000000"/>
                <w:sz w:val="22"/>
                <w:szCs w:val="22"/>
              </w:rPr>
              <w:t>-8.10%</w:t>
            </w:r>
          </w:p>
        </w:tc>
        <w:tc>
          <w:tcPr>
            <w:tcW w:w="960" w:type="dxa"/>
            <w:tcBorders>
              <w:top w:val="nil"/>
              <w:left w:val="nil"/>
              <w:bottom w:val="single" w:sz="4" w:space="0" w:color="auto"/>
              <w:right w:val="single" w:sz="12" w:space="0" w:color="auto"/>
            </w:tcBorders>
            <w:shd w:val="clear" w:color="auto" w:fill="auto"/>
            <w:noWrap/>
            <w:vAlign w:val="center"/>
            <w:hideMark/>
          </w:tcPr>
          <w:p w14:paraId="66A015FD" w14:textId="77777777" w:rsidR="00674682" w:rsidRDefault="00674682">
            <w:pPr>
              <w:jc w:val="center"/>
              <w:rPr>
                <w:rFonts w:ascii="Calibri" w:hAnsi="Calibri"/>
                <w:color w:val="000000"/>
                <w:sz w:val="22"/>
                <w:szCs w:val="22"/>
              </w:rPr>
            </w:pPr>
            <w:r>
              <w:rPr>
                <w:rFonts w:ascii="Calibri" w:hAnsi="Calibri"/>
                <w:color w:val="000000"/>
                <w:sz w:val="22"/>
                <w:szCs w:val="22"/>
              </w:rPr>
              <w:t>0.069</w:t>
            </w:r>
          </w:p>
        </w:tc>
      </w:tr>
      <w:tr w:rsidR="00674682" w14:paraId="3F771F5C" w14:textId="77777777" w:rsidTr="00674682">
        <w:trPr>
          <w:trHeight w:val="315"/>
        </w:trPr>
        <w:tc>
          <w:tcPr>
            <w:tcW w:w="9135" w:type="dxa"/>
            <w:gridSpan w:val="9"/>
            <w:tcBorders>
              <w:top w:val="single" w:sz="8" w:space="0" w:color="auto"/>
              <w:left w:val="single" w:sz="12" w:space="0" w:color="auto"/>
              <w:bottom w:val="single" w:sz="8" w:space="0" w:color="auto"/>
              <w:right w:val="single" w:sz="12" w:space="0" w:color="000000"/>
            </w:tcBorders>
            <w:shd w:val="clear" w:color="auto" w:fill="auto"/>
            <w:vAlign w:val="center"/>
            <w:hideMark/>
          </w:tcPr>
          <w:p w14:paraId="791BED9A" w14:textId="77777777" w:rsidR="00674682" w:rsidRDefault="00674682">
            <w:pPr>
              <w:rPr>
                <w:rFonts w:ascii="Calibri" w:hAnsi="Calibri"/>
                <w:b/>
                <w:bCs/>
                <w:color w:val="000000"/>
                <w:sz w:val="22"/>
                <w:szCs w:val="22"/>
              </w:rPr>
            </w:pPr>
            <w:r>
              <w:rPr>
                <w:rFonts w:ascii="Calibri" w:hAnsi="Calibri"/>
                <w:b/>
                <w:bCs/>
                <w:color w:val="000000"/>
                <w:sz w:val="22"/>
                <w:szCs w:val="22"/>
              </w:rPr>
              <w:t>Race</w:t>
            </w:r>
          </w:p>
        </w:tc>
      </w:tr>
      <w:tr w:rsidR="00674682" w14:paraId="7DD0DC56" w14:textId="77777777" w:rsidTr="00674682">
        <w:trPr>
          <w:trHeight w:val="300"/>
        </w:trPr>
        <w:tc>
          <w:tcPr>
            <w:tcW w:w="1635" w:type="dxa"/>
            <w:tcBorders>
              <w:top w:val="nil"/>
              <w:left w:val="single" w:sz="12" w:space="0" w:color="auto"/>
              <w:bottom w:val="single" w:sz="4" w:space="0" w:color="auto"/>
              <w:right w:val="single" w:sz="4" w:space="0" w:color="auto"/>
            </w:tcBorders>
            <w:shd w:val="clear" w:color="auto" w:fill="auto"/>
            <w:vAlign w:val="center"/>
            <w:hideMark/>
          </w:tcPr>
          <w:p w14:paraId="57FAF459" w14:textId="77777777" w:rsidR="00674682" w:rsidRDefault="00674682">
            <w:pPr>
              <w:rPr>
                <w:rFonts w:ascii="Calibri" w:hAnsi="Calibri"/>
                <w:color w:val="000000"/>
                <w:sz w:val="22"/>
                <w:szCs w:val="22"/>
              </w:rPr>
            </w:pPr>
            <w:r>
              <w:rPr>
                <w:rFonts w:ascii="Calibri" w:hAnsi="Calibri"/>
                <w:color w:val="000000"/>
                <w:sz w:val="22"/>
                <w:szCs w:val="22"/>
              </w:rPr>
              <w:t>Hispanic</w:t>
            </w:r>
          </w:p>
        </w:tc>
        <w:tc>
          <w:tcPr>
            <w:tcW w:w="900" w:type="dxa"/>
            <w:tcBorders>
              <w:top w:val="nil"/>
              <w:left w:val="nil"/>
              <w:bottom w:val="single" w:sz="4" w:space="0" w:color="auto"/>
              <w:right w:val="single" w:sz="4" w:space="0" w:color="auto"/>
            </w:tcBorders>
            <w:shd w:val="clear" w:color="auto" w:fill="auto"/>
            <w:noWrap/>
            <w:vAlign w:val="center"/>
            <w:hideMark/>
          </w:tcPr>
          <w:p w14:paraId="517CD1B3" w14:textId="77777777" w:rsidR="00674682" w:rsidRDefault="00674682">
            <w:pPr>
              <w:jc w:val="center"/>
              <w:rPr>
                <w:rFonts w:ascii="Calibri" w:hAnsi="Calibri"/>
                <w:color w:val="000000"/>
                <w:sz w:val="22"/>
                <w:szCs w:val="22"/>
              </w:rPr>
            </w:pPr>
            <w:r>
              <w:rPr>
                <w:rFonts w:ascii="Calibri" w:hAnsi="Calibri"/>
                <w:color w:val="000000"/>
                <w:sz w:val="22"/>
                <w:szCs w:val="22"/>
              </w:rPr>
              <w:t>94</w:t>
            </w:r>
          </w:p>
        </w:tc>
        <w:tc>
          <w:tcPr>
            <w:tcW w:w="1100" w:type="dxa"/>
            <w:tcBorders>
              <w:top w:val="nil"/>
              <w:left w:val="nil"/>
              <w:bottom w:val="single" w:sz="4" w:space="0" w:color="auto"/>
              <w:right w:val="single" w:sz="4" w:space="0" w:color="auto"/>
            </w:tcBorders>
            <w:shd w:val="clear" w:color="auto" w:fill="auto"/>
            <w:noWrap/>
            <w:vAlign w:val="center"/>
            <w:hideMark/>
          </w:tcPr>
          <w:p w14:paraId="3C8591ED" w14:textId="77777777" w:rsidR="00674682" w:rsidRDefault="00674682">
            <w:pPr>
              <w:jc w:val="center"/>
              <w:rPr>
                <w:rFonts w:ascii="Calibri" w:hAnsi="Calibri"/>
                <w:color w:val="000000"/>
                <w:sz w:val="22"/>
                <w:szCs w:val="22"/>
              </w:rPr>
            </w:pPr>
            <w:r>
              <w:rPr>
                <w:rFonts w:ascii="Calibri" w:hAnsi="Calibri"/>
                <w:color w:val="000000"/>
                <w:sz w:val="22"/>
                <w:szCs w:val="22"/>
              </w:rPr>
              <w:t>60.00%</w:t>
            </w:r>
          </w:p>
        </w:tc>
        <w:tc>
          <w:tcPr>
            <w:tcW w:w="790" w:type="dxa"/>
            <w:tcBorders>
              <w:top w:val="nil"/>
              <w:left w:val="nil"/>
              <w:bottom w:val="single" w:sz="4" w:space="0" w:color="auto"/>
              <w:right w:val="single" w:sz="4" w:space="0" w:color="auto"/>
            </w:tcBorders>
            <w:shd w:val="clear" w:color="auto" w:fill="auto"/>
            <w:noWrap/>
            <w:vAlign w:val="center"/>
            <w:hideMark/>
          </w:tcPr>
          <w:p w14:paraId="6B3BF907" w14:textId="77777777" w:rsidR="00674682" w:rsidRDefault="00674682">
            <w:pPr>
              <w:jc w:val="center"/>
              <w:rPr>
                <w:rFonts w:ascii="Calibri" w:hAnsi="Calibri"/>
                <w:i/>
                <w:iCs/>
                <w:color w:val="000000"/>
                <w:sz w:val="22"/>
                <w:szCs w:val="22"/>
              </w:rPr>
            </w:pPr>
            <w:r>
              <w:rPr>
                <w:rFonts w:ascii="Calibri" w:hAnsi="Calibri"/>
                <w:i/>
                <w:iCs/>
                <w:color w:val="000000"/>
                <w:sz w:val="22"/>
                <w:szCs w:val="22"/>
              </w:rPr>
              <w:t>5.10%</w:t>
            </w:r>
          </w:p>
        </w:tc>
        <w:tc>
          <w:tcPr>
            <w:tcW w:w="900" w:type="dxa"/>
            <w:tcBorders>
              <w:top w:val="nil"/>
              <w:left w:val="nil"/>
              <w:bottom w:val="single" w:sz="4" w:space="0" w:color="auto"/>
              <w:right w:val="single" w:sz="4" w:space="0" w:color="auto"/>
            </w:tcBorders>
            <w:shd w:val="clear" w:color="auto" w:fill="auto"/>
            <w:noWrap/>
            <w:vAlign w:val="center"/>
            <w:hideMark/>
          </w:tcPr>
          <w:p w14:paraId="76CD69C4" w14:textId="77777777" w:rsidR="00674682" w:rsidRDefault="00674682">
            <w:pPr>
              <w:jc w:val="center"/>
              <w:rPr>
                <w:rFonts w:ascii="Calibri" w:hAnsi="Calibri"/>
                <w:color w:val="000000"/>
                <w:sz w:val="22"/>
                <w:szCs w:val="22"/>
              </w:rPr>
            </w:pPr>
            <w:r>
              <w:rPr>
                <w:rFonts w:ascii="Calibri" w:hAnsi="Calibri"/>
                <w:color w:val="000000"/>
                <w:sz w:val="22"/>
                <w:szCs w:val="22"/>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415F7785" w14:textId="77777777" w:rsidR="00674682" w:rsidRDefault="00674682">
            <w:pPr>
              <w:jc w:val="center"/>
              <w:rPr>
                <w:rFonts w:ascii="Calibri" w:hAnsi="Calibri"/>
                <w:color w:val="000000"/>
                <w:sz w:val="22"/>
                <w:szCs w:val="22"/>
              </w:rPr>
            </w:pPr>
            <w:r>
              <w:rPr>
                <w:rFonts w:ascii="Calibri" w:hAnsi="Calibri"/>
                <w:color w:val="000000"/>
                <w:sz w:val="22"/>
                <w:szCs w:val="22"/>
              </w:rPr>
              <w:t>56.50%</w:t>
            </w:r>
          </w:p>
        </w:tc>
        <w:tc>
          <w:tcPr>
            <w:tcW w:w="770" w:type="dxa"/>
            <w:tcBorders>
              <w:top w:val="nil"/>
              <w:left w:val="nil"/>
              <w:bottom w:val="single" w:sz="4" w:space="0" w:color="auto"/>
              <w:right w:val="nil"/>
            </w:tcBorders>
            <w:shd w:val="clear" w:color="auto" w:fill="auto"/>
            <w:noWrap/>
            <w:vAlign w:val="center"/>
            <w:hideMark/>
          </w:tcPr>
          <w:p w14:paraId="0678F1C7" w14:textId="77777777" w:rsidR="00674682" w:rsidRDefault="00674682">
            <w:pPr>
              <w:jc w:val="center"/>
              <w:rPr>
                <w:rFonts w:ascii="Calibri" w:hAnsi="Calibri"/>
                <w:i/>
                <w:iCs/>
                <w:color w:val="000000"/>
                <w:sz w:val="22"/>
                <w:szCs w:val="22"/>
              </w:rPr>
            </w:pPr>
            <w:r>
              <w:rPr>
                <w:rFonts w:ascii="Calibri" w:hAnsi="Calibri"/>
                <w:i/>
                <w:iCs/>
                <w:color w:val="000000"/>
                <w:sz w:val="22"/>
                <w:szCs w:val="22"/>
              </w:rPr>
              <w:t>5.00%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14:paraId="68E00534" w14:textId="77777777" w:rsidR="00674682" w:rsidRDefault="00674682">
            <w:pPr>
              <w:jc w:val="center"/>
              <w:rPr>
                <w:rFonts w:ascii="Calibri" w:hAnsi="Calibri"/>
                <w:i/>
                <w:iCs/>
                <w:color w:val="000000"/>
                <w:sz w:val="22"/>
                <w:szCs w:val="22"/>
              </w:rPr>
            </w:pPr>
            <w:r>
              <w:rPr>
                <w:rFonts w:ascii="Calibri" w:hAnsi="Calibri"/>
                <w:i/>
                <w:iCs/>
                <w:color w:val="000000"/>
                <w:sz w:val="22"/>
                <w:szCs w:val="22"/>
              </w:rPr>
              <w:t>-3.50%</w:t>
            </w:r>
          </w:p>
        </w:tc>
        <w:tc>
          <w:tcPr>
            <w:tcW w:w="960" w:type="dxa"/>
            <w:tcBorders>
              <w:top w:val="nil"/>
              <w:left w:val="nil"/>
              <w:bottom w:val="single" w:sz="4" w:space="0" w:color="auto"/>
              <w:right w:val="single" w:sz="12" w:space="0" w:color="auto"/>
            </w:tcBorders>
            <w:shd w:val="clear" w:color="auto" w:fill="auto"/>
            <w:noWrap/>
            <w:vAlign w:val="center"/>
            <w:hideMark/>
          </w:tcPr>
          <w:p w14:paraId="753498A5" w14:textId="77777777" w:rsidR="00674682" w:rsidRDefault="00674682">
            <w:pPr>
              <w:jc w:val="center"/>
              <w:rPr>
                <w:rFonts w:ascii="Calibri" w:hAnsi="Calibri"/>
                <w:color w:val="000000"/>
                <w:sz w:val="22"/>
                <w:szCs w:val="22"/>
              </w:rPr>
            </w:pPr>
            <w:r>
              <w:rPr>
                <w:rFonts w:ascii="Calibri" w:hAnsi="Calibri"/>
                <w:color w:val="000000"/>
                <w:sz w:val="22"/>
                <w:szCs w:val="22"/>
              </w:rPr>
              <w:t>0.545</w:t>
            </w:r>
          </w:p>
        </w:tc>
      </w:tr>
      <w:tr w:rsidR="00674682" w14:paraId="1272C43B" w14:textId="77777777" w:rsidTr="00674682">
        <w:trPr>
          <w:trHeight w:val="300"/>
        </w:trPr>
        <w:tc>
          <w:tcPr>
            <w:tcW w:w="1635" w:type="dxa"/>
            <w:tcBorders>
              <w:top w:val="nil"/>
              <w:left w:val="single" w:sz="12" w:space="0" w:color="auto"/>
              <w:bottom w:val="single" w:sz="4" w:space="0" w:color="auto"/>
              <w:right w:val="single" w:sz="4" w:space="0" w:color="auto"/>
            </w:tcBorders>
            <w:shd w:val="clear" w:color="auto" w:fill="auto"/>
            <w:vAlign w:val="center"/>
            <w:hideMark/>
          </w:tcPr>
          <w:p w14:paraId="50A1CCBF" w14:textId="77777777" w:rsidR="00674682" w:rsidRDefault="00674682">
            <w:pPr>
              <w:rPr>
                <w:rFonts w:ascii="Calibri" w:hAnsi="Calibri"/>
                <w:color w:val="000000"/>
                <w:sz w:val="22"/>
                <w:szCs w:val="22"/>
              </w:rPr>
            </w:pPr>
            <w:r>
              <w:rPr>
                <w:rFonts w:ascii="Calibri" w:hAnsi="Calibri"/>
                <w:color w:val="000000"/>
                <w:sz w:val="22"/>
                <w:szCs w:val="22"/>
              </w:rPr>
              <w:t>Black</w:t>
            </w:r>
          </w:p>
        </w:tc>
        <w:tc>
          <w:tcPr>
            <w:tcW w:w="900" w:type="dxa"/>
            <w:tcBorders>
              <w:top w:val="nil"/>
              <w:left w:val="nil"/>
              <w:bottom w:val="single" w:sz="4" w:space="0" w:color="auto"/>
              <w:right w:val="single" w:sz="4" w:space="0" w:color="auto"/>
            </w:tcBorders>
            <w:shd w:val="clear" w:color="auto" w:fill="auto"/>
            <w:noWrap/>
            <w:vAlign w:val="center"/>
            <w:hideMark/>
          </w:tcPr>
          <w:p w14:paraId="6A389ED0" w14:textId="77777777" w:rsidR="00674682" w:rsidRDefault="00674682">
            <w:pPr>
              <w:jc w:val="center"/>
              <w:rPr>
                <w:rFonts w:ascii="Calibri" w:hAnsi="Calibri"/>
                <w:color w:val="000000"/>
                <w:sz w:val="22"/>
                <w:szCs w:val="22"/>
              </w:rPr>
            </w:pPr>
            <w:r>
              <w:rPr>
                <w:rFonts w:ascii="Calibri" w:hAnsi="Calibri"/>
                <w:color w:val="000000"/>
                <w:sz w:val="22"/>
                <w:szCs w:val="22"/>
              </w:rPr>
              <w:t>81</w:t>
            </w:r>
          </w:p>
        </w:tc>
        <w:tc>
          <w:tcPr>
            <w:tcW w:w="1100" w:type="dxa"/>
            <w:tcBorders>
              <w:top w:val="nil"/>
              <w:left w:val="nil"/>
              <w:bottom w:val="single" w:sz="4" w:space="0" w:color="auto"/>
              <w:right w:val="single" w:sz="4" w:space="0" w:color="auto"/>
            </w:tcBorders>
            <w:shd w:val="clear" w:color="auto" w:fill="auto"/>
            <w:noWrap/>
            <w:vAlign w:val="center"/>
            <w:hideMark/>
          </w:tcPr>
          <w:p w14:paraId="19319331" w14:textId="77777777" w:rsidR="00674682" w:rsidRDefault="00674682">
            <w:pPr>
              <w:jc w:val="center"/>
              <w:rPr>
                <w:rFonts w:ascii="Calibri" w:hAnsi="Calibri"/>
                <w:color w:val="000000"/>
                <w:sz w:val="22"/>
                <w:szCs w:val="22"/>
              </w:rPr>
            </w:pPr>
            <w:r>
              <w:rPr>
                <w:rFonts w:ascii="Calibri" w:hAnsi="Calibri"/>
                <w:color w:val="000000"/>
                <w:sz w:val="22"/>
                <w:szCs w:val="22"/>
              </w:rPr>
              <w:t>60.30%</w:t>
            </w:r>
          </w:p>
        </w:tc>
        <w:tc>
          <w:tcPr>
            <w:tcW w:w="790" w:type="dxa"/>
            <w:tcBorders>
              <w:top w:val="nil"/>
              <w:left w:val="nil"/>
              <w:bottom w:val="single" w:sz="4" w:space="0" w:color="auto"/>
              <w:right w:val="single" w:sz="4" w:space="0" w:color="auto"/>
            </w:tcBorders>
            <w:shd w:val="clear" w:color="auto" w:fill="auto"/>
            <w:noWrap/>
            <w:vAlign w:val="center"/>
            <w:hideMark/>
          </w:tcPr>
          <w:p w14:paraId="1DE87B6C" w14:textId="77777777" w:rsidR="00674682" w:rsidRDefault="00674682">
            <w:pPr>
              <w:jc w:val="center"/>
              <w:rPr>
                <w:rFonts w:ascii="Calibri" w:hAnsi="Calibri"/>
                <w:i/>
                <w:iCs/>
                <w:color w:val="000000"/>
                <w:sz w:val="22"/>
                <w:szCs w:val="22"/>
              </w:rPr>
            </w:pPr>
            <w:r>
              <w:rPr>
                <w:rFonts w:ascii="Calibri" w:hAnsi="Calibri"/>
                <w:i/>
                <w:iCs/>
                <w:color w:val="000000"/>
                <w:sz w:val="22"/>
                <w:szCs w:val="22"/>
              </w:rPr>
              <w:t>5.50%</w:t>
            </w:r>
          </w:p>
        </w:tc>
        <w:tc>
          <w:tcPr>
            <w:tcW w:w="900" w:type="dxa"/>
            <w:tcBorders>
              <w:top w:val="nil"/>
              <w:left w:val="nil"/>
              <w:bottom w:val="single" w:sz="4" w:space="0" w:color="auto"/>
              <w:right w:val="single" w:sz="4" w:space="0" w:color="auto"/>
            </w:tcBorders>
            <w:shd w:val="clear" w:color="auto" w:fill="auto"/>
            <w:noWrap/>
            <w:vAlign w:val="center"/>
            <w:hideMark/>
          </w:tcPr>
          <w:p w14:paraId="7AD38FAF" w14:textId="77777777" w:rsidR="00674682" w:rsidRDefault="00674682">
            <w:pPr>
              <w:jc w:val="center"/>
              <w:rPr>
                <w:rFonts w:ascii="Calibri" w:hAnsi="Calibri"/>
                <w:color w:val="000000"/>
                <w:sz w:val="22"/>
                <w:szCs w:val="22"/>
              </w:rPr>
            </w:pPr>
            <w:r>
              <w:rPr>
                <w:rFonts w:ascii="Calibri" w:hAnsi="Calibri"/>
                <w:color w:val="000000"/>
                <w:sz w:val="22"/>
                <w:szCs w:val="22"/>
              </w:rPr>
              <w:t>69</w:t>
            </w:r>
          </w:p>
        </w:tc>
        <w:tc>
          <w:tcPr>
            <w:tcW w:w="1120" w:type="dxa"/>
            <w:tcBorders>
              <w:top w:val="nil"/>
              <w:left w:val="nil"/>
              <w:bottom w:val="single" w:sz="4" w:space="0" w:color="auto"/>
              <w:right w:val="single" w:sz="4" w:space="0" w:color="auto"/>
            </w:tcBorders>
            <w:shd w:val="clear" w:color="auto" w:fill="auto"/>
            <w:noWrap/>
            <w:vAlign w:val="center"/>
            <w:hideMark/>
          </w:tcPr>
          <w:p w14:paraId="213C2848" w14:textId="77777777" w:rsidR="00674682" w:rsidRDefault="00674682">
            <w:pPr>
              <w:jc w:val="center"/>
              <w:rPr>
                <w:rFonts w:ascii="Calibri" w:hAnsi="Calibri"/>
                <w:color w:val="000000"/>
                <w:sz w:val="22"/>
                <w:szCs w:val="22"/>
              </w:rPr>
            </w:pPr>
            <w:r>
              <w:rPr>
                <w:rFonts w:ascii="Calibri" w:hAnsi="Calibri"/>
                <w:color w:val="000000"/>
                <w:sz w:val="22"/>
                <w:szCs w:val="22"/>
              </w:rPr>
              <w:t>52.10%</w:t>
            </w:r>
          </w:p>
        </w:tc>
        <w:tc>
          <w:tcPr>
            <w:tcW w:w="770" w:type="dxa"/>
            <w:tcBorders>
              <w:top w:val="nil"/>
              <w:left w:val="nil"/>
              <w:bottom w:val="single" w:sz="4" w:space="0" w:color="auto"/>
              <w:right w:val="nil"/>
            </w:tcBorders>
            <w:shd w:val="clear" w:color="auto" w:fill="auto"/>
            <w:noWrap/>
            <w:vAlign w:val="center"/>
            <w:hideMark/>
          </w:tcPr>
          <w:p w14:paraId="1BE227CD" w14:textId="77777777" w:rsidR="00674682" w:rsidRDefault="00674682">
            <w:pPr>
              <w:jc w:val="center"/>
              <w:rPr>
                <w:rFonts w:ascii="Calibri" w:hAnsi="Calibri"/>
                <w:i/>
                <w:iCs/>
                <w:color w:val="000000"/>
                <w:sz w:val="22"/>
                <w:szCs w:val="22"/>
              </w:rPr>
            </w:pPr>
            <w:r>
              <w:rPr>
                <w:rFonts w:ascii="Calibri" w:hAnsi="Calibri"/>
                <w:i/>
                <w:iCs/>
                <w:color w:val="000000"/>
                <w:sz w:val="22"/>
                <w:szCs w:val="22"/>
              </w:rPr>
              <w:t>6.10%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14:paraId="4E1DAE8D" w14:textId="77777777" w:rsidR="00674682" w:rsidRDefault="00674682">
            <w:pPr>
              <w:jc w:val="center"/>
              <w:rPr>
                <w:rFonts w:ascii="Calibri" w:hAnsi="Calibri"/>
                <w:i/>
                <w:iCs/>
                <w:color w:val="000000"/>
                <w:sz w:val="22"/>
                <w:szCs w:val="22"/>
              </w:rPr>
            </w:pPr>
            <w:r>
              <w:rPr>
                <w:rFonts w:ascii="Calibri" w:hAnsi="Calibri"/>
                <w:i/>
                <w:iCs/>
                <w:color w:val="000000"/>
                <w:sz w:val="22"/>
                <w:szCs w:val="22"/>
              </w:rPr>
              <w:t>-8.20%</w:t>
            </w:r>
          </w:p>
        </w:tc>
        <w:tc>
          <w:tcPr>
            <w:tcW w:w="960" w:type="dxa"/>
            <w:tcBorders>
              <w:top w:val="nil"/>
              <w:left w:val="nil"/>
              <w:bottom w:val="single" w:sz="4" w:space="0" w:color="auto"/>
              <w:right w:val="single" w:sz="12" w:space="0" w:color="auto"/>
            </w:tcBorders>
            <w:shd w:val="clear" w:color="auto" w:fill="auto"/>
            <w:noWrap/>
            <w:vAlign w:val="center"/>
            <w:hideMark/>
          </w:tcPr>
          <w:p w14:paraId="63BE3136" w14:textId="77777777" w:rsidR="00674682" w:rsidRDefault="00674682">
            <w:pPr>
              <w:jc w:val="center"/>
              <w:rPr>
                <w:rFonts w:ascii="Calibri" w:hAnsi="Calibri"/>
                <w:color w:val="000000"/>
                <w:sz w:val="22"/>
                <w:szCs w:val="22"/>
              </w:rPr>
            </w:pPr>
            <w:r>
              <w:rPr>
                <w:rFonts w:ascii="Calibri" w:hAnsi="Calibri"/>
                <w:color w:val="000000"/>
                <w:sz w:val="22"/>
                <w:szCs w:val="22"/>
              </w:rPr>
              <w:t>0.403</w:t>
            </w:r>
          </w:p>
        </w:tc>
      </w:tr>
      <w:tr w:rsidR="00674682" w14:paraId="5B663D4C" w14:textId="77777777" w:rsidTr="00674682">
        <w:trPr>
          <w:trHeight w:val="315"/>
        </w:trPr>
        <w:tc>
          <w:tcPr>
            <w:tcW w:w="1635" w:type="dxa"/>
            <w:tcBorders>
              <w:top w:val="nil"/>
              <w:left w:val="single" w:sz="12" w:space="0" w:color="auto"/>
              <w:bottom w:val="nil"/>
              <w:right w:val="single" w:sz="4" w:space="0" w:color="auto"/>
            </w:tcBorders>
            <w:shd w:val="clear" w:color="auto" w:fill="auto"/>
            <w:vAlign w:val="center"/>
            <w:hideMark/>
          </w:tcPr>
          <w:p w14:paraId="57DEB637" w14:textId="77777777" w:rsidR="00674682" w:rsidRDefault="00674682">
            <w:pPr>
              <w:rPr>
                <w:rFonts w:ascii="Calibri" w:hAnsi="Calibri"/>
                <w:color w:val="000000"/>
                <w:sz w:val="22"/>
                <w:szCs w:val="22"/>
              </w:rPr>
            </w:pPr>
            <w:r>
              <w:rPr>
                <w:rFonts w:ascii="Calibri" w:hAnsi="Calibri"/>
                <w:color w:val="000000"/>
                <w:sz w:val="22"/>
                <w:szCs w:val="22"/>
              </w:rPr>
              <w:t>White &amp; Other</w:t>
            </w:r>
          </w:p>
        </w:tc>
        <w:tc>
          <w:tcPr>
            <w:tcW w:w="900" w:type="dxa"/>
            <w:tcBorders>
              <w:top w:val="nil"/>
              <w:left w:val="nil"/>
              <w:bottom w:val="nil"/>
              <w:right w:val="single" w:sz="4" w:space="0" w:color="auto"/>
            </w:tcBorders>
            <w:shd w:val="clear" w:color="auto" w:fill="auto"/>
            <w:noWrap/>
            <w:vAlign w:val="center"/>
            <w:hideMark/>
          </w:tcPr>
          <w:p w14:paraId="16015152" w14:textId="77777777" w:rsidR="00674682" w:rsidRDefault="00674682">
            <w:pPr>
              <w:jc w:val="center"/>
              <w:rPr>
                <w:rFonts w:ascii="Calibri" w:hAnsi="Calibri"/>
                <w:color w:val="000000"/>
                <w:sz w:val="22"/>
                <w:szCs w:val="22"/>
              </w:rPr>
            </w:pPr>
            <w:r>
              <w:rPr>
                <w:rFonts w:ascii="Calibri" w:hAnsi="Calibri"/>
                <w:color w:val="000000"/>
                <w:sz w:val="22"/>
                <w:szCs w:val="22"/>
              </w:rPr>
              <w:t>282</w:t>
            </w:r>
          </w:p>
        </w:tc>
        <w:tc>
          <w:tcPr>
            <w:tcW w:w="1100" w:type="dxa"/>
            <w:tcBorders>
              <w:top w:val="nil"/>
              <w:left w:val="nil"/>
              <w:bottom w:val="nil"/>
              <w:right w:val="single" w:sz="4" w:space="0" w:color="auto"/>
            </w:tcBorders>
            <w:shd w:val="clear" w:color="auto" w:fill="auto"/>
            <w:noWrap/>
            <w:vAlign w:val="center"/>
            <w:hideMark/>
          </w:tcPr>
          <w:p w14:paraId="4B997B7F" w14:textId="77777777" w:rsidR="00674682" w:rsidRDefault="00674682">
            <w:pPr>
              <w:jc w:val="center"/>
              <w:rPr>
                <w:rFonts w:ascii="Calibri" w:hAnsi="Calibri"/>
                <w:color w:val="000000"/>
                <w:sz w:val="22"/>
                <w:szCs w:val="22"/>
              </w:rPr>
            </w:pPr>
            <w:r>
              <w:rPr>
                <w:rFonts w:ascii="Calibri" w:hAnsi="Calibri"/>
                <w:color w:val="000000"/>
                <w:sz w:val="22"/>
                <w:szCs w:val="22"/>
              </w:rPr>
              <w:t>51.20%</w:t>
            </w:r>
          </w:p>
        </w:tc>
        <w:tc>
          <w:tcPr>
            <w:tcW w:w="790" w:type="dxa"/>
            <w:tcBorders>
              <w:top w:val="nil"/>
              <w:left w:val="nil"/>
              <w:bottom w:val="nil"/>
              <w:right w:val="single" w:sz="4" w:space="0" w:color="auto"/>
            </w:tcBorders>
            <w:shd w:val="clear" w:color="auto" w:fill="auto"/>
            <w:noWrap/>
            <w:vAlign w:val="center"/>
            <w:hideMark/>
          </w:tcPr>
          <w:p w14:paraId="5A23A6A1" w14:textId="77777777" w:rsidR="00674682" w:rsidRDefault="00674682">
            <w:pPr>
              <w:jc w:val="center"/>
              <w:rPr>
                <w:rFonts w:ascii="Calibri" w:hAnsi="Calibri"/>
                <w:i/>
                <w:iCs/>
                <w:color w:val="000000"/>
                <w:sz w:val="22"/>
                <w:szCs w:val="22"/>
              </w:rPr>
            </w:pPr>
            <w:r>
              <w:rPr>
                <w:rFonts w:ascii="Calibri" w:hAnsi="Calibri"/>
                <w:i/>
                <w:iCs/>
                <w:color w:val="000000"/>
                <w:sz w:val="22"/>
                <w:szCs w:val="22"/>
              </w:rPr>
              <w:t>3.00%</w:t>
            </w:r>
          </w:p>
        </w:tc>
        <w:tc>
          <w:tcPr>
            <w:tcW w:w="900" w:type="dxa"/>
            <w:tcBorders>
              <w:top w:val="nil"/>
              <w:left w:val="nil"/>
              <w:bottom w:val="nil"/>
              <w:right w:val="single" w:sz="4" w:space="0" w:color="auto"/>
            </w:tcBorders>
            <w:shd w:val="clear" w:color="auto" w:fill="auto"/>
            <w:noWrap/>
            <w:vAlign w:val="center"/>
            <w:hideMark/>
          </w:tcPr>
          <w:p w14:paraId="24BC531E" w14:textId="77777777" w:rsidR="00674682" w:rsidRDefault="00674682">
            <w:pPr>
              <w:jc w:val="center"/>
              <w:rPr>
                <w:rFonts w:ascii="Calibri" w:hAnsi="Calibri"/>
                <w:color w:val="000000"/>
                <w:sz w:val="22"/>
                <w:szCs w:val="22"/>
              </w:rPr>
            </w:pPr>
            <w:r>
              <w:rPr>
                <w:rFonts w:ascii="Calibri" w:hAnsi="Calibri"/>
                <w:color w:val="000000"/>
                <w:sz w:val="22"/>
                <w:szCs w:val="22"/>
              </w:rPr>
              <w:t>312</w:t>
            </w:r>
          </w:p>
        </w:tc>
        <w:tc>
          <w:tcPr>
            <w:tcW w:w="1120" w:type="dxa"/>
            <w:tcBorders>
              <w:top w:val="nil"/>
              <w:left w:val="nil"/>
              <w:bottom w:val="nil"/>
              <w:right w:val="single" w:sz="4" w:space="0" w:color="auto"/>
            </w:tcBorders>
            <w:shd w:val="clear" w:color="auto" w:fill="auto"/>
            <w:noWrap/>
            <w:vAlign w:val="center"/>
            <w:hideMark/>
          </w:tcPr>
          <w:p w14:paraId="67CD7D90" w14:textId="77777777" w:rsidR="00674682" w:rsidRDefault="00674682">
            <w:pPr>
              <w:jc w:val="center"/>
              <w:rPr>
                <w:rFonts w:ascii="Calibri" w:hAnsi="Calibri"/>
                <w:color w:val="000000"/>
                <w:sz w:val="22"/>
                <w:szCs w:val="22"/>
              </w:rPr>
            </w:pPr>
            <w:r>
              <w:rPr>
                <w:rFonts w:ascii="Calibri" w:hAnsi="Calibri"/>
                <w:color w:val="000000"/>
                <w:sz w:val="22"/>
                <w:szCs w:val="22"/>
              </w:rPr>
              <w:t>42.10%</w:t>
            </w:r>
          </w:p>
        </w:tc>
        <w:tc>
          <w:tcPr>
            <w:tcW w:w="770" w:type="dxa"/>
            <w:tcBorders>
              <w:top w:val="nil"/>
              <w:left w:val="nil"/>
              <w:bottom w:val="nil"/>
              <w:right w:val="nil"/>
            </w:tcBorders>
            <w:shd w:val="clear" w:color="auto" w:fill="auto"/>
            <w:noWrap/>
            <w:vAlign w:val="center"/>
            <w:hideMark/>
          </w:tcPr>
          <w:p w14:paraId="5156EB15" w14:textId="77777777" w:rsidR="00674682" w:rsidRDefault="00674682">
            <w:pPr>
              <w:jc w:val="center"/>
              <w:rPr>
                <w:rFonts w:ascii="Calibri" w:hAnsi="Calibri"/>
                <w:i/>
                <w:iCs/>
                <w:color w:val="000000"/>
                <w:sz w:val="22"/>
                <w:szCs w:val="22"/>
              </w:rPr>
            </w:pPr>
            <w:r>
              <w:rPr>
                <w:rFonts w:ascii="Calibri" w:hAnsi="Calibri"/>
                <w:i/>
                <w:iCs/>
                <w:color w:val="000000"/>
                <w:sz w:val="22"/>
                <w:szCs w:val="22"/>
              </w:rPr>
              <w:t>2.80%</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0E856271" w14:textId="77777777" w:rsidR="00674682" w:rsidRDefault="00674682">
            <w:pPr>
              <w:jc w:val="center"/>
              <w:rPr>
                <w:rFonts w:ascii="Calibri" w:hAnsi="Calibri"/>
                <w:i/>
                <w:iCs/>
                <w:color w:val="000000"/>
                <w:sz w:val="22"/>
                <w:szCs w:val="22"/>
              </w:rPr>
            </w:pPr>
            <w:r>
              <w:rPr>
                <w:rFonts w:ascii="Calibri" w:hAnsi="Calibri"/>
                <w:i/>
                <w:iCs/>
                <w:color w:val="000000"/>
                <w:sz w:val="22"/>
                <w:szCs w:val="22"/>
              </w:rPr>
              <w:t>-9.10%</w:t>
            </w:r>
          </w:p>
        </w:tc>
        <w:tc>
          <w:tcPr>
            <w:tcW w:w="960" w:type="dxa"/>
            <w:tcBorders>
              <w:top w:val="nil"/>
              <w:left w:val="nil"/>
              <w:bottom w:val="nil"/>
              <w:right w:val="single" w:sz="12" w:space="0" w:color="auto"/>
            </w:tcBorders>
            <w:shd w:val="clear" w:color="auto" w:fill="auto"/>
            <w:noWrap/>
            <w:vAlign w:val="center"/>
            <w:hideMark/>
          </w:tcPr>
          <w:p w14:paraId="2E1E4C6A" w14:textId="77777777" w:rsidR="00674682" w:rsidRDefault="00674682">
            <w:pPr>
              <w:jc w:val="center"/>
              <w:rPr>
                <w:rFonts w:ascii="Calibri" w:hAnsi="Calibri"/>
                <w:color w:val="000000"/>
                <w:sz w:val="22"/>
                <w:szCs w:val="22"/>
              </w:rPr>
            </w:pPr>
            <w:r>
              <w:rPr>
                <w:rFonts w:ascii="Calibri" w:hAnsi="Calibri"/>
                <w:color w:val="000000"/>
                <w:sz w:val="22"/>
                <w:szCs w:val="22"/>
              </w:rPr>
              <w:t>0.049</w:t>
            </w:r>
          </w:p>
        </w:tc>
      </w:tr>
      <w:tr w:rsidR="00674682" w14:paraId="4E854D39" w14:textId="77777777" w:rsidTr="00674682">
        <w:trPr>
          <w:trHeight w:val="315"/>
        </w:trPr>
        <w:tc>
          <w:tcPr>
            <w:tcW w:w="9135" w:type="dxa"/>
            <w:gridSpan w:val="9"/>
            <w:tcBorders>
              <w:top w:val="single" w:sz="8" w:space="0" w:color="auto"/>
              <w:left w:val="single" w:sz="12" w:space="0" w:color="auto"/>
              <w:bottom w:val="single" w:sz="8" w:space="0" w:color="auto"/>
              <w:right w:val="single" w:sz="12" w:space="0" w:color="000000"/>
            </w:tcBorders>
            <w:shd w:val="clear" w:color="auto" w:fill="auto"/>
            <w:noWrap/>
            <w:vAlign w:val="bottom"/>
            <w:hideMark/>
          </w:tcPr>
          <w:p w14:paraId="7C4A6EB0" w14:textId="77777777" w:rsidR="00674682" w:rsidRDefault="00674682">
            <w:pPr>
              <w:rPr>
                <w:rFonts w:ascii="Calibri" w:hAnsi="Calibri"/>
                <w:b/>
                <w:bCs/>
                <w:color w:val="000000"/>
                <w:sz w:val="22"/>
                <w:szCs w:val="22"/>
              </w:rPr>
            </w:pPr>
            <w:r>
              <w:rPr>
                <w:rFonts w:ascii="Calibri" w:hAnsi="Calibri"/>
                <w:b/>
                <w:bCs/>
                <w:color w:val="000000"/>
                <w:sz w:val="22"/>
                <w:szCs w:val="22"/>
              </w:rPr>
              <w:t>Gender</w:t>
            </w:r>
          </w:p>
        </w:tc>
      </w:tr>
      <w:tr w:rsidR="00674682" w14:paraId="31CCA79F" w14:textId="77777777" w:rsidTr="00674682">
        <w:trPr>
          <w:trHeight w:val="300"/>
        </w:trPr>
        <w:tc>
          <w:tcPr>
            <w:tcW w:w="1635" w:type="dxa"/>
            <w:tcBorders>
              <w:top w:val="nil"/>
              <w:left w:val="single" w:sz="12" w:space="0" w:color="auto"/>
              <w:bottom w:val="single" w:sz="4" w:space="0" w:color="auto"/>
              <w:right w:val="single" w:sz="4" w:space="0" w:color="auto"/>
            </w:tcBorders>
            <w:shd w:val="clear" w:color="auto" w:fill="auto"/>
            <w:noWrap/>
            <w:vAlign w:val="bottom"/>
            <w:hideMark/>
          </w:tcPr>
          <w:p w14:paraId="6AF06423" w14:textId="77777777" w:rsidR="00674682" w:rsidRDefault="00674682">
            <w:pPr>
              <w:rPr>
                <w:rFonts w:ascii="Calibri" w:hAnsi="Calibri"/>
                <w:color w:val="000000"/>
                <w:sz w:val="22"/>
                <w:szCs w:val="22"/>
              </w:rPr>
            </w:pPr>
            <w:r>
              <w:rPr>
                <w:rFonts w:ascii="Calibri" w:hAnsi="Calibri"/>
                <w:color w:val="000000"/>
                <w:sz w:val="22"/>
                <w:szCs w:val="22"/>
              </w:rPr>
              <w:t>Male</w:t>
            </w:r>
          </w:p>
        </w:tc>
        <w:tc>
          <w:tcPr>
            <w:tcW w:w="900" w:type="dxa"/>
            <w:tcBorders>
              <w:top w:val="nil"/>
              <w:left w:val="nil"/>
              <w:bottom w:val="single" w:sz="4" w:space="0" w:color="auto"/>
              <w:right w:val="single" w:sz="4" w:space="0" w:color="auto"/>
            </w:tcBorders>
            <w:shd w:val="clear" w:color="auto" w:fill="auto"/>
            <w:noWrap/>
            <w:vAlign w:val="center"/>
            <w:hideMark/>
          </w:tcPr>
          <w:p w14:paraId="233E8A27" w14:textId="77777777" w:rsidR="00674682" w:rsidRDefault="00674682">
            <w:pPr>
              <w:jc w:val="center"/>
              <w:rPr>
                <w:rFonts w:ascii="Calibri" w:hAnsi="Calibri"/>
                <w:color w:val="000000"/>
                <w:sz w:val="22"/>
                <w:szCs w:val="22"/>
              </w:rPr>
            </w:pPr>
            <w:r>
              <w:rPr>
                <w:rFonts w:ascii="Calibri" w:hAnsi="Calibri"/>
                <w:color w:val="000000"/>
                <w:sz w:val="22"/>
                <w:szCs w:val="22"/>
              </w:rPr>
              <w:t>226</w:t>
            </w:r>
          </w:p>
        </w:tc>
        <w:tc>
          <w:tcPr>
            <w:tcW w:w="1100" w:type="dxa"/>
            <w:tcBorders>
              <w:top w:val="nil"/>
              <w:left w:val="nil"/>
              <w:bottom w:val="single" w:sz="4" w:space="0" w:color="auto"/>
              <w:right w:val="single" w:sz="4" w:space="0" w:color="auto"/>
            </w:tcBorders>
            <w:shd w:val="clear" w:color="auto" w:fill="auto"/>
            <w:noWrap/>
            <w:vAlign w:val="center"/>
            <w:hideMark/>
          </w:tcPr>
          <w:p w14:paraId="3146C253" w14:textId="77777777" w:rsidR="00674682" w:rsidRDefault="00674682">
            <w:pPr>
              <w:jc w:val="center"/>
              <w:rPr>
                <w:rFonts w:ascii="Calibri" w:hAnsi="Calibri"/>
                <w:color w:val="000000"/>
                <w:sz w:val="22"/>
                <w:szCs w:val="22"/>
              </w:rPr>
            </w:pPr>
            <w:r>
              <w:rPr>
                <w:rFonts w:ascii="Calibri" w:hAnsi="Calibri"/>
                <w:color w:val="000000"/>
                <w:sz w:val="22"/>
                <w:szCs w:val="22"/>
              </w:rPr>
              <w:t>50.90%</w:t>
            </w:r>
          </w:p>
        </w:tc>
        <w:tc>
          <w:tcPr>
            <w:tcW w:w="790" w:type="dxa"/>
            <w:tcBorders>
              <w:top w:val="nil"/>
              <w:left w:val="nil"/>
              <w:bottom w:val="single" w:sz="4" w:space="0" w:color="auto"/>
              <w:right w:val="single" w:sz="4" w:space="0" w:color="auto"/>
            </w:tcBorders>
            <w:shd w:val="clear" w:color="auto" w:fill="auto"/>
            <w:noWrap/>
            <w:vAlign w:val="center"/>
            <w:hideMark/>
          </w:tcPr>
          <w:p w14:paraId="0299C0EC" w14:textId="77777777" w:rsidR="00674682" w:rsidRDefault="00674682">
            <w:pPr>
              <w:jc w:val="center"/>
              <w:rPr>
                <w:rFonts w:ascii="Calibri" w:hAnsi="Calibri"/>
                <w:i/>
                <w:iCs/>
                <w:color w:val="000000"/>
                <w:sz w:val="22"/>
                <w:szCs w:val="22"/>
              </w:rPr>
            </w:pPr>
            <w:r>
              <w:rPr>
                <w:rFonts w:ascii="Calibri" w:hAnsi="Calibri"/>
                <w:i/>
                <w:iCs/>
                <w:color w:val="000000"/>
                <w:sz w:val="22"/>
                <w:szCs w:val="22"/>
              </w:rPr>
              <w:t>3.30%</w:t>
            </w:r>
          </w:p>
        </w:tc>
        <w:tc>
          <w:tcPr>
            <w:tcW w:w="900" w:type="dxa"/>
            <w:tcBorders>
              <w:top w:val="nil"/>
              <w:left w:val="nil"/>
              <w:bottom w:val="single" w:sz="4" w:space="0" w:color="auto"/>
              <w:right w:val="single" w:sz="4" w:space="0" w:color="auto"/>
            </w:tcBorders>
            <w:shd w:val="clear" w:color="auto" w:fill="auto"/>
            <w:noWrap/>
            <w:vAlign w:val="center"/>
            <w:hideMark/>
          </w:tcPr>
          <w:p w14:paraId="5F8ADE3F" w14:textId="77777777" w:rsidR="00674682" w:rsidRDefault="00674682">
            <w:pPr>
              <w:jc w:val="center"/>
              <w:rPr>
                <w:rFonts w:ascii="Calibri" w:hAnsi="Calibri"/>
                <w:color w:val="000000"/>
                <w:sz w:val="22"/>
                <w:szCs w:val="22"/>
              </w:rPr>
            </w:pPr>
            <w:r>
              <w:rPr>
                <w:rFonts w:ascii="Calibri" w:hAnsi="Calibri"/>
                <w:color w:val="000000"/>
                <w:sz w:val="22"/>
                <w:szCs w:val="22"/>
              </w:rPr>
              <w:t>226</w:t>
            </w:r>
          </w:p>
        </w:tc>
        <w:tc>
          <w:tcPr>
            <w:tcW w:w="1120" w:type="dxa"/>
            <w:tcBorders>
              <w:top w:val="nil"/>
              <w:left w:val="nil"/>
              <w:bottom w:val="single" w:sz="4" w:space="0" w:color="auto"/>
              <w:right w:val="single" w:sz="4" w:space="0" w:color="auto"/>
            </w:tcBorders>
            <w:shd w:val="clear" w:color="auto" w:fill="auto"/>
            <w:noWrap/>
            <w:vAlign w:val="center"/>
            <w:hideMark/>
          </w:tcPr>
          <w:p w14:paraId="6D7CFFC9" w14:textId="77777777" w:rsidR="00674682" w:rsidRDefault="00674682">
            <w:pPr>
              <w:jc w:val="center"/>
              <w:rPr>
                <w:rFonts w:ascii="Calibri" w:hAnsi="Calibri"/>
                <w:color w:val="000000"/>
                <w:sz w:val="22"/>
                <w:szCs w:val="22"/>
              </w:rPr>
            </w:pPr>
            <w:r>
              <w:rPr>
                <w:rFonts w:ascii="Calibri" w:hAnsi="Calibri"/>
                <w:color w:val="000000"/>
                <w:sz w:val="22"/>
                <w:szCs w:val="22"/>
              </w:rPr>
              <w:t>48.60%</w:t>
            </w:r>
          </w:p>
        </w:tc>
        <w:tc>
          <w:tcPr>
            <w:tcW w:w="770" w:type="dxa"/>
            <w:tcBorders>
              <w:top w:val="nil"/>
              <w:left w:val="nil"/>
              <w:bottom w:val="single" w:sz="4" w:space="0" w:color="auto"/>
              <w:right w:val="nil"/>
            </w:tcBorders>
            <w:shd w:val="clear" w:color="auto" w:fill="auto"/>
            <w:noWrap/>
            <w:vAlign w:val="center"/>
            <w:hideMark/>
          </w:tcPr>
          <w:p w14:paraId="6F6DBE40" w14:textId="77777777" w:rsidR="00674682" w:rsidRDefault="00674682">
            <w:pPr>
              <w:jc w:val="center"/>
              <w:rPr>
                <w:rFonts w:ascii="Calibri" w:hAnsi="Calibri"/>
                <w:i/>
                <w:iCs/>
                <w:color w:val="000000"/>
                <w:sz w:val="22"/>
                <w:szCs w:val="22"/>
              </w:rPr>
            </w:pPr>
            <w:r>
              <w:rPr>
                <w:rFonts w:ascii="Calibri" w:hAnsi="Calibri"/>
                <w:i/>
                <w:iCs/>
                <w:color w:val="000000"/>
                <w:sz w:val="22"/>
                <w:szCs w:val="22"/>
              </w:rPr>
              <w:t>3.30%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14:paraId="60287D62" w14:textId="77777777" w:rsidR="00674682" w:rsidRDefault="00674682">
            <w:pPr>
              <w:jc w:val="center"/>
              <w:rPr>
                <w:rFonts w:ascii="Calibri" w:hAnsi="Calibri"/>
                <w:i/>
                <w:iCs/>
                <w:color w:val="000000"/>
                <w:sz w:val="22"/>
                <w:szCs w:val="22"/>
              </w:rPr>
            </w:pPr>
            <w:r>
              <w:rPr>
                <w:rFonts w:ascii="Calibri" w:hAnsi="Calibri"/>
                <w:i/>
                <w:iCs/>
                <w:color w:val="000000"/>
                <w:sz w:val="22"/>
                <w:szCs w:val="22"/>
              </w:rPr>
              <w:t>-2.30%</w:t>
            </w:r>
          </w:p>
        </w:tc>
        <w:tc>
          <w:tcPr>
            <w:tcW w:w="960" w:type="dxa"/>
            <w:tcBorders>
              <w:top w:val="nil"/>
              <w:left w:val="nil"/>
              <w:bottom w:val="single" w:sz="4" w:space="0" w:color="auto"/>
              <w:right w:val="single" w:sz="12" w:space="0" w:color="auto"/>
            </w:tcBorders>
            <w:shd w:val="clear" w:color="auto" w:fill="auto"/>
            <w:noWrap/>
            <w:vAlign w:val="center"/>
            <w:hideMark/>
          </w:tcPr>
          <w:p w14:paraId="0C5EF43E" w14:textId="77777777" w:rsidR="00674682" w:rsidRDefault="00674682">
            <w:pPr>
              <w:jc w:val="center"/>
              <w:rPr>
                <w:rFonts w:ascii="Calibri" w:hAnsi="Calibri"/>
                <w:color w:val="000000"/>
                <w:sz w:val="22"/>
                <w:szCs w:val="22"/>
              </w:rPr>
            </w:pPr>
            <w:r>
              <w:rPr>
                <w:rFonts w:ascii="Calibri" w:hAnsi="Calibri"/>
                <w:color w:val="000000"/>
                <w:sz w:val="22"/>
                <w:szCs w:val="22"/>
              </w:rPr>
              <w:t>0.682</w:t>
            </w:r>
          </w:p>
        </w:tc>
      </w:tr>
      <w:tr w:rsidR="00674682" w14:paraId="3362D04C" w14:textId="77777777" w:rsidTr="00674682">
        <w:trPr>
          <w:trHeight w:val="315"/>
        </w:trPr>
        <w:tc>
          <w:tcPr>
            <w:tcW w:w="1635" w:type="dxa"/>
            <w:tcBorders>
              <w:top w:val="nil"/>
              <w:left w:val="single" w:sz="12" w:space="0" w:color="auto"/>
              <w:bottom w:val="nil"/>
              <w:right w:val="single" w:sz="4" w:space="0" w:color="auto"/>
            </w:tcBorders>
            <w:shd w:val="clear" w:color="auto" w:fill="auto"/>
            <w:noWrap/>
            <w:vAlign w:val="bottom"/>
            <w:hideMark/>
          </w:tcPr>
          <w:p w14:paraId="134741FA" w14:textId="77777777" w:rsidR="00674682" w:rsidRDefault="00674682">
            <w:pPr>
              <w:rPr>
                <w:rFonts w:ascii="Calibri" w:hAnsi="Calibri"/>
                <w:color w:val="000000"/>
                <w:sz w:val="22"/>
                <w:szCs w:val="22"/>
              </w:rPr>
            </w:pPr>
            <w:r>
              <w:rPr>
                <w:rFonts w:ascii="Calibri" w:hAnsi="Calibri"/>
                <w:color w:val="000000"/>
                <w:sz w:val="22"/>
                <w:szCs w:val="22"/>
              </w:rPr>
              <w:t>Female</w:t>
            </w:r>
          </w:p>
        </w:tc>
        <w:tc>
          <w:tcPr>
            <w:tcW w:w="900" w:type="dxa"/>
            <w:tcBorders>
              <w:top w:val="nil"/>
              <w:left w:val="nil"/>
              <w:bottom w:val="nil"/>
              <w:right w:val="single" w:sz="4" w:space="0" w:color="auto"/>
            </w:tcBorders>
            <w:shd w:val="clear" w:color="auto" w:fill="auto"/>
            <w:noWrap/>
            <w:vAlign w:val="center"/>
            <w:hideMark/>
          </w:tcPr>
          <w:p w14:paraId="2FBAC4AD" w14:textId="77777777" w:rsidR="00674682" w:rsidRDefault="00674682">
            <w:pPr>
              <w:jc w:val="center"/>
              <w:rPr>
                <w:rFonts w:ascii="Calibri" w:hAnsi="Calibri"/>
                <w:color w:val="000000"/>
                <w:sz w:val="22"/>
                <w:szCs w:val="22"/>
              </w:rPr>
            </w:pPr>
            <w:r>
              <w:rPr>
                <w:rFonts w:ascii="Calibri" w:hAnsi="Calibri"/>
                <w:color w:val="000000"/>
                <w:sz w:val="22"/>
                <w:szCs w:val="22"/>
              </w:rPr>
              <w:t>231</w:t>
            </w:r>
          </w:p>
        </w:tc>
        <w:tc>
          <w:tcPr>
            <w:tcW w:w="1100" w:type="dxa"/>
            <w:tcBorders>
              <w:top w:val="nil"/>
              <w:left w:val="nil"/>
              <w:bottom w:val="nil"/>
              <w:right w:val="single" w:sz="4" w:space="0" w:color="auto"/>
            </w:tcBorders>
            <w:shd w:val="clear" w:color="auto" w:fill="auto"/>
            <w:noWrap/>
            <w:vAlign w:val="center"/>
            <w:hideMark/>
          </w:tcPr>
          <w:p w14:paraId="2B17E4CF" w14:textId="77777777" w:rsidR="00674682" w:rsidRDefault="00674682">
            <w:pPr>
              <w:jc w:val="center"/>
              <w:rPr>
                <w:rFonts w:ascii="Calibri" w:hAnsi="Calibri"/>
                <w:color w:val="000000"/>
                <w:sz w:val="22"/>
                <w:szCs w:val="22"/>
              </w:rPr>
            </w:pPr>
            <w:r>
              <w:rPr>
                <w:rFonts w:ascii="Calibri" w:hAnsi="Calibri"/>
                <w:color w:val="000000"/>
                <w:sz w:val="22"/>
                <w:szCs w:val="22"/>
              </w:rPr>
              <w:t>58.40%</w:t>
            </w:r>
          </w:p>
        </w:tc>
        <w:tc>
          <w:tcPr>
            <w:tcW w:w="790" w:type="dxa"/>
            <w:tcBorders>
              <w:top w:val="nil"/>
              <w:left w:val="nil"/>
              <w:bottom w:val="nil"/>
              <w:right w:val="single" w:sz="4" w:space="0" w:color="auto"/>
            </w:tcBorders>
            <w:shd w:val="clear" w:color="auto" w:fill="auto"/>
            <w:noWrap/>
            <w:vAlign w:val="center"/>
            <w:hideMark/>
          </w:tcPr>
          <w:p w14:paraId="4EB1A95F" w14:textId="77777777" w:rsidR="00674682" w:rsidRDefault="00674682">
            <w:pPr>
              <w:jc w:val="center"/>
              <w:rPr>
                <w:rFonts w:ascii="Calibri" w:hAnsi="Calibri"/>
                <w:i/>
                <w:iCs/>
                <w:color w:val="000000"/>
                <w:sz w:val="22"/>
                <w:szCs w:val="22"/>
              </w:rPr>
            </w:pPr>
            <w:r>
              <w:rPr>
                <w:rFonts w:ascii="Calibri" w:hAnsi="Calibri"/>
                <w:i/>
                <w:iCs/>
                <w:color w:val="000000"/>
                <w:sz w:val="22"/>
                <w:szCs w:val="22"/>
              </w:rPr>
              <w:t>3.20%</w:t>
            </w:r>
          </w:p>
        </w:tc>
        <w:tc>
          <w:tcPr>
            <w:tcW w:w="900" w:type="dxa"/>
            <w:tcBorders>
              <w:top w:val="nil"/>
              <w:left w:val="nil"/>
              <w:bottom w:val="nil"/>
              <w:right w:val="single" w:sz="4" w:space="0" w:color="auto"/>
            </w:tcBorders>
            <w:shd w:val="clear" w:color="auto" w:fill="auto"/>
            <w:noWrap/>
            <w:vAlign w:val="center"/>
            <w:hideMark/>
          </w:tcPr>
          <w:p w14:paraId="10BB88FE" w14:textId="77777777" w:rsidR="00674682" w:rsidRDefault="00674682">
            <w:pPr>
              <w:jc w:val="center"/>
              <w:rPr>
                <w:rFonts w:ascii="Calibri" w:hAnsi="Calibri"/>
                <w:color w:val="000000"/>
                <w:sz w:val="22"/>
                <w:szCs w:val="22"/>
              </w:rPr>
            </w:pPr>
            <w:r>
              <w:rPr>
                <w:rFonts w:ascii="Calibri" w:hAnsi="Calibri"/>
                <w:color w:val="000000"/>
                <w:sz w:val="22"/>
                <w:szCs w:val="22"/>
              </w:rPr>
              <w:t>255</w:t>
            </w:r>
          </w:p>
        </w:tc>
        <w:tc>
          <w:tcPr>
            <w:tcW w:w="1120" w:type="dxa"/>
            <w:tcBorders>
              <w:top w:val="nil"/>
              <w:left w:val="nil"/>
              <w:bottom w:val="nil"/>
              <w:right w:val="single" w:sz="4" w:space="0" w:color="auto"/>
            </w:tcBorders>
            <w:shd w:val="clear" w:color="auto" w:fill="auto"/>
            <w:noWrap/>
            <w:vAlign w:val="center"/>
            <w:hideMark/>
          </w:tcPr>
          <w:p w14:paraId="058325D5" w14:textId="77777777" w:rsidR="00674682" w:rsidRDefault="00674682">
            <w:pPr>
              <w:jc w:val="center"/>
              <w:rPr>
                <w:rFonts w:ascii="Calibri" w:hAnsi="Calibri"/>
                <w:color w:val="000000"/>
                <w:sz w:val="22"/>
                <w:szCs w:val="22"/>
              </w:rPr>
            </w:pPr>
            <w:r>
              <w:rPr>
                <w:rFonts w:ascii="Calibri" w:hAnsi="Calibri"/>
                <w:color w:val="000000"/>
                <w:sz w:val="22"/>
                <w:szCs w:val="22"/>
              </w:rPr>
              <w:t>45.00%</w:t>
            </w:r>
          </w:p>
        </w:tc>
        <w:tc>
          <w:tcPr>
            <w:tcW w:w="770" w:type="dxa"/>
            <w:tcBorders>
              <w:top w:val="nil"/>
              <w:left w:val="nil"/>
              <w:bottom w:val="nil"/>
              <w:right w:val="nil"/>
            </w:tcBorders>
            <w:shd w:val="clear" w:color="auto" w:fill="auto"/>
            <w:noWrap/>
            <w:vAlign w:val="center"/>
            <w:hideMark/>
          </w:tcPr>
          <w:p w14:paraId="134F20A4" w14:textId="77777777" w:rsidR="00674682" w:rsidRDefault="00674682">
            <w:pPr>
              <w:jc w:val="center"/>
              <w:rPr>
                <w:rFonts w:ascii="Calibri" w:hAnsi="Calibri"/>
                <w:i/>
                <w:iCs/>
                <w:color w:val="000000"/>
                <w:sz w:val="22"/>
                <w:szCs w:val="22"/>
              </w:rPr>
            </w:pPr>
            <w:r>
              <w:rPr>
                <w:rFonts w:ascii="Calibri" w:hAnsi="Calibri"/>
                <w:i/>
                <w:iCs/>
                <w:color w:val="000000"/>
                <w:sz w:val="22"/>
                <w:szCs w:val="22"/>
              </w:rPr>
              <w:t>3.10%</w:t>
            </w:r>
          </w:p>
        </w:tc>
        <w:tc>
          <w:tcPr>
            <w:tcW w:w="960" w:type="dxa"/>
            <w:tcBorders>
              <w:top w:val="nil"/>
              <w:left w:val="single" w:sz="4" w:space="0" w:color="auto"/>
              <w:bottom w:val="single" w:sz="8" w:space="0" w:color="auto"/>
              <w:right w:val="single" w:sz="8" w:space="0" w:color="auto"/>
            </w:tcBorders>
            <w:shd w:val="clear" w:color="auto" w:fill="auto"/>
            <w:noWrap/>
            <w:vAlign w:val="center"/>
            <w:hideMark/>
          </w:tcPr>
          <w:p w14:paraId="5DA3F943" w14:textId="77777777" w:rsidR="00674682" w:rsidRDefault="00674682">
            <w:pPr>
              <w:jc w:val="center"/>
              <w:rPr>
                <w:rFonts w:ascii="Calibri" w:hAnsi="Calibri"/>
                <w:i/>
                <w:iCs/>
                <w:color w:val="000000"/>
                <w:sz w:val="22"/>
                <w:szCs w:val="22"/>
              </w:rPr>
            </w:pPr>
            <w:r>
              <w:rPr>
                <w:rFonts w:ascii="Calibri" w:hAnsi="Calibri"/>
                <w:i/>
                <w:iCs/>
                <w:color w:val="000000"/>
                <w:sz w:val="22"/>
                <w:szCs w:val="22"/>
              </w:rPr>
              <w:t>-13.40%</w:t>
            </w:r>
          </w:p>
        </w:tc>
        <w:tc>
          <w:tcPr>
            <w:tcW w:w="960" w:type="dxa"/>
            <w:tcBorders>
              <w:top w:val="nil"/>
              <w:left w:val="nil"/>
              <w:bottom w:val="nil"/>
              <w:right w:val="single" w:sz="12" w:space="0" w:color="auto"/>
            </w:tcBorders>
            <w:shd w:val="clear" w:color="auto" w:fill="auto"/>
            <w:noWrap/>
            <w:vAlign w:val="center"/>
            <w:hideMark/>
          </w:tcPr>
          <w:p w14:paraId="769E5654" w14:textId="77777777" w:rsidR="00674682" w:rsidRDefault="00674682">
            <w:pPr>
              <w:jc w:val="center"/>
              <w:rPr>
                <w:rFonts w:ascii="Calibri" w:hAnsi="Calibri"/>
                <w:color w:val="000000"/>
                <w:sz w:val="22"/>
                <w:szCs w:val="22"/>
              </w:rPr>
            </w:pPr>
            <w:r>
              <w:rPr>
                <w:rFonts w:ascii="Calibri" w:hAnsi="Calibri"/>
                <w:color w:val="000000"/>
                <w:sz w:val="22"/>
                <w:szCs w:val="22"/>
              </w:rPr>
              <w:t>0.026</w:t>
            </w:r>
          </w:p>
        </w:tc>
      </w:tr>
      <w:tr w:rsidR="00674682" w14:paraId="088701CC" w14:textId="77777777" w:rsidTr="00674682">
        <w:trPr>
          <w:trHeight w:val="315"/>
        </w:trPr>
        <w:tc>
          <w:tcPr>
            <w:tcW w:w="9135" w:type="dxa"/>
            <w:gridSpan w:val="9"/>
            <w:tcBorders>
              <w:top w:val="single" w:sz="8" w:space="0" w:color="auto"/>
              <w:left w:val="single" w:sz="12" w:space="0" w:color="auto"/>
              <w:bottom w:val="single" w:sz="8" w:space="0" w:color="auto"/>
              <w:right w:val="single" w:sz="12" w:space="0" w:color="000000"/>
            </w:tcBorders>
            <w:shd w:val="clear" w:color="auto" w:fill="auto"/>
            <w:noWrap/>
            <w:vAlign w:val="bottom"/>
            <w:hideMark/>
          </w:tcPr>
          <w:p w14:paraId="70DDD025" w14:textId="77777777" w:rsidR="00674682" w:rsidRDefault="00674682">
            <w:pPr>
              <w:rPr>
                <w:rFonts w:ascii="Calibri" w:hAnsi="Calibri"/>
                <w:b/>
                <w:bCs/>
                <w:color w:val="000000"/>
                <w:sz w:val="22"/>
                <w:szCs w:val="22"/>
              </w:rPr>
            </w:pPr>
            <w:r>
              <w:rPr>
                <w:rFonts w:ascii="Calibri" w:hAnsi="Calibri"/>
                <w:b/>
                <w:bCs/>
                <w:color w:val="000000"/>
                <w:sz w:val="22"/>
                <w:szCs w:val="22"/>
              </w:rPr>
              <w:t>Age</w:t>
            </w:r>
          </w:p>
        </w:tc>
      </w:tr>
      <w:tr w:rsidR="00674682" w14:paraId="6BC7E658" w14:textId="77777777" w:rsidTr="00674682">
        <w:trPr>
          <w:trHeight w:val="300"/>
        </w:trPr>
        <w:tc>
          <w:tcPr>
            <w:tcW w:w="1635" w:type="dxa"/>
            <w:tcBorders>
              <w:top w:val="nil"/>
              <w:left w:val="single" w:sz="12" w:space="0" w:color="auto"/>
              <w:bottom w:val="single" w:sz="4" w:space="0" w:color="auto"/>
              <w:right w:val="single" w:sz="4" w:space="0" w:color="auto"/>
            </w:tcBorders>
            <w:shd w:val="clear" w:color="auto" w:fill="auto"/>
            <w:noWrap/>
            <w:vAlign w:val="bottom"/>
            <w:hideMark/>
          </w:tcPr>
          <w:p w14:paraId="3E5CA762" w14:textId="77777777" w:rsidR="00674682" w:rsidRDefault="00674682">
            <w:pPr>
              <w:rPr>
                <w:rFonts w:ascii="Calibri" w:hAnsi="Calibri"/>
                <w:color w:val="000000"/>
                <w:sz w:val="22"/>
                <w:szCs w:val="22"/>
              </w:rPr>
            </w:pPr>
            <w:r>
              <w:rPr>
                <w:rFonts w:ascii="Calibri" w:hAnsi="Calibri"/>
                <w:color w:val="000000"/>
                <w:sz w:val="22"/>
                <w:szCs w:val="22"/>
              </w:rPr>
              <w:t>15 - 19</w:t>
            </w:r>
          </w:p>
        </w:tc>
        <w:tc>
          <w:tcPr>
            <w:tcW w:w="900" w:type="dxa"/>
            <w:tcBorders>
              <w:top w:val="nil"/>
              <w:left w:val="nil"/>
              <w:bottom w:val="single" w:sz="4" w:space="0" w:color="auto"/>
              <w:right w:val="single" w:sz="4" w:space="0" w:color="auto"/>
            </w:tcBorders>
            <w:shd w:val="clear" w:color="auto" w:fill="auto"/>
            <w:noWrap/>
            <w:vAlign w:val="center"/>
            <w:hideMark/>
          </w:tcPr>
          <w:p w14:paraId="038E1DE4" w14:textId="77777777" w:rsidR="00674682" w:rsidRDefault="00674682">
            <w:pPr>
              <w:jc w:val="center"/>
              <w:rPr>
                <w:rFonts w:ascii="Calibri" w:hAnsi="Calibri"/>
                <w:color w:val="000000"/>
                <w:sz w:val="22"/>
                <w:szCs w:val="22"/>
              </w:rPr>
            </w:pPr>
            <w:r>
              <w:rPr>
                <w:rFonts w:ascii="Calibri" w:hAnsi="Calibri"/>
                <w:color w:val="000000"/>
                <w:sz w:val="22"/>
                <w:szCs w:val="22"/>
              </w:rPr>
              <w:t>59</w:t>
            </w:r>
          </w:p>
        </w:tc>
        <w:tc>
          <w:tcPr>
            <w:tcW w:w="1100" w:type="dxa"/>
            <w:tcBorders>
              <w:top w:val="nil"/>
              <w:left w:val="nil"/>
              <w:bottom w:val="single" w:sz="4" w:space="0" w:color="auto"/>
              <w:right w:val="single" w:sz="4" w:space="0" w:color="auto"/>
            </w:tcBorders>
            <w:shd w:val="clear" w:color="auto" w:fill="auto"/>
            <w:noWrap/>
            <w:vAlign w:val="center"/>
            <w:hideMark/>
          </w:tcPr>
          <w:p w14:paraId="7E1D6BA5" w14:textId="77777777" w:rsidR="00674682" w:rsidRDefault="00674682">
            <w:pPr>
              <w:jc w:val="center"/>
              <w:rPr>
                <w:rFonts w:ascii="Calibri" w:hAnsi="Calibri"/>
                <w:color w:val="000000"/>
                <w:sz w:val="22"/>
                <w:szCs w:val="22"/>
              </w:rPr>
            </w:pPr>
            <w:r>
              <w:rPr>
                <w:rFonts w:ascii="Calibri" w:hAnsi="Calibri"/>
                <w:color w:val="000000"/>
                <w:sz w:val="22"/>
                <w:szCs w:val="22"/>
              </w:rPr>
              <w:t>68.00%</w:t>
            </w:r>
          </w:p>
        </w:tc>
        <w:tc>
          <w:tcPr>
            <w:tcW w:w="790" w:type="dxa"/>
            <w:tcBorders>
              <w:top w:val="nil"/>
              <w:left w:val="nil"/>
              <w:bottom w:val="single" w:sz="4" w:space="0" w:color="auto"/>
              <w:right w:val="single" w:sz="4" w:space="0" w:color="auto"/>
            </w:tcBorders>
            <w:shd w:val="clear" w:color="auto" w:fill="auto"/>
            <w:noWrap/>
            <w:vAlign w:val="center"/>
            <w:hideMark/>
          </w:tcPr>
          <w:p w14:paraId="49B7A582" w14:textId="77777777" w:rsidR="00674682" w:rsidRDefault="00674682">
            <w:pPr>
              <w:jc w:val="center"/>
              <w:rPr>
                <w:rFonts w:ascii="Calibri" w:hAnsi="Calibri"/>
                <w:i/>
                <w:iCs/>
                <w:color w:val="000000"/>
                <w:sz w:val="22"/>
                <w:szCs w:val="22"/>
              </w:rPr>
            </w:pPr>
            <w:r>
              <w:rPr>
                <w:rFonts w:ascii="Calibri" w:hAnsi="Calibri"/>
                <w:i/>
                <w:iCs/>
                <w:color w:val="000000"/>
                <w:sz w:val="22"/>
                <w:szCs w:val="22"/>
              </w:rPr>
              <w:t>6.10%</w:t>
            </w:r>
          </w:p>
        </w:tc>
        <w:tc>
          <w:tcPr>
            <w:tcW w:w="900" w:type="dxa"/>
            <w:tcBorders>
              <w:top w:val="nil"/>
              <w:left w:val="nil"/>
              <w:bottom w:val="single" w:sz="4" w:space="0" w:color="auto"/>
              <w:right w:val="single" w:sz="4" w:space="0" w:color="auto"/>
            </w:tcBorders>
            <w:shd w:val="clear" w:color="auto" w:fill="auto"/>
            <w:noWrap/>
            <w:vAlign w:val="center"/>
            <w:hideMark/>
          </w:tcPr>
          <w:p w14:paraId="25553CC7" w14:textId="77777777" w:rsidR="00674682" w:rsidRDefault="00674682">
            <w:pPr>
              <w:jc w:val="center"/>
              <w:rPr>
                <w:rFonts w:ascii="Calibri" w:hAnsi="Calibri"/>
                <w:color w:val="000000"/>
                <w:sz w:val="22"/>
                <w:szCs w:val="22"/>
              </w:rPr>
            </w:pPr>
            <w:r>
              <w:rPr>
                <w:rFonts w:ascii="Calibri" w:hAnsi="Calibri"/>
                <w:color w:val="000000"/>
                <w:sz w:val="22"/>
                <w:szCs w:val="22"/>
              </w:rPr>
              <w:t>47</w:t>
            </w:r>
          </w:p>
        </w:tc>
        <w:tc>
          <w:tcPr>
            <w:tcW w:w="1120" w:type="dxa"/>
            <w:tcBorders>
              <w:top w:val="nil"/>
              <w:left w:val="nil"/>
              <w:bottom w:val="single" w:sz="4" w:space="0" w:color="auto"/>
              <w:right w:val="single" w:sz="4" w:space="0" w:color="auto"/>
            </w:tcBorders>
            <w:shd w:val="clear" w:color="auto" w:fill="auto"/>
            <w:noWrap/>
            <w:vAlign w:val="center"/>
            <w:hideMark/>
          </w:tcPr>
          <w:p w14:paraId="52095BE2" w14:textId="77777777" w:rsidR="00674682" w:rsidRDefault="00674682">
            <w:pPr>
              <w:jc w:val="center"/>
              <w:rPr>
                <w:rFonts w:ascii="Calibri" w:hAnsi="Calibri"/>
                <w:color w:val="000000"/>
                <w:sz w:val="22"/>
                <w:szCs w:val="22"/>
              </w:rPr>
            </w:pPr>
            <w:r>
              <w:rPr>
                <w:rFonts w:ascii="Calibri" w:hAnsi="Calibri"/>
                <w:color w:val="000000"/>
                <w:sz w:val="22"/>
                <w:szCs w:val="22"/>
              </w:rPr>
              <w:t>43.90%</w:t>
            </w:r>
          </w:p>
        </w:tc>
        <w:tc>
          <w:tcPr>
            <w:tcW w:w="770" w:type="dxa"/>
            <w:tcBorders>
              <w:top w:val="nil"/>
              <w:left w:val="nil"/>
              <w:bottom w:val="single" w:sz="4" w:space="0" w:color="auto"/>
              <w:right w:val="nil"/>
            </w:tcBorders>
            <w:shd w:val="clear" w:color="auto" w:fill="auto"/>
            <w:noWrap/>
            <w:vAlign w:val="center"/>
            <w:hideMark/>
          </w:tcPr>
          <w:p w14:paraId="4C16D2C7" w14:textId="77777777" w:rsidR="00674682" w:rsidRDefault="00674682">
            <w:pPr>
              <w:jc w:val="center"/>
              <w:rPr>
                <w:rFonts w:ascii="Calibri" w:hAnsi="Calibri"/>
                <w:i/>
                <w:iCs/>
                <w:color w:val="000000"/>
                <w:sz w:val="22"/>
                <w:szCs w:val="22"/>
              </w:rPr>
            </w:pPr>
            <w:r>
              <w:rPr>
                <w:rFonts w:ascii="Calibri" w:hAnsi="Calibri"/>
                <w:i/>
                <w:iCs/>
                <w:color w:val="000000"/>
                <w:sz w:val="22"/>
                <w:szCs w:val="22"/>
              </w:rPr>
              <w:t>7.30%</w:t>
            </w:r>
          </w:p>
        </w:tc>
        <w:tc>
          <w:tcPr>
            <w:tcW w:w="960" w:type="dxa"/>
            <w:tcBorders>
              <w:top w:val="nil"/>
              <w:left w:val="single" w:sz="4" w:space="0" w:color="auto"/>
              <w:bottom w:val="single" w:sz="4" w:space="0" w:color="auto"/>
              <w:right w:val="single" w:sz="8" w:space="0" w:color="auto"/>
            </w:tcBorders>
            <w:shd w:val="clear" w:color="auto" w:fill="auto"/>
            <w:noWrap/>
            <w:vAlign w:val="center"/>
            <w:hideMark/>
          </w:tcPr>
          <w:p w14:paraId="22A108CB" w14:textId="77777777" w:rsidR="00674682" w:rsidRDefault="00674682">
            <w:pPr>
              <w:jc w:val="center"/>
              <w:rPr>
                <w:rFonts w:ascii="Calibri" w:hAnsi="Calibri"/>
                <w:i/>
                <w:iCs/>
                <w:color w:val="000000"/>
                <w:sz w:val="22"/>
                <w:szCs w:val="22"/>
              </w:rPr>
            </w:pPr>
            <w:r>
              <w:rPr>
                <w:rFonts w:ascii="Calibri" w:hAnsi="Calibri"/>
                <w:i/>
                <w:iCs/>
                <w:color w:val="000000"/>
                <w:sz w:val="22"/>
                <w:szCs w:val="22"/>
              </w:rPr>
              <w:t>-24.10%</w:t>
            </w:r>
          </w:p>
        </w:tc>
        <w:tc>
          <w:tcPr>
            <w:tcW w:w="960" w:type="dxa"/>
            <w:tcBorders>
              <w:top w:val="nil"/>
              <w:left w:val="nil"/>
              <w:bottom w:val="single" w:sz="4" w:space="0" w:color="auto"/>
              <w:right w:val="single" w:sz="12" w:space="0" w:color="auto"/>
            </w:tcBorders>
            <w:shd w:val="clear" w:color="auto" w:fill="auto"/>
            <w:noWrap/>
            <w:vAlign w:val="center"/>
            <w:hideMark/>
          </w:tcPr>
          <w:p w14:paraId="16DB07D3" w14:textId="77777777" w:rsidR="00674682" w:rsidRDefault="00674682">
            <w:pPr>
              <w:jc w:val="center"/>
              <w:rPr>
                <w:rFonts w:ascii="Calibri" w:hAnsi="Calibri"/>
                <w:color w:val="000000"/>
                <w:sz w:val="22"/>
                <w:szCs w:val="22"/>
              </w:rPr>
            </w:pPr>
            <w:r>
              <w:rPr>
                <w:rFonts w:ascii="Calibri" w:hAnsi="Calibri"/>
                <w:color w:val="000000"/>
                <w:sz w:val="22"/>
                <w:szCs w:val="22"/>
              </w:rPr>
              <w:t>0.028</w:t>
            </w:r>
          </w:p>
        </w:tc>
      </w:tr>
      <w:tr w:rsidR="00674682" w14:paraId="47615200" w14:textId="77777777" w:rsidTr="00674682">
        <w:trPr>
          <w:trHeight w:val="315"/>
        </w:trPr>
        <w:tc>
          <w:tcPr>
            <w:tcW w:w="1635" w:type="dxa"/>
            <w:tcBorders>
              <w:top w:val="nil"/>
              <w:left w:val="single" w:sz="12" w:space="0" w:color="auto"/>
              <w:bottom w:val="single" w:sz="12" w:space="0" w:color="auto"/>
              <w:right w:val="single" w:sz="4" w:space="0" w:color="auto"/>
            </w:tcBorders>
            <w:shd w:val="clear" w:color="auto" w:fill="auto"/>
            <w:noWrap/>
            <w:vAlign w:val="bottom"/>
            <w:hideMark/>
          </w:tcPr>
          <w:p w14:paraId="6EDC9CC0" w14:textId="77777777" w:rsidR="00674682" w:rsidRDefault="00674682">
            <w:pPr>
              <w:rPr>
                <w:rFonts w:ascii="Calibri" w:hAnsi="Calibri"/>
                <w:color w:val="000000"/>
                <w:sz w:val="22"/>
                <w:szCs w:val="22"/>
              </w:rPr>
            </w:pPr>
            <w:r>
              <w:rPr>
                <w:rFonts w:ascii="Calibri" w:hAnsi="Calibri"/>
                <w:color w:val="000000"/>
                <w:sz w:val="22"/>
                <w:szCs w:val="22"/>
              </w:rPr>
              <w:t>20 - 44</w:t>
            </w:r>
          </w:p>
        </w:tc>
        <w:tc>
          <w:tcPr>
            <w:tcW w:w="900" w:type="dxa"/>
            <w:tcBorders>
              <w:top w:val="nil"/>
              <w:left w:val="nil"/>
              <w:bottom w:val="single" w:sz="12" w:space="0" w:color="auto"/>
              <w:right w:val="single" w:sz="4" w:space="0" w:color="auto"/>
            </w:tcBorders>
            <w:shd w:val="clear" w:color="auto" w:fill="auto"/>
            <w:noWrap/>
            <w:vAlign w:val="center"/>
            <w:hideMark/>
          </w:tcPr>
          <w:p w14:paraId="2076696A" w14:textId="77777777" w:rsidR="00674682" w:rsidRDefault="00674682">
            <w:pPr>
              <w:jc w:val="center"/>
              <w:rPr>
                <w:rFonts w:ascii="Calibri" w:hAnsi="Calibri"/>
                <w:color w:val="000000"/>
                <w:sz w:val="22"/>
                <w:szCs w:val="22"/>
              </w:rPr>
            </w:pPr>
            <w:r>
              <w:rPr>
                <w:rFonts w:ascii="Calibri" w:hAnsi="Calibri"/>
                <w:color w:val="000000"/>
                <w:sz w:val="22"/>
                <w:szCs w:val="22"/>
              </w:rPr>
              <w:t>398</w:t>
            </w:r>
          </w:p>
        </w:tc>
        <w:tc>
          <w:tcPr>
            <w:tcW w:w="1100" w:type="dxa"/>
            <w:tcBorders>
              <w:top w:val="nil"/>
              <w:left w:val="nil"/>
              <w:bottom w:val="single" w:sz="12" w:space="0" w:color="auto"/>
              <w:right w:val="single" w:sz="4" w:space="0" w:color="auto"/>
            </w:tcBorders>
            <w:shd w:val="clear" w:color="auto" w:fill="auto"/>
            <w:noWrap/>
            <w:vAlign w:val="center"/>
            <w:hideMark/>
          </w:tcPr>
          <w:p w14:paraId="79B6BE21" w14:textId="77777777" w:rsidR="00674682" w:rsidRDefault="00674682">
            <w:pPr>
              <w:jc w:val="center"/>
              <w:rPr>
                <w:rFonts w:ascii="Calibri" w:hAnsi="Calibri"/>
                <w:color w:val="000000"/>
                <w:sz w:val="22"/>
                <w:szCs w:val="22"/>
              </w:rPr>
            </w:pPr>
            <w:r>
              <w:rPr>
                <w:rFonts w:ascii="Calibri" w:hAnsi="Calibri"/>
                <w:color w:val="000000"/>
                <w:sz w:val="22"/>
                <w:szCs w:val="22"/>
              </w:rPr>
              <w:t>52.90%</w:t>
            </w:r>
          </w:p>
        </w:tc>
        <w:tc>
          <w:tcPr>
            <w:tcW w:w="790" w:type="dxa"/>
            <w:tcBorders>
              <w:top w:val="nil"/>
              <w:left w:val="nil"/>
              <w:bottom w:val="single" w:sz="12" w:space="0" w:color="auto"/>
              <w:right w:val="single" w:sz="4" w:space="0" w:color="auto"/>
            </w:tcBorders>
            <w:shd w:val="clear" w:color="auto" w:fill="auto"/>
            <w:noWrap/>
            <w:vAlign w:val="center"/>
            <w:hideMark/>
          </w:tcPr>
          <w:p w14:paraId="72A8E1C9" w14:textId="77777777" w:rsidR="00674682" w:rsidRDefault="00674682">
            <w:pPr>
              <w:jc w:val="center"/>
              <w:rPr>
                <w:rFonts w:ascii="Calibri" w:hAnsi="Calibri"/>
                <w:i/>
                <w:iCs/>
                <w:color w:val="000000"/>
                <w:sz w:val="22"/>
                <w:szCs w:val="22"/>
              </w:rPr>
            </w:pPr>
            <w:r>
              <w:rPr>
                <w:rFonts w:ascii="Calibri" w:hAnsi="Calibri"/>
                <w:i/>
                <w:iCs/>
                <w:color w:val="000000"/>
                <w:sz w:val="22"/>
                <w:szCs w:val="22"/>
              </w:rPr>
              <w:t>2.50%</w:t>
            </w:r>
          </w:p>
        </w:tc>
        <w:tc>
          <w:tcPr>
            <w:tcW w:w="900" w:type="dxa"/>
            <w:tcBorders>
              <w:top w:val="nil"/>
              <w:left w:val="nil"/>
              <w:bottom w:val="single" w:sz="12" w:space="0" w:color="auto"/>
              <w:right w:val="single" w:sz="4" w:space="0" w:color="auto"/>
            </w:tcBorders>
            <w:shd w:val="clear" w:color="auto" w:fill="auto"/>
            <w:noWrap/>
            <w:vAlign w:val="center"/>
            <w:hideMark/>
          </w:tcPr>
          <w:p w14:paraId="53EAC824" w14:textId="77777777" w:rsidR="00674682" w:rsidRDefault="00674682">
            <w:pPr>
              <w:jc w:val="center"/>
              <w:rPr>
                <w:rFonts w:ascii="Calibri" w:hAnsi="Calibri"/>
                <w:color w:val="000000"/>
                <w:sz w:val="22"/>
                <w:szCs w:val="22"/>
              </w:rPr>
            </w:pPr>
            <w:r>
              <w:rPr>
                <w:rFonts w:ascii="Calibri" w:hAnsi="Calibri"/>
                <w:color w:val="000000"/>
                <w:sz w:val="22"/>
                <w:szCs w:val="22"/>
              </w:rPr>
              <w:t>434</w:t>
            </w:r>
          </w:p>
        </w:tc>
        <w:tc>
          <w:tcPr>
            <w:tcW w:w="1120" w:type="dxa"/>
            <w:tcBorders>
              <w:top w:val="nil"/>
              <w:left w:val="nil"/>
              <w:bottom w:val="single" w:sz="12" w:space="0" w:color="auto"/>
              <w:right w:val="single" w:sz="4" w:space="0" w:color="auto"/>
            </w:tcBorders>
            <w:shd w:val="clear" w:color="auto" w:fill="auto"/>
            <w:noWrap/>
            <w:vAlign w:val="center"/>
            <w:hideMark/>
          </w:tcPr>
          <w:p w14:paraId="710CEB1C" w14:textId="77777777" w:rsidR="00674682" w:rsidRDefault="00674682">
            <w:pPr>
              <w:jc w:val="center"/>
              <w:rPr>
                <w:rFonts w:ascii="Calibri" w:hAnsi="Calibri"/>
                <w:color w:val="000000"/>
                <w:sz w:val="22"/>
                <w:szCs w:val="22"/>
              </w:rPr>
            </w:pPr>
            <w:r>
              <w:rPr>
                <w:rFonts w:ascii="Calibri" w:hAnsi="Calibri"/>
                <w:color w:val="000000"/>
                <w:sz w:val="22"/>
                <w:szCs w:val="22"/>
              </w:rPr>
              <w:t>47.00%</w:t>
            </w:r>
          </w:p>
        </w:tc>
        <w:tc>
          <w:tcPr>
            <w:tcW w:w="770" w:type="dxa"/>
            <w:tcBorders>
              <w:top w:val="nil"/>
              <w:left w:val="nil"/>
              <w:bottom w:val="single" w:sz="12" w:space="0" w:color="auto"/>
              <w:right w:val="nil"/>
            </w:tcBorders>
            <w:shd w:val="clear" w:color="auto" w:fill="auto"/>
            <w:noWrap/>
            <w:vAlign w:val="center"/>
            <w:hideMark/>
          </w:tcPr>
          <w:p w14:paraId="17A48FCE" w14:textId="77777777" w:rsidR="00674682" w:rsidRDefault="00674682">
            <w:pPr>
              <w:jc w:val="center"/>
              <w:rPr>
                <w:rFonts w:ascii="Calibri" w:hAnsi="Calibri"/>
                <w:i/>
                <w:iCs/>
                <w:color w:val="000000"/>
                <w:sz w:val="22"/>
                <w:szCs w:val="22"/>
              </w:rPr>
            </w:pPr>
            <w:r>
              <w:rPr>
                <w:rFonts w:ascii="Calibri" w:hAnsi="Calibri"/>
                <w:i/>
                <w:iCs/>
                <w:color w:val="000000"/>
                <w:sz w:val="22"/>
                <w:szCs w:val="22"/>
              </w:rPr>
              <w:t>2.40%</w:t>
            </w:r>
          </w:p>
        </w:tc>
        <w:tc>
          <w:tcPr>
            <w:tcW w:w="960" w:type="dxa"/>
            <w:tcBorders>
              <w:top w:val="nil"/>
              <w:left w:val="single" w:sz="4" w:space="0" w:color="auto"/>
              <w:bottom w:val="single" w:sz="12" w:space="0" w:color="auto"/>
              <w:right w:val="single" w:sz="8" w:space="0" w:color="auto"/>
            </w:tcBorders>
            <w:shd w:val="clear" w:color="auto" w:fill="auto"/>
            <w:noWrap/>
            <w:vAlign w:val="center"/>
            <w:hideMark/>
          </w:tcPr>
          <w:p w14:paraId="1F2D846A" w14:textId="77777777" w:rsidR="00674682" w:rsidRDefault="00674682">
            <w:pPr>
              <w:jc w:val="center"/>
              <w:rPr>
                <w:rFonts w:ascii="Calibri" w:hAnsi="Calibri"/>
                <w:i/>
                <w:iCs/>
                <w:color w:val="000000"/>
                <w:sz w:val="22"/>
                <w:szCs w:val="22"/>
              </w:rPr>
            </w:pPr>
            <w:r>
              <w:rPr>
                <w:rFonts w:ascii="Calibri" w:hAnsi="Calibri"/>
                <w:i/>
                <w:iCs/>
                <w:color w:val="000000"/>
                <w:sz w:val="22"/>
                <w:szCs w:val="22"/>
              </w:rPr>
              <w:t>-5.90%</w:t>
            </w:r>
          </w:p>
        </w:tc>
        <w:tc>
          <w:tcPr>
            <w:tcW w:w="960" w:type="dxa"/>
            <w:tcBorders>
              <w:top w:val="nil"/>
              <w:left w:val="nil"/>
              <w:bottom w:val="single" w:sz="12" w:space="0" w:color="auto"/>
              <w:right w:val="single" w:sz="12" w:space="0" w:color="auto"/>
            </w:tcBorders>
            <w:shd w:val="clear" w:color="auto" w:fill="auto"/>
            <w:noWrap/>
            <w:vAlign w:val="center"/>
            <w:hideMark/>
          </w:tcPr>
          <w:p w14:paraId="303DA14A" w14:textId="77777777" w:rsidR="00674682" w:rsidRDefault="00674682">
            <w:pPr>
              <w:jc w:val="center"/>
              <w:rPr>
                <w:rFonts w:ascii="Calibri" w:hAnsi="Calibri"/>
                <w:color w:val="000000"/>
                <w:sz w:val="22"/>
                <w:szCs w:val="22"/>
              </w:rPr>
            </w:pPr>
            <w:r>
              <w:rPr>
                <w:rFonts w:ascii="Calibri" w:hAnsi="Calibri"/>
                <w:color w:val="000000"/>
                <w:sz w:val="22"/>
                <w:szCs w:val="22"/>
              </w:rPr>
              <w:t>0.186</w:t>
            </w:r>
          </w:p>
        </w:tc>
      </w:tr>
    </w:tbl>
    <w:p w14:paraId="3D8CA799" w14:textId="77777777" w:rsidR="00674682" w:rsidRDefault="00674682" w:rsidP="00421CBC">
      <w:pPr>
        <w:rPr>
          <w:rFonts w:ascii="Calibri" w:hAnsi="Calibri"/>
        </w:rPr>
      </w:pPr>
    </w:p>
    <w:p w14:paraId="4D1687D7" w14:textId="0362F9BE" w:rsidR="00674682" w:rsidRDefault="00674682" w:rsidP="00674682">
      <w:pPr>
        <w:rPr>
          <w:rFonts w:ascii="Calibri" w:hAnsi="Calibri"/>
        </w:rPr>
      </w:pPr>
      <w:r>
        <w:rPr>
          <w:rFonts w:ascii="Calibri" w:hAnsi="Calibri"/>
        </w:rPr>
        <w:t xml:space="preserve">Table </w:t>
      </w:r>
      <w:r w:rsidR="00D30CC0">
        <w:rPr>
          <w:rFonts w:ascii="Calibri" w:hAnsi="Calibri"/>
        </w:rPr>
        <w:t>6</w:t>
      </w:r>
      <w:r w:rsidR="0071760A">
        <w:rPr>
          <w:rFonts w:ascii="Calibri" w:hAnsi="Calibri"/>
        </w:rPr>
        <w:t xml:space="preserve"> </w:t>
      </w:r>
      <w:r>
        <w:rPr>
          <w:rFonts w:ascii="Calibri" w:hAnsi="Calibri"/>
        </w:rPr>
        <w:t>shows the cumulative</w:t>
      </w:r>
      <w:r w:rsidR="00391262">
        <w:rPr>
          <w:rFonts w:ascii="Calibri" w:hAnsi="Calibri"/>
        </w:rPr>
        <w:t xml:space="preserve"> (Phase 1 and 2 combined)</w:t>
      </w:r>
      <w:r>
        <w:rPr>
          <w:rFonts w:ascii="Calibri" w:hAnsi="Calibri"/>
        </w:rPr>
        <w:t xml:space="preserve"> weighted main interview completion rates for the same demographic subgroups. </w:t>
      </w:r>
      <w:r w:rsidR="00D30CC0">
        <w:rPr>
          <w:rFonts w:ascii="Calibri" w:hAnsi="Calibri"/>
        </w:rPr>
        <w:t>T</w:t>
      </w:r>
      <w:r>
        <w:rPr>
          <w:rFonts w:ascii="Calibri" w:hAnsi="Calibri"/>
        </w:rPr>
        <w:t xml:space="preserve">here is no clear pattern favoring either treatment and none of the differences are significant. It appears that final response rates are not differentiated between the two treatments for these demographic subgroups. </w:t>
      </w:r>
    </w:p>
    <w:p w14:paraId="6B6210DA" w14:textId="1207C154" w:rsidR="00AF1A1B" w:rsidRPr="00E70539" w:rsidRDefault="00AF1A1B" w:rsidP="00421CBC">
      <w:pPr>
        <w:rPr>
          <w:rFonts w:ascii="Calibri" w:hAnsi="Calibri"/>
          <w:b/>
        </w:rPr>
      </w:pPr>
      <w:r w:rsidRPr="00E70539">
        <w:rPr>
          <w:rFonts w:ascii="Calibri" w:hAnsi="Calibri"/>
          <w:b/>
        </w:rPr>
        <w:t xml:space="preserve">Table </w:t>
      </w:r>
      <w:r w:rsidR="00D30CC0">
        <w:rPr>
          <w:rFonts w:ascii="Calibri" w:hAnsi="Calibri"/>
          <w:b/>
        </w:rPr>
        <w:t>6</w:t>
      </w:r>
      <w:r w:rsidRPr="00E70539">
        <w:rPr>
          <w:rFonts w:ascii="Calibri" w:hAnsi="Calibri"/>
          <w:b/>
        </w:rPr>
        <w:t>. Cumulative Weighted Main Interview Completion Rates by Demographic Subgroups</w:t>
      </w:r>
    </w:p>
    <w:tbl>
      <w:tblPr>
        <w:tblW w:w="9735" w:type="dxa"/>
        <w:tblInd w:w="93" w:type="dxa"/>
        <w:tblLayout w:type="fixed"/>
        <w:tblLook w:val="04A0" w:firstRow="1" w:lastRow="0" w:firstColumn="1" w:lastColumn="0" w:noHBand="0" w:noVBand="1"/>
      </w:tblPr>
      <w:tblGrid>
        <w:gridCol w:w="1545"/>
        <w:gridCol w:w="1080"/>
        <w:gridCol w:w="99"/>
        <w:gridCol w:w="1161"/>
        <w:gridCol w:w="900"/>
        <w:gridCol w:w="1260"/>
        <w:gridCol w:w="1170"/>
        <w:gridCol w:w="810"/>
        <w:gridCol w:w="960"/>
        <w:gridCol w:w="750"/>
      </w:tblGrid>
      <w:tr w:rsidR="00F03068" w14:paraId="3E1740A7" w14:textId="77777777" w:rsidTr="00AF1A1B">
        <w:trPr>
          <w:trHeight w:val="315"/>
        </w:trPr>
        <w:tc>
          <w:tcPr>
            <w:tcW w:w="1545" w:type="dxa"/>
            <w:vMerge w:val="restart"/>
            <w:tcBorders>
              <w:top w:val="single" w:sz="12" w:space="0" w:color="auto"/>
              <w:left w:val="single" w:sz="12" w:space="0" w:color="auto"/>
              <w:bottom w:val="nil"/>
              <w:right w:val="single" w:sz="4" w:space="0" w:color="auto"/>
            </w:tcBorders>
            <w:shd w:val="clear" w:color="auto" w:fill="auto"/>
            <w:vAlign w:val="center"/>
            <w:hideMark/>
          </w:tcPr>
          <w:p w14:paraId="49F93A67" w14:textId="7CB94A3D" w:rsidR="00F03068" w:rsidRDefault="00F03068">
            <w:pPr>
              <w:rPr>
                <w:rFonts w:ascii="Calibri" w:hAnsi="Calibri"/>
                <w:b/>
                <w:bCs/>
                <w:color w:val="000000"/>
                <w:sz w:val="22"/>
                <w:szCs w:val="22"/>
              </w:rPr>
            </w:pPr>
          </w:p>
        </w:tc>
        <w:tc>
          <w:tcPr>
            <w:tcW w:w="3240" w:type="dxa"/>
            <w:gridSpan w:val="4"/>
            <w:tcBorders>
              <w:top w:val="single" w:sz="12" w:space="0" w:color="auto"/>
              <w:left w:val="nil"/>
              <w:bottom w:val="single" w:sz="4" w:space="0" w:color="auto"/>
              <w:right w:val="single" w:sz="4" w:space="0" w:color="auto"/>
            </w:tcBorders>
            <w:shd w:val="clear" w:color="auto" w:fill="auto"/>
            <w:vAlign w:val="center"/>
            <w:hideMark/>
          </w:tcPr>
          <w:p w14:paraId="79425A94" w14:textId="77777777" w:rsidR="00F03068" w:rsidRDefault="00F03068">
            <w:pPr>
              <w:jc w:val="center"/>
              <w:rPr>
                <w:rFonts w:ascii="Calibri" w:hAnsi="Calibri"/>
                <w:b/>
                <w:bCs/>
                <w:color w:val="000000"/>
                <w:sz w:val="22"/>
                <w:szCs w:val="22"/>
              </w:rPr>
            </w:pPr>
            <w:r>
              <w:rPr>
                <w:rFonts w:ascii="Calibri" w:hAnsi="Calibri"/>
                <w:b/>
                <w:bCs/>
                <w:color w:val="000000"/>
                <w:sz w:val="22"/>
                <w:szCs w:val="22"/>
              </w:rPr>
              <w:t xml:space="preserve">$40 </w:t>
            </w:r>
          </w:p>
        </w:tc>
        <w:tc>
          <w:tcPr>
            <w:tcW w:w="3240" w:type="dxa"/>
            <w:gridSpan w:val="3"/>
            <w:tcBorders>
              <w:top w:val="single" w:sz="12" w:space="0" w:color="auto"/>
              <w:left w:val="nil"/>
              <w:bottom w:val="single" w:sz="4" w:space="0" w:color="auto"/>
              <w:right w:val="single" w:sz="4" w:space="0" w:color="auto"/>
            </w:tcBorders>
            <w:shd w:val="clear" w:color="auto" w:fill="auto"/>
            <w:vAlign w:val="center"/>
            <w:hideMark/>
          </w:tcPr>
          <w:p w14:paraId="0199E5D1" w14:textId="77777777" w:rsidR="00F03068" w:rsidRDefault="00F03068">
            <w:pPr>
              <w:jc w:val="center"/>
              <w:rPr>
                <w:rFonts w:ascii="Calibri" w:hAnsi="Calibri"/>
                <w:b/>
                <w:bCs/>
                <w:color w:val="000000"/>
                <w:sz w:val="22"/>
                <w:szCs w:val="22"/>
              </w:rPr>
            </w:pPr>
            <w:r>
              <w:rPr>
                <w:rFonts w:ascii="Calibri" w:hAnsi="Calibri"/>
                <w:b/>
                <w:bCs/>
                <w:color w:val="000000"/>
                <w:sz w:val="22"/>
                <w:szCs w:val="22"/>
              </w:rPr>
              <w:t xml:space="preserve">$60 </w:t>
            </w:r>
          </w:p>
        </w:tc>
        <w:tc>
          <w:tcPr>
            <w:tcW w:w="960" w:type="dxa"/>
            <w:vMerge w:val="restart"/>
            <w:tcBorders>
              <w:top w:val="single" w:sz="12" w:space="0" w:color="auto"/>
              <w:left w:val="nil"/>
              <w:bottom w:val="single" w:sz="8" w:space="0" w:color="000000"/>
              <w:right w:val="single" w:sz="8" w:space="0" w:color="auto"/>
            </w:tcBorders>
            <w:shd w:val="clear" w:color="auto" w:fill="auto"/>
            <w:vAlign w:val="bottom"/>
            <w:hideMark/>
          </w:tcPr>
          <w:p w14:paraId="081234C2" w14:textId="28F42CAE" w:rsidR="00F03068" w:rsidRDefault="00F03068">
            <w:pPr>
              <w:jc w:val="center"/>
              <w:rPr>
                <w:rFonts w:ascii="Calibri" w:hAnsi="Calibri"/>
                <w:b/>
                <w:bCs/>
                <w:color w:val="000000"/>
                <w:sz w:val="22"/>
                <w:szCs w:val="22"/>
              </w:rPr>
            </w:pPr>
            <w:r>
              <w:rPr>
                <w:rFonts w:ascii="Calibri" w:hAnsi="Calibri"/>
                <w:b/>
                <w:bCs/>
                <w:color w:val="000000"/>
                <w:sz w:val="22"/>
                <w:szCs w:val="22"/>
              </w:rPr>
              <w:t>Comp Rate</w:t>
            </w:r>
            <w:r w:rsidR="00AF1A1B">
              <w:rPr>
                <w:rFonts w:ascii="Calibri" w:hAnsi="Calibri"/>
                <w:b/>
                <w:bCs/>
                <w:color w:val="000000"/>
                <w:sz w:val="22"/>
                <w:szCs w:val="22"/>
              </w:rPr>
              <w:t xml:space="preserve"> Diff</w:t>
            </w:r>
            <w:r>
              <w:rPr>
                <w:rFonts w:ascii="Calibri" w:hAnsi="Calibri"/>
                <w:b/>
                <w:bCs/>
                <w:color w:val="000000"/>
                <w:sz w:val="22"/>
                <w:szCs w:val="22"/>
              </w:rPr>
              <w:t xml:space="preserve"> ($60-$40)</w:t>
            </w:r>
          </w:p>
        </w:tc>
        <w:tc>
          <w:tcPr>
            <w:tcW w:w="750" w:type="dxa"/>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14:paraId="3D7EA1F0" w14:textId="6365FD88" w:rsidR="00F03068" w:rsidRDefault="00F03068">
            <w:pPr>
              <w:jc w:val="center"/>
              <w:rPr>
                <w:rFonts w:ascii="Calibri" w:hAnsi="Calibri"/>
                <w:i/>
                <w:iCs/>
                <w:color w:val="000000"/>
                <w:sz w:val="22"/>
                <w:szCs w:val="22"/>
              </w:rPr>
            </w:pPr>
            <w:r>
              <w:rPr>
                <w:rFonts w:ascii="Calibri" w:hAnsi="Calibri"/>
                <w:i/>
                <w:iCs/>
                <w:color w:val="000000"/>
                <w:sz w:val="22"/>
                <w:szCs w:val="22"/>
              </w:rPr>
              <w:t>p</w:t>
            </w:r>
            <w:r w:rsidR="00AF1A1B">
              <w:rPr>
                <w:rFonts w:ascii="Calibri" w:hAnsi="Calibri"/>
                <w:i/>
                <w:iCs/>
                <w:color w:val="000000"/>
                <w:sz w:val="22"/>
                <w:szCs w:val="22"/>
              </w:rPr>
              <w:t>-</w:t>
            </w:r>
            <w:r>
              <w:rPr>
                <w:rFonts w:ascii="Calibri" w:hAnsi="Calibri"/>
                <w:i/>
                <w:iCs/>
                <w:color w:val="000000"/>
                <w:sz w:val="22"/>
                <w:szCs w:val="22"/>
              </w:rPr>
              <w:t xml:space="preserve"> value</w:t>
            </w:r>
          </w:p>
        </w:tc>
      </w:tr>
      <w:tr w:rsidR="00F03068" w14:paraId="450E2738" w14:textId="77777777" w:rsidTr="009A55F4">
        <w:trPr>
          <w:trHeight w:val="300"/>
        </w:trPr>
        <w:tc>
          <w:tcPr>
            <w:tcW w:w="1545" w:type="dxa"/>
            <w:vMerge/>
            <w:tcBorders>
              <w:top w:val="single" w:sz="12" w:space="0" w:color="auto"/>
              <w:left w:val="single" w:sz="12" w:space="0" w:color="auto"/>
              <w:bottom w:val="nil"/>
              <w:right w:val="single" w:sz="4" w:space="0" w:color="auto"/>
            </w:tcBorders>
            <w:vAlign w:val="center"/>
            <w:hideMark/>
          </w:tcPr>
          <w:p w14:paraId="1D181B57" w14:textId="77777777" w:rsidR="00F03068" w:rsidRDefault="00F03068">
            <w:pPr>
              <w:rPr>
                <w:rFonts w:ascii="Calibri" w:hAnsi="Calibri"/>
                <w:b/>
                <w:bCs/>
                <w:color w:val="000000"/>
                <w:sz w:val="22"/>
                <w:szCs w:val="22"/>
              </w:rPr>
            </w:pPr>
          </w:p>
        </w:tc>
        <w:tc>
          <w:tcPr>
            <w:tcW w:w="1080" w:type="dxa"/>
            <w:vMerge w:val="restart"/>
            <w:tcBorders>
              <w:top w:val="nil"/>
              <w:left w:val="single" w:sz="4" w:space="0" w:color="auto"/>
              <w:bottom w:val="single" w:sz="4" w:space="0" w:color="auto"/>
              <w:right w:val="single" w:sz="4" w:space="0" w:color="auto"/>
            </w:tcBorders>
            <w:shd w:val="clear" w:color="auto" w:fill="auto"/>
            <w:vAlign w:val="bottom"/>
            <w:hideMark/>
          </w:tcPr>
          <w:p w14:paraId="40DD95D2" w14:textId="1A01E35A" w:rsidR="00F03068" w:rsidRDefault="003D20B3" w:rsidP="00AF1A1B">
            <w:pPr>
              <w:jc w:val="center"/>
              <w:rPr>
                <w:rFonts w:ascii="Calibri" w:hAnsi="Calibri"/>
                <w:b/>
                <w:bCs/>
                <w:color w:val="000000"/>
                <w:sz w:val="22"/>
                <w:szCs w:val="22"/>
              </w:rPr>
            </w:pPr>
            <w:r>
              <w:rPr>
                <w:rFonts w:ascii="Calibri" w:hAnsi="Calibri"/>
                <w:b/>
                <w:bCs/>
                <w:color w:val="000000"/>
                <w:sz w:val="22"/>
                <w:szCs w:val="22"/>
              </w:rPr>
              <w:t>Eligible Persons (N)</w:t>
            </w:r>
          </w:p>
        </w:tc>
        <w:tc>
          <w:tcPr>
            <w:tcW w:w="126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14:paraId="0FC9827E" w14:textId="77777777" w:rsidR="00F03068" w:rsidRDefault="00F03068" w:rsidP="00AF1A1B">
            <w:pPr>
              <w:jc w:val="center"/>
              <w:rPr>
                <w:rFonts w:ascii="Calibri" w:hAnsi="Calibri"/>
                <w:b/>
                <w:bCs/>
                <w:color w:val="000000"/>
                <w:sz w:val="22"/>
                <w:szCs w:val="22"/>
              </w:rPr>
            </w:pPr>
            <w:r>
              <w:rPr>
                <w:rFonts w:ascii="Calibri" w:hAnsi="Calibri"/>
                <w:b/>
                <w:bCs/>
                <w:color w:val="000000"/>
                <w:sz w:val="22"/>
                <w:szCs w:val="22"/>
              </w:rPr>
              <w:t>% Complete</w:t>
            </w:r>
          </w:p>
        </w:tc>
        <w:tc>
          <w:tcPr>
            <w:tcW w:w="900" w:type="dxa"/>
            <w:vMerge w:val="restart"/>
            <w:tcBorders>
              <w:top w:val="nil"/>
              <w:left w:val="single" w:sz="4" w:space="0" w:color="auto"/>
              <w:bottom w:val="single" w:sz="4" w:space="0" w:color="auto"/>
              <w:right w:val="single" w:sz="4" w:space="0" w:color="auto"/>
            </w:tcBorders>
            <w:shd w:val="clear" w:color="auto" w:fill="auto"/>
            <w:vAlign w:val="bottom"/>
            <w:hideMark/>
          </w:tcPr>
          <w:p w14:paraId="409FD026" w14:textId="77777777" w:rsidR="00F03068" w:rsidRDefault="00F03068" w:rsidP="00AF1A1B">
            <w:pPr>
              <w:jc w:val="center"/>
              <w:rPr>
                <w:rFonts w:ascii="Calibri" w:hAnsi="Calibri"/>
                <w:b/>
                <w:bCs/>
                <w:i/>
                <w:iCs/>
                <w:color w:val="000000"/>
                <w:sz w:val="22"/>
                <w:szCs w:val="22"/>
              </w:rPr>
            </w:pPr>
            <w:r>
              <w:rPr>
                <w:rFonts w:ascii="Calibri" w:hAnsi="Calibri"/>
                <w:b/>
                <w:bCs/>
                <w:i/>
                <w:iCs/>
                <w:color w:val="000000"/>
                <w:sz w:val="22"/>
                <w:szCs w:val="22"/>
              </w:rPr>
              <w:t>(SE)</w:t>
            </w:r>
          </w:p>
        </w:tc>
        <w:tc>
          <w:tcPr>
            <w:tcW w:w="1260" w:type="dxa"/>
            <w:vMerge w:val="restart"/>
            <w:tcBorders>
              <w:top w:val="nil"/>
              <w:left w:val="single" w:sz="4" w:space="0" w:color="auto"/>
              <w:bottom w:val="single" w:sz="4" w:space="0" w:color="auto"/>
              <w:right w:val="single" w:sz="4" w:space="0" w:color="auto"/>
            </w:tcBorders>
            <w:shd w:val="clear" w:color="auto" w:fill="auto"/>
            <w:vAlign w:val="bottom"/>
            <w:hideMark/>
          </w:tcPr>
          <w:p w14:paraId="4E011A5F" w14:textId="05DFBC9B" w:rsidR="00F03068" w:rsidRDefault="003D20B3" w:rsidP="00AF1A1B">
            <w:pPr>
              <w:jc w:val="center"/>
              <w:rPr>
                <w:rFonts w:ascii="Calibri" w:hAnsi="Calibri"/>
                <w:b/>
                <w:bCs/>
                <w:color w:val="000000"/>
                <w:sz w:val="22"/>
                <w:szCs w:val="22"/>
              </w:rPr>
            </w:pPr>
            <w:r>
              <w:rPr>
                <w:rFonts w:ascii="Calibri" w:hAnsi="Calibri"/>
                <w:b/>
                <w:bCs/>
                <w:color w:val="000000"/>
                <w:sz w:val="22"/>
                <w:szCs w:val="22"/>
              </w:rPr>
              <w:t>Eligible Persons (N)</w:t>
            </w:r>
          </w:p>
        </w:tc>
        <w:tc>
          <w:tcPr>
            <w:tcW w:w="1170" w:type="dxa"/>
            <w:vMerge w:val="restart"/>
            <w:tcBorders>
              <w:top w:val="nil"/>
              <w:left w:val="single" w:sz="4" w:space="0" w:color="auto"/>
              <w:bottom w:val="single" w:sz="4" w:space="0" w:color="auto"/>
              <w:right w:val="single" w:sz="4" w:space="0" w:color="auto"/>
            </w:tcBorders>
            <w:shd w:val="clear" w:color="auto" w:fill="auto"/>
            <w:vAlign w:val="bottom"/>
            <w:hideMark/>
          </w:tcPr>
          <w:p w14:paraId="1B5D7CD0" w14:textId="77777777" w:rsidR="00F03068" w:rsidRDefault="00F03068" w:rsidP="00AF1A1B">
            <w:pPr>
              <w:jc w:val="center"/>
              <w:rPr>
                <w:rFonts w:ascii="Calibri" w:hAnsi="Calibri"/>
                <w:b/>
                <w:bCs/>
                <w:color w:val="000000"/>
                <w:sz w:val="22"/>
                <w:szCs w:val="22"/>
              </w:rPr>
            </w:pPr>
            <w:r>
              <w:rPr>
                <w:rFonts w:ascii="Calibri" w:hAnsi="Calibri"/>
                <w:b/>
                <w:bCs/>
                <w:color w:val="000000"/>
                <w:sz w:val="22"/>
                <w:szCs w:val="22"/>
              </w:rPr>
              <w:t>% Complete</w:t>
            </w:r>
          </w:p>
        </w:tc>
        <w:tc>
          <w:tcPr>
            <w:tcW w:w="810" w:type="dxa"/>
            <w:vMerge w:val="restart"/>
            <w:tcBorders>
              <w:top w:val="nil"/>
              <w:left w:val="single" w:sz="4" w:space="0" w:color="auto"/>
              <w:right w:val="single" w:sz="4" w:space="0" w:color="auto"/>
            </w:tcBorders>
            <w:shd w:val="clear" w:color="auto" w:fill="auto"/>
            <w:vAlign w:val="bottom"/>
            <w:hideMark/>
          </w:tcPr>
          <w:p w14:paraId="6C8A0A48" w14:textId="77777777" w:rsidR="00F03068" w:rsidRDefault="00F03068" w:rsidP="00AF1A1B">
            <w:pPr>
              <w:jc w:val="center"/>
              <w:rPr>
                <w:rFonts w:ascii="Calibri" w:hAnsi="Calibri"/>
                <w:b/>
                <w:bCs/>
                <w:i/>
                <w:iCs/>
                <w:color w:val="000000"/>
                <w:sz w:val="22"/>
                <w:szCs w:val="22"/>
              </w:rPr>
            </w:pPr>
            <w:r>
              <w:rPr>
                <w:rFonts w:ascii="Calibri" w:hAnsi="Calibri"/>
                <w:b/>
                <w:bCs/>
                <w:i/>
                <w:iCs/>
                <w:color w:val="000000"/>
                <w:sz w:val="22"/>
                <w:szCs w:val="22"/>
              </w:rPr>
              <w:t>(SE)</w:t>
            </w:r>
          </w:p>
        </w:tc>
        <w:tc>
          <w:tcPr>
            <w:tcW w:w="960" w:type="dxa"/>
            <w:vMerge/>
            <w:tcBorders>
              <w:top w:val="single" w:sz="12" w:space="0" w:color="auto"/>
              <w:left w:val="single" w:sz="4" w:space="0" w:color="auto"/>
              <w:bottom w:val="single" w:sz="8" w:space="0" w:color="000000"/>
              <w:right w:val="single" w:sz="8" w:space="0" w:color="auto"/>
            </w:tcBorders>
            <w:vAlign w:val="center"/>
            <w:hideMark/>
          </w:tcPr>
          <w:p w14:paraId="06B95A61" w14:textId="77777777" w:rsidR="00F03068" w:rsidRDefault="00F03068">
            <w:pPr>
              <w:rPr>
                <w:rFonts w:ascii="Calibri" w:hAnsi="Calibri"/>
                <w:b/>
                <w:bCs/>
                <w:color w:val="000000"/>
                <w:sz w:val="22"/>
                <w:szCs w:val="22"/>
              </w:rPr>
            </w:pPr>
          </w:p>
        </w:tc>
        <w:tc>
          <w:tcPr>
            <w:tcW w:w="750" w:type="dxa"/>
            <w:vMerge/>
            <w:tcBorders>
              <w:top w:val="single" w:sz="12" w:space="0" w:color="auto"/>
              <w:left w:val="single" w:sz="8" w:space="0" w:color="auto"/>
              <w:bottom w:val="single" w:sz="8" w:space="0" w:color="000000"/>
              <w:right w:val="single" w:sz="12" w:space="0" w:color="auto"/>
            </w:tcBorders>
            <w:vAlign w:val="center"/>
            <w:hideMark/>
          </w:tcPr>
          <w:p w14:paraId="0FCCF636" w14:textId="77777777" w:rsidR="00F03068" w:rsidRDefault="00F03068">
            <w:pPr>
              <w:rPr>
                <w:rFonts w:ascii="Calibri" w:hAnsi="Calibri"/>
                <w:i/>
                <w:iCs/>
                <w:color w:val="000000"/>
                <w:sz w:val="22"/>
                <w:szCs w:val="22"/>
              </w:rPr>
            </w:pPr>
          </w:p>
        </w:tc>
      </w:tr>
      <w:tr w:rsidR="00F03068" w14:paraId="721D99B5" w14:textId="77777777" w:rsidTr="009A55F4">
        <w:trPr>
          <w:trHeight w:val="315"/>
        </w:trPr>
        <w:tc>
          <w:tcPr>
            <w:tcW w:w="1545" w:type="dxa"/>
            <w:vMerge/>
            <w:tcBorders>
              <w:top w:val="single" w:sz="12" w:space="0" w:color="auto"/>
              <w:left w:val="single" w:sz="12" w:space="0" w:color="auto"/>
              <w:bottom w:val="nil"/>
              <w:right w:val="single" w:sz="4" w:space="0" w:color="auto"/>
            </w:tcBorders>
            <w:vAlign w:val="center"/>
            <w:hideMark/>
          </w:tcPr>
          <w:p w14:paraId="4B0372A0" w14:textId="77777777" w:rsidR="00F03068" w:rsidRDefault="00F03068">
            <w:pPr>
              <w:rPr>
                <w:rFonts w:ascii="Calibri" w:hAnsi="Calibri"/>
                <w:b/>
                <w:bCs/>
                <w:color w:val="000000"/>
                <w:sz w:val="22"/>
                <w:szCs w:val="22"/>
              </w:rPr>
            </w:pPr>
          </w:p>
        </w:tc>
        <w:tc>
          <w:tcPr>
            <w:tcW w:w="1080" w:type="dxa"/>
            <w:vMerge/>
            <w:tcBorders>
              <w:top w:val="nil"/>
              <w:left w:val="single" w:sz="4" w:space="0" w:color="auto"/>
              <w:bottom w:val="single" w:sz="4" w:space="0" w:color="auto"/>
              <w:right w:val="single" w:sz="4" w:space="0" w:color="auto"/>
            </w:tcBorders>
            <w:vAlign w:val="center"/>
            <w:hideMark/>
          </w:tcPr>
          <w:p w14:paraId="5E513173" w14:textId="77777777" w:rsidR="00F03068" w:rsidRDefault="00F03068">
            <w:pPr>
              <w:rPr>
                <w:rFonts w:ascii="Calibri" w:hAnsi="Calibri"/>
                <w:b/>
                <w:bCs/>
                <w:color w:val="000000"/>
                <w:sz w:val="22"/>
                <w:szCs w:val="22"/>
              </w:rPr>
            </w:pPr>
          </w:p>
        </w:tc>
        <w:tc>
          <w:tcPr>
            <w:tcW w:w="1260" w:type="dxa"/>
            <w:gridSpan w:val="2"/>
            <w:vMerge/>
            <w:tcBorders>
              <w:top w:val="nil"/>
              <w:left w:val="single" w:sz="4" w:space="0" w:color="auto"/>
              <w:bottom w:val="single" w:sz="4" w:space="0" w:color="auto"/>
              <w:right w:val="single" w:sz="4" w:space="0" w:color="auto"/>
            </w:tcBorders>
            <w:vAlign w:val="center"/>
            <w:hideMark/>
          </w:tcPr>
          <w:p w14:paraId="6BE2F3FF" w14:textId="77777777" w:rsidR="00F03068" w:rsidRDefault="00F03068">
            <w:pPr>
              <w:rPr>
                <w:rFonts w:ascii="Calibri" w:hAnsi="Calibri"/>
                <w:b/>
                <w:bCs/>
                <w:color w:val="000000"/>
                <w:sz w:val="22"/>
                <w:szCs w:val="22"/>
              </w:rPr>
            </w:pPr>
          </w:p>
        </w:tc>
        <w:tc>
          <w:tcPr>
            <w:tcW w:w="900" w:type="dxa"/>
            <w:vMerge/>
            <w:tcBorders>
              <w:top w:val="nil"/>
              <w:left w:val="single" w:sz="4" w:space="0" w:color="auto"/>
              <w:bottom w:val="single" w:sz="4" w:space="0" w:color="auto"/>
              <w:right w:val="single" w:sz="4" w:space="0" w:color="auto"/>
            </w:tcBorders>
            <w:vAlign w:val="center"/>
            <w:hideMark/>
          </w:tcPr>
          <w:p w14:paraId="7CB77B10" w14:textId="77777777" w:rsidR="00F03068" w:rsidRDefault="00F03068">
            <w:pPr>
              <w:rPr>
                <w:rFonts w:ascii="Calibri" w:hAnsi="Calibri"/>
                <w:b/>
                <w:bCs/>
                <w:i/>
                <w:iCs/>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hideMark/>
          </w:tcPr>
          <w:p w14:paraId="25F917B7" w14:textId="77777777" w:rsidR="00F03068" w:rsidRDefault="00F03068">
            <w:pPr>
              <w:rPr>
                <w:rFonts w:ascii="Calibri" w:hAnsi="Calibri"/>
                <w:b/>
                <w:bCs/>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14:paraId="600F878B" w14:textId="77777777" w:rsidR="00F03068" w:rsidRDefault="00F03068">
            <w:pPr>
              <w:rPr>
                <w:rFonts w:ascii="Calibri" w:hAnsi="Calibri"/>
                <w:b/>
                <w:bCs/>
                <w:color w:val="000000"/>
                <w:sz w:val="22"/>
                <w:szCs w:val="22"/>
              </w:rPr>
            </w:pPr>
          </w:p>
        </w:tc>
        <w:tc>
          <w:tcPr>
            <w:tcW w:w="810" w:type="dxa"/>
            <w:vMerge/>
            <w:tcBorders>
              <w:top w:val="single" w:sz="4" w:space="0" w:color="auto"/>
              <w:left w:val="single" w:sz="4" w:space="0" w:color="auto"/>
              <w:right w:val="single" w:sz="4" w:space="0" w:color="auto"/>
            </w:tcBorders>
            <w:vAlign w:val="center"/>
            <w:hideMark/>
          </w:tcPr>
          <w:p w14:paraId="4ECFC4F3" w14:textId="77777777" w:rsidR="00F03068" w:rsidRDefault="00F03068">
            <w:pPr>
              <w:rPr>
                <w:rFonts w:ascii="Calibri" w:hAnsi="Calibri"/>
                <w:b/>
                <w:bCs/>
                <w:i/>
                <w:iCs/>
                <w:color w:val="000000"/>
                <w:sz w:val="22"/>
                <w:szCs w:val="22"/>
              </w:rPr>
            </w:pPr>
          </w:p>
        </w:tc>
        <w:tc>
          <w:tcPr>
            <w:tcW w:w="960" w:type="dxa"/>
            <w:vMerge/>
            <w:tcBorders>
              <w:top w:val="single" w:sz="12" w:space="0" w:color="auto"/>
              <w:left w:val="single" w:sz="4" w:space="0" w:color="auto"/>
              <w:bottom w:val="single" w:sz="8" w:space="0" w:color="000000"/>
              <w:right w:val="single" w:sz="8" w:space="0" w:color="auto"/>
            </w:tcBorders>
            <w:vAlign w:val="center"/>
            <w:hideMark/>
          </w:tcPr>
          <w:p w14:paraId="13C375DF" w14:textId="77777777" w:rsidR="00F03068" w:rsidRDefault="00F03068">
            <w:pPr>
              <w:rPr>
                <w:rFonts w:ascii="Calibri" w:hAnsi="Calibri"/>
                <w:b/>
                <w:bCs/>
                <w:color w:val="000000"/>
                <w:sz w:val="22"/>
                <w:szCs w:val="22"/>
              </w:rPr>
            </w:pPr>
          </w:p>
        </w:tc>
        <w:tc>
          <w:tcPr>
            <w:tcW w:w="750" w:type="dxa"/>
            <w:vMerge/>
            <w:tcBorders>
              <w:top w:val="single" w:sz="12" w:space="0" w:color="auto"/>
              <w:left w:val="single" w:sz="8" w:space="0" w:color="auto"/>
              <w:bottom w:val="single" w:sz="8" w:space="0" w:color="000000"/>
              <w:right w:val="single" w:sz="12" w:space="0" w:color="auto"/>
            </w:tcBorders>
            <w:vAlign w:val="center"/>
            <w:hideMark/>
          </w:tcPr>
          <w:p w14:paraId="4C8DAC73" w14:textId="77777777" w:rsidR="00F03068" w:rsidRDefault="00F03068">
            <w:pPr>
              <w:rPr>
                <w:rFonts w:ascii="Calibri" w:hAnsi="Calibri"/>
                <w:i/>
                <w:iCs/>
                <w:color w:val="000000"/>
                <w:sz w:val="22"/>
                <w:szCs w:val="22"/>
              </w:rPr>
            </w:pPr>
          </w:p>
        </w:tc>
      </w:tr>
      <w:tr w:rsidR="00F03068" w14:paraId="04243446" w14:textId="77777777" w:rsidTr="00AF1A1B">
        <w:trPr>
          <w:trHeight w:val="315"/>
        </w:trPr>
        <w:tc>
          <w:tcPr>
            <w:tcW w:w="9735" w:type="dxa"/>
            <w:gridSpan w:val="10"/>
            <w:tcBorders>
              <w:top w:val="single" w:sz="8" w:space="0" w:color="auto"/>
              <w:left w:val="single" w:sz="12" w:space="0" w:color="auto"/>
              <w:bottom w:val="single" w:sz="8" w:space="0" w:color="auto"/>
              <w:right w:val="single" w:sz="12" w:space="0" w:color="000000"/>
            </w:tcBorders>
            <w:shd w:val="clear" w:color="auto" w:fill="auto"/>
            <w:vAlign w:val="center"/>
            <w:hideMark/>
          </w:tcPr>
          <w:p w14:paraId="749E9E1A" w14:textId="77777777" w:rsidR="00F03068" w:rsidRDefault="00F03068">
            <w:pPr>
              <w:rPr>
                <w:rFonts w:ascii="Calibri" w:hAnsi="Calibri"/>
                <w:b/>
                <w:bCs/>
                <w:color w:val="000000"/>
                <w:sz w:val="22"/>
                <w:szCs w:val="22"/>
              </w:rPr>
            </w:pPr>
            <w:r>
              <w:rPr>
                <w:rFonts w:ascii="Calibri" w:hAnsi="Calibri"/>
                <w:b/>
                <w:bCs/>
                <w:color w:val="000000"/>
                <w:sz w:val="22"/>
                <w:szCs w:val="22"/>
              </w:rPr>
              <w:t>Race</w:t>
            </w:r>
          </w:p>
        </w:tc>
      </w:tr>
      <w:tr w:rsidR="00F03068" w14:paraId="7991FA37" w14:textId="77777777" w:rsidTr="00AF1A1B">
        <w:trPr>
          <w:trHeight w:val="300"/>
        </w:trPr>
        <w:tc>
          <w:tcPr>
            <w:tcW w:w="1545" w:type="dxa"/>
            <w:tcBorders>
              <w:top w:val="nil"/>
              <w:left w:val="single" w:sz="12" w:space="0" w:color="auto"/>
              <w:bottom w:val="single" w:sz="4" w:space="0" w:color="auto"/>
              <w:right w:val="single" w:sz="4" w:space="0" w:color="auto"/>
            </w:tcBorders>
            <w:shd w:val="clear" w:color="auto" w:fill="auto"/>
            <w:vAlign w:val="center"/>
            <w:hideMark/>
          </w:tcPr>
          <w:p w14:paraId="7BF61966" w14:textId="77777777" w:rsidR="00F03068" w:rsidRDefault="00F03068">
            <w:pPr>
              <w:rPr>
                <w:rFonts w:ascii="Calibri" w:hAnsi="Calibri"/>
                <w:color w:val="000000"/>
                <w:sz w:val="22"/>
                <w:szCs w:val="22"/>
              </w:rPr>
            </w:pPr>
            <w:r>
              <w:rPr>
                <w:rFonts w:ascii="Calibri" w:hAnsi="Calibri"/>
                <w:color w:val="000000"/>
                <w:sz w:val="22"/>
                <w:szCs w:val="22"/>
              </w:rPr>
              <w:t>Hispanic</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2B395232" w14:textId="77777777" w:rsidR="00F03068" w:rsidRDefault="00F03068">
            <w:pPr>
              <w:jc w:val="center"/>
              <w:rPr>
                <w:rFonts w:ascii="Calibri" w:hAnsi="Calibri"/>
                <w:color w:val="000000"/>
                <w:sz w:val="22"/>
                <w:szCs w:val="22"/>
              </w:rPr>
            </w:pPr>
            <w:r>
              <w:rPr>
                <w:rFonts w:ascii="Calibri" w:hAnsi="Calibri"/>
                <w:color w:val="000000"/>
                <w:sz w:val="22"/>
                <w:szCs w:val="22"/>
              </w:rPr>
              <w:t>621</w:t>
            </w:r>
          </w:p>
        </w:tc>
        <w:tc>
          <w:tcPr>
            <w:tcW w:w="1161" w:type="dxa"/>
            <w:tcBorders>
              <w:top w:val="nil"/>
              <w:left w:val="nil"/>
              <w:bottom w:val="single" w:sz="4" w:space="0" w:color="auto"/>
              <w:right w:val="single" w:sz="4" w:space="0" w:color="auto"/>
            </w:tcBorders>
            <w:shd w:val="clear" w:color="auto" w:fill="auto"/>
            <w:noWrap/>
            <w:vAlign w:val="center"/>
            <w:hideMark/>
          </w:tcPr>
          <w:p w14:paraId="5113109E" w14:textId="77777777" w:rsidR="00F03068" w:rsidRDefault="00F03068">
            <w:pPr>
              <w:jc w:val="center"/>
              <w:rPr>
                <w:rFonts w:ascii="Calibri" w:hAnsi="Calibri"/>
                <w:color w:val="000000"/>
                <w:sz w:val="22"/>
                <w:szCs w:val="22"/>
              </w:rPr>
            </w:pPr>
            <w:r>
              <w:rPr>
                <w:rFonts w:ascii="Calibri" w:hAnsi="Calibri"/>
                <w:color w:val="000000"/>
                <w:sz w:val="22"/>
                <w:szCs w:val="22"/>
              </w:rPr>
              <w:t>80.30%</w:t>
            </w:r>
          </w:p>
        </w:tc>
        <w:tc>
          <w:tcPr>
            <w:tcW w:w="900" w:type="dxa"/>
            <w:tcBorders>
              <w:top w:val="nil"/>
              <w:left w:val="nil"/>
              <w:bottom w:val="single" w:sz="4" w:space="0" w:color="auto"/>
              <w:right w:val="single" w:sz="4" w:space="0" w:color="auto"/>
            </w:tcBorders>
            <w:shd w:val="clear" w:color="auto" w:fill="auto"/>
            <w:noWrap/>
            <w:vAlign w:val="center"/>
            <w:hideMark/>
          </w:tcPr>
          <w:p w14:paraId="63717009" w14:textId="77777777" w:rsidR="00F03068" w:rsidRDefault="00F03068">
            <w:pPr>
              <w:jc w:val="center"/>
              <w:rPr>
                <w:rFonts w:ascii="Calibri" w:hAnsi="Calibri"/>
                <w:i/>
                <w:iCs/>
                <w:color w:val="000000"/>
                <w:sz w:val="22"/>
                <w:szCs w:val="22"/>
              </w:rPr>
            </w:pPr>
            <w:r>
              <w:rPr>
                <w:rFonts w:ascii="Calibri" w:hAnsi="Calibri"/>
                <w:i/>
                <w:iCs/>
                <w:color w:val="000000"/>
                <w:sz w:val="22"/>
                <w:szCs w:val="22"/>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11E40607" w14:textId="77777777" w:rsidR="00F03068" w:rsidRDefault="00F03068">
            <w:pPr>
              <w:jc w:val="center"/>
              <w:rPr>
                <w:rFonts w:ascii="Calibri" w:hAnsi="Calibri"/>
                <w:color w:val="000000"/>
                <w:sz w:val="22"/>
                <w:szCs w:val="22"/>
              </w:rPr>
            </w:pPr>
            <w:r>
              <w:rPr>
                <w:rFonts w:ascii="Calibri" w:hAnsi="Calibri"/>
                <w:color w:val="000000"/>
                <w:sz w:val="22"/>
                <w:szCs w:val="22"/>
              </w:rPr>
              <w:t>737</w:t>
            </w:r>
          </w:p>
        </w:tc>
        <w:tc>
          <w:tcPr>
            <w:tcW w:w="1170" w:type="dxa"/>
            <w:tcBorders>
              <w:top w:val="nil"/>
              <w:left w:val="nil"/>
              <w:bottom w:val="single" w:sz="4" w:space="0" w:color="auto"/>
              <w:right w:val="single" w:sz="4" w:space="0" w:color="auto"/>
            </w:tcBorders>
            <w:shd w:val="clear" w:color="auto" w:fill="auto"/>
            <w:noWrap/>
            <w:vAlign w:val="center"/>
            <w:hideMark/>
          </w:tcPr>
          <w:p w14:paraId="73C7FE93" w14:textId="77777777" w:rsidR="00F03068" w:rsidRDefault="00F03068">
            <w:pPr>
              <w:jc w:val="center"/>
              <w:rPr>
                <w:rFonts w:ascii="Calibri" w:hAnsi="Calibri"/>
                <w:color w:val="000000"/>
                <w:sz w:val="22"/>
                <w:szCs w:val="22"/>
              </w:rPr>
            </w:pPr>
            <w:r>
              <w:rPr>
                <w:rFonts w:ascii="Calibri" w:hAnsi="Calibri"/>
                <w:color w:val="000000"/>
                <w:sz w:val="22"/>
                <w:szCs w:val="22"/>
              </w:rPr>
              <w:t>82.00%</w:t>
            </w:r>
          </w:p>
        </w:tc>
        <w:tc>
          <w:tcPr>
            <w:tcW w:w="810" w:type="dxa"/>
            <w:tcBorders>
              <w:top w:val="nil"/>
              <w:left w:val="nil"/>
              <w:bottom w:val="single" w:sz="4" w:space="0" w:color="auto"/>
              <w:right w:val="nil"/>
            </w:tcBorders>
            <w:shd w:val="clear" w:color="auto" w:fill="auto"/>
            <w:noWrap/>
            <w:vAlign w:val="center"/>
            <w:hideMark/>
          </w:tcPr>
          <w:p w14:paraId="5A7E4AE8" w14:textId="77777777" w:rsidR="00F03068" w:rsidRDefault="00F03068">
            <w:pPr>
              <w:jc w:val="center"/>
              <w:rPr>
                <w:rFonts w:ascii="Calibri" w:hAnsi="Calibri"/>
                <w:i/>
                <w:iCs/>
                <w:color w:val="000000"/>
                <w:sz w:val="22"/>
                <w:szCs w:val="22"/>
              </w:rPr>
            </w:pPr>
            <w:r>
              <w:rPr>
                <w:rFonts w:ascii="Calibri" w:hAnsi="Calibri"/>
                <w:i/>
                <w:iCs/>
                <w:color w:val="000000"/>
                <w:sz w:val="22"/>
                <w:szCs w:val="22"/>
              </w:rPr>
              <w:t>1.40%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0C89B6" w14:textId="77777777" w:rsidR="00F03068" w:rsidRDefault="00F03068">
            <w:pPr>
              <w:jc w:val="center"/>
              <w:rPr>
                <w:rFonts w:ascii="Calibri" w:hAnsi="Calibri"/>
                <w:color w:val="000000"/>
                <w:sz w:val="22"/>
                <w:szCs w:val="22"/>
              </w:rPr>
            </w:pPr>
            <w:r>
              <w:rPr>
                <w:rFonts w:ascii="Calibri" w:hAnsi="Calibri"/>
                <w:color w:val="000000"/>
                <w:sz w:val="22"/>
                <w:szCs w:val="22"/>
              </w:rPr>
              <w:t>1.70%</w:t>
            </w:r>
          </w:p>
        </w:tc>
        <w:tc>
          <w:tcPr>
            <w:tcW w:w="750" w:type="dxa"/>
            <w:tcBorders>
              <w:top w:val="nil"/>
              <w:left w:val="single" w:sz="8" w:space="0" w:color="auto"/>
              <w:bottom w:val="single" w:sz="4" w:space="0" w:color="auto"/>
              <w:right w:val="single" w:sz="12" w:space="0" w:color="auto"/>
            </w:tcBorders>
            <w:shd w:val="clear" w:color="auto" w:fill="auto"/>
            <w:noWrap/>
            <w:vAlign w:val="center"/>
            <w:hideMark/>
          </w:tcPr>
          <w:p w14:paraId="0E0BE662" w14:textId="77777777" w:rsidR="00F03068" w:rsidRDefault="00F03068">
            <w:pPr>
              <w:jc w:val="center"/>
              <w:rPr>
                <w:rFonts w:ascii="Calibri" w:hAnsi="Calibri"/>
                <w:color w:val="000000"/>
                <w:sz w:val="22"/>
                <w:szCs w:val="22"/>
              </w:rPr>
            </w:pPr>
            <w:r>
              <w:rPr>
                <w:rFonts w:ascii="Calibri" w:hAnsi="Calibri"/>
                <w:color w:val="000000"/>
                <w:sz w:val="22"/>
                <w:szCs w:val="22"/>
              </w:rPr>
              <w:t>0.463</w:t>
            </w:r>
          </w:p>
        </w:tc>
      </w:tr>
      <w:tr w:rsidR="00F03068" w14:paraId="3068CFD3" w14:textId="77777777" w:rsidTr="00AF1A1B">
        <w:trPr>
          <w:trHeight w:val="300"/>
        </w:trPr>
        <w:tc>
          <w:tcPr>
            <w:tcW w:w="1545" w:type="dxa"/>
            <w:tcBorders>
              <w:top w:val="nil"/>
              <w:left w:val="single" w:sz="12" w:space="0" w:color="auto"/>
              <w:bottom w:val="single" w:sz="4" w:space="0" w:color="auto"/>
              <w:right w:val="single" w:sz="4" w:space="0" w:color="auto"/>
            </w:tcBorders>
            <w:shd w:val="clear" w:color="auto" w:fill="auto"/>
            <w:vAlign w:val="center"/>
            <w:hideMark/>
          </w:tcPr>
          <w:p w14:paraId="70390E28" w14:textId="77777777" w:rsidR="00F03068" w:rsidRDefault="00F03068">
            <w:pPr>
              <w:rPr>
                <w:rFonts w:ascii="Calibri" w:hAnsi="Calibri"/>
                <w:color w:val="000000"/>
                <w:sz w:val="22"/>
                <w:szCs w:val="22"/>
              </w:rPr>
            </w:pPr>
            <w:r>
              <w:rPr>
                <w:rFonts w:ascii="Calibri" w:hAnsi="Calibri"/>
                <w:color w:val="000000"/>
                <w:sz w:val="22"/>
                <w:szCs w:val="22"/>
              </w:rPr>
              <w:t>Black</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57E1103D" w14:textId="77777777" w:rsidR="00F03068" w:rsidRDefault="00F03068">
            <w:pPr>
              <w:jc w:val="center"/>
              <w:rPr>
                <w:rFonts w:ascii="Calibri" w:hAnsi="Calibri"/>
                <w:color w:val="000000"/>
                <w:sz w:val="22"/>
                <w:szCs w:val="22"/>
              </w:rPr>
            </w:pPr>
            <w:r>
              <w:rPr>
                <w:rFonts w:ascii="Calibri" w:hAnsi="Calibri"/>
                <w:color w:val="000000"/>
                <w:sz w:val="22"/>
                <w:szCs w:val="22"/>
              </w:rPr>
              <w:t>562</w:t>
            </w:r>
          </w:p>
        </w:tc>
        <w:tc>
          <w:tcPr>
            <w:tcW w:w="1161" w:type="dxa"/>
            <w:tcBorders>
              <w:top w:val="nil"/>
              <w:left w:val="nil"/>
              <w:bottom w:val="single" w:sz="4" w:space="0" w:color="auto"/>
              <w:right w:val="single" w:sz="4" w:space="0" w:color="auto"/>
            </w:tcBorders>
            <w:shd w:val="clear" w:color="auto" w:fill="auto"/>
            <w:noWrap/>
            <w:vAlign w:val="center"/>
            <w:hideMark/>
          </w:tcPr>
          <w:p w14:paraId="7038C9CD" w14:textId="77777777" w:rsidR="00F03068" w:rsidRDefault="00F03068">
            <w:pPr>
              <w:jc w:val="center"/>
              <w:rPr>
                <w:rFonts w:ascii="Calibri" w:hAnsi="Calibri"/>
                <w:color w:val="000000"/>
                <w:sz w:val="22"/>
                <w:szCs w:val="22"/>
              </w:rPr>
            </w:pPr>
            <w:r>
              <w:rPr>
                <w:rFonts w:ascii="Calibri" w:hAnsi="Calibri"/>
                <w:color w:val="000000"/>
                <w:sz w:val="22"/>
                <w:szCs w:val="22"/>
              </w:rPr>
              <w:t>82.10%</w:t>
            </w:r>
          </w:p>
        </w:tc>
        <w:tc>
          <w:tcPr>
            <w:tcW w:w="900" w:type="dxa"/>
            <w:tcBorders>
              <w:top w:val="nil"/>
              <w:left w:val="nil"/>
              <w:bottom w:val="single" w:sz="4" w:space="0" w:color="auto"/>
              <w:right w:val="single" w:sz="4" w:space="0" w:color="auto"/>
            </w:tcBorders>
            <w:shd w:val="clear" w:color="auto" w:fill="auto"/>
            <w:noWrap/>
            <w:vAlign w:val="center"/>
            <w:hideMark/>
          </w:tcPr>
          <w:p w14:paraId="4DA2AEEA" w14:textId="77777777" w:rsidR="00F03068" w:rsidRDefault="00F03068">
            <w:pPr>
              <w:jc w:val="center"/>
              <w:rPr>
                <w:rFonts w:ascii="Calibri" w:hAnsi="Calibri"/>
                <w:i/>
                <w:iCs/>
                <w:color w:val="000000"/>
                <w:sz w:val="22"/>
                <w:szCs w:val="22"/>
              </w:rPr>
            </w:pPr>
            <w:r>
              <w:rPr>
                <w:rFonts w:ascii="Calibri" w:hAnsi="Calibri"/>
                <w:i/>
                <w:iCs/>
                <w:color w:val="000000"/>
                <w:sz w:val="22"/>
                <w:szCs w:val="22"/>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751D2125" w14:textId="77777777" w:rsidR="00F03068" w:rsidRDefault="00F03068">
            <w:pPr>
              <w:jc w:val="center"/>
              <w:rPr>
                <w:rFonts w:ascii="Calibri" w:hAnsi="Calibri"/>
                <w:color w:val="000000"/>
                <w:sz w:val="22"/>
                <w:szCs w:val="22"/>
              </w:rPr>
            </w:pPr>
            <w:r>
              <w:rPr>
                <w:rFonts w:ascii="Calibri" w:hAnsi="Calibri"/>
                <w:color w:val="000000"/>
                <w:sz w:val="22"/>
                <w:szCs w:val="22"/>
              </w:rPr>
              <w:t>580</w:t>
            </w:r>
          </w:p>
        </w:tc>
        <w:tc>
          <w:tcPr>
            <w:tcW w:w="1170" w:type="dxa"/>
            <w:tcBorders>
              <w:top w:val="nil"/>
              <w:left w:val="nil"/>
              <w:bottom w:val="single" w:sz="4" w:space="0" w:color="auto"/>
              <w:right w:val="single" w:sz="4" w:space="0" w:color="auto"/>
            </w:tcBorders>
            <w:shd w:val="clear" w:color="auto" w:fill="auto"/>
            <w:noWrap/>
            <w:vAlign w:val="center"/>
            <w:hideMark/>
          </w:tcPr>
          <w:p w14:paraId="798D75FC" w14:textId="77777777" w:rsidR="00F03068" w:rsidRDefault="00F03068">
            <w:pPr>
              <w:jc w:val="center"/>
              <w:rPr>
                <w:rFonts w:ascii="Calibri" w:hAnsi="Calibri"/>
                <w:color w:val="000000"/>
                <w:sz w:val="22"/>
                <w:szCs w:val="22"/>
              </w:rPr>
            </w:pPr>
            <w:r>
              <w:rPr>
                <w:rFonts w:ascii="Calibri" w:hAnsi="Calibri"/>
                <w:color w:val="000000"/>
                <w:sz w:val="22"/>
                <w:szCs w:val="22"/>
              </w:rPr>
              <w:t>84.30%</w:t>
            </w:r>
          </w:p>
        </w:tc>
        <w:tc>
          <w:tcPr>
            <w:tcW w:w="810" w:type="dxa"/>
            <w:tcBorders>
              <w:top w:val="nil"/>
              <w:left w:val="nil"/>
              <w:bottom w:val="single" w:sz="4" w:space="0" w:color="auto"/>
              <w:right w:val="nil"/>
            </w:tcBorders>
            <w:shd w:val="clear" w:color="auto" w:fill="auto"/>
            <w:noWrap/>
            <w:vAlign w:val="center"/>
            <w:hideMark/>
          </w:tcPr>
          <w:p w14:paraId="42F433F7" w14:textId="77777777" w:rsidR="00F03068" w:rsidRDefault="00F03068">
            <w:pPr>
              <w:jc w:val="center"/>
              <w:rPr>
                <w:rFonts w:ascii="Calibri" w:hAnsi="Calibri"/>
                <w:i/>
                <w:iCs/>
                <w:color w:val="000000"/>
                <w:sz w:val="22"/>
                <w:szCs w:val="22"/>
              </w:rPr>
            </w:pPr>
            <w:r>
              <w:rPr>
                <w:rFonts w:ascii="Calibri" w:hAnsi="Calibri"/>
                <w:i/>
                <w:iCs/>
                <w:color w:val="000000"/>
                <w:sz w:val="22"/>
                <w:szCs w:val="22"/>
              </w:rPr>
              <w:t>1.50%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7A6878" w14:textId="77777777" w:rsidR="00F03068" w:rsidRDefault="00F03068">
            <w:pPr>
              <w:jc w:val="center"/>
              <w:rPr>
                <w:rFonts w:ascii="Calibri" w:hAnsi="Calibri"/>
                <w:color w:val="000000"/>
                <w:sz w:val="22"/>
                <w:szCs w:val="22"/>
              </w:rPr>
            </w:pPr>
            <w:r>
              <w:rPr>
                <w:rFonts w:ascii="Calibri" w:hAnsi="Calibri"/>
                <w:color w:val="000000"/>
                <w:sz w:val="22"/>
                <w:szCs w:val="22"/>
              </w:rPr>
              <w:t>2.20%</w:t>
            </w:r>
          </w:p>
        </w:tc>
        <w:tc>
          <w:tcPr>
            <w:tcW w:w="750" w:type="dxa"/>
            <w:tcBorders>
              <w:top w:val="nil"/>
              <w:left w:val="single" w:sz="8" w:space="0" w:color="auto"/>
              <w:bottom w:val="single" w:sz="4" w:space="0" w:color="auto"/>
              <w:right w:val="single" w:sz="12" w:space="0" w:color="auto"/>
            </w:tcBorders>
            <w:shd w:val="clear" w:color="auto" w:fill="auto"/>
            <w:noWrap/>
            <w:vAlign w:val="center"/>
            <w:hideMark/>
          </w:tcPr>
          <w:p w14:paraId="4C067FFC" w14:textId="77777777" w:rsidR="00F03068" w:rsidRDefault="00F03068">
            <w:pPr>
              <w:jc w:val="center"/>
              <w:rPr>
                <w:rFonts w:ascii="Calibri" w:hAnsi="Calibri"/>
                <w:color w:val="000000"/>
                <w:sz w:val="22"/>
                <w:szCs w:val="22"/>
              </w:rPr>
            </w:pPr>
            <w:r>
              <w:rPr>
                <w:rFonts w:ascii="Calibri" w:hAnsi="Calibri"/>
                <w:color w:val="000000"/>
                <w:sz w:val="22"/>
                <w:szCs w:val="22"/>
              </w:rPr>
              <w:t>0.412</w:t>
            </w:r>
          </w:p>
        </w:tc>
      </w:tr>
      <w:tr w:rsidR="00F03068" w14:paraId="79B80E9C" w14:textId="77777777" w:rsidTr="00AF1A1B">
        <w:trPr>
          <w:trHeight w:val="315"/>
        </w:trPr>
        <w:tc>
          <w:tcPr>
            <w:tcW w:w="1545" w:type="dxa"/>
            <w:tcBorders>
              <w:top w:val="nil"/>
              <w:left w:val="single" w:sz="12" w:space="0" w:color="auto"/>
              <w:bottom w:val="nil"/>
              <w:right w:val="single" w:sz="4" w:space="0" w:color="auto"/>
            </w:tcBorders>
            <w:shd w:val="clear" w:color="auto" w:fill="auto"/>
            <w:vAlign w:val="center"/>
            <w:hideMark/>
          </w:tcPr>
          <w:p w14:paraId="3FF98CFF" w14:textId="77777777" w:rsidR="00F03068" w:rsidRDefault="00F03068">
            <w:pPr>
              <w:rPr>
                <w:rFonts w:ascii="Calibri" w:hAnsi="Calibri"/>
                <w:color w:val="000000"/>
                <w:sz w:val="22"/>
                <w:szCs w:val="22"/>
              </w:rPr>
            </w:pPr>
            <w:r>
              <w:rPr>
                <w:rFonts w:ascii="Calibri" w:hAnsi="Calibri"/>
                <w:color w:val="000000"/>
                <w:sz w:val="22"/>
                <w:szCs w:val="22"/>
              </w:rPr>
              <w:t>White &amp; Other</w:t>
            </w:r>
          </w:p>
        </w:tc>
        <w:tc>
          <w:tcPr>
            <w:tcW w:w="1179" w:type="dxa"/>
            <w:gridSpan w:val="2"/>
            <w:tcBorders>
              <w:top w:val="nil"/>
              <w:left w:val="nil"/>
              <w:bottom w:val="nil"/>
              <w:right w:val="single" w:sz="4" w:space="0" w:color="auto"/>
            </w:tcBorders>
            <w:shd w:val="clear" w:color="auto" w:fill="auto"/>
            <w:noWrap/>
            <w:vAlign w:val="center"/>
            <w:hideMark/>
          </w:tcPr>
          <w:p w14:paraId="63A2E714" w14:textId="77777777" w:rsidR="00F03068" w:rsidRDefault="00F03068">
            <w:pPr>
              <w:jc w:val="center"/>
              <w:rPr>
                <w:rFonts w:ascii="Calibri" w:hAnsi="Calibri"/>
                <w:color w:val="000000"/>
                <w:sz w:val="22"/>
                <w:szCs w:val="22"/>
              </w:rPr>
            </w:pPr>
            <w:r>
              <w:rPr>
                <w:rFonts w:ascii="Calibri" w:hAnsi="Calibri"/>
                <w:color w:val="000000"/>
                <w:sz w:val="22"/>
                <w:szCs w:val="22"/>
              </w:rPr>
              <w:t>1667</w:t>
            </w:r>
          </w:p>
        </w:tc>
        <w:tc>
          <w:tcPr>
            <w:tcW w:w="1161" w:type="dxa"/>
            <w:tcBorders>
              <w:top w:val="nil"/>
              <w:left w:val="nil"/>
              <w:bottom w:val="nil"/>
              <w:right w:val="single" w:sz="4" w:space="0" w:color="auto"/>
            </w:tcBorders>
            <w:shd w:val="clear" w:color="auto" w:fill="auto"/>
            <w:noWrap/>
            <w:vAlign w:val="center"/>
            <w:hideMark/>
          </w:tcPr>
          <w:p w14:paraId="7B87DF4D" w14:textId="77777777" w:rsidR="00F03068" w:rsidRDefault="00F03068">
            <w:pPr>
              <w:jc w:val="center"/>
              <w:rPr>
                <w:rFonts w:ascii="Calibri" w:hAnsi="Calibri"/>
                <w:color w:val="000000"/>
                <w:sz w:val="22"/>
                <w:szCs w:val="22"/>
              </w:rPr>
            </w:pPr>
            <w:r>
              <w:rPr>
                <w:rFonts w:ascii="Calibri" w:hAnsi="Calibri"/>
                <w:color w:val="000000"/>
                <w:sz w:val="22"/>
                <w:szCs w:val="22"/>
              </w:rPr>
              <w:t>75.20%</w:t>
            </w:r>
          </w:p>
        </w:tc>
        <w:tc>
          <w:tcPr>
            <w:tcW w:w="900" w:type="dxa"/>
            <w:tcBorders>
              <w:top w:val="nil"/>
              <w:left w:val="nil"/>
              <w:bottom w:val="nil"/>
              <w:right w:val="single" w:sz="4" w:space="0" w:color="auto"/>
            </w:tcBorders>
            <w:shd w:val="clear" w:color="auto" w:fill="auto"/>
            <w:noWrap/>
            <w:vAlign w:val="center"/>
            <w:hideMark/>
          </w:tcPr>
          <w:p w14:paraId="268E8289" w14:textId="77777777" w:rsidR="00F03068" w:rsidRDefault="00F03068">
            <w:pPr>
              <w:jc w:val="center"/>
              <w:rPr>
                <w:rFonts w:ascii="Calibri" w:hAnsi="Calibri"/>
                <w:i/>
                <w:iCs/>
                <w:color w:val="000000"/>
                <w:sz w:val="22"/>
                <w:szCs w:val="22"/>
              </w:rPr>
            </w:pPr>
            <w:r>
              <w:rPr>
                <w:rFonts w:ascii="Calibri" w:hAnsi="Calibri"/>
                <w:i/>
                <w:iCs/>
                <w:color w:val="000000"/>
                <w:sz w:val="22"/>
                <w:szCs w:val="22"/>
              </w:rPr>
              <w:t>1.10%</w:t>
            </w:r>
          </w:p>
        </w:tc>
        <w:tc>
          <w:tcPr>
            <w:tcW w:w="1260" w:type="dxa"/>
            <w:tcBorders>
              <w:top w:val="nil"/>
              <w:left w:val="nil"/>
              <w:bottom w:val="nil"/>
              <w:right w:val="single" w:sz="4" w:space="0" w:color="auto"/>
            </w:tcBorders>
            <w:shd w:val="clear" w:color="auto" w:fill="auto"/>
            <w:noWrap/>
            <w:vAlign w:val="center"/>
            <w:hideMark/>
          </w:tcPr>
          <w:p w14:paraId="44329B75" w14:textId="77777777" w:rsidR="00F03068" w:rsidRDefault="00F03068">
            <w:pPr>
              <w:jc w:val="center"/>
              <w:rPr>
                <w:rFonts w:ascii="Calibri" w:hAnsi="Calibri"/>
                <w:color w:val="000000"/>
                <w:sz w:val="22"/>
                <w:szCs w:val="22"/>
              </w:rPr>
            </w:pPr>
            <w:r>
              <w:rPr>
                <w:rFonts w:ascii="Calibri" w:hAnsi="Calibri"/>
                <w:color w:val="000000"/>
                <w:sz w:val="22"/>
                <w:szCs w:val="22"/>
              </w:rPr>
              <w:t>1860</w:t>
            </w:r>
          </w:p>
        </w:tc>
        <w:tc>
          <w:tcPr>
            <w:tcW w:w="1170" w:type="dxa"/>
            <w:tcBorders>
              <w:top w:val="nil"/>
              <w:left w:val="nil"/>
              <w:bottom w:val="nil"/>
              <w:right w:val="single" w:sz="4" w:space="0" w:color="auto"/>
            </w:tcBorders>
            <w:shd w:val="clear" w:color="auto" w:fill="auto"/>
            <w:noWrap/>
            <w:vAlign w:val="center"/>
            <w:hideMark/>
          </w:tcPr>
          <w:p w14:paraId="6482C19A" w14:textId="77777777" w:rsidR="00F03068" w:rsidRDefault="00F03068">
            <w:pPr>
              <w:jc w:val="center"/>
              <w:rPr>
                <w:rFonts w:ascii="Calibri" w:hAnsi="Calibri"/>
                <w:color w:val="000000"/>
                <w:sz w:val="22"/>
                <w:szCs w:val="22"/>
              </w:rPr>
            </w:pPr>
            <w:r>
              <w:rPr>
                <w:rFonts w:ascii="Calibri" w:hAnsi="Calibri"/>
                <w:color w:val="000000"/>
                <w:sz w:val="22"/>
                <w:szCs w:val="22"/>
              </w:rPr>
              <w:t>72.90%</w:t>
            </w:r>
          </w:p>
        </w:tc>
        <w:tc>
          <w:tcPr>
            <w:tcW w:w="810" w:type="dxa"/>
            <w:tcBorders>
              <w:top w:val="nil"/>
              <w:left w:val="nil"/>
              <w:bottom w:val="nil"/>
              <w:right w:val="nil"/>
            </w:tcBorders>
            <w:shd w:val="clear" w:color="auto" w:fill="auto"/>
            <w:noWrap/>
            <w:vAlign w:val="center"/>
            <w:hideMark/>
          </w:tcPr>
          <w:p w14:paraId="074A1295" w14:textId="77777777" w:rsidR="00F03068" w:rsidRDefault="00F03068">
            <w:pPr>
              <w:jc w:val="center"/>
              <w:rPr>
                <w:rFonts w:ascii="Calibri" w:hAnsi="Calibri"/>
                <w:i/>
                <w:iCs/>
                <w:color w:val="000000"/>
                <w:sz w:val="22"/>
                <w:szCs w:val="22"/>
              </w:rPr>
            </w:pPr>
            <w:r>
              <w:rPr>
                <w:rFonts w:ascii="Calibri" w:hAnsi="Calibri"/>
                <w:i/>
                <w:iCs/>
                <w:color w:val="000000"/>
                <w:sz w:val="22"/>
                <w:szCs w:val="22"/>
              </w:rPr>
              <w:t>1.00%</w:t>
            </w:r>
          </w:p>
        </w:tc>
        <w:tc>
          <w:tcPr>
            <w:tcW w:w="960" w:type="dxa"/>
            <w:tcBorders>
              <w:top w:val="nil"/>
              <w:left w:val="single" w:sz="4" w:space="0" w:color="auto"/>
              <w:bottom w:val="nil"/>
              <w:right w:val="single" w:sz="4" w:space="0" w:color="auto"/>
            </w:tcBorders>
            <w:shd w:val="clear" w:color="auto" w:fill="auto"/>
            <w:noWrap/>
            <w:vAlign w:val="center"/>
            <w:hideMark/>
          </w:tcPr>
          <w:p w14:paraId="3FB7853E" w14:textId="77777777" w:rsidR="00F03068" w:rsidRDefault="00F03068">
            <w:pPr>
              <w:jc w:val="center"/>
              <w:rPr>
                <w:rFonts w:ascii="Calibri" w:hAnsi="Calibri"/>
                <w:color w:val="000000"/>
                <w:sz w:val="22"/>
                <w:szCs w:val="22"/>
              </w:rPr>
            </w:pPr>
            <w:r>
              <w:rPr>
                <w:rFonts w:ascii="Calibri" w:hAnsi="Calibri"/>
                <w:color w:val="000000"/>
                <w:sz w:val="22"/>
                <w:szCs w:val="22"/>
              </w:rPr>
              <w:t>-2.30%</w:t>
            </w:r>
          </w:p>
        </w:tc>
        <w:tc>
          <w:tcPr>
            <w:tcW w:w="750" w:type="dxa"/>
            <w:tcBorders>
              <w:top w:val="nil"/>
              <w:left w:val="single" w:sz="8" w:space="0" w:color="auto"/>
              <w:bottom w:val="nil"/>
              <w:right w:val="single" w:sz="12" w:space="0" w:color="auto"/>
            </w:tcBorders>
            <w:shd w:val="clear" w:color="auto" w:fill="auto"/>
            <w:noWrap/>
            <w:vAlign w:val="center"/>
            <w:hideMark/>
          </w:tcPr>
          <w:p w14:paraId="7E7F6E51" w14:textId="77777777" w:rsidR="00F03068" w:rsidRDefault="00F03068">
            <w:pPr>
              <w:jc w:val="center"/>
              <w:rPr>
                <w:rFonts w:ascii="Calibri" w:hAnsi="Calibri"/>
                <w:color w:val="000000"/>
                <w:sz w:val="22"/>
                <w:szCs w:val="22"/>
              </w:rPr>
            </w:pPr>
            <w:r>
              <w:rPr>
                <w:rFonts w:ascii="Calibri" w:hAnsi="Calibri"/>
                <w:color w:val="000000"/>
                <w:sz w:val="22"/>
                <w:szCs w:val="22"/>
              </w:rPr>
              <w:t>0.214</w:t>
            </w:r>
          </w:p>
        </w:tc>
      </w:tr>
      <w:tr w:rsidR="00F03068" w14:paraId="43FCBB6E" w14:textId="77777777" w:rsidTr="00AF1A1B">
        <w:trPr>
          <w:trHeight w:val="315"/>
        </w:trPr>
        <w:tc>
          <w:tcPr>
            <w:tcW w:w="9735" w:type="dxa"/>
            <w:gridSpan w:val="10"/>
            <w:tcBorders>
              <w:top w:val="single" w:sz="8" w:space="0" w:color="auto"/>
              <w:left w:val="single" w:sz="12" w:space="0" w:color="auto"/>
              <w:bottom w:val="single" w:sz="8" w:space="0" w:color="auto"/>
              <w:right w:val="single" w:sz="12" w:space="0" w:color="000000"/>
            </w:tcBorders>
            <w:shd w:val="clear" w:color="auto" w:fill="auto"/>
            <w:noWrap/>
            <w:vAlign w:val="bottom"/>
            <w:hideMark/>
          </w:tcPr>
          <w:p w14:paraId="25157A2C" w14:textId="77777777" w:rsidR="00F03068" w:rsidRDefault="00F03068">
            <w:pPr>
              <w:rPr>
                <w:rFonts w:ascii="Calibri" w:hAnsi="Calibri"/>
                <w:b/>
                <w:bCs/>
                <w:color w:val="000000"/>
                <w:sz w:val="22"/>
                <w:szCs w:val="22"/>
              </w:rPr>
            </w:pPr>
            <w:r>
              <w:rPr>
                <w:rFonts w:ascii="Calibri" w:hAnsi="Calibri"/>
                <w:b/>
                <w:bCs/>
                <w:color w:val="000000"/>
                <w:sz w:val="22"/>
                <w:szCs w:val="22"/>
              </w:rPr>
              <w:t>Gender</w:t>
            </w:r>
          </w:p>
        </w:tc>
      </w:tr>
      <w:tr w:rsidR="00F03068" w14:paraId="7000D813" w14:textId="77777777" w:rsidTr="00AF1A1B">
        <w:trPr>
          <w:trHeight w:val="300"/>
        </w:trPr>
        <w:tc>
          <w:tcPr>
            <w:tcW w:w="1545" w:type="dxa"/>
            <w:tcBorders>
              <w:top w:val="nil"/>
              <w:left w:val="single" w:sz="12" w:space="0" w:color="auto"/>
              <w:bottom w:val="single" w:sz="4" w:space="0" w:color="auto"/>
              <w:right w:val="single" w:sz="4" w:space="0" w:color="auto"/>
            </w:tcBorders>
            <w:shd w:val="clear" w:color="auto" w:fill="auto"/>
            <w:noWrap/>
            <w:vAlign w:val="bottom"/>
            <w:hideMark/>
          </w:tcPr>
          <w:p w14:paraId="51AF55CF" w14:textId="77777777" w:rsidR="00F03068" w:rsidRDefault="00F03068">
            <w:pPr>
              <w:rPr>
                <w:rFonts w:ascii="Calibri" w:hAnsi="Calibri"/>
                <w:color w:val="000000"/>
                <w:sz w:val="22"/>
                <w:szCs w:val="22"/>
              </w:rPr>
            </w:pPr>
            <w:r>
              <w:rPr>
                <w:rFonts w:ascii="Calibri" w:hAnsi="Calibri"/>
                <w:color w:val="000000"/>
                <w:sz w:val="22"/>
                <w:szCs w:val="22"/>
              </w:rPr>
              <w:t>Male</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4E7BC0C9" w14:textId="77777777" w:rsidR="00F03068" w:rsidRDefault="00F03068">
            <w:pPr>
              <w:jc w:val="center"/>
              <w:rPr>
                <w:rFonts w:ascii="Calibri" w:hAnsi="Calibri"/>
                <w:color w:val="000000"/>
                <w:sz w:val="22"/>
                <w:szCs w:val="22"/>
              </w:rPr>
            </w:pPr>
            <w:r>
              <w:rPr>
                <w:rFonts w:ascii="Calibri" w:hAnsi="Calibri"/>
                <w:color w:val="000000"/>
                <w:sz w:val="22"/>
                <w:szCs w:val="22"/>
              </w:rPr>
              <w:t>1315</w:t>
            </w:r>
          </w:p>
        </w:tc>
        <w:tc>
          <w:tcPr>
            <w:tcW w:w="1161" w:type="dxa"/>
            <w:tcBorders>
              <w:top w:val="nil"/>
              <w:left w:val="nil"/>
              <w:bottom w:val="single" w:sz="4" w:space="0" w:color="auto"/>
              <w:right w:val="single" w:sz="4" w:space="0" w:color="auto"/>
            </w:tcBorders>
            <w:shd w:val="clear" w:color="auto" w:fill="auto"/>
            <w:noWrap/>
            <w:vAlign w:val="center"/>
            <w:hideMark/>
          </w:tcPr>
          <w:p w14:paraId="7C9FD002" w14:textId="77777777" w:rsidR="00F03068" w:rsidRDefault="00F03068">
            <w:pPr>
              <w:jc w:val="center"/>
              <w:rPr>
                <w:rFonts w:ascii="Calibri" w:hAnsi="Calibri"/>
                <w:color w:val="000000"/>
                <w:sz w:val="22"/>
                <w:szCs w:val="22"/>
              </w:rPr>
            </w:pPr>
            <w:r>
              <w:rPr>
                <w:rFonts w:ascii="Calibri" w:hAnsi="Calibri"/>
                <w:color w:val="000000"/>
                <w:sz w:val="22"/>
                <w:szCs w:val="22"/>
              </w:rPr>
              <w:t>74.90%</w:t>
            </w:r>
          </w:p>
        </w:tc>
        <w:tc>
          <w:tcPr>
            <w:tcW w:w="900" w:type="dxa"/>
            <w:tcBorders>
              <w:top w:val="nil"/>
              <w:left w:val="nil"/>
              <w:bottom w:val="single" w:sz="4" w:space="0" w:color="auto"/>
              <w:right w:val="single" w:sz="4" w:space="0" w:color="auto"/>
            </w:tcBorders>
            <w:shd w:val="clear" w:color="auto" w:fill="auto"/>
            <w:noWrap/>
            <w:vAlign w:val="center"/>
            <w:hideMark/>
          </w:tcPr>
          <w:p w14:paraId="19FBD9A2" w14:textId="77777777" w:rsidR="00F03068" w:rsidRDefault="00F03068">
            <w:pPr>
              <w:jc w:val="center"/>
              <w:rPr>
                <w:rFonts w:ascii="Calibri" w:hAnsi="Calibri"/>
                <w:i/>
                <w:iCs/>
                <w:color w:val="000000"/>
                <w:sz w:val="22"/>
                <w:szCs w:val="22"/>
              </w:rPr>
            </w:pPr>
            <w:r>
              <w:rPr>
                <w:rFonts w:ascii="Calibri" w:hAnsi="Calibri"/>
                <w:i/>
                <w:iCs/>
                <w:color w:val="000000"/>
                <w:sz w:val="22"/>
                <w:szCs w:val="22"/>
              </w:rPr>
              <w:t>1.20%</w:t>
            </w:r>
          </w:p>
        </w:tc>
        <w:tc>
          <w:tcPr>
            <w:tcW w:w="1260" w:type="dxa"/>
            <w:tcBorders>
              <w:top w:val="nil"/>
              <w:left w:val="nil"/>
              <w:bottom w:val="single" w:sz="4" w:space="0" w:color="auto"/>
              <w:right w:val="single" w:sz="4" w:space="0" w:color="auto"/>
            </w:tcBorders>
            <w:shd w:val="clear" w:color="auto" w:fill="auto"/>
            <w:noWrap/>
            <w:vAlign w:val="center"/>
            <w:hideMark/>
          </w:tcPr>
          <w:p w14:paraId="6DD8EDE5" w14:textId="77777777" w:rsidR="00F03068" w:rsidRDefault="00F03068">
            <w:pPr>
              <w:jc w:val="center"/>
              <w:rPr>
                <w:rFonts w:ascii="Calibri" w:hAnsi="Calibri"/>
                <w:color w:val="000000"/>
                <w:sz w:val="22"/>
                <w:szCs w:val="22"/>
              </w:rPr>
            </w:pPr>
            <w:r>
              <w:rPr>
                <w:rFonts w:ascii="Calibri" w:hAnsi="Calibri"/>
                <w:color w:val="000000"/>
                <w:sz w:val="22"/>
                <w:szCs w:val="22"/>
              </w:rPr>
              <w:t>1433</w:t>
            </w:r>
          </w:p>
        </w:tc>
        <w:tc>
          <w:tcPr>
            <w:tcW w:w="1170" w:type="dxa"/>
            <w:tcBorders>
              <w:top w:val="nil"/>
              <w:left w:val="nil"/>
              <w:bottom w:val="single" w:sz="4" w:space="0" w:color="auto"/>
              <w:right w:val="single" w:sz="4" w:space="0" w:color="auto"/>
            </w:tcBorders>
            <w:shd w:val="clear" w:color="auto" w:fill="auto"/>
            <w:noWrap/>
            <w:vAlign w:val="center"/>
            <w:hideMark/>
          </w:tcPr>
          <w:p w14:paraId="362B666C" w14:textId="77777777" w:rsidR="00F03068" w:rsidRDefault="00F03068">
            <w:pPr>
              <w:jc w:val="center"/>
              <w:rPr>
                <w:rFonts w:ascii="Calibri" w:hAnsi="Calibri"/>
                <w:color w:val="000000"/>
                <w:sz w:val="22"/>
                <w:szCs w:val="22"/>
              </w:rPr>
            </w:pPr>
            <w:r>
              <w:rPr>
                <w:rFonts w:ascii="Calibri" w:hAnsi="Calibri"/>
                <w:color w:val="000000"/>
                <w:sz w:val="22"/>
                <w:szCs w:val="22"/>
              </w:rPr>
              <w:t>76.80%</w:t>
            </w:r>
          </w:p>
        </w:tc>
        <w:tc>
          <w:tcPr>
            <w:tcW w:w="810" w:type="dxa"/>
            <w:tcBorders>
              <w:top w:val="nil"/>
              <w:left w:val="nil"/>
              <w:bottom w:val="single" w:sz="4" w:space="0" w:color="auto"/>
              <w:right w:val="nil"/>
            </w:tcBorders>
            <w:shd w:val="clear" w:color="auto" w:fill="auto"/>
            <w:noWrap/>
            <w:vAlign w:val="center"/>
            <w:hideMark/>
          </w:tcPr>
          <w:p w14:paraId="3A051D5E" w14:textId="77777777" w:rsidR="00F03068" w:rsidRDefault="00F03068">
            <w:pPr>
              <w:jc w:val="center"/>
              <w:rPr>
                <w:rFonts w:ascii="Calibri" w:hAnsi="Calibri"/>
                <w:i/>
                <w:iCs/>
                <w:color w:val="000000"/>
                <w:sz w:val="22"/>
                <w:szCs w:val="22"/>
              </w:rPr>
            </w:pPr>
            <w:r>
              <w:rPr>
                <w:rFonts w:ascii="Calibri" w:hAnsi="Calibri"/>
                <w:i/>
                <w:iCs/>
                <w:color w:val="000000"/>
                <w:sz w:val="22"/>
                <w:szCs w:val="22"/>
              </w:rPr>
              <w:t>1.10%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447AB5" w14:textId="77777777" w:rsidR="00F03068" w:rsidRDefault="00F03068">
            <w:pPr>
              <w:jc w:val="center"/>
              <w:rPr>
                <w:rFonts w:ascii="Calibri" w:hAnsi="Calibri"/>
                <w:color w:val="000000"/>
                <w:sz w:val="22"/>
                <w:szCs w:val="22"/>
              </w:rPr>
            </w:pPr>
            <w:r>
              <w:rPr>
                <w:rFonts w:ascii="Calibri" w:hAnsi="Calibri"/>
                <w:color w:val="000000"/>
                <w:sz w:val="22"/>
                <w:szCs w:val="22"/>
              </w:rPr>
              <w:t>1.90%</w:t>
            </w:r>
          </w:p>
        </w:tc>
        <w:tc>
          <w:tcPr>
            <w:tcW w:w="750" w:type="dxa"/>
            <w:tcBorders>
              <w:top w:val="nil"/>
              <w:left w:val="single" w:sz="8" w:space="0" w:color="auto"/>
              <w:bottom w:val="single" w:sz="4" w:space="0" w:color="auto"/>
              <w:right w:val="single" w:sz="12" w:space="0" w:color="auto"/>
            </w:tcBorders>
            <w:shd w:val="clear" w:color="auto" w:fill="auto"/>
            <w:noWrap/>
            <w:vAlign w:val="center"/>
            <w:hideMark/>
          </w:tcPr>
          <w:p w14:paraId="6B24709B" w14:textId="77777777" w:rsidR="00F03068" w:rsidRDefault="00F03068">
            <w:pPr>
              <w:jc w:val="center"/>
              <w:rPr>
                <w:rFonts w:ascii="Calibri" w:hAnsi="Calibri"/>
                <w:color w:val="000000"/>
                <w:sz w:val="22"/>
                <w:szCs w:val="22"/>
              </w:rPr>
            </w:pPr>
            <w:r>
              <w:rPr>
                <w:rFonts w:ascii="Calibri" w:hAnsi="Calibri"/>
                <w:color w:val="000000"/>
                <w:sz w:val="22"/>
                <w:szCs w:val="22"/>
              </w:rPr>
              <w:t>0.501</w:t>
            </w:r>
          </w:p>
        </w:tc>
      </w:tr>
      <w:tr w:rsidR="00F03068" w14:paraId="055F2A71" w14:textId="77777777" w:rsidTr="00AF1A1B">
        <w:trPr>
          <w:trHeight w:val="315"/>
        </w:trPr>
        <w:tc>
          <w:tcPr>
            <w:tcW w:w="1545" w:type="dxa"/>
            <w:tcBorders>
              <w:top w:val="nil"/>
              <w:left w:val="single" w:sz="12" w:space="0" w:color="auto"/>
              <w:bottom w:val="nil"/>
              <w:right w:val="single" w:sz="4" w:space="0" w:color="auto"/>
            </w:tcBorders>
            <w:shd w:val="clear" w:color="auto" w:fill="auto"/>
            <w:noWrap/>
            <w:vAlign w:val="bottom"/>
            <w:hideMark/>
          </w:tcPr>
          <w:p w14:paraId="6B6E5526" w14:textId="77777777" w:rsidR="00F03068" w:rsidRDefault="00F03068">
            <w:pPr>
              <w:rPr>
                <w:rFonts w:ascii="Calibri" w:hAnsi="Calibri"/>
                <w:color w:val="000000"/>
                <w:sz w:val="22"/>
                <w:szCs w:val="22"/>
              </w:rPr>
            </w:pPr>
            <w:r>
              <w:rPr>
                <w:rFonts w:ascii="Calibri" w:hAnsi="Calibri"/>
                <w:color w:val="000000"/>
                <w:sz w:val="22"/>
                <w:szCs w:val="22"/>
              </w:rPr>
              <w:t>Female</w:t>
            </w:r>
          </w:p>
        </w:tc>
        <w:tc>
          <w:tcPr>
            <w:tcW w:w="1179" w:type="dxa"/>
            <w:gridSpan w:val="2"/>
            <w:tcBorders>
              <w:top w:val="nil"/>
              <w:left w:val="nil"/>
              <w:bottom w:val="nil"/>
              <w:right w:val="single" w:sz="4" w:space="0" w:color="auto"/>
            </w:tcBorders>
            <w:shd w:val="clear" w:color="auto" w:fill="auto"/>
            <w:noWrap/>
            <w:vAlign w:val="center"/>
            <w:hideMark/>
          </w:tcPr>
          <w:p w14:paraId="02C58393" w14:textId="77777777" w:rsidR="00F03068" w:rsidRDefault="00F03068">
            <w:pPr>
              <w:jc w:val="center"/>
              <w:rPr>
                <w:rFonts w:ascii="Calibri" w:hAnsi="Calibri"/>
                <w:color w:val="000000"/>
                <w:sz w:val="22"/>
                <w:szCs w:val="22"/>
              </w:rPr>
            </w:pPr>
            <w:r>
              <w:rPr>
                <w:rFonts w:ascii="Calibri" w:hAnsi="Calibri"/>
                <w:color w:val="000000"/>
                <w:sz w:val="22"/>
                <w:szCs w:val="22"/>
              </w:rPr>
              <w:t>1535</w:t>
            </w:r>
          </w:p>
        </w:tc>
        <w:tc>
          <w:tcPr>
            <w:tcW w:w="1161" w:type="dxa"/>
            <w:tcBorders>
              <w:top w:val="nil"/>
              <w:left w:val="nil"/>
              <w:bottom w:val="nil"/>
              <w:right w:val="single" w:sz="4" w:space="0" w:color="auto"/>
            </w:tcBorders>
            <w:shd w:val="clear" w:color="auto" w:fill="auto"/>
            <w:noWrap/>
            <w:vAlign w:val="center"/>
            <w:hideMark/>
          </w:tcPr>
          <w:p w14:paraId="6E55601D" w14:textId="77777777" w:rsidR="00F03068" w:rsidRDefault="00F03068">
            <w:pPr>
              <w:jc w:val="center"/>
              <w:rPr>
                <w:rFonts w:ascii="Calibri" w:hAnsi="Calibri"/>
                <w:color w:val="000000"/>
                <w:sz w:val="22"/>
                <w:szCs w:val="22"/>
              </w:rPr>
            </w:pPr>
            <w:r>
              <w:rPr>
                <w:rFonts w:ascii="Calibri" w:hAnsi="Calibri"/>
                <w:color w:val="000000"/>
                <w:sz w:val="22"/>
                <w:szCs w:val="22"/>
              </w:rPr>
              <w:t>80.10%</w:t>
            </w:r>
          </w:p>
        </w:tc>
        <w:tc>
          <w:tcPr>
            <w:tcW w:w="900" w:type="dxa"/>
            <w:tcBorders>
              <w:top w:val="nil"/>
              <w:left w:val="nil"/>
              <w:bottom w:val="nil"/>
              <w:right w:val="single" w:sz="4" w:space="0" w:color="auto"/>
            </w:tcBorders>
            <w:shd w:val="clear" w:color="auto" w:fill="auto"/>
            <w:noWrap/>
            <w:vAlign w:val="center"/>
            <w:hideMark/>
          </w:tcPr>
          <w:p w14:paraId="5C551DD7" w14:textId="77777777" w:rsidR="00F03068" w:rsidRDefault="00F03068">
            <w:pPr>
              <w:jc w:val="center"/>
              <w:rPr>
                <w:rFonts w:ascii="Calibri" w:hAnsi="Calibri"/>
                <w:i/>
                <w:iCs/>
                <w:color w:val="000000"/>
                <w:sz w:val="22"/>
                <w:szCs w:val="22"/>
              </w:rPr>
            </w:pPr>
            <w:r>
              <w:rPr>
                <w:rFonts w:ascii="Calibri" w:hAnsi="Calibri"/>
                <w:i/>
                <w:iCs/>
                <w:color w:val="000000"/>
                <w:sz w:val="22"/>
                <w:szCs w:val="22"/>
              </w:rPr>
              <w:t>1.00%</w:t>
            </w:r>
          </w:p>
        </w:tc>
        <w:tc>
          <w:tcPr>
            <w:tcW w:w="1260" w:type="dxa"/>
            <w:tcBorders>
              <w:top w:val="nil"/>
              <w:left w:val="nil"/>
              <w:bottom w:val="nil"/>
              <w:right w:val="single" w:sz="4" w:space="0" w:color="auto"/>
            </w:tcBorders>
            <w:shd w:val="clear" w:color="auto" w:fill="auto"/>
            <w:noWrap/>
            <w:vAlign w:val="center"/>
            <w:hideMark/>
          </w:tcPr>
          <w:p w14:paraId="4866A1D6" w14:textId="77777777" w:rsidR="00F03068" w:rsidRDefault="00F03068">
            <w:pPr>
              <w:jc w:val="center"/>
              <w:rPr>
                <w:rFonts w:ascii="Calibri" w:hAnsi="Calibri"/>
                <w:color w:val="000000"/>
                <w:sz w:val="22"/>
                <w:szCs w:val="22"/>
              </w:rPr>
            </w:pPr>
            <w:r>
              <w:rPr>
                <w:rFonts w:ascii="Calibri" w:hAnsi="Calibri"/>
                <w:color w:val="000000"/>
                <w:sz w:val="22"/>
                <w:szCs w:val="22"/>
              </w:rPr>
              <w:t>1744</w:t>
            </w:r>
          </w:p>
        </w:tc>
        <w:tc>
          <w:tcPr>
            <w:tcW w:w="1170" w:type="dxa"/>
            <w:tcBorders>
              <w:top w:val="nil"/>
              <w:left w:val="nil"/>
              <w:bottom w:val="nil"/>
              <w:right w:val="single" w:sz="4" w:space="0" w:color="auto"/>
            </w:tcBorders>
            <w:shd w:val="clear" w:color="auto" w:fill="auto"/>
            <w:noWrap/>
            <w:vAlign w:val="center"/>
            <w:hideMark/>
          </w:tcPr>
          <w:p w14:paraId="245B7BB1" w14:textId="77777777" w:rsidR="00F03068" w:rsidRDefault="00F03068">
            <w:pPr>
              <w:jc w:val="center"/>
              <w:rPr>
                <w:rFonts w:ascii="Calibri" w:hAnsi="Calibri"/>
                <w:color w:val="000000"/>
                <w:sz w:val="22"/>
                <w:szCs w:val="22"/>
              </w:rPr>
            </w:pPr>
            <w:r>
              <w:rPr>
                <w:rFonts w:ascii="Calibri" w:hAnsi="Calibri"/>
                <w:color w:val="000000"/>
                <w:sz w:val="22"/>
                <w:szCs w:val="22"/>
              </w:rPr>
              <w:t>77.20%</w:t>
            </w:r>
          </w:p>
        </w:tc>
        <w:tc>
          <w:tcPr>
            <w:tcW w:w="810" w:type="dxa"/>
            <w:tcBorders>
              <w:top w:val="nil"/>
              <w:left w:val="nil"/>
              <w:bottom w:val="nil"/>
              <w:right w:val="nil"/>
            </w:tcBorders>
            <w:shd w:val="clear" w:color="auto" w:fill="auto"/>
            <w:noWrap/>
            <w:vAlign w:val="center"/>
            <w:hideMark/>
          </w:tcPr>
          <w:p w14:paraId="64A4ECD2" w14:textId="77777777" w:rsidR="00F03068" w:rsidRDefault="00F03068">
            <w:pPr>
              <w:jc w:val="center"/>
              <w:rPr>
                <w:rFonts w:ascii="Calibri" w:hAnsi="Calibri"/>
                <w:i/>
                <w:iCs/>
                <w:color w:val="000000"/>
                <w:sz w:val="22"/>
                <w:szCs w:val="22"/>
              </w:rPr>
            </w:pPr>
            <w:r>
              <w:rPr>
                <w:rFonts w:ascii="Calibri" w:hAnsi="Calibri"/>
                <w:i/>
                <w:iCs/>
                <w:color w:val="000000"/>
                <w:sz w:val="22"/>
                <w:szCs w:val="22"/>
              </w:rPr>
              <w:t>1.00%</w:t>
            </w:r>
          </w:p>
        </w:tc>
        <w:tc>
          <w:tcPr>
            <w:tcW w:w="960" w:type="dxa"/>
            <w:tcBorders>
              <w:top w:val="nil"/>
              <w:left w:val="single" w:sz="4" w:space="0" w:color="auto"/>
              <w:bottom w:val="nil"/>
              <w:right w:val="single" w:sz="4" w:space="0" w:color="auto"/>
            </w:tcBorders>
            <w:shd w:val="clear" w:color="auto" w:fill="auto"/>
            <w:noWrap/>
            <w:vAlign w:val="center"/>
            <w:hideMark/>
          </w:tcPr>
          <w:p w14:paraId="261E24FC" w14:textId="77777777" w:rsidR="00F03068" w:rsidRDefault="00F03068">
            <w:pPr>
              <w:jc w:val="center"/>
              <w:rPr>
                <w:rFonts w:ascii="Calibri" w:hAnsi="Calibri"/>
                <w:color w:val="000000"/>
                <w:sz w:val="22"/>
                <w:szCs w:val="22"/>
              </w:rPr>
            </w:pPr>
            <w:r>
              <w:rPr>
                <w:rFonts w:ascii="Calibri" w:hAnsi="Calibri"/>
                <w:color w:val="000000"/>
                <w:sz w:val="22"/>
                <w:szCs w:val="22"/>
              </w:rPr>
              <w:t>-2.90%</w:t>
            </w:r>
          </w:p>
        </w:tc>
        <w:tc>
          <w:tcPr>
            <w:tcW w:w="750" w:type="dxa"/>
            <w:tcBorders>
              <w:top w:val="nil"/>
              <w:left w:val="single" w:sz="8" w:space="0" w:color="auto"/>
              <w:bottom w:val="nil"/>
              <w:right w:val="single" w:sz="12" w:space="0" w:color="auto"/>
            </w:tcBorders>
            <w:shd w:val="clear" w:color="auto" w:fill="auto"/>
            <w:noWrap/>
            <w:vAlign w:val="center"/>
            <w:hideMark/>
          </w:tcPr>
          <w:p w14:paraId="6D7D9237" w14:textId="77777777" w:rsidR="00F03068" w:rsidRDefault="00F03068">
            <w:pPr>
              <w:jc w:val="center"/>
              <w:rPr>
                <w:rFonts w:ascii="Calibri" w:hAnsi="Calibri"/>
                <w:color w:val="000000"/>
                <w:sz w:val="22"/>
                <w:szCs w:val="22"/>
              </w:rPr>
            </w:pPr>
            <w:r>
              <w:rPr>
                <w:rFonts w:ascii="Calibri" w:hAnsi="Calibri"/>
                <w:color w:val="000000"/>
                <w:sz w:val="22"/>
                <w:szCs w:val="22"/>
              </w:rPr>
              <w:t>0.117</w:t>
            </w:r>
          </w:p>
        </w:tc>
      </w:tr>
      <w:tr w:rsidR="00F03068" w14:paraId="28D375ED" w14:textId="77777777" w:rsidTr="00AF1A1B">
        <w:trPr>
          <w:trHeight w:val="315"/>
        </w:trPr>
        <w:tc>
          <w:tcPr>
            <w:tcW w:w="9735" w:type="dxa"/>
            <w:gridSpan w:val="10"/>
            <w:tcBorders>
              <w:top w:val="single" w:sz="8" w:space="0" w:color="auto"/>
              <w:left w:val="single" w:sz="12" w:space="0" w:color="auto"/>
              <w:bottom w:val="single" w:sz="8" w:space="0" w:color="auto"/>
              <w:right w:val="single" w:sz="12" w:space="0" w:color="000000"/>
            </w:tcBorders>
            <w:shd w:val="clear" w:color="auto" w:fill="auto"/>
            <w:noWrap/>
            <w:vAlign w:val="bottom"/>
            <w:hideMark/>
          </w:tcPr>
          <w:p w14:paraId="2EEBD83D" w14:textId="77777777" w:rsidR="00F03068" w:rsidRDefault="00F03068">
            <w:pPr>
              <w:rPr>
                <w:rFonts w:ascii="Calibri" w:hAnsi="Calibri"/>
                <w:b/>
                <w:bCs/>
                <w:color w:val="000000"/>
                <w:sz w:val="22"/>
                <w:szCs w:val="22"/>
              </w:rPr>
            </w:pPr>
            <w:r>
              <w:rPr>
                <w:rFonts w:ascii="Calibri" w:hAnsi="Calibri"/>
                <w:b/>
                <w:bCs/>
                <w:color w:val="000000"/>
                <w:sz w:val="22"/>
                <w:szCs w:val="22"/>
              </w:rPr>
              <w:t>Age</w:t>
            </w:r>
          </w:p>
        </w:tc>
      </w:tr>
      <w:tr w:rsidR="00F03068" w14:paraId="3D2D57E8" w14:textId="77777777" w:rsidTr="00AF1A1B">
        <w:trPr>
          <w:trHeight w:val="300"/>
        </w:trPr>
        <w:tc>
          <w:tcPr>
            <w:tcW w:w="1545" w:type="dxa"/>
            <w:tcBorders>
              <w:top w:val="nil"/>
              <w:left w:val="single" w:sz="12" w:space="0" w:color="auto"/>
              <w:bottom w:val="single" w:sz="4" w:space="0" w:color="auto"/>
              <w:right w:val="single" w:sz="4" w:space="0" w:color="auto"/>
            </w:tcBorders>
            <w:shd w:val="clear" w:color="auto" w:fill="auto"/>
            <w:noWrap/>
            <w:vAlign w:val="bottom"/>
            <w:hideMark/>
          </w:tcPr>
          <w:p w14:paraId="535FCFCD" w14:textId="77777777" w:rsidR="00F03068" w:rsidRDefault="00F03068">
            <w:pPr>
              <w:rPr>
                <w:rFonts w:ascii="Calibri" w:hAnsi="Calibri"/>
                <w:color w:val="000000"/>
                <w:sz w:val="22"/>
                <w:szCs w:val="22"/>
              </w:rPr>
            </w:pPr>
            <w:r>
              <w:rPr>
                <w:rFonts w:ascii="Calibri" w:hAnsi="Calibri"/>
                <w:color w:val="000000"/>
                <w:sz w:val="22"/>
                <w:szCs w:val="22"/>
              </w:rPr>
              <w:t>15 - 19</w:t>
            </w:r>
          </w:p>
        </w:tc>
        <w:tc>
          <w:tcPr>
            <w:tcW w:w="1179" w:type="dxa"/>
            <w:gridSpan w:val="2"/>
            <w:tcBorders>
              <w:top w:val="nil"/>
              <w:left w:val="nil"/>
              <w:bottom w:val="single" w:sz="4" w:space="0" w:color="auto"/>
              <w:right w:val="single" w:sz="4" w:space="0" w:color="auto"/>
            </w:tcBorders>
            <w:shd w:val="clear" w:color="auto" w:fill="auto"/>
            <w:noWrap/>
            <w:vAlign w:val="center"/>
            <w:hideMark/>
          </w:tcPr>
          <w:p w14:paraId="1DB3C8FC" w14:textId="77777777" w:rsidR="00F03068" w:rsidRDefault="00F03068">
            <w:pPr>
              <w:jc w:val="center"/>
              <w:rPr>
                <w:rFonts w:ascii="Calibri" w:hAnsi="Calibri"/>
                <w:color w:val="000000"/>
                <w:sz w:val="22"/>
                <w:szCs w:val="22"/>
              </w:rPr>
            </w:pPr>
            <w:r>
              <w:rPr>
                <w:rFonts w:ascii="Calibri" w:hAnsi="Calibri"/>
                <w:color w:val="000000"/>
                <w:sz w:val="22"/>
                <w:szCs w:val="22"/>
              </w:rPr>
              <w:t>599</w:t>
            </w:r>
          </w:p>
        </w:tc>
        <w:tc>
          <w:tcPr>
            <w:tcW w:w="1161" w:type="dxa"/>
            <w:tcBorders>
              <w:top w:val="nil"/>
              <w:left w:val="nil"/>
              <w:bottom w:val="single" w:sz="4" w:space="0" w:color="auto"/>
              <w:right w:val="single" w:sz="4" w:space="0" w:color="auto"/>
            </w:tcBorders>
            <w:shd w:val="clear" w:color="auto" w:fill="auto"/>
            <w:noWrap/>
            <w:vAlign w:val="center"/>
            <w:hideMark/>
          </w:tcPr>
          <w:p w14:paraId="15323966" w14:textId="77777777" w:rsidR="00F03068" w:rsidRDefault="00F03068">
            <w:pPr>
              <w:jc w:val="center"/>
              <w:rPr>
                <w:rFonts w:ascii="Calibri" w:hAnsi="Calibri"/>
                <w:color w:val="000000"/>
                <w:sz w:val="22"/>
                <w:szCs w:val="22"/>
              </w:rPr>
            </w:pPr>
            <w:r>
              <w:rPr>
                <w:rFonts w:ascii="Calibri" w:hAnsi="Calibri"/>
                <w:color w:val="000000"/>
                <w:sz w:val="22"/>
                <w:szCs w:val="22"/>
              </w:rPr>
              <w:t>81.40%</w:t>
            </w:r>
          </w:p>
        </w:tc>
        <w:tc>
          <w:tcPr>
            <w:tcW w:w="900" w:type="dxa"/>
            <w:tcBorders>
              <w:top w:val="nil"/>
              <w:left w:val="nil"/>
              <w:bottom w:val="single" w:sz="4" w:space="0" w:color="auto"/>
              <w:right w:val="single" w:sz="4" w:space="0" w:color="auto"/>
            </w:tcBorders>
            <w:shd w:val="clear" w:color="auto" w:fill="auto"/>
            <w:noWrap/>
            <w:vAlign w:val="center"/>
            <w:hideMark/>
          </w:tcPr>
          <w:p w14:paraId="42D0CD54" w14:textId="77777777" w:rsidR="00F03068" w:rsidRDefault="00F03068">
            <w:pPr>
              <w:jc w:val="center"/>
              <w:rPr>
                <w:rFonts w:ascii="Calibri" w:hAnsi="Calibri"/>
                <w:i/>
                <w:iCs/>
                <w:color w:val="000000"/>
                <w:sz w:val="22"/>
                <w:szCs w:val="22"/>
              </w:rPr>
            </w:pPr>
            <w:r>
              <w:rPr>
                <w:rFonts w:ascii="Calibri" w:hAnsi="Calibri"/>
                <w:i/>
                <w:iCs/>
                <w:color w:val="000000"/>
                <w:sz w:val="22"/>
                <w:szCs w:val="22"/>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5F61F019" w14:textId="77777777" w:rsidR="00F03068" w:rsidRDefault="00F03068">
            <w:pPr>
              <w:jc w:val="center"/>
              <w:rPr>
                <w:rFonts w:ascii="Calibri" w:hAnsi="Calibri"/>
                <w:color w:val="000000"/>
                <w:sz w:val="22"/>
                <w:szCs w:val="22"/>
              </w:rPr>
            </w:pPr>
            <w:r>
              <w:rPr>
                <w:rFonts w:ascii="Calibri" w:hAnsi="Calibri"/>
                <w:color w:val="000000"/>
                <w:sz w:val="22"/>
                <w:szCs w:val="22"/>
              </w:rPr>
              <w:t>648</w:t>
            </w:r>
          </w:p>
        </w:tc>
        <w:tc>
          <w:tcPr>
            <w:tcW w:w="1170" w:type="dxa"/>
            <w:tcBorders>
              <w:top w:val="nil"/>
              <w:left w:val="nil"/>
              <w:bottom w:val="single" w:sz="4" w:space="0" w:color="auto"/>
              <w:right w:val="single" w:sz="4" w:space="0" w:color="auto"/>
            </w:tcBorders>
            <w:shd w:val="clear" w:color="auto" w:fill="auto"/>
            <w:noWrap/>
            <w:vAlign w:val="center"/>
            <w:hideMark/>
          </w:tcPr>
          <w:p w14:paraId="4B44CE17" w14:textId="77777777" w:rsidR="00F03068" w:rsidRDefault="00F03068">
            <w:pPr>
              <w:jc w:val="center"/>
              <w:rPr>
                <w:rFonts w:ascii="Calibri" w:hAnsi="Calibri"/>
                <w:color w:val="000000"/>
                <w:sz w:val="22"/>
                <w:szCs w:val="22"/>
              </w:rPr>
            </w:pPr>
            <w:r>
              <w:rPr>
                <w:rFonts w:ascii="Calibri" w:hAnsi="Calibri"/>
                <w:color w:val="000000"/>
                <w:sz w:val="22"/>
                <w:szCs w:val="22"/>
              </w:rPr>
              <w:t>81.40%</w:t>
            </w:r>
          </w:p>
        </w:tc>
        <w:tc>
          <w:tcPr>
            <w:tcW w:w="810" w:type="dxa"/>
            <w:tcBorders>
              <w:top w:val="nil"/>
              <w:left w:val="nil"/>
              <w:bottom w:val="single" w:sz="4" w:space="0" w:color="auto"/>
              <w:right w:val="nil"/>
            </w:tcBorders>
            <w:shd w:val="clear" w:color="auto" w:fill="auto"/>
            <w:noWrap/>
            <w:vAlign w:val="center"/>
            <w:hideMark/>
          </w:tcPr>
          <w:p w14:paraId="29A32E7C" w14:textId="77777777" w:rsidR="00F03068" w:rsidRDefault="00F03068">
            <w:pPr>
              <w:jc w:val="center"/>
              <w:rPr>
                <w:rFonts w:ascii="Calibri" w:hAnsi="Calibri"/>
                <w:i/>
                <w:iCs/>
                <w:color w:val="000000"/>
                <w:sz w:val="22"/>
                <w:szCs w:val="22"/>
              </w:rPr>
            </w:pPr>
            <w:r>
              <w:rPr>
                <w:rFonts w:ascii="Calibri" w:hAnsi="Calibri"/>
                <w:i/>
                <w:iCs/>
                <w:color w:val="000000"/>
                <w:sz w:val="22"/>
                <w:szCs w:val="22"/>
              </w:rPr>
              <w:t>1.50%</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43B14A0" w14:textId="77777777" w:rsidR="00F03068" w:rsidRDefault="00F03068">
            <w:pPr>
              <w:jc w:val="center"/>
              <w:rPr>
                <w:rFonts w:ascii="Calibri" w:hAnsi="Calibri"/>
                <w:color w:val="000000"/>
                <w:sz w:val="22"/>
                <w:szCs w:val="22"/>
              </w:rPr>
            </w:pPr>
            <w:r>
              <w:rPr>
                <w:rFonts w:ascii="Calibri" w:hAnsi="Calibri"/>
                <w:color w:val="000000"/>
                <w:sz w:val="22"/>
                <w:szCs w:val="22"/>
              </w:rPr>
              <w:t>0.00%</w:t>
            </w:r>
          </w:p>
        </w:tc>
        <w:tc>
          <w:tcPr>
            <w:tcW w:w="750" w:type="dxa"/>
            <w:tcBorders>
              <w:top w:val="nil"/>
              <w:left w:val="single" w:sz="8" w:space="0" w:color="auto"/>
              <w:bottom w:val="single" w:sz="4" w:space="0" w:color="auto"/>
              <w:right w:val="single" w:sz="12" w:space="0" w:color="auto"/>
            </w:tcBorders>
            <w:shd w:val="clear" w:color="auto" w:fill="auto"/>
            <w:noWrap/>
            <w:vAlign w:val="center"/>
            <w:hideMark/>
          </w:tcPr>
          <w:p w14:paraId="19932634" w14:textId="77777777" w:rsidR="00F03068" w:rsidRDefault="00F03068">
            <w:pPr>
              <w:jc w:val="center"/>
              <w:rPr>
                <w:rFonts w:ascii="Calibri" w:hAnsi="Calibri"/>
                <w:color w:val="000000"/>
                <w:sz w:val="22"/>
                <w:szCs w:val="22"/>
              </w:rPr>
            </w:pPr>
            <w:r>
              <w:rPr>
                <w:rFonts w:ascii="Calibri" w:hAnsi="Calibri"/>
                <w:color w:val="000000"/>
                <w:sz w:val="22"/>
                <w:szCs w:val="22"/>
              </w:rPr>
              <w:t>0.984</w:t>
            </w:r>
          </w:p>
        </w:tc>
      </w:tr>
      <w:tr w:rsidR="00F03068" w14:paraId="0891E2A6" w14:textId="77777777" w:rsidTr="00AF1A1B">
        <w:trPr>
          <w:trHeight w:val="315"/>
        </w:trPr>
        <w:tc>
          <w:tcPr>
            <w:tcW w:w="1545" w:type="dxa"/>
            <w:tcBorders>
              <w:top w:val="nil"/>
              <w:left w:val="single" w:sz="12" w:space="0" w:color="auto"/>
              <w:bottom w:val="single" w:sz="12" w:space="0" w:color="auto"/>
              <w:right w:val="single" w:sz="4" w:space="0" w:color="auto"/>
            </w:tcBorders>
            <w:shd w:val="clear" w:color="auto" w:fill="auto"/>
            <w:noWrap/>
            <w:vAlign w:val="bottom"/>
            <w:hideMark/>
          </w:tcPr>
          <w:p w14:paraId="0F922FE8" w14:textId="77777777" w:rsidR="00F03068" w:rsidRDefault="00F03068">
            <w:pPr>
              <w:rPr>
                <w:rFonts w:ascii="Calibri" w:hAnsi="Calibri"/>
                <w:color w:val="000000"/>
                <w:sz w:val="22"/>
                <w:szCs w:val="22"/>
              </w:rPr>
            </w:pPr>
            <w:r>
              <w:rPr>
                <w:rFonts w:ascii="Calibri" w:hAnsi="Calibri"/>
                <w:color w:val="000000"/>
                <w:sz w:val="22"/>
                <w:szCs w:val="22"/>
              </w:rPr>
              <w:t>20 - 44</w:t>
            </w:r>
          </w:p>
        </w:tc>
        <w:tc>
          <w:tcPr>
            <w:tcW w:w="1179" w:type="dxa"/>
            <w:gridSpan w:val="2"/>
            <w:tcBorders>
              <w:top w:val="nil"/>
              <w:left w:val="nil"/>
              <w:bottom w:val="single" w:sz="12" w:space="0" w:color="auto"/>
              <w:right w:val="single" w:sz="4" w:space="0" w:color="auto"/>
            </w:tcBorders>
            <w:shd w:val="clear" w:color="auto" w:fill="auto"/>
            <w:noWrap/>
            <w:vAlign w:val="center"/>
            <w:hideMark/>
          </w:tcPr>
          <w:p w14:paraId="76449BD6" w14:textId="77777777" w:rsidR="00F03068" w:rsidRDefault="00F03068">
            <w:pPr>
              <w:jc w:val="center"/>
              <w:rPr>
                <w:rFonts w:ascii="Calibri" w:hAnsi="Calibri"/>
                <w:color w:val="000000"/>
                <w:sz w:val="22"/>
                <w:szCs w:val="22"/>
              </w:rPr>
            </w:pPr>
            <w:r>
              <w:rPr>
                <w:rFonts w:ascii="Calibri" w:hAnsi="Calibri"/>
                <w:color w:val="000000"/>
                <w:sz w:val="22"/>
                <w:szCs w:val="22"/>
              </w:rPr>
              <w:t>2251</w:t>
            </w:r>
          </w:p>
        </w:tc>
        <w:tc>
          <w:tcPr>
            <w:tcW w:w="1161" w:type="dxa"/>
            <w:tcBorders>
              <w:top w:val="nil"/>
              <w:left w:val="nil"/>
              <w:bottom w:val="single" w:sz="12" w:space="0" w:color="auto"/>
              <w:right w:val="single" w:sz="4" w:space="0" w:color="auto"/>
            </w:tcBorders>
            <w:shd w:val="clear" w:color="auto" w:fill="auto"/>
            <w:noWrap/>
            <w:vAlign w:val="center"/>
            <w:hideMark/>
          </w:tcPr>
          <w:p w14:paraId="411B68AA" w14:textId="77777777" w:rsidR="00F03068" w:rsidRDefault="00F03068">
            <w:pPr>
              <w:jc w:val="center"/>
              <w:rPr>
                <w:rFonts w:ascii="Calibri" w:hAnsi="Calibri"/>
                <w:color w:val="000000"/>
                <w:sz w:val="22"/>
                <w:szCs w:val="22"/>
              </w:rPr>
            </w:pPr>
            <w:r>
              <w:rPr>
                <w:rFonts w:ascii="Calibri" w:hAnsi="Calibri"/>
                <w:color w:val="000000"/>
                <w:sz w:val="22"/>
                <w:szCs w:val="22"/>
              </w:rPr>
              <w:t>76.80%</w:t>
            </w:r>
          </w:p>
        </w:tc>
        <w:tc>
          <w:tcPr>
            <w:tcW w:w="900" w:type="dxa"/>
            <w:tcBorders>
              <w:top w:val="nil"/>
              <w:left w:val="nil"/>
              <w:bottom w:val="single" w:sz="12" w:space="0" w:color="auto"/>
              <w:right w:val="single" w:sz="4" w:space="0" w:color="auto"/>
            </w:tcBorders>
            <w:shd w:val="clear" w:color="auto" w:fill="auto"/>
            <w:noWrap/>
            <w:vAlign w:val="center"/>
            <w:hideMark/>
          </w:tcPr>
          <w:p w14:paraId="538B086A" w14:textId="77777777" w:rsidR="00F03068" w:rsidRDefault="00F03068">
            <w:pPr>
              <w:jc w:val="center"/>
              <w:rPr>
                <w:rFonts w:ascii="Calibri" w:hAnsi="Calibri"/>
                <w:i/>
                <w:iCs/>
                <w:color w:val="000000"/>
                <w:sz w:val="22"/>
                <w:szCs w:val="22"/>
              </w:rPr>
            </w:pPr>
            <w:r>
              <w:rPr>
                <w:rFonts w:ascii="Calibri" w:hAnsi="Calibri"/>
                <w:i/>
                <w:iCs/>
                <w:color w:val="000000"/>
                <w:sz w:val="22"/>
                <w:szCs w:val="22"/>
              </w:rPr>
              <w:t>0.90%</w:t>
            </w:r>
          </w:p>
        </w:tc>
        <w:tc>
          <w:tcPr>
            <w:tcW w:w="1260" w:type="dxa"/>
            <w:tcBorders>
              <w:top w:val="nil"/>
              <w:left w:val="nil"/>
              <w:bottom w:val="single" w:sz="12" w:space="0" w:color="auto"/>
              <w:right w:val="single" w:sz="4" w:space="0" w:color="auto"/>
            </w:tcBorders>
            <w:shd w:val="clear" w:color="auto" w:fill="auto"/>
            <w:noWrap/>
            <w:vAlign w:val="center"/>
            <w:hideMark/>
          </w:tcPr>
          <w:p w14:paraId="17CEAF5D" w14:textId="77777777" w:rsidR="00F03068" w:rsidRDefault="00F03068">
            <w:pPr>
              <w:jc w:val="center"/>
              <w:rPr>
                <w:rFonts w:ascii="Calibri" w:hAnsi="Calibri"/>
                <w:color w:val="000000"/>
                <w:sz w:val="22"/>
                <w:szCs w:val="22"/>
              </w:rPr>
            </w:pPr>
            <w:r>
              <w:rPr>
                <w:rFonts w:ascii="Calibri" w:hAnsi="Calibri"/>
                <w:color w:val="000000"/>
                <w:sz w:val="22"/>
                <w:szCs w:val="22"/>
              </w:rPr>
              <w:t>2529</w:t>
            </w:r>
          </w:p>
        </w:tc>
        <w:tc>
          <w:tcPr>
            <w:tcW w:w="1170" w:type="dxa"/>
            <w:tcBorders>
              <w:top w:val="nil"/>
              <w:left w:val="nil"/>
              <w:bottom w:val="single" w:sz="12" w:space="0" w:color="auto"/>
              <w:right w:val="single" w:sz="4" w:space="0" w:color="auto"/>
            </w:tcBorders>
            <w:shd w:val="clear" w:color="auto" w:fill="auto"/>
            <w:noWrap/>
            <w:vAlign w:val="center"/>
            <w:hideMark/>
          </w:tcPr>
          <w:p w14:paraId="6F2A48FE" w14:textId="77777777" w:rsidR="00F03068" w:rsidRDefault="00F03068">
            <w:pPr>
              <w:jc w:val="center"/>
              <w:rPr>
                <w:rFonts w:ascii="Calibri" w:hAnsi="Calibri"/>
                <w:color w:val="000000"/>
                <w:sz w:val="22"/>
                <w:szCs w:val="22"/>
              </w:rPr>
            </w:pPr>
            <w:r>
              <w:rPr>
                <w:rFonts w:ascii="Calibri" w:hAnsi="Calibri"/>
                <w:color w:val="000000"/>
                <w:sz w:val="22"/>
                <w:szCs w:val="22"/>
              </w:rPr>
              <w:t>76.10%</w:t>
            </w:r>
          </w:p>
        </w:tc>
        <w:tc>
          <w:tcPr>
            <w:tcW w:w="810" w:type="dxa"/>
            <w:tcBorders>
              <w:top w:val="nil"/>
              <w:left w:val="nil"/>
              <w:bottom w:val="single" w:sz="12" w:space="0" w:color="auto"/>
              <w:right w:val="nil"/>
            </w:tcBorders>
            <w:shd w:val="clear" w:color="auto" w:fill="auto"/>
            <w:noWrap/>
            <w:vAlign w:val="center"/>
            <w:hideMark/>
          </w:tcPr>
          <w:p w14:paraId="443F19AE" w14:textId="77777777" w:rsidR="00F03068" w:rsidRDefault="00F03068">
            <w:pPr>
              <w:jc w:val="center"/>
              <w:rPr>
                <w:rFonts w:ascii="Calibri" w:hAnsi="Calibri"/>
                <w:i/>
                <w:iCs/>
                <w:color w:val="000000"/>
                <w:sz w:val="22"/>
                <w:szCs w:val="22"/>
              </w:rPr>
            </w:pPr>
            <w:r>
              <w:rPr>
                <w:rFonts w:ascii="Calibri" w:hAnsi="Calibri"/>
                <w:i/>
                <w:iCs/>
                <w:color w:val="000000"/>
                <w:sz w:val="22"/>
                <w:szCs w:val="22"/>
              </w:rPr>
              <w:t>0.80%</w:t>
            </w:r>
          </w:p>
        </w:tc>
        <w:tc>
          <w:tcPr>
            <w:tcW w:w="960" w:type="dxa"/>
            <w:tcBorders>
              <w:top w:val="nil"/>
              <w:left w:val="single" w:sz="4" w:space="0" w:color="auto"/>
              <w:bottom w:val="single" w:sz="12" w:space="0" w:color="auto"/>
              <w:right w:val="single" w:sz="8" w:space="0" w:color="auto"/>
            </w:tcBorders>
            <w:shd w:val="clear" w:color="auto" w:fill="auto"/>
            <w:noWrap/>
            <w:vAlign w:val="center"/>
            <w:hideMark/>
          </w:tcPr>
          <w:p w14:paraId="43C90725" w14:textId="77777777" w:rsidR="00F03068" w:rsidRDefault="00F03068">
            <w:pPr>
              <w:jc w:val="center"/>
              <w:rPr>
                <w:rFonts w:ascii="Calibri" w:hAnsi="Calibri"/>
                <w:color w:val="000000"/>
                <w:sz w:val="22"/>
                <w:szCs w:val="22"/>
              </w:rPr>
            </w:pPr>
            <w:r>
              <w:rPr>
                <w:rFonts w:ascii="Calibri" w:hAnsi="Calibri"/>
                <w:color w:val="000000"/>
                <w:sz w:val="22"/>
                <w:szCs w:val="22"/>
              </w:rPr>
              <w:t>-0.70%</w:t>
            </w:r>
          </w:p>
        </w:tc>
        <w:tc>
          <w:tcPr>
            <w:tcW w:w="750" w:type="dxa"/>
            <w:tcBorders>
              <w:top w:val="nil"/>
              <w:left w:val="nil"/>
              <w:bottom w:val="single" w:sz="12" w:space="0" w:color="auto"/>
              <w:right w:val="single" w:sz="12" w:space="0" w:color="auto"/>
            </w:tcBorders>
            <w:shd w:val="clear" w:color="auto" w:fill="auto"/>
            <w:noWrap/>
            <w:vAlign w:val="center"/>
            <w:hideMark/>
          </w:tcPr>
          <w:p w14:paraId="1223F59A" w14:textId="77777777" w:rsidR="00F03068" w:rsidRDefault="00F03068">
            <w:pPr>
              <w:jc w:val="center"/>
              <w:rPr>
                <w:rFonts w:ascii="Calibri" w:hAnsi="Calibri"/>
                <w:color w:val="000000"/>
                <w:sz w:val="22"/>
                <w:szCs w:val="22"/>
              </w:rPr>
            </w:pPr>
            <w:r>
              <w:rPr>
                <w:rFonts w:ascii="Calibri" w:hAnsi="Calibri"/>
                <w:color w:val="000000"/>
                <w:sz w:val="22"/>
                <w:szCs w:val="22"/>
              </w:rPr>
              <w:t>0.648</w:t>
            </w:r>
          </w:p>
        </w:tc>
      </w:tr>
    </w:tbl>
    <w:p w14:paraId="2D50F591" w14:textId="77777777" w:rsidR="00F03068" w:rsidRDefault="00F03068" w:rsidP="00421CBC">
      <w:pPr>
        <w:rPr>
          <w:rFonts w:ascii="Calibri" w:hAnsi="Calibri"/>
        </w:rPr>
      </w:pPr>
    </w:p>
    <w:p w14:paraId="58A5EFF9" w14:textId="40DD5E80" w:rsidR="0066507B" w:rsidRPr="0066507B" w:rsidRDefault="00D30CC0">
      <w:pPr>
        <w:rPr>
          <w:rFonts w:ascii="Calibri" w:hAnsi="Calibri"/>
        </w:rPr>
      </w:pPr>
      <w:r w:rsidRPr="00B24EDE">
        <w:rPr>
          <w:rFonts w:ascii="Calibri" w:hAnsi="Calibri"/>
          <w:b/>
        </w:rPr>
        <w:lastRenderedPageBreak/>
        <w:t>In sum:</w:t>
      </w:r>
      <w:r w:rsidRPr="00D91C06">
        <w:rPr>
          <w:rFonts w:ascii="Calibri" w:hAnsi="Calibri"/>
        </w:rPr>
        <w:t xml:space="preserve"> </w:t>
      </w:r>
      <w:r w:rsidR="00B24EDE">
        <w:rPr>
          <w:rFonts w:ascii="Calibri" w:hAnsi="Calibri"/>
        </w:rPr>
        <w:t>R</w:t>
      </w:r>
      <w:r w:rsidRPr="00D91C06">
        <w:rPr>
          <w:rFonts w:ascii="Calibri" w:hAnsi="Calibri"/>
        </w:rPr>
        <w:t>egarding</w:t>
      </w:r>
      <w:r>
        <w:rPr>
          <w:rFonts w:ascii="Calibri" w:hAnsi="Calibri"/>
        </w:rPr>
        <w:t xml:space="preserve"> </w:t>
      </w:r>
      <w:r w:rsidR="0066507B">
        <w:rPr>
          <w:rFonts w:ascii="Calibri" w:hAnsi="Calibri"/>
        </w:rPr>
        <w:t xml:space="preserve">response rates and interview counts, the $60 treatment appears to improve both during Phase 1. Unfortunately, the gains made in Phase 1 are reversed in Phase 2. We speculate that this is due to the decreased effectiveness of the increased incentive (an increase of $20 vs $40). </w:t>
      </w:r>
      <w:r w:rsidR="006C5A8A">
        <w:rPr>
          <w:rFonts w:ascii="Calibri" w:hAnsi="Calibri"/>
        </w:rPr>
        <w:t xml:space="preserve">However, the gains in </w:t>
      </w:r>
      <w:r w:rsidR="00391262">
        <w:rPr>
          <w:rFonts w:ascii="Calibri" w:hAnsi="Calibri"/>
        </w:rPr>
        <w:t xml:space="preserve">the number of </w:t>
      </w:r>
      <w:r w:rsidR="006C5A8A">
        <w:rPr>
          <w:rFonts w:ascii="Calibri" w:hAnsi="Calibri"/>
        </w:rPr>
        <w:t xml:space="preserve">interviews </w:t>
      </w:r>
      <w:r w:rsidR="00674682">
        <w:rPr>
          <w:rFonts w:ascii="Calibri" w:hAnsi="Calibri"/>
        </w:rPr>
        <w:t xml:space="preserve">from Phase 1 </w:t>
      </w:r>
      <w:r w:rsidR="006C5A8A">
        <w:rPr>
          <w:rFonts w:ascii="Calibri" w:hAnsi="Calibri"/>
        </w:rPr>
        <w:t>are retained. The net result is that a large</w:t>
      </w:r>
      <w:r w:rsidR="00EA0BF6">
        <w:rPr>
          <w:rFonts w:ascii="Calibri" w:hAnsi="Calibri"/>
        </w:rPr>
        <w:t>r number of interviews are completed</w:t>
      </w:r>
      <w:r w:rsidR="006C5A8A">
        <w:rPr>
          <w:rFonts w:ascii="Calibri" w:hAnsi="Calibri"/>
        </w:rPr>
        <w:t xml:space="preserve"> under the $60 treatment.</w:t>
      </w:r>
    </w:p>
    <w:p w14:paraId="49DBF8D7" w14:textId="77777777" w:rsidR="0066507B" w:rsidRDefault="0066507B">
      <w:pPr>
        <w:rPr>
          <w:rFonts w:ascii="Calibri" w:hAnsi="Calibri"/>
          <w:b/>
        </w:rPr>
      </w:pPr>
    </w:p>
    <w:p w14:paraId="0A6BE1CC" w14:textId="528D42C6" w:rsidR="0056132B" w:rsidRPr="00DE2624" w:rsidRDefault="004E0EAA" w:rsidP="00DE2624">
      <w:pPr>
        <w:pStyle w:val="ListParagraph"/>
        <w:numPr>
          <w:ilvl w:val="0"/>
          <w:numId w:val="14"/>
        </w:numPr>
        <w:rPr>
          <w:rFonts w:ascii="Calibri" w:hAnsi="Calibri"/>
          <w:b/>
        </w:rPr>
      </w:pPr>
      <w:r w:rsidRPr="00DE2624">
        <w:rPr>
          <w:rFonts w:ascii="Calibri" w:hAnsi="Calibri"/>
          <w:b/>
        </w:rPr>
        <w:t>Effort indicators</w:t>
      </w:r>
    </w:p>
    <w:p w14:paraId="1B5BEB35" w14:textId="77777777" w:rsidR="006C5A8A" w:rsidRDefault="006C5A8A" w:rsidP="006C5A8A">
      <w:pPr>
        <w:rPr>
          <w:rFonts w:ascii="Calibri" w:hAnsi="Calibri"/>
          <w:b/>
        </w:rPr>
      </w:pPr>
    </w:p>
    <w:p w14:paraId="5A24A53D" w14:textId="2A984363" w:rsidR="006C5A8A" w:rsidRDefault="006C5A8A" w:rsidP="006C5A8A">
      <w:pPr>
        <w:rPr>
          <w:rFonts w:ascii="Calibri" w:hAnsi="Calibri"/>
        </w:rPr>
      </w:pPr>
      <w:r>
        <w:rPr>
          <w:rFonts w:ascii="Calibri" w:hAnsi="Calibri"/>
        </w:rPr>
        <w:t xml:space="preserve">In this section, </w:t>
      </w:r>
      <w:r w:rsidR="00ED2564">
        <w:rPr>
          <w:rFonts w:ascii="Calibri" w:hAnsi="Calibri"/>
        </w:rPr>
        <w:t>we explore factors associated with costs. In a face-to-face survey, cost comparisons between cases assigned to the same interviewer are difficult. Interviewers generally report their total time without assigning that time to specific cases. Therefore, we are required to use indirect measures or model-based estimates.</w:t>
      </w:r>
    </w:p>
    <w:p w14:paraId="2B9FC012" w14:textId="77777777" w:rsidR="00ED2564" w:rsidRDefault="00ED2564" w:rsidP="006C5A8A">
      <w:pPr>
        <w:rPr>
          <w:rFonts w:ascii="Calibri" w:hAnsi="Calibri"/>
        </w:rPr>
      </w:pPr>
    </w:p>
    <w:p w14:paraId="0CA1AF23" w14:textId="5EE0B7CE" w:rsidR="00A07324" w:rsidRPr="006C5A8A" w:rsidRDefault="00A07324" w:rsidP="006C5A8A">
      <w:pPr>
        <w:rPr>
          <w:rFonts w:ascii="Calibri" w:hAnsi="Calibri"/>
        </w:rPr>
      </w:pPr>
      <w:r w:rsidRPr="00D91C06">
        <w:rPr>
          <w:rFonts w:ascii="Calibri" w:hAnsi="Calibri"/>
        </w:rPr>
        <w:t xml:space="preserve">Table </w:t>
      </w:r>
      <w:r w:rsidR="001F19CB" w:rsidRPr="00D91C06">
        <w:rPr>
          <w:rFonts w:ascii="Calibri" w:hAnsi="Calibri"/>
        </w:rPr>
        <w:t>7</w:t>
      </w:r>
      <w:r w:rsidR="0071760A" w:rsidRPr="00D91C06">
        <w:rPr>
          <w:rFonts w:ascii="Calibri" w:hAnsi="Calibri"/>
        </w:rPr>
        <w:t xml:space="preserve"> </w:t>
      </w:r>
      <w:r w:rsidRPr="00D91C06">
        <w:rPr>
          <w:rFonts w:ascii="Calibri" w:hAnsi="Calibri"/>
        </w:rPr>
        <w:t>presents several indirect measures of effort</w:t>
      </w:r>
      <w:r w:rsidR="00276E43" w:rsidRPr="00D91C06">
        <w:rPr>
          <w:rFonts w:ascii="Calibri" w:hAnsi="Calibri"/>
        </w:rPr>
        <w:t>, for Phase 1 and overall (Phase 1 and Phase 2 combined)</w:t>
      </w:r>
      <w:r w:rsidRPr="00D91C06">
        <w:rPr>
          <w:rFonts w:ascii="Calibri" w:hAnsi="Calibri"/>
        </w:rPr>
        <w:t>.</w:t>
      </w:r>
      <w:r w:rsidR="002E2CC0" w:rsidRPr="00D91C06">
        <w:rPr>
          <w:rFonts w:ascii="Calibri" w:hAnsi="Calibri"/>
        </w:rPr>
        <w:t xml:space="preserve"> The first is the number of call </w:t>
      </w:r>
      <w:r w:rsidR="001F19CB" w:rsidRPr="00D91C06">
        <w:rPr>
          <w:rFonts w:ascii="Calibri" w:hAnsi="Calibri"/>
        </w:rPr>
        <w:t xml:space="preserve">(in-person visits) </w:t>
      </w:r>
      <w:r w:rsidR="002E2CC0" w:rsidRPr="00D91C06">
        <w:rPr>
          <w:rFonts w:ascii="Calibri" w:hAnsi="Calibri"/>
        </w:rPr>
        <w:t>attempts</w:t>
      </w:r>
      <w:r w:rsidR="002E2CC0">
        <w:rPr>
          <w:rFonts w:ascii="Calibri" w:hAnsi="Calibri"/>
        </w:rPr>
        <w:t xml:space="preserve"> per completed interview. This includes all call attempts, even those made to cases that prove to be ineligible or refuse to complete the main interview. The number of call attempts is smaller for the $60 group, particularly during </w:t>
      </w:r>
      <w:r w:rsidR="00043BC1">
        <w:rPr>
          <w:rFonts w:ascii="Calibri" w:hAnsi="Calibri"/>
        </w:rPr>
        <w:t>P</w:t>
      </w:r>
      <w:r w:rsidR="002E2CC0">
        <w:rPr>
          <w:rFonts w:ascii="Calibri" w:hAnsi="Calibri"/>
        </w:rPr>
        <w:t>hase 1, where the $40 group required 3.31 (15%) more calls per interview. Of course, not all calls are the same length. The composition of the calls also matters. We will examine this later using a model-based approach.</w:t>
      </w:r>
    </w:p>
    <w:p w14:paraId="2F07D289" w14:textId="6C52C921" w:rsidR="00DE2624" w:rsidRDefault="00DE2624">
      <w:pPr>
        <w:rPr>
          <w:rFonts w:ascii="Calibri" w:hAnsi="Calibri"/>
          <w:b/>
        </w:rPr>
      </w:pPr>
    </w:p>
    <w:tbl>
      <w:tblPr>
        <w:tblW w:w="6048" w:type="dxa"/>
        <w:tblLook w:val="04A0" w:firstRow="1" w:lastRow="0" w:firstColumn="1" w:lastColumn="0" w:noHBand="0" w:noVBand="1"/>
      </w:tblPr>
      <w:tblGrid>
        <w:gridCol w:w="2662"/>
        <w:gridCol w:w="999"/>
        <w:gridCol w:w="999"/>
        <w:gridCol w:w="1388"/>
      </w:tblGrid>
      <w:tr w:rsidR="001F19CB" w14:paraId="16E3931A" w14:textId="785E3244" w:rsidTr="001F19CB">
        <w:trPr>
          <w:trHeight w:val="315"/>
        </w:trPr>
        <w:tc>
          <w:tcPr>
            <w:tcW w:w="4660" w:type="dxa"/>
            <w:gridSpan w:val="3"/>
            <w:tcBorders>
              <w:top w:val="single" w:sz="12" w:space="0" w:color="auto"/>
              <w:left w:val="single" w:sz="12" w:space="0" w:color="auto"/>
              <w:bottom w:val="single" w:sz="4" w:space="0" w:color="auto"/>
              <w:right w:val="single" w:sz="12" w:space="0" w:color="000000"/>
            </w:tcBorders>
            <w:shd w:val="clear" w:color="auto" w:fill="auto"/>
            <w:noWrap/>
            <w:vAlign w:val="bottom"/>
            <w:hideMark/>
          </w:tcPr>
          <w:p w14:paraId="5EC717A9" w14:textId="40AD4B5B" w:rsidR="001F19CB" w:rsidRDefault="001F19CB" w:rsidP="001F19CB">
            <w:pPr>
              <w:rPr>
                <w:rFonts w:ascii="Calibri" w:hAnsi="Calibri"/>
                <w:b/>
                <w:bCs/>
                <w:color w:val="000000"/>
                <w:sz w:val="22"/>
                <w:szCs w:val="22"/>
              </w:rPr>
            </w:pPr>
            <w:r>
              <w:rPr>
                <w:rFonts w:ascii="Calibri" w:hAnsi="Calibri"/>
                <w:b/>
                <w:bCs/>
                <w:color w:val="000000"/>
                <w:sz w:val="22"/>
                <w:szCs w:val="22"/>
              </w:rPr>
              <w:t>Table 7: Selected Effort Indicators</w:t>
            </w:r>
          </w:p>
        </w:tc>
        <w:tc>
          <w:tcPr>
            <w:tcW w:w="1388" w:type="dxa"/>
            <w:tcBorders>
              <w:top w:val="single" w:sz="12" w:space="0" w:color="auto"/>
              <w:left w:val="single" w:sz="12" w:space="0" w:color="auto"/>
              <w:bottom w:val="single" w:sz="4" w:space="0" w:color="auto"/>
              <w:right w:val="single" w:sz="12" w:space="0" w:color="000000"/>
            </w:tcBorders>
          </w:tcPr>
          <w:p w14:paraId="50BB6312" w14:textId="77777777" w:rsidR="001F19CB" w:rsidRDefault="001F19CB" w:rsidP="001F19CB">
            <w:pPr>
              <w:rPr>
                <w:rFonts w:ascii="Calibri" w:hAnsi="Calibri"/>
                <w:b/>
                <w:bCs/>
                <w:color w:val="000000"/>
                <w:sz w:val="22"/>
                <w:szCs w:val="22"/>
              </w:rPr>
            </w:pPr>
          </w:p>
        </w:tc>
      </w:tr>
      <w:tr w:rsidR="001F19CB" w14:paraId="6280A82F" w14:textId="3FD499DB" w:rsidTr="001F19CB">
        <w:trPr>
          <w:trHeight w:val="300"/>
        </w:trPr>
        <w:tc>
          <w:tcPr>
            <w:tcW w:w="2662" w:type="dxa"/>
            <w:tcBorders>
              <w:top w:val="nil"/>
              <w:left w:val="single" w:sz="12" w:space="0" w:color="auto"/>
              <w:bottom w:val="single" w:sz="4" w:space="0" w:color="auto"/>
              <w:right w:val="single" w:sz="4" w:space="0" w:color="auto"/>
            </w:tcBorders>
            <w:shd w:val="clear" w:color="auto" w:fill="auto"/>
            <w:noWrap/>
            <w:vAlign w:val="bottom"/>
            <w:hideMark/>
          </w:tcPr>
          <w:p w14:paraId="338F04B8" w14:textId="77777777" w:rsidR="001F19CB" w:rsidRDefault="001F19CB">
            <w:pPr>
              <w:rPr>
                <w:rFonts w:ascii="Calibri" w:hAnsi="Calibri"/>
                <w:color w:val="000000"/>
                <w:sz w:val="22"/>
                <w:szCs w:val="22"/>
              </w:rPr>
            </w:pPr>
            <w:r>
              <w:rPr>
                <w:rFonts w:ascii="Calibri" w:hAnsi="Calibri"/>
                <w:color w:val="000000"/>
                <w:sz w:val="22"/>
                <w:szCs w:val="22"/>
              </w:rPr>
              <w:t> </w:t>
            </w:r>
          </w:p>
        </w:tc>
        <w:tc>
          <w:tcPr>
            <w:tcW w:w="999" w:type="dxa"/>
            <w:tcBorders>
              <w:top w:val="nil"/>
              <w:left w:val="nil"/>
              <w:bottom w:val="single" w:sz="4" w:space="0" w:color="auto"/>
              <w:right w:val="single" w:sz="4" w:space="0" w:color="auto"/>
            </w:tcBorders>
            <w:shd w:val="clear" w:color="auto" w:fill="auto"/>
            <w:noWrap/>
            <w:vAlign w:val="bottom"/>
            <w:hideMark/>
          </w:tcPr>
          <w:p w14:paraId="10B4CA22" w14:textId="77777777" w:rsidR="001F19CB" w:rsidRDefault="001F19CB">
            <w:pPr>
              <w:jc w:val="center"/>
              <w:rPr>
                <w:rFonts w:ascii="Calibri" w:hAnsi="Calibri"/>
                <w:color w:val="000000"/>
                <w:sz w:val="22"/>
                <w:szCs w:val="22"/>
              </w:rPr>
            </w:pPr>
            <w:r>
              <w:rPr>
                <w:rFonts w:ascii="Calibri" w:hAnsi="Calibri"/>
                <w:color w:val="000000"/>
                <w:sz w:val="22"/>
                <w:szCs w:val="22"/>
              </w:rPr>
              <w:t xml:space="preserve">$40 </w:t>
            </w:r>
          </w:p>
        </w:tc>
        <w:tc>
          <w:tcPr>
            <w:tcW w:w="999" w:type="dxa"/>
            <w:tcBorders>
              <w:top w:val="nil"/>
              <w:left w:val="nil"/>
              <w:bottom w:val="single" w:sz="4" w:space="0" w:color="auto"/>
              <w:right w:val="single" w:sz="12" w:space="0" w:color="auto"/>
            </w:tcBorders>
            <w:shd w:val="clear" w:color="auto" w:fill="auto"/>
            <w:noWrap/>
            <w:vAlign w:val="bottom"/>
            <w:hideMark/>
          </w:tcPr>
          <w:p w14:paraId="02BB322D" w14:textId="77777777" w:rsidR="001F19CB" w:rsidRDefault="001F19CB">
            <w:pPr>
              <w:jc w:val="center"/>
              <w:rPr>
                <w:rFonts w:ascii="Calibri" w:hAnsi="Calibri"/>
                <w:color w:val="000000"/>
                <w:sz w:val="22"/>
                <w:szCs w:val="22"/>
              </w:rPr>
            </w:pPr>
            <w:r>
              <w:rPr>
                <w:rFonts w:ascii="Calibri" w:hAnsi="Calibri"/>
                <w:color w:val="000000"/>
                <w:sz w:val="22"/>
                <w:szCs w:val="22"/>
              </w:rPr>
              <w:t xml:space="preserve">$60 </w:t>
            </w:r>
          </w:p>
        </w:tc>
        <w:tc>
          <w:tcPr>
            <w:tcW w:w="1388" w:type="dxa"/>
            <w:tcBorders>
              <w:top w:val="nil"/>
              <w:left w:val="nil"/>
              <w:bottom w:val="single" w:sz="4" w:space="0" w:color="auto"/>
              <w:right w:val="single" w:sz="12" w:space="0" w:color="auto"/>
            </w:tcBorders>
          </w:tcPr>
          <w:p w14:paraId="5A1F4B1C" w14:textId="1B5D20FA" w:rsidR="001F19CB" w:rsidRDefault="001F19CB">
            <w:pPr>
              <w:jc w:val="center"/>
              <w:rPr>
                <w:rFonts w:ascii="Calibri" w:hAnsi="Calibri"/>
                <w:color w:val="000000"/>
                <w:sz w:val="22"/>
                <w:szCs w:val="22"/>
              </w:rPr>
            </w:pPr>
            <w:r>
              <w:rPr>
                <w:rFonts w:ascii="Calibri" w:hAnsi="Calibri"/>
                <w:color w:val="000000"/>
                <w:sz w:val="22"/>
                <w:szCs w:val="22"/>
              </w:rPr>
              <w:t>Difference</w:t>
            </w:r>
          </w:p>
        </w:tc>
      </w:tr>
      <w:tr w:rsidR="001F19CB" w14:paraId="14A90382" w14:textId="7D91683B" w:rsidTr="001F19CB">
        <w:trPr>
          <w:trHeight w:val="300"/>
        </w:trPr>
        <w:tc>
          <w:tcPr>
            <w:tcW w:w="4660" w:type="dxa"/>
            <w:gridSpan w:val="3"/>
            <w:tcBorders>
              <w:top w:val="single" w:sz="4" w:space="0" w:color="auto"/>
              <w:left w:val="single" w:sz="4" w:space="0" w:color="auto"/>
              <w:bottom w:val="single" w:sz="4" w:space="0" w:color="auto"/>
            </w:tcBorders>
            <w:shd w:val="clear" w:color="auto" w:fill="auto"/>
            <w:noWrap/>
            <w:vAlign w:val="bottom"/>
            <w:hideMark/>
          </w:tcPr>
          <w:p w14:paraId="7CC109FC" w14:textId="77777777" w:rsidR="001F19CB" w:rsidRDefault="001F19CB">
            <w:pPr>
              <w:rPr>
                <w:rFonts w:ascii="Calibri" w:hAnsi="Calibri"/>
                <w:b/>
                <w:bCs/>
                <w:color w:val="000000"/>
                <w:sz w:val="22"/>
                <w:szCs w:val="22"/>
              </w:rPr>
            </w:pPr>
            <w:r>
              <w:rPr>
                <w:rFonts w:ascii="Calibri" w:hAnsi="Calibri"/>
                <w:b/>
                <w:bCs/>
                <w:color w:val="000000"/>
                <w:sz w:val="22"/>
                <w:szCs w:val="22"/>
              </w:rPr>
              <w:t>Calls (in-person visits) per completed interview</w:t>
            </w:r>
          </w:p>
        </w:tc>
        <w:tc>
          <w:tcPr>
            <w:tcW w:w="1388" w:type="dxa"/>
            <w:tcBorders>
              <w:top w:val="single" w:sz="4" w:space="0" w:color="auto"/>
              <w:bottom w:val="single" w:sz="4" w:space="0" w:color="auto"/>
              <w:right w:val="single" w:sz="4" w:space="0" w:color="auto"/>
            </w:tcBorders>
          </w:tcPr>
          <w:p w14:paraId="4E589153" w14:textId="77777777" w:rsidR="001F19CB" w:rsidRDefault="001F19CB">
            <w:pPr>
              <w:rPr>
                <w:rFonts w:ascii="Calibri" w:hAnsi="Calibri"/>
                <w:b/>
                <w:bCs/>
                <w:color w:val="000000"/>
                <w:sz w:val="22"/>
                <w:szCs w:val="22"/>
              </w:rPr>
            </w:pPr>
          </w:p>
        </w:tc>
      </w:tr>
      <w:tr w:rsidR="001F19CB" w14:paraId="2C2B1FE6" w14:textId="36CBFA97" w:rsidTr="001F19CB">
        <w:trPr>
          <w:trHeight w:val="300"/>
        </w:trPr>
        <w:tc>
          <w:tcPr>
            <w:tcW w:w="266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2F8488D" w14:textId="77777777" w:rsidR="001F19CB" w:rsidRDefault="001F19CB">
            <w:pPr>
              <w:ind w:firstLineChars="200" w:firstLine="440"/>
              <w:rPr>
                <w:rFonts w:ascii="Calibri" w:hAnsi="Calibri"/>
                <w:color w:val="000000"/>
                <w:sz w:val="22"/>
                <w:szCs w:val="22"/>
              </w:rPr>
            </w:pPr>
            <w:r>
              <w:rPr>
                <w:rFonts w:ascii="Calibri" w:hAnsi="Calibri"/>
                <w:color w:val="000000"/>
                <w:sz w:val="22"/>
                <w:szCs w:val="22"/>
              </w:rPr>
              <w:t>Phase 1</w:t>
            </w:r>
          </w:p>
        </w:tc>
        <w:tc>
          <w:tcPr>
            <w:tcW w:w="999" w:type="dxa"/>
            <w:tcBorders>
              <w:top w:val="single" w:sz="4" w:space="0" w:color="auto"/>
              <w:left w:val="nil"/>
              <w:bottom w:val="single" w:sz="4" w:space="0" w:color="auto"/>
              <w:right w:val="single" w:sz="4" w:space="0" w:color="auto"/>
            </w:tcBorders>
            <w:shd w:val="clear" w:color="auto" w:fill="auto"/>
            <w:noWrap/>
            <w:vAlign w:val="center"/>
            <w:hideMark/>
          </w:tcPr>
          <w:p w14:paraId="7A041725" w14:textId="77777777" w:rsidR="001F19CB" w:rsidRDefault="001F19CB">
            <w:pPr>
              <w:jc w:val="center"/>
              <w:rPr>
                <w:rFonts w:ascii="Calibri" w:hAnsi="Calibri"/>
                <w:color w:val="000000"/>
                <w:sz w:val="22"/>
                <w:szCs w:val="22"/>
              </w:rPr>
            </w:pPr>
            <w:r>
              <w:rPr>
                <w:rFonts w:ascii="Calibri" w:hAnsi="Calibri"/>
                <w:color w:val="000000"/>
                <w:sz w:val="22"/>
                <w:szCs w:val="22"/>
              </w:rPr>
              <w:t>24.71</w:t>
            </w:r>
          </w:p>
        </w:tc>
        <w:tc>
          <w:tcPr>
            <w:tcW w:w="999" w:type="dxa"/>
            <w:tcBorders>
              <w:top w:val="single" w:sz="4" w:space="0" w:color="auto"/>
              <w:left w:val="nil"/>
              <w:bottom w:val="single" w:sz="4" w:space="0" w:color="auto"/>
              <w:right w:val="single" w:sz="12" w:space="0" w:color="auto"/>
            </w:tcBorders>
            <w:shd w:val="clear" w:color="auto" w:fill="auto"/>
            <w:noWrap/>
            <w:vAlign w:val="center"/>
            <w:hideMark/>
          </w:tcPr>
          <w:p w14:paraId="09F8E30D" w14:textId="77777777" w:rsidR="001F19CB" w:rsidRDefault="001F19CB">
            <w:pPr>
              <w:jc w:val="center"/>
              <w:rPr>
                <w:rFonts w:ascii="Calibri" w:hAnsi="Calibri"/>
                <w:color w:val="000000"/>
                <w:sz w:val="22"/>
                <w:szCs w:val="22"/>
              </w:rPr>
            </w:pPr>
            <w:r>
              <w:rPr>
                <w:rFonts w:ascii="Calibri" w:hAnsi="Calibri"/>
                <w:color w:val="000000"/>
                <w:sz w:val="22"/>
                <w:szCs w:val="22"/>
              </w:rPr>
              <w:t>21.40</w:t>
            </w:r>
          </w:p>
        </w:tc>
        <w:tc>
          <w:tcPr>
            <w:tcW w:w="1388" w:type="dxa"/>
            <w:tcBorders>
              <w:top w:val="single" w:sz="4" w:space="0" w:color="auto"/>
              <w:left w:val="nil"/>
              <w:bottom w:val="single" w:sz="4" w:space="0" w:color="auto"/>
              <w:right w:val="single" w:sz="12" w:space="0" w:color="auto"/>
            </w:tcBorders>
          </w:tcPr>
          <w:p w14:paraId="4A5939BD" w14:textId="5EC6DF93" w:rsidR="001F19CB" w:rsidRDefault="001F19CB">
            <w:pPr>
              <w:jc w:val="center"/>
              <w:rPr>
                <w:rFonts w:ascii="Calibri" w:hAnsi="Calibri"/>
                <w:color w:val="000000"/>
                <w:sz w:val="22"/>
                <w:szCs w:val="22"/>
              </w:rPr>
            </w:pPr>
            <w:r>
              <w:rPr>
                <w:rFonts w:ascii="Calibri" w:hAnsi="Calibri"/>
                <w:color w:val="000000"/>
                <w:sz w:val="22"/>
                <w:szCs w:val="22"/>
              </w:rPr>
              <w:t>3.3</w:t>
            </w:r>
          </w:p>
        </w:tc>
      </w:tr>
      <w:tr w:rsidR="001F19CB" w14:paraId="7EC4F39D" w14:textId="5C08DB0E" w:rsidTr="001F19CB">
        <w:trPr>
          <w:trHeight w:val="300"/>
        </w:trPr>
        <w:tc>
          <w:tcPr>
            <w:tcW w:w="2662" w:type="dxa"/>
            <w:tcBorders>
              <w:top w:val="nil"/>
              <w:left w:val="single" w:sz="12" w:space="0" w:color="auto"/>
              <w:bottom w:val="single" w:sz="4" w:space="0" w:color="auto"/>
              <w:right w:val="single" w:sz="4" w:space="0" w:color="auto"/>
            </w:tcBorders>
            <w:shd w:val="clear" w:color="auto" w:fill="auto"/>
            <w:noWrap/>
            <w:vAlign w:val="bottom"/>
            <w:hideMark/>
          </w:tcPr>
          <w:p w14:paraId="0D737A8C" w14:textId="77777777" w:rsidR="001F19CB" w:rsidRDefault="001F19CB">
            <w:pPr>
              <w:ind w:firstLineChars="200" w:firstLine="440"/>
              <w:rPr>
                <w:rFonts w:ascii="Calibri" w:hAnsi="Calibri"/>
                <w:color w:val="000000"/>
                <w:sz w:val="22"/>
                <w:szCs w:val="22"/>
              </w:rPr>
            </w:pPr>
            <w:r>
              <w:rPr>
                <w:rFonts w:ascii="Calibri" w:hAnsi="Calibri"/>
                <w:color w:val="000000"/>
                <w:sz w:val="22"/>
                <w:szCs w:val="22"/>
              </w:rPr>
              <w:t>Overall</w:t>
            </w:r>
          </w:p>
        </w:tc>
        <w:tc>
          <w:tcPr>
            <w:tcW w:w="999" w:type="dxa"/>
            <w:tcBorders>
              <w:top w:val="nil"/>
              <w:left w:val="nil"/>
              <w:bottom w:val="single" w:sz="4" w:space="0" w:color="auto"/>
              <w:right w:val="single" w:sz="4" w:space="0" w:color="auto"/>
            </w:tcBorders>
            <w:shd w:val="clear" w:color="auto" w:fill="auto"/>
            <w:noWrap/>
            <w:vAlign w:val="center"/>
            <w:hideMark/>
          </w:tcPr>
          <w:p w14:paraId="223104FC" w14:textId="77777777" w:rsidR="001F19CB" w:rsidRDefault="001F19CB">
            <w:pPr>
              <w:jc w:val="center"/>
              <w:rPr>
                <w:rFonts w:ascii="Calibri" w:hAnsi="Calibri"/>
                <w:color w:val="000000"/>
                <w:sz w:val="22"/>
                <w:szCs w:val="22"/>
              </w:rPr>
            </w:pPr>
            <w:r>
              <w:rPr>
                <w:rFonts w:ascii="Calibri" w:hAnsi="Calibri"/>
                <w:color w:val="000000"/>
                <w:sz w:val="22"/>
                <w:szCs w:val="22"/>
              </w:rPr>
              <w:t>23.98</w:t>
            </w:r>
          </w:p>
        </w:tc>
        <w:tc>
          <w:tcPr>
            <w:tcW w:w="999" w:type="dxa"/>
            <w:tcBorders>
              <w:top w:val="nil"/>
              <w:left w:val="nil"/>
              <w:bottom w:val="single" w:sz="4" w:space="0" w:color="auto"/>
              <w:right w:val="single" w:sz="12" w:space="0" w:color="auto"/>
            </w:tcBorders>
            <w:shd w:val="clear" w:color="auto" w:fill="auto"/>
            <w:noWrap/>
            <w:vAlign w:val="center"/>
            <w:hideMark/>
          </w:tcPr>
          <w:p w14:paraId="4D98ECE5" w14:textId="77777777" w:rsidR="001F19CB" w:rsidRDefault="001F19CB">
            <w:pPr>
              <w:jc w:val="center"/>
              <w:rPr>
                <w:rFonts w:ascii="Calibri" w:hAnsi="Calibri"/>
                <w:color w:val="000000"/>
                <w:sz w:val="22"/>
                <w:szCs w:val="22"/>
              </w:rPr>
            </w:pPr>
            <w:r>
              <w:rPr>
                <w:rFonts w:ascii="Calibri" w:hAnsi="Calibri"/>
                <w:color w:val="000000"/>
                <w:sz w:val="22"/>
                <w:szCs w:val="22"/>
              </w:rPr>
              <w:t>22.59</w:t>
            </w:r>
          </w:p>
        </w:tc>
        <w:tc>
          <w:tcPr>
            <w:tcW w:w="1388" w:type="dxa"/>
            <w:tcBorders>
              <w:top w:val="nil"/>
              <w:left w:val="nil"/>
              <w:bottom w:val="single" w:sz="4" w:space="0" w:color="auto"/>
              <w:right w:val="single" w:sz="12" w:space="0" w:color="auto"/>
            </w:tcBorders>
          </w:tcPr>
          <w:p w14:paraId="5AC8884B" w14:textId="0E7BF28E" w:rsidR="001F19CB" w:rsidRDefault="001F19CB">
            <w:pPr>
              <w:jc w:val="center"/>
              <w:rPr>
                <w:rFonts w:ascii="Calibri" w:hAnsi="Calibri"/>
                <w:color w:val="000000"/>
                <w:sz w:val="22"/>
                <w:szCs w:val="22"/>
              </w:rPr>
            </w:pPr>
            <w:r>
              <w:rPr>
                <w:rFonts w:ascii="Calibri" w:hAnsi="Calibri"/>
                <w:color w:val="000000"/>
                <w:sz w:val="22"/>
                <w:szCs w:val="22"/>
              </w:rPr>
              <w:t>1.4</w:t>
            </w:r>
          </w:p>
        </w:tc>
      </w:tr>
      <w:tr w:rsidR="001F19CB" w14:paraId="222C57F0" w14:textId="5A2187C7" w:rsidTr="001F19CB">
        <w:trPr>
          <w:trHeight w:val="300"/>
        </w:trPr>
        <w:tc>
          <w:tcPr>
            <w:tcW w:w="4660" w:type="dxa"/>
            <w:gridSpan w:val="3"/>
            <w:tcBorders>
              <w:top w:val="single" w:sz="4" w:space="0" w:color="auto"/>
              <w:left w:val="single" w:sz="12" w:space="0" w:color="auto"/>
              <w:bottom w:val="single" w:sz="4" w:space="0" w:color="auto"/>
              <w:right w:val="single" w:sz="12" w:space="0" w:color="000000"/>
            </w:tcBorders>
            <w:shd w:val="clear" w:color="auto" w:fill="auto"/>
            <w:noWrap/>
            <w:vAlign w:val="bottom"/>
            <w:hideMark/>
          </w:tcPr>
          <w:p w14:paraId="64C2D9D9" w14:textId="77777777" w:rsidR="001F19CB" w:rsidRDefault="001F19CB">
            <w:pPr>
              <w:rPr>
                <w:rFonts w:ascii="Calibri" w:hAnsi="Calibri"/>
                <w:b/>
                <w:bCs/>
                <w:color w:val="000000"/>
                <w:sz w:val="22"/>
                <w:szCs w:val="22"/>
              </w:rPr>
            </w:pPr>
            <w:r>
              <w:rPr>
                <w:rFonts w:ascii="Calibri" w:hAnsi="Calibri"/>
                <w:b/>
                <w:bCs/>
                <w:color w:val="000000"/>
                <w:sz w:val="22"/>
                <w:szCs w:val="22"/>
              </w:rPr>
              <w:t>Contacts per Main Interview</w:t>
            </w:r>
          </w:p>
        </w:tc>
        <w:tc>
          <w:tcPr>
            <w:tcW w:w="1388" w:type="dxa"/>
            <w:tcBorders>
              <w:top w:val="single" w:sz="4" w:space="0" w:color="auto"/>
              <w:left w:val="single" w:sz="12" w:space="0" w:color="auto"/>
              <w:bottom w:val="single" w:sz="4" w:space="0" w:color="auto"/>
              <w:right w:val="single" w:sz="12" w:space="0" w:color="000000"/>
            </w:tcBorders>
          </w:tcPr>
          <w:p w14:paraId="5362B1A9" w14:textId="77777777" w:rsidR="001F19CB" w:rsidRDefault="001F19CB">
            <w:pPr>
              <w:rPr>
                <w:rFonts w:ascii="Calibri" w:hAnsi="Calibri"/>
                <w:b/>
                <w:bCs/>
                <w:color w:val="000000"/>
                <w:sz w:val="22"/>
                <w:szCs w:val="22"/>
              </w:rPr>
            </w:pPr>
          </w:p>
        </w:tc>
      </w:tr>
      <w:tr w:rsidR="001F19CB" w14:paraId="42CBE0B7" w14:textId="0C468E78" w:rsidTr="001F19CB">
        <w:trPr>
          <w:trHeight w:val="300"/>
        </w:trPr>
        <w:tc>
          <w:tcPr>
            <w:tcW w:w="2662" w:type="dxa"/>
            <w:tcBorders>
              <w:top w:val="nil"/>
              <w:left w:val="single" w:sz="12" w:space="0" w:color="auto"/>
              <w:bottom w:val="single" w:sz="4" w:space="0" w:color="auto"/>
              <w:right w:val="single" w:sz="4" w:space="0" w:color="auto"/>
            </w:tcBorders>
            <w:shd w:val="clear" w:color="auto" w:fill="auto"/>
            <w:noWrap/>
            <w:vAlign w:val="bottom"/>
            <w:hideMark/>
          </w:tcPr>
          <w:p w14:paraId="1A366091" w14:textId="77777777" w:rsidR="001F19CB" w:rsidRDefault="001F19CB">
            <w:pPr>
              <w:ind w:firstLineChars="200" w:firstLine="440"/>
              <w:rPr>
                <w:rFonts w:ascii="Calibri" w:hAnsi="Calibri"/>
                <w:color w:val="000000"/>
                <w:sz w:val="22"/>
                <w:szCs w:val="22"/>
              </w:rPr>
            </w:pPr>
            <w:r>
              <w:rPr>
                <w:rFonts w:ascii="Calibri" w:hAnsi="Calibri"/>
                <w:color w:val="000000"/>
                <w:sz w:val="22"/>
                <w:szCs w:val="22"/>
              </w:rPr>
              <w:t>Phase 1</w:t>
            </w:r>
          </w:p>
        </w:tc>
        <w:tc>
          <w:tcPr>
            <w:tcW w:w="999" w:type="dxa"/>
            <w:tcBorders>
              <w:top w:val="nil"/>
              <w:left w:val="nil"/>
              <w:bottom w:val="single" w:sz="4" w:space="0" w:color="auto"/>
              <w:right w:val="single" w:sz="4" w:space="0" w:color="auto"/>
            </w:tcBorders>
            <w:shd w:val="clear" w:color="auto" w:fill="auto"/>
            <w:noWrap/>
            <w:vAlign w:val="center"/>
            <w:hideMark/>
          </w:tcPr>
          <w:p w14:paraId="33234E01" w14:textId="77777777" w:rsidR="001F19CB" w:rsidRDefault="001F19CB">
            <w:pPr>
              <w:jc w:val="center"/>
              <w:rPr>
                <w:rFonts w:ascii="Calibri" w:hAnsi="Calibri"/>
                <w:color w:val="000000"/>
                <w:sz w:val="22"/>
                <w:szCs w:val="22"/>
              </w:rPr>
            </w:pPr>
            <w:r>
              <w:rPr>
                <w:rFonts w:ascii="Calibri" w:hAnsi="Calibri"/>
                <w:color w:val="000000"/>
                <w:sz w:val="22"/>
                <w:szCs w:val="22"/>
              </w:rPr>
              <w:t>7.75</w:t>
            </w:r>
          </w:p>
        </w:tc>
        <w:tc>
          <w:tcPr>
            <w:tcW w:w="999" w:type="dxa"/>
            <w:tcBorders>
              <w:top w:val="nil"/>
              <w:left w:val="nil"/>
              <w:bottom w:val="single" w:sz="4" w:space="0" w:color="auto"/>
              <w:right w:val="single" w:sz="12" w:space="0" w:color="auto"/>
            </w:tcBorders>
            <w:shd w:val="clear" w:color="auto" w:fill="auto"/>
            <w:noWrap/>
            <w:vAlign w:val="center"/>
            <w:hideMark/>
          </w:tcPr>
          <w:p w14:paraId="6C744019" w14:textId="77777777" w:rsidR="001F19CB" w:rsidRDefault="001F19CB">
            <w:pPr>
              <w:jc w:val="center"/>
              <w:rPr>
                <w:rFonts w:ascii="Calibri" w:hAnsi="Calibri"/>
                <w:color w:val="000000"/>
                <w:sz w:val="22"/>
                <w:szCs w:val="22"/>
              </w:rPr>
            </w:pPr>
            <w:r>
              <w:rPr>
                <w:rFonts w:ascii="Calibri" w:hAnsi="Calibri"/>
                <w:color w:val="000000"/>
                <w:sz w:val="22"/>
                <w:szCs w:val="22"/>
              </w:rPr>
              <w:t>6.96</w:t>
            </w:r>
          </w:p>
        </w:tc>
        <w:tc>
          <w:tcPr>
            <w:tcW w:w="1388" w:type="dxa"/>
            <w:tcBorders>
              <w:top w:val="nil"/>
              <w:left w:val="nil"/>
              <w:bottom w:val="single" w:sz="4" w:space="0" w:color="auto"/>
              <w:right w:val="single" w:sz="12" w:space="0" w:color="auto"/>
            </w:tcBorders>
          </w:tcPr>
          <w:p w14:paraId="09D43E8E" w14:textId="4414F77E" w:rsidR="001F19CB" w:rsidRDefault="001F19CB">
            <w:pPr>
              <w:jc w:val="center"/>
              <w:rPr>
                <w:rFonts w:ascii="Calibri" w:hAnsi="Calibri"/>
                <w:color w:val="000000"/>
                <w:sz w:val="22"/>
                <w:szCs w:val="22"/>
              </w:rPr>
            </w:pPr>
            <w:r>
              <w:rPr>
                <w:rFonts w:ascii="Calibri" w:hAnsi="Calibri"/>
                <w:color w:val="000000"/>
                <w:sz w:val="22"/>
                <w:szCs w:val="22"/>
              </w:rPr>
              <w:t>.8</w:t>
            </w:r>
          </w:p>
        </w:tc>
      </w:tr>
      <w:tr w:rsidR="001F19CB" w14:paraId="152B29F3" w14:textId="2E708077" w:rsidTr="001F19CB">
        <w:trPr>
          <w:trHeight w:val="300"/>
        </w:trPr>
        <w:tc>
          <w:tcPr>
            <w:tcW w:w="2662" w:type="dxa"/>
            <w:tcBorders>
              <w:top w:val="nil"/>
              <w:left w:val="single" w:sz="12" w:space="0" w:color="auto"/>
              <w:bottom w:val="single" w:sz="4" w:space="0" w:color="auto"/>
              <w:right w:val="single" w:sz="4" w:space="0" w:color="auto"/>
            </w:tcBorders>
            <w:shd w:val="clear" w:color="auto" w:fill="auto"/>
            <w:noWrap/>
            <w:vAlign w:val="bottom"/>
            <w:hideMark/>
          </w:tcPr>
          <w:p w14:paraId="22789A09" w14:textId="77777777" w:rsidR="001F19CB" w:rsidRDefault="001F19CB">
            <w:pPr>
              <w:ind w:firstLineChars="200" w:firstLine="440"/>
              <w:rPr>
                <w:rFonts w:ascii="Calibri" w:hAnsi="Calibri"/>
                <w:color w:val="000000"/>
                <w:sz w:val="22"/>
                <w:szCs w:val="22"/>
              </w:rPr>
            </w:pPr>
            <w:r>
              <w:rPr>
                <w:rFonts w:ascii="Calibri" w:hAnsi="Calibri"/>
                <w:color w:val="000000"/>
                <w:sz w:val="22"/>
                <w:szCs w:val="22"/>
              </w:rPr>
              <w:t>Overall</w:t>
            </w:r>
          </w:p>
        </w:tc>
        <w:tc>
          <w:tcPr>
            <w:tcW w:w="999" w:type="dxa"/>
            <w:tcBorders>
              <w:top w:val="nil"/>
              <w:left w:val="nil"/>
              <w:bottom w:val="single" w:sz="4" w:space="0" w:color="auto"/>
              <w:right w:val="single" w:sz="4" w:space="0" w:color="auto"/>
            </w:tcBorders>
            <w:shd w:val="clear" w:color="auto" w:fill="auto"/>
            <w:noWrap/>
            <w:vAlign w:val="center"/>
            <w:hideMark/>
          </w:tcPr>
          <w:p w14:paraId="07B9FEAD" w14:textId="77777777" w:rsidR="001F19CB" w:rsidRDefault="001F19CB">
            <w:pPr>
              <w:jc w:val="center"/>
              <w:rPr>
                <w:rFonts w:ascii="Calibri" w:hAnsi="Calibri"/>
                <w:color w:val="000000"/>
                <w:sz w:val="22"/>
                <w:szCs w:val="22"/>
              </w:rPr>
            </w:pPr>
            <w:r>
              <w:rPr>
                <w:rFonts w:ascii="Calibri" w:hAnsi="Calibri"/>
                <w:color w:val="000000"/>
                <w:sz w:val="22"/>
                <w:szCs w:val="22"/>
              </w:rPr>
              <w:t>7.25</w:t>
            </w:r>
          </w:p>
        </w:tc>
        <w:tc>
          <w:tcPr>
            <w:tcW w:w="999" w:type="dxa"/>
            <w:tcBorders>
              <w:top w:val="nil"/>
              <w:left w:val="nil"/>
              <w:bottom w:val="single" w:sz="4" w:space="0" w:color="auto"/>
              <w:right w:val="single" w:sz="12" w:space="0" w:color="auto"/>
            </w:tcBorders>
            <w:shd w:val="clear" w:color="auto" w:fill="auto"/>
            <w:noWrap/>
            <w:vAlign w:val="center"/>
            <w:hideMark/>
          </w:tcPr>
          <w:p w14:paraId="056BD731" w14:textId="77777777" w:rsidR="001F19CB" w:rsidRDefault="001F19CB">
            <w:pPr>
              <w:jc w:val="center"/>
              <w:rPr>
                <w:rFonts w:ascii="Calibri" w:hAnsi="Calibri"/>
                <w:color w:val="000000"/>
                <w:sz w:val="22"/>
                <w:szCs w:val="22"/>
              </w:rPr>
            </w:pPr>
            <w:r>
              <w:rPr>
                <w:rFonts w:ascii="Calibri" w:hAnsi="Calibri"/>
                <w:color w:val="000000"/>
                <w:sz w:val="22"/>
                <w:szCs w:val="22"/>
              </w:rPr>
              <w:t>6.89</w:t>
            </w:r>
          </w:p>
        </w:tc>
        <w:tc>
          <w:tcPr>
            <w:tcW w:w="1388" w:type="dxa"/>
            <w:tcBorders>
              <w:top w:val="nil"/>
              <w:left w:val="nil"/>
              <w:bottom w:val="single" w:sz="4" w:space="0" w:color="auto"/>
              <w:right w:val="single" w:sz="12" w:space="0" w:color="auto"/>
            </w:tcBorders>
          </w:tcPr>
          <w:p w14:paraId="2CFD1585" w14:textId="736788AB" w:rsidR="001F19CB" w:rsidRDefault="001F19CB">
            <w:pPr>
              <w:jc w:val="center"/>
              <w:rPr>
                <w:rFonts w:ascii="Calibri" w:hAnsi="Calibri"/>
                <w:color w:val="000000"/>
                <w:sz w:val="22"/>
                <w:szCs w:val="22"/>
              </w:rPr>
            </w:pPr>
            <w:r>
              <w:rPr>
                <w:rFonts w:ascii="Calibri" w:hAnsi="Calibri"/>
                <w:color w:val="000000"/>
                <w:sz w:val="22"/>
                <w:szCs w:val="22"/>
              </w:rPr>
              <w:t>.4</w:t>
            </w:r>
          </w:p>
        </w:tc>
      </w:tr>
      <w:tr w:rsidR="001F19CB" w14:paraId="5D6B4A43" w14:textId="042F6351" w:rsidTr="001F19CB">
        <w:trPr>
          <w:trHeight w:val="300"/>
        </w:trPr>
        <w:tc>
          <w:tcPr>
            <w:tcW w:w="4660" w:type="dxa"/>
            <w:gridSpan w:val="3"/>
            <w:tcBorders>
              <w:top w:val="single" w:sz="4" w:space="0" w:color="auto"/>
              <w:left w:val="single" w:sz="12" w:space="0" w:color="auto"/>
              <w:bottom w:val="single" w:sz="4" w:space="0" w:color="auto"/>
              <w:right w:val="single" w:sz="12" w:space="0" w:color="000000"/>
            </w:tcBorders>
            <w:shd w:val="clear" w:color="auto" w:fill="auto"/>
            <w:noWrap/>
            <w:vAlign w:val="bottom"/>
            <w:hideMark/>
          </w:tcPr>
          <w:p w14:paraId="33F51D21" w14:textId="68B300C3" w:rsidR="001F19CB" w:rsidRDefault="001F19CB">
            <w:pPr>
              <w:rPr>
                <w:rFonts w:ascii="Calibri" w:hAnsi="Calibri"/>
                <w:b/>
                <w:bCs/>
                <w:color w:val="000000"/>
                <w:sz w:val="22"/>
                <w:szCs w:val="22"/>
              </w:rPr>
            </w:pPr>
            <w:r>
              <w:rPr>
                <w:rFonts w:ascii="Calibri" w:hAnsi="Calibri"/>
                <w:b/>
                <w:bCs/>
                <w:color w:val="000000"/>
                <w:sz w:val="22"/>
                <w:szCs w:val="22"/>
              </w:rPr>
              <w:t>Resistant Attempts per Completed Interview</w:t>
            </w:r>
          </w:p>
        </w:tc>
        <w:tc>
          <w:tcPr>
            <w:tcW w:w="1388" w:type="dxa"/>
            <w:tcBorders>
              <w:top w:val="single" w:sz="4" w:space="0" w:color="auto"/>
              <w:left w:val="single" w:sz="12" w:space="0" w:color="auto"/>
              <w:bottom w:val="single" w:sz="4" w:space="0" w:color="auto"/>
              <w:right w:val="single" w:sz="12" w:space="0" w:color="000000"/>
            </w:tcBorders>
          </w:tcPr>
          <w:p w14:paraId="2901BF4B" w14:textId="77777777" w:rsidR="001F19CB" w:rsidRDefault="001F19CB">
            <w:pPr>
              <w:rPr>
                <w:rFonts w:ascii="Calibri" w:hAnsi="Calibri"/>
                <w:b/>
                <w:bCs/>
                <w:color w:val="000000"/>
                <w:sz w:val="22"/>
                <w:szCs w:val="22"/>
              </w:rPr>
            </w:pPr>
          </w:p>
        </w:tc>
      </w:tr>
      <w:tr w:rsidR="001F19CB" w14:paraId="51FF3CBF" w14:textId="431461CF" w:rsidTr="001F19CB">
        <w:trPr>
          <w:trHeight w:val="300"/>
        </w:trPr>
        <w:tc>
          <w:tcPr>
            <w:tcW w:w="2662" w:type="dxa"/>
            <w:tcBorders>
              <w:top w:val="nil"/>
              <w:left w:val="single" w:sz="12" w:space="0" w:color="auto"/>
              <w:bottom w:val="single" w:sz="4" w:space="0" w:color="auto"/>
              <w:right w:val="single" w:sz="4" w:space="0" w:color="auto"/>
            </w:tcBorders>
            <w:shd w:val="clear" w:color="auto" w:fill="auto"/>
            <w:noWrap/>
            <w:vAlign w:val="bottom"/>
            <w:hideMark/>
          </w:tcPr>
          <w:p w14:paraId="780CCCEB" w14:textId="77777777" w:rsidR="001F19CB" w:rsidRDefault="001F19CB">
            <w:pPr>
              <w:ind w:firstLineChars="200" w:firstLine="440"/>
              <w:rPr>
                <w:rFonts w:ascii="Calibri" w:hAnsi="Calibri"/>
                <w:color w:val="000000"/>
                <w:sz w:val="22"/>
                <w:szCs w:val="22"/>
              </w:rPr>
            </w:pPr>
            <w:r>
              <w:rPr>
                <w:rFonts w:ascii="Calibri" w:hAnsi="Calibri"/>
                <w:color w:val="000000"/>
                <w:sz w:val="22"/>
                <w:szCs w:val="22"/>
              </w:rPr>
              <w:t>Phase 1</w:t>
            </w:r>
          </w:p>
        </w:tc>
        <w:tc>
          <w:tcPr>
            <w:tcW w:w="999" w:type="dxa"/>
            <w:tcBorders>
              <w:top w:val="nil"/>
              <w:left w:val="nil"/>
              <w:bottom w:val="single" w:sz="4" w:space="0" w:color="auto"/>
              <w:right w:val="single" w:sz="4" w:space="0" w:color="auto"/>
            </w:tcBorders>
            <w:shd w:val="clear" w:color="auto" w:fill="auto"/>
            <w:noWrap/>
            <w:vAlign w:val="center"/>
            <w:hideMark/>
          </w:tcPr>
          <w:p w14:paraId="1E1E58BF" w14:textId="77777777" w:rsidR="001F19CB" w:rsidRDefault="001F19CB">
            <w:pPr>
              <w:jc w:val="center"/>
              <w:rPr>
                <w:rFonts w:ascii="Calibri" w:hAnsi="Calibri"/>
                <w:color w:val="000000"/>
                <w:sz w:val="22"/>
                <w:szCs w:val="22"/>
              </w:rPr>
            </w:pPr>
            <w:r>
              <w:rPr>
                <w:rFonts w:ascii="Calibri" w:hAnsi="Calibri"/>
                <w:color w:val="000000"/>
                <w:sz w:val="22"/>
                <w:szCs w:val="22"/>
              </w:rPr>
              <w:t>0.91</w:t>
            </w:r>
          </w:p>
        </w:tc>
        <w:tc>
          <w:tcPr>
            <w:tcW w:w="999" w:type="dxa"/>
            <w:tcBorders>
              <w:top w:val="nil"/>
              <w:left w:val="nil"/>
              <w:bottom w:val="single" w:sz="4" w:space="0" w:color="auto"/>
              <w:right w:val="single" w:sz="12" w:space="0" w:color="auto"/>
            </w:tcBorders>
            <w:shd w:val="clear" w:color="auto" w:fill="auto"/>
            <w:noWrap/>
            <w:vAlign w:val="center"/>
            <w:hideMark/>
          </w:tcPr>
          <w:p w14:paraId="0D3F5727" w14:textId="77777777" w:rsidR="001F19CB" w:rsidRDefault="001F19CB">
            <w:pPr>
              <w:jc w:val="center"/>
              <w:rPr>
                <w:rFonts w:ascii="Calibri" w:hAnsi="Calibri"/>
                <w:color w:val="000000"/>
                <w:sz w:val="22"/>
                <w:szCs w:val="22"/>
              </w:rPr>
            </w:pPr>
            <w:r>
              <w:rPr>
                <w:rFonts w:ascii="Calibri" w:hAnsi="Calibri"/>
                <w:color w:val="000000"/>
                <w:sz w:val="22"/>
                <w:szCs w:val="22"/>
              </w:rPr>
              <w:t>0.82</w:t>
            </w:r>
          </w:p>
        </w:tc>
        <w:tc>
          <w:tcPr>
            <w:tcW w:w="1388" w:type="dxa"/>
            <w:tcBorders>
              <w:top w:val="nil"/>
              <w:left w:val="nil"/>
              <w:bottom w:val="single" w:sz="4" w:space="0" w:color="auto"/>
              <w:right w:val="single" w:sz="12" w:space="0" w:color="auto"/>
            </w:tcBorders>
          </w:tcPr>
          <w:p w14:paraId="7FF91990" w14:textId="65F2F78A" w:rsidR="001F19CB" w:rsidRDefault="001F19CB">
            <w:pPr>
              <w:jc w:val="center"/>
              <w:rPr>
                <w:rFonts w:ascii="Calibri" w:hAnsi="Calibri"/>
                <w:color w:val="000000"/>
                <w:sz w:val="22"/>
                <w:szCs w:val="22"/>
              </w:rPr>
            </w:pPr>
            <w:r>
              <w:rPr>
                <w:rFonts w:ascii="Calibri" w:hAnsi="Calibri"/>
                <w:color w:val="000000"/>
                <w:sz w:val="22"/>
                <w:szCs w:val="22"/>
              </w:rPr>
              <w:t>.09</w:t>
            </w:r>
          </w:p>
        </w:tc>
      </w:tr>
      <w:tr w:rsidR="001F19CB" w14:paraId="7CA76C41" w14:textId="1256A193" w:rsidTr="001F19CB">
        <w:trPr>
          <w:trHeight w:val="315"/>
        </w:trPr>
        <w:tc>
          <w:tcPr>
            <w:tcW w:w="2662" w:type="dxa"/>
            <w:tcBorders>
              <w:top w:val="nil"/>
              <w:left w:val="single" w:sz="12" w:space="0" w:color="auto"/>
              <w:bottom w:val="single" w:sz="12" w:space="0" w:color="auto"/>
              <w:right w:val="single" w:sz="4" w:space="0" w:color="auto"/>
            </w:tcBorders>
            <w:shd w:val="clear" w:color="auto" w:fill="auto"/>
            <w:noWrap/>
            <w:vAlign w:val="bottom"/>
            <w:hideMark/>
          </w:tcPr>
          <w:p w14:paraId="47CA5376" w14:textId="77777777" w:rsidR="001F19CB" w:rsidRDefault="001F19CB">
            <w:pPr>
              <w:ind w:firstLineChars="200" w:firstLine="440"/>
              <w:rPr>
                <w:rFonts w:ascii="Calibri" w:hAnsi="Calibri"/>
                <w:color w:val="000000"/>
                <w:sz w:val="22"/>
                <w:szCs w:val="22"/>
              </w:rPr>
            </w:pPr>
            <w:r>
              <w:rPr>
                <w:rFonts w:ascii="Calibri" w:hAnsi="Calibri"/>
                <w:color w:val="000000"/>
                <w:sz w:val="22"/>
                <w:szCs w:val="22"/>
              </w:rPr>
              <w:t>Overall</w:t>
            </w:r>
          </w:p>
        </w:tc>
        <w:tc>
          <w:tcPr>
            <w:tcW w:w="999" w:type="dxa"/>
            <w:tcBorders>
              <w:top w:val="nil"/>
              <w:left w:val="nil"/>
              <w:bottom w:val="single" w:sz="12" w:space="0" w:color="auto"/>
              <w:right w:val="single" w:sz="4" w:space="0" w:color="auto"/>
            </w:tcBorders>
            <w:shd w:val="clear" w:color="auto" w:fill="auto"/>
            <w:noWrap/>
            <w:vAlign w:val="center"/>
            <w:hideMark/>
          </w:tcPr>
          <w:p w14:paraId="37F0BB2C" w14:textId="77777777" w:rsidR="001F19CB" w:rsidRDefault="001F19CB">
            <w:pPr>
              <w:jc w:val="center"/>
              <w:rPr>
                <w:rFonts w:ascii="Calibri" w:hAnsi="Calibri"/>
                <w:color w:val="000000"/>
                <w:sz w:val="22"/>
                <w:szCs w:val="22"/>
              </w:rPr>
            </w:pPr>
            <w:r>
              <w:rPr>
                <w:rFonts w:ascii="Calibri" w:hAnsi="Calibri"/>
                <w:color w:val="000000"/>
                <w:sz w:val="22"/>
                <w:szCs w:val="22"/>
              </w:rPr>
              <w:t>0.95</w:t>
            </w:r>
          </w:p>
        </w:tc>
        <w:tc>
          <w:tcPr>
            <w:tcW w:w="999" w:type="dxa"/>
            <w:tcBorders>
              <w:top w:val="nil"/>
              <w:left w:val="nil"/>
              <w:bottom w:val="single" w:sz="12" w:space="0" w:color="auto"/>
              <w:right w:val="single" w:sz="12" w:space="0" w:color="auto"/>
            </w:tcBorders>
            <w:shd w:val="clear" w:color="auto" w:fill="auto"/>
            <w:noWrap/>
            <w:vAlign w:val="center"/>
            <w:hideMark/>
          </w:tcPr>
          <w:p w14:paraId="294950A4" w14:textId="77777777" w:rsidR="001F19CB" w:rsidRDefault="001F19CB">
            <w:pPr>
              <w:jc w:val="center"/>
              <w:rPr>
                <w:rFonts w:ascii="Calibri" w:hAnsi="Calibri"/>
                <w:color w:val="000000"/>
                <w:sz w:val="22"/>
                <w:szCs w:val="22"/>
              </w:rPr>
            </w:pPr>
            <w:r>
              <w:rPr>
                <w:rFonts w:ascii="Calibri" w:hAnsi="Calibri"/>
                <w:color w:val="000000"/>
                <w:sz w:val="22"/>
                <w:szCs w:val="22"/>
              </w:rPr>
              <w:t>0.95</w:t>
            </w:r>
          </w:p>
        </w:tc>
        <w:tc>
          <w:tcPr>
            <w:tcW w:w="1388" w:type="dxa"/>
            <w:tcBorders>
              <w:top w:val="nil"/>
              <w:left w:val="nil"/>
              <w:bottom w:val="single" w:sz="12" w:space="0" w:color="auto"/>
              <w:right w:val="single" w:sz="12" w:space="0" w:color="auto"/>
            </w:tcBorders>
          </w:tcPr>
          <w:p w14:paraId="20814C69" w14:textId="350F46DE" w:rsidR="001F19CB" w:rsidRDefault="001F19CB">
            <w:pPr>
              <w:jc w:val="center"/>
              <w:rPr>
                <w:rFonts w:ascii="Calibri" w:hAnsi="Calibri"/>
                <w:color w:val="000000"/>
                <w:sz w:val="22"/>
                <w:szCs w:val="22"/>
              </w:rPr>
            </w:pPr>
            <w:r>
              <w:rPr>
                <w:rFonts w:ascii="Calibri" w:hAnsi="Calibri"/>
                <w:color w:val="000000"/>
                <w:sz w:val="22"/>
                <w:szCs w:val="22"/>
              </w:rPr>
              <w:t>.00</w:t>
            </w:r>
          </w:p>
        </w:tc>
      </w:tr>
    </w:tbl>
    <w:p w14:paraId="5DC1078E" w14:textId="6998265C" w:rsidR="009F52FF" w:rsidRDefault="009F52FF" w:rsidP="00A173E3">
      <w:pPr>
        <w:rPr>
          <w:rFonts w:ascii="Calibri" w:hAnsi="Calibri"/>
          <w:b/>
        </w:rPr>
      </w:pPr>
    </w:p>
    <w:p w14:paraId="52BF0FD3" w14:textId="036EE43D" w:rsidR="00421CBC" w:rsidRPr="00D91C06" w:rsidRDefault="002E2CC0" w:rsidP="00A173E3">
      <w:pPr>
        <w:rPr>
          <w:rFonts w:ascii="Calibri" w:hAnsi="Calibri"/>
        </w:rPr>
      </w:pPr>
      <w:r>
        <w:rPr>
          <w:rFonts w:ascii="Calibri" w:hAnsi="Calibri"/>
        </w:rPr>
        <w:t>An additional indicator is the number of contacts</w:t>
      </w:r>
      <w:r w:rsidR="006F18D9">
        <w:rPr>
          <w:rFonts w:ascii="Calibri" w:hAnsi="Calibri"/>
        </w:rPr>
        <w:t xml:space="preserve"> (speaking with a household member)</w:t>
      </w:r>
      <w:r>
        <w:rPr>
          <w:rFonts w:ascii="Calibri" w:hAnsi="Calibri"/>
        </w:rPr>
        <w:t xml:space="preserve"> per main interview. Contacts generally require more time than non-contacts. One outcome for the incentive would be to reduce the number of contacts required to complete the interview. For this measure, the $60 </w:t>
      </w:r>
      <w:r w:rsidRPr="00D91C06">
        <w:rPr>
          <w:rFonts w:ascii="Calibri" w:hAnsi="Calibri"/>
        </w:rPr>
        <w:t>treatment reduces the number of required contacts to complete an interview. Again, the difference is smaller after Phase 2</w:t>
      </w:r>
      <w:r w:rsidR="00276E43" w:rsidRPr="00D91C06">
        <w:rPr>
          <w:rFonts w:ascii="Calibri" w:hAnsi="Calibri"/>
        </w:rPr>
        <w:t xml:space="preserve"> (“Overall”, in the table)</w:t>
      </w:r>
      <w:r w:rsidRPr="00D91C06">
        <w:rPr>
          <w:rFonts w:ascii="Calibri" w:hAnsi="Calibri"/>
        </w:rPr>
        <w:t>.</w:t>
      </w:r>
    </w:p>
    <w:p w14:paraId="29D6F385" w14:textId="77777777" w:rsidR="002E2CC0" w:rsidRPr="00D91C06" w:rsidRDefault="002E2CC0" w:rsidP="00A173E3">
      <w:pPr>
        <w:rPr>
          <w:rFonts w:ascii="Calibri" w:hAnsi="Calibri"/>
        </w:rPr>
      </w:pPr>
    </w:p>
    <w:p w14:paraId="2BFF8CE5" w14:textId="1C567D37" w:rsidR="002E2CC0" w:rsidRPr="002E2CC0" w:rsidRDefault="002E2CC0" w:rsidP="00A173E3">
      <w:pPr>
        <w:rPr>
          <w:rFonts w:ascii="Calibri" w:hAnsi="Calibri"/>
        </w:rPr>
      </w:pPr>
      <w:r w:rsidRPr="00D91C06">
        <w:rPr>
          <w:rFonts w:ascii="Calibri" w:hAnsi="Calibri"/>
        </w:rPr>
        <w:t>The final measure is the number of resistant attempts per completed interview. These resistant attempts require further effort to address respondent concerns. For this indicator, the $60 treatment has some impact in Phase 1, but the gains are lost by the end of Phase 2</w:t>
      </w:r>
      <w:r w:rsidR="00276E43" w:rsidRPr="00D91C06">
        <w:rPr>
          <w:rFonts w:ascii="Calibri" w:hAnsi="Calibri"/>
        </w:rPr>
        <w:t>, as seen in the “overall” row</w:t>
      </w:r>
      <w:r w:rsidRPr="00D91C06">
        <w:rPr>
          <w:rFonts w:ascii="Calibri" w:hAnsi="Calibri"/>
        </w:rPr>
        <w:t>.</w:t>
      </w:r>
    </w:p>
    <w:p w14:paraId="06CF01D3" w14:textId="77777777" w:rsidR="00421CBC" w:rsidRDefault="00421CBC" w:rsidP="00A173E3">
      <w:pPr>
        <w:rPr>
          <w:rFonts w:ascii="Calibri" w:hAnsi="Calibri"/>
          <w:b/>
        </w:rPr>
      </w:pPr>
    </w:p>
    <w:p w14:paraId="2A796B05" w14:textId="33D57808" w:rsidR="00B35B24" w:rsidRDefault="009935B1" w:rsidP="009935B1">
      <w:pPr>
        <w:rPr>
          <w:rFonts w:ascii="Calibri" w:hAnsi="Calibri"/>
        </w:rPr>
      </w:pPr>
      <w:r>
        <w:rPr>
          <w:rFonts w:ascii="Calibri" w:hAnsi="Calibri"/>
        </w:rPr>
        <w:t>One way to estimate the cost savings is to assume that each call takes about the same amount of time. That is, we can divide all the interviewer hours by the total number of calls made. Using this approach, a</w:t>
      </w:r>
      <w:r w:rsidRPr="00E95D54">
        <w:rPr>
          <w:rFonts w:ascii="Calibri" w:hAnsi="Calibri"/>
        </w:rPr>
        <w:t xml:space="preserve"> call takes about 2</w:t>
      </w:r>
      <w:r w:rsidR="00146ECF">
        <w:rPr>
          <w:rFonts w:ascii="Calibri" w:hAnsi="Calibri"/>
        </w:rPr>
        <w:t>5</w:t>
      </w:r>
      <w:r w:rsidRPr="00E95D54">
        <w:rPr>
          <w:rFonts w:ascii="Calibri" w:hAnsi="Calibri"/>
        </w:rPr>
        <w:t xml:space="preserve"> minutes on average. Therefore, a reduction of </w:t>
      </w:r>
      <w:r w:rsidR="00B35B24">
        <w:rPr>
          <w:rFonts w:ascii="Calibri" w:hAnsi="Calibri"/>
        </w:rPr>
        <w:t>1.39</w:t>
      </w:r>
      <w:r w:rsidRPr="00E95D54">
        <w:rPr>
          <w:rFonts w:ascii="Calibri" w:hAnsi="Calibri"/>
        </w:rPr>
        <w:t xml:space="preserve"> calls per interview </w:t>
      </w:r>
      <w:r w:rsidRPr="009A55F4">
        <w:rPr>
          <w:rFonts w:ascii="Calibri" w:hAnsi="Calibri"/>
        </w:rPr>
        <w:t>yields a</w:t>
      </w:r>
      <w:r w:rsidR="00391262" w:rsidRPr="009A55F4">
        <w:rPr>
          <w:rFonts w:ascii="Calibri" w:hAnsi="Calibri"/>
        </w:rPr>
        <w:t>n estimated</w:t>
      </w:r>
      <w:r w:rsidRPr="009A55F4">
        <w:rPr>
          <w:rFonts w:ascii="Calibri" w:hAnsi="Calibri"/>
        </w:rPr>
        <w:t xml:space="preserve"> savings of about </w:t>
      </w:r>
      <w:r w:rsidR="00146ECF" w:rsidRPr="009A55F4">
        <w:rPr>
          <w:rFonts w:ascii="Calibri" w:hAnsi="Calibri"/>
        </w:rPr>
        <w:t>34.8</w:t>
      </w:r>
      <w:r w:rsidR="00B35B24" w:rsidRPr="009A55F4">
        <w:rPr>
          <w:rFonts w:ascii="Calibri" w:hAnsi="Calibri"/>
        </w:rPr>
        <w:t xml:space="preserve"> minutes</w:t>
      </w:r>
      <w:r w:rsidRPr="009A55F4">
        <w:rPr>
          <w:rFonts w:ascii="Calibri" w:hAnsi="Calibri"/>
        </w:rPr>
        <w:t xml:space="preserve"> per interview.</w:t>
      </w:r>
      <w:r w:rsidRPr="00E95D54">
        <w:rPr>
          <w:rFonts w:ascii="Calibri" w:hAnsi="Calibri"/>
        </w:rPr>
        <w:t xml:space="preserve"> This is likely an overestimate of </w:t>
      </w:r>
      <w:r>
        <w:rPr>
          <w:rFonts w:ascii="Calibri" w:hAnsi="Calibri"/>
        </w:rPr>
        <w:t>the savings as the calls saved are generally shorter (i.e.</w:t>
      </w:r>
      <w:r w:rsidR="00FF15C9">
        <w:rPr>
          <w:rFonts w:ascii="Calibri" w:hAnsi="Calibri"/>
        </w:rPr>
        <w:t>,</w:t>
      </w:r>
      <w:r>
        <w:rPr>
          <w:rFonts w:ascii="Calibri" w:hAnsi="Calibri"/>
        </w:rPr>
        <w:t xml:space="preserve"> not interviews).  </w:t>
      </w:r>
    </w:p>
    <w:p w14:paraId="426C0161" w14:textId="77777777" w:rsidR="00B35B24" w:rsidRDefault="00B35B24" w:rsidP="009935B1">
      <w:pPr>
        <w:rPr>
          <w:rFonts w:ascii="Calibri" w:hAnsi="Calibri"/>
        </w:rPr>
      </w:pPr>
    </w:p>
    <w:p w14:paraId="75FF1C17" w14:textId="62949751" w:rsidR="00146ECF" w:rsidRDefault="009935B1" w:rsidP="009935B1">
      <w:pPr>
        <w:rPr>
          <w:rFonts w:ascii="Calibri" w:hAnsi="Calibri"/>
        </w:rPr>
      </w:pPr>
      <w:r>
        <w:rPr>
          <w:rFonts w:ascii="Calibri" w:hAnsi="Calibri"/>
        </w:rPr>
        <w:t xml:space="preserve">We </w:t>
      </w:r>
      <w:r w:rsidR="00391262">
        <w:rPr>
          <w:rFonts w:ascii="Calibri" w:hAnsi="Calibri"/>
        </w:rPr>
        <w:t xml:space="preserve">also </w:t>
      </w:r>
      <w:r>
        <w:rPr>
          <w:rFonts w:ascii="Calibri" w:hAnsi="Calibri"/>
        </w:rPr>
        <w:t xml:space="preserve">used a regression model approach, where the number of calls of different types is used to predict the hours worked each week for each interviewer, to account for the differences in length of call. </w:t>
      </w:r>
      <w:r w:rsidRPr="009A55F4">
        <w:rPr>
          <w:rFonts w:ascii="Calibri" w:hAnsi="Calibri"/>
        </w:rPr>
        <w:t xml:space="preserve">Estimates from this regression model lead us to predict savings of about </w:t>
      </w:r>
      <w:r w:rsidR="00146ECF" w:rsidRPr="009A55F4">
        <w:rPr>
          <w:rFonts w:ascii="Calibri" w:hAnsi="Calibri"/>
        </w:rPr>
        <w:t>0.8</w:t>
      </w:r>
      <w:r w:rsidRPr="009A55F4">
        <w:rPr>
          <w:rFonts w:ascii="Calibri" w:hAnsi="Calibri"/>
        </w:rPr>
        <w:t xml:space="preserve"> hours per interview under the $60 treatment.</w:t>
      </w:r>
      <w:r>
        <w:rPr>
          <w:rFonts w:ascii="Calibri" w:hAnsi="Calibri"/>
        </w:rPr>
        <w:t xml:space="preserve">  </w:t>
      </w:r>
    </w:p>
    <w:p w14:paraId="3E2F51AB" w14:textId="77777777" w:rsidR="00146ECF" w:rsidRDefault="00146ECF" w:rsidP="009935B1">
      <w:pPr>
        <w:rPr>
          <w:rFonts w:ascii="Calibri" w:hAnsi="Calibri"/>
        </w:rPr>
      </w:pPr>
    </w:p>
    <w:p w14:paraId="4E85ABE8" w14:textId="22650903" w:rsidR="00DE2624" w:rsidRDefault="009935B1">
      <w:pPr>
        <w:rPr>
          <w:rFonts w:ascii="Calibri" w:hAnsi="Calibri"/>
        </w:rPr>
      </w:pPr>
      <w:r>
        <w:rPr>
          <w:rFonts w:ascii="Calibri" w:hAnsi="Calibri"/>
        </w:rPr>
        <w:t>An interviewer hour (excluding recruitment, hiring, and training costs) costs about $35. Therefore, we expect the additional incentive cost of $20 to produce savings between $</w:t>
      </w:r>
      <w:r w:rsidR="00146ECF">
        <w:rPr>
          <w:rFonts w:ascii="Calibri" w:hAnsi="Calibri"/>
        </w:rPr>
        <w:t>20.30</w:t>
      </w:r>
      <w:r>
        <w:rPr>
          <w:rFonts w:ascii="Calibri" w:hAnsi="Calibri"/>
        </w:rPr>
        <w:t xml:space="preserve"> and $</w:t>
      </w:r>
      <w:r w:rsidR="00146ECF">
        <w:rPr>
          <w:rFonts w:ascii="Calibri" w:hAnsi="Calibri"/>
        </w:rPr>
        <w:t>28</w:t>
      </w:r>
      <w:r>
        <w:rPr>
          <w:rFonts w:ascii="Calibri" w:hAnsi="Calibri"/>
        </w:rPr>
        <w:t>.00 of interviewer time per interview.  This is a net savings of between $</w:t>
      </w:r>
      <w:r w:rsidR="00146ECF">
        <w:rPr>
          <w:rFonts w:ascii="Calibri" w:hAnsi="Calibri"/>
        </w:rPr>
        <w:t>0.30</w:t>
      </w:r>
      <w:r>
        <w:rPr>
          <w:rFonts w:ascii="Calibri" w:hAnsi="Calibri"/>
        </w:rPr>
        <w:t xml:space="preserve"> and $</w:t>
      </w:r>
      <w:r w:rsidR="00146ECF">
        <w:rPr>
          <w:rFonts w:ascii="Calibri" w:hAnsi="Calibri"/>
        </w:rPr>
        <w:t>8</w:t>
      </w:r>
      <w:r>
        <w:rPr>
          <w:rFonts w:ascii="Calibri" w:hAnsi="Calibri"/>
        </w:rPr>
        <w:t>.00 after factoring in the additional cost of the higher incentive. These estimates are based on experimental data.  The savings might be higher or lower when interviewers no longer have sample available to work with both treatments ($40 and $60).</w:t>
      </w:r>
      <w:r w:rsidR="003556BB">
        <w:rPr>
          <w:rFonts w:ascii="Calibri" w:hAnsi="Calibri"/>
        </w:rPr>
        <w:t xml:space="preserve"> Overall, the cost savings appear to be minimal, but the incentive does at least pay for itself.</w:t>
      </w:r>
    </w:p>
    <w:p w14:paraId="1917899D" w14:textId="77777777" w:rsidR="00DE2624" w:rsidRDefault="00DE2624">
      <w:pPr>
        <w:rPr>
          <w:rFonts w:ascii="Calibri" w:hAnsi="Calibri"/>
          <w:b/>
        </w:rPr>
      </w:pPr>
    </w:p>
    <w:p w14:paraId="7920BC38" w14:textId="0A93EA10" w:rsidR="00421CBC" w:rsidRPr="00DE2624" w:rsidRDefault="00DE3154" w:rsidP="00DE2624">
      <w:pPr>
        <w:pStyle w:val="ListParagraph"/>
        <w:numPr>
          <w:ilvl w:val="0"/>
          <w:numId w:val="14"/>
        </w:numPr>
        <w:rPr>
          <w:rFonts w:ascii="Calibri" w:hAnsi="Calibri"/>
          <w:b/>
        </w:rPr>
      </w:pPr>
      <w:r w:rsidRPr="00DE2624">
        <w:rPr>
          <w:rFonts w:ascii="Calibri" w:hAnsi="Calibri"/>
          <w:b/>
        </w:rPr>
        <w:t>Assessment of Potential Nonresponse Biases</w:t>
      </w:r>
    </w:p>
    <w:p w14:paraId="77E1A17B" w14:textId="77777777" w:rsidR="00421CBC" w:rsidRDefault="00421CBC" w:rsidP="00A173E3">
      <w:pPr>
        <w:rPr>
          <w:rFonts w:ascii="Calibri" w:hAnsi="Calibri"/>
          <w:b/>
        </w:rPr>
      </w:pPr>
    </w:p>
    <w:p w14:paraId="472EA7B0" w14:textId="254271C3" w:rsidR="00781A0A" w:rsidRPr="005A7764" w:rsidRDefault="00781A0A" w:rsidP="00A173E3">
      <w:pPr>
        <w:rPr>
          <w:rFonts w:ascii="Calibri" w:hAnsi="Calibri"/>
          <w:strike/>
        </w:rPr>
      </w:pPr>
      <w:r>
        <w:rPr>
          <w:rFonts w:ascii="Calibri" w:hAnsi="Calibri"/>
        </w:rPr>
        <w:t xml:space="preserve">In this final section, we assess the impact of the incentive on any potential nonresponse biases. </w:t>
      </w:r>
      <w:r w:rsidRPr="006F30C9">
        <w:rPr>
          <w:rFonts w:ascii="Calibri" w:hAnsi="Calibri"/>
        </w:rPr>
        <w:t>These assessments are an additional leg of the analysis in a total survey error perspective.</w:t>
      </w:r>
      <w:r w:rsidRPr="005A7764">
        <w:rPr>
          <w:rFonts w:ascii="Calibri" w:hAnsi="Calibri"/>
          <w:strike/>
        </w:rPr>
        <w:t xml:space="preserve"> </w:t>
      </w:r>
    </w:p>
    <w:p w14:paraId="2714E746" w14:textId="77777777" w:rsidR="00781A0A" w:rsidRDefault="00781A0A" w:rsidP="00A173E3">
      <w:pPr>
        <w:rPr>
          <w:rFonts w:ascii="Calibri" w:hAnsi="Calibri"/>
        </w:rPr>
      </w:pPr>
    </w:p>
    <w:p w14:paraId="79C5FEC6" w14:textId="7642A944" w:rsidR="00F61DE6" w:rsidRPr="00911FB1" w:rsidRDefault="005A7764" w:rsidP="00A173E3">
      <w:pPr>
        <w:rPr>
          <w:rFonts w:ascii="Calibri" w:hAnsi="Calibri"/>
        </w:rPr>
      </w:pPr>
      <w:r w:rsidRPr="00911FB1">
        <w:rPr>
          <w:rFonts w:ascii="Calibri" w:hAnsi="Calibri"/>
        </w:rPr>
        <w:t>One approach for assessing nonresponse bias involves comparing percentages of the two experimental samples that are in subgroups of key relevance to the substance and mission of the survey</w:t>
      </w:r>
      <w:r w:rsidR="00F61DE6" w:rsidRPr="00911FB1">
        <w:rPr>
          <w:rFonts w:ascii="Calibri" w:hAnsi="Calibri"/>
        </w:rPr>
        <w:t xml:space="preserve">, and/or are hard to reach </w:t>
      </w:r>
      <w:r w:rsidR="0060692C" w:rsidRPr="00911FB1">
        <w:rPr>
          <w:rFonts w:ascii="Calibri" w:hAnsi="Calibri"/>
        </w:rPr>
        <w:t xml:space="preserve">or less likely to agree to an interview, </w:t>
      </w:r>
      <w:r w:rsidR="00F61DE6" w:rsidRPr="00911FB1">
        <w:rPr>
          <w:rFonts w:ascii="Calibri" w:hAnsi="Calibri"/>
        </w:rPr>
        <w:t>as suggested by kno</w:t>
      </w:r>
      <w:r w:rsidR="00614E76" w:rsidRPr="00911FB1">
        <w:rPr>
          <w:rFonts w:ascii="Calibri" w:hAnsi="Calibri"/>
        </w:rPr>
        <w:t>wledge gained from</w:t>
      </w:r>
      <w:r w:rsidR="00F61DE6" w:rsidRPr="00911FB1">
        <w:rPr>
          <w:rFonts w:ascii="Calibri" w:hAnsi="Calibri"/>
        </w:rPr>
        <w:t xml:space="preserve"> fieldwork experience</w:t>
      </w:r>
      <w:r w:rsidRPr="00911FB1">
        <w:rPr>
          <w:rFonts w:ascii="Calibri" w:hAnsi="Calibri"/>
        </w:rPr>
        <w:t xml:space="preserve">.  </w:t>
      </w:r>
      <w:r w:rsidR="0060692C" w:rsidRPr="00911FB1">
        <w:rPr>
          <w:rFonts w:ascii="Calibri" w:hAnsi="Calibri"/>
        </w:rPr>
        <w:t>For example, the percent with a four-year college degree might be increased with a higher incentive as this group is likely to have higher incomes and may be less likely to respond for lower incentive amounts</w:t>
      </w:r>
      <w:r w:rsidR="00614E76" w:rsidRPr="00911FB1">
        <w:rPr>
          <w:rFonts w:ascii="Calibri" w:hAnsi="Calibri"/>
        </w:rPr>
        <w:t>.</w:t>
      </w:r>
      <w:r w:rsidR="0060692C" w:rsidRPr="00911FB1">
        <w:rPr>
          <w:rFonts w:ascii="Calibri" w:hAnsi="Calibri"/>
        </w:rPr>
        <w:t xml:space="preserve"> </w:t>
      </w:r>
      <w:r w:rsidRPr="00911FB1">
        <w:rPr>
          <w:rFonts w:ascii="Calibri" w:hAnsi="Calibri"/>
        </w:rPr>
        <w:t xml:space="preserve">Admittedly this differs from an approach that would compare </w:t>
      </w:r>
      <w:r w:rsidR="00F61DE6" w:rsidRPr="00911FB1">
        <w:rPr>
          <w:rFonts w:ascii="Calibri" w:hAnsi="Calibri"/>
        </w:rPr>
        <w:t xml:space="preserve">these </w:t>
      </w:r>
      <w:r w:rsidRPr="00911FB1">
        <w:rPr>
          <w:rFonts w:ascii="Calibri" w:hAnsi="Calibri"/>
        </w:rPr>
        <w:t>percentages to their levels in the population</w:t>
      </w:r>
      <w:r w:rsidR="0060692C" w:rsidRPr="00911FB1">
        <w:rPr>
          <w:rFonts w:ascii="Calibri" w:hAnsi="Calibri"/>
        </w:rPr>
        <w:t>, to see which group comes closer</w:t>
      </w:r>
      <w:r w:rsidRPr="00911FB1">
        <w:rPr>
          <w:rFonts w:ascii="Calibri" w:hAnsi="Calibri"/>
        </w:rPr>
        <w:t xml:space="preserve">.  </w:t>
      </w:r>
      <w:r w:rsidR="00F61DE6" w:rsidRPr="00911FB1">
        <w:rPr>
          <w:rFonts w:ascii="Calibri" w:hAnsi="Calibri"/>
        </w:rPr>
        <w:t>However if enough evidence is found that the incentive amount results in significantly different percentages in the key categories, such comparison (with actual population levels) could then be pursued</w:t>
      </w:r>
      <w:r w:rsidR="00614E76" w:rsidRPr="00911FB1">
        <w:rPr>
          <w:rFonts w:ascii="Calibri" w:hAnsi="Calibri"/>
        </w:rPr>
        <w:t>, where possible</w:t>
      </w:r>
      <w:r w:rsidR="00F61DE6" w:rsidRPr="00911FB1">
        <w:rPr>
          <w:rFonts w:ascii="Calibri" w:hAnsi="Calibri"/>
        </w:rPr>
        <w:t>.</w:t>
      </w:r>
    </w:p>
    <w:p w14:paraId="6ED24FAD" w14:textId="77777777" w:rsidR="0060692C" w:rsidRPr="00911FB1" w:rsidRDefault="0060692C" w:rsidP="00A173E3">
      <w:pPr>
        <w:rPr>
          <w:rFonts w:ascii="Calibri" w:hAnsi="Calibri"/>
        </w:rPr>
      </w:pPr>
    </w:p>
    <w:p w14:paraId="4A946CC9" w14:textId="29498FBF" w:rsidR="0060692C" w:rsidRDefault="00590962" w:rsidP="00A173E3">
      <w:pPr>
        <w:rPr>
          <w:rFonts w:ascii="Calibri" w:hAnsi="Calibri"/>
        </w:rPr>
      </w:pPr>
      <w:r w:rsidRPr="00911FB1">
        <w:rPr>
          <w:rFonts w:ascii="Calibri" w:hAnsi="Calibri"/>
        </w:rPr>
        <w:t xml:space="preserve">Table </w:t>
      </w:r>
      <w:r w:rsidR="005A7764" w:rsidRPr="00911FB1">
        <w:rPr>
          <w:rFonts w:ascii="Calibri" w:hAnsi="Calibri"/>
        </w:rPr>
        <w:t>8</w:t>
      </w:r>
      <w:r w:rsidR="0071760A" w:rsidRPr="00911FB1">
        <w:rPr>
          <w:rFonts w:ascii="Calibri" w:hAnsi="Calibri"/>
        </w:rPr>
        <w:t xml:space="preserve"> </w:t>
      </w:r>
      <w:r w:rsidRPr="00911FB1">
        <w:rPr>
          <w:rFonts w:ascii="Calibri" w:hAnsi="Calibri"/>
        </w:rPr>
        <w:t xml:space="preserve">presents </w:t>
      </w:r>
      <w:r w:rsidR="0060692C" w:rsidRPr="00911FB1">
        <w:rPr>
          <w:rFonts w:ascii="Calibri" w:hAnsi="Calibri"/>
        </w:rPr>
        <w:t>these percentages</w:t>
      </w:r>
      <w:r w:rsidR="006F30C9" w:rsidRPr="00911FB1">
        <w:rPr>
          <w:rFonts w:ascii="Calibri" w:hAnsi="Calibri"/>
        </w:rPr>
        <w:t>, or “key estimates”,</w:t>
      </w:r>
      <w:r w:rsidR="0060692C" w:rsidRPr="00911FB1">
        <w:rPr>
          <w:rFonts w:ascii="Calibri" w:hAnsi="Calibri"/>
        </w:rPr>
        <w:t xml:space="preserve"> </w:t>
      </w:r>
      <w:r w:rsidRPr="00911FB1">
        <w:rPr>
          <w:rFonts w:ascii="Calibri" w:hAnsi="Calibri"/>
        </w:rPr>
        <w:t>for female</w:t>
      </w:r>
      <w:r w:rsidR="00506058" w:rsidRPr="00911FB1">
        <w:rPr>
          <w:rFonts w:ascii="Calibri" w:hAnsi="Calibri"/>
        </w:rPr>
        <w:t xml:space="preserve"> </w:t>
      </w:r>
      <w:r w:rsidR="00E411EB" w:rsidRPr="00911FB1">
        <w:rPr>
          <w:rFonts w:ascii="Calibri" w:hAnsi="Calibri"/>
        </w:rPr>
        <w:t xml:space="preserve">and male </w:t>
      </w:r>
      <w:r w:rsidR="00506058" w:rsidRPr="00911FB1">
        <w:rPr>
          <w:rFonts w:ascii="Calibri" w:hAnsi="Calibri"/>
        </w:rPr>
        <w:t>respondents</w:t>
      </w:r>
      <w:r w:rsidR="0060692C" w:rsidRPr="00911FB1">
        <w:rPr>
          <w:rFonts w:ascii="Calibri" w:hAnsi="Calibri"/>
        </w:rPr>
        <w:t xml:space="preserve"> aged 15-44.</w:t>
      </w:r>
    </w:p>
    <w:p w14:paraId="12B61863" w14:textId="77777777" w:rsidR="0060692C" w:rsidRPr="0060692C" w:rsidRDefault="0060692C" w:rsidP="00A173E3">
      <w:pPr>
        <w:rPr>
          <w:rFonts w:ascii="Calibri" w:hAnsi="Calibri"/>
          <w:strike/>
        </w:rPr>
      </w:pPr>
    </w:p>
    <w:p w14:paraId="73863420" w14:textId="01F1F015" w:rsidR="00590962" w:rsidRPr="00781A0A" w:rsidRDefault="00590962" w:rsidP="00A173E3">
      <w:pPr>
        <w:rPr>
          <w:rFonts w:ascii="Calibri" w:hAnsi="Calibri"/>
        </w:rPr>
      </w:pPr>
      <w:r>
        <w:rPr>
          <w:rFonts w:ascii="Calibri" w:hAnsi="Calibri"/>
        </w:rPr>
        <w:t xml:space="preserve">The last column in the table is a p-value for the test that has the null hypothesis of no difference in the means. </w:t>
      </w:r>
    </w:p>
    <w:p w14:paraId="27ECEC36" w14:textId="3EFAEC7A" w:rsidR="00B24EDE" w:rsidRDefault="00B24EDE">
      <w:pPr>
        <w:rPr>
          <w:rFonts w:ascii="Calibri" w:hAnsi="Calibri"/>
          <w:b/>
        </w:rPr>
      </w:pPr>
      <w:r>
        <w:rPr>
          <w:rFonts w:ascii="Calibri" w:hAnsi="Calibri"/>
          <w:b/>
        </w:rPr>
        <w:br w:type="page"/>
      </w:r>
    </w:p>
    <w:tbl>
      <w:tblPr>
        <w:tblW w:w="9265" w:type="dxa"/>
        <w:tblLook w:val="04A0" w:firstRow="1" w:lastRow="0" w:firstColumn="1" w:lastColumn="0" w:noHBand="0" w:noVBand="1"/>
      </w:tblPr>
      <w:tblGrid>
        <w:gridCol w:w="5238"/>
        <w:gridCol w:w="717"/>
        <w:gridCol w:w="947"/>
        <w:gridCol w:w="717"/>
        <w:gridCol w:w="924"/>
        <w:gridCol w:w="23"/>
        <w:gridCol w:w="699"/>
      </w:tblGrid>
      <w:tr w:rsidR="009465CD" w14:paraId="4B6BFA93" w14:textId="77777777" w:rsidTr="009A55F4">
        <w:trPr>
          <w:trHeight w:val="315"/>
        </w:trPr>
        <w:tc>
          <w:tcPr>
            <w:tcW w:w="9265" w:type="dxa"/>
            <w:gridSpan w:val="7"/>
            <w:tcBorders>
              <w:top w:val="single" w:sz="12" w:space="0" w:color="auto"/>
              <w:left w:val="single" w:sz="12" w:space="0" w:color="auto"/>
              <w:bottom w:val="single" w:sz="4" w:space="0" w:color="auto"/>
              <w:right w:val="single" w:sz="12" w:space="0" w:color="000000"/>
            </w:tcBorders>
            <w:shd w:val="clear" w:color="auto" w:fill="auto"/>
            <w:noWrap/>
            <w:vAlign w:val="bottom"/>
            <w:hideMark/>
          </w:tcPr>
          <w:p w14:paraId="4F1A9FA9" w14:textId="257D379E" w:rsidR="009465CD" w:rsidRDefault="009465CD" w:rsidP="005A7764">
            <w:pPr>
              <w:rPr>
                <w:rFonts w:ascii="Calibri" w:hAnsi="Calibri"/>
                <w:b/>
                <w:bCs/>
                <w:color w:val="000000"/>
                <w:sz w:val="22"/>
                <w:szCs w:val="22"/>
              </w:rPr>
            </w:pPr>
            <w:r>
              <w:rPr>
                <w:rFonts w:ascii="Calibri" w:hAnsi="Calibri"/>
                <w:b/>
                <w:bCs/>
                <w:color w:val="000000"/>
                <w:sz w:val="22"/>
                <w:szCs w:val="22"/>
              </w:rPr>
              <w:lastRenderedPageBreak/>
              <w:t xml:space="preserve">Table </w:t>
            </w:r>
            <w:r w:rsidR="005A7764">
              <w:rPr>
                <w:rFonts w:ascii="Calibri" w:hAnsi="Calibri"/>
                <w:b/>
                <w:bCs/>
                <w:color w:val="000000"/>
                <w:sz w:val="22"/>
                <w:szCs w:val="22"/>
              </w:rPr>
              <w:t>8</w:t>
            </w:r>
            <w:r>
              <w:rPr>
                <w:rFonts w:ascii="Calibri" w:hAnsi="Calibri"/>
                <w:b/>
                <w:bCs/>
                <w:color w:val="000000"/>
                <w:sz w:val="22"/>
                <w:szCs w:val="22"/>
              </w:rPr>
              <w:t xml:space="preserve">: Selected Key Statistics </w:t>
            </w:r>
            <w:r w:rsidR="00D5050F">
              <w:rPr>
                <w:rFonts w:ascii="Calibri" w:hAnsi="Calibri"/>
                <w:b/>
                <w:bCs/>
                <w:color w:val="000000"/>
                <w:sz w:val="22"/>
                <w:szCs w:val="22"/>
              </w:rPr>
              <w:t>by Sex</w:t>
            </w:r>
          </w:p>
        </w:tc>
      </w:tr>
      <w:tr w:rsidR="009465CD" w14:paraId="009D7DA5"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0878ADA0" w14:textId="77777777" w:rsidR="009465CD" w:rsidRDefault="009465CD">
            <w:pPr>
              <w:rPr>
                <w:rFonts w:ascii="Calibri" w:hAnsi="Calibri"/>
                <w:color w:val="000000"/>
                <w:sz w:val="22"/>
                <w:szCs w:val="22"/>
              </w:rPr>
            </w:pPr>
            <w:r>
              <w:rPr>
                <w:rFonts w:ascii="Calibri" w:hAnsi="Calibri"/>
                <w:color w:val="000000"/>
                <w:sz w:val="22"/>
                <w:szCs w:val="22"/>
              </w:rPr>
              <w:t>Variable Name</w:t>
            </w:r>
          </w:p>
        </w:tc>
        <w:tc>
          <w:tcPr>
            <w:tcW w:w="166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A98CE6" w14:textId="77777777" w:rsidR="009465CD" w:rsidRDefault="009465CD">
            <w:pPr>
              <w:jc w:val="center"/>
              <w:rPr>
                <w:rFonts w:ascii="Calibri" w:hAnsi="Calibri"/>
                <w:color w:val="000000"/>
                <w:sz w:val="22"/>
                <w:szCs w:val="22"/>
              </w:rPr>
            </w:pPr>
            <w:r>
              <w:rPr>
                <w:rFonts w:ascii="Calibri" w:hAnsi="Calibri"/>
                <w:color w:val="000000"/>
                <w:sz w:val="22"/>
                <w:szCs w:val="22"/>
              </w:rPr>
              <w:t xml:space="preserve">$40 </w:t>
            </w:r>
          </w:p>
        </w:tc>
        <w:tc>
          <w:tcPr>
            <w:tcW w:w="166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8F08C1" w14:textId="77777777" w:rsidR="009465CD" w:rsidRDefault="009465CD">
            <w:pPr>
              <w:jc w:val="center"/>
              <w:rPr>
                <w:rFonts w:ascii="Calibri" w:hAnsi="Calibri"/>
                <w:color w:val="000000"/>
                <w:sz w:val="22"/>
                <w:szCs w:val="22"/>
              </w:rPr>
            </w:pPr>
            <w:r>
              <w:rPr>
                <w:rFonts w:ascii="Calibri" w:hAnsi="Calibri"/>
                <w:color w:val="000000"/>
                <w:sz w:val="22"/>
                <w:szCs w:val="22"/>
              </w:rPr>
              <w:t xml:space="preserve">$60 </w:t>
            </w:r>
          </w:p>
        </w:tc>
        <w:tc>
          <w:tcPr>
            <w:tcW w:w="699" w:type="dxa"/>
            <w:tcBorders>
              <w:top w:val="nil"/>
              <w:left w:val="nil"/>
              <w:bottom w:val="single" w:sz="4" w:space="0" w:color="auto"/>
              <w:right w:val="single" w:sz="12" w:space="0" w:color="auto"/>
            </w:tcBorders>
            <w:shd w:val="clear" w:color="auto" w:fill="auto"/>
            <w:noWrap/>
            <w:vAlign w:val="center"/>
            <w:hideMark/>
          </w:tcPr>
          <w:p w14:paraId="794FAC9A" w14:textId="77777777" w:rsidR="009465CD" w:rsidRDefault="009465CD">
            <w:pPr>
              <w:jc w:val="center"/>
              <w:rPr>
                <w:rFonts w:ascii="Calibri" w:hAnsi="Calibri"/>
                <w:color w:val="000000"/>
                <w:sz w:val="22"/>
                <w:szCs w:val="22"/>
              </w:rPr>
            </w:pPr>
            <w:r>
              <w:rPr>
                <w:rFonts w:ascii="Calibri" w:hAnsi="Calibri"/>
                <w:color w:val="000000"/>
                <w:sz w:val="22"/>
                <w:szCs w:val="22"/>
              </w:rPr>
              <w:t> </w:t>
            </w:r>
          </w:p>
        </w:tc>
      </w:tr>
      <w:tr w:rsidR="009465CD" w14:paraId="0586D0B7"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34E9D36C" w14:textId="77777777" w:rsidR="009465CD" w:rsidRDefault="009465CD">
            <w:pPr>
              <w:rPr>
                <w:rFonts w:ascii="Calibri" w:hAnsi="Calibri"/>
                <w:color w:val="000000"/>
                <w:sz w:val="22"/>
                <w:szCs w:val="22"/>
              </w:rPr>
            </w:pPr>
            <w:r>
              <w:rPr>
                <w:rFonts w:ascii="Calibri" w:hAnsi="Calibri"/>
                <w:color w:val="000000"/>
                <w:sz w:val="22"/>
                <w:szCs w:val="22"/>
              </w:rPr>
              <w:t> </w:t>
            </w:r>
          </w:p>
        </w:tc>
        <w:tc>
          <w:tcPr>
            <w:tcW w:w="717" w:type="dxa"/>
            <w:tcBorders>
              <w:top w:val="nil"/>
              <w:left w:val="nil"/>
              <w:bottom w:val="single" w:sz="4" w:space="0" w:color="auto"/>
              <w:right w:val="single" w:sz="4" w:space="0" w:color="auto"/>
            </w:tcBorders>
            <w:shd w:val="clear" w:color="auto" w:fill="auto"/>
            <w:noWrap/>
            <w:vAlign w:val="center"/>
            <w:hideMark/>
          </w:tcPr>
          <w:p w14:paraId="09609DB9" w14:textId="77777777" w:rsidR="009465CD" w:rsidRDefault="009465CD">
            <w:pPr>
              <w:jc w:val="center"/>
              <w:rPr>
                <w:rFonts w:ascii="Calibri" w:hAnsi="Calibri"/>
                <w:color w:val="000000"/>
                <w:sz w:val="22"/>
                <w:szCs w:val="22"/>
              </w:rPr>
            </w:pPr>
            <w:r>
              <w:rPr>
                <w:rFonts w:ascii="Calibri" w:hAnsi="Calibri"/>
                <w:color w:val="000000"/>
                <w:sz w:val="22"/>
                <w:szCs w:val="22"/>
              </w:rPr>
              <w:t>N</w:t>
            </w:r>
          </w:p>
        </w:tc>
        <w:tc>
          <w:tcPr>
            <w:tcW w:w="947" w:type="dxa"/>
            <w:tcBorders>
              <w:top w:val="nil"/>
              <w:left w:val="nil"/>
              <w:bottom w:val="single" w:sz="4" w:space="0" w:color="auto"/>
              <w:right w:val="single" w:sz="4" w:space="0" w:color="auto"/>
            </w:tcBorders>
            <w:shd w:val="clear" w:color="auto" w:fill="auto"/>
            <w:noWrap/>
            <w:vAlign w:val="center"/>
            <w:hideMark/>
          </w:tcPr>
          <w:p w14:paraId="5A8F65C2" w14:textId="77777777" w:rsidR="009465CD" w:rsidRDefault="009465CD">
            <w:pPr>
              <w:jc w:val="center"/>
              <w:rPr>
                <w:rFonts w:ascii="Calibri" w:hAnsi="Calibri"/>
                <w:color w:val="000000"/>
                <w:sz w:val="22"/>
                <w:szCs w:val="22"/>
              </w:rPr>
            </w:pPr>
            <w:r>
              <w:rPr>
                <w:rFonts w:ascii="Calibri" w:hAnsi="Calibri"/>
                <w:color w:val="000000"/>
                <w:sz w:val="22"/>
                <w:szCs w:val="22"/>
              </w:rPr>
              <w:t>Statistic</w:t>
            </w:r>
          </w:p>
        </w:tc>
        <w:tc>
          <w:tcPr>
            <w:tcW w:w="717" w:type="dxa"/>
            <w:tcBorders>
              <w:top w:val="nil"/>
              <w:left w:val="nil"/>
              <w:bottom w:val="single" w:sz="4" w:space="0" w:color="auto"/>
              <w:right w:val="single" w:sz="4" w:space="0" w:color="auto"/>
            </w:tcBorders>
            <w:shd w:val="clear" w:color="auto" w:fill="auto"/>
            <w:noWrap/>
            <w:vAlign w:val="center"/>
            <w:hideMark/>
          </w:tcPr>
          <w:p w14:paraId="4A3FB7BA" w14:textId="77777777" w:rsidR="009465CD" w:rsidRDefault="009465CD">
            <w:pPr>
              <w:jc w:val="center"/>
              <w:rPr>
                <w:rFonts w:ascii="Calibri" w:hAnsi="Calibri"/>
                <w:color w:val="000000"/>
                <w:sz w:val="22"/>
                <w:szCs w:val="22"/>
              </w:rPr>
            </w:pPr>
            <w:r>
              <w:rPr>
                <w:rFonts w:ascii="Calibri" w:hAnsi="Calibri"/>
                <w:color w:val="000000"/>
                <w:sz w:val="22"/>
                <w:szCs w:val="22"/>
              </w:rPr>
              <w:t>N</w:t>
            </w:r>
          </w:p>
        </w:tc>
        <w:tc>
          <w:tcPr>
            <w:tcW w:w="947" w:type="dxa"/>
            <w:gridSpan w:val="2"/>
            <w:tcBorders>
              <w:top w:val="nil"/>
              <w:left w:val="nil"/>
              <w:bottom w:val="single" w:sz="4" w:space="0" w:color="auto"/>
              <w:right w:val="single" w:sz="4" w:space="0" w:color="auto"/>
            </w:tcBorders>
            <w:shd w:val="clear" w:color="auto" w:fill="auto"/>
            <w:noWrap/>
            <w:vAlign w:val="center"/>
            <w:hideMark/>
          </w:tcPr>
          <w:p w14:paraId="0978407A" w14:textId="77777777" w:rsidR="009465CD" w:rsidRDefault="009465CD">
            <w:pPr>
              <w:jc w:val="center"/>
              <w:rPr>
                <w:rFonts w:ascii="Calibri" w:hAnsi="Calibri"/>
                <w:color w:val="000000"/>
                <w:sz w:val="22"/>
                <w:szCs w:val="22"/>
              </w:rPr>
            </w:pPr>
            <w:r>
              <w:rPr>
                <w:rFonts w:ascii="Calibri" w:hAnsi="Calibri"/>
                <w:color w:val="000000"/>
                <w:sz w:val="22"/>
                <w:szCs w:val="22"/>
              </w:rPr>
              <w:t>Statistic</w:t>
            </w:r>
          </w:p>
        </w:tc>
        <w:tc>
          <w:tcPr>
            <w:tcW w:w="699" w:type="dxa"/>
            <w:tcBorders>
              <w:top w:val="nil"/>
              <w:left w:val="nil"/>
              <w:bottom w:val="single" w:sz="4" w:space="0" w:color="auto"/>
              <w:right w:val="single" w:sz="12" w:space="0" w:color="auto"/>
            </w:tcBorders>
            <w:shd w:val="clear" w:color="auto" w:fill="auto"/>
            <w:noWrap/>
            <w:vAlign w:val="center"/>
            <w:hideMark/>
          </w:tcPr>
          <w:p w14:paraId="654E3CFE" w14:textId="1E39F645" w:rsidR="009465CD" w:rsidRPr="00911FB1" w:rsidRDefault="00911FB1">
            <w:pPr>
              <w:jc w:val="center"/>
              <w:rPr>
                <w:rFonts w:ascii="Calibri" w:hAnsi="Calibri"/>
                <w:color w:val="000000"/>
                <w:sz w:val="22"/>
                <w:szCs w:val="22"/>
              </w:rPr>
            </w:pPr>
            <w:r w:rsidRPr="00911FB1">
              <w:rPr>
                <w:rFonts w:ascii="Calibri" w:hAnsi="Calibri"/>
                <w:i/>
                <w:iCs/>
                <w:color w:val="000000"/>
                <w:sz w:val="22"/>
                <w:szCs w:val="22"/>
              </w:rPr>
              <w:t>p-value</w:t>
            </w:r>
          </w:p>
        </w:tc>
      </w:tr>
      <w:tr w:rsidR="009465CD" w14:paraId="7D54C9D3" w14:textId="77777777" w:rsidTr="009A55F4">
        <w:trPr>
          <w:trHeight w:val="300"/>
        </w:trPr>
        <w:tc>
          <w:tcPr>
            <w:tcW w:w="9265" w:type="dxa"/>
            <w:gridSpan w:val="7"/>
            <w:tcBorders>
              <w:top w:val="single" w:sz="4" w:space="0" w:color="auto"/>
              <w:left w:val="single" w:sz="12" w:space="0" w:color="auto"/>
              <w:bottom w:val="single" w:sz="4" w:space="0" w:color="auto"/>
              <w:right w:val="single" w:sz="12" w:space="0" w:color="000000"/>
            </w:tcBorders>
            <w:shd w:val="clear" w:color="auto" w:fill="auto"/>
            <w:noWrap/>
            <w:vAlign w:val="bottom"/>
            <w:hideMark/>
          </w:tcPr>
          <w:p w14:paraId="2001BA4C" w14:textId="3270D7B0" w:rsidR="009465CD" w:rsidRDefault="009465CD">
            <w:pPr>
              <w:rPr>
                <w:rFonts w:ascii="Calibri" w:hAnsi="Calibri"/>
                <w:b/>
                <w:bCs/>
                <w:color w:val="000000"/>
                <w:sz w:val="22"/>
                <w:szCs w:val="22"/>
              </w:rPr>
            </w:pPr>
            <w:r>
              <w:rPr>
                <w:rFonts w:ascii="Calibri" w:hAnsi="Calibri"/>
                <w:b/>
                <w:bCs/>
                <w:color w:val="000000"/>
                <w:sz w:val="22"/>
                <w:szCs w:val="22"/>
              </w:rPr>
              <w:t>Females</w:t>
            </w:r>
          </w:p>
        </w:tc>
      </w:tr>
      <w:tr w:rsidR="009465CD" w14:paraId="2B819247"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38CFAA26" w14:textId="77777777" w:rsidR="009465CD" w:rsidRDefault="009465CD">
            <w:pPr>
              <w:ind w:firstLineChars="200" w:firstLine="440"/>
              <w:rPr>
                <w:rFonts w:ascii="Calibri" w:hAnsi="Calibri"/>
                <w:color w:val="000000"/>
                <w:sz w:val="22"/>
                <w:szCs w:val="22"/>
              </w:rPr>
            </w:pPr>
            <w:r>
              <w:rPr>
                <w:rFonts w:ascii="Calibri" w:hAnsi="Calibri"/>
                <w:color w:val="000000"/>
                <w:sz w:val="22"/>
                <w:szCs w:val="22"/>
              </w:rPr>
              <w:t>Percent with 4-yr college degree</w:t>
            </w:r>
          </w:p>
        </w:tc>
        <w:tc>
          <w:tcPr>
            <w:tcW w:w="717" w:type="dxa"/>
            <w:tcBorders>
              <w:top w:val="nil"/>
              <w:left w:val="nil"/>
              <w:bottom w:val="single" w:sz="4" w:space="0" w:color="auto"/>
              <w:right w:val="single" w:sz="4" w:space="0" w:color="auto"/>
            </w:tcBorders>
            <w:shd w:val="clear" w:color="auto" w:fill="auto"/>
            <w:noWrap/>
            <w:vAlign w:val="center"/>
            <w:hideMark/>
          </w:tcPr>
          <w:p w14:paraId="11BF4F72" w14:textId="77777777" w:rsidR="009465CD" w:rsidRDefault="009465CD">
            <w:pPr>
              <w:jc w:val="center"/>
              <w:rPr>
                <w:rFonts w:ascii="Calibri" w:hAnsi="Calibri"/>
                <w:color w:val="000000"/>
                <w:sz w:val="22"/>
                <w:szCs w:val="22"/>
              </w:rPr>
            </w:pPr>
            <w:r>
              <w:rPr>
                <w:rFonts w:ascii="Calibri" w:hAnsi="Calibri"/>
                <w:color w:val="000000"/>
                <w:sz w:val="22"/>
                <w:szCs w:val="22"/>
              </w:rPr>
              <w:t>1,338</w:t>
            </w:r>
          </w:p>
        </w:tc>
        <w:tc>
          <w:tcPr>
            <w:tcW w:w="947" w:type="dxa"/>
            <w:tcBorders>
              <w:top w:val="nil"/>
              <w:left w:val="nil"/>
              <w:bottom w:val="single" w:sz="4" w:space="0" w:color="auto"/>
              <w:right w:val="single" w:sz="4" w:space="0" w:color="auto"/>
            </w:tcBorders>
            <w:shd w:val="clear" w:color="auto" w:fill="auto"/>
            <w:noWrap/>
            <w:vAlign w:val="center"/>
            <w:hideMark/>
          </w:tcPr>
          <w:p w14:paraId="73578182" w14:textId="77777777" w:rsidR="009465CD" w:rsidRDefault="009465CD">
            <w:pPr>
              <w:jc w:val="center"/>
              <w:rPr>
                <w:rFonts w:ascii="Calibri" w:hAnsi="Calibri"/>
                <w:color w:val="000000"/>
                <w:sz w:val="22"/>
                <w:szCs w:val="22"/>
              </w:rPr>
            </w:pPr>
            <w:r>
              <w:rPr>
                <w:rFonts w:ascii="Calibri" w:hAnsi="Calibri"/>
                <w:color w:val="000000"/>
                <w:sz w:val="22"/>
                <w:szCs w:val="22"/>
              </w:rPr>
              <w:t>33%</w:t>
            </w:r>
          </w:p>
        </w:tc>
        <w:tc>
          <w:tcPr>
            <w:tcW w:w="717" w:type="dxa"/>
            <w:tcBorders>
              <w:top w:val="nil"/>
              <w:left w:val="nil"/>
              <w:bottom w:val="single" w:sz="4" w:space="0" w:color="auto"/>
              <w:right w:val="single" w:sz="4" w:space="0" w:color="auto"/>
            </w:tcBorders>
            <w:shd w:val="clear" w:color="auto" w:fill="auto"/>
            <w:noWrap/>
            <w:vAlign w:val="center"/>
            <w:hideMark/>
          </w:tcPr>
          <w:p w14:paraId="7F1041CC" w14:textId="77777777" w:rsidR="009465CD" w:rsidRDefault="009465CD">
            <w:pPr>
              <w:jc w:val="center"/>
              <w:rPr>
                <w:rFonts w:ascii="Calibri" w:hAnsi="Calibri"/>
                <w:color w:val="000000"/>
                <w:sz w:val="22"/>
                <w:szCs w:val="22"/>
              </w:rPr>
            </w:pPr>
            <w:r>
              <w:rPr>
                <w:rFonts w:ascii="Calibri" w:hAnsi="Calibri"/>
                <w:color w:val="000000"/>
                <w:sz w:val="22"/>
                <w:szCs w:val="22"/>
              </w:rPr>
              <w:t>1,501</w:t>
            </w:r>
          </w:p>
        </w:tc>
        <w:tc>
          <w:tcPr>
            <w:tcW w:w="947" w:type="dxa"/>
            <w:gridSpan w:val="2"/>
            <w:tcBorders>
              <w:top w:val="nil"/>
              <w:left w:val="nil"/>
              <w:bottom w:val="single" w:sz="4" w:space="0" w:color="auto"/>
              <w:right w:val="single" w:sz="4" w:space="0" w:color="auto"/>
            </w:tcBorders>
            <w:shd w:val="clear" w:color="auto" w:fill="auto"/>
            <w:noWrap/>
            <w:vAlign w:val="center"/>
            <w:hideMark/>
          </w:tcPr>
          <w:p w14:paraId="2DB92CC4" w14:textId="77777777" w:rsidR="009465CD" w:rsidRDefault="009465CD">
            <w:pPr>
              <w:jc w:val="center"/>
              <w:rPr>
                <w:rFonts w:ascii="Calibri" w:hAnsi="Calibri"/>
                <w:color w:val="000000"/>
                <w:sz w:val="22"/>
                <w:szCs w:val="22"/>
              </w:rPr>
            </w:pPr>
            <w:r>
              <w:rPr>
                <w:rFonts w:ascii="Calibri" w:hAnsi="Calibri"/>
                <w:color w:val="000000"/>
                <w:sz w:val="22"/>
                <w:szCs w:val="22"/>
              </w:rPr>
              <w:t>30%</w:t>
            </w:r>
          </w:p>
        </w:tc>
        <w:tc>
          <w:tcPr>
            <w:tcW w:w="699" w:type="dxa"/>
            <w:tcBorders>
              <w:top w:val="nil"/>
              <w:left w:val="nil"/>
              <w:bottom w:val="single" w:sz="4" w:space="0" w:color="auto"/>
              <w:right w:val="single" w:sz="12" w:space="0" w:color="auto"/>
            </w:tcBorders>
            <w:shd w:val="clear" w:color="auto" w:fill="auto"/>
            <w:noWrap/>
            <w:vAlign w:val="center"/>
            <w:hideMark/>
          </w:tcPr>
          <w:p w14:paraId="33F72635" w14:textId="77777777" w:rsidR="009465CD" w:rsidRDefault="009465CD">
            <w:pPr>
              <w:jc w:val="center"/>
              <w:rPr>
                <w:rFonts w:ascii="Calibri" w:hAnsi="Calibri"/>
                <w:color w:val="000000"/>
                <w:sz w:val="22"/>
                <w:szCs w:val="22"/>
              </w:rPr>
            </w:pPr>
            <w:r>
              <w:rPr>
                <w:rFonts w:ascii="Calibri" w:hAnsi="Calibri"/>
                <w:color w:val="000000"/>
                <w:sz w:val="22"/>
                <w:szCs w:val="22"/>
              </w:rPr>
              <w:t>0.30</w:t>
            </w:r>
          </w:p>
        </w:tc>
      </w:tr>
      <w:tr w:rsidR="00512DB9" w14:paraId="4AB10F67"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51F338E1" w14:textId="77777777" w:rsidR="00512DB9" w:rsidRDefault="00512DB9" w:rsidP="00512DB9">
            <w:pPr>
              <w:ind w:firstLineChars="200" w:firstLine="440"/>
              <w:rPr>
                <w:rFonts w:ascii="Calibri" w:hAnsi="Calibri"/>
                <w:color w:val="000000"/>
                <w:sz w:val="22"/>
                <w:szCs w:val="22"/>
              </w:rPr>
            </w:pPr>
            <w:r>
              <w:rPr>
                <w:rFonts w:ascii="Calibri" w:hAnsi="Calibri"/>
                <w:color w:val="000000"/>
                <w:sz w:val="22"/>
                <w:szCs w:val="22"/>
              </w:rPr>
              <w:t>Percent with income $100,000+</w:t>
            </w:r>
          </w:p>
        </w:tc>
        <w:tc>
          <w:tcPr>
            <w:tcW w:w="717" w:type="dxa"/>
            <w:tcBorders>
              <w:top w:val="nil"/>
              <w:left w:val="nil"/>
              <w:bottom w:val="single" w:sz="4" w:space="0" w:color="auto"/>
              <w:right w:val="single" w:sz="4" w:space="0" w:color="auto"/>
            </w:tcBorders>
            <w:shd w:val="clear" w:color="auto" w:fill="auto"/>
            <w:noWrap/>
            <w:vAlign w:val="center"/>
            <w:hideMark/>
          </w:tcPr>
          <w:p w14:paraId="7AD9DFFC" w14:textId="77777777" w:rsidR="00512DB9" w:rsidRDefault="00512DB9" w:rsidP="00512DB9">
            <w:pPr>
              <w:jc w:val="center"/>
              <w:rPr>
                <w:rFonts w:ascii="Calibri" w:hAnsi="Calibri"/>
                <w:color w:val="000000"/>
                <w:sz w:val="22"/>
                <w:szCs w:val="22"/>
              </w:rPr>
            </w:pPr>
            <w:r>
              <w:rPr>
                <w:rFonts w:ascii="Calibri" w:hAnsi="Calibri"/>
                <w:color w:val="000000"/>
                <w:sz w:val="22"/>
                <w:szCs w:val="22"/>
              </w:rPr>
              <w:t>1,224</w:t>
            </w:r>
          </w:p>
        </w:tc>
        <w:tc>
          <w:tcPr>
            <w:tcW w:w="947" w:type="dxa"/>
            <w:tcBorders>
              <w:top w:val="nil"/>
              <w:left w:val="nil"/>
              <w:bottom w:val="single" w:sz="4" w:space="0" w:color="auto"/>
              <w:right w:val="single" w:sz="4" w:space="0" w:color="auto"/>
            </w:tcBorders>
            <w:shd w:val="clear" w:color="auto" w:fill="auto"/>
            <w:noWrap/>
            <w:vAlign w:val="center"/>
            <w:hideMark/>
          </w:tcPr>
          <w:p w14:paraId="1372B4FF" w14:textId="77777777" w:rsidR="00512DB9" w:rsidRDefault="00512DB9" w:rsidP="00512DB9">
            <w:pPr>
              <w:jc w:val="center"/>
              <w:rPr>
                <w:rFonts w:ascii="Calibri" w:hAnsi="Calibri"/>
                <w:color w:val="000000"/>
                <w:sz w:val="22"/>
                <w:szCs w:val="22"/>
              </w:rPr>
            </w:pPr>
            <w:r>
              <w:rPr>
                <w:rFonts w:ascii="Calibri" w:hAnsi="Calibri"/>
                <w:color w:val="000000"/>
                <w:sz w:val="22"/>
                <w:szCs w:val="22"/>
              </w:rPr>
              <w:t>13%</w:t>
            </w:r>
          </w:p>
        </w:tc>
        <w:tc>
          <w:tcPr>
            <w:tcW w:w="717" w:type="dxa"/>
            <w:tcBorders>
              <w:top w:val="nil"/>
              <w:left w:val="nil"/>
              <w:bottom w:val="single" w:sz="4" w:space="0" w:color="auto"/>
              <w:right w:val="single" w:sz="4" w:space="0" w:color="auto"/>
            </w:tcBorders>
            <w:shd w:val="clear" w:color="auto" w:fill="auto"/>
            <w:noWrap/>
            <w:vAlign w:val="center"/>
            <w:hideMark/>
          </w:tcPr>
          <w:p w14:paraId="32964439" w14:textId="77777777" w:rsidR="00512DB9" w:rsidRDefault="00512DB9" w:rsidP="00512DB9">
            <w:pPr>
              <w:jc w:val="center"/>
              <w:rPr>
                <w:rFonts w:ascii="Calibri" w:hAnsi="Calibri"/>
                <w:color w:val="000000"/>
                <w:sz w:val="22"/>
                <w:szCs w:val="22"/>
              </w:rPr>
            </w:pPr>
            <w:r>
              <w:rPr>
                <w:rFonts w:ascii="Calibri" w:hAnsi="Calibri"/>
                <w:color w:val="000000"/>
                <w:sz w:val="22"/>
                <w:szCs w:val="22"/>
              </w:rPr>
              <w:t>1,372</w:t>
            </w:r>
          </w:p>
        </w:tc>
        <w:tc>
          <w:tcPr>
            <w:tcW w:w="947" w:type="dxa"/>
            <w:gridSpan w:val="2"/>
            <w:tcBorders>
              <w:top w:val="nil"/>
              <w:left w:val="nil"/>
              <w:bottom w:val="single" w:sz="4" w:space="0" w:color="auto"/>
              <w:right w:val="single" w:sz="4" w:space="0" w:color="auto"/>
            </w:tcBorders>
            <w:shd w:val="clear" w:color="auto" w:fill="auto"/>
            <w:noWrap/>
            <w:vAlign w:val="center"/>
            <w:hideMark/>
          </w:tcPr>
          <w:p w14:paraId="49C41147" w14:textId="77777777" w:rsidR="00512DB9" w:rsidRDefault="00512DB9" w:rsidP="00512DB9">
            <w:pPr>
              <w:jc w:val="center"/>
              <w:rPr>
                <w:rFonts w:ascii="Calibri" w:hAnsi="Calibri"/>
                <w:color w:val="000000"/>
                <w:sz w:val="22"/>
                <w:szCs w:val="22"/>
              </w:rPr>
            </w:pPr>
            <w:r>
              <w:rPr>
                <w:rFonts w:ascii="Calibri" w:hAnsi="Calibri"/>
                <w:color w:val="000000"/>
                <w:sz w:val="22"/>
                <w:szCs w:val="22"/>
              </w:rPr>
              <w:t>14%</w:t>
            </w:r>
          </w:p>
        </w:tc>
        <w:tc>
          <w:tcPr>
            <w:tcW w:w="699" w:type="dxa"/>
            <w:tcBorders>
              <w:top w:val="nil"/>
              <w:left w:val="nil"/>
              <w:bottom w:val="single" w:sz="4" w:space="0" w:color="auto"/>
              <w:right w:val="single" w:sz="12" w:space="0" w:color="auto"/>
            </w:tcBorders>
            <w:shd w:val="clear" w:color="auto" w:fill="auto"/>
            <w:noWrap/>
            <w:vAlign w:val="center"/>
            <w:hideMark/>
          </w:tcPr>
          <w:p w14:paraId="01D7B114" w14:textId="77777777" w:rsidR="00512DB9" w:rsidRDefault="00512DB9" w:rsidP="00512DB9">
            <w:pPr>
              <w:jc w:val="center"/>
              <w:rPr>
                <w:rFonts w:ascii="Calibri" w:hAnsi="Calibri"/>
                <w:color w:val="000000"/>
                <w:sz w:val="22"/>
                <w:szCs w:val="22"/>
              </w:rPr>
            </w:pPr>
            <w:r>
              <w:rPr>
                <w:rFonts w:ascii="Calibri" w:hAnsi="Calibri"/>
                <w:color w:val="000000"/>
                <w:sz w:val="22"/>
                <w:szCs w:val="22"/>
              </w:rPr>
              <w:t>0.70</w:t>
            </w:r>
          </w:p>
        </w:tc>
      </w:tr>
      <w:tr w:rsidR="00D5050F" w14:paraId="62F9D9C4"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tcPr>
          <w:p w14:paraId="059BD22B" w14:textId="26242D5D" w:rsidR="00D5050F" w:rsidRDefault="00D5050F" w:rsidP="00DA4C73">
            <w:pPr>
              <w:ind w:firstLineChars="200" w:firstLine="440"/>
              <w:rPr>
                <w:rFonts w:ascii="Calibri" w:hAnsi="Calibri"/>
                <w:color w:val="000000"/>
                <w:sz w:val="22"/>
                <w:szCs w:val="22"/>
              </w:rPr>
            </w:pPr>
            <w:r>
              <w:rPr>
                <w:rFonts w:ascii="Calibri" w:hAnsi="Calibri"/>
                <w:color w:val="000000"/>
                <w:sz w:val="22"/>
                <w:szCs w:val="22"/>
              </w:rPr>
              <w:t>Percent never married</w:t>
            </w:r>
          </w:p>
        </w:tc>
        <w:tc>
          <w:tcPr>
            <w:tcW w:w="717" w:type="dxa"/>
            <w:tcBorders>
              <w:top w:val="nil"/>
              <w:left w:val="nil"/>
              <w:bottom w:val="single" w:sz="4" w:space="0" w:color="auto"/>
              <w:right w:val="single" w:sz="4" w:space="0" w:color="auto"/>
            </w:tcBorders>
            <w:shd w:val="clear" w:color="auto" w:fill="auto"/>
            <w:noWrap/>
            <w:vAlign w:val="center"/>
          </w:tcPr>
          <w:p w14:paraId="45DA6D00" w14:textId="54ED179C" w:rsidR="00D5050F" w:rsidRDefault="00D5050F" w:rsidP="00DA4C73">
            <w:pPr>
              <w:jc w:val="center"/>
              <w:rPr>
                <w:rFonts w:ascii="Calibri" w:hAnsi="Calibri"/>
                <w:color w:val="000000"/>
                <w:sz w:val="22"/>
                <w:szCs w:val="22"/>
              </w:rPr>
            </w:pPr>
            <w:r>
              <w:rPr>
                <w:rFonts w:ascii="Calibri" w:hAnsi="Calibri"/>
                <w:color w:val="000000"/>
                <w:sz w:val="22"/>
                <w:szCs w:val="22"/>
              </w:rPr>
              <w:t>1,340</w:t>
            </w:r>
          </w:p>
        </w:tc>
        <w:tc>
          <w:tcPr>
            <w:tcW w:w="947" w:type="dxa"/>
            <w:tcBorders>
              <w:top w:val="nil"/>
              <w:left w:val="nil"/>
              <w:bottom w:val="single" w:sz="4" w:space="0" w:color="auto"/>
              <w:right w:val="single" w:sz="4" w:space="0" w:color="auto"/>
            </w:tcBorders>
            <w:shd w:val="clear" w:color="auto" w:fill="auto"/>
            <w:noWrap/>
            <w:vAlign w:val="center"/>
          </w:tcPr>
          <w:p w14:paraId="6794675F" w14:textId="26AF98CF" w:rsidR="00D5050F" w:rsidRDefault="00D5050F" w:rsidP="00DA4C73">
            <w:pPr>
              <w:jc w:val="center"/>
              <w:rPr>
                <w:rFonts w:ascii="Calibri" w:hAnsi="Calibri"/>
                <w:color w:val="000000"/>
                <w:sz w:val="22"/>
                <w:szCs w:val="22"/>
              </w:rPr>
            </w:pPr>
            <w:r>
              <w:rPr>
                <w:rFonts w:ascii="Calibri" w:hAnsi="Calibri"/>
                <w:color w:val="000000"/>
                <w:sz w:val="22"/>
                <w:szCs w:val="22"/>
              </w:rPr>
              <w:t>47%</w:t>
            </w:r>
          </w:p>
        </w:tc>
        <w:tc>
          <w:tcPr>
            <w:tcW w:w="717" w:type="dxa"/>
            <w:tcBorders>
              <w:top w:val="nil"/>
              <w:left w:val="nil"/>
              <w:bottom w:val="single" w:sz="4" w:space="0" w:color="auto"/>
              <w:right w:val="single" w:sz="4" w:space="0" w:color="auto"/>
            </w:tcBorders>
            <w:shd w:val="clear" w:color="auto" w:fill="auto"/>
            <w:noWrap/>
            <w:vAlign w:val="center"/>
          </w:tcPr>
          <w:p w14:paraId="434EA790" w14:textId="39860E92" w:rsidR="00D5050F" w:rsidRDefault="00D5050F" w:rsidP="00DA4C73">
            <w:pPr>
              <w:jc w:val="center"/>
              <w:rPr>
                <w:rFonts w:ascii="Calibri" w:hAnsi="Calibri"/>
                <w:color w:val="000000"/>
                <w:sz w:val="22"/>
                <w:szCs w:val="22"/>
              </w:rPr>
            </w:pPr>
            <w:r>
              <w:rPr>
                <w:rFonts w:ascii="Calibri" w:hAnsi="Calibri"/>
                <w:color w:val="000000"/>
                <w:sz w:val="22"/>
                <w:szCs w:val="22"/>
              </w:rPr>
              <w:t>1,503</w:t>
            </w:r>
          </w:p>
        </w:tc>
        <w:tc>
          <w:tcPr>
            <w:tcW w:w="947" w:type="dxa"/>
            <w:gridSpan w:val="2"/>
            <w:tcBorders>
              <w:top w:val="nil"/>
              <w:left w:val="nil"/>
              <w:bottom w:val="single" w:sz="4" w:space="0" w:color="auto"/>
              <w:right w:val="single" w:sz="4" w:space="0" w:color="auto"/>
            </w:tcBorders>
            <w:shd w:val="clear" w:color="auto" w:fill="auto"/>
            <w:noWrap/>
            <w:vAlign w:val="center"/>
          </w:tcPr>
          <w:p w14:paraId="3B7F2969" w14:textId="66E9DAEB" w:rsidR="00D5050F" w:rsidRDefault="00D5050F" w:rsidP="00DA4C73">
            <w:pPr>
              <w:jc w:val="center"/>
              <w:rPr>
                <w:rFonts w:ascii="Calibri" w:hAnsi="Calibri"/>
                <w:color w:val="000000"/>
                <w:sz w:val="22"/>
                <w:szCs w:val="22"/>
              </w:rPr>
            </w:pPr>
            <w:r>
              <w:rPr>
                <w:rFonts w:ascii="Calibri" w:hAnsi="Calibri"/>
                <w:color w:val="000000"/>
                <w:sz w:val="22"/>
                <w:szCs w:val="22"/>
              </w:rPr>
              <w:t>45%</w:t>
            </w:r>
          </w:p>
        </w:tc>
        <w:tc>
          <w:tcPr>
            <w:tcW w:w="699" w:type="dxa"/>
            <w:tcBorders>
              <w:top w:val="nil"/>
              <w:left w:val="nil"/>
              <w:bottom w:val="single" w:sz="4" w:space="0" w:color="auto"/>
              <w:right w:val="single" w:sz="12" w:space="0" w:color="auto"/>
            </w:tcBorders>
            <w:shd w:val="clear" w:color="auto" w:fill="auto"/>
            <w:noWrap/>
            <w:vAlign w:val="center"/>
          </w:tcPr>
          <w:p w14:paraId="186482C7" w14:textId="34804815" w:rsidR="00D5050F" w:rsidRDefault="00D5050F" w:rsidP="00DA4C73">
            <w:pPr>
              <w:jc w:val="center"/>
              <w:rPr>
                <w:rFonts w:ascii="Calibri" w:hAnsi="Calibri"/>
                <w:color w:val="000000"/>
                <w:sz w:val="22"/>
                <w:szCs w:val="22"/>
              </w:rPr>
            </w:pPr>
            <w:r>
              <w:rPr>
                <w:rFonts w:ascii="Calibri" w:hAnsi="Calibri"/>
                <w:color w:val="000000"/>
                <w:sz w:val="22"/>
                <w:szCs w:val="22"/>
              </w:rPr>
              <w:t>0.49</w:t>
            </w:r>
          </w:p>
        </w:tc>
      </w:tr>
      <w:tr w:rsidR="003B202C" w14:paraId="5A3524A9"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41CDFC0C" w14:textId="77777777" w:rsidR="003B202C" w:rsidRDefault="003B202C" w:rsidP="00DA4C73">
            <w:pPr>
              <w:ind w:firstLineChars="200" w:firstLine="440"/>
              <w:rPr>
                <w:rFonts w:ascii="Calibri" w:hAnsi="Calibri"/>
                <w:color w:val="000000"/>
                <w:sz w:val="22"/>
                <w:szCs w:val="22"/>
              </w:rPr>
            </w:pPr>
            <w:r>
              <w:rPr>
                <w:rFonts w:ascii="Calibri" w:hAnsi="Calibri"/>
                <w:color w:val="000000"/>
                <w:sz w:val="22"/>
                <w:szCs w:val="22"/>
              </w:rPr>
              <w:t>Percent ever cohabited</w:t>
            </w:r>
          </w:p>
        </w:tc>
        <w:tc>
          <w:tcPr>
            <w:tcW w:w="717" w:type="dxa"/>
            <w:tcBorders>
              <w:top w:val="nil"/>
              <w:left w:val="nil"/>
              <w:bottom w:val="single" w:sz="4" w:space="0" w:color="auto"/>
              <w:right w:val="single" w:sz="4" w:space="0" w:color="auto"/>
            </w:tcBorders>
            <w:shd w:val="clear" w:color="auto" w:fill="auto"/>
            <w:noWrap/>
            <w:vAlign w:val="center"/>
            <w:hideMark/>
          </w:tcPr>
          <w:p w14:paraId="164B3F77" w14:textId="77777777" w:rsidR="003B202C" w:rsidRDefault="003B202C" w:rsidP="00DA4C73">
            <w:pPr>
              <w:jc w:val="center"/>
              <w:rPr>
                <w:rFonts w:ascii="Calibri" w:hAnsi="Calibri"/>
                <w:color w:val="000000"/>
                <w:sz w:val="22"/>
                <w:szCs w:val="22"/>
              </w:rPr>
            </w:pPr>
            <w:r>
              <w:rPr>
                <w:rFonts w:ascii="Calibri" w:hAnsi="Calibri"/>
                <w:color w:val="000000"/>
                <w:sz w:val="22"/>
                <w:szCs w:val="22"/>
              </w:rPr>
              <w:t>1,340</w:t>
            </w:r>
          </w:p>
        </w:tc>
        <w:tc>
          <w:tcPr>
            <w:tcW w:w="947" w:type="dxa"/>
            <w:tcBorders>
              <w:top w:val="nil"/>
              <w:left w:val="nil"/>
              <w:bottom w:val="single" w:sz="4" w:space="0" w:color="auto"/>
              <w:right w:val="single" w:sz="4" w:space="0" w:color="auto"/>
            </w:tcBorders>
            <w:shd w:val="clear" w:color="auto" w:fill="auto"/>
            <w:noWrap/>
            <w:vAlign w:val="center"/>
            <w:hideMark/>
          </w:tcPr>
          <w:p w14:paraId="5FCE694F" w14:textId="77777777" w:rsidR="003B202C" w:rsidRDefault="003B202C" w:rsidP="00DA4C73">
            <w:pPr>
              <w:jc w:val="center"/>
              <w:rPr>
                <w:rFonts w:ascii="Calibri" w:hAnsi="Calibri"/>
                <w:color w:val="000000"/>
                <w:sz w:val="22"/>
                <w:szCs w:val="22"/>
              </w:rPr>
            </w:pPr>
            <w:r>
              <w:rPr>
                <w:rFonts w:ascii="Calibri" w:hAnsi="Calibri"/>
                <w:color w:val="000000"/>
                <w:sz w:val="22"/>
                <w:szCs w:val="22"/>
              </w:rPr>
              <w:t>55%</w:t>
            </w:r>
          </w:p>
        </w:tc>
        <w:tc>
          <w:tcPr>
            <w:tcW w:w="717" w:type="dxa"/>
            <w:tcBorders>
              <w:top w:val="nil"/>
              <w:left w:val="nil"/>
              <w:bottom w:val="single" w:sz="4" w:space="0" w:color="auto"/>
              <w:right w:val="single" w:sz="4" w:space="0" w:color="auto"/>
            </w:tcBorders>
            <w:shd w:val="clear" w:color="auto" w:fill="auto"/>
            <w:noWrap/>
            <w:vAlign w:val="center"/>
            <w:hideMark/>
          </w:tcPr>
          <w:p w14:paraId="0CAAD491" w14:textId="77777777" w:rsidR="003B202C" w:rsidRDefault="003B202C" w:rsidP="00DA4C73">
            <w:pPr>
              <w:jc w:val="center"/>
              <w:rPr>
                <w:rFonts w:ascii="Calibri" w:hAnsi="Calibri"/>
                <w:color w:val="000000"/>
                <w:sz w:val="22"/>
                <w:szCs w:val="22"/>
              </w:rPr>
            </w:pPr>
            <w:r>
              <w:rPr>
                <w:rFonts w:ascii="Calibri" w:hAnsi="Calibri"/>
                <w:color w:val="000000"/>
                <w:sz w:val="22"/>
                <w:szCs w:val="22"/>
              </w:rPr>
              <w:t>1,503</w:t>
            </w:r>
          </w:p>
        </w:tc>
        <w:tc>
          <w:tcPr>
            <w:tcW w:w="947" w:type="dxa"/>
            <w:gridSpan w:val="2"/>
            <w:tcBorders>
              <w:top w:val="nil"/>
              <w:left w:val="nil"/>
              <w:bottom w:val="single" w:sz="4" w:space="0" w:color="auto"/>
              <w:right w:val="single" w:sz="4" w:space="0" w:color="auto"/>
            </w:tcBorders>
            <w:shd w:val="clear" w:color="auto" w:fill="auto"/>
            <w:noWrap/>
            <w:vAlign w:val="center"/>
            <w:hideMark/>
          </w:tcPr>
          <w:p w14:paraId="10A9827D" w14:textId="77777777" w:rsidR="003B202C" w:rsidRDefault="003B202C" w:rsidP="00DA4C73">
            <w:pPr>
              <w:jc w:val="center"/>
              <w:rPr>
                <w:rFonts w:ascii="Calibri" w:hAnsi="Calibri"/>
                <w:color w:val="000000"/>
                <w:sz w:val="22"/>
                <w:szCs w:val="22"/>
              </w:rPr>
            </w:pPr>
            <w:r>
              <w:rPr>
                <w:rFonts w:ascii="Calibri" w:hAnsi="Calibri"/>
                <w:color w:val="000000"/>
                <w:sz w:val="22"/>
                <w:szCs w:val="22"/>
              </w:rPr>
              <w:t>57%</w:t>
            </w:r>
          </w:p>
        </w:tc>
        <w:tc>
          <w:tcPr>
            <w:tcW w:w="699" w:type="dxa"/>
            <w:tcBorders>
              <w:top w:val="nil"/>
              <w:left w:val="nil"/>
              <w:bottom w:val="single" w:sz="4" w:space="0" w:color="auto"/>
              <w:right w:val="single" w:sz="12" w:space="0" w:color="auto"/>
            </w:tcBorders>
            <w:shd w:val="clear" w:color="auto" w:fill="auto"/>
            <w:noWrap/>
            <w:vAlign w:val="center"/>
            <w:hideMark/>
          </w:tcPr>
          <w:p w14:paraId="51FFB7A5" w14:textId="77777777" w:rsidR="003B202C" w:rsidRDefault="003B202C" w:rsidP="00DA4C73">
            <w:pPr>
              <w:jc w:val="center"/>
              <w:rPr>
                <w:rFonts w:ascii="Calibri" w:hAnsi="Calibri"/>
                <w:color w:val="000000"/>
                <w:sz w:val="22"/>
                <w:szCs w:val="22"/>
              </w:rPr>
            </w:pPr>
            <w:r>
              <w:rPr>
                <w:rFonts w:ascii="Calibri" w:hAnsi="Calibri"/>
                <w:color w:val="000000"/>
                <w:sz w:val="22"/>
                <w:szCs w:val="22"/>
              </w:rPr>
              <w:t>0.52</w:t>
            </w:r>
          </w:p>
        </w:tc>
      </w:tr>
      <w:tr w:rsidR="00D5050F" w14:paraId="269F3287"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tcPr>
          <w:p w14:paraId="0AD0A3C5" w14:textId="446232D2" w:rsidR="00D5050F" w:rsidRDefault="00D5050F">
            <w:pPr>
              <w:ind w:firstLineChars="200" w:firstLine="440"/>
              <w:rPr>
                <w:rFonts w:ascii="Calibri" w:hAnsi="Calibri"/>
                <w:color w:val="000000"/>
                <w:sz w:val="22"/>
                <w:szCs w:val="22"/>
              </w:rPr>
            </w:pPr>
            <w:r>
              <w:rPr>
                <w:rFonts w:ascii="Calibri" w:hAnsi="Calibri"/>
                <w:color w:val="000000"/>
                <w:sz w:val="22"/>
                <w:szCs w:val="22"/>
              </w:rPr>
              <w:t>Percent ever had sex in past 12 months</w:t>
            </w:r>
          </w:p>
        </w:tc>
        <w:tc>
          <w:tcPr>
            <w:tcW w:w="717" w:type="dxa"/>
            <w:tcBorders>
              <w:top w:val="nil"/>
              <w:left w:val="nil"/>
              <w:bottom w:val="single" w:sz="4" w:space="0" w:color="auto"/>
              <w:right w:val="single" w:sz="4" w:space="0" w:color="auto"/>
            </w:tcBorders>
            <w:shd w:val="clear" w:color="auto" w:fill="auto"/>
            <w:noWrap/>
            <w:vAlign w:val="center"/>
          </w:tcPr>
          <w:p w14:paraId="012763D5" w14:textId="06446A99" w:rsidR="00D5050F" w:rsidRDefault="00D5050F">
            <w:pPr>
              <w:jc w:val="center"/>
              <w:rPr>
                <w:rFonts w:ascii="Calibri" w:hAnsi="Calibri"/>
                <w:color w:val="000000"/>
                <w:sz w:val="22"/>
                <w:szCs w:val="22"/>
              </w:rPr>
            </w:pPr>
            <w:r>
              <w:rPr>
                <w:rFonts w:ascii="Calibri" w:hAnsi="Calibri"/>
                <w:color w:val="000000"/>
                <w:sz w:val="22"/>
                <w:szCs w:val="22"/>
              </w:rPr>
              <w:t>995</w:t>
            </w:r>
          </w:p>
        </w:tc>
        <w:tc>
          <w:tcPr>
            <w:tcW w:w="947" w:type="dxa"/>
            <w:tcBorders>
              <w:top w:val="nil"/>
              <w:left w:val="nil"/>
              <w:bottom w:val="single" w:sz="4" w:space="0" w:color="auto"/>
              <w:right w:val="single" w:sz="4" w:space="0" w:color="auto"/>
            </w:tcBorders>
            <w:shd w:val="clear" w:color="auto" w:fill="auto"/>
            <w:noWrap/>
            <w:vAlign w:val="center"/>
          </w:tcPr>
          <w:p w14:paraId="5F2D9CBF" w14:textId="09BA2DED" w:rsidR="00D5050F" w:rsidRDefault="00D5050F">
            <w:pPr>
              <w:jc w:val="center"/>
              <w:rPr>
                <w:rFonts w:ascii="Calibri" w:hAnsi="Calibri"/>
                <w:color w:val="000000"/>
                <w:sz w:val="22"/>
                <w:szCs w:val="22"/>
              </w:rPr>
            </w:pPr>
            <w:r>
              <w:rPr>
                <w:rFonts w:ascii="Calibri" w:hAnsi="Calibri"/>
                <w:color w:val="000000"/>
                <w:sz w:val="22"/>
                <w:szCs w:val="22"/>
              </w:rPr>
              <w:t>88%</w:t>
            </w:r>
          </w:p>
        </w:tc>
        <w:tc>
          <w:tcPr>
            <w:tcW w:w="717" w:type="dxa"/>
            <w:tcBorders>
              <w:top w:val="nil"/>
              <w:left w:val="nil"/>
              <w:bottom w:val="single" w:sz="4" w:space="0" w:color="auto"/>
              <w:right w:val="single" w:sz="4" w:space="0" w:color="auto"/>
            </w:tcBorders>
            <w:shd w:val="clear" w:color="auto" w:fill="auto"/>
            <w:noWrap/>
            <w:vAlign w:val="center"/>
          </w:tcPr>
          <w:p w14:paraId="73E33855" w14:textId="4680955E" w:rsidR="00D5050F" w:rsidRDefault="00D5050F">
            <w:pPr>
              <w:jc w:val="center"/>
              <w:rPr>
                <w:rFonts w:ascii="Calibri" w:hAnsi="Calibri"/>
                <w:color w:val="000000"/>
                <w:sz w:val="22"/>
                <w:szCs w:val="22"/>
              </w:rPr>
            </w:pPr>
            <w:r>
              <w:rPr>
                <w:rFonts w:ascii="Calibri" w:hAnsi="Calibri"/>
                <w:color w:val="000000"/>
                <w:sz w:val="22"/>
                <w:szCs w:val="22"/>
              </w:rPr>
              <w:t>1,105</w:t>
            </w:r>
          </w:p>
        </w:tc>
        <w:tc>
          <w:tcPr>
            <w:tcW w:w="947" w:type="dxa"/>
            <w:gridSpan w:val="2"/>
            <w:tcBorders>
              <w:top w:val="nil"/>
              <w:left w:val="nil"/>
              <w:bottom w:val="single" w:sz="4" w:space="0" w:color="auto"/>
              <w:right w:val="single" w:sz="4" w:space="0" w:color="auto"/>
            </w:tcBorders>
            <w:shd w:val="clear" w:color="auto" w:fill="auto"/>
            <w:noWrap/>
            <w:vAlign w:val="center"/>
          </w:tcPr>
          <w:p w14:paraId="6EF4FE3A" w14:textId="4DEF20CC" w:rsidR="00D5050F" w:rsidRDefault="00D5050F">
            <w:pPr>
              <w:jc w:val="center"/>
              <w:rPr>
                <w:rFonts w:ascii="Calibri" w:hAnsi="Calibri"/>
                <w:color w:val="000000"/>
                <w:sz w:val="22"/>
                <w:szCs w:val="22"/>
              </w:rPr>
            </w:pPr>
            <w:r>
              <w:rPr>
                <w:rFonts w:ascii="Calibri" w:hAnsi="Calibri"/>
                <w:color w:val="000000"/>
                <w:sz w:val="22"/>
                <w:szCs w:val="22"/>
              </w:rPr>
              <w:t>89%</w:t>
            </w:r>
          </w:p>
        </w:tc>
        <w:tc>
          <w:tcPr>
            <w:tcW w:w="699" w:type="dxa"/>
            <w:tcBorders>
              <w:top w:val="nil"/>
              <w:left w:val="nil"/>
              <w:bottom w:val="single" w:sz="4" w:space="0" w:color="auto"/>
              <w:right w:val="single" w:sz="12" w:space="0" w:color="auto"/>
            </w:tcBorders>
            <w:shd w:val="clear" w:color="auto" w:fill="auto"/>
            <w:noWrap/>
            <w:vAlign w:val="center"/>
          </w:tcPr>
          <w:p w14:paraId="47C9DFE5" w14:textId="69CA104B" w:rsidR="00D5050F" w:rsidRDefault="00D5050F">
            <w:pPr>
              <w:jc w:val="center"/>
              <w:rPr>
                <w:rFonts w:ascii="Calibri" w:hAnsi="Calibri"/>
                <w:color w:val="000000"/>
                <w:sz w:val="22"/>
                <w:szCs w:val="22"/>
              </w:rPr>
            </w:pPr>
            <w:r>
              <w:rPr>
                <w:rFonts w:ascii="Calibri" w:hAnsi="Calibri"/>
                <w:color w:val="000000"/>
                <w:sz w:val="22"/>
                <w:szCs w:val="22"/>
              </w:rPr>
              <w:t>0.90</w:t>
            </w:r>
          </w:p>
        </w:tc>
      </w:tr>
      <w:tr w:rsidR="009465CD" w14:paraId="0AF448D1"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1C0A9CEB" w14:textId="77777777" w:rsidR="009465CD" w:rsidRDefault="009465CD">
            <w:pPr>
              <w:ind w:firstLineChars="200" w:firstLine="440"/>
              <w:rPr>
                <w:rFonts w:ascii="Calibri" w:hAnsi="Calibri"/>
                <w:color w:val="000000"/>
                <w:sz w:val="22"/>
                <w:szCs w:val="22"/>
              </w:rPr>
            </w:pPr>
            <w:r>
              <w:rPr>
                <w:rFonts w:ascii="Calibri" w:hAnsi="Calibri"/>
                <w:color w:val="000000"/>
                <w:sz w:val="22"/>
                <w:szCs w:val="22"/>
              </w:rPr>
              <w:t>Percent ever had an abortion</w:t>
            </w:r>
          </w:p>
        </w:tc>
        <w:tc>
          <w:tcPr>
            <w:tcW w:w="717" w:type="dxa"/>
            <w:tcBorders>
              <w:top w:val="nil"/>
              <w:left w:val="nil"/>
              <w:bottom w:val="single" w:sz="4" w:space="0" w:color="auto"/>
              <w:right w:val="single" w:sz="4" w:space="0" w:color="auto"/>
            </w:tcBorders>
            <w:shd w:val="clear" w:color="auto" w:fill="auto"/>
            <w:noWrap/>
            <w:vAlign w:val="center"/>
            <w:hideMark/>
          </w:tcPr>
          <w:p w14:paraId="5E32A621" w14:textId="77777777" w:rsidR="009465CD" w:rsidRDefault="009465CD">
            <w:pPr>
              <w:jc w:val="center"/>
              <w:rPr>
                <w:rFonts w:ascii="Calibri" w:hAnsi="Calibri"/>
                <w:color w:val="000000"/>
                <w:sz w:val="22"/>
                <w:szCs w:val="22"/>
              </w:rPr>
            </w:pPr>
            <w:r>
              <w:rPr>
                <w:rFonts w:ascii="Calibri" w:hAnsi="Calibri"/>
                <w:color w:val="000000"/>
                <w:sz w:val="22"/>
                <w:szCs w:val="22"/>
              </w:rPr>
              <w:t>817</w:t>
            </w:r>
          </w:p>
        </w:tc>
        <w:tc>
          <w:tcPr>
            <w:tcW w:w="947" w:type="dxa"/>
            <w:tcBorders>
              <w:top w:val="nil"/>
              <w:left w:val="nil"/>
              <w:bottom w:val="single" w:sz="4" w:space="0" w:color="auto"/>
              <w:right w:val="single" w:sz="4" w:space="0" w:color="auto"/>
            </w:tcBorders>
            <w:shd w:val="clear" w:color="auto" w:fill="auto"/>
            <w:noWrap/>
            <w:vAlign w:val="center"/>
            <w:hideMark/>
          </w:tcPr>
          <w:p w14:paraId="581C3A1F" w14:textId="77777777" w:rsidR="009465CD" w:rsidRDefault="009465CD">
            <w:pPr>
              <w:jc w:val="center"/>
              <w:rPr>
                <w:rFonts w:ascii="Calibri" w:hAnsi="Calibri"/>
                <w:color w:val="000000"/>
                <w:sz w:val="22"/>
                <w:szCs w:val="22"/>
              </w:rPr>
            </w:pPr>
            <w:r>
              <w:rPr>
                <w:rFonts w:ascii="Calibri" w:hAnsi="Calibri"/>
                <w:color w:val="000000"/>
                <w:sz w:val="22"/>
                <w:szCs w:val="22"/>
              </w:rPr>
              <w:t>19%</w:t>
            </w:r>
          </w:p>
        </w:tc>
        <w:tc>
          <w:tcPr>
            <w:tcW w:w="717" w:type="dxa"/>
            <w:tcBorders>
              <w:top w:val="nil"/>
              <w:left w:val="nil"/>
              <w:bottom w:val="single" w:sz="4" w:space="0" w:color="auto"/>
              <w:right w:val="single" w:sz="4" w:space="0" w:color="auto"/>
            </w:tcBorders>
            <w:shd w:val="clear" w:color="auto" w:fill="auto"/>
            <w:noWrap/>
            <w:vAlign w:val="center"/>
            <w:hideMark/>
          </w:tcPr>
          <w:p w14:paraId="4DEE93F3" w14:textId="77777777" w:rsidR="009465CD" w:rsidRDefault="009465CD">
            <w:pPr>
              <w:jc w:val="center"/>
              <w:rPr>
                <w:rFonts w:ascii="Calibri" w:hAnsi="Calibri"/>
                <w:color w:val="000000"/>
                <w:sz w:val="22"/>
                <w:szCs w:val="22"/>
              </w:rPr>
            </w:pPr>
            <w:r>
              <w:rPr>
                <w:rFonts w:ascii="Calibri" w:hAnsi="Calibri"/>
                <w:color w:val="000000"/>
                <w:sz w:val="22"/>
                <w:szCs w:val="22"/>
              </w:rPr>
              <w:t>897</w:t>
            </w:r>
          </w:p>
        </w:tc>
        <w:tc>
          <w:tcPr>
            <w:tcW w:w="947" w:type="dxa"/>
            <w:gridSpan w:val="2"/>
            <w:tcBorders>
              <w:top w:val="nil"/>
              <w:left w:val="nil"/>
              <w:bottom w:val="single" w:sz="4" w:space="0" w:color="auto"/>
              <w:right w:val="single" w:sz="4" w:space="0" w:color="auto"/>
            </w:tcBorders>
            <w:shd w:val="clear" w:color="auto" w:fill="auto"/>
            <w:noWrap/>
            <w:vAlign w:val="center"/>
            <w:hideMark/>
          </w:tcPr>
          <w:p w14:paraId="54AE9F34" w14:textId="77777777" w:rsidR="009465CD" w:rsidRDefault="009465CD">
            <w:pPr>
              <w:jc w:val="center"/>
              <w:rPr>
                <w:rFonts w:ascii="Calibri" w:hAnsi="Calibri"/>
                <w:color w:val="000000"/>
                <w:sz w:val="22"/>
                <w:szCs w:val="22"/>
              </w:rPr>
            </w:pPr>
            <w:r>
              <w:rPr>
                <w:rFonts w:ascii="Calibri" w:hAnsi="Calibri"/>
                <w:color w:val="000000"/>
                <w:sz w:val="22"/>
                <w:szCs w:val="22"/>
              </w:rPr>
              <w:t>20%</w:t>
            </w:r>
          </w:p>
        </w:tc>
        <w:tc>
          <w:tcPr>
            <w:tcW w:w="699" w:type="dxa"/>
            <w:tcBorders>
              <w:top w:val="nil"/>
              <w:left w:val="nil"/>
              <w:bottom w:val="single" w:sz="4" w:space="0" w:color="auto"/>
              <w:right w:val="single" w:sz="12" w:space="0" w:color="auto"/>
            </w:tcBorders>
            <w:shd w:val="clear" w:color="auto" w:fill="auto"/>
            <w:noWrap/>
            <w:vAlign w:val="center"/>
            <w:hideMark/>
          </w:tcPr>
          <w:p w14:paraId="4A1E6422" w14:textId="77777777" w:rsidR="009465CD" w:rsidRDefault="009465CD">
            <w:pPr>
              <w:jc w:val="center"/>
              <w:rPr>
                <w:rFonts w:ascii="Calibri" w:hAnsi="Calibri"/>
                <w:color w:val="000000"/>
                <w:sz w:val="22"/>
                <w:szCs w:val="22"/>
              </w:rPr>
            </w:pPr>
            <w:r>
              <w:rPr>
                <w:rFonts w:ascii="Calibri" w:hAnsi="Calibri"/>
                <w:color w:val="000000"/>
                <w:sz w:val="22"/>
                <w:szCs w:val="22"/>
              </w:rPr>
              <w:t>0.47</w:t>
            </w:r>
          </w:p>
        </w:tc>
      </w:tr>
      <w:tr w:rsidR="009465CD" w14:paraId="32D486AB"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589A32F2" w14:textId="0CDBD6D2" w:rsidR="009465CD" w:rsidRDefault="00590962">
            <w:pPr>
              <w:ind w:firstLineChars="200" w:firstLine="440"/>
              <w:rPr>
                <w:rFonts w:ascii="Calibri" w:hAnsi="Calibri"/>
                <w:color w:val="000000"/>
                <w:sz w:val="22"/>
                <w:szCs w:val="22"/>
              </w:rPr>
            </w:pPr>
            <w:r>
              <w:rPr>
                <w:rFonts w:ascii="Calibri" w:hAnsi="Calibri"/>
                <w:color w:val="000000"/>
                <w:sz w:val="22"/>
                <w:szCs w:val="22"/>
              </w:rPr>
              <w:t>Percent</w:t>
            </w:r>
            <w:r w:rsidR="009465CD">
              <w:rPr>
                <w:rFonts w:ascii="Calibri" w:hAnsi="Calibri"/>
                <w:color w:val="000000"/>
                <w:sz w:val="22"/>
                <w:szCs w:val="22"/>
              </w:rPr>
              <w:t xml:space="preserve"> ever had female-female sex</w:t>
            </w:r>
          </w:p>
        </w:tc>
        <w:tc>
          <w:tcPr>
            <w:tcW w:w="717" w:type="dxa"/>
            <w:tcBorders>
              <w:top w:val="nil"/>
              <w:left w:val="nil"/>
              <w:bottom w:val="single" w:sz="4" w:space="0" w:color="auto"/>
              <w:right w:val="single" w:sz="4" w:space="0" w:color="auto"/>
            </w:tcBorders>
            <w:shd w:val="clear" w:color="auto" w:fill="auto"/>
            <w:noWrap/>
            <w:vAlign w:val="center"/>
            <w:hideMark/>
          </w:tcPr>
          <w:p w14:paraId="2EA15085" w14:textId="77777777" w:rsidR="009465CD" w:rsidRDefault="009465CD">
            <w:pPr>
              <w:jc w:val="center"/>
              <w:rPr>
                <w:rFonts w:ascii="Calibri" w:hAnsi="Calibri"/>
                <w:color w:val="000000"/>
                <w:sz w:val="22"/>
                <w:szCs w:val="22"/>
              </w:rPr>
            </w:pPr>
            <w:r>
              <w:rPr>
                <w:rFonts w:ascii="Calibri" w:hAnsi="Calibri"/>
                <w:color w:val="000000"/>
                <w:sz w:val="22"/>
                <w:szCs w:val="22"/>
              </w:rPr>
              <w:t>1,332</w:t>
            </w:r>
          </w:p>
        </w:tc>
        <w:tc>
          <w:tcPr>
            <w:tcW w:w="947" w:type="dxa"/>
            <w:tcBorders>
              <w:top w:val="nil"/>
              <w:left w:val="nil"/>
              <w:bottom w:val="single" w:sz="4" w:space="0" w:color="auto"/>
              <w:right w:val="single" w:sz="4" w:space="0" w:color="auto"/>
            </w:tcBorders>
            <w:shd w:val="clear" w:color="auto" w:fill="auto"/>
            <w:noWrap/>
            <w:vAlign w:val="center"/>
            <w:hideMark/>
          </w:tcPr>
          <w:p w14:paraId="7D9AD9A7" w14:textId="77777777" w:rsidR="009465CD" w:rsidRDefault="009465CD">
            <w:pPr>
              <w:jc w:val="center"/>
              <w:rPr>
                <w:rFonts w:ascii="Calibri" w:hAnsi="Calibri"/>
                <w:color w:val="000000"/>
                <w:sz w:val="22"/>
                <w:szCs w:val="22"/>
              </w:rPr>
            </w:pPr>
            <w:r>
              <w:rPr>
                <w:rFonts w:ascii="Calibri" w:hAnsi="Calibri"/>
                <w:color w:val="000000"/>
                <w:sz w:val="22"/>
                <w:szCs w:val="22"/>
              </w:rPr>
              <w:t>18%</w:t>
            </w:r>
          </w:p>
        </w:tc>
        <w:tc>
          <w:tcPr>
            <w:tcW w:w="717" w:type="dxa"/>
            <w:tcBorders>
              <w:top w:val="nil"/>
              <w:left w:val="nil"/>
              <w:bottom w:val="single" w:sz="4" w:space="0" w:color="auto"/>
              <w:right w:val="single" w:sz="4" w:space="0" w:color="auto"/>
            </w:tcBorders>
            <w:shd w:val="clear" w:color="auto" w:fill="auto"/>
            <w:noWrap/>
            <w:vAlign w:val="center"/>
            <w:hideMark/>
          </w:tcPr>
          <w:p w14:paraId="389CC59E" w14:textId="77777777" w:rsidR="009465CD" w:rsidRDefault="009465CD">
            <w:pPr>
              <w:jc w:val="center"/>
              <w:rPr>
                <w:rFonts w:ascii="Calibri" w:hAnsi="Calibri"/>
                <w:color w:val="000000"/>
                <w:sz w:val="22"/>
                <w:szCs w:val="22"/>
              </w:rPr>
            </w:pPr>
            <w:r>
              <w:rPr>
                <w:rFonts w:ascii="Calibri" w:hAnsi="Calibri"/>
                <w:color w:val="000000"/>
                <w:sz w:val="22"/>
                <w:szCs w:val="22"/>
              </w:rPr>
              <w:t>1,493</w:t>
            </w:r>
          </w:p>
        </w:tc>
        <w:tc>
          <w:tcPr>
            <w:tcW w:w="947" w:type="dxa"/>
            <w:gridSpan w:val="2"/>
            <w:tcBorders>
              <w:top w:val="nil"/>
              <w:left w:val="nil"/>
              <w:bottom w:val="single" w:sz="4" w:space="0" w:color="auto"/>
              <w:right w:val="single" w:sz="4" w:space="0" w:color="auto"/>
            </w:tcBorders>
            <w:shd w:val="clear" w:color="auto" w:fill="auto"/>
            <w:noWrap/>
            <w:vAlign w:val="center"/>
            <w:hideMark/>
          </w:tcPr>
          <w:p w14:paraId="7156123E" w14:textId="77777777" w:rsidR="009465CD" w:rsidRDefault="009465CD">
            <w:pPr>
              <w:jc w:val="center"/>
              <w:rPr>
                <w:rFonts w:ascii="Calibri" w:hAnsi="Calibri"/>
                <w:color w:val="000000"/>
                <w:sz w:val="22"/>
                <w:szCs w:val="22"/>
              </w:rPr>
            </w:pPr>
            <w:r>
              <w:rPr>
                <w:rFonts w:ascii="Calibri" w:hAnsi="Calibri"/>
                <w:color w:val="000000"/>
                <w:sz w:val="22"/>
                <w:szCs w:val="22"/>
              </w:rPr>
              <w:t>18%</w:t>
            </w:r>
          </w:p>
        </w:tc>
        <w:tc>
          <w:tcPr>
            <w:tcW w:w="699" w:type="dxa"/>
            <w:tcBorders>
              <w:top w:val="nil"/>
              <w:left w:val="nil"/>
              <w:bottom w:val="single" w:sz="4" w:space="0" w:color="auto"/>
              <w:right w:val="single" w:sz="12" w:space="0" w:color="auto"/>
            </w:tcBorders>
            <w:shd w:val="clear" w:color="auto" w:fill="auto"/>
            <w:noWrap/>
            <w:vAlign w:val="center"/>
            <w:hideMark/>
          </w:tcPr>
          <w:p w14:paraId="0E06B82E" w14:textId="77777777" w:rsidR="009465CD" w:rsidRDefault="009465CD">
            <w:pPr>
              <w:jc w:val="center"/>
              <w:rPr>
                <w:rFonts w:ascii="Calibri" w:hAnsi="Calibri"/>
                <w:color w:val="000000"/>
                <w:sz w:val="22"/>
                <w:szCs w:val="22"/>
              </w:rPr>
            </w:pPr>
            <w:r>
              <w:rPr>
                <w:rFonts w:ascii="Calibri" w:hAnsi="Calibri"/>
                <w:color w:val="000000"/>
                <w:sz w:val="22"/>
                <w:szCs w:val="22"/>
              </w:rPr>
              <w:t>1.00</w:t>
            </w:r>
          </w:p>
        </w:tc>
      </w:tr>
      <w:tr w:rsidR="009465CD" w14:paraId="2D1C45DA" w14:textId="77777777" w:rsidTr="009A55F4">
        <w:trPr>
          <w:trHeight w:val="300"/>
        </w:trPr>
        <w:tc>
          <w:tcPr>
            <w:tcW w:w="5238" w:type="dxa"/>
            <w:tcBorders>
              <w:top w:val="nil"/>
              <w:left w:val="single" w:sz="12" w:space="0" w:color="auto"/>
              <w:bottom w:val="nil"/>
              <w:right w:val="single" w:sz="4" w:space="0" w:color="auto"/>
            </w:tcBorders>
            <w:shd w:val="clear" w:color="auto" w:fill="auto"/>
            <w:noWrap/>
            <w:vAlign w:val="bottom"/>
            <w:hideMark/>
          </w:tcPr>
          <w:p w14:paraId="5E67F1BE" w14:textId="77777777" w:rsidR="009465CD" w:rsidRDefault="009465CD">
            <w:pPr>
              <w:ind w:firstLineChars="200" w:firstLine="440"/>
              <w:rPr>
                <w:rFonts w:ascii="Calibri" w:hAnsi="Calibri"/>
                <w:color w:val="000000"/>
                <w:sz w:val="22"/>
                <w:szCs w:val="22"/>
              </w:rPr>
            </w:pPr>
            <w:r>
              <w:rPr>
                <w:rFonts w:ascii="Calibri" w:hAnsi="Calibri"/>
                <w:color w:val="000000"/>
                <w:sz w:val="22"/>
                <w:szCs w:val="22"/>
              </w:rPr>
              <w:t>Percent with no births</w:t>
            </w:r>
          </w:p>
        </w:tc>
        <w:tc>
          <w:tcPr>
            <w:tcW w:w="717" w:type="dxa"/>
            <w:tcBorders>
              <w:top w:val="nil"/>
              <w:left w:val="nil"/>
              <w:bottom w:val="single" w:sz="4" w:space="0" w:color="auto"/>
              <w:right w:val="single" w:sz="4" w:space="0" w:color="auto"/>
            </w:tcBorders>
            <w:shd w:val="clear" w:color="auto" w:fill="auto"/>
            <w:noWrap/>
            <w:vAlign w:val="center"/>
            <w:hideMark/>
          </w:tcPr>
          <w:p w14:paraId="54B1F225" w14:textId="77777777" w:rsidR="009465CD" w:rsidRDefault="009465CD">
            <w:pPr>
              <w:jc w:val="center"/>
              <w:rPr>
                <w:rFonts w:ascii="Calibri" w:hAnsi="Calibri"/>
                <w:color w:val="000000"/>
                <w:sz w:val="22"/>
                <w:szCs w:val="22"/>
              </w:rPr>
            </w:pPr>
            <w:r>
              <w:rPr>
                <w:rFonts w:ascii="Calibri" w:hAnsi="Calibri"/>
                <w:color w:val="000000"/>
                <w:sz w:val="22"/>
                <w:szCs w:val="22"/>
              </w:rPr>
              <w:t>1,340</w:t>
            </w:r>
          </w:p>
        </w:tc>
        <w:tc>
          <w:tcPr>
            <w:tcW w:w="947" w:type="dxa"/>
            <w:tcBorders>
              <w:top w:val="nil"/>
              <w:left w:val="nil"/>
              <w:bottom w:val="single" w:sz="4" w:space="0" w:color="auto"/>
              <w:right w:val="single" w:sz="4" w:space="0" w:color="auto"/>
            </w:tcBorders>
            <w:shd w:val="clear" w:color="auto" w:fill="auto"/>
            <w:noWrap/>
            <w:vAlign w:val="center"/>
            <w:hideMark/>
          </w:tcPr>
          <w:p w14:paraId="49A35367" w14:textId="77777777" w:rsidR="009465CD" w:rsidRDefault="009465CD">
            <w:pPr>
              <w:jc w:val="center"/>
              <w:rPr>
                <w:rFonts w:ascii="Calibri" w:hAnsi="Calibri"/>
                <w:color w:val="000000"/>
                <w:sz w:val="22"/>
                <w:szCs w:val="22"/>
              </w:rPr>
            </w:pPr>
            <w:r>
              <w:rPr>
                <w:rFonts w:ascii="Calibri" w:hAnsi="Calibri"/>
                <w:color w:val="000000"/>
                <w:sz w:val="22"/>
                <w:szCs w:val="22"/>
              </w:rPr>
              <w:t>45%</w:t>
            </w:r>
          </w:p>
        </w:tc>
        <w:tc>
          <w:tcPr>
            <w:tcW w:w="717" w:type="dxa"/>
            <w:tcBorders>
              <w:top w:val="nil"/>
              <w:left w:val="nil"/>
              <w:bottom w:val="single" w:sz="4" w:space="0" w:color="auto"/>
              <w:right w:val="single" w:sz="4" w:space="0" w:color="auto"/>
            </w:tcBorders>
            <w:shd w:val="clear" w:color="auto" w:fill="auto"/>
            <w:noWrap/>
            <w:vAlign w:val="center"/>
            <w:hideMark/>
          </w:tcPr>
          <w:p w14:paraId="19C367B8" w14:textId="77777777" w:rsidR="009465CD" w:rsidRDefault="009465CD">
            <w:pPr>
              <w:jc w:val="center"/>
              <w:rPr>
                <w:rFonts w:ascii="Calibri" w:hAnsi="Calibri"/>
                <w:color w:val="000000"/>
                <w:sz w:val="22"/>
                <w:szCs w:val="22"/>
              </w:rPr>
            </w:pPr>
            <w:r>
              <w:rPr>
                <w:rFonts w:ascii="Calibri" w:hAnsi="Calibri"/>
                <w:color w:val="000000"/>
                <w:sz w:val="22"/>
                <w:szCs w:val="22"/>
              </w:rPr>
              <w:t>1,502</w:t>
            </w:r>
          </w:p>
        </w:tc>
        <w:tc>
          <w:tcPr>
            <w:tcW w:w="947" w:type="dxa"/>
            <w:gridSpan w:val="2"/>
            <w:tcBorders>
              <w:top w:val="nil"/>
              <w:left w:val="nil"/>
              <w:bottom w:val="single" w:sz="4" w:space="0" w:color="auto"/>
              <w:right w:val="single" w:sz="4" w:space="0" w:color="auto"/>
            </w:tcBorders>
            <w:shd w:val="clear" w:color="auto" w:fill="auto"/>
            <w:noWrap/>
            <w:vAlign w:val="center"/>
            <w:hideMark/>
          </w:tcPr>
          <w:p w14:paraId="786EB463" w14:textId="77777777" w:rsidR="009465CD" w:rsidRDefault="009465CD">
            <w:pPr>
              <w:jc w:val="center"/>
              <w:rPr>
                <w:rFonts w:ascii="Calibri" w:hAnsi="Calibri"/>
                <w:color w:val="000000"/>
                <w:sz w:val="22"/>
                <w:szCs w:val="22"/>
              </w:rPr>
            </w:pPr>
            <w:r>
              <w:rPr>
                <w:rFonts w:ascii="Calibri" w:hAnsi="Calibri"/>
                <w:color w:val="000000"/>
                <w:sz w:val="22"/>
                <w:szCs w:val="22"/>
              </w:rPr>
              <w:t>47%</w:t>
            </w:r>
          </w:p>
        </w:tc>
        <w:tc>
          <w:tcPr>
            <w:tcW w:w="699" w:type="dxa"/>
            <w:tcBorders>
              <w:top w:val="nil"/>
              <w:left w:val="nil"/>
              <w:bottom w:val="single" w:sz="4" w:space="0" w:color="auto"/>
              <w:right w:val="single" w:sz="12" w:space="0" w:color="auto"/>
            </w:tcBorders>
            <w:shd w:val="clear" w:color="auto" w:fill="auto"/>
            <w:noWrap/>
            <w:vAlign w:val="center"/>
            <w:hideMark/>
          </w:tcPr>
          <w:p w14:paraId="4A0B4329" w14:textId="77777777" w:rsidR="009465CD" w:rsidRDefault="009465CD">
            <w:pPr>
              <w:jc w:val="center"/>
              <w:rPr>
                <w:rFonts w:ascii="Calibri" w:hAnsi="Calibri"/>
                <w:color w:val="000000"/>
                <w:sz w:val="22"/>
                <w:szCs w:val="22"/>
              </w:rPr>
            </w:pPr>
            <w:r>
              <w:rPr>
                <w:rFonts w:ascii="Calibri" w:hAnsi="Calibri"/>
                <w:color w:val="000000"/>
                <w:sz w:val="22"/>
                <w:szCs w:val="22"/>
              </w:rPr>
              <w:t>0.30</w:t>
            </w:r>
          </w:p>
        </w:tc>
      </w:tr>
      <w:tr w:rsidR="00512DB9" w14:paraId="4BDF9272" w14:textId="77777777" w:rsidTr="009A55F4">
        <w:trPr>
          <w:trHeight w:val="300"/>
        </w:trPr>
        <w:tc>
          <w:tcPr>
            <w:tcW w:w="9265" w:type="dxa"/>
            <w:gridSpan w:val="7"/>
            <w:tcBorders>
              <w:top w:val="single" w:sz="4" w:space="0" w:color="auto"/>
              <w:left w:val="single" w:sz="12" w:space="0" w:color="auto"/>
              <w:bottom w:val="single" w:sz="4" w:space="0" w:color="auto"/>
              <w:right w:val="single" w:sz="12" w:space="0" w:color="000000"/>
            </w:tcBorders>
            <w:shd w:val="clear" w:color="auto" w:fill="auto"/>
            <w:noWrap/>
            <w:vAlign w:val="bottom"/>
            <w:hideMark/>
          </w:tcPr>
          <w:p w14:paraId="26F97A8F" w14:textId="452A4FC0" w:rsidR="00512DB9" w:rsidRDefault="00512DB9" w:rsidP="00512DB9">
            <w:pPr>
              <w:rPr>
                <w:rFonts w:ascii="Calibri" w:hAnsi="Calibri"/>
                <w:b/>
                <w:bCs/>
                <w:color w:val="000000"/>
                <w:sz w:val="22"/>
                <w:szCs w:val="22"/>
              </w:rPr>
            </w:pPr>
            <w:r>
              <w:rPr>
                <w:rFonts w:ascii="Calibri" w:hAnsi="Calibri"/>
                <w:b/>
                <w:bCs/>
                <w:color w:val="000000"/>
                <w:sz w:val="22"/>
                <w:szCs w:val="22"/>
              </w:rPr>
              <w:t>Males</w:t>
            </w:r>
          </w:p>
        </w:tc>
      </w:tr>
      <w:tr w:rsidR="003B202C" w14:paraId="066CF3FB"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0A7F30E5" w14:textId="77777777" w:rsidR="003B202C" w:rsidRDefault="003B202C" w:rsidP="00DA4C73">
            <w:pPr>
              <w:ind w:firstLineChars="200" w:firstLine="440"/>
              <w:rPr>
                <w:rFonts w:ascii="Calibri" w:hAnsi="Calibri"/>
                <w:color w:val="000000"/>
                <w:sz w:val="22"/>
                <w:szCs w:val="22"/>
              </w:rPr>
            </w:pPr>
            <w:r>
              <w:rPr>
                <w:rFonts w:ascii="Calibri" w:hAnsi="Calibri"/>
                <w:color w:val="000000"/>
                <w:sz w:val="22"/>
                <w:szCs w:val="22"/>
              </w:rPr>
              <w:t>Percent with 4-yr college degree</w:t>
            </w:r>
          </w:p>
        </w:tc>
        <w:tc>
          <w:tcPr>
            <w:tcW w:w="717" w:type="dxa"/>
            <w:tcBorders>
              <w:top w:val="nil"/>
              <w:left w:val="nil"/>
              <w:bottom w:val="single" w:sz="4" w:space="0" w:color="auto"/>
              <w:right w:val="single" w:sz="4" w:space="0" w:color="auto"/>
            </w:tcBorders>
            <w:shd w:val="clear" w:color="auto" w:fill="auto"/>
            <w:noWrap/>
            <w:vAlign w:val="center"/>
            <w:hideMark/>
          </w:tcPr>
          <w:p w14:paraId="4C836F1F" w14:textId="77777777" w:rsidR="003B202C" w:rsidRDefault="003B202C" w:rsidP="00DA4C73">
            <w:pPr>
              <w:jc w:val="center"/>
              <w:rPr>
                <w:rFonts w:ascii="Calibri" w:hAnsi="Calibri"/>
                <w:color w:val="000000"/>
                <w:sz w:val="22"/>
                <w:szCs w:val="22"/>
              </w:rPr>
            </w:pPr>
            <w:r>
              <w:rPr>
                <w:rFonts w:ascii="Calibri" w:hAnsi="Calibri"/>
                <w:color w:val="000000"/>
                <w:sz w:val="22"/>
                <w:szCs w:val="22"/>
              </w:rPr>
              <w:t>1,091</w:t>
            </w:r>
          </w:p>
        </w:tc>
        <w:tc>
          <w:tcPr>
            <w:tcW w:w="947" w:type="dxa"/>
            <w:tcBorders>
              <w:top w:val="nil"/>
              <w:left w:val="nil"/>
              <w:bottom w:val="single" w:sz="4" w:space="0" w:color="auto"/>
              <w:right w:val="single" w:sz="4" w:space="0" w:color="auto"/>
            </w:tcBorders>
            <w:shd w:val="clear" w:color="auto" w:fill="auto"/>
            <w:noWrap/>
            <w:vAlign w:val="center"/>
            <w:hideMark/>
          </w:tcPr>
          <w:p w14:paraId="694ADF5C" w14:textId="77777777" w:rsidR="003B202C" w:rsidRDefault="003B202C" w:rsidP="00DA4C73">
            <w:pPr>
              <w:jc w:val="center"/>
              <w:rPr>
                <w:rFonts w:ascii="Calibri" w:hAnsi="Calibri"/>
                <w:color w:val="000000"/>
                <w:sz w:val="22"/>
                <w:szCs w:val="22"/>
              </w:rPr>
            </w:pPr>
            <w:r>
              <w:rPr>
                <w:rFonts w:ascii="Calibri" w:hAnsi="Calibri"/>
                <w:color w:val="000000"/>
                <w:sz w:val="22"/>
                <w:szCs w:val="22"/>
              </w:rPr>
              <w:t>21%</w:t>
            </w:r>
          </w:p>
        </w:tc>
        <w:tc>
          <w:tcPr>
            <w:tcW w:w="717" w:type="dxa"/>
            <w:tcBorders>
              <w:top w:val="nil"/>
              <w:left w:val="nil"/>
              <w:bottom w:val="single" w:sz="4" w:space="0" w:color="auto"/>
              <w:right w:val="single" w:sz="4" w:space="0" w:color="auto"/>
            </w:tcBorders>
            <w:shd w:val="clear" w:color="auto" w:fill="auto"/>
            <w:noWrap/>
            <w:vAlign w:val="center"/>
            <w:hideMark/>
          </w:tcPr>
          <w:p w14:paraId="7867CA39" w14:textId="77777777" w:rsidR="003B202C" w:rsidRDefault="003B202C" w:rsidP="00DA4C73">
            <w:pPr>
              <w:jc w:val="center"/>
              <w:rPr>
                <w:rFonts w:ascii="Calibri" w:hAnsi="Calibri"/>
                <w:color w:val="000000"/>
                <w:sz w:val="22"/>
                <w:szCs w:val="22"/>
              </w:rPr>
            </w:pPr>
            <w:r>
              <w:rPr>
                <w:rFonts w:ascii="Calibri" w:hAnsi="Calibri"/>
                <w:color w:val="000000"/>
                <w:sz w:val="22"/>
                <w:szCs w:val="22"/>
              </w:rPr>
              <w:t>1219</w:t>
            </w:r>
          </w:p>
        </w:tc>
        <w:tc>
          <w:tcPr>
            <w:tcW w:w="924" w:type="dxa"/>
            <w:tcBorders>
              <w:top w:val="nil"/>
              <w:left w:val="nil"/>
              <w:bottom w:val="single" w:sz="4" w:space="0" w:color="auto"/>
              <w:right w:val="single" w:sz="4" w:space="0" w:color="auto"/>
            </w:tcBorders>
            <w:shd w:val="clear" w:color="auto" w:fill="auto"/>
            <w:noWrap/>
            <w:vAlign w:val="center"/>
            <w:hideMark/>
          </w:tcPr>
          <w:p w14:paraId="40C5EBF0" w14:textId="77777777" w:rsidR="003B202C" w:rsidRDefault="003B202C" w:rsidP="00DA4C73">
            <w:pPr>
              <w:jc w:val="center"/>
              <w:rPr>
                <w:rFonts w:ascii="Calibri" w:hAnsi="Calibri"/>
                <w:color w:val="000000"/>
                <w:sz w:val="22"/>
                <w:szCs w:val="22"/>
              </w:rPr>
            </w:pPr>
            <w:r>
              <w:rPr>
                <w:rFonts w:ascii="Calibri" w:hAnsi="Calibri"/>
                <w:color w:val="000000"/>
                <w:sz w:val="22"/>
                <w:szCs w:val="22"/>
              </w:rPr>
              <w:t>29%</w:t>
            </w:r>
          </w:p>
        </w:tc>
        <w:tc>
          <w:tcPr>
            <w:tcW w:w="722" w:type="dxa"/>
            <w:gridSpan w:val="2"/>
            <w:tcBorders>
              <w:top w:val="nil"/>
              <w:left w:val="nil"/>
              <w:bottom w:val="single" w:sz="4" w:space="0" w:color="auto"/>
              <w:right w:val="single" w:sz="12" w:space="0" w:color="auto"/>
            </w:tcBorders>
            <w:shd w:val="clear" w:color="auto" w:fill="auto"/>
            <w:noWrap/>
            <w:vAlign w:val="center"/>
            <w:hideMark/>
          </w:tcPr>
          <w:p w14:paraId="03F91A27" w14:textId="77777777" w:rsidR="003B202C" w:rsidRDefault="003B202C" w:rsidP="00DA4C73">
            <w:pPr>
              <w:jc w:val="center"/>
              <w:rPr>
                <w:rFonts w:ascii="Calibri" w:hAnsi="Calibri"/>
                <w:color w:val="000000"/>
                <w:sz w:val="22"/>
                <w:szCs w:val="22"/>
              </w:rPr>
            </w:pPr>
            <w:r>
              <w:rPr>
                <w:rFonts w:ascii="Calibri" w:hAnsi="Calibri"/>
                <w:color w:val="000000"/>
                <w:sz w:val="22"/>
                <w:szCs w:val="22"/>
              </w:rPr>
              <w:t>0.03</w:t>
            </w:r>
          </w:p>
        </w:tc>
      </w:tr>
      <w:tr w:rsidR="003B202C" w14:paraId="6FC0C3DC"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1CD8A54C" w14:textId="77777777" w:rsidR="003B202C" w:rsidRDefault="003B202C" w:rsidP="00DA4C73">
            <w:pPr>
              <w:ind w:firstLineChars="200" w:firstLine="440"/>
              <w:rPr>
                <w:rFonts w:ascii="Calibri" w:hAnsi="Calibri"/>
                <w:color w:val="000000"/>
                <w:sz w:val="22"/>
                <w:szCs w:val="22"/>
              </w:rPr>
            </w:pPr>
            <w:r>
              <w:rPr>
                <w:rFonts w:ascii="Calibri" w:hAnsi="Calibri"/>
                <w:color w:val="000000"/>
                <w:sz w:val="22"/>
                <w:szCs w:val="22"/>
              </w:rPr>
              <w:t>Percent with income $100,000+</w:t>
            </w:r>
          </w:p>
        </w:tc>
        <w:tc>
          <w:tcPr>
            <w:tcW w:w="717" w:type="dxa"/>
            <w:tcBorders>
              <w:top w:val="nil"/>
              <w:left w:val="nil"/>
              <w:bottom w:val="single" w:sz="4" w:space="0" w:color="auto"/>
              <w:right w:val="single" w:sz="4" w:space="0" w:color="auto"/>
            </w:tcBorders>
            <w:shd w:val="clear" w:color="auto" w:fill="auto"/>
            <w:noWrap/>
            <w:vAlign w:val="center"/>
            <w:hideMark/>
          </w:tcPr>
          <w:p w14:paraId="3E4A2888" w14:textId="77777777" w:rsidR="003B202C" w:rsidRDefault="003B202C" w:rsidP="00DA4C73">
            <w:pPr>
              <w:jc w:val="center"/>
              <w:rPr>
                <w:rFonts w:ascii="Calibri" w:hAnsi="Calibri"/>
                <w:color w:val="000000"/>
                <w:sz w:val="22"/>
                <w:szCs w:val="22"/>
              </w:rPr>
            </w:pPr>
            <w:r>
              <w:rPr>
                <w:rFonts w:ascii="Calibri" w:hAnsi="Calibri"/>
                <w:color w:val="000000"/>
                <w:sz w:val="22"/>
                <w:szCs w:val="22"/>
              </w:rPr>
              <w:t>963</w:t>
            </w:r>
          </w:p>
        </w:tc>
        <w:tc>
          <w:tcPr>
            <w:tcW w:w="947" w:type="dxa"/>
            <w:tcBorders>
              <w:top w:val="nil"/>
              <w:left w:val="nil"/>
              <w:bottom w:val="single" w:sz="4" w:space="0" w:color="auto"/>
              <w:right w:val="single" w:sz="4" w:space="0" w:color="auto"/>
            </w:tcBorders>
            <w:shd w:val="clear" w:color="auto" w:fill="auto"/>
            <w:noWrap/>
            <w:vAlign w:val="center"/>
            <w:hideMark/>
          </w:tcPr>
          <w:p w14:paraId="3E01ADAB" w14:textId="77777777" w:rsidR="003B202C" w:rsidRDefault="003B202C" w:rsidP="00DA4C73">
            <w:pPr>
              <w:jc w:val="center"/>
              <w:rPr>
                <w:rFonts w:ascii="Calibri" w:hAnsi="Calibri"/>
                <w:color w:val="000000"/>
                <w:sz w:val="22"/>
                <w:szCs w:val="22"/>
              </w:rPr>
            </w:pPr>
            <w:r>
              <w:rPr>
                <w:rFonts w:ascii="Calibri" w:hAnsi="Calibri"/>
                <w:color w:val="000000"/>
                <w:sz w:val="22"/>
                <w:szCs w:val="22"/>
              </w:rPr>
              <w:t>17%</w:t>
            </w:r>
          </w:p>
        </w:tc>
        <w:tc>
          <w:tcPr>
            <w:tcW w:w="717" w:type="dxa"/>
            <w:tcBorders>
              <w:top w:val="nil"/>
              <w:left w:val="nil"/>
              <w:bottom w:val="single" w:sz="4" w:space="0" w:color="auto"/>
              <w:right w:val="single" w:sz="4" w:space="0" w:color="auto"/>
            </w:tcBorders>
            <w:shd w:val="clear" w:color="auto" w:fill="auto"/>
            <w:noWrap/>
            <w:vAlign w:val="center"/>
            <w:hideMark/>
          </w:tcPr>
          <w:p w14:paraId="61703ECD" w14:textId="77777777" w:rsidR="003B202C" w:rsidRDefault="003B202C" w:rsidP="00DA4C73">
            <w:pPr>
              <w:jc w:val="center"/>
              <w:rPr>
                <w:rFonts w:ascii="Calibri" w:hAnsi="Calibri"/>
                <w:color w:val="000000"/>
                <w:sz w:val="22"/>
                <w:szCs w:val="22"/>
              </w:rPr>
            </w:pPr>
            <w:r>
              <w:rPr>
                <w:rFonts w:ascii="Calibri" w:hAnsi="Calibri"/>
                <w:color w:val="000000"/>
                <w:sz w:val="22"/>
                <w:szCs w:val="22"/>
              </w:rPr>
              <w:t>1094</w:t>
            </w:r>
          </w:p>
        </w:tc>
        <w:tc>
          <w:tcPr>
            <w:tcW w:w="924" w:type="dxa"/>
            <w:tcBorders>
              <w:top w:val="nil"/>
              <w:left w:val="nil"/>
              <w:bottom w:val="single" w:sz="4" w:space="0" w:color="auto"/>
              <w:right w:val="single" w:sz="4" w:space="0" w:color="auto"/>
            </w:tcBorders>
            <w:shd w:val="clear" w:color="auto" w:fill="auto"/>
            <w:noWrap/>
            <w:vAlign w:val="center"/>
            <w:hideMark/>
          </w:tcPr>
          <w:p w14:paraId="2A263BD4" w14:textId="77777777" w:rsidR="003B202C" w:rsidRDefault="003B202C" w:rsidP="00DA4C73">
            <w:pPr>
              <w:jc w:val="center"/>
              <w:rPr>
                <w:rFonts w:ascii="Calibri" w:hAnsi="Calibri"/>
                <w:color w:val="000000"/>
                <w:sz w:val="22"/>
                <w:szCs w:val="22"/>
              </w:rPr>
            </w:pPr>
            <w:r>
              <w:rPr>
                <w:rFonts w:ascii="Calibri" w:hAnsi="Calibri"/>
                <w:color w:val="000000"/>
                <w:sz w:val="22"/>
                <w:szCs w:val="22"/>
              </w:rPr>
              <w:t>17%</w:t>
            </w:r>
          </w:p>
        </w:tc>
        <w:tc>
          <w:tcPr>
            <w:tcW w:w="722" w:type="dxa"/>
            <w:gridSpan w:val="2"/>
            <w:tcBorders>
              <w:top w:val="nil"/>
              <w:left w:val="nil"/>
              <w:bottom w:val="single" w:sz="4" w:space="0" w:color="auto"/>
              <w:right w:val="single" w:sz="12" w:space="0" w:color="auto"/>
            </w:tcBorders>
            <w:shd w:val="clear" w:color="auto" w:fill="auto"/>
            <w:noWrap/>
            <w:vAlign w:val="center"/>
            <w:hideMark/>
          </w:tcPr>
          <w:p w14:paraId="17D20970" w14:textId="77777777" w:rsidR="003B202C" w:rsidRDefault="003B202C" w:rsidP="00DA4C73">
            <w:pPr>
              <w:jc w:val="center"/>
              <w:rPr>
                <w:rFonts w:ascii="Calibri" w:hAnsi="Calibri"/>
                <w:color w:val="000000"/>
                <w:sz w:val="22"/>
                <w:szCs w:val="22"/>
              </w:rPr>
            </w:pPr>
            <w:r>
              <w:rPr>
                <w:rFonts w:ascii="Calibri" w:hAnsi="Calibri"/>
                <w:color w:val="000000"/>
                <w:sz w:val="22"/>
                <w:szCs w:val="22"/>
              </w:rPr>
              <w:t>0.98</w:t>
            </w:r>
          </w:p>
        </w:tc>
      </w:tr>
      <w:tr w:rsidR="003B202C" w14:paraId="5FA13DB7"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7D5CE6DC" w14:textId="77777777" w:rsidR="003B202C" w:rsidRDefault="003B202C" w:rsidP="00DA4C73">
            <w:pPr>
              <w:ind w:firstLineChars="200" w:firstLine="440"/>
              <w:rPr>
                <w:rFonts w:ascii="Calibri" w:hAnsi="Calibri"/>
                <w:color w:val="000000"/>
                <w:sz w:val="22"/>
                <w:szCs w:val="22"/>
              </w:rPr>
            </w:pPr>
            <w:r>
              <w:rPr>
                <w:rFonts w:ascii="Calibri" w:hAnsi="Calibri"/>
                <w:color w:val="000000"/>
                <w:sz w:val="22"/>
                <w:szCs w:val="22"/>
              </w:rPr>
              <w:t>Percent never married</w:t>
            </w:r>
          </w:p>
        </w:tc>
        <w:tc>
          <w:tcPr>
            <w:tcW w:w="717" w:type="dxa"/>
            <w:tcBorders>
              <w:top w:val="nil"/>
              <w:left w:val="nil"/>
              <w:bottom w:val="single" w:sz="4" w:space="0" w:color="auto"/>
              <w:right w:val="single" w:sz="4" w:space="0" w:color="auto"/>
            </w:tcBorders>
            <w:shd w:val="clear" w:color="auto" w:fill="auto"/>
            <w:noWrap/>
            <w:vAlign w:val="center"/>
            <w:hideMark/>
          </w:tcPr>
          <w:p w14:paraId="7011866C" w14:textId="77777777" w:rsidR="003B202C" w:rsidRDefault="003B202C" w:rsidP="00DA4C73">
            <w:pPr>
              <w:jc w:val="center"/>
              <w:rPr>
                <w:rFonts w:ascii="Calibri" w:hAnsi="Calibri"/>
                <w:color w:val="000000"/>
                <w:sz w:val="22"/>
                <w:szCs w:val="22"/>
              </w:rPr>
            </w:pPr>
            <w:r>
              <w:rPr>
                <w:rFonts w:ascii="Calibri" w:hAnsi="Calibri"/>
                <w:color w:val="000000"/>
                <w:sz w:val="22"/>
                <w:szCs w:val="22"/>
              </w:rPr>
              <w:t>1,092</w:t>
            </w:r>
          </w:p>
        </w:tc>
        <w:tc>
          <w:tcPr>
            <w:tcW w:w="947" w:type="dxa"/>
            <w:tcBorders>
              <w:top w:val="nil"/>
              <w:left w:val="nil"/>
              <w:bottom w:val="single" w:sz="4" w:space="0" w:color="auto"/>
              <w:right w:val="single" w:sz="4" w:space="0" w:color="auto"/>
            </w:tcBorders>
            <w:shd w:val="clear" w:color="auto" w:fill="auto"/>
            <w:noWrap/>
            <w:vAlign w:val="center"/>
            <w:hideMark/>
          </w:tcPr>
          <w:p w14:paraId="6B5ECADA" w14:textId="77777777" w:rsidR="003B202C" w:rsidRDefault="003B202C" w:rsidP="00DA4C73">
            <w:pPr>
              <w:jc w:val="center"/>
              <w:rPr>
                <w:rFonts w:ascii="Calibri" w:hAnsi="Calibri"/>
                <w:color w:val="000000"/>
                <w:sz w:val="22"/>
                <w:szCs w:val="22"/>
              </w:rPr>
            </w:pPr>
            <w:r>
              <w:rPr>
                <w:rFonts w:ascii="Calibri" w:hAnsi="Calibri"/>
                <w:color w:val="000000"/>
                <w:sz w:val="22"/>
                <w:szCs w:val="22"/>
              </w:rPr>
              <w:t>57%</w:t>
            </w:r>
          </w:p>
        </w:tc>
        <w:tc>
          <w:tcPr>
            <w:tcW w:w="717" w:type="dxa"/>
            <w:tcBorders>
              <w:top w:val="nil"/>
              <w:left w:val="nil"/>
              <w:bottom w:val="single" w:sz="4" w:space="0" w:color="auto"/>
              <w:right w:val="single" w:sz="4" w:space="0" w:color="auto"/>
            </w:tcBorders>
            <w:shd w:val="clear" w:color="auto" w:fill="auto"/>
            <w:noWrap/>
            <w:vAlign w:val="center"/>
            <w:hideMark/>
          </w:tcPr>
          <w:p w14:paraId="2E990382" w14:textId="77777777" w:rsidR="003B202C" w:rsidRDefault="003B202C" w:rsidP="00DA4C73">
            <w:pPr>
              <w:jc w:val="center"/>
              <w:rPr>
                <w:rFonts w:ascii="Calibri" w:hAnsi="Calibri"/>
                <w:color w:val="000000"/>
                <w:sz w:val="22"/>
                <w:szCs w:val="22"/>
              </w:rPr>
            </w:pPr>
            <w:r>
              <w:rPr>
                <w:rFonts w:ascii="Calibri" w:hAnsi="Calibri"/>
                <w:color w:val="000000"/>
                <w:sz w:val="22"/>
                <w:szCs w:val="22"/>
              </w:rPr>
              <w:t>1221</w:t>
            </w:r>
          </w:p>
        </w:tc>
        <w:tc>
          <w:tcPr>
            <w:tcW w:w="924" w:type="dxa"/>
            <w:tcBorders>
              <w:top w:val="nil"/>
              <w:left w:val="nil"/>
              <w:bottom w:val="single" w:sz="4" w:space="0" w:color="auto"/>
              <w:right w:val="single" w:sz="4" w:space="0" w:color="auto"/>
            </w:tcBorders>
            <w:shd w:val="clear" w:color="auto" w:fill="auto"/>
            <w:noWrap/>
            <w:vAlign w:val="center"/>
            <w:hideMark/>
          </w:tcPr>
          <w:p w14:paraId="3F2864DF" w14:textId="77777777" w:rsidR="003B202C" w:rsidRDefault="003B202C" w:rsidP="00DA4C73">
            <w:pPr>
              <w:jc w:val="center"/>
              <w:rPr>
                <w:rFonts w:ascii="Calibri" w:hAnsi="Calibri"/>
                <w:color w:val="000000"/>
                <w:sz w:val="22"/>
                <w:szCs w:val="22"/>
              </w:rPr>
            </w:pPr>
            <w:r>
              <w:rPr>
                <w:rFonts w:ascii="Calibri" w:hAnsi="Calibri"/>
                <w:color w:val="000000"/>
                <w:sz w:val="22"/>
                <w:szCs w:val="22"/>
              </w:rPr>
              <w:t>52%</w:t>
            </w:r>
          </w:p>
        </w:tc>
        <w:tc>
          <w:tcPr>
            <w:tcW w:w="722" w:type="dxa"/>
            <w:gridSpan w:val="2"/>
            <w:tcBorders>
              <w:top w:val="nil"/>
              <w:left w:val="nil"/>
              <w:bottom w:val="single" w:sz="4" w:space="0" w:color="auto"/>
              <w:right w:val="single" w:sz="12" w:space="0" w:color="auto"/>
            </w:tcBorders>
            <w:shd w:val="clear" w:color="auto" w:fill="auto"/>
            <w:noWrap/>
            <w:vAlign w:val="center"/>
            <w:hideMark/>
          </w:tcPr>
          <w:p w14:paraId="0BB2A644" w14:textId="77777777" w:rsidR="003B202C" w:rsidRDefault="003B202C" w:rsidP="00DA4C73">
            <w:pPr>
              <w:jc w:val="center"/>
              <w:rPr>
                <w:rFonts w:ascii="Calibri" w:hAnsi="Calibri"/>
                <w:color w:val="000000"/>
                <w:sz w:val="22"/>
                <w:szCs w:val="22"/>
              </w:rPr>
            </w:pPr>
            <w:r>
              <w:rPr>
                <w:rFonts w:ascii="Calibri" w:hAnsi="Calibri"/>
                <w:color w:val="000000"/>
                <w:sz w:val="22"/>
                <w:szCs w:val="22"/>
              </w:rPr>
              <w:t>0.12</w:t>
            </w:r>
          </w:p>
        </w:tc>
      </w:tr>
      <w:tr w:rsidR="003B202C" w14:paraId="3C29C8E1"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5A9614A6" w14:textId="77777777" w:rsidR="003B202C" w:rsidRDefault="003B202C" w:rsidP="00DA4C73">
            <w:pPr>
              <w:ind w:firstLineChars="200" w:firstLine="440"/>
              <w:rPr>
                <w:rFonts w:ascii="Calibri" w:hAnsi="Calibri"/>
                <w:color w:val="000000"/>
                <w:sz w:val="22"/>
                <w:szCs w:val="22"/>
              </w:rPr>
            </w:pPr>
            <w:r>
              <w:rPr>
                <w:rFonts w:ascii="Calibri" w:hAnsi="Calibri"/>
                <w:color w:val="000000"/>
                <w:sz w:val="22"/>
                <w:szCs w:val="22"/>
              </w:rPr>
              <w:t>Percent ever cohabited</w:t>
            </w:r>
          </w:p>
        </w:tc>
        <w:tc>
          <w:tcPr>
            <w:tcW w:w="717" w:type="dxa"/>
            <w:tcBorders>
              <w:top w:val="nil"/>
              <w:left w:val="nil"/>
              <w:bottom w:val="single" w:sz="4" w:space="0" w:color="auto"/>
              <w:right w:val="single" w:sz="4" w:space="0" w:color="auto"/>
            </w:tcBorders>
            <w:shd w:val="clear" w:color="auto" w:fill="auto"/>
            <w:noWrap/>
            <w:vAlign w:val="center"/>
            <w:hideMark/>
          </w:tcPr>
          <w:p w14:paraId="4AA308DC" w14:textId="77777777" w:rsidR="003B202C" w:rsidRDefault="003B202C" w:rsidP="00DA4C73">
            <w:pPr>
              <w:jc w:val="center"/>
              <w:rPr>
                <w:rFonts w:ascii="Calibri" w:hAnsi="Calibri"/>
                <w:color w:val="000000"/>
                <w:sz w:val="22"/>
                <w:szCs w:val="22"/>
              </w:rPr>
            </w:pPr>
            <w:r>
              <w:rPr>
                <w:rFonts w:ascii="Calibri" w:hAnsi="Calibri"/>
                <w:color w:val="000000"/>
                <w:sz w:val="22"/>
                <w:szCs w:val="22"/>
              </w:rPr>
              <w:t>1,092</w:t>
            </w:r>
          </w:p>
        </w:tc>
        <w:tc>
          <w:tcPr>
            <w:tcW w:w="947" w:type="dxa"/>
            <w:tcBorders>
              <w:top w:val="nil"/>
              <w:left w:val="nil"/>
              <w:bottom w:val="single" w:sz="4" w:space="0" w:color="auto"/>
              <w:right w:val="single" w:sz="4" w:space="0" w:color="auto"/>
            </w:tcBorders>
            <w:shd w:val="clear" w:color="auto" w:fill="auto"/>
            <w:noWrap/>
            <w:vAlign w:val="center"/>
            <w:hideMark/>
          </w:tcPr>
          <w:p w14:paraId="6B97B09E" w14:textId="77777777" w:rsidR="003B202C" w:rsidRDefault="003B202C" w:rsidP="00DA4C73">
            <w:pPr>
              <w:jc w:val="center"/>
              <w:rPr>
                <w:rFonts w:ascii="Calibri" w:hAnsi="Calibri"/>
                <w:color w:val="000000"/>
                <w:sz w:val="22"/>
                <w:szCs w:val="22"/>
              </w:rPr>
            </w:pPr>
            <w:r>
              <w:rPr>
                <w:rFonts w:ascii="Calibri" w:hAnsi="Calibri"/>
                <w:color w:val="000000"/>
                <w:sz w:val="22"/>
                <w:szCs w:val="22"/>
              </w:rPr>
              <w:t>35%</w:t>
            </w:r>
          </w:p>
        </w:tc>
        <w:tc>
          <w:tcPr>
            <w:tcW w:w="717" w:type="dxa"/>
            <w:tcBorders>
              <w:top w:val="nil"/>
              <w:left w:val="nil"/>
              <w:bottom w:val="single" w:sz="4" w:space="0" w:color="auto"/>
              <w:right w:val="single" w:sz="4" w:space="0" w:color="auto"/>
            </w:tcBorders>
            <w:shd w:val="clear" w:color="auto" w:fill="auto"/>
            <w:noWrap/>
            <w:vAlign w:val="center"/>
            <w:hideMark/>
          </w:tcPr>
          <w:p w14:paraId="355F8F4A" w14:textId="77777777" w:rsidR="003B202C" w:rsidRDefault="003B202C" w:rsidP="00DA4C73">
            <w:pPr>
              <w:jc w:val="center"/>
              <w:rPr>
                <w:rFonts w:ascii="Calibri" w:hAnsi="Calibri"/>
                <w:color w:val="000000"/>
                <w:sz w:val="22"/>
                <w:szCs w:val="22"/>
              </w:rPr>
            </w:pPr>
            <w:r>
              <w:rPr>
                <w:rFonts w:ascii="Calibri" w:hAnsi="Calibri"/>
                <w:color w:val="000000"/>
                <w:sz w:val="22"/>
                <w:szCs w:val="22"/>
              </w:rPr>
              <w:t>1221</w:t>
            </w:r>
          </w:p>
        </w:tc>
        <w:tc>
          <w:tcPr>
            <w:tcW w:w="924" w:type="dxa"/>
            <w:tcBorders>
              <w:top w:val="nil"/>
              <w:left w:val="nil"/>
              <w:bottom w:val="single" w:sz="4" w:space="0" w:color="auto"/>
              <w:right w:val="single" w:sz="4" w:space="0" w:color="auto"/>
            </w:tcBorders>
            <w:shd w:val="clear" w:color="auto" w:fill="auto"/>
            <w:noWrap/>
            <w:vAlign w:val="center"/>
            <w:hideMark/>
          </w:tcPr>
          <w:p w14:paraId="2E08E752" w14:textId="77777777" w:rsidR="003B202C" w:rsidRDefault="003B202C" w:rsidP="00DA4C73">
            <w:pPr>
              <w:jc w:val="center"/>
              <w:rPr>
                <w:rFonts w:ascii="Calibri" w:hAnsi="Calibri"/>
                <w:color w:val="000000"/>
                <w:sz w:val="22"/>
                <w:szCs w:val="22"/>
              </w:rPr>
            </w:pPr>
            <w:r>
              <w:rPr>
                <w:rFonts w:ascii="Calibri" w:hAnsi="Calibri"/>
                <w:color w:val="000000"/>
                <w:sz w:val="22"/>
                <w:szCs w:val="22"/>
              </w:rPr>
              <w:t>32%</w:t>
            </w:r>
          </w:p>
        </w:tc>
        <w:tc>
          <w:tcPr>
            <w:tcW w:w="722" w:type="dxa"/>
            <w:gridSpan w:val="2"/>
            <w:tcBorders>
              <w:top w:val="nil"/>
              <w:left w:val="nil"/>
              <w:bottom w:val="single" w:sz="4" w:space="0" w:color="auto"/>
              <w:right w:val="single" w:sz="12" w:space="0" w:color="auto"/>
            </w:tcBorders>
            <w:shd w:val="clear" w:color="auto" w:fill="auto"/>
            <w:noWrap/>
            <w:vAlign w:val="center"/>
            <w:hideMark/>
          </w:tcPr>
          <w:p w14:paraId="269EFBAC" w14:textId="77777777" w:rsidR="003B202C" w:rsidRDefault="003B202C" w:rsidP="00DA4C73">
            <w:pPr>
              <w:jc w:val="center"/>
              <w:rPr>
                <w:rFonts w:ascii="Calibri" w:hAnsi="Calibri"/>
                <w:color w:val="000000"/>
                <w:sz w:val="22"/>
                <w:szCs w:val="22"/>
              </w:rPr>
            </w:pPr>
            <w:r>
              <w:rPr>
                <w:rFonts w:ascii="Calibri" w:hAnsi="Calibri"/>
                <w:color w:val="000000"/>
                <w:sz w:val="22"/>
                <w:szCs w:val="22"/>
              </w:rPr>
              <w:t>0.24</w:t>
            </w:r>
          </w:p>
        </w:tc>
      </w:tr>
      <w:tr w:rsidR="00D5050F" w14:paraId="46420A66"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tcPr>
          <w:p w14:paraId="2EB22094" w14:textId="6E95D693" w:rsidR="00D5050F" w:rsidRDefault="00D5050F" w:rsidP="00DA4C73">
            <w:pPr>
              <w:ind w:firstLineChars="200" w:firstLine="440"/>
              <w:rPr>
                <w:rFonts w:ascii="Calibri" w:hAnsi="Calibri"/>
                <w:color w:val="000000"/>
                <w:sz w:val="22"/>
                <w:szCs w:val="22"/>
              </w:rPr>
            </w:pPr>
            <w:r>
              <w:rPr>
                <w:rFonts w:ascii="Calibri" w:hAnsi="Calibri"/>
                <w:color w:val="000000"/>
                <w:sz w:val="22"/>
                <w:szCs w:val="22"/>
              </w:rPr>
              <w:t>Percent ever had sex in past 12 months</w:t>
            </w:r>
          </w:p>
        </w:tc>
        <w:tc>
          <w:tcPr>
            <w:tcW w:w="717" w:type="dxa"/>
            <w:tcBorders>
              <w:top w:val="nil"/>
              <w:left w:val="nil"/>
              <w:bottom w:val="single" w:sz="4" w:space="0" w:color="auto"/>
              <w:right w:val="single" w:sz="4" w:space="0" w:color="auto"/>
            </w:tcBorders>
            <w:shd w:val="clear" w:color="auto" w:fill="auto"/>
            <w:noWrap/>
            <w:vAlign w:val="center"/>
          </w:tcPr>
          <w:p w14:paraId="02989BEB" w14:textId="0555B859" w:rsidR="00D5050F" w:rsidRDefault="00D5050F" w:rsidP="00DA4C73">
            <w:pPr>
              <w:jc w:val="center"/>
              <w:rPr>
                <w:rFonts w:ascii="Calibri" w:hAnsi="Calibri"/>
                <w:color w:val="000000"/>
                <w:sz w:val="22"/>
                <w:szCs w:val="22"/>
              </w:rPr>
            </w:pPr>
            <w:r>
              <w:rPr>
                <w:rFonts w:ascii="Calibri" w:hAnsi="Calibri"/>
                <w:color w:val="000000"/>
                <w:sz w:val="22"/>
                <w:szCs w:val="22"/>
              </w:rPr>
              <w:t>908</w:t>
            </w:r>
          </w:p>
        </w:tc>
        <w:tc>
          <w:tcPr>
            <w:tcW w:w="947" w:type="dxa"/>
            <w:tcBorders>
              <w:top w:val="nil"/>
              <w:left w:val="nil"/>
              <w:bottom w:val="single" w:sz="4" w:space="0" w:color="auto"/>
              <w:right w:val="single" w:sz="4" w:space="0" w:color="auto"/>
            </w:tcBorders>
            <w:shd w:val="clear" w:color="auto" w:fill="auto"/>
            <w:noWrap/>
            <w:vAlign w:val="center"/>
          </w:tcPr>
          <w:p w14:paraId="33A24B28" w14:textId="448DD405" w:rsidR="00D5050F" w:rsidRDefault="00D5050F" w:rsidP="00DA4C73">
            <w:pPr>
              <w:jc w:val="center"/>
              <w:rPr>
                <w:rFonts w:ascii="Calibri" w:hAnsi="Calibri"/>
                <w:color w:val="000000"/>
                <w:sz w:val="22"/>
                <w:szCs w:val="22"/>
              </w:rPr>
            </w:pPr>
            <w:r>
              <w:rPr>
                <w:rFonts w:ascii="Calibri" w:hAnsi="Calibri"/>
                <w:color w:val="000000"/>
                <w:sz w:val="22"/>
                <w:szCs w:val="22"/>
              </w:rPr>
              <w:t>89%</w:t>
            </w:r>
          </w:p>
        </w:tc>
        <w:tc>
          <w:tcPr>
            <w:tcW w:w="717" w:type="dxa"/>
            <w:tcBorders>
              <w:top w:val="nil"/>
              <w:left w:val="nil"/>
              <w:bottom w:val="single" w:sz="4" w:space="0" w:color="auto"/>
              <w:right w:val="single" w:sz="4" w:space="0" w:color="auto"/>
            </w:tcBorders>
            <w:shd w:val="clear" w:color="auto" w:fill="auto"/>
            <w:noWrap/>
            <w:vAlign w:val="center"/>
          </w:tcPr>
          <w:p w14:paraId="742A0DA1" w14:textId="100BABAC" w:rsidR="00D5050F" w:rsidRDefault="00D5050F" w:rsidP="00DA4C73">
            <w:pPr>
              <w:jc w:val="center"/>
              <w:rPr>
                <w:rFonts w:ascii="Calibri" w:hAnsi="Calibri"/>
                <w:color w:val="000000"/>
                <w:sz w:val="22"/>
                <w:szCs w:val="22"/>
              </w:rPr>
            </w:pPr>
            <w:r>
              <w:rPr>
                <w:rFonts w:ascii="Calibri" w:hAnsi="Calibri"/>
                <w:color w:val="000000"/>
                <w:sz w:val="22"/>
                <w:szCs w:val="22"/>
              </w:rPr>
              <w:t>987</w:t>
            </w:r>
          </w:p>
        </w:tc>
        <w:tc>
          <w:tcPr>
            <w:tcW w:w="924" w:type="dxa"/>
            <w:tcBorders>
              <w:top w:val="nil"/>
              <w:left w:val="nil"/>
              <w:bottom w:val="single" w:sz="4" w:space="0" w:color="auto"/>
              <w:right w:val="single" w:sz="4" w:space="0" w:color="auto"/>
            </w:tcBorders>
            <w:shd w:val="clear" w:color="auto" w:fill="auto"/>
            <w:noWrap/>
            <w:vAlign w:val="center"/>
          </w:tcPr>
          <w:p w14:paraId="0C59D101" w14:textId="2AC58F85" w:rsidR="00D5050F" w:rsidRDefault="00D5050F" w:rsidP="00DA4C73">
            <w:pPr>
              <w:jc w:val="center"/>
              <w:rPr>
                <w:rFonts w:ascii="Calibri" w:hAnsi="Calibri"/>
                <w:color w:val="000000"/>
                <w:sz w:val="22"/>
                <w:szCs w:val="22"/>
              </w:rPr>
            </w:pPr>
            <w:r>
              <w:rPr>
                <w:rFonts w:ascii="Calibri" w:hAnsi="Calibri"/>
                <w:color w:val="000000"/>
                <w:sz w:val="22"/>
                <w:szCs w:val="22"/>
              </w:rPr>
              <w:t>90%</w:t>
            </w:r>
          </w:p>
        </w:tc>
        <w:tc>
          <w:tcPr>
            <w:tcW w:w="722" w:type="dxa"/>
            <w:gridSpan w:val="2"/>
            <w:tcBorders>
              <w:top w:val="nil"/>
              <w:left w:val="nil"/>
              <w:bottom w:val="single" w:sz="4" w:space="0" w:color="auto"/>
              <w:right w:val="single" w:sz="12" w:space="0" w:color="auto"/>
            </w:tcBorders>
            <w:shd w:val="clear" w:color="auto" w:fill="auto"/>
            <w:noWrap/>
            <w:vAlign w:val="center"/>
          </w:tcPr>
          <w:p w14:paraId="6CB3BC0C" w14:textId="73C925CC" w:rsidR="00D5050F" w:rsidRDefault="00D5050F" w:rsidP="00D5050F">
            <w:pPr>
              <w:jc w:val="center"/>
              <w:rPr>
                <w:rFonts w:ascii="Calibri" w:hAnsi="Calibri"/>
                <w:color w:val="000000"/>
                <w:sz w:val="22"/>
                <w:szCs w:val="22"/>
              </w:rPr>
            </w:pPr>
            <w:r>
              <w:rPr>
                <w:rFonts w:ascii="Calibri" w:hAnsi="Calibri"/>
                <w:color w:val="000000"/>
                <w:sz w:val="22"/>
                <w:szCs w:val="22"/>
              </w:rPr>
              <w:t>0.48</w:t>
            </w:r>
          </w:p>
        </w:tc>
      </w:tr>
      <w:tr w:rsidR="00512DB9" w14:paraId="6757D7B6"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79A4F337" w14:textId="64562B90" w:rsidR="00512DB9" w:rsidRDefault="00E411EB" w:rsidP="00E411EB">
            <w:pPr>
              <w:ind w:firstLineChars="200" w:firstLine="440"/>
              <w:rPr>
                <w:rFonts w:ascii="Calibri" w:hAnsi="Calibri"/>
                <w:color w:val="000000"/>
                <w:sz w:val="22"/>
                <w:szCs w:val="22"/>
              </w:rPr>
            </w:pPr>
            <w:r>
              <w:rPr>
                <w:rFonts w:ascii="Calibri" w:hAnsi="Calibri"/>
                <w:color w:val="000000"/>
                <w:sz w:val="22"/>
                <w:szCs w:val="22"/>
              </w:rPr>
              <w:t>Percent u</w:t>
            </w:r>
            <w:r w:rsidR="00512DB9">
              <w:rPr>
                <w:rFonts w:ascii="Calibri" w:hAnsi="Calibri"/>
                <w:color w:val="000000"/>
                <w:sz w:val="22"/>
                <w:szCs w:val="22"/>
              </w:rPr>
              <w:t>sed a contraceptive method at most recent sex</w:t>
            </w:r>
          </w:p>
        </w:tc>
        <w:tc>
          <w:tcPr>
            <w:tcW w:w="717" w:type="dxa"/>
            <w:tcBorders>
              <w:top w:val="nil"/>
              <w:left w:val="nil"/>
              <w:bottom w:val="single" w:sz="4" w:space="0" w:color="auto"/>
              <w:right w:val="single" w:sz="4" w:space="0" w:color="auto"/>
            </w:tcBorders>
            <w:shd w:val="clear" w:color="auto" w:fill="auto"/>
            <w:noWrap/>
            <w:vAlign w:val="center"/>
            <w:hideMark/>
          </w:tcPr>
          <w:p w14:paraId="481372E6" w14:textId="77777777" w:rsidR="00512DB9" w:rsidRDefault="00512DB9" w:rsidP="00512DB9">
            <w:pPr>
              <w:jc w:val="center"/>
              <w:rPr>
                <w:rFonts w:ascii="Calibri" w:hAnsi="Calibri"/>
                <w:color w:val="000000"/>
                <w:sz w:val="22"/>
                <w:szCs w:val="22"/>
              </w:rPr>
            </w:pPr>
            <w:r>
              <w:rPr>
                <w:rFonts w:ascii="Calibri" w:hAnsi="Calibri"/>
                <w:color w:val="000000"/>
                <w:sz w:val="22"/>
                <w:szCs w:val="22"/>
              </w:rPr>
              <w:t>517</w:t>
            </w:r>
          </w:p>
        </w:tc>
        <w:tc>
          <w:tcPr>
            <w:tcW w:w="947" w:type="dxa"/>
            <w:tcBorders>
              <w:top w:val="nil"/>
              <w:left w:val="nil"/>
              <w:bottom w:val="single" w:sz="4" w:space="0" w:color="auto"/>
              <w:right w:val="single" w:sz="4" w:space="0" w:color="auto"/>
            </w:tcBorders>
            <w:shd w:val="clear" w:color="auto" w:fill="auto"/>
            <w:noWrap/>
            <w:vAlign w:val="center"/>
            <w:hideMark/>
          </w:tcPr>
          <w:p w14:paraId="2D2BCD61" w14:textId="77777777" w:rsidR="00512DB9" w:rsidRDefault="00512DB9" w:rsidP="00512DB9">
            <w:pPr>
              <w:jc w:val="center"/>
              <w:rPr>
                <w:rFonts w:ascii="Calibri" w:hAnsi="Calibri"/>
                <w:color w:val="000000"/>
                <w:sz w:val="22"/>
                <w:szCs w:val="22"/>
              </w:rPr>
            </w:pPr>
            <w:r>
              <w:rPr>
                <w:rFonts w:ascii="Calibri" w:hAnsi="Calibri"/>
                <w:color w:val="000000"/>
                <w:sz w:val="22"/>
                <w:szCs w:val="22"/>
              </w:rPr>
              <w:t>88%</w:t>
            </w:r>
          </w:p>
        </w:tc>
        <w:tc>
          <w:tcPr>
            <w:tcW w:w="717" w:type="dxa"/>
            <w:tcBorders>
              <w:top w:val="nil"/>
              <w:left w:val="nil"/>
              <w:bottom w:val="single" w:sz="4" w:space="0" w:color="auto"/>
              <w:right w:val="single" w:sz="4" w:space="0" w:color="auto"/>
            </w:tcBorders>
            <w:shd w:val="clear" w:color="auto" w:fill="auto"/>
            <w:noWrap/>
            <w:vAlign w:val="center"/>
            <w:hideMark/>
          </w:tcPr>
          <w:p w14:paraId="0472C454" w14:textId="77777777" w:rsidR="00512DB9" w:rsidRDefault="00512DB9" w:rsidP="00512DB9">
            <w:pPr>
              <w:jc w:val="center"/>
              <w:rPr>
                <w:rFonts w:ascii="Calibri" w:hAnsi="Calibri"/>
                <w:color w:val="000000"/>
                <w:sz w:val="22"/>
                <w:szCs w:val="22"/>
              </w:rPr>
            </w:pPr>
            <w:r>
              <w:rPr>
                <w:rFonts w:ascii="Calibri" w:hAnsi="Calibri"/>
                <w:color w:val="000000"/>
                <w:sz w:val="22"/>
                <w:szCs w:val="22"/>
              </w:rPr>
              <w:t>518</w:t>
            </w:r>
          </w:p>
        </w:tc>
        <w:tc>
          <w:tcPr>
            <w:tcW w:w="924" w:type="dxa"/>
            <w:tcBorders>
              <w:top w:val="nil"/>
              <w:left w:val="nil"/>
              <w:bottom w:val="single" w:sz="4" w:space="0" w:color="auto"/>
              <w:right w:val="single" w:sz="4" w:space="0" w:color="auto"/>
            </w:tcBorders>
            <w:shd w:val="clear" w:color="auto" w:fill="auto"/>
            <w:noWrap/>
            <w:vAlign w:val="center"/>
            <w:hideMark/>
          </w:tcPr>
          <w:p w14:paraId="41E285EF" w14:textId="77777777" w:rsidR="00512DB9" w:rsidRDefault="00512DB9" w:rsidP="00512DB9">
            <w:pPr>
              <w:jc w:val="center"/>
              <w:rPr>
                <w:rFonts w:ascii="Calibri" w:hAnsi="Calibri"/>
                <w:color w:val="000000"/>
                <w:sz w:val="22"/>
                <w:szCs w:val="22"/>
              </w:rPr>
            </w:pPr>
            <w:r>
              <w:rPr>
                <w:rFonts w:ascii="Calibri" w:hAnsi="Calibri"/>
                <w:color w:val="000000"/>
                <w:sz w:val="22"/>
                <w:szCs w:val="22"/>
              </w:rPr>
              <w:t>84%</w:t>
            </w:r>
          </w:p>
        </w:tc>
        <w:tc>
          <w:tcPr>
            <w:tcW w:w="722" w:type="dxa"/>
            <w:gridSpan w:val="2"/>
            <w:tcBorders>
              <w:top w:val="nil"/>
              <w:left w:val="nil"/>
              <w:bottom w:val="single" w:sz="4" w:space="0" w:color="auto"/>
              <w:right w:val="single" w:sz="12" w:space="0" w:color="auto"/>
            </w:tcBorders>
            <w:shd w:val="clear" w:color="auto" w:fill="auto"/>
            <w:noWrap/>
            <w:vAlign w:val="center"/>
            <w:hideMark/>
          </w:tcPr>
          <w:p w14:paraId="2A38FD3D" w14:textId="77777777" w:rsidR="00512DB9" w:rsidRDefault="00512DB9" w:rsidP="00512DB9">
            <w:pPr>
              <w:jc w:val="center"/>
              <w:rPr>
                <w:rFonts w:ascii="Calibri" w:hAnsi="Calibri"/>
                <w:color w:val="000000"/>
                <w:sz w:val="22"/>
                <w:szCs w:val="22"/>
              </w:rPr>
            </w:pPr>
            <w:r>
              <w:rPr>
                <w:rFonts w:ascii="Calibri" w:hAnsi="Calibri"/>
                <w:color w:val="000000"/>
                <w:sz w:val="22"/>
                <w:szCs w:val="22"/>
              </w:rPr>
              <w:t>0.05</w:t>
            </w:r>
          </w:p>
        </w:tc>
      </w:tr>
      <w:tr w:rsidR="003B202C" w14:paraId="6D74947B"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2EBFB8AA" w14:textId="77777777" w:rsidR="003B202C" w:rsidRDefault="003B202C" w:rsidP="00DA4C73">
            <w:pPr>
              <w:ind w:firstLineChars="200" w:firstLine="440"/>
              <w:rPr>
                <w:rFonts w:ascii="Calibri" w:hAnsi="Calibri"/>
                <w:color w:val="000000"/>
                <w:sz w:val="22"/>
                <w:szCs w:val="22"/>
              </w:rPr>
            </w:pPr>
            <w:r>
              <w:rPr>
                <w:rFonts w:ascii="Calibri" w:hAnsi="Calibri"/>
                <w:color w:val="000000"/>
                <w:sz w:val="22"/>
                <w:szCs w:val="22"/>
              </w:rPr>
              <w:t>Percent who did not father a birth</w:t>
            </w:r>
          </w:p>
        </w:tc>
        <w:tc>
          <w:tcPr>
            <w:tcW w:w="717" w:type="dxa"/>
            <w:tcBorders>
              <w:top w:val="nil"/>
              <w:left w:val="nil"/>
              <w:bottom w:val="single" w:sz="4" w:space="0" w:color="auto"/>
              <w:right w:val="single" w:sz="4" w:space="0" w:color="auto"/>
            </w:tcBorders>
            <w:shd w:val="clear" w:color="auto" w:fill="auto"/>
            <w:noWrap/>
            <w:vAlign w:val="center"/>
            <w:hideMark/>
          </w:tcPr>
          <w:p w14:paraId="0C1C0EE7" w14:textId="77777777" w:rsidR="003B202C" w:rsidRDefault="003B202C" w:rsidP="00DA4C73">
            <w:pPr>
              <w:jc w:val="center"/>
              <w:rPr>
                <w:rFonts w:ascii="Calibri" w:hAnsi="Calibri"/>
                <w:color w:val="000000"/>
                <w:sz w:val="22"/>
                <w:szCs w:val="22"/>
              </w:rPr>
            </w:pPr>
            <w:r>
              <w:rPr>
                <w:rFonts w:ascii="Calibri" w:hAnsi="Calibri"/>
                <w:color w:val="000000"/>
                <w:sz w:val="22"/>
                <w:szCs w:val="22"/>
              </w:rPr>
              <w:t>1,092</w:t>
            </w:r>
          </w:p>
        </w:tc>
        <w:tc>
          <w:tcPr>
            <w:tcW w:w="947" w:type="dxa"/>
            <w:tcBorders>
              <w:top w:val="nil"/>
              <w:left w:val="nil"/>
              <w:bottom w:val="single" w:sz="4" w:space="0" w:color="auto"/>
              <w:right w:val="single" w:sz="4" w:space="0" w:color="auto"/>
            </w:tcBorders>
            <w:shd w:val="clear" w:color="auto" w:fill="auto"/>
            <w:noWrap/>
            <w:vAlign w:val="center"/>
            <w:hideMark/>
          </w:tcPr>
          <w:p w14:paraId="2B746FCA" w14:textId="77777777" w:rsidR="003B202C" w:rsidRDefault="003B202C" w:rsidP="00DA4C73">
            <w:pPr>
              <w:jc w:val="center"/>
              <w:rPr>
                <w:rFonts w:ascii="Calibri" w:hAnsi="Calibri"/>
                <w:color w:val="000000"/>
                <w:sz w:val="22"/>
                <w:szCs w:val="22"/>
              </w:rPr>
            </w:pPr>
            <w:r>
              <w:rPr>
                <w:rFonts w:ascii="Calibri" w:hAnsi="Calibri"/>
                <w:color w:val="000000"/>
                <w:sz w:val="22"/>
                <w:szCs w:val="22"/>
              </w:rPr>
              <w:t>63%</w:t>
            </w:r>
          </w:p>
        </w:tc>
        <w:tc>
          <w:tcPr>
            <w:tcW w:w="717" w:type="dxa"/>
            <w:tcBorders>
              <w:top w:val="nil"/>
              <w:left w:val="nil"/>
              <w:bottom w:val="single" w:sz="4" w:space="0" w:color="auto"/>
              <w:right w:val="single" w:sz="4" w:space="0" w:color="auto"/>
            </w:tcBorders>
            <w:shd w:val="clear" w:color="auto" w:fill="auto"/>
            <w:noWrap/>
            <w:vAlign w:val="center"/>
            <w:hideMark/>
          </w:tcPr>
          <w:p w14:paraId="2CF150E1" w14:textId="77777777" w:rsidR="003B202C" w:rsidRDefault="003B202C" w:rsidP="00DA4C73">
            <w:pPr>
              <w:jc w:val="center"/>
              <w:rPr>
                <w:rFonts w:ascii="Calibri" w:hAnsi="Calibri"/>
                <w:color w:val="000000"/>
                <w:sz w:val="22"/>
                <w:szCs w:val="22"/>
              </w:rPr>
            </w:pPr>
            <w:r>
              <w:rPr>
                <w:rFonts w:ascii="Calibri" w:hAnsi="Calibri"/>
                <w:color w:val="000000"/>
                <w:sz w:val="22"/>
                <w:szCs w:val="22"/>
              </w:rPr>
              <w:t>1,221</w:t>
            </w:r>
          </w:p>
        </w:tc>
        <w:tc>
          <w:tcPr>
            <w:tcW w:w="924" w:type="dxa"/>
            <w:tcBorders>
              <w:top w:val="nil"/>
              <w:left w:val="nil"/>
              <w:bottom w:val="single" w:sz="4" w:space="0" w:color="auto"/>
              <w:right w:val="single" w:sz="4" w:space="0" w:color="auto"/>
            </w:tcBorders>
            <w:shd w:val="clear" w:color="auto" w:fill="auto"/>
            <w:noWrap/>
            <w:vAlign w:val="center"/>
            <w:hideMark/>
          </w:tcPr>
          <w:p w14:paraId="40B89FEE" w14:textId="77777777" w:rsidR="003B202C" w:rsidRDefault="003B202C" w:rsidP="00DA4C73">
            <w:pPr>
              <w:jc w:val="center"/>
              <w:rPr>
                <w:rFonts w:ascii="Calibri" w:hAnsi="Calibri"/>
                <w:color w:val="000000"/>
                <w:sz w:val="22"/>
                <w:szCs w:val="22"/>
              </w:rPr>
            </w:pPr>
            <w:r>
              <w:rPr>
                <w:rFonts w:ascii="Calibri" w:hAnsi="Calibri"/>
                <w:color w:val="000000"/>
                <w:sz w:val="22"/>
                <w:szCs w:val="22"/>
              </w:rPr>
              <w:t>62%</w:t>
            </w:r>
          </w:p>
        </w:tc>
        <w:tc>
          <w:tcPr>
            <w:tcW w:w="722" w:type="dxa"/>
            <w:gridSpan w:val="2"/>
            <w:tcBorders>
              <w:top w:val="nil"/>
              <w:left w:val="nil"/>
              <w:bottom w:val="single" w:sz="4" w:space="0" w:color="auto"/>
              <w:right w:val="single" w:sz="12" w:space="0" w:color="auto"/>
            </w:tcBorders>
            <w:shd w:val="clear" w:color="auto" w:fill="auto"/>
            <w:noWrap/>
            <w:vAlign w:val="center"/>
            <w:hideMark/>
          </w:tcPr>
          <w:p w14:paraId="05DC3F49" w14:textId="77777777" w:rsidR="003B202C" w:rsidRDefault="003B202C" w:rsidP="00DA4C73">
            <w:pPr>
              <w:jc w:val="center"/>
              <w:rPr>
                <w:rFonts w:ascii="Calibri" w:hAnsi="Calibri"/>
                <w:color w:val="000000"/>
                <w:sz w:val="22"/>
                <w:szCs w:val="22"/>
              </w:rPr>
            </w:pPr>
            <w:r>
              <w:rPr>
                <w:rFonts w:ascii="Calibri" w:hAnsi="Calibri"/>
                <w:color w:val="000000"/>
                <w:sz w:val="22"/>
                <w:szCs w:val="22"/>
              </w:rPr>
              <w:t>0.62</w:t>
            </w:r>
          </w:p>
        </w:tc>
      </w:tr>
      <w:tr w:rsidR="00512DB9" w14:paraId="16668BEE" w14:textId="77777777" w:rsidTr="009A55F4">
        <w:trPr>
          <w:trHeight w:val="300"/>
        </w:trPr>
        <w:tc>
          <w:tcPr>
            <w:tcW w:w="5238" w:type="dxa"/>
            <w:tcBorders>
              <w:top w:val="nil"/>
              <w:left w:val="single" w:sz="12" w:space="0" w:color="auto"/>
              <w:bottom w:val="single" w:sz="4" w:space="0" w:color="auto"/>
              <w:right w:val="single" w:sz="4" w:space="0" w:color="auto"/>
            </w:tcBorders>
            <w:shd w:val="clear" w:color="auto" w:fill="auto"/>
            <w:noWrap/>
            <w:vAlign w:val="bottom"/>
            <w:hideMark/>
          </w:tcPr>
          <w:p w14:paraId="5C0FAE7A" w14:textId="77777777" w:rsidR="00512DB9" w:rsidRDefault="00512DB9" w:rsidP="00512DB9">
            <w:pPr>
              <w:ind w:firstLineChars="200" w:firstLine="440"/>
              <w:rPr>
                <w:rFonts w:ascii="Calibri" w:hAnsi="Calibri"/>
                <w:color w:val="000000"/>
                <w:sz w:val="22"/>
                <w:szCs w:val="22"/>
              </w:rPr>
            </w:pPr>
            <w:r>
              <w:rPr>
                <w:rFonts w:ascii="Calibri" w:hAnsi="Calibri"/>
                <w:color w:val="000000"/>
                <w:sz w:val="22"/>
                <w:szCs w:val="22"/>
              </w:rPr>
              <w:t>Percent with co-residential kids</w:t>
            </w:r>
          </w:p>
        </w:tc>
        <w:tc>
          <w:tcPr>
            <w:tcW w:w="717" w:type="dxa"/>
            <w:tcBorders>
              <w:top w:val="nil"/>
              <w:left w:val="nil"/>
              <w:bottom w:val="single" w:sz="4" w:space="0" w:color="auto"/>
              <w:right w:val="single" w:sz="4" w:space="0" w:color="auto"/>
            </w:tcBorders>
            <w:shd w:val="clear" w:color="auto" w:fill="auto"/>
            <w:noWrap/>
            <w:vAlign w:val="center"/>
            <w:hideMark/>
          </w:tcPr>
          <w:p w14:paraId="60A55DDA" w14:textId="77777777" w:rsidR="00512DB9" w:rsidRDefault="00512DB9" w:rsidP="00512DB9">
            <w:pPr>
              <w:jc w:val="center"/>
              <w:rPr>
                <w:rFonts w:ascii="Calibri" w:hAnsi="Calibri"/>
                <w:color w:val="000000"/>
                <w:sz w:val="22"/>
                <w:szCs w:val="22"/>
              </w:rPr>
            </w:pPr>
            <w:r>
              <w:rPr>
                <w:rFonts w:ascii="Calibri" w:hAnsi="Calibri"/>
                <w:color w:val="000000"/>
                <w:sz w:val="22"/>
                <w:szCs w:val="22"/>
              </w:rPr>
              <w:t>908</w:t>
            </w:r>
          </w:p>
        </w:tc>
        <w:tc>
          <w:tcPr>
            <w:tcW w:w="947" w:type="dxa"/>
            <w:tcBorders>
              <w:top w:val="nil"/>
              <w:left w:val="nil"/>
              <w:bottom w:val="single" w:sz="4" w:space="0" w:color="auto"/>
              <w:right w:val="single" w:sz="4" w:space="0" w:color="auto"/>
            </w:tcBorders>
            <w:shd w:val="clear" w:color="auto" w:fill="auto"/>
            <w:noWrap/>
            <w:vAlign w:val="center"/>
            <w:hideMark/>
          </w:tcPr>
          <w:p w14:paraId="430E64BD" w14:textId="77777777" w:rsidR="00512DB9" w:rsidRDefault="00512DB9" w:rsidP="00512DB9">
            <w:pPr>
              <w:jc w:val="center"/>
              <w:rPr>
                <w:rFonts w:ascii="Calibri" w:hAnsi="Calibri"/>
                <w:color w:val="000000"/>
                <w:sz w:val="22"/>
                <w:szCs w:val="22"/>
              </w:rPr>
            </w:pPr>
            <w:r>
              <w:rPr>
                <w:rFonts w:ascii="Calibri" w:hAnsi="Calibri"/>
                <w:color w:val="000000"/>
                <w:sz w:val="22"/>
                <w:szCs w:val="22"/>
              </w:rPr>
              <w:t>36%</w:t>
            </w:r>
          </w:p>
        </w:tc>
        <w:tc>
          <w:tcPr>
            <w:tcW w:w="717" w:type="dxa"/>
            <w:tcBorders>
              <w:top w:val="nil"/>
              <w:left w:val="nil"/>
              <w:bottom w:val="single" w:sz="4" w:space="0" w:color="auto"/>
              <w:right w:val="single" w:sz="4" w:space="0" w:color="auto"/>
            </w:tcBorders>
            <w:shd w:val="clear" w:color="auto" w:fill="auto"/>
            <w:noWrap/>
            <w:vAlign w:val="center"/>
            <w:hideMark/>
          </w:tcPr>
          <w:p w14:paraId="1A3B79C2" w14:textId="77777777" w:rsidR="00512DB9" w:rsidRDefault="00512DB9" w:rsidP="00512DB9">
            <w:pPr>
              <w:jc w:val="center"/>
              <w:rPr>
                <w:rFonts w:ascii="Calibri" w:hAnsi="Calibri"/>
                <w:color w:val="000000"/>
                <w:sz w:val="22"/>
                <w:szCs w:val="22"/>
              </w:rPr>
            </w:pPr>
            <w:r>
              <w:rPr>
                <w:rFonts w:ascii="Calibri" w:hAnsi="Calibri"/>
                <w:color w:val="000000"/>
                <w:sz w:val="22"/>
                <w:szCs w:val="22"/>
              </w:rPr>
              <w:t>987</w:t>
            </w:r>
          </w:p>
        </w:tc>
        <w:tc>
          <w:tcPr>
            <w:tcW w:w="924" w:type="dxa"/>
            <w:tcBorders>
              <w:top w:val="nil"/>
              <w:left w:val="nil"/>
              <w:bottom w:val="single" w:sz="4" w:space="0" w:color="auto"/>
              <w:right w:val="single" w:sz="4" w:space="0" w:color="auto"/>
            </w:tcBorders>
            <w:shd w:val="clear" w:color="auto" w:fill="auto"/>
            <w:noWrap/>
            <w:vAlign w:val="center"/>
            <w:hideMark/>
          </w:tcPr>
          <w:p w14:paraId="76BACBCF" w14:textId="77777777" w:rsidR="00512DB9" w:rsidRDefault="00512DB9" w:rsidP="00512DB9">
            <w:pPr>
              <w:jc w:val="center"/>
              <w:rPr>
                <w:rFonts w:ascii="Calibri" w:hAnsi="Calibri"/>
                <w:color w:val="000000"/>
                <w:sz w:val="22"/>
                <w:szCs w:val="22"/>
              </w:rPr>
            </w:pPr>
            <w:r>
              <w:rPr>
                <w:rFonts w:ascii="Calibri" w:hAnsi="Calibri"/>
                <w:color w:val="000000"/>
                <w:sz w:val="22"/>
                <w:szCs w:val="22"/>
              </w:rPr>
              <w:t>37%</w:t>
            </w:r>
          </w:p>
        </w:tc>
        <w:tc>
          <w:tcPr>
            <w:tcW w:w="722" w:type="dxa"/>
            <w:gridSpan w:val="2"/>
            <w:tcBorders>
              <w:top w:val="nil"/>
              <w:left w:val="nil"/>
              <w:bottom w:val="single" w:sz="4" w:space="0" w:color="auto"/>
              <w:right w:val="single" w:sz="12" w:space="0" w:color="auto"/>
            </w:tcBorders>
            <w:shd w:val="clear" w:color="auto" w:fill="auto"/>
            <w:noWrap/>
            <w:vAlign w:val="center"/>
            <w:hideMark/>
          </w:tcPr>
          <w:p w14:paraId="7729B736" w14:textId="77777777" w:rsidR="00512DB9" w:rsidRDefault="00512DB9" w:rsidP="00512DB9">
            <w:pPr>
              <w:jc w:val="center"/>
              <w:rPr>
                <w:rFonts w:ascii="Calibri" w:hAnsi="Calibri"/>
                <w:color w:val="000000"/>
                <w:sz w:val="22"/>
                <w:szCs w:val="22"/>
              </w:rPr>
            </w:pPr>
            <w:r>
              <w:rPr>
                <w:rFonts w:ascii="Calibri" w:hAnsi="Calibri"/>
                <w:color w:val="000000"/>
                <w:sz w:val="22"/>
                <w:szCs w:val="22"/>
              </w:rPr>
              <w:t>0.29</w:t>
            </w:r>
          </w:p>
        </w:tc>
      </w:tr>
    </w:tbl>
    <w:p w14:paraId="62923BB2" w14:textId="61C64BFF" w:rsidR="005E055E" w:rsidRDefault="005E055E" w:rsidP="00A173E3">
      <w:pPr>
        <w:rPr>
          <w:rFonts w:ascii="Calibri" w:hAnsi="Calibri"/>
          <w:b/>
        </w:rPr>
      </w:pPr>
    </w:p>
    <w:p w14:paraId="722CDEE9" w14:textId="722F5154" w:rsidR="00B76C6E" w:rsidRPr="00590962" w:rsidRDefault="00590962" w:rsidP="007B72FA">
      <w:pPr>
        <w:rPr>
          <w:rFonts w:ascii="Calibri" w:hAnsi="Calibri"/>
        </w:rPr>
      </w:pPr>
      <w:r w:rsidRPr="00590962">
        <w:rPr>
          <w:rFonts w:ascii="Calibri" w:hAnsi="Calibri"/>
        </w:rPr>
        <w:t xml:space="preserve">In Table </w:t>
      </w:r>
      <w:r w:rsidR="0060692C">
        <w:rPr>
          <w:rFonts w:ascii="Calibri" w:hAnsi="Calibri"/>
        </w:rPr>
        <w:t>8</w:t>
      </w:r>
      <w:r w:rsidRPr="00590962">
        <w:rPr>
          <w:rFonts w:ascii="Calibri" w:hAnsi="Calibri"/>
        </w:rPr>
        <w:t xml:space="preserve">, </w:t>
      </w:r>
      <w:r w:rsidR="00FA0DEE">
        <w:rPr>
          <w:rFonts w:ascii="Calibri" w:hAnsi="Calibri"/>
        </w:rPr>
        <w:t>t</w:t>
      </w:r>
      <w:r w:rsidR="00E411EB">
        <w:rPr>
          <w:rFonts w:ascii="Calibri" w:hAnsi="Calibri"/>
        </w:rPr>
        <w:t>here are no significant differences for the female variables. Two of the male variables show significant differences – “Percent with 4-yr college degree” and “Percent used a contraceptive method at most recent sex.”</w:t>
      </w:r>
    </w:p>
    <w:p w14:paraId="7377EA71" w14:textId="08415C59" w:rsidR="00CF542B" w:rsidRDefault="00CF542B" w:rsidP="00A173E3">
      <w:pPr>
        <w:rPr>
          <w:rFonts w:ascii="Calibri" w:hAnsi="Calibri"/>
          <w:b/>
        </w:rPr>
      </w:pPr>
    </w:p>
    <w:p w14:paraId="24D4D824" w14:textId="0CD92470" w:rsidR="005B645E" w:rsidRDefault="00E411EB" w:rsidP="00A173E3">
      <w:pPr>
        <w:rPr>
          <w:rFonts w:ascii="Calibri" w:hAnsi="Calibri"/>
        </w:rPr>
      </w:pPr>
      <w:r>
        <w:rPr>
          <w:rFonts w:ascii="Calibri" w:hAnsi="Calibri"/>
        </w:rPr>
        <w:t>T</w:t>
      </w:r>
      <w:r w:rsidR="00506058">
        <w:rPr>
          <w:rFonts w:ascii="Calibri" w:hAnsi="Calibri"/>
        </w:rPr>
        <w:t xml:space="preserve">he general pattern is one of </w:t>
      </w:r>
      <w:r w:rsidR="00EB761D">
        <w:rPr>
          <w:rFonts w:ascii="Calibri" w:hAnsi="Calibri"/>
        </w:rPr>
        <w:t>no differences</w:t>
      </w:r>
      <w:r w:rsidR="00506058">
        <w:rPr>
          <w:rFonts w:ascii="Calibri" w:hAnsi="Calibri"/>
        </w:rPr>
        <w:t>. This result can be interp</w:t>
      </w:r>
      <w:r w:rsidR="00464E8B">
        <w:rPr>
          <w:rFonts w:ascii="Calibri" w:hAnsi="Calibri"/>
        </w:rPr>
        <w:t xml:space="preserve">reted as meaning that the increased Phase 1 incentive did not lead to either an increase or decrease in nonresponse bias. </w:t>
      </w:r>
    </w:p>
    <w:p w14:paraId="47ACC3B6" w14:textId="77777777" w:rsidR="009454CC" w:rsidRPr="00A44CAC" w:rsidRDefault="009454CC" w:rsidP="00A173E3">
      <w:pPr>
        <w:rPr>
          <w:rFonts w:ascii="Calibri" w:hAnsi="Calibri"/>
        </w:rPr>
      </w:pPr>
    </w:p>
    <w:p w14:paraId="5A99A8FB" w14:textId="77777777" w:rsidR="00B24EDE" w:rsidRDefault="00B24EDE" w:rsidP="0067204C">
      <w:pPr>
        <w:rPr>
          <w:rFonts w:ascii="Calibri" w:hAnsi="Calibri"/>
          <w:b/>
          <w:caps/>
        </w:rPr>
      </w:pPr>
    </w:p>
    <w:p w14:paraId="1474961A" w14:textId="52BE8A76" w:rsidR="00D64283" w:rsidRPr="0067204C" w:rsidRDefault="00D64283" w:rsidP="0067204C">
      <w:pPr>
        <w:rPr>
          <w:rFonts w:ascii="Calibri" w:hAnsi="Calibri"/>
          <w:b/>
          <w:caps/>
        </w:rPr>
      </w:pPr>
      <w:r w:rsidRPr="0067204C">
        <w:rPr>
          <w:rFonts w:ascii="Calibri" w:hAnsi="Calibri"/>
          <w:b/>
          <w:caps/>
        </w:rPr>
        <w:t>Discussion</w:t>
      </w:r>
    </w:p>
    <w:p w14:paraId="1B2E1A95" w14:textId="77777777" w:rsidR="00464E8B" w:rsidRDefault="00464E8B" w:rsidP="00464E8B">
      <w:pPr>
        <w:rPr>
          <w:rFonts w:ascii="Calibri" w:hAnsi="Calibri"/>
          <w:b/>
        </w:rPr>
      </w:pPr>
    </w:p>
    <w:p w14:paraId="6E8BC8C4" w14:textId="044933A4" w:rsidR="00B32BBA" w:rsidRDefault="00B32BBA" w:rsidP="00464E8B">
      <w:pPr>
        <w:rPr>
          <w:rFonts w:ascii="Calibri" w:hAnsi="Calibri"/>
        </w:rPr>
      </w:pPr>
      <w:r>
        <w:rPr>
          <w:rFonts w:ascii="Calibri" w:hAnsi="Calibri"/>
        </w:rPr>
        <w:t>The results of the incentive experiment are mixed. The expected increase in response rate was not realized. However, the incentive increase did have an impact on Phase 1</w:t>
      </w:r>
      <w:r w:rsidR="00AF71AF">
        <w:rPr>
          <w:rFonts w:ascii="Calibri" w:hAnsi="Calibri"/>
        </w:rPr>
        <w:t xml:space="preserve"> by </w:t>
      </w:r>
      <w:r>
        <w:rPr>
          <w:rFonts w:ascii="Calibri" w:hAnsi="Calibri"/>
        </w:rPr>
        <w:t>increas</w:t>
      </w:r>
      <w:r w:rsidR="00AF71AF">
        <w:rPr>
          <w:rFonts w:ascii="Calibri" w:hAnsi="Calibri"/>
        </w:rPr>
        <w:t>ing</w:t>
      </w:r>
      <w:r>
        <w:rPr>
          <w:rFonts w:ascii="Calibri" w:hAnsi="Calibri"/>
        </w:rPr>
        <w:t xml:space="preserve"> the response rates in that </w:t>
      </w:r>
      <w:r w:rsidR="00614E76">
        <w:rPr>
          <w:rFonts w:ascii="Calibri" w:hAnsi="Calibri"/>
        </w:rPr>
        <w:t>Phase</w:t>
      </w:r>
      <w:r>
        <w:rPr>
          <w:rFonts w:ascii="Calibri" w:hAnsi="Calibri"/>
        </w:rPr>
        <w:t xml:space="preserve">. This led to a higher overall yield. </w:t>
      </w:r>
    </w:p>
    <w:p w14:paraId="788D4356" w14:textId="77777777" w:rsidR="00B32BBA" w:rsidRDefault="00B32BBA" w:rsidP="00464E8B">
      <w:pPr>
        <w:rPr>
          <w:rFonts w:ascii="Calibri" w:hAnsi="Calibri"/>
        </w:rPr>
      </w:pPr>
    </w:p>
    <w:p w14:paraId="2BF903FE" w14:textId="29E76FB7" w:rsidR="00B32BBA" w:rsidRDefault="00B32BBA" w:rsidP="00464E8B">
      <w:pPr>
        <w:rPr>
          <w:rFonts w:ascii="Calibri" w:hAnsi="Calibri"/>
        </w:rPr>
      </w:pPr>
      <w:r>
        <w:rPr>
          <w:rFonts w:ascii="Calibri" w:hAnsi="Calibri"/>
        </w:rPr>
        <w:t xml:space="preserve">Unfortunately, this also seemed to reduce the effectiveness of an $80 incentive in Phase 2. This meant that many of the gains made from using the $60 incentive were lost during Phase 2. The result was that the final response rates, subgroup response rates, and key estimates were quite similar across the two treatment groups. </w:t>
      </w:r>
    </w:p>
    <w:p w14:paraId="4F3624D6" w14:textId="77777777" w:rsidR="00B32BBA" w:rsidRDefault="00B32BBA" w:rsidP="00464E8B">
      <w:pPr>
        <w:rPr>
          <w:rFonts w:ascii="Calibri" w:hAnsi="Calibri"/>
        </w:rPr>
      </w:pPr>
    </w:p>
    <w:p w14:paraId="6B300DD1" w14:textId="3815C85A" w:rsidR="00B32BBA" w:rsidRDefault="00B32BBA" w:rsidP="00464E8B">
      <w:pPr>
        <w:rPr>
          <w:rFonts w:ascii="Calibri" w:hAnsi="Calibri"/>
        </w:rPr>
      </w:pPr>
      <w:r>
        <w:rPr>
          <w:rFonts w:ascii="Calibri" w:hAnsi="Calibri"/>
        </w:rPr>
        <w:lastRenderedPageBreak/>
        <w:t xml:space="preserve">Our cost comparisons show that even after Phase 2, there were still </w:t>
      </w:r>
      <w:r w:rsidR="005F2030">
        <w:rPr>
          <w:rFonts w:ascii="Calibri" w:hAnsi="Calibri"/>
        </w:rPr>
        <w:t xml:space="preserve">small </w:t>
      </w:r>
      <w:r>
        <w:rPr>
          <w:rFonts w:ascii="Calibri" w:hAnsi="Calibri"/>
        </w:rPr>
        <w:t>cost savings that exceeded the expense of the incentive</w:t>
      </w:r>
      <w:r w:rsidR="005F2030">
        <w:rPr>
          <w:rFonts w:ascii="Calibri" w:hAnsi="Calibri"/>
        </w:rPr>
        <w:t>, or at least the incentive covered its own cost</w:t>
      </w:r>
      <w:r>
        <w:rPr>
          <w:rFonts w:ascii="Calibri" w:hAnsi="Calibri"/>
        </w:rPr>
        <w:t xml:space="preserve">. Therefore, the larger incentive appears to </w:t>
      </w:r>
      <w:r w:rsidR="005F2030">
        <w:rPr>
          <w:rFonts w:ascii="Calibri" w:hAnsi="Calibri"/>
        </w:rPr>
        <w:t>reduce</w:t>
      </w:r>
      <w:r>
        <w:rPr>
          <w:rFonts w:ascii="Calibri" w:hAnsi="Calibri"/>
        </w:rPr>
        <w:t xml:space="preserve"> “total survey error” by reducing sampling error (expressed as either higher yield or cost savings) without increasing nonresponse error. </w:t>
      </w:r>
    </w:p>
    <w:p w14:paraId="7D3C7EE6" w14:textId="77777777" w:rsidR="00B32BBA" w:rsidRDefault="00B32BBA" w:rsidP="00464E8B">
      <w:pPr>
        <w:rPr>
          <w:rFonts w:ascii="Calibri" w:hAnsi="Calibri"/>
        </w:rPr>
      </w:pPr>
    </w:p>
    <w:p w14:paraId="1A699936" w14:textId="2DB417FC" w:rsidR="008454E2" w:rsidRPr="00D91C06" w:rsidRDefault="006F30C9">
      <w:pPr>
        <w:rPr>
          <w:rFonts w:ascii="Calibri" w:hAnsi="Calibri"/>
        </w:rPr>
      </w:pPr>
      <w:r w:rsidRPr="00D91C06">
        <w:rPr>
          <w:rFonts w:ascii="Calibri" w:hAnsi="Calibri"/>
        </w:rPr>
        <w:t xml:space="preserve">In sum: </w:t>
      </w:r>
      <w:r w:rsidR="00C22BE3" w:rsidRPr="00D91C06">
        <w:rPr>
          <w:rFonts w:ascii="Calibri" w:hAnsi="Calibri"/>
        </w:rPr>
        <w:t xml:space="preserve">Overall, the $60 incentive does not appear to increase </w:t>
      </w:r>
      <w:r w:rsidR="00452E38" w:rsidRPr="00D91C06">
        <w:rPr>
          <w:rFonts w:ascii="Calibri" w:hAnsi="Calibri"/>
        </w:rPr>
        <w:t xml:space="preserve">overall </w:t>
      </w:r>
      <w:r w:rsidR="00C22BE3" w:rsidRPr="00D91C06">
        <w:rPr>
          <w:rFonts w:ascii="Calibri" w:hAnsi="Calibri"/>
        </w:rPr>
        <w:t>response rates. Nor does it lead to changes in estimates that might be interpreted as reductions in nonresponse bias relative to the $40 incentive. There is, however, a somewhat larger yield for the $60 incentive, which may contribute to reductions in sampling error</w:t>
      </w:r>
      <w:r w:rsidR="009A55F4" w:rsidRPr="00D91C06">
        <w:rPr>
          <w:rFonts w:ascii="Calibri" w:hAnsi="Calibri"/>
        </w:rPr>
        <w:t xml:space="preserve"> and data collection costs</w:t>
      </w:r>
      <w:r w:rsidR="00C22BE3" w:rsidRPr="00D91C06">
        <w:rPr>
          <w:rFonts w:ascii="Calibri" w:hAnsi="Calibri"/>
        </w:rPr>
        <w:t>.</w:t>
      </w:r>
    </w:p>
    <w:p w14:paraId="0152DE58" w14:textId="77777777" w:rsidR="00421CBC" w:rsidRPr="00D91C06" w:rsidRDefault="00421CBC" w:rsidP="004269C2">
      <w:pPr>
        <w:rPr>
          <w:rFonts w:ascii="Calibri" w:hAnsi="Calibri"/>
          <w:b/>
        </w:rPr>
      </w:pPr>
    </w:p>
    <w:p w14:paraId="53F48A90" w14:textId="77777777" w:rsidR="00B24EDE" w:rsidRDefault="00B24EDE" w:rsidP="004269C2">
      <w:pPr>
        <w:rPr>
          <w:rFonts w:ascii="Calibri" w:hAnsi="Calibri"/>
          <w:b/>
        </w:rPr>
      </w:pPr>
    </w:p>
    <w:p w14:paraId="309AA9B4" w14:textId="4F1BF7BD" w:rsidR="009A55F4" w:rsidRPr="00D91C06" w:rsidRDefault="009A55F4" w:rsidP="004269C2">
      <w:pPr>
        <w:rPr>
          <w:rFonts w:ascii="Calibri" w:hAnsi="Calibri"/>
          <w:b/>
        </w:rPr>
      </w:pPr>
      <w:r w:rsidRPr="00D91C06">
        <w:rPr>
          <w:rFonts w:ascii="Calibri" w:hAnsi="Calibri"/>
          <w:b/>
        </w:rPr>
        <w:t>RECOMMENDATION</w:t>
      </w:r>
    </w:p>
    <w:p w14:paraId="386D2B1E" w14:textId="77777777" w:rsidR="009A55F4" w:rsidRPr="00D91C06" w:rsidRDefault="009A55F4" w:rsidP="004269C2">
      <w:pPr>
        <w:rPr>
          <w:rFonts w:ascii="Calibri" w:hAnsi="Calibri"/>
          <w:b/>
        </w:rPr>
      </w:pPr>
    </w:p>
    <w:p w14:paraId="2060F312" w14:textId="45769719" w:rsidR="009A55F4" w:rsidRPr="009A55F4" w:rsidRDefault="008565FD" w:rsidP="004269C2">
      <w:pPr>
        <w:rPr>
          <w:rFonts w:ascii="Calibri" w:hAnsi="Calibri"/>
        </w:rPr>
      </w:pPr>
      <w:r w:rsidRPr="00D91C06">
        <w:rPr>
          <w:rFonts w:ascii="Calibri" w:hAnsi="Calibri"/>
        </w:rPr>
        <w:t>We find insufficient evidence to propose an increase in the Phase 1 incentive to</w:t>
      </w:r>
      <w:r w:rsidR="00AF71AF" w:rsidRPr="00D91C06">
        <w:rPr>
          <w:rFonts w:ascii="Calibri" w:hAnsi="Calibri"/>
        </w:rPr>
        <w:t xml:space="preserve"> </w:t>
      </w:r>
      <w:r w:rsidRPr="00D91C06">
        <w:rPr>
          <w:rFonts w:ascii="Calibri" w:hAnsi="Calibri"/>
        </w:rPr>
        <w:t xml:space="preserve">$60, and propose to revert to the </w:t>
      </w:r>
      <w:r w:rsidR="006F30C9" w:rsidRPr="00D91C06">
        <w:rPr>
          <w:rFonts w:ascii="Calibri" w:hAnsi="Calibri"/>
        </w:rPr>
        <w:t xml:space="preserve">incentive structure in place prior to the survey: </w:t>
      </w:r>
      <w:r w:rsidRPr="00D91C06">
        <w:rPr>
          <w:rFonts w:ascii="Calibri" w:hAnsi="Calibri"/>
        </w:rPr>
        <w:t>$40 incentive</w:t>
      </w:r>
      <w:r w:rsidR="006F30C9" w:rsidRPr="00D91C06">
        <w:rPr>
          <w:rFonts w:ascii="Calibri" w:hAnsi="Calibri"/>
        </w:rPr>
        <w:t xml:space="preserve"> in Phase 1 and $80 in Phase 2. </w:t>
      </w:r>
      <w:r w:rsidRPr="00D91C06">
        <w:rPr>
          <w:rFonts w:ascii="Calibri" w:hAnsi="Calibri"/>
        </w:rPr>
        <w:t xml:space="preserve"> We will continue to explore other ways of increasing yield, reducing nonresponse bias, and containing costs in the NSFG.</w:t>
      </w:r>
      <w:r>
        <w:rPr>
          <w:rFonts w:ascii="Calibri" w:hAnsi="Calibri"/>
        </w:rPr>
        <w:t xml:space="preserve">  </w:t>
      </w:r>
    </w:p>
    <w:p w14:paraId="7EFBDF54" w14:textId="480BBA5E" w:rsidR="009A55F4" w:rsidRDefault="009A55F4">
      <w:pPr>
        <w:rPr>
          <w:rFonts w:ascii="Calibri" w:hAnsi="Calibri"/>
          <w:b/>
        </w:rPr>
      </w:pPr>
      <w:r>
        <w:rPr>
          <w:rFonts w:ascii="Calibri" w:hAnsi="Calibri"/>
          <w:b/>
        </w:rPr>
        <w:br w:type="page"/>
      </w:r>
    </w:p>
    <w:p w14:paraId="3E6DBCEB" w14:textId="77777777" w:rsidR="00C7424F" w:rsidRDefault="00C7424F" w:rsidP="004269C2">
      <w:pPr>
        <w:rPr>
          <w:rFonts w:ascii="Calibri" w:hAnsi="Calibri"/>
          <w:b/>
        </w:rPr>
      </w:pPr>
      <w:r w:rsidRPr="00B8578F">
        <w:rPr>
          <w:rFonts w:ascii="Calibri" w:hAnsi="Calibri"/>
          <w:b/>
        </w:rPr>
        <w:lastRenderedPageBreak/>
        <w:t>REFERENCE</w:t>
      </w:r>
      <w:r w:rsidR="008F20C1">
        <w:rPr>
          <w:rFonts w:ascii="Calibri" w:hAnsi="Calibri"/>
          <w:b/>
        </w:rPr>
        <w:t>S</w:t>
      </w:r>
    </w:p>
    <w:p w14:paraId="12F5618F" w14:textId="77777777" w:rsidR="00022985" w:rsidRPr="00B8578F" w:rsidRDefault="00022985" w:rsidP="004269C2">
      <w:pPr>
        <w:rPr>
          <w:rFonts w:ascii="Calibri" w:hAnsi="Calibri"/>
          <w:b/>
        </w:rPr>
      </w:pPr>
    </w:p>
    <w:p w14:paraId="6AAC7640" w14:textId="25D8F350" w:rsidR="00CA49E8" w:rsidRDefault="00CA49E8" w:rsidP="008F20C1">
      <w:pPr>
        <w:rPr>
          <w:rFonts w:asciiTheme="minorHAnsi" w:eastAsiaTheme="minorHAnsi" w:hAnsiTheme="minorHAnsi" w:cstheme="minorBidi"/>
        </w:rPr>
      </w:pPr>
      <w:r>
        <w:rPr>
          <w:rFonts w:asciiTheme="minorHAnsi" w:eastAsiaTheme="minorHAnsi" w:hAnsiTheme="minorHAnsi" w:cstheme="minorBidi"/>
        </w:rPr>
        <w:t xml:space="preserve">Axinn WG, </w:t>
      </w:r>
      <w:r w:rsidR="002835E8">
        <w:rPr>
          <w:rFonts w:asciiTheme="minorHAnsi" w:eastAsiaTheme="minorHAnsi" w:hAnsiTheme="minorHAnsi" w:cstheme="minorBidi"/>
        </w:rPr>
        <w:t>CF</w:t>
      </w:r>
      <w:r w:rsidR="000D3D1F">
        <w:rPr>
          <w:rFonts w:asciiTheme="minorHAnsi" w:eastAsiaTheme="minorHAnsi" w:hAnsiTheme="minorHAnsi" w:cstheme="minorBidi"/>
        </w:rPr>
        <w:t xml:space="preserve"> </w:t>
      </w:r>
      <w:r>
        <w:rPr>
          <w:rFonts w:asciiTheme="minorHAnsi" w:eastAsiaTheme="minorHAnsi" w:hAnsiTheme="minorHAnsi" w:cstheme="minorBidi"/>
        </w:rPr>
        <w:t xml:space="preserve">Link, </w:t>
      </w:r>
      <w:r w:rsidR="002835E8">
        <w:rPr>
          <w:rFonts w:asciiTheme="minorHAnsi" w:eastAsiaTheme="minorHAnsi" w:hAnsiTheme="minorHAnsi" w:cstheme="minorBidi"/>
        </w:rPr>
        <w:t xml:space="preserve">RM </w:t>
      </w:r>
      <w:r>
        <w:rPr>
          <w:rFonts w:asciiTheme="minorHAnsi" w:eastAsiaTheme="minorHAnsi" w:hAnsiTheme="minorHAnsi" w:cstheme="minorBidi"/>
        </w:rPr>
        <w:t>Groves. 2011. Responsive survey design, demographic data collection, and models of demographic behavior. Demography 48(3):1127-1149.</w:t>
      </w:r>
    </w:p>
    <w:p w14:paraId="75416424" w14:textId="77777777" w:rsidR="00CA49E8" w:rsidRDefault="00CA49E8" w:rsidP="008F20C1">
      <w:pPr>
        <w:rPr>
          <w:rFonts w:asciiTheme="minorHAnsi" w:eastAsiaTheme="minorHAnsi" w:hAnsiTheme="minorHAnsi" w:cstheme="minorBidi"/>
        </w:rPr>
      </w:pPr>
    </w:p>
    <w:p w14:paraId="68ABB2AF" w14:textId="2D0A8FC3" w:rsidR="008F20C1" w:rsidRPr="008F20C1" w:rsidRDefault="008F20C1" w:rsidP="008F20C1">
      <w:pPr>
        <w:rPr>
          <w:rFonts w:asciiTheme="minorHAnsi" w:eastAsiaTheme="minorHAnsi" w:hAnsiTheme="minorHAnsi" w:cstheme="minorBidi"/>
        </w:rPr>
      </w:pPr>
      <w:r w:rsidRPr="008F20C1">
        <w:rPr>
          <w:rFonts w:asciiTheme="minorHAnsi" w:eastAsiaTheme="minorHAnsi" w:hAnsiTheme="minorHAnsi" w:cstheme="minorBidi"/>
        </w:rPr>
        <w:t>Duffer A, J Lessler, M Weeks, W Mosher.  1994.  Effects of Incentive Payments on Response Rates and Field Costs in a Pretest of a National CAPI Survey.  1994 Proceedings of the Section on Survey Research Methods, Volume II:  Papers presented at the 49</w:t>
      </w:r>
      <w:r w:rsidRPr="008F20C1">
        <w:rPr>
          <w:rFonts w:asciiTheme="minorHAnsi" w:eastAsiaTheme="minorHAnsi" w:hAnsiTheme="minorHAnsi" w:cstheme="minorBidi"/>
          <w:vertAlign w:val="superscript"/>
        </w:rPr>
        <w:t>th</w:t>
      </w:r>
      <w:r w:rsidRPr="008F20C1">
        <w:rPr>
          <w:rFonts w:asciiTheme="minorHAnsi" w:eastAsiaTheme="minorHAnsi" w:hAnsiTheme="minorHAnsi" w:cstheme="minorBidi"/>
        </w:rPr>
        <w:t xml:space="preserve"> Annual Conference of the AAPOR, 1994. Pages 1386-1391.</w:t>
      </w:r>
    </w:p>
    <w:p w14:paraId="1DF2DC49" w14:textId="77777777" w:rsidR="008F20C1" w:rsidRPr="008F20C1" w:rsidRDefault="008F20C1" w:rsidP="008F20C1">
      <w:pPr>
        <w:rPr>
          <w:rFonts w:asciiTheme="minorHAnsi" w:eastAsiaTheme="minorHAnsi" w:hAnsiTheme="minorHAnsi" w:cstheme="minorBidi"/>
        </w:rPr>
      </w:pPr>
    </w:p>
    <w:p w14:paraId="08F9A7E7" w14:textId="77777777" w:rsidR="00EB028A" w:rsidRDefault="00EB028A" w:rsidP="008F20C1">
      <w:pPr>
        <w:rPr>
          <w:rFonts w:asciiTheme="minorHAnsi" w:eastAsiaTheme="minorHAnsi" w:hAnsiTheme="minorHAnsi" w:cstheme="minorBidi"/>
        </w:rPr>
      </w:pPr>
      <w:r>
        <w:rPr>
          <w:rFonts w:asciiTheme="minorHAnsi" w:eastAsiaTheme="minorHAnsi" w:hAnsiTheme="minorHAnsi" w:cstheme="minorBidi"/>
        </w:rPr>
        <w:t>Groves R, R Cialdini, M</w:t>
      </w:r>
      <w:r w:rsidR="002835E8">
        <w:rPr>
          <w:rFonts w:asciiTheme="minorHAnsi" w:eastAsiaTheme="minorHAnsi" w:hAnsiTheme="minorHAnsi" w:cstheme="minorBidi"/>
        </w:rPr>
        <w:t>P</w:t>
      </w:r>
      <w:r>
        <w:rPr>
          <w:rFonts w:asciiTheme="minorHAnsi" w:eastAsiaTheme="minorHAnsi" w:hAnsiTheme="minorHAnsi" w:cstheme="minorBidi"/>
        </w:rPr>
        <w:t xml:space="preserve"> Couper.  1992.  Understanding the Decision to Participate in a Survey.  </w:t>
      </w:r>
      <w:r w:rsidR="00022985">
        <w:rPr>
          <w:rFonts w:asciiTheme="minorHAnsi" w:eastAsiaTheme="minorHAnsi" w:hAnsiTheme="minorHAnsi" w:cstheme="minorBidi"/>
        </w:rPr>
        <w:t xml:space="preserve">Public Opinion Quarterly 56:  475-495. </w:t>
      </w:r>
    </w:p>
    <w:p w14:paraId="6CAAF20D" w14:textId="77777777" w:rsidR="00EB028A" w:rsidRDefault="00EB028A" w:rsidP="008F20C1">
      <w:pPr>
        <w:rPr>
          <w:rFonts w:asciiTheme="minorHAnsi" w:eastAsiaTheme="minorHAnsi" w:hAnsiTheme="minorHAnsi" w:cstheme="minorBidi"/>
        </w:rPr>
      </w:pPr>
    </w:p>
    <w:p w14:paraId="7514D235" w14:textId="77777777" w:rsidR="008F20C1" w:rsidRPr="008F20C1" w:rsidRDefault="008F20C1" w:rsidP="008F20C1">
      <w:pPr>
        <w:rPr>
          <w:rFonts w:asciiTheme="minorHAnsi" w:eastAsiaTheme="minorHAnsi" w:hAnsiTheme="minorHAnsi" w:cstheme="minorBidi"/>
        </w:rPr>
      </w:pPr>
      <w:r w:rsidRPr="008F20C1">
        <w:rPr>
          <w:rFonts w:asciiTheme="minorHAnsi" w:eastAsiaTheme="minorHAnsi" w:hAnsiTheme="minorHAnsi" w:cstheme="minorBidi"/>
        </w:rPr>
        <w:t xml:space="preserve">Groves R, E Singer, A Corning.   2000.  Leverage-Saliency Theory of Survey Participation.  </w:t>
      </w:r>
    </w:p>
    <w:p w14:paraId="3AD13444" w14:textId="77777777" w:rsidR="008F20C1" w:rsidRPr="008F20C1" w:rsidRDefault="008F20C1" w:rsidP="008F20C1">
      <w:pPr>
        <w:rPr>
          <w:rFonts w:asciiTheme="minorHAnsi" w:eastAsiaTheme="minorHAnsi" w:hAnsiTheme="minorHAnsi" w:cstheme="minorBidi"/>
        </w:rPr>
      </w:pPr>
      <w:r w:rsidRPr="008F20C1">
        <w:rPr>
          <w:rFonts w:asciiTheme="minorHAnsi" w:eastAsiaTheme="minorHAnsi" w:hAnsiTheme="minorHAnsi" w:cstheme="minorBidi"/>
        </w:rPr>
        <w:t xml:space="preserve">Public Opinion Quarterly  64(3): 299-308.  </w:t>
      </w:r>
    </w:p>
    <w:p w14:paraId="06CED5AB" w14:textId="77777777" w:rsidR="008F20C1" w:rsidRPr="008F20C1" w:rsidRDefault="008F20C1" w:rsidP="008F20C1">
      <w:pPr>
        <w:rPr>
          <w:rFonts w:asciiTheme="minorHAnsi" w:eastAsiaTheme="minorHAnsi" w:hAnsiTheme="minorHAnsi" w:cstheme="minorBidi"/>
        </w:rPr>
      </w:pPr>
    </w:p>
    <w:p w14:paraId="47E7C71B" w14:textId="77777777" w:rsidR="008F20C1" w:rsidRPr="008F20C1" w:rsidRDefault="008F20C1" w:rsidP="008F20C1">
      <w:pPr>
        <w:rPr>
          <w:rFonts w:asciiTheme="minorHAnsi" w:eastAsiaTheme="minorHAnsi" w:hAnsiTheme="minorHAnsi" w:cstheme="minorBidi"/>
        </w:rPr>
      </w:pPr>
      <w:r w:rsidRPr="008F20C1">
        <w:rPr>
          <w:rFonts w:asciiTheme="minorHAnsi" w:eastAsiaTheme="minorHAnsi" w:hAnsiTheme="minorHAnsi" w:cstheme="minorBidi"/>
        </w:rPr>
        <w:t xml:space="preserve">Groves R, S Presser, S Dipko. 2004.  The Role of Topic Interest in Survey Participation Decisions.  Public Opinion Quarterly 68 (1):  2-31. </w:t>
      </w:r>
    </w:p>
    <w:p w14:paraId="21CE2350" w14:textId="77777777" w:rsidR="008F20C1" w:rsidRPr="008F20C1" w:rsidRDefault="008F20C1" w:rsidP="008F20C1">
      <w:pPr>
        <w:rPr>
          <w:rFonts w:asciiTheme="minorHAnsi" w:eastAsiaTheme="minorHAnsi" w:hAnsiTheme="minorHAnsi" w:cstheme="minorBidi"/>
        </w:rPr>
      </w:pPr>
    </w:p>
    <w:p w14:paraId="7C2D78FE" w14:textId="77777777" w:rsidR="008F20C1" w:rsidRPr="008F20C1" w:rsidRDefault="008F20C1" w:rsidP="008F20C1">
      <w:pPr>
        <w:rPr>
          <w:rFonts w:asciiTheme="minorHAnsi" w:eastAsiaTheme="minorHAnsi" w:hAnsiTheme="minorHAnsi" w:cstheme="minorBidi"/>
        </w:rPr>
      </w:pPr>
      <w:r w:rsidRPr="008F20C1">
        <w:rPr>
          <w:rFonts w:asciiTheme="minorHAnsi" w:eastAsiaTheme="minorHAnsi" w:hAnsiTheme="minorHAnsi" w:cstheme="minorBidi"/>
        </w:rPr>
        <w:t xml:space="preserve">Groves R, G Benson, W Mosher, et al.  2005.  Plan and Operation of the 2002 National Survey of Family Growth.  </w:t>
      </w:r>
      <w:r w:rsidRPr="008F20C1">
        <w:rPr>
          <w:rFonts w:asciiTheme="minorHAnsi" w:eastAsiaTheme="minorHAnsi" w:hAnsiTheme="minorHAnsi" w:cstheme="minorBidi"/>
          <w:b/>
        </w:rPr>
        <w:t>Vital and Health Statistics, Series 1, No. 42</w:t>
      </w:r>
      <w:r w:rsidRPr="008F20C1">
        <w:rPr>
          <w:rFonts w:asciiTheme="minorHAnsi" w:eastAsiaTheme="minorHAnsi" w:hAnsiTheme="minorHAnsi" w:cstheme="minorBidi"/>
        </w:rPr>
        <w:t xml:space="preserve">.  August 2005. </w:t>
      </w:r>
    </w:p>
    <w:p w14:paraId="7787ACAB" w14:textId="77777777" w:rsidR="008F20C1" w:rsidRPr="008F20C1" w:rsidRDefault="008F20C1" w:rsidP="008F20C1">
      <w:pPr>
        <w:rPr>
          <w:rFonts w:asciiTheme="minorHAnsi" w:eastAsiaTheme="minorHAnsi" w:hAnsiTheme="minorHAnsi" w:cstheme="minorBidi"/>
        </w:rPr>
      </w:pPr>
    </w:p>
    <w:p w14:paraId="2AF81AD4" w14:textId="77777777" w:rsidR="008F20C1" w:rsidRPr="008F20C1" w:rsidRDefault="008F20C1" w:rsidP="008F20C1">
      <w:pPr>
        <w:rPr>
          <w:rFonts w:asciiTheme="minorHAnsi" w:eastAsiaTheme="minorHAnsi" w:hAnsiTheme="minorHAnsi" w:cstheme="minorBidi"/>
        </w:rPr>
      </w:pPr>
      <w:r w:rsidRPr="008F20C1">
        <w:rPr>
          <w:rFonts w:asciiTheme="minorHAnsi" w:eastAsiaTheme="minorHAnsi" w:hAnsiTheme="minorHAnsi" w:cstheme="minorBidi"/>
        </w:rPr>
        <w:t xml:space="preserve">Kelley JE, W Mosher, A Duffer, S Kinsey. 1997.  Plan and Operation of the 1995 National Survey of Family Growth.  </w:t>
      </w:r>
      <w:r w:rsidRPr="008F20C1">
        <w:rPr>
          <w:rFonts w:asciiTheme="minorHAnsi" w:eastAsiaTheme="minorHAnsi" w:hAnsiTheme="minorHAnsi" w:cstheme="minorBidi"/>
          <w:b/>
        </w:rPr>
        <w:t>Vital and Health Statistics, Series 1, No. 36.</w:t>
      </w:r>
      <w:r w:rsidRPr="008F20C1">
        <w:rPr>
          <w:rFonts w:asciiTheme="minorHAnsi" w:eastAsiaTheme="minorHAnsi" w:hAnsiTheme="minorHAnsi" w:cstheme="minorBidi"/>
        </w:rPr>
        <w:t xml:space="preserve">  October 1997.  See pages 1-9.</w:t>
      </w:r>
    </w:p>
    <w:p w14:paraId="0B29F07D" w14:textId="77777777" w:rsidR="008F20C1" w:rsidRPr="008F20C1" w:rsidRDefault="008F20C1" w:rsidP="008F20C1">
      <w:pPr>
        <w:rPr>
          <w:rFonts w:asciiTheme="minorHAnsi" w:eastAsiaTheme="minorHAnsi" w:hAnsiTheme="minorHAnsi" w:cstheme="minorBidi"/>
        </w:rPr>
      </w:pPr>
    </w:p>
    <w:p w14:paraId="62FBAB19" w14:textId="77777777" w:rsidR="008F20C1" w:rsidRPr="008F20C1" w:rsidRDefault="008F20C1" w:rsidP="008F20C1">
      <w:pPr>
        <w:rPr>
          <w:rFonts w:asciiTheme="minorHAnsi" w:eastAsiaTheme="minorHAnsi" w:hAnsiTheme="minorHAnsi" w:cstheme="minorBidi"/>
        </w:rPr>
      </w:pPr>
      <w:r w:rsidRPr="008F20C1">
        <w:rPr>
          <w:rFonts w:asciiTheme="minorHAnsi" w:eastAsiaTheme="minorHAnsi" w:hAnsiTheme="minorHAnsi" w:cstheme="minorBidi"/>
        </w:rPr>
        <w:t xml:space="preserve">Lepkowski J, W Mosher, R Groves, et al.  2013.  Responsive design, Weighting, and Variance Estimation in the 2006-2010 National Survey of Family Growth.  </w:t>
      </w:r>
      <w:r w:rsidRPr="008F20C1">
        <w:rPr>
          <w:rFonts w:asciiTheme="minorHAnsi" w:eastAsiaTheme="minorHAnsi" w:hAnsiTheme="minorHAnsi" w:cstheme="minorBidi"/>
          <w:b/>
          <w:u w:val="single"/>
        </w:rPr>
        <w:t>Vital and Health Statistics</w:t>
      </w:r>
      <w:r w:rsidRPr="008F20C1">
        <w:rPr>
          <w:rFonts w:asciiTheme="minorHAnsi" w:eastAsiaTheme="minorHAnsi" w:hAnsiTheme="minorHAnsi" w:cstheme="minorBidi"/>
          <w:b/>
        </w:rPr>
        <w:t>, Series 2, No. 158.</w:t>
      </w:r>
      <w:r w:rsidRPr="008F20C1">
        <w:rPr>
          <w:rFonts w:asciiTheme="minorHAnsi" w:eastAsiaTheme="minorHAnsi" w:hAnsiTheme="minorHAnsi" w:cstheme="minorBidi"/>
        </w:rPr>
        <w:t xml:space="preserve">  June 2013.  See especially Appendix II.  </w:t>
      </w:r>
    </w:p>
    <w:p w14:paraId="6BDFC70E" w14:textId="77777777" w:rsidR="008F20C1" w:rsidRPr="008F20C1" w:rsidRDefault="008F20C1" w:rsidP="008F20C1">
      <w:pPr>
        <w:rPr>
          <w:rFonts w:asciiTheme="minorHAnsi" w:eastAsiaTheme="minorHAnsi" w:hAnsiTheme="minorHAnsi" w:cstheme="minorBidi"/>
        </w:rPr>
      </w:pPr>
    </w:p>
    <w:p w14:paraId="02E45049" w14:textId="77777777" w:rsidR="008F20C1" w:rsidRPr="008F20C1" w:rsidRDefault="008F20C1" w:rsidP="008F20C1">
      <w:pPr>
        <w:rPr>
          <w:rFonts w:asciiTheme="minorHAnsi" w:eastAsiaTheme="minorHAnsi" w:hAnsiTheme="minorHAnsi" w:cstheme="minorBidi"/>
        </w:rPr>
      </w:pPr>
      <w:r w:rsidRPr="008F20C1">
        <w:rPr>
          <w:rFonts w:asciiTheme="minorHAnsi" w:eastAsiaTheme="minorHAnsi" w:hAnsiTheme="minorHAnsi" w:cstheme="minorBidi"/>
        </w:rPr>
        <w:t>Mosher W, W Pratt, A Duffer.  1994.  CAPI, Event Histories, and Incentives in the NSFG Cycle 5 Pretest.  1994 Proceedings of the Section on Survey Research Methods, Volume I:  Papers presented at the Annual Meeting of the American Statistical Association, Toronto, Canada, August 1994.  Pages 59-63.</w:t>
      </w:r>
    </w:p>
    <w:p w14:paraId="0BE8BF17" w14:textId="77777777" w:rsidR="008F20C1" w:rsidRPr="008F20C1" w:rsidRDefault="008F20C1" w:rsidP="008F20C1">
      <w:pPr>
        <w:rPr>
          <w:rFonts w:asciiTheme="minorHAnsi" w:eastAsiaTheme="minorHAnsi" w:hAnsiTheme="minorHAnsi" w:cstheme="minorBidi"/>
        </w:rPr>
      </w:pPr>
    </w:p>
    <w:p w14:paraId="7AF77C2B" w14:textId="77777777" w:rsidR="008F20C1" w:rsidRPr="008F20C1" w:rsidRDefault="008F20C1" w:rsidP="008F20C1">
      <w:pPr>
        <w:rPr>
          <w:rFonts w:asciiTheme="minorHAnsi" w:eastAsiaTheme="minorHAnsi" w:hAnsiTheme="minorHAnsi" w:cstheme="minorBidi"/>
        </w:rPr>
      </w:pPr>
      <w:r w:rsidRPr="008F20C1">
        <w:rPr>
          <w:rFonts w:asciiTheme="minorHAnsi" w:eastAsiaTheme="minorHAnsi" w:hAnsiTheme="minorHAnsi" w:cstheme="minorBidi"/>
        </w:rPr>
        <w:t>Peytchev A, Peytcheva A, R Groves.  2010.  Measurement Error, Unit Nonresponse, and Self-reports of Abortion Experiences.  Public Opinion Quarterly 74 (2): 319-327.</w:t>
      </w:r>
    </w:p>
    <w:p w14:paraId="036371E8" w14:textId="32A228D4" w:rsidR="0051438D" w:rsidRDefault="00B8578F" w:rsidP="004269C2">
      <w:pPr>
        <w:rPr>
          <w:rFonts w:ascii="Calibri" w:hAnsi="Calibri"/>
          <w:i/>
        </w:rPr>
      </w:pPr>
      <w:r>
        <w:rPr>
          <w:rFonts w:ascii="Calibri" w:hAnsi="Calibri"/>
          <w:i/>
        </w:rPr>
        <w:tab/>
      </w:r>
    </w:p>
    <w:p w14:paraId="1205262F" w14:textId="77777777" w:rsidR="0051438D" w:rsidRDefault="0051438D">
      <w:pPr>
        <w:rPr>
          <w:rFonts w:ascii="Calibri" w:hAnsi="Calibri"/>
          <w:i/>
        </w:rPr>
      </w:pPr>
      <w:r>
        <w:rPr>
          <w:rFonts w:ascii="Calibri" w:hAnsi="Calibri"/>
          <w:i/>
        </w:rPr>
        <w:br w:type="page"/>
      </w:r>
    </w:p>
    <w:p w14:paraId="26D41E7B" w14:textId="6A969264" w:rsidR="004269C2" w:rsidRPr="0004437D" w:rsidRDefault="0051438D" w:rsidP="0004437D">
      <w:pPr>
        <w:jc w:val="center"/>
        <w:rPr>
          <w:rFonts w:ascii="Calibri" w:hAnsi="Calibri"/>
          <w:b/>
        </w:rPr>
      </w:pPr>
      <w:r w:rsidRPr="0004437D">
        <w:rPr>
          <w:rFonts w:ascii="Calibri" w:hAnsi="Calibri"/>
          <w:b/>
        </w:rPr>
        <w:lastRenderedPageBreak/>
        <w:t>Appendix I</w:t>
      </w:r>
    </w:p>
    <w:p w14:paraId="2D7B04CF" w14:textId="7CB6F450" w:rsidR="0051438D" w:rsidRPr="0004437D" w:rsidRDefault="0004437D" w:rsidP="0004437D">
      <w:pPr>
        <w:jc w:val="center"/>
        <w:rPr>
          <w:rFonts w:ascii="Calibri" w:hAnsi="Calibri"/>
          <w:b/>
        </w:rPr>
      </w:pPr>
      <w:r>
        <w:rPr>
          <w:rFonts w:ascii="Calibri" w:hAnsi="Calibri"/>
          <w:b/>
        </w:rPr>
        <w:t xml:space="preserve">Understanding </w:t>
      </w:r>
      <w:r w:rsidR="0051438D" w:rsidRPr="0004437D">
        <w:rPr>
          <w:rFonts w:ascii="Calibri" w:hAnsi="Calibri"/>
          <w:b/>
        </w:rPr>
        <w:t>Phase 2 and Cumulative (Phase 1 + Phase 2) results: Hypotheses</w:t>
      </w:r>
    </w:p>
    <w:p w14:paraId="7DF20250" w14:textId="77777777" w:rsidR="0051438D" w:rsidRDefault="0051438D" w:rsidP="004269C2">
      <w:pPr>
        <w:rPr>
          <w:rFonts w:ascii="Calibri" w:hAnsi="Calibri"/>
        </w:rPr>
      </w:pPr>
    </w:p>
    <w:p w14:paraId="56B5EC15" w14:textId="5CBA8752" w:rsidR="0004437D" w:rsidRDefault="0004437D" w:rsidP="0004437D">
      <w:pPr>
        <w:rPr>
          <w:rFonts w:ascii="Calibri" w:hAnsi="Calibri"/>
        </w:rPr>
      </w:pPr>
      <w:r>
        <w:rPr>
          <w:rFonts w:ascii="Calibri" w:hAnsi="Calibri"/>
        </w:rPr>
        <w:t>The Phase 2 samples for the two treatments could differ in at least two important ways:</w:t>
      </w:r>
    </w:p>
    <w:p w14:paraId="1C2EC224" w14:textId="77777777" w:rsidR="0004437D" w:rsidRDefault="0004437D" w:rsidP="0004437D">
      <w:pPr>
        <w:rPr>
          <w:rFonts w:ascii="Calibri" w:hAnsi="Calibri"/>
        </w:rPr>
      </w:pPr>
    </w:p>
    <w:p w14:paraId="48DA90C1" w14:textId="77777777" w:rsidR="0004437D" w:rsidRDefault="0004437D" w:rsidP="0004437D">
      <w:pPr>
        <w:pStyle w:val="ListParagraph"/>
        <w:numPr>
          <w:ilvl w:val="0"/>
          <w:numId w:val="13"/>
        </w:numPr>
        <w:rPr>
          <w:rFonts w:ascii="Calibri" w:hAnsi="Calibri"/>
        </w:rPr>
      </w:pPr>
      <w:r>
        <w:rPr>
          <w:rFonts w:ascii="Calibri" w:hAnsi="Calibri"/>
        </w:rPr>
        <w:t>The $40 treatment had lower response rates at the end of Phase 1. We might expect the Phase 2 sample in the $60 Phase 1 arm to be more difficult to interview. This might be reflected by the Phase 2 sample for that arm having somewhat lower estimated response propensities than the $40 arm. If the Phase 2 samples differ in this way, then we might have different results at the end of Phase 2 with respect to response rates.</w:t>
      </w:r>
    </w:p>
    <w:p w14:paraId="03F0265E" w14:textId="77777777" w:rsidR="0004437D" w:rsidRPr="00F62164" w:rsidRDefault="0004437D" w:rsidP="0004437D">
      <w:pPr>
        <w:rPr>
          <w:rFonts w:ascii="Calibri" w:hAnsi="Calibri"/>
        </w:rPr>
      </w:pPr>
    </w:p>
    <w:p w14:paraId="2EFC86FE" w14:textId="77777777" w:rsidR="0004437D" w:rsidRDefault="0004437D" w:rsidP="0004437D">
      <w:pPr>
        <w:pStyle w:val="ListParagraph"/>
        <w:numPr>
          <w:ilvl w:val="0"/>
          <w:numId w:val="13"/>
        </w:numPr>
        <w:rPr>
          <w:rFonts w:ascii="Calibri" w:hAnsi="Calibri"/>
        </w:rPr>
      </w:pPr>
      <w:r>
        <w:rPr>
          <w:rFonts w:ascii="Calibri" w:hAnsi="Calibri"/>
        </w:rPr>
        <w:t>The increase in the amount of the incentive was different for the two groups. The $60 treatment group had its incentive increased by $20 for Phase 2, while the $40 treatment group had their incentive increased by $40. We might expect the smaller increase to have a relatively smaller effect on final response rates.</w:t>
      </w:r>
    </w:p>
    <w:p w14:paraId="28D38382" w14:textId="77777777" w:rsidR="0004437D" w:rsidRDefault="0004437D" w:rsidP="0004437D">
      <w:pPr>
        <w:rPr>
          <w:rFonts w:ascii="Calibri" w:hAnsi="Calibri"/>
        </w:rPr>
      </w:pPr>
    </w:p>
    <w:p w14:paraId="5568E5C5" w14:textId="77777777" w:rsidR="0004437D" w:rsidRDefault="0004437D" w:rsidP="0004437D">
      <w:pPr>
        <w:rPr>
          <w:rFonts w:ascii="Calibri" w:hAnsi="Calibri"/>
        </w:rPr>
      </w:pPr>
      <w:r>
        <w:rPr>
          <w:rFonts w:ascii="Calibri" w:hAnsi="Calibri"/>
        </w:rPr>
        <w:t xml:space="preserve">We can evaluate the first point by examining the estimated response propensities for the Phase 2 samples by treatment. The treatment indicator was not used as a predictor in the propensity models. The models include a large set of fixed, baseline characteristics as well as elements from the time-varying paradata (e.g., contact observations, number of calls, number of contacts, ever resistant, etc.). Table 4 shows the mean of the estimated response propensities for the Phase 2 samples by current status (unscreened and screened) and treatment ($40 vs $60). The estimated propensities are actually higher for the $60 treatment, although not significantly so. Thus, it does </w:t>
      </w:r>
      <w:r w:rsidRPr="00E70539">
        <w:rPr>
          <w:rFonts w:ascii="Calibri" w:hAnsi="Calibri"/>
          <w:u w:val="single"/>
        </w:rPr>
        <w:t>not</w:t>
      </w:r>
      <w:r>
        <w:rPr>
          <w:rFonts w:ascii="Calibri" w:hAnsi="Calibri"/>
        </w:rPr>
        <w:t xml:space="preserve"> appear that sample quality for Phase 2 favors the $40 treatment.</w:t>
      </w:r>
    </w:p>
    <w:p w14:paraId="3443A4B6" w14:textId="77777777" w:rsidR="0004437D" w:rsidRDefault="0004437D" w:rsidP="0004437D">
      <w:pPr>
        <w:rPr>
          <w:rFonts w:ascii="Calibri" w:hAnsi="Calibri"/>
        </w:rPr>
      </w:pPr>
    </w:p>
    <w:tbl>
      <w:tblPr>
        <w:tblW w:w="6040" w:type="dxa"/>
        <w:tblLook w:val="04A0" w:firstRow="1" w:lastRow="0" w:firstColumn="1" w:lastColumn="0" w:noHBand="0" w:noVBand="1"/>
      </w:tblPr>
      <w:tblGrid>
        <w:gridCol w:w="2932"/>
        <w:gridCol w:w="1586"/>
        <w:gridCol w:w="1522"/>
      </w:tblGrid>
      <w:tr w:rsidR="0004437D" w14:paraId="429FCEE6" w14:textId="77777777" w:rsidTr="009969FB">
        <w:trPr>
          <w:trHeight w:val="315"/>
        </w:trPr>
        <w:tc>
          <w:tcPr>
            <w:tcW w:w="6040" w:type="dxa"/>
            <w:gridSpan w:val="3"/>
            <w:tcBorders>
              <w:top w:val="single" w:sz="12" w:space="0" w:color="auto"/>
              <w:left w:val="single" w:sz="12" w:space="0" w:color="auto"/>
              <w:bottom w:val="single" w:sz="4" w:space="0" w:color="auto"/>
              <w:right w:val="single" w:sz="12" w:space="0" w:color="000000"/>
            </w:tcBorders>
            <w:shd w:val="clear" w:color="auto" w:fill="auto"/>
            <w:noWrap/>
            <w:vAlign w:val="bottom"/>
            <w:hideMark/>
          </w:tcPr>
          <w:p w14:paraId="2212B468" w14:textId="77777777" w:rsidR="0004437D" w:rsidRDefault="0004437D" w:rsidP="009969FB">
            <w:pPr>
              <w:rPr>
                <w:rFonts w:ascii="Calibri" w:hAnsi="Calibri"/>
                <w:b/>
                <w:bCs/>
                <w:color w:val="000000"/>
                <w:sz w:val="22"/>
                <w:szCs w:val="22"/>
              </w:rPr>
            </w:pPr>
            <w:r>
              <w:rPr>
                <w:rFonts w:ascii="Calibri" w:hAnsi="Calibri"/>
                <w:b/>
                <w:bCs/>
                <w:color w:val="000000"/>
                <w:sz w:val="22"/>
                <w:szCs w:val="22"/>
              </w:rPr>
              <w:t>Table 4: Phase 2 Sample Mean of the Estimated Response Propensities and Weight Variance</w:t>
            </w:r>
          </w:p>
        </w:tc>
      </w:tr>
      <w:tr w:rsidR="0004437D" w14:paraId="5CC00C55" w14:textId="77777777" w:rsidTr="009969FB">
        <w:trPr>
          <w:trHeight w:val="300"/>
        </w:trPr>
        <w:tc>
          <w:tcPr>
            <w:tcW w:w="2932" w:type="dxa"/>
            <w:tcBorders>
              <w:top w:val="nil"/>
              <w:left w:val="single" w:sz="12" w:space="0" w:color="auto"/>
              <w:bottom w:val="single" w:sz="4" w:space="0" w:color="auto"/>
              <w:right w:val="single" w:sz="4" w:space="0" w:color="auto"/>
            </w:tcBorders>
            <w:shd w:val="clear" w:color="auto" w:fill="auto"/>
            <w:noWrap/>
            <w:vAlign w:val="bottom"/>
            <w:hideMark/>
          </w:tcPr>
          <w:p w14:paraId="07D13496" w14:textId="77777777" w:rsidR="0004437D" w:rsidRDefault="0004437D" w:rsidP="009969FB">
            <w:pPr>
              <w:rPr>
                <w:rFonts w:ascii="Calibri" w:hAnsi="Calibri"/>
                <w:color w:val="000000"/>
                <w:sz w:val="22"/>
                <w:szCs w:val="22"/>
              </w:rPr>
            </w:pPr>
            <w:r>
              <w:rPr>
                <w:rFonts w:ascii="Calibri" w:hAnsi="Calibri"/>
                <w:color w:val="000000"/>
                <w:sz w:val="22"/>
                <w:szCs w:val="22"/>
              </w:rPr>
              <w:t> </w:t>
            </w:r>
          </w:p>
        </w:tc>
        <w:tc>
          <w:tcPr>
            <w:tcW w:w="1586" w:type="dxa"/>
            <w:tcBorders>
              <w:top w:val="nil"/>
              <w:left w:val="nil"/>
              <w:bottom w:val="single" w:sz="4" w:space="0" w:color="auto"/>
              <w:right w:val="single" w:sz="4" w:space="0" w:color="auto"/>
            </w:tcBorders>
            <w:shd w:val="clear" w:color="auto" w:fill="auto"/>
            <w:noWrap/>
            <w:vAlign w:val="center"/>
            <w:hideMark/>
          </w:tcPr>
          <w:p w14:paraId="7FDB0899" w14:textId="77777777" w:rsidR="0004437D" w:rsidRDefault="0004437D" w:rsidP="009969FB">
            <w:pPr>
              <w:jc w:val="center"/>
              <w:rPr>
                <w:rFonts w:ascii="Calibri" w:hAnsi="Calibri"/>
                <w:color w:val="000000"/>
                <w:sz w:val="22"/>
                <w:szCs w:val="22"/>
              </w:rPr>
            </w:pPr>
            <w:r>
              <w:rPr>
                <w:rFonts w:ascii="Calibri" w:hAnsi="Calibri"/>
                <w:color w:val="000000"/>
                <w:sz w:val="22"/>
                <w:szCs w:val="22"/>
              </w:rPr>
              <w:t xml:space="preserve">$40 </w:t>
            </w:r>
          </w:p>
        </w:tc>
        <w:tc>
          <w:tcPr>
            <w:tcW w:w="1522" w:type="dxa"/>
            <w:tcBorders>
              <w:top w:val="nil"/>
              <w:left w:val="nil"/>
              <w:bottom w:val="single" w:sz="4" w:space="0" w:color="auto"/>
              <w:right w:val="single" w:sz="12" w:space="0" w:color="auto"/>
            </w:tcBorders>
            <w:shd w:val="clear" w:color="auto" w:fill="auto"/>
            <w:noWrap/>
            <w:vAlign w:val="center"/>
            <w:hideMark/>
          </w:tcPr>
          <w:p w14:paraId="10E5D8EF" w14:textId="77777777" w:rsidR="0004437D" w:rsidRDefault="0004437D" w:rsidP="009969FB">
            <w:pPr>
              <w:jc w:val="center"/>
              <w:rPr>
                <w:rFonts w:ascii="Calibri" w:hAnsi="Calibri"/>
                <w:color w:val="000000"/>
                <w:sz w:val="22"/>
                <w:szCs w:val="22"/>
              </w:rPr>
            </w:pPr>
            <w:r>
              <w:rPr>
                <w:rFonts w:ascii="Calibri" w:hAnsi="Calibri"/>
                <w:color w:val="000000"/>
                <w:sz w:val="22"/>
                <w:szCs w:val="22"/>
              </w:rPr>
              <w:t xml:space="preserve">$60 </w:t>
            </w:r>
          </w:p>
        </w:tc>
      </w:tr>
      <w:tr w:rsidR="0004437D" w14:paraId="0A284D88" w14:textId="77777777" w:rsidTr="009969FB">
        <w:trPr>
          <w:trHeight w:val="300"/>
        </w:trPr>
        <w:tc>
          <w:tcPr>
            <w:tcW w:w="2932" w:type="dxa"/>
            <w:tcBorders>
              <w:top w:val="nil"/>
              <w:left w:val="single" w:sz="12" w:space="0" w:color="auto"/>
              <w:bottom w:val="single" w:sz="4" w:space="0" w:color="auto"/>
              <w:right w:val="single" w:sz="4" w:space="0" w:color="auto"/>
            </w:tcBorders>
            <w:shd w:val="clear" w:color="auto" w:fill="auto"/>
            <w:noWrap/>
            <w:vAlign w:val="bottom"/>
          </w:tcPr>
          <w:p w14:paraId="4EA60BF8" w14:textId="77777777" w:rsidR="0004437D" w:rsidRDefault="0004437D" w:rsidP="009969FB">
            <w:pPr>
              <w:rPr>
                <w:rFonts w:ascii="Calibri" w:hAnsi="Calibri"/>
                <w:color w:val="000000"/>
                <w:sz w:val="22"/>
                <w:szCs w:val="22"/>
              </w:rPr>
            </w:pPr>
            <w:r>
              <w:rPr>
                <w:rFonts w:ascii="Calibri" w:hAnsi="Calibri"/>
                <w:color w:val="000000"/>
                <w:sz w:val="22"/>
                <w:szCs w:val="22"/>
              </w:rPr>
              <w:t>Screener</w:t>
            </w:r>
          </w:p>
        </w:tc>
        <w:tc>
          <w:tcPr>
            <w:tcW w:w="1586" w:type="dxa"/>
            <w:tcBorders>
              <w:top w:val="nil"/>
              <w:left w:val="nil"/>
              <w:bottom w:val="single" w:sz="4" w:space="0" w:color="auto"/>
              <w:right w:val="single" w:sz="4" w:space="0" w:color="auto"/>
            </w:tcBorders>
            <w:shd w:val="clear" w:color="auto" w:fill="auto"/>
            <w:noWrap/>
            <w:vAlign w:val="center"/>
          </w:tcPr>
          <w:p w14:paraId="532602EF" w14:textId="77777777" w:rsidR="0004437D" w:rsidRDefault="0004437D" w:rsidP="009969FB">
            <w:pPr>
              <w:jc w:val="center"/>
              <w:rPr>
                <w:rFonts w:ascii="Calibri" w:hAnsi="Calibri"/>
                <w:color w:val="000000"/>
                <w:sz w:val="22"/>
                <w:szCs w:val="22"/>
              </w:rPr>
            </w:pPr>
            <w:r>
              <w:rPr>
                <w:rFonts w:ascii="Calibri" w:hAnsi="Calibri"/>
                <w:color w:val="000000"/>
                <w:sz w:val="22"/>
                <w:szCs w:val="22"/>
              </w:rPr>
              <w:t xml:space="preserve">0.151 </w:t>
            </w:r>
            <w:r w:rsidRPr="00C50FC6">
              <w:rPr>
                <w:rFonts w:ascii="Calibri" w:hAnsi="Calibri"/>
                <w:i/>
                <w:color w:val="000000"/>
                <w:sz w:val="20"/>
                <w:szCs w:val="20"/>
              </w:rPr>
              <w:t>(0.005)</w:t>
            </w:r>
          </w:p>
        </w:tc>
        <w:tc>
          <w:tcPr>
            <w:tcW w:w="1522" w:type="dxa"/>
            <w:tcBorders>
              <w:top w:val="nil"/>
              <w:left w:val="nil"/>
              <w:bottom w:val="single" w:sz="4" w:space="0" w:color="auto"/>
              <w:right w:val="single" w:sz="12" w:space="0" w:color="auto"/>
            </w:tcBorders>
            <w:shd w:val="clear" w:color="auto" w:fill="auto"/>
            <w:noWrap/>
            <w:vAlign w:val="center"/>
          </w:tcPr>
          <w:p w14:paraId="744B5C7E" w14:textId="77777777" w:rsidR="0004437D" w:rsidRDefault="0004437D" w:rsidP="009969FB">
            <w:pPr>
              <w:jc w:val="center"/>
              <w:rPr>
                <w:rFonts w:ascii="Calibri" w:hAnsi="Calibri"/>
                <w:color w:val="000000"/>
                <w:sz w:val="22"/>
                <w:szCs w:val="22"/>
              </w:rPr>
            </w:pPr>
            <w:r>
              <w:rPr>
                <w:rFonts w:ascii="Calibri" w:hAnsi="Calibri"/>
                <w:color w:val="000000"/>
                <w:sz w:val="22"/>
                <w:szCs w:val="22"/>
              </w:rPr>
              <w:t xml:space="preserve">0.157 </w:t>
            </w:r>
            <w:r w:rsidRPr="00C50FC6">
              <w:rPr>
                <w:rFonts w:ascii="Calibri" w:hAnsi="Calibri"/>
                <w:i/>
                <w:color w:val="000000"/>
                <w:sz w:val="20"/>
                <w:szCs w:val="20"/>
              </w:rPr>
              <w:t>(0.005)</w:t>
            </w:r>
          </w:p>
        </w:tc>
      </w:tr>
      <w:tr w:rsidR="0004437D" w14:paraId="2A62D1CA" w14:textId="77777777" w:rsidTr="009969FB">
        <w:trPr>
          <w:trHeight w:val="300"/>
        </w:trPr>
        <w:tc>
          <w:tcPr>
            <w:tcW w:w="2932"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47330258" w14:textId="77777777" w:rsidR="0004437D" w:rsidRDefault="0004437D" w:rsidP="009969FB">
            <w:pPr>
              <w:rPr>
                <w:rFonts w:ascii="Calibri" w:hAnsi="Calibri"/>
                <w:color w:val="000000"/>
                <w:sz w:val="22"/>
                <w:szCs w:val="22"/>
              </w:rPr>
            </w:pPr>
            <w:r>
              <w:rPr>
                <w:rFonts w:ascii="Calibri" w:hAnsi="Calibri"/>
                <w:color w:val="000000"/>
                <w:sz w:val="22"/>
                <w:szCs w:val="22"/>
              </w:rPr>
              <w:t>Main</w:t>
            </w:r>
          </w:p>
        </w:tc>
        <w:tc>
          <w:tcPr>
            <w:tcW w:w="1586" w:type="dxa"/>
            <w:tcBorders>
              <w:top w:val="single" w:sz="4" w:space="0" w:color="auto"/>
              <w:left w:val="nil"/>
              <w:bottom w:val="single" w:sz="4" w:space="0" w:color="auto"/>
              <w:right w:val="single" w:sz="4" w:space="0" w:color="auto"/>
            </w:tcBorders>
            <w:shd w:val="clear" w:color="auto" w:fill="auto"/>
            <w:noWrap/>
            <w:vAlign w:val="center"/>
          </w:tcPr>
          <w:p w14:paraId="0AEDBCB1" w14:textId="77777777" w:rsidR="0004437D" w:rsidRDefault="0004437D" w:rsidP="009969FB">
            <w:pPr>
              <w:jc w:val="center"/>
              <w:rPr>
                <w:rFonts w:ascii="Calibri" w:hAnsi="Calibri"/>
                <w:color w:val="000000"/>
                <w:sz w:val="22"/>
                <w:szCs w:val="22"/>
              </w:rPr>
            </w:pPr>
            <w:r>
              <w:rPr>
                <w:rFonts w:ascii="Calibri" w:hAnsi="Calibri"/>
                <w:color w:val="000000"/>
                <w:sz w:val="22"/>
                <w:szCs w:val="22"/>
              </w:rPr>
              <w:t xml:space="preserve">0.062 </w:t>
            </w:r>
            <w:r w:rsidRPr="00C50FC6">
              <w:rPr>
                <w:rFonts w:ascii="Calibri" w:hAnsi="Calibri"/>
                <w:i/>
                <w:color w:val="000000"/>
                <w:sz w:val="20"/>
                <w:szCs w:val="20"/>
              </w:rPr>
              <w:t>(0.005)</w:t>
            </w:r>
          </w:p>
        </w:tc>
        <w:tc>
          <w:tcPr>
            <w:tcW w:w="1522" w:type="dxa"/>
            <w:tcBorders>
              <w:top w:val="single" w:sz="4" w:space="0" w:color="auto"/>
              <w:left w:val="nil"/>
              <w:bottom w:val="single" w:sz="4" w:space="0" w:color="auto"/>
              <w:right w:val="single" w:sz="12" w:space="0" w:color="auto"/>
            </w:tcBorders>
            <w:shd w:val="clear" w:color="auto" w:fill="auto"/>
            <w:noWrap/>
            <w:vAlign w:val="center"/>
          </w:tcPr>
          <w:p w14:paraId="5D6C9A28" w14:textId="77777777" w:rsidR="0004437D" w:rsidRDefault="0004437D" w:rsidP="009969FB">
            <w:pPr>
              <w:jc w:val="center"/>
              <w:rPr>
                <w:rFonts w:ascii="Calibri" w:hAnsi="Calibri"/>
                <w:color w:val="000000"/>
                <w:sz w:val="22"/>
                <w:szCs w:val="22"/>
              </w:rPr>
            </w:pPr>
            <w:r>
              <w:rPr>
                <w:rFonts w:ascii="Calibri" w:hAnsi="Calibri"/>
                <w:color w:val="000000"/>
                <w:sz w:val="22"/>
                <w:szCs w:val="22"/>
              </w:rPr>
              <w:t xml:space="preserve">0.068 </w:t>
            </w:r>
            <w:r w:rsidRPr="00C50FC6">
              <w:rPr>
                <w:rFonts w:ascii="Calibri" w:hAnsi="Calibri"/>
                <w:i/>
                <w:color w:val="000000"/>
                <w:sz w:val="20"/>
                <w:szCs w:val="20"/>
              </w:rPr>
              <w:t>(0.005)</w:t>
            </w:r>
          </w:p>
        </w:tc>
      </w:tr>
      <w:tr w:rsidR="0004437D" w14:paraId="6DFB08C9" w14:textId="77777777" w:rsidTr="009969FB">
        <w:trPr>
          <w:trHeight w:val="300"/>
        </w:trPr>
        <w:tc>
          <w:tcPr>
            <w:tcW w:w="2932" w:type="dxa"/>
            <w:tcBorders>
              <w:top w:val="single" w:sz="4" w:space="0" w:color="auto"/>
              <w:left w:val="single" w:sz="12" w:space="0" w:color="auto"/>
              <w:bottom w:val="single" w:sz="4" w:space="0" w:color="auto"/>
              <w:right w:val="single" w:sz="4" w:space="0" w:color="auto"/>
            </w:tcBorders>
            <w:shd w:val="clear" w:color="auto" w:fill="auto"/>
            <w:noWrap/>
            <w:vAlign w:val="bottom"/>
          </w:tcPr>
          <w:p w14:paraId="2C170362" w14:textId="77777777" w:rsidR="0004437D" w:rsidRDefault="0004437D" w:rsidP="009969FB">
            <w:pPr>
              <w:rPr>
                <w:rFonts w:ascii="Calibri" w:hAnsi="Calibri"/>
                <w:color w:val="000000"/>
                <w:sz w:val="22"/>
                <w:szCs w:val="22"/>
              </w:rPr>
            </w:pPr>
            <w:r>
              <w:rPr>
                <w:rFonts w:ascii="Calibri" w:hAnsi="Calibri"/>
                <w:color w:val="000000"/>
                <w:sz w:val="22"/>
                <w:szCs w:val="22"/>
              </w:rPr>
              <w:t xml:space="preserve">Mean Phase 2 Weight </w:t>
            </w:r>
            <w:r w:rsidRPr="0071760A">
              <w:rPr>
                <w:rFonts w:ascii="Calibri" w:hAnsi="Calibri"/>
                <w:color w:val="000000"/>
                <w:sz w:val="22"/>
                <w:szCs w:val="22"/>
              </w:rPr>
              <w:t>(SE)</w:t>
            </w:r>
          </w:p>
        </w:tc>
        <w:tc>
          <w:tcPr>
            <w:tcW w:w="1586" w:type="dxa"/>
            <w:tcBorders>
              <w:top w:val="single" w:sz="4" w:space="0" w:color="auto"/>
              <w:left w:val="nil"/>
              <w:bottom w:val="single" w:sz="4" w:space="0" w:color="auto"/>
              <w:right w:val="single" w:sz="4" w:space="0" w:color="auto"/>
            </w:tcBorders>
            <w:shd w:val="clear" w:color="auto" w:fill="auto"/>
            <w:noWrap/>
            <w:vAlign w:val="center"/>
          </w:tcPr>
          <w:p w14:paraId="09E987A5" w14:textId="77777777" w:rsidR="0004437D" w:rsidRDefault="0004437D" w:rsidP="009969FB">
            <w:pPr>
              <w:jc w:val="center"/>
              <w:rPr>
                <w:rFonts w:ascii="Calibri" w:hAnsi="Calibri"/>
                <w:color w:val="000000"/>
                <w:sz w:val="22"/>
                <w:szCs w:val="22"/>
              </w:rPr>
            </w:pPr>
            <w:r>
              <w:rPr>
                <w:rFonts w:ascii="Calibri" w:hAnsi="Calibri"/>
                <w:color w:val="000000"/>
                <w:sz w:val="22"/>
                <w:szCs w:val="22"/>
              </w:rPr>
              <w:t xml:space="preserve">3.01 </w:t>
            </w:r>
            <w:r w:rsidRPr="0071760A">
              <w:rPr>
                <w:rFonts w:ascii="Calibri" w:hAnsi="Calibri"/>
                <w:color w:val="000000"/>
                <w:sz w:val="22"/>
                <w:szCs w:val="22"/>
              </w:rPr>
              <w:t>(0.03)</w:t>
            </w:r>
          </w:p>
        </w:tc>
        <w:tc>
          <w:tcPr>
            <w:tcW w:w="1522" w:type="dxa"/>
            <w:tcBorders>
              <w:top w:val="single" w:sz="4" w:space="0" w:color="auto"/>
              <w:left w:val="nil"/>
              <w:bottom w:val="single" w:sz="4" w:space="0" w:color="auto"/>
              <w:right w:val="single" w:sz="12" w:space="0" w:color="auto"/>
            </w:tcBorders>
            <w:shd w:val="clear" w:color="auto" w:fill="auto"/>
            <w:noWrap/>
            <w:vAlign w:val="center"/>
          </w:tcPr>
          <w:p w14:paraId="5F056B87" w14:textId="77777777" w:rsidR="0004437D" w:rsidRDefault="0004437D" w:rsidP="009969FB">
            <w:pPr>
              <w:jc w:val="center"/>
              <w:rPr>
                <w:rFonts w:ascii="Calibri" w:hAnsi="Calibri"/>
                <w:color w:val="000000"/>
                <w:sz w:val="22"/>
                <w:szCs w:val="22"/>
              </w:rPr>
            </w:pPr>
            <w:r>
              <w:rPr>
                <w:rFonts w:ascii="Calibri" w:hAnsi="Calibri"/>
                <w:color w:val="000000"/>
                <w:sz w:val="22"/>
                <w:szCs w:val="22"/>
              </w:rPr>
              <w:t xml:space="preserve">2.99 </w:t>
            </w:r>
            <w:r w:rsidRPr="0071760A">
              <w:rPr>
                <w:rFonts w:ascii="Calibri" w:hAnsi="Calibri"/>
                <w:color w:val="000000"/>
                <w:sz w:val="22"/>
                <w:szCs w:val="22"/>
              </w:rPr>
              <w:t>(0.03)</w:t>
            </w:r>
          </w:p>
        </w:tc>
      </w:tr>
      <w:tr w:rsidR="0004437D" w14:paraId="27267A0C" w14:textId="77777777" w:rsidTr="009969FB">
        <w:trPr>
          <w:trHeight w:val="300"/>
        </w:trPr>
        <w:tc>
          <w:tcPr>
            <w:tcW w:w="2932" w:type="dxa"/>
            <w:tcBorders>
              <w:top w:val="single" w:sz="4" w:space="0" w:color="auto"/>
              <w:left w:val="single" w:sz="12" w:space="0" w:color="auto"/>
              <w:bottom w:val="single" w:sz="12" w:space="0" w:color="auto"/>
              <w:right w:val="single" w:sz="4" w:space="0" w:color="auto"/>
            </w:tcBorders>
            <w:shd w:val="clear" w:color="auto" w:fill="auto"/>
            <w:noWrap/>
            <w:vAlign w:val="bottom"/>
          </w:tcPr>
          <w:p w14:paraId="528CF2B1" w14:textId="77777777" w:rsidR="0004437D" w:rsidRDefault="0004437D" w:rsidP="009969FB">
            <w:pPr>
              <w:rPr>
                <w:rFonts w:ascii="Calibri" w:hAnsi="Calibri"/>
                <w:color w:val="000000"/>
                <w:sz w:val="22"/>
                <w:szCs w:val="22"/>
              </w:rPr>
            </w:pPr>
            <w:r>
              <w:rPr>
                <w:rFonts w:ascii="Calibri" w:hAnsi="Calibri"/>
                <w:color w:val="000000"/>
                <w:sz w:val="22"/>
                <w:szCs w:val="22"/>
              </w:rPr>
              <w:t>1+L</w:t>
            </w:r>
          </w:p>
        </w:tc>
        <w:tc>
          <w:tcPr>
            <w:tcW w:w="1586" w:type="dxa"/>
            <w:tcBorders>
              <w:top w:val="single" w:sz="4" w:space="0" w:color="auto"/>
              <w:left w:val="nil"/>
              <w:bottom w:val="single" w:sz="12" w:space="0" w:color="auto"/>
              <w:right w:val="single" w:sz="4" w:space="0" w:color="auto"/>
            </w:tcBorders>
            <w:shd w:val="clear" w:color="auto" w:fill="auto"/>
            <w:noWrap/>
            <w:vAlign w:val="center"/>
          </w:tcPr>
          <w:p w14:paraId="04474AE5" w14:textId="77777777" w:rsidR="0004437D" w:rsidRDefault="0004437D" w:rsidP="009969FB">
            <w:pPr>
              <w:jc w:val="center"/>
              <w:rPr>
                <w:rFonts w:ascii="Calibri" w:hAnsi="Calibri"/>
                <w:color w:val="000000"/>
                <w:sz w:val="22"/>
                <w:szCs w:val="22"/>
              </w:rPr>
            </w:pPr>
            <w:r>
              <w:rPr>
                <w:rFonts w:ascii="Calibri" w:hAnsi="Calibri"/>
                <w:color w:val="000000"/>
                <w:sz w:val="22"/>
                <w:szCs w:val="22"/>
              </w:rPr>
              <w:t>1.098</w:t>
            </w:r>
          </w:p>
        </w:tc>
        <w:tc>
          <w:tcPr>
            <w:tcW w:w="1522" w:type="dxa"/>
            <w:tcBorders>
              <w:top w:val="single" w:sz="4" w:space="0" w:color="auto"/>
              <w:left w:val="nil"/>
              <w:bottom w:val="single" w:sz="12" w:space="0" w:color="auto"/>
              <w:right w:val="single" w:sz="12" w:space="0" w:color="auto"/>
            </w:tcBorders>
            <w:shd w:val="clear" w:color="auto" w:fill="auto"/>
            <w:noWrap/>
            <w:vAlign w:val="center"/>
          </w:tcPr>
          <w:p w14:paraId="3E10D775" w14:textId="77777777" w:rsidR="0004437D" w:rsidRDefault="0004437D" w:rsidP="009969FB">
            <w:pPr>
              <w:jc w:val="center"/>
              <w:rPr>
                <w:rFonts w:ascii="Calibri" w:hAnsi="Calibri"/>
                <w:color w:val="000000"/>
                <w:sz w:val="22"/>
                <w:szCs w:val="22"/>
              </w:rPr>
            </w:pPr>
            <w:r>
              <w:rPr>
                <w:rFonts w:ascii="Calibri" w:hAnsi="Calibri"/>
                <w:color w:val="000000"/>
                <w:sz w:val="22"/>
                <w:szCs w:val="22"/>
              </w:rPr>
              <w:t>1.095</w:t>
            </w:r>
          </w:p>
        </w:tc>
      </w:tr>
    </w:tbl>
    <w:p w14:paraId="0A24F056" w14:textId="77777777" w:rsidR="0004437D" w:rsidRPr="00636E08" w:rsidRDefault="0004437D" w:rsidP="0004437D">
      <w:pPr>
        <w:rPr>
          <w:rFonts w:ascii="Calibri" w:hAnsi="Calibri"/>
        </w:rPr>
      </w:pPr>
    </w:p>
    <w:p w14:paraId="4624BBC7" w14:textId="1DA64B00" w:rsidR="0004437D" w:rsidRDefault="0004437D" w:rsidP="0004437D">
      <w:pPr>
        <w:rPr>
          <w:rFonts w:ascii="Calibri" w:hAnsi="Calibri"/>
        </w:rPr>
      </w:pPr>
      <w:r>
        <w:rPr>
          <w:rFonts w:ascii="Calibri" w:hAnsi="Calibri"/>
        </w:rPr>
        <w:t xml:space="preserve">We also examined the second </w:t>
      </w:r>
      <w:r w:rsidR="00614E76">
        <w:rPr>
          <w:rFonts w:ascii="Calibri" w:hAnsi="Calibri"/>
        </w:rPr>
        <w:t>Phase</w:t>
      </w:r>
      <w:r>
        <w:rPr>
          <w:rFonts w:ascii="Calibri" w:hAnsi="Calibri"/>
        </w:rPr>
        <w:t xml:space="preserve"> weights to see if the experiment created any imbalances in the weights. If one treatment finished Phase 1 at a higher response rate, it may have required a larger portion of the remaining cases to be sampled for Phase 2. This would lead to a reduction in the weighting factors for this </w:t>
      </w:r>
      <w:r w:rsidR="00614E76">
        <w:rPr>
          <w:rFonts w:ascii="Calibri" w:hAnsi="Calibri"/>
        </w:rPr>
        <w:t>Phase</w:t>
      </w:r>
      <w:r>
        <w:rPr>
          <w:rFonts w:ascii="Calibri" w:hAnsi="Calibri"/>
        </w:rPr>
        <w:t xml:space="preserve"> of sampling. This could be a positive outcome since lower variability in the weights may lead to lower variance estimates. However, the results in Table 4 show that the weights, and their expected maximal influence on variance estimates (“1+L”), are roughly identical across the two treatments. </w:t>
      </w:r>
    </w:p>
    <w:p w14:paraId="0A44A567" w14:textId="77777777" w:rsidR="0004437D" w:rsidRDefault="0004437D" w:rsidP="0004437D">
      <w:pPr>
        <w:rPr>
          <w:rFonts w:ascii="Calibri" w:hAnsi="Calibri"/>
        </w:rPr>
      </w:pPr>
    </w:p>
    <w:p w14:paraId="068A074F" w14:textId="3BBECC18" w:rsidR="0004437D" w:rsidRDefault="0004437D" w:rsidP="0004437D">
      <w:pPr>
        <w:rPr>
          <w:rFonts w:ascii="Calibri" w:hAnsi="Calibri"/>
        </w:rPr>
      </w:pPr>
      <w:r>
        <w:rPr>
          <w:rFonts w:ascii="Calibri" w:hAnsi="Calibri"/>
        </w:rPr>
        <w:t xml:space="preserve">Of course, the experimental condition may have some influence on the sampling. The second </w:t>
      </w:r>
      <w:r w:rsidR="00614E76">
        <w:rPr>
          <w:rFonts w:ascii="Calibri" w:hAnsi="Calibri"/>
        </w:rPr>
        <w:t>Phase</w:t>
      </w:r>
      <w:r>
        <w:rPr>
          <w:rFonts w:ascii="Calibri" w:hAnsi="Calibri"/>
        </w:rPr>
        <w:t xml:space="preserve"> sample is drawn to create a sample of size sufficient for an interviewer with a specified </w:t>
      </w:r>
      <w:r>
        <w:rPr>
          <w:rFonts w:ascii="Calibri" w:hAnsi="Calibri"/>
        </w:rPr>
        <w:lastRenderedPageBreak/>
        <w:t xml:space="preserve">level of productivity who works 30 hours per week. In this design, the sampling rates for the second </w:t>
      </w:r>
      <w:r w:rsidR="00614E76">
        <w:rPr>
          <w:rFonts w:ascii="Calibri" w:hAnsi="Calibri"/>
        </w:rPr>
        <w:t>Phase</w:t>
      </w:r>
      <w:r>
        <w:rPr>
          <w:rFonts w:ascii="Calibri" w:hAnsi="Calibri"/>
        </w:rPr>
        <w:t xml:space="preserve"> in one segment are linked to the sampling rates in another. This situation may push the sample to an overall average rate. If only one treatment was being used, different rates might result.</w:t>
      </w:r>
    </w:p>
    <w:p w14:paraId="78471F96" w14:textId="77777777" w:rsidR="0004437D" w:rsidRDefault="0004437D" w:rsidP="0004437D">
      <w:pPr>
        <w:rPr>
          <w:rFonts w:ascii="Calibri" w:hAnsi="Calibri"/>
        </w:rPr>
      </w:pPr>
    </w:p>
    <w:p w14:paraId="5B93BF0B" w14:textId="77777777" w:rsidR="0004437D" w:rsidRDefault="0004437D" w:rsidP="0004437D">
      <w:pPr>
        <w:rPr>
          <w:rFonts w:ascii="Calibri" w:hAnsi="Calibri"/>
        </w:rPr>
      </w:pPr>
      <w:r w:rsidRPr="00C50FC6">
        <w:rPr>
          <w:rFonts w:ascii="Calibri" w:hAnsi="Calibri"/>
        </w:rPr>
        <w:t xml:space="preserve">Hypothesis 2 </w:t>
      </w:r>
      <w:r>
        <w:rPr>
          <w:rFonts w:ascii="Calibri" w:hAnsi="Calibri"/>
        </w:rPr>
        <w:t xml:space="preserve">(that the smaller </w:t>
      </w:r>
      <w:r w:rsidRPr="001C73A4">
        <w:rPr>
          <w:rFonts w:ascii="Calibri" w:hAnsi="Calibri"/>
          <w:u w:val="single"/>
        </w:rPr>
        <w:t>increase</w:t>
      </w:r>
      <w:r>
        <w:rPr>
          <w:rFonts w:ascii="Calibri" w:hAnsi="Calibri"/>
        </w:rPr>
        <w:t xml:space="preserve"> in Phase 2 incentive from $60 to $80 is less effective) </w:t>
      </w:r>
      <w:r w:rsidRPr="00C50FC6">
        <w:rPr>
          <w:rFonts w:ascii="Calibri" w:hAnsi="Calibri"/>
        </w:rPr>
        <w:t>cannot be e</w:t>
      </w:r>
      <w:r>
        <w:rPr>
          <w:rFonts w:ascii="Calibri" w:hAnsi="Calibri"/>
        </w:rPr>
        <w:t>valuated with our current data. The experiment was not designed to evaluate interactions with the Phase 2 design. We could imagine further experimentation to see if the performance of Phase 2 could be improved (see the Discussion section).</w:t>
      </w:r>
    </w:p>
    <w:p w14:paraId="4E14E515" w14:textId="77777777" w:rsidR="0004437D" w:rsidRDefault="0004437D" w:rsidP="0004437D">
      <w:pPr>
        <w:rPr>
          <w:rFonts w:ascii="Calibri" w:hAnsi="Calibri"/>
        </w:rPr>
      </w:pPr>
    </w:p>
    <w:p w14:paraId="484FBDEF" w14:textId="77777777" w:rsidR="0051438D" w:rsidRPr="0051438D" w:rsidRDefault="0051438D" w:rsidP="004269C2">
      <w:pPr>
        <w:rPr>
          <w:rFonts w:ascii="Calibri" w:hAnsi="Calibri"/>
        </w:rPr>
      </w:pPr>
    </w:p>
    <w:sectPr w:rsidR="0051438D" w:rsidRPr="0051438D" w:rsidSect="00097A8C">
      <w:headerReference w:type="default" r:id="rId9"/>
      <w:footerReference w:type="even" r:id="rId10"/>
      <w:footerReference w:type="default" r:id="rId11"/>
      <w:pgSz w:w="12240" w:h="15840"/>
      <w:pgMar w:top="1440" w:right="1440" w:bottom="7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BC3C6" w15:done="0"/>
  <w15:commentEx w15:paraId="427E5AFB" w15:paraIdParent="6D6BC3C6" w15:done="0"/>
  <w15:commentEx w15:paraId="281342EF" w15:done="0"/>
  <w15:commentEx w15:paraId="7B7FD216" w15:done="0"/>
  <w15:commentEx w15:paraId="692FAD68" w15:paraIdParent="7B7FD216" w15:done="0"/>
  <w15:commentEx w15:paraId="0378B516" w15:done="0"/>
  <w15:commentEx w15:paraId="645186C3" w15:done="0"/>
  <w15:commentEx w15:paraId="4AE60A70" w15:done="0"/>
  <w15:commentEx w15:paraId="419A01B4" w15:paraIdParent="4AE60A70" w15:done="0"/>
  <w15:commentEx w15:paraId="40BAC8EC" w15:done="0"/>
  <w15:commentEx w15:paraId="46F0556C" w15:done="0"/>
  <w15:commentEx w15:paraId="55144B2A" w15:paraIdParent="46F0556C" w15:done="0"/>
  <w15:commentEx w15:paraId="360A1C21" w15:done="0"/>
  <w15:commentEx w15:paraId="0A5340D4" w15:done="0"/>
  <w15:commentEx w15:paraId="195F827D" w15:paraIdParent="0A5340D4" w15:done="0"/>
  <w15:commentEx w15:paraId="5B69B75D" w15:done="0"/>
  <w15:commentEx w15:paraId="62507B7C" w15:done="0"/>
  <w15:commentEx w15:paraId="2A93C8FF" w15:done="0"/>
  <w15:commentEx w15:paraId="02576113" w15:paraIdParent="2A93C8FF" w15:done="0"/>
  <w15:commentEx w15:paraId="183222E9" w15:done="0"/>
  <w15:commentEx w15:paraId="6CD5EC99" w15:done="0"/>
  <w15:commentEx w15:paraId="2794B9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27B27" w14:textId="77777777" w:rsidR="00B73D4B" w:rsidRDefault="00B73D4B">
      <w:r>
        <w:separator/>
      </w:r>
    </w:p>
  </w:endnote>
  <w:endnote w:type="continuationSeparator" w:id="0">
    <w:p w14:paraId="5DA712C0" w14:textId="77777777" w:rsidR="00B73D4B" w:rsidRDefault="00B7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957D1" w14:textId="77777777" w:rsidR="00B73D4B" w:rsidRDefault="00B73D4B" w:rsidP="001A08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8AC199" w14:textId="77777777" w:rsidR="00B73D4B" w:rsidRDefault="00B73D4B" w:rsidP="00255D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825517"/>
      <w:docPartObj>
        <w:docPartGallery w:val="Page Numbers (Bottom of Page)"/>
        <w:docPartUnique/>
      </w:docPartObj>
    </w:sdtPr>
    <w:sdtEndPr>
      <w:rPr>
        <w:noProof/>
      </w:rPr>
    </w:sdtEndPr>
    <w:sdtContent>
      <w:p w14:paraId="42CEC5EB" w14:textId="334E1523" w:rsidR="00C74818" w:rsidRDefault="00C7481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31BF6441" w14:textId="13B0092F" w:rsidR="00B73D4B" w:rsidRDefault="00B73D4B" w:rsidP="00255D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8232C" w14:textId="77777777" w:rsidR="00B73D4B" w:rsidRDefault="00B73D4B">
      <w:r>
        <w:separator/>
      </w:r>
    </w:p>
  </w:footnote>
  <w:footnote w:type="continuationSeparator" w:id="0">
    <w:p w14:paraId="0DDB3879" w14:textId="77777777" w:rsidR="00B73D4B" w:rsidRDefault="00B7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22030" w14:textId="41D57FF9" w:rsidR="00C74818" w:rsidRPr="00590DB8" w:rsidRDefault="00C74818" w:rsidP="00C74818">
    <w:pPr>
      <w:tabs>
        <w:tab w:val="center" w:pos="4320"/>
        <w:tab w:val="right" w:pos="8640"/>
      </w:tabs>
      <w:rPr>
        <w:rFonts w:ascii="Calibri" w:hAnsi="Calibri" w:cs="Calibri"/>
        <w:b/>
        <w:bCs/>
        <w:sz w:val="20"/>
        <w:szCs w:val="20"/>
      </w:rPr>
    </w:pPr>
    <w:r w:rsidRPr="001E3341">
      <w:rPr>
        <w:rFonts w:ascii="Calibri" w:hAnsi="Calibri" w:cs="Calibri"/>
        <w:i/>
        <w:iCs/>
        <w:sz w:val="20"/>
        <w:szCs w:val="20"/>
      </w:rPr>
      <w:t xml:space="preserve">NSFG </w:t>
    </w:r>
    <w:r>
      <w:rPr>
        <w:rFonts w:ascii="Calibri" w:hAnsi="Calibri" w:cs="Calibri"/>
        <w:i/>
        <w:iCs/>
        <w:sz w:val="20"/>
        <w:szCs w:val="20"/>
      </w:rPr>
      <w:t>2015</w:t>
    </w:r>
    <w:r w:rsidRPr="001E3341">
      <w:rPr>
        <w:rFonts w:ascii="Calibri" w:hAnsi="Calibri" w:cs="Calibri"/>
        <w:i/>
        <w:iCs/>
        <w:sz w:val="20"/>
        <w:szCs w:val="20"/>
      </w:rPr>
      <w:t>-</w:t>
    </w:r>
    <w:r>
      <w:rPr>
        <w:rFonts w:ascii="Calibri" w:hAnsi="Calibri" w:cs="Calibri"/>
        <w:i/>
        <w:iCs/>
        <w:sz w:val="20"/>
        <w:szCs w:val="20"/>
      </w:rPr>
      <w:t>20</w:t>
    </w:r>
    <w:r w:rsidRPr="001E3341">
      <w:rPr>
        <w:rFonts w:ascii="Calibri" w:hAnsi="Calibri" w:cs="Calibri"/>
        <w:i/>
        <w:iCs/>
        <w:sz w:val="20"/>
        <w:szCs w:val="20"/>
      </w:rPr>
      <w:t>1</w:t>
    </w:r>
    <w:r>
      <w:rPr>
        <w:rFonts w:ascii="Calibri" w:hAnsi="Calibri" w:cs="Calibri"/>
        <w:i/>
        <w:iCs/>
        <w:sz w:val="20"/>
        <w:szCs w:val="20"/>
      </w:rPr>
      <w:t>8</w:t>
    </w:r>
    <w:r>
      <w:rPr>
        <w:rFonts w:ascii="Calibri" w:hAnsi="Calibri" w:cs="Calibri"/>
        <w:i/>
        <w:iCs/>
        <w:sz w:val="20"/>
        <w:szCs w:val="20"/>
      </w:rPr>
      <w:tab/>
      <w:t>OMB Attachment G2</w:t>
    </w:r>
    <w:r>
      <w:rPr>
        <w:rFonts w:ascii="Calibri" w:hAnsi="Calibri" w:cs="Calibri"/>
        <w:i/>
        <w:iCs/>
        <w:sz w:val="20"/>
        <w:szCs w:val="20"/>
      </w:rPr>
      <w:tab/>
      <w:t xml:space="preserve">OMB No. </w:t>
    </w:r>
    <w:r w:rsidRPr="00EF2435">
      <w:rPr>
        <w:rFonts w:ascii="Calibri" w:hAnsi="Calibri" w:cs="Calibri"/>
        <w:bCs/>
        <w:i/>
        <w:sz w:val="20"/>
        <w:szCs w:val="20"/>
      </w:rPr>
      <w:t>0920-0314</w:t>
    </w:r>
    <w:r w:rsidRPr="001E3341">
      <w:rPr>
        <w:rFonts w:ascii="Calibri" w:hAnsi="Calibri" w:cs="Calibri"/>
        <w:b/>
        <w:bCs/>
        <w:sz w:val="20"/>
        <w:szCs w:val="20"/>
      </w:rPr>
      <w:t xml:space="preserve"> </w:t>
    </w:r>
  </w:p>
  <w:p w14:paraId="65A3D86A" w14:textId="77777777" w:rsidR="00C74818" w:rsidRDefault="00C74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38B0"/>
    <w:multiLevelType w:val="hybridMultilevel"/>
    <w:tmpl w:val="D9A4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0633E"/>
    <w:multiLevelType w:val="hybridMultilevel"/>
    <w:tmpl w:val="D8B8B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74F0B"/>
    <w:multiLevelType w:val="hybridMultilevel"/>
    <w:tmpl w:val="D8B8B3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361E29"/>
    <w:multiLevelType w:val="hybridMultilevel"/>
    <w:tmpl w:val="6ECC2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47207E"/>
    <w:multiLevelType w:val="hybridMultilevel"/>
    <w:tmpl w:val="215662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C3426"/>
    <w:multiLevelType w:val="multilevel"/>
    <w:tmpl w:val="BF20D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DB26EF"/>
    <w:multiLevelType w:val="hybridMultilevel"/>
    <w:tmpl w:val="999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563762"/>
    <w:multiLevelType w:val="hybridMultilevel"/>
    <w:tmpl w:val="DDFC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753770"/>
    <w:multiLevelType w:val="hybridMultilevel"/>
    <w:tmpl w:val="E84C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960306"/>
    <w:multiLevelType w:val="hybridMultilevel"/>
    <w:tmpl w:val="6EA42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990849"/>
    <w:multiLevelType w:val="hybridMultilevel"/>
    <w:tmpl w:val="36C6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875630"/>
    <w:multiLevelType w:val="multilevel"/>
    <w:tmpl w:val="5546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926550"/>
    <w:multiLevelType w:val="hybridMultilevel"/>
    <w:tmpl w:val="FA726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86172"/>
    <w:multiLevelType w:val="hybridMultilevel"/>
    <w:tmpl w:val="56C8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4E183F"/>
    <w:multiLevelType w:val="hybridMultilevel"/>
    <w:tmpl w:val="E17CF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3"/>
  </w:num>
  <w:num w:numId="5">
    <w:abstractNumId w:val="10"/>
  </w:num>
  <w:num w:numId="6">
    <w:abstractNumId w:val="14"/>
  </w:num>
  <w:num w:numId="7">
    <w:abstractNumId w:val="6"/>
  </w:num>
  <w:num w:numId="8">
    <w:abstractNumId w:val="7"/>
  </w:num>
  <w:num w:numId="9">
    <w:abstractNumId w:val="12"/>
  </w:num>
  <w:num w:numId="10">
    <w:abstractNumId w:val="0"/>
  </w:num>
  <w:num w:numId="11">
    <w:abstractNumId w:val="2"/>
  </w:num>
  <w:num w:numId="12">
    <w:abstractNumId w:val="8"/>
  </w:num>
  <w:num w:numId="13">
    <w:abstractNumId w:val="1"/>
  </w:num>
  <w:num w:numId="14">
    <w:abstractNumId w:val="4"/>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num, Amy M. (CDC/OPHSS/NCHS)">
    <w15:presenceInfo w15:providerId="AD" w15:userId="S-1-5-21-1207783550-2075000910-922709458-183988"/>
  </w15:person>
  <w15:person w15:author="Branum, Amy M. (CDC/OPHSS/NCHS) [2]">
    <w15:presenceInfo w15:providerId="AD" w15:userId="S-1-5-21-1207783550-2075000910-922709458-183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45B"/>
    <w:rsid w:val="00001371"/>
    <w:rsid w:val="00001602"/>
    <w:rsid w:val="00002494"/>
    <w:rsid w:val="00003D51"/>
    <w:rsid w:val="0000616C"/>
    <w:rsid w:val="00007251"/>
    <w:rsid w:val="00014829"/>
    <w:rsid w:val="00014854"/>
    <w:rsid w:val="00015A31"/>
    <w:rsid w:val="00016771"/>
    <w:rsid w:val="000170DA"/>
    <w:rsid w:val="000175BE"/>
    <w:rsid w:val="00022985"/>
    <w:rsid w:val="00023705"/>
    <w:rsid w:val="0002585C"/>
    <w:rsid w:val="000276ED"/>
    <w:rsid w:val="00043BC1"/>
    <w:rsid w:val="0004437D"/>
    <w:rsid w:val="00050326"/>
    <w:rsid w:val="000514BA"/>
    <w:rsid w:val="000530B2"/>
    <w:rsid w:val="000637CA"/>
    <w:rsid w:val="00064C07"/>
    <w:rsid w:val="00064C8F"/>
    <w:rsid w:val="00071B4D"/>
    <w:rsid w:val="00072D8A"/>
    <w:rsid w:val="00074A07"/>
    <w:rsid w:val="00077364"/>
    <w:rsid w:val="0008201E"/>
    <w:rsid w:val="00085066"/>
    <w:rsid w:val="00091049"/>
    <w:rsid w:val="00092ECC"/>
    <w:rsid w:val="00095692"/>
    <w:rsid w:val="0009600C"/>
    <w:rsid w:val="00097A8C"/>
    <w:rsid w:val="000A19A1"/>
    <w:rsid w:val="000A2CE1"/>
    <w:rsid w:val="000A7B68"/>
    <w:rsid w:val="000B4F76"/>
    <w:rsid w:val="000B5AD5"/>
    <w:rsid w:val="000C045C"/>
    <w:rsid w:val="000C14C6"/>
    <w:rsid w:val="000C5B2C"/>
    <w:rsid w:val="000D3D1F"/>
    <w:rsid w:val="000D72EC"/>
    <w:rsid w:val="000D7C2C"/>
    <w:rsid w:val="000E083A"/>
    <w:rsid w:val="000E1F77"/>
    <w:rsid w:val="000E5D6E"/>
    <w:rsid w:val="000F2A2C"/>
    <w:rsid w:val="000F33D1"/>
    <w:rsid w:val="000F59C8"/>
    <w:rsid w:val="0010215B"/>
    <w:rsid w:val="00103031"/>
    <w:rsid w:val="001040FA"/>
    <w:rsid w:val="00125FDD"/>
    <w:rsid w:val="00126CF6"/>
    <w:rsid w:val="00133993"/>
    <w:rsid w:val="00134E17"/>
    <w:rsid w:val="001403BA"/>
    <w:rsid w:val="001445F1"/>
    <w:rsid w:val="001456D4"/>
    <w:rsid w:val="00146B56"/>
    <w:rsid w:val="00146ECF"/>
    <w:rsid w:val="00152BB7"/>
    <w:rsid w:val="00155750"/>
    <w:rsid w:val="0015581E"/>
    <w:rsid w:val="00164715"/>
    <w:rsid w:val="001653AD"/>
    <w:rsid w:val="00165466"/>
    <w:rsid w:val="00170B72"/>
    <w:rsid w:val="001740D2"/>
    <w:rsid w:val="00174E08"/>
    <w:rsid w:val="00181A24"/>
    <w:rsid w:val="00194536"/>
    <w:rsid w:val="001A081F"/>
    <w:rsid w:val="001A3F5D"/>
    <w:rsid w:val="001A42B7"/>
    <w:rsid w:val="001B138A"/>
    <w:rsid w:val="001B2826"/>
    <w:rsid w:val="001B4EC4"/>
    <w:rsid w:val="001B64FE"/>
    <w:rsid w:val="001B7DE3"/>
    <w:rsid w:val="001C1877"/>
    <w:rsid w:val="001C1B8A"/>
    <w:rsid w:val="001C23D9"/>
    <w:rsid w:val="001C245E"/>
    <w:rsid w:val="001C3F30"/>
    <w:rsid w:val="001C48FF"/>
    <w:rsid w:val="001C73A4"/>
    <w:rsid w:val="001D3FB9"/>
    <w:rsid w:val="001D491A"/>
    <w:rsid w:val="001D5C0A"/>
    <w:rsid w:val="001D5DA1"/>
    <w:rsid w:val="001D6EEB"/>
    <w:rsid w:val="001E0EB1"/>
    <w:rsid w:val="001E2EE5"/>
    <w:rsid w:val="001E4977"/>
    <w:rsid w:val="001E4A23"/>
    <w:rsid w:val="001E5422"/>
    <w:rsid w:val="001E5495"/>
    <w:rsid w:val="001F19CB"/>
    <w:rsid w:val="001F3AA4"/>
    <w:rsid w:val="00201942"/>
    <w:rsid w:val="00201EF6"/>
    <w:rsid w:val="00207901"/>
    <w:rsid w:val="00212383"/>
    <w:rsid w:val="00213E0E"/>
    <w:rsid w:val="00215596"/>
    <w:rsid w:val="00216A8C"/>
    <w:rsid w:val="00222D4C"/>
    <w:rsid w:val="0022663E"/>
    <w:rsid w:val="002270A3"/>
    <w:rsid w:val="002302F8"/>
    <w:rsid w:val="00236CA3"/>
    <w:rsid w:val="00247D2D"/>
    <w:rsid w:val="00251FDD"/>
    <w:rsid w:val="0025209B"/>
    <w:rsid w:val="00255D66"/>
    <w:rsid w:val="00256AAC"/>
    <w:rsid w:val="002576E8"/>
    <w:rsid w:val="0026212A"/>
    <w:rsid w:val="00262707"/>
    <w:rsid w:val="002703A1"/>
    <w:rsid w:val="00273A61"/>
    <w:rsid w:val="0027567E"/>
    <w:rsid w:val="002766F2"/>
    <w:rsid w:val="00276E43"/>
    <w:rsid w:val="00277498"/>
    <w:rsid w:val="00280EEB"/>
    <w:rsid w:val="00281B5C"/>
    <w:rsid w:val="00283001"/>
    <w:rsid w:val="002835E8"/>
    <w:rsid w:val="00292775"/>
    <w:rsid w:val="00292803"/>
    <w:rsid w:val="00293756"/>
    <w:rsid w:val="00295465"/>
    <w:rsid w:val="002A0943"/>
    <w:rsid w:val="002A33FE"/>
    <w:rsid w:val="002A4C1C"/>
    <w:rsid w:val="002A4D72"/>
    <w:rsid w:val="002A7100"/>
    <w:rsid w:val="002B0689"/>
    <w:rsid w:val="002B093B"/>
    <w:rsid w:val="002B6660"/>
    <w:rsid w:val="002C4C35"/>
    <w:rsid w:val="002C5A15"/>
    <w:rsid w:val="002D496B"/>
    <w:rsid w:val="002D5486"/>
    <w:rsid w:val="002E0E4E"/>
    <w:rsid w:val="002E2CC0"/>
    <w:rsid w:val="002F0C97"/>
    <w:rsid w:val="002F1A87"/>
    <w:rsid w:val="002F27CA"/>
    <w:rsid w:val="00300C77"/>
    <w:rsid w:val="0030494D"/>
    <w:rsid w:val="003066C4"/>
    <w:rsid w:val="003077D3"/>
    <w:rsid w:val="0031016F"/>
    <w:rsid w:val="00311934"/>
    <w:rsid w:val="00317C91"/>
    <w:rsid w:val="00326A26"/>
    <w:rsid w:val="00330C79"/>
    <w:rsid w:val="003337F1"/>
    <w:rsid w:val="00334E13"/>
    <w:rsid w:val="00335CD1"/>
    <w:rsid w:val="00341764"/>
    <w:rsid w:val="00345EA1"/>
    <w:rsid w:val="0035034D"/>
    <w:rsid w:val="00350CD8"/>
    <w:rsid w:val="00351D53"/>
    <w:rsid w:val="00352AB4"/>
    <w:rsid w:val="003556BB"/>
    <w:rsid w:val="00357CE1"/>
    <w:rsid w:val="00361891"/>
    <w:rsid w:val="003700C4"/>
    <w:rsid w:val="0037019B"/>
    <w:rsid w:val="00373CC8"/>
    <w:rsid w:val="00376DD5"/>
    <w:rsid w:val="00377EAC"/>
    <w:rsid w:val="00384E8E"/>
    <w:rsid w:val="00391262"/>
    <w:rsid w:val="00393DBF"/>
    <w:rsid w:val="00394427"/>
    <w:rsid w:val="003A03A4"/>
    <w:rsid w:val="003A1441"/>
    <w:rsid w:val="003A378F"/>
    <w:rsid w:val="003B1885"/>
    <w:rsid w:val="003B202C"/>
    <w:rsid w:val="003B582B"/>
    <w:rsid w:val="003C2589"/>
    <w:rsid w:val="003C4A30"/>
    <w:rsid w:val="003C5815"/>
    <w:rsid w:val="003D20B3"/>
    <w:rsid w:val="003D2797"/>
    <w:rsid w:val="003E4A12"/>
    <w:rsid w:val="003E58AA"/>
    <w:rsid w:val="003E5FCF"/>
    <w:rsid w:val="003E6F71"/>
    <w:rsid w:val="003F556F"/>
    <w:rsid w:val="003F70C0"/>
    <w:rsid w:val="003F783A"/>
    <w:rsid w:val="004061A2"/>
    <w:rsid w:val="00417012"/>
    <w:rsid w:val="00421CBC"/>
    <w:rsid w:val="004232FC"/>
    <w:rsid w:val="004269C2"/>
    <w:rsid w:val="00436340"/>
    <w:rsid w:val="00437EE0"/>
    <w:rsid w:val="004404E3"/>
    <w:rsid w:val="00440CEA"/>
    <w:rsid w:val="00441B5F"/>
    <w:rsid w:val="00443615"/>
    <w:rsid w:val="0044676D"/>
    <w:rsid w:val="004473E4"/>
    <w:rsid w:val="00452E38"/>
    <w:rsid w:val="00455F67"/>
    <w:rsid w:val="00464541"/>
    <w:rsid w:val="00464E8B"/>
    <w:rsid w:val="00466E27"/>
    <w:rsid w:val="00472C76"/>
    <w:rsid w:val="004734DC"/>
    <w:rsid w:val="00474A84"/>
    <w:rsid w:val="00477CEC"/>
    <w:rsid w:val="00481C57"/>
    <w:rsid w:val="00484D64"/>
    <w:rsid w:val="004973A4"/>
    <w:rsid w:val="004A38A2"/>
    <w:rsid w:val="004A6C5F"/>
    <w:rsid w:val="004A7F38"/>
    <w:rsid w:val="004B3A31"/>
    <w:rsid w:val="004B3BBA"/>
    <w:rsid w:val="004B6432"/>
    <w:rsid w:val="004C1D54"/>
    <w:rsid w:val="004D1759"/>
    <w:rsid w:val="004D20C0"/>
    <w:rsid w:val="004E0EAA"/>
    <w:rsid w:val="004E6216"/>
    <w:rsid w:val="004F0991"/>
    <w:rsid w:val="004F7838"/>
    <w:rsid w:val="00501F8D"/>
    <w:rsid w:val="00502D2B"/>
    <w:rsid w:val="00505213"/>
    <w:rsid w:val="00506058"/>
    <w:rsid w:val="00507876"/>
    <w:rsid w:val="00512DB9"/>
    <w:rsid w:val="0051438D"/>
    <w:rsid w:val="0051465A"/>
    <w:rsid w:val="00515918"/>
    <w:rsid w:val="00520E10"/>
    <w:rsid w:val="005219BC"/>
    <w:rsid w:val="00525AE7"/>
    <w:rsid w:val="00525DF2"/>
    <w:rsid w:val="00526457"/>
    <w:rsid w:val="00527518"/>
    <w:rsid w:val="005304E7"/>
    <w:rsid w:val="00536A25"/>
    <w:rsid w:val="0056132B"/>
    <w:rsid w:val="005665AF"/>
    <w:rsid w:val="0057182D"/>
    <w:rsid w:val="005747D8"/>
    <w:rsid w:val="00574BB1"/>
    <w:rsid w:val="00581530"/>
    <w:rsid w:val="0058706C"/>
    <w:rsid w:val="0059077B"/>
    <w:rsid w:val="00590962"/>
    <w:rsid w:val="00590A41"/>
    <w:rsid w:val="005911D0"/>
    <w:rsid w:val="005A4957"/>
    <w:rsid w:val="005A49AD"/>
    <w:rsid w:val="005A6306"/>
    <w:rsid w:val="005A6B76"/>
    <w:rsid w:val="005A7764"/>
    <w:rsid w:val="005B0786"/>
    <w:rsid w:val="005B0FC4"/>
    <w:rsid w:val="005B4236"/>
    <w:rsid w:val="005B645E"/>
    <w:rsid w:val="005B78E9"/>
    <w:rsid w:val="005C005E"/>
    <w:rsid w:val="005C02DF"/>
    <w:rsid w:val="005C0E09"/>
    <w:rsid w:val="005C2F58"/>
    <w:rsid w:val="005C3BA2"/>
    <w:rsid w:val="005D3887"/>
    <w:rsid w:val="005D6337"/>
    <w:rsid w:val="005D682B"/>
    <w:rsid w:val="005E055E"/>
    <w:rsid w:val="005E4444"/>
    <w:rsid w:val="005F00FE"/>
    <w:rsid w:val="005F2030"/>
    <w:rsid w:val="005F4E58"/>
    <w:rsid w:val="005F5B8C"/>
    <w:rsid w:val="006025D5"/>
    <w:rsid w:val="006036B7"/>
    <w:rsid w:val="0060565E"/>
    <w:rsid w:val="00605B33"/>
    <w:rsid w:val="0060692C"/>
    <w:rsid w:val="00607281"/>
    <w:rsid w:val="00611ECB"/>
    <w:rsid w:val="006120D5"/>
    <w:rsid w:val="00614E76"/>
    <w:rsid w:val="00635972"/>
    <w:rsid w:val="00636E08"/>
    <w:rsid w:val="00637FD2"/>
    <w:rsid w:val="00641452"/>
    <w:rsid w:val="00644ABF"/>
    <w:rsid w:val="00645A4D"/>
    <w:rsid w:val="00647A55"/>
    <w:rsid w:val="00651374"/>
    <w:rsid w:val="00664AB3"/>
    <w:rsid w:val="00664DBD"/>
    <w:rsid w:val="00665012"/>
    <w:rsid w:val="0066507B"/>
    <w:rsid w:val="0066533A"/>
    <w:rsid w:val="00666E68"/>
    <w:rsid w:val="006711AF"/>
    <w:rsid w:val="0067204C"/>
    <w:rsid w:val="006726D5"/>
    <w:rsid w:val="006729E3"/>
    <w:rsid w:val="00672BA2"/>
    <w:rsid w:val="00674682"/>
    <w:rsid w:val="00674E3D"/>
    <w:rsid w:val="00677622"/>
    <w:rsid w:val="006800DE"/>
    <w:rsid w:val="00684549"/>
    <w:rsid w:val="00686433"/>
    <w:rsid w:val="00686EB4"/>
    <w:rsid w:val="006923B9"/>
    <w:rsid w:val="0069340C"/>
    <w:rsid w:val="006A1024"/>
    <w:rsid w:val="006A12A9"/>
    <w:rsid w:val="006A3EF8"/>
    <w:rsid w:val="006A3FC1"/>
    <w:rsid w:val="006B2520"/>
    <w:rsid w:val="006C2BCF"/>
    <w:rsid w:val="006C34C6"/>
    <w:rsid w:val="006C5A8A"/>
    <w:rsid w:val="006D448D"/>
    <w:rsid w:val="006D73F6"/>
    <w:rsid w:val="006E19EB"/>
    <w:rsid w:val="006E5789"/>
    <w:rsid w:val="006E6122"/>
    <w:rsid w:val="006F18D9"/>
    <w:rsid w:val="006F2A25"/>
    <w:rsid w:val="006F30C9"/>
    <w:rsid w:val="006F4914"/>
    <w:rsid w:val="006F648C"/>
    <w:rsid w:val="00705081"/>
    <w:rsid w:val="007057D5"/>
    <w:rsid w:val="007079F2"/>
    <w:rsid w:val="00707CC2"/>
    <w:rsid w:val="00711CA0"/>
    <w:rsid w:val="00711E8F"/>
    <w:rsid w:val="007130B5"/>
    <w:rsid w:val="0071760A"/>
    <w:rsid w:val="00722645"/>
    <w:rsid w:val="0072306C"/>
    <w:rsid w:val="00733CC9"/>
    <w:rsid w:val="0074074C"/>
    <w:rsid w:val="00751608"/>
    <w:rsid w:val="007626EB"/>
    <w:rsid w:val="00763884"/>
    <w:rsid w:val="0076416F"/>
    <w:rsid w:val="007706EC"/>
    <w:rsid w:val="00770EDC"/>
    <w:rsid w:val="00773409"/>
    <w:rsid w:val="007768D2"/>
    <w:rsid w:val="007772C1"/>
    <w:rsid w:val="00781A0A"/>
    <w:rsid w:val="00783E89"/>
    <w:rsid w:val="00784ED5"/>
    <w:rsid w:val="00786A59"/>
    <w:rsid w:val="00792749"/>
    <w:rsid w:val="00795807"/>
    <w:rsid w:val="0079582E"/>
    <w:rsid w:val="007965FE"/>
    <w:rsid w:val="007A2445"/>
    <w:rsid w:val="007A49AC"/>
    <w:rsid w:val="007B0E6C"/>
    <w:rsid w:val="007B2426"/>
    <w:rsid w:val="007B72FA"/>
    <w:rsid w:val="007B748F"/>
    <w:rsid w:val="007C091E"/>
    <w:rsid w:val="007D0631"/>
    <w:rsid w:val="007D0D11"/>
    <w:rsid w:val="007D3565"/>
    <w:rsid w:val="007D6010"/>
    <w:rsid w:val="007D6051"/>
    <w:rsid w:val="007E2297"/>
    <w:rsid w:val="007E358C"/>
    <w:rsid w:val="007F0ED8"/>
    <w:rsid w:val="00803E9B"/>
    <w:rsid w:val="008064D4"/>
    <w:rsid w:val="00806FD7"/>
    <w:rsid w:val="00807B99"/>
    <w:rsid w:val="00807D00"/>
    <w:rsid w:val="008210FC"/>
    <w:rsid w:val="0082430E"/>
    <w:rsid w:val="00824B16"/>
    <w:rsid w:val="008257A9"/>
    <w:rsid w:val="0082617D"/>
    <w:rsid w:val="00834F60"/>
    <w:rsid w:val="0083681F"/>
    <w:rsid w:val="00840BD5"/>
    <w:rsid w:val="008454E2"/>
    <w:rsid w:val="0084645B"/>
    <w:rsid w:val="00846461"/>
    <w:rsid w:val="00850E0F"/>
    <w:rsid w:val="00852ECE"/>
    <w:rsid w:val="0085337D"/>
    <w:rsid w:val="008565FD"/>
    <w:rsid w:val="008608A2"/>
    <w:rsid w:val="0086204B"/>
    <w:rsid w:val="00865003"/>
    <w:rsid w:val="008704F7"/>
    <w:rsid w:val="0087077C"/>
    <w:rsid w:val="008720C7"/>
    <w:rsid w:val="00872FA7"/>
    <w:rsid w:val="00880A2C"/>
    <w:rsid w:val="008845B4"/>
    <w:rsid w:val="00894D65"/>
    <w:rsid w:val="008A035A"/>
    <w:rsid w:val="008A28A9"/>
    <w:rsid w:val="008A7425"/>
    <w:rsid w:val="008C20AF"/>
    <w:rsid w:val="008C790C"/>
    <w:rsid w:val="008D14B7"/>
    <w:rsid w:val="008D27A4"/>
    <w:rsid w:val="008D6394"/>
    <w:rsid w:val="008D78B6"/>
    <w:rsid w:val="008F20C1"/>
    <w:rsid w:val="008F578A"/>
    <w:rsid w:val="008F5EA0"/>
    <w:rsid w:val="008F7EED"/>
    <w:rsid w:val="00902CFE"/>
    <w:rsid w:val="00911FB1"/>
    <w:rsid w:val="00915488"/>
    <w:rsid w:val="00925A04"/>
    <w:rsid w:val="00927990"/>
    <w:rsid w:val="00942FBA"/>
    <w:rsid w:val="009454CC"/>
    <w:rsid w:val="00945D5F"/>
    <w:rsid w:val="009465CD"/>
    <w:rsid w:val="00950FC1"/>
    <w:rsid w:val="00952B0B"/>
    <w:rsid w:val="00954DE5"/>
    <w:rsid w:val="00957570"/>
    <w:rsid w:val="00960D61"/>
    <w:rsid w:val="00962FE9"/>
    <w:rsid w:val="0097448A"/>
    <w:rsid w:val="00980556"/>
    <w:rsid w:val="0098638D"/>
    <w:rsid w:val="009907E7"/>
    <w:rsid w:val="009935B1"/>
    <w:rsid w:val="009969FB"/>
    <w:rsid w:val="00997171"/>
    <w:rsid w:val="009A55F4"/>
    <w:rsid w:val="009B1139"/>
    <w:rsid w:val="009B2FD8"/>
    <w:rsid w:val="009B720B"/>
    <w:rsid w:val="009B796B"/>
    <w:rsid w:val="009D00C6"/>
    <w:rsid w:val="009D36EB"/>
    <w:rsid w:val="009D4328"/>
    <w:rsid w:val="009D4AA6"/>
    <w:rsid w:val="009E2320"/>
    <w:rsid w:val="009E244A"/>
    <w:rsid w:val="009E5E52"/>
    <w:rsid w:val="009F06CE"/>
    <w:rsid w:val="009F52FF"/>
    <w:rsid w:val="009F7FFE"/>
    <w:rsid w:val="00A07324"/>
    <w:rsid w:val="00A139AD"/>
    <w:rsid w:val="00A13AC5"/>
    <w:rsid w:val="00A173E3"/>
    <w:rsid w:val="00A2304D"/>
    <w:rsid w:val="00A26595"/>
    <w:rsid w:val="00A32775"/>
    <w:rsid w:val="00A3310A"/>
    <w:rsid w:val="00A366C1"/>
    <w:rsid w:val="00A41E24"/>
    <w:rsid w:val="00A4326B"/>
    <w:rsid w:val="00A44CAC"/>
    <w:rsid w:val="00A4511A"/>
    <w:rsid w:val="00A45716"/>
    <w:rsid w:val="00A45F8D"/>
    <w:rsid w:val="00A502D3"/>
    <w:rsid w:val="00A66A8D"/>
    <w:rsid w:val="00A76040"/>
    <w:rsid w:val="00A76592"/>
    <w:rsid w:val="00A77711"/>
    <w:rsid w:val="00A8050C"/>
    <w:rsid w:val="00A82F1D"/>
    <w:rsid w:val="00A83201"/>
    <w:rsid w:val="00A8490E"/>
    <w:rsid w:val="00A853D0"/>
    <w:rsid w:val="00A8629C"/>
    <w:rsid w:val="00A9297C"/>
    <w:rsid w:val="00A946C5"/>
    <w:rsid w:val="00A95012"/>
    <w:rsid w:val="00A953F7"/>
    <w:rsid w:val="00A97060"/>
    <w:rsid w:val="00AB1C8F"/>
    <w:rsid w:val="00AC566D"/>
    <w:rsid w:val="00AD15A3"/>
    <w:rsid w:val="00AD229F"/>
    <w:rsid w:val="00AD3623"/>
    <w:rsid w:val="00AF1A1B"/>
    <w:rsid w:val="00AF5653"/>
    <w:rsid w:val="00AF71AF"/>
    <w:rsid w:val="00B076F6"/>
    <w:rsid w:val="00B17984"/>
    <w:rsid w:val="00B2390D"/>
    <w:rsid w:val="00B24EDE"/>
    <w:rsid w:val="00B2522D"/>
    <w:rsid w:val="00B25EC8"/>
    <w:rsid w:val="00B32BBA"/>
    <w:rsid w:val="00B349A8"/>
    <w:rsid w:val="00B35B24"/>
    <w:rsid w:val="00B35DAF"/>
    <w:rsid w:val="00B37A27"/>
    <w:rsid w:val="00B37B6C"/>
    <w:rsid w:val="00B41D11"/>
    <w:rsid w:val="00B45BE4"/>
    <w:rsid w:val="00B45F22"/>
    <w:rsid w:val="00B46835"/>
    <w:rsid w:val="00B517CA"/>
    <w:rsid w:val="00B53FBA"/>
    <w:rsid w:val="00B547AA"/>
    <w:rsid w:val="00B5573F"/>
    <w:rsid w:val="00B574C1"/>
    <w:rsid w:val="00B606D6"/>
    <w:rsid w:val="00B6175B"/>
    <w:rsid w:val="00B65474"/>
    <w:rsid w:val="00B70EEF"/>
    <w:rsid w:val="00B70F7C"/>
    <w:rsid w:val="00B73D4B"/>
    <w:rsid w:val="00B74168"/>
    <w:rsid w:val="00B747DB"/>
    <w:rsid w:val="00B753A2"/>
    <w:rsid w:val="00B76A8C"/>
    <w:rsid w:val="00B76C6E"/>
    <w:rsid w:val="00B80018"/>
    <w:rsid w:val="00B8578F"/>
    <w:rsid w:val="00B90258"/>
    <w:rsid w:val="00B91275"/>
    <w:rsid w:val="00B91B73"/>
    <w:rsid w:val="00B96802"/>
    <w:rsid w:val="00BA025B"/>
    <w:rsid w:val="00BA0C8D"/>
    <w:rsid w:val="00BA2CCB"/>
    <w:rsid w:val="00BA7496"/>
    <w:rsid w:val="00BB4B97"/>
    <w:rsid w:val="00BC00D2"/>
    <w:rsid w:val="00BC2FEA"/>
    <w:rsid w:val="00BC37BC"/>
    <w:rsid w:val="00BC7A91"/>
    <w:rsid w:val="00BD1A3F"/>
    <w:rsid w:val="00BD2059"/>
    <w:rsid w:val="00BD34C1"/>
    <w:rsid w:val="00BD5A6E"/>
    <w:rsid w:val="00BE2B4F"/>
    <w:rsid w:val="00BE696B"/>
    <w:rsid w:val="00C02C23"/>
    <w:rsid w:val="00C04D96"/>
    <w:rsid w:val="00C11318"/>
    <w:rsid w:val="00C22BE3"/>
    <w:rsid w:val="00C30620"/>
    <w:rsid w:val="00C4405D"/>
    <w:rsid w:val="00C4506D"/>
    <w:rsid w:val="00C50FC6"/>
    <w:rsid w:val="00C51EF5"/>
    <w:rsid w:val="00C5218D"/>
    <w:rsid w:val="00C53BAD"/>
    <w:rsid w:val="00C55851"/>
    <w:rsid w:val="00C612BB"/>
    <w:rsid w:val="00C6720B"/>
    <w:rsid w:val="00C7424F"/>
    <w:rsid w:val="00C74818"/>
    <w:rsid w:val="00C77142"/>
    <w:rsid w:val="00C80D6F"/>
    <w:rsid w:val="00C81D3E"/>
    <w:rsid w:val="00C82399"/>
    <w:rsid w:val="00C8566F"/>
    <w:rsid w:val="00C947B8"/>
    <w:rsid w:val="00C95A29"/>
    <w:rsid w:val="00C96D54"/>
    <w:rsid w:val="00CA49E8"/>
    <w:rsid w:val="00CA6BD6"/>
    <w:rsid w:val="00CA7ACA"/>
    <w:rsid w:val="00CB24C6"/>
    <w:rsid w:val="00CB7E9F"/>
    <w:rsid w:val="00CC22BB"/>
    <w:rsid w:val="00CC2877"/>
    <w:rsid w:val="00CC3A8F"/>
    <w:rsid w:val="00CC7A33"/>
    <w:rsid w:val="00CD4E4B"/>
    <w:rsid w:val="00CD5EA6"/>
    <w:rsid w:val="00CD6FCD"/>
    <w:rsid w:val="00CE21B5"/>
    <w:rsid w:val="00CF037F"/>
    <w:rsid w:val="00CF42F2"/>
    <w:rsid w:val="00CF542B"/>
    <w:rsid w:val="00D00BA0"/>
    <w:rsid w:val="00D03F65"/>
    <w:rsid w:val="00D20591"/>
    <w:rsid w:val="00D25D34"/>
    <w:rsid w:val="00D30CC0"/>
    <w:rsid w:val="00D34D18"/>
    <w:rsid w:val="00D44D3C"/>
    <w:rsid w:val="00D5050F"/>
    <w:rsid w:val="00D537DB"/>
    <w:rsid w:val="00D54103"/>
    <w:rsid w:val="00D54EAC"/>
    <w:rsid w:val="00D5710B"/>
    <w:rsid w:val="00D64283"/>
    <w:rsid w:val="00D6666B"/>
    <w:rsid w:val="00D709F0"/>
    <w:rsid w:val="00D77C10"/>
    <w:rsid w:val="00D82098"/>
    <w:rsid w:val="00D820C2"/>
    <w:rsid w:val="00D85B56"/>
    <w:rsid w:val="00D91C06"/>
    <w:rsid w:val="00D940A7"/>
    <w:rsid w:val="00DA4C73"/>
    <w:rsid w:val="00DB601E"/>
    <w:rsid w:val="00DB72E6"/>
    <w:rsid w:val="00DC1FDC"/>
    <w:rsid w:val="00DC20F3"/>
    <w:rsid w:val="00DC5D77"/>
    <w:rsid w:val="00DC6281"/>
    <w:rsid w:val="00DD005C"/>
    <w:rsid w:val="00DD27D5"/>
    <w:rsid w:val="00DD4632"/>
    <w:rsid w:val="00DD58C4"/>
    <w:rsid w:val="00DD6F94"/>
    <w:rsid w:val="00DE1BDC"/>
    <w:rsid w:val="00DE2624"/>
    <w:rsid w:val="00DE2CD8"/>
    <w:rsid w:val="00DE3154"/>
    <w:rsid w:val="00DE3E12"/>
    <w:rsid w:val="00DE4A6B"/>
    <w:rsid w:val="00DE5C7B"/>
    <w:rsid w:val="00DF2E6F"/>
    <w:rsid w:val="00E03BFF"/>
    <w:rsid w:val="00E0610A"/>
    <w:rsid w:val="00E06B18"/>
    <w:rsid w:val="00E117F8"/>
    <w:rsid w:val="00E16DC0"/>
    <w:rsid w:val="00E1794A"/>
    <w:rsid w:val="00E25984"/>
    <w:rsid w:val="00E25F91"/>
    <w:rsid w:val="00E314F2"/>
    <w:rsid w:val="00E32215"/>
    <w:rsid w:val="00E3301A"/>
    <w:rsid w:val="00E36EFA"/>
    <w:rsid w:val="00E379B2"/>
    <w:rsid w:val="00E411EB"/>
    <w:rsid w:val="00E41F3C"/>
    <w:rsid w:val="00E4447B"/>
    <w:rsid w:val="00E601B2"/>
    <w:rsid w:val="00E64F83"/>
    <w:rsid w:val="00E65F1F"/>
    <w:rsid w:val="00E7036B"/>
    <w:rsid w:val="00E70539"/>
    <w:rsid w:val="00E710C9"/>
    <w:rsid w:val="00E73F85"/>
    <w:rsid w:val="00E85123"/>
    <w:rsid w:val="00E876B6"/>
    <w:rsid w:val="00E91EBF"/>
    <w:rsid w:val="00E925ED"/>
    <w:rsid w:val="00E94A32"/>
    <w:rsid w:val="00E95D54"/>
    <w:rsid w:val="00E95F80"/>
    <w:rsid w:val="00E96B96"/>
    <w:rsid w:val="00E97E7E"/>
    <w:rsid w:val="00EA0BF6"/>
    <w:rsid w:val="00EB028A"/>
    <w:rsid w:val="00EB44A8"/>
    <w:rsid w:val="00EB4B0B"/>
    <w:rsid w:val="00EB761D"/>
    <w:rsid w:val="00EC7C24"/>
    <w:rsid w:val="00ED03AB"/>
    <w:rsid w:val="00ED236B"/>
    <w:rsid w:val="00ED2564"/>
    <w:rsid w:val="00ED2770"/>
    <w:rsid w:val="00ED3A73"/>
    <w:rsid w:val="00ED7E48"/>
    <w:rsid w:val="00EE51FE"/>
    <w:rsid w:val="00EF0986"/>
    <w:rsid w:val="00F02A85"/>
    <w:rsid w:val="00F03068"/>
    <w:rsid w:val="00F068BA"/>
    <w:rsid w:val="00F11960"/>
    <w:rsid w:val="00F123FB"/>
    <w:rsid w:val="00F178C6"/>
    <w:rsid w:val="00F20F03"/>
    <w:rsid w:val="00F4106C"/>
    <w:rsid w:val="00F4374A"/>
    <w:rsid w:val="00F45DD1"/>
    <w:rsid w:val="00F53A8F"/>
    <w:rsid w:val="00F56CF0"/>
    <w:rsid w:val="00F57879"/>
    <w:rsid w:val="00F61DE6"/>
    <w:rsid w:val="00F62164"/>
    <w:rsid w:val="00F76AA0"/>
    <w:rsid w:val="00F77B1C"/>
    <w:rsid w:val="00F80503"/>
    <w:rsid w:val="00F90470"/>
    <w:rsid w:val="00F90EC1"/>
    <w:rsid w:val="00F92A85"/>
    <w:rsid w:val="00F93452"/>
    <w:rsid w:val="00F9639C"/>
    <w:rsid w:val="00F97D27"/>
    <w:rsid w:val="00FA0DEE"/>
    <w:rsid w:val="00FA1EF7"/>
    <w:rsid w:val="00FA4C7C"/>
    <w:rsid w:val="00FA5873"/>
    <w:rsid w:val="00FB0557"/>
    <w:rsid w:val="00FB55DC"/>
    <w:rsid w:val="00FC2F6F"/>
    <w:rsid w:val="00FC78DF"/>
    <w:rsid w:val="00FD1089"/>
    <w:rsid w:val="00FD2E01"/>
    <w:rsid w:val="00FD41B2"/>
    <w:rsid w:val="00FE0B43"/>
    <w:rsid w:val="00FE1B1C"/>
    <w:rsid w:val="00FE5E74"/>
    <w:rsid w:val="00FF15C9"/>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21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5D66"/>
    <w:pPr>
      <w:tabs>
        <w:tab w:val="center" w:pos="4320"/>
        <w:tab w:val="right" w:pos="8640"/>
      </w:tabs>
    </w:pPr>
  </w:style>
  <w:style w:type="character" w:styleId="PageNumber">
    <w:name w:val="page number"/>
    <w:basedOn w:val="DefaultParagraphFont"/>
    <w:rsid w:val="00255D66"/>
  </w:style>
  <w:style w:type="paragraph" w:styleId="Header">
    <w:name w:val="header"/>
    <w:basedOn w:val="Normal"/>
    <w:rsid w:val="00786A59"/>
    <w:pPr>
      <w:tabs>
        <w:tab w:val="center" w:pos="4320"/>
        <w:tab w:val="right" w:pos="8640"/>
      </w:tabs>
    </w:pPr>
  </w:style>
  <w:style w:type="paragraph" w:styleId="PlainText">
    <w:name w:val="Plain Text"/>
    <w:basedOn w:val="Normal"/>
    <w:rsid w:val="005B78E9"/>
    <w:rPr>
      <w:rFonts w:ascii="Courier New" w:hAnsi="Courier New" w:cs="Courier New"/>
      <w:sz w:val="20"/>
      <w:szCs w:val="20"/>
    </w:rPr>
  </w:style>
  <w:style w:type="character" w:styleId="Hyperlink">
    <w:name w:val="Hyperlink"/>
    <w:rsid w:val="00850E0F"/>
    <w:rPr>
      <w:color w:val="0000FF"/>
      <w:u w:val="single"/>
    </w:rPr>
  </w:style>
  <w:style w:type="paragraph" w:customStyle="1" w:styleId="CM7">
    <w:name w:val="CM7"/>
    <w:basedOn w:val="Normal"/>
    <w:next w:val="Normal"/>
    <w:rsid w:val="00CD5EA6"/>
    <w:pPr>
      <w:widowControl w:val="0"/>
      <w:autoSpaceDE w:val="0"/>
      <w:autoSpaceDN w:val="0"/>
      <w:adjustRightInd w:val="0"/>
      <w:spacing w:line="256" w:lineRule="atLeast"/>
    </w:pPr>
  </w:style>
  <w:style w:type="paragraph" w:customStyle="1" w:styleId="CM6">
    <w:name w:val="CM6"/>
    <w:basedOn w:val="Normal"/>
    <w:next w:val="Normal"/>
    <w:rsid w:val="00CD5EA6"/>
    <w:pPr>
      <w:widowControl w:val="0"/>
      <w:autoSpaceDE w:val="0"/>
      <w:autoSpaceDN w:val="0"/>
      <w:adjustRightInd w:val="0"/>
      <w:spacing w:line="280" w:lineRule="atLeast"/>
    </w:pPr>
  </w:style>
  <w:style w:type="table" w:styleId="TableGrid">
    <w:name w:val="Table Grid"/>
    <w:basedOn w:val="TableNormal"/>
    <w:rsid w:val="00BD1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D14B7"/>
    <w:rPr>
      <w:sz w:val="16"/>
      <w:szCs w:val="16"/>
    </w:rPr>
  </w:style>
  <w:style w:type="paragraph" w:styleId="CommentText">
    <w:name w:val="annotation text"/>
    <w:basedOn w:val="Normal"/>
    <w:link w:val="CommentTextChar"/>
    <w:rsid w:val="008D14B7"/>
    <w:rPr>
      <w:sz w:val="20"/>
      <w:szCs w:val="20"/>
    </w:rPr>
  </w:style>
  <w:style w:type="character" w:customStyle="1" w:styleId="CommentTextChar">
    <w:name w:val="Comment Text Char"/>
    <w:basedOn w:val="DefaultParagraphFont"/>
    <w:link w:val="CommentText"/>
    <w:rsid w:val="008D14B7"/>
  </w:style>
  <w:style w:type="paragraph" w:styleId="CommentSubject">
    <w:name w:val="annotation subject"/>
    <w:basedOn w:val="CommentText"/>
    <w:next w:val="CommentText"/>
    <w:link w:val="CommentSubjectChar"/>
    <w:rsid w:val="008D14B7"/>
    <w:rPr>
      <w:b/>
      <w:bCs/>
    </w:rPr>
  </w:style>
  <w:style w:type="character" w:customStyle="1" w:styleId="CommentSubjectChar">
    <w:name w:val="Comment Subject Char"/>
    <w:link w:val="CommentSubject"/>
    <w:rsid w:val="008D14B7"/>
    <w:rPr>
      <w:b/>
      <w:bCs/>
    </w:rPr>
  </w:style>
  <w:style w:type="paragraph" w:styleId="BalloonText">
    <w:name w:val="Balloon Text"/>
    <w:basedOn w:val="Normal"/>
    <w:link w:val="BalloonTextChar"/>
    <w:rsid w:val="008D14B7"/>
    <w:rPr>
      <w:rFonts w:ascii="Tahoma" w:hAnsi="Tahoma" w:cs="Tahoma"/>
      <w:sz w:val="16"/>
      <w:szCs w:val="16"/>
    </w:rPr>
  </w:style>
  <w:style w:type="character" w:customStyle="1" w:styleId="BalloonTextChar">
    <w:name w:val="Balloon Text Char"/>
    <w:link w:val="BalloonText"/>
    <w:rsid w:val="008D14B7"/>
    <w:rPr>
      <w:rFonts w:ascii="Tahoma" w:hAnsi="Tahoma" w:cs="Tahoma"/>
      <w:sz w:val="16"/>
      <w:szCs w:val="16"/>
    </w:rPr>
  </w:style>
  <w:style w:type="paragraph" w:styleId="FootnoteText">
    <w:name w:val="footnote text"/>
    <w:basedOn w:val="Normal"/>
    <w:link w:val="FootnoteTextChar"/>
    <w:unhideWhenUsed/>
    <w:rsid w:val="00807B99"/>
    <w:rPr>
      <w:sz w:val="20"/>
      <w:szCs w:val="20"/>
    </w:rPr>
  </w:style>
  <w:style w:type="character" w:customStyle="1" w:styleId="FootnoteTextChar">
    <w:name w:val="Footnote Text Char"/>
    <w:basedOn w:val="DefaultParagraphFont"/>
    <w:link w:val="FootnoteText"/>
    <w:rsid w:val="00807B99"/>
  </w:style>
  <w:style w:type="character" w:styleId="FootnoteReference">
    <w:name w:val="footnote reference"/>
    <w:basedOn w:val="DefaultParagraphFont"/>
    <w:unhideWhenUsed/>
    <w:rsid w:val="00807B99"/>
    <w:rPr>
      <w:vertAlign w:val="superscript"/>
    </w:rPr>
  </w:style>
  <w:style w:type="character" w:customStyle="1" w:styleId="apple-converted-space">
    <w:name w:val="apple-converted-space"/>
    <w:basedOn w:val="DefaultParagraphFont"/>
    <w:rsid w:val="00807B99"/>
  </w:style>
  <w:style w:type="paragraph" w:styleId="ListParagraph">
    <w:name w:val="List Paragraph"/>
    <w:basedOn w:val="Normal"/>
    <w:uiPriority w:val="34"/>
    <w:qFormat/>
    <w:rsid w:val="00A95012"/>
    <w:pPr>
      <w:ind w:left="720"/>
      <w:contextualSpacing/>
    </w:pPr>
  </w:style>
  <w:style w:type="paragraph" w:styleId="Revision">
    <w:name w:val="Revision"/>
    <w:hidden/>
    <w:uiPriority w:val="99"/>
    <w:semiHidden/>
    <w:rsid w:val="00E96B96"/>
    <w:rPr>
      <w:sz w:val="24"/>
      <w:szCs w:val="24"/>
    </w:rPr>
  </w:style>
  <w:style w:type="character" w:customStyle="1" w:styleId="FooterChar">
    <w:name w:val="Footer Char"/>
    <w:basedOn w:val="DefaultParagraphFont"/>
    <w:link w:val="Footer"/>
    <w:uiPriority w:val="99"/>
    <w:rsid w:val="00C748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5D66"/>
    <w:pPr>
      <w:tabs>
        <w:tab w:val="center" w:pos="4320"/>
        <w:tab w:val="right" w:pos="8640"/>
      </w:tabs>
    </w:pPr>
  </w:style>
  <w:style w:type="character" w:styleId="PageNumber">
    <w:name w:val="page number"/>
    <w:basedOn w:val="DefaultParagraphFont"/>
    <w:rsid w:val="00255D66"/>
  </w:style>
  <w:style w:type="paragraph" w:styleId="Header">
    <w:name w:val="header"/>
    <w:basedOn w:val="Normal"/>
    <w:rsid w:val="00786A59"/>
    <w:pPr>
      <w:tabs>
        <w:tab w:val="center" w:pos="4320"/>
        <w:tab w:val="right" w:pos="8640"/>
      </w:tabs>
    </w:pPr>
  </w:style>
  <w:style w:type="paragraph" w:styleId="PlainText">
    <w:name w:val="Plain Text"/>
    <w:basedOn w:val="Normal"/>
    <w:rsid w:val="005B78E9"/>
    <w:rPr>
      <w:rFonts w:ascii="Courier New" w:hAnsi="Courier New" w:cs="Courier New"/>
      <w:sz w:val="20"/>
      <w:szCs w:val="20"/>
    </w:rPr>
  </w:style>
  <w:style w:type="character" w:styleId="Hyperlink">
    <w:name w:val="Hyperlink"/>
    <w:rsid w:val="00850E0F"/>
    <w:rPr>
      <w:color w:val="0000FF"/>
      <w:u w:val="single"/>
    </w:rPr>
  </w:style>
  <w:style w:type="paragraph" w:customStyle="1" w:styleId="CM7">
    <w:name w:val="CM7"/>
    <w:basedOn w:val="Normal"/>
    <w:next w:val="Normal"/>
    <w:rsid w:val="00CD5EA6"/>
    <w:pPr>
      <w:widowControl w:val="0"/>
      <w:autoSpaceDE w:val="0"/>
      <w:autoSpaceDN w:val="0"/>
      <w:adjustRightInd w:val="0"/>
      <w:spacing w:line="256" w:lineRule="atLeast"/>
    </w:pPr>
  </w:style>
  <w:style w:type="paragraph" w:customStyle="1" w:styleId="CM6">
    <w:name w:val="CM6"/>
    <w:basedOn w:val="Normal"/>
    <w:next w:val="Normal"/>
    <w:rsid w:val="00CD5EA6"/>
    <w:pPr>
      <w:widowControl w:val="0"/>
      <w:autoSpaceDE w:val="0"/>
      <w:autoSpaceDN w:val="0"/>
      <w:adjustRightInd w:val="0"/>
      <w:spacing w:line="280" w:lineRule="atLeast"/>
    </w:pPr>
  </w:style>
  <w:style w:type="table" w:styleId="TableGrid">
    <w:name w:val="Table Grid"/>
    <w:basedOn w:val="TableNormal"/>
    <w:rsid w:val="00BD1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D14B7"/>
    <w:rPr>
      <w:sz w:val="16"/>
      <w:szCs w:val="16"/>
    </w:rPr>
  </w:style>
  <w:style w:type="paragraph" w:styleId="CommentText">
    <w:name w:val="annotation text"/>
    <w:basedOn w:val="Normal"/>
    <w:link w:val="CommentTextChar"/>
    <w:rsid w:val="008D14B7"/>
    <w:rPr>
      <w:sz w:val="20"/>
      <w:szCs w:val="20"/>
    </w:rPr>
  </w:style>
  <w:style w:type="character" w:customStyle="1" w:styleId="CommentTextChar">
    <w:name w:val="Comment Text Char"/>
    <w:basedOn w:val="DefaultParagraphFont"/>
    <w:link w:val="CommentText"/>
    <w:rsid w:val="008D14B7"/>
  </w:style>
  <w:style w:type="paragraph" w:styleId="CommentSubject">
    <w:name w:val="annotation subject"/>
    <w:basedOn w:val="CommentText"/>
    <w:next w:val="CommentText"/>
    <w:link w:val="CommentSubjectChar"/>
    <w:rsid w:val="008D14B7"/>
    <w:rPr>
      <w:b/>
      <w:bCs/>
    </w:rPr>
  </w:style>
  <w:style w:type="character" w:customStyle="1" w:styleId="CommentSubjectChar">
    <w:name w:val="Comment Subject Char"/>
    <w:link w:val="CommentSubject"/>
    <w:rsid w:val="008D14B7"/>
    <w:rPr>
      <w:b/>
      <w:bCs/>
    </w:rPr>
  </w:style>
  <w:style w:type="paragraph" w:styleId="BalloonText">
    <w:name w:val="Balloon Text"/>
    <w:basedOn w:val="Normal"/>
    <w:link w:val="BalloonTextChar"/>
    <w:rsid w:val="008D14B7"/>
    <w:rPr>
      <w:rFonts w:ascii="Tahoma" w:hAnsi="Tahoma" w:cs="Tahoma"/>
      <w:sz w:val="16"/>
      <w:szCs w:val="16"/>
    </w:rPr>
  </w:style>
  <w:style w:type="character" w:customStyle="1" w:styleId="BalloonTextChar">
    <w:name w:val="Balloon Text Char"/>
    <w:link w:val="BalloonText"/>
    <w:rsid w:val="008D14B7"/>
    <w:rPr>
      <w:rFonts w:ascii="Tahoma" w:hAnsi="Tahoma" w:cs="Tahoma"/>
      <w:sz w:val="16"/>
      <w:szCs w:val="16"/>
    </w:rPr>
  </w:style>
  <w:style w:type="paragraph" w:styleId="FootnoteText">
    <w:name w:val="footnote text"/>
    <w:basedOn w:val="Normal"/>
    <w:link w:val="FootnoteTextChar"/>
    <w:unhideWhenUsed/>
    <w:rsid w:val="00807B99"/>
    <w:rPr>
      <w:sz w:val="20"/>
      <w:szCs w:val="20"/>
    </w:rPr>
  </w:style>
  <w:style w:type="character" w:customStyle="1" w:styleId="FootnoteTextChar">
    <w:name w:val="Footnote Text Char"/>
    <w:basedOn w:val="DefaultParagraphFont"/>
    <w:link w:val="FootnoteText"/>
    <w:rsid w:val="00807B99"/>
  </w:style>
  <w:style w:type="character" w:styleId="FootnoteReference">
    <w:name w:val="footnote reference"/>
    <w:basedOn w:val="DefaultParagraphFont"/>
    <w:unhideWhenUsed/>
    <w:rsid w:val="00807B99"/>
    <w:rPr>
      <w:vertAlign w:val="superscript"/>
    </w:rPr>
  </w:style>
  <w:style w:type="character" w:customStyle="1" w:styleId="apple-converted-space">
    <w:name w:val="apple-converted-space"/>
    <w:basedOn w:val="DefaultParagraphFont"/>
    <w:rsid w:val="00807B99"/>
  </w:style>
  <w:style w:type="paragraph" w:styleId="ListParagraph">
    <w:name w:val="List Paragraph"/>
    <w:basedOn w:val="Normal"/>
    <w:uiPriority w:val="34"/>
    <w:qFormat/>
    <w:rsid w:val="00A95012"/>
    <w:pPr>
      <w:ind w:left="720"/>
      <w:contextualSpacing/>
    </w:pPr>
  </w:style>
  <w:style w:type="paragraph" w:styleId="Revision">
    <w:name w:val="Revision"/>
    <w:hidden/>
    <w:uiPriority w:val="99"/>
    <w:semiHidden/>
    <w:rsid w:val="00E96B96"/>
    <w:rPr>
      <w:sz w:val="24"/>
      <w:szCs w:val="24"/>
    </w:rPr>
  </w:style>
  <w:style w:type="character" w:customStyle="1" w:styleId="FooterChar">
    <w:name w:val="Footer Char"/>
    <w:basedOn w:val="DefaultParagraphFont"/>
    <w:link w:val="Footer"/>
    <w:uiPriority w:val="99"/>
    <w:rsid w:val="00C748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342">
      <w:bodyDiv w:val="1"/>
      <w:marLeft w:val="0"/>
      <w:marRight w:val="0"/>
      <w:marTop w:val="0"/>
      <w:marBottom w:val="0"/>
      <w:divBdr>
        <w:top w:val="none" w:sz="0" w:space="0" w:color="auto"/>
        <w:left w:val="none" w:sz="0" w:space="0" w:color="auto"/>
        <w:bottom w:val="none" w:sz="0" w:space="0" w:color="auto"/>
        <w:right w:val="none" w:sz="0" w:space="0" w:color="auto"/>
      </w:divBdr>
    </w:div>
    <w:div w:id="31157093">
      <w:bodyDiv w:val="1"/>
      <w:marLeft w:val="0"/>
      <w:marRight w:val="0"/>
      <w:marTop w:val="0"/>
      <w:marBottom w:val="0"/>
      <w:divBdr>
        <w:top w:val="none" w:sz="0" w:space="0" w:color="auto"/>
        <w:left w:val="none" w:sz="0" w:space="0" w:color="auto"/>
        <w:bottom w:val="none" w:sz="0" w:space="0" w:color="auto"/>
        <w:right w:val="none" w:sz="0" w:space="0" w:color="auto"/>
      </w:divBdr>
    </w:div>
    <w:div w:id="113797036">
      <w:bodyDiv w:val="1"/>
      <w:marLeft w:val="0"/>
      <w:marRight w:val="0"/>
      <w:marTop w:val="0"/>
      <w:marBottom w:val="0"/>
      <w:divBdr>
        <w:top w:val="none" w:sz="0" w:space="0" w:color="auto"/>
        <w:left w:val="none" w:sz="0" w:space="0" w:color="auto"/>
        <w:bottom w:val="none" w:sz="0" w:space="0" w:color="auto"/>
        <w:right w:val="none" w:sz="0" w:space="0" w:color="auto"/>
      </w:divBdr>
    </w:div>
    <w:div w:id="151025853">
      <w:bodyDiv w:val="1"/>
      <w:marLeft w:val="0"/>
      <w:marRight w:val="0"/>
      <w:marTop w:val="0"/>
      <w:marBottom w:val="0"/>
      <w:divBdr>
        <w:top w:val="none" w:sz="0" w:space="0" w:color="auto"/>
        <w:left w:val="none" w:sz="0" w:space="0" w:color="auto"/>
        <w:bottom w:val="none" w:sz="0" w:space="0" w:color="auto"/>
        <w:right w:val="none" w:sz="0" w:space="0" w:color="auto"/>
      </w:divBdr>
    </w:div>
    <w:div w:id="236481829">
      <w:bodyDiv w:val="1"/>
      <w:marLeft w:val="0"/>
      <w:marRight w:val="0"/>
      <w:marTop w:val="0"/>
      <w:marBottom w:val="0"/>
      <w:divBdr>
        <w:top w:val="none" w:sz="0" w:space="0" w:color="auto"/>
        <w:left w:val="none" w:sz="0" w:space="0" w:color="auto"/>
        <w:bottom w:val="none" w:sz="0" w:space="0" w:color="auto"/>
        <w:right w:val="none" w:sz="0" w:space="0" w:color="auto"/>
      </w:divBdr>
    </w:div>
    <w:div w:id="307975850">
      <w:bodyDiv w:val="1"/>
      <w:marLeft w:val="0"/>
      <w:marRight w:val="0"/>
      <w:marTop w:val="0"/>
      <w:marBottom w:val="0"/>
      <w:divBdr>
        <w:top w:val="none" w:sz="0" w:space="0" w:color="auto"/>
        <w:left w:val="none" w:sz="0" w:space="0" w:color="auto"/>
        <w:bottom w:val="none" w:sz="0" w:space="0" w:color="auto"/>
        <w:right w:val="none" w:sz="0" w:space="0" w:color="auto"/>
      </w:divBdr>
    </w:div>
    <w:div w:id="397828290">
      <w:bodyDiv w:val="1"/>
      <w:marLeft w:val="0"/>
      <w:marRight w:val="0"/>
      <w:marTop w:val="0"/>
      <w:marBottom w:val="0"/>
      <w:divBdr>
        <w:top w:val="none" w:sz="0" w:space="0" w:color="auto"/>
        <w:left w:val="none" w:sz="0" w:space="0" w:color="auto"/>
        <w:bottom w:val="none" w:sz="0" w:space="0" w:color="auto"/>
        <w:right w:val="none" w:sz="0" w:space="0" w:color="auto"/>
      </w:divBdr>
    </w:div>
    <w:div w:id="423383926">
      <w:bodyDiv w:val="1"/>
      <w:marLeft w:val="0"/>
      <w:marRight w:val="0"/>
      <w:marTop w:val="0"/>
      <w:marBottom w:val="0"/>
      <w:divBdr>
        <w:top w:val="none" w:sz="0" w:space="0" w:color="auto"/>
        <w:left w:val="none" w:sz="0" w:space="0" w:color="auto"/>
        <w:bottom w:val="none" w:sz="0" w:space="0" w:color="auto"/>
        <w:right w:val="none" w:sz="0" w:space="0" w:color="auto"/>
      </w:divBdr>
    </w:div>
    <w:div w:id="508640156">
      <w:bodyDiv w:val="1"/>
      <w:marLeft w:val="0"/>
      <w:marRight w:val="0"/>
      <w:marTop w:val="0"/>
      <w:marBottom w:val="0"/>
      <w:divBdr>
        <w:top w:val="none" w:sz="0" w:space="0" w:color="auto"/>
        <w:left w:val="none" w:sz="0" w:space="0" w:color="auto"/>
        <w:bottom w:val="none" w:sz="0" w:space="0" w:color="auto"/>
        <w:right w:val="none" w:sz="0" w:space="0" w:color="auto"/>
      </w:divBdr>
    </w:div>
    <w:div w:id="564335310">
      <w:bodyDiv w:val="1"/>
      <w:marLeft w:val="0"/>
      <w:marRight w:val="0"/>
      <w:marTop w:val="0"/>
      <w:marBottom w:val="0"/>
      <w:divBdr>
        <w:top w:val="none" w:sz="0" w:space="0" w:color="auto"/>
        <w:left w:val="none" w:sz="0" w:space="0" w:color="auto"/>
        <w:bottom w:val="none" w:sz="0" w:space="0" w:color="auto"/>
        <w:right w:val="none" w:sz="0" w:space="0" w:color="auto"/>
      </w:divBdr>
    </w:div>
    <w:div w:id="627664449">
      <w:bodyDiv w:val="1"/>
      <w:marLeft w:val="0"/>
      <w:marRight w:val="0"/>
      <w:marTop w:val="0"/>
      <w:marBottom w:val="0"/>
      <w:divBdr>
        <w:top w:val="none" w:sz="0" w:space="0" w:color="auto"/>
        <w:left w:val="none" w:sz="0" w:space="0" w:color="auto"/>
        <w:bottom w:val="none" w:sz="0" w:space="0" w:color="auto"/>
        <w:right w:val="none" w:sz="0" w:space="0" w:color="auto"/>
      </w:divBdr>
    </w:div>
    <w:div w:id="693267896">
      <w:bodyDiv w:val="1"/>
      <w:marLeft w:val="0"/>
      <w:marRight w:val="0"/>
      <w:marTop w:val="0"/>
      <w:marBottom w:val="0"/>
      <w:divBdr>
        <w:top w:val="none" w:sz="0" w:space="0" w:color="auto"/>
        <w:left w:val="none" w:sz="0" w:space="0" w:color="auto"/>
        <w:bottom w:val="none" w:sz="0" w:space="0" w:color="auto"/>
        <w:right w:val="none" w:sz="0" w:space="0" w:color="auto"/>
      </w:divBdr>
      <w:divsChild>
        <w:div w:id="632826934">
          <w:marLeft w:val="0"/>
          <w:marRight w:val="0"/>
          <w:marTop w:val="0"/>
          <w:marBottom w:val="0"/>
          <w:divBdr>
            <w:top w:val="none" w:sz="0" w:space="0" w:color="auto"/>
            <w:left w:val="none" w:sz="0" w:space="0" w:color="auto"/>
            <w:bottom w:val="none" w:sz="0" w:space="0" w:color="auto"/>
            <w:right w:val="none" w:sz="0" w:space="0" w:color="auto"/>
          </w:divBdr>
        </w:div>
      </w:divsChild>
    </w:div>
    <w:div w:id="736587505">
      <w:bodyDiv w:val="1"/>
      <w:marLeft w:val="0"/>
      <w:marRight w:val="0"/>
      <w:marTop w:val="0"/>
      <w:marBottom w:val="0"/>
      <w:divBdr>
        <w:top w:val="none" w:sz="0" w:space="0" w:color="auto"/>
        <w:left w:val="none" w:sz="0" w:space="0" w:color="auto"/>
        <w:bottom w:val="none" w:sz="0" w:space="0" w:color="auto"/>
        <w:right w:val="none" w:sz="0" w:space="0" w:color="auto"/>
      </w:divBdr>
    </w:div>
    <w:div w:id="764231405">
      <w:bodyDiv w:val="1"/>
      <w:marLeft w:val="0"/>
      <w:marRight w:val="0"/>
      <w:marTop w:val="0"/>
      <w:marBottom w:val="0"/>
      <w:divBdr>
        <w:top w:val="none" w:sz="0" w:space="0" w:color="auto"/>
        <w:left w:val="none" w:sz="0" w:space="0" w:color="auto"/>
        <w:bottom w:val="none" w:sz="0" w:space="0" w:color="auto"/>
        <w:right w:val="none" w:sz="0" w:space="0" w:color="auto"/>
      </w:divBdr>
    </w:div>
    <w:div w:id="859200292">
      <w:bodyDiv w:val="1"/>
      <w:marLeft w:val="0"/>
      <w:marRight w:val="0"/>
      <w:marTop w:val="0"/>
      <w:marBottom w:val="0"/>
      <w:divBdr>
        <w:top w:val="none" w:sz="0" w:space="0" w:color="auto"/>
        <w:left w:val="none" w:sz="0" w:space="0" w:color="auto"/>
        <w:bottom w:val="none" w:sz="0" w:space="0" w:color="auto"/>
        <w:right w:val="none" w:sz="0" w:space="0" w:color="auto"/>
      </w:divBdr>
    </w:div>
    <w:div w:id="861938826">
      <w:bodyDiv w:val="1"/>
      <w:marLeft w:val="0"/>
      <w:marRight w:val="0"/>
      <w:marTop w:val="0"/>
      <w:marBottom w:val="0"/>
      <w:divBdr>
        <w:top w:val="none" w:sz="0" w:space="0" w:color="auto"/>
        <w:left w:val="none" w:sz="0" w:space="0" w:color="auto"/>
        <w:bottom w:val="none" w:sz="0" w:space="0" w:color="auto"/>
        <w:right w:val="none" w:sz="0" w:space="0" w:color="auto"/>
      </w:divBdr>
    </w:div>
    <w:div w:id="992872627">
      <w:bodyDiv w:val="1"/>
      <w:marLeft w:val="0"/>
      <w:marRight w:val="0"/>
      <w:marTop w:val="0"/>
      <w:marBottom w:val="0"/>
      <w:divBdr>
        <w:top w:val="none" w:sz="0" w:space="0" w:color="auto"/>
        <w:left w:val="none" w:sz="0" w:space="0" w:color="auto"/>
        <w:bottom w:val="none" w:sz="0" w:space="0" w:color="auto"/>
        <w:right w:val="none" w:sz="0" w:space="0" w:color="auto"/>
      </w:divBdr>
    </w:div>
    <w:div w:id="1066416887">
      <w:bodyDiv w:val="1"/>
      <w:marLeft w:val="0"/>
      <w:marRight w:val="0"/>
      <w:marTop w:val="0"/>
      <w:marBottom w:val="0"/>
      <w:divBdr>
        <w:top w:val="none" w:sz="0" w:space="0" w:color="auto"/>
        <w:left w:val="none" w:sz="0" w:space="0" w:color="auto"/>
        <w:bottom w:val="none" w:sz="0" w:space="0" w:color="auto"/>
        <w:right w:val="none" w:sz="0" w:space="0" w:color="auto"/>
      </w:divBdr>
    </w:div>
    <w:div w:id="1157922150">
      <w:bodyDiv w:val="1"/>
      <w:marLeft w:val="0"/>
      <w:marRight w:val="0"/>
      <w:marTop w:val="0"/>
      <w:marBottom w:val="0"/>
      <w:divBdr>
        <w:top w:val="none" w:sz="0" w:space="0" w:color="auto"/>
        <w:left w:val="none" w:sz="0" w:space="0" w:color="auto"/>
        <w:bottom w:val="none" w:sz="0" w:space="0" w:color="auto"/>
        <w:right w:val="none" w:sz="0" w:space="0" w:color="auto"/>
      </w:divBdr>
    </w:div>
    <w:div w:id="1191917246">
      <w:bodyDiv w:val="1"/>
      <w:marLeft w:val="0"/>
      <w:marRight w:val="0"/>
      <w:marTop w:val="0"/>
      <w:marBottom w:val="0"/>
      <w:divBdr>
        <w:top w:val="none" w:sz="0" w:space="0" w:color="auto"/>
        <w:left w:val="none" w:sz="0" w:space="0" w:color="auto"/>
        <w:bottom w:val="none" w:sz="0" w:space="0" w:color="auto"/>
        <w:right w:val="none" w:sz="0" w:space="0" w:color="auto"/>
      </w:divBdr>
    </w:div>
    <w:div w:id="1259488149">
      <w:bodyDiv w:val="1"/>
      <w:marLeft w:val="0"/>
      <w:marRight w:val="0"/>
      <w:marTop w:val="0"/>
      <w:marBottom w:val="0"/>
      <w:divBdr>
        <w:top w:val="none" w:sz="0" w:space="0" w:color="auto"/>
        <w:left w:val="none" w:sz="0" w:space="0" w:color="auto"/>
        <w:bottom w:val="none" w:sz="0" w:space="0" w:color="auto"/>
        <w:right w:val="none" w:sz="0" w:space="0" w:color="auto"/>
      </w:divBdr>
    </w:div>
    <w:div w:id="1429734211">
      <w:bodyDiv w:val="1"/>
      <w:marLeft w:val="0"/>
      <w:marRight w:val="0"/>
      <w:marTop w:val="0"/>
      <w:marBottom w:val="0"/>
      <w:divBdr>
        <w:top w:val="none" w:sz="0" w:space="0" w:color="auto"/>
        <w:left w:val="none" w:sz="0" w:space="0" w:color="auto"/>
        <w:bottom w:val="none" w:sz="0" w:space="0" w:color="auto"/>
        <w:right w:val="none" w:sz="0" w:space="0" w:color="auto"/>
      </w:divBdr>
    </w:div>
    <w:div w:id="1477642946">
      <w:bodyDiv w:val="1"/>
      <w:marLeft w:val="0"/>
      <w:marRight w:val="0"/>
      <w:marTop w:val="0"/>
      <w:marBottom w:val="0"/>
      <w:divBdr>
        <w:top w:val="none" w:sz="0" w:space="0" w:color="auto"/>
        <w:left w:val="none" w:sz="0" w:space="0" w:color="auto"/>
        <w:bottom w:val="none" w:sz="0" w:space="0" w:color="auto"/>
        <w:right w:val="none" w:sz="0" w:space="0" w:color="auto"/>
      </w:divBdr>
    </w:div>
    <w:div w:id="1637756984">
      <w:bodyDiv w:val="1"/>
      <w:marLeft w:val="0"/>
      <w:marRight w:val="0"/>
      <w:marTop w:val="0"/>
      <w:marBottom w:val="0"/>
      <w:divBdr>
        <w:top w:val="none" w:sz="0" w:space="0" w:color="auto"/>
        <w:left w:val="none" w:sz="0" w:space="0" w:color="auto"/>
        <w:bottom w:val="none" w:sz="0" w:space="0" w:color="auto"/>
        <w:right w:val="none" w:sz="0" w:space="0" w:color="auto"/>
      </w:divBdr>
    </w:div>
    <w:div w:id="1737581054">
      <w:bodyDiv w:val="1"/>
      <w:marLeft w:val="0"/>
      <w:marRight w:val="0"/>
      <w:marTop w:val="0"/>
      <w:marBottom w:val="0"/>
      <w:divBdr>
        <w:top w:val="none" w:sz="0" w:space="0" w:color="auto"/>
        <w:left w:val="none" w:sz="0" w:space="0" w:color="auto"/>
        <w:bottom w:val="none" w:sz="0" w:space="0" w:color="auto"/>
        <w:right w:val="none" w:sz="0" w:space="0" w:color="auto"/>
      </w:divBdr>
    </w:div>
    <w:div w:id="1749308662">
      <w:bodyDiv w:val="1"/>
      <w:marLeft w:val="0"/>
      <w:marRight w:val="0"/>
      <w:marTop w:val="0"/>
      <w:marBottom w:val="0"/>
      <w:divBdr>
        <w:top w:val="none" w:sz="0" w:space="0" w:color="auto"/>
        <w:left w:val="none" w:sz="0" w:space="0" w:color="auto"/>
        <w:bottom w:val="none" w:sz="0" w:space="0" w:color="auto"/>
        <w:right w:val="none" w:sz="0" w:space="0" w:color="auto"/>
      </w:divBdr>
    </w:div>
    <w:div w:id="1968074946">
      <w:bodyDiv w:val="1"/>
      <w:marLeft w:val="0"/>
      <w:marRight w:val="0"/>
      <w:marTop w:val="0"/>
      <w:marBottom w:val="0"/>
      <w:divBdr>
        <w:top w:val="none" w:sz="0" w:space="0" w:color="auto"/>
        <w:left w:val="none" w:sz="0" w:space="0" w:color="auto"/>
        <w:bottom w:val="none" w:sz="0" w:space="0" w:color="auto"/>
        <w:right w:val="none" w:sz="0" w:space="0" w:color="auto"/>
      </w:divBdr>
    </w:div>
    <w:div w:id="2050372370">
      <w:bodyDiv w:val="1"/>
      <w:marLeft w:val="0"/>
      <w:marRight w:val="0"/>
      <w:marTop w:val="0"/>
      <w:marBottom w:val="0"/>
      <w:divBdr>
        <w:top w:val="none" w:sz="0" w:space="0" w:color="auto"/>
        <w:left w:val="none" w:sz="0" w:space="0" w:color="auto"/>
        <w:bottom w:val="none" w:sz="0" w:space="0" w:color="auto"/>
        <w:right w:val="none" w:sz="0" w:space="0" w:color="auto"/>
      </w:divBdr>
    </w:div>
    <w:div w:id="210102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95F0E-E591-4F75-BEB9-29449F15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4449</Words>
  <Characters>23199</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April 3, 2007</vt:lpstr>
    </vt:vector>
  </TitlesOfParts>
  <Company>University of Michigan</Company>
  <LinksUpToDate>false</LinksUpToDate>
  <CharactersWithSpaces>27593</CharactersWithSpaces>
  <SharedDoc>false</SharedDoc>
  <HLinks>
    <vt:vector size="6" baseType="variant">
      <vt:variant>
        <vt:i4>3932217</vt:i4>
      </vt:variant>
      <vt:variant>
        <vt:i4>0</vt:i4>
      </vt:variant>
      <vt:variant>
        <vt:i4>0</vt:i4>
      </vt:variant>
      <vt:variant>
        <vt:i4>5</vt:i4>
      </vt:variant>
      <vt:variant>
        <vt:lpwstr>http://www.cdc.gov/nchs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 2007</dc:title>
  <dc:creator>BGroves</dc:creator>
  <cp:lastModifiedBy>Jo Jones</cp:lastModifiedBy>
  <cp:revision>3</cp:revision>
  <cp:lastPrinted>2015-01-23T13:15:00Z</cp:lastPrinted>
  <dcterms:created xsi:type="dcterms:W3CDTF">2015-02-03T21:28:00Z</dcterms:created>
  <dcterms:modified xsi:type="dcterms:W3CDTF">2015-02-03T21:30:00Z</dcterms:modified>
</cp:coreProperties>
</file>