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E0" w:rsidRPr="006B3C87" w:rsidRDefault="00454FCF" w:rsidP="002D7F39">
      <w:pPr>
        <w:jc w:val="center"/>
        <w:outlineLvl w:val="0"/>
        <w:rPr>
          <w:b/>
        </w:rPr>
      </w:pPr>
      <w:bookmarkStart w:id="0" w:name="_GoBack"/>
      <w:bookmarkEnd w:id="0"/>
      <w:r>
        <w:rPr>
          <w:b/>
        </w:rPr>
        <w:t>Addendum</w:t>
      </w:r>
      <w:r w:rsidR="00367010" w:rsidRPr="006B3C87">
        <w:rPr>
          <w:b/>
        </w:rPr>
        <w:t xml:space="preserve"> for Non-Substantive Changes for Forms SS-5, SS-5</w:t>
      </w:r>
      <w:r w:rsidR="00BD2FD5">
        <w:rPr>
          <w:b/>
        </w:rPr>
        <w:t>-</w:t>
      </w:r>
      <w:r w:rsidR="00367010" w:rsidRPr="006B3C87">
        <w:rPr>
          <w:b/>
        </w:rPr>
        <w:t>FS</w:t>
      </w:r>
    </w:p>
    <w:p w:rsidR="00367010" w:rsidRPr="006B3C87" w:rsidRDefault="00367010" w:rsidP="002D7F39">
      <w:pPr>
        <w:jc w:val="center"/>
        <w:outlineLvl w:val="0"/>
        <w:rPr>
          <w:b/>
        </w:rPr>
      </w:pPr>
      <w:r w:rsidRPr="006B3C87">
        <w:rPr>
          <w:b/>
        </w:rPr>
        <w:t>Application for a Social Security Number</w:t>
      </w:r>
      <w:r w:rsidR="00737CC3">
        <w:rPr>
          <w:b/>
        </w:rPr>
        <w:t xml:space="preserve"> (SSN)</w:t>
      </w:r>
      <w:r w:rsidRPr="006B3C87">
        <w:rPr>
          <w:b/>
        </w:rPr>
        <w:t xml:space="preserve"> Card, the Social Security Number Application Process (SSNAP)</w:t>
      </w:r>
      <w:r w:rsidR="005F3891">
        <w:rPr>
          <w:b/>
        </w:rPr>
        <w:t xml:space="preserve"> and the I</w:t>
      </w:r>
      <w:r w:rsidR="00737CC3">
        <w:rPr>
          <w:b/>
        </w:rPr>
        <w:t>nternet SSN Replacement Card (iSSNRC) application</w:t>
      </w:r>
    </w:p>
    <w:p w:rsidR="00367010" w:rsidRPr="006B3C87" w:rsidRDefault="00367010" w:rsidP="002D7F39">
      <w:pPr>
        <w:jc w:val="center"/>
        <w:outlineLvl w:val="0"/>
        <w:rPr>
          <w:b/>
        </w:rPr>
      </w:pPr>
      <w:r w:rsidRPr="006B3C87">
        <w:rPr>
          <w:b/>
        </w:rPr>
        <w:t>20 CFR 422.103-422.110</w:t>
      </w:r>
    </w:p>
    <w:p w:rsidR="00D816E0" w:rsidRPr="00737CC3" w:rsidRDefault="00D816E0" w:rsidP="002D7F39">
      <w:pPr>
        <w:jc w:val="center"/>
        <w:outlineLvl w:val="0"/>
        <w:rPr>
          <w:b/>
          <w:color w:val="FF0000"/>
        </w:rPr>
      </w:pPr>
      <w:r w:rsidRPr="006B3C87">
        <w:rPr>
          <w:b/>
        </w:rPr>
        <w:t xml:space="preserve">OMB No. </w:t>
      </w:r>
      <w:r w:rsidR="00122D9B" w:rsidRPr="006B3C87">
        <w:rPr>
          <w:b/>
        </w:rPr>
        <w:t>0960-0066</w:t>
      </w:r>
      <w:r w:rsidR="00737CC3">
        <w:rPr>
          <w:b/>
        </w:rPr>
        <w:t xml:space="preserve"> </w:t>
      </w:r>
    </w:p>
    <w:p w:rsidR="00D816E0" w:rsidRPr="006B3C87" w:rsidRDefault="00D816E0" w:rsidP="002D7F39">
      <w:pPr>
        <w:outlineLvl w:val="0"/>
        <w:rPr>
          <w:b/>
          <w:u w:val="single"/>
        </w:rPr>
      </w:pPr>
    </w:p>
    <w:p w:rsidR="00A660C0" w:rsidRDefault="00A660C0" w:rsidP="002D7F39">
      <w:pPr>
        <w:outlineLvl w:val="0"/>
        <w:rPr>
          <w:b/>
          <w:u w:val="single"/>
        </w:rPr>
      </w:pPr>
      <w:r>
        <w:rPr>
          <w:b/>
          <w:u w:val="single"/>
        </w:rPr>
        <w:t>Background</w:t>
      </w:r>
    </w:p>
    <w:p w:rsidR="00826448" w:rsidRDefault="00826448" w:rsidP="002D7F39">
      <w:pPr>
        <w:outlineLvl w:val="0"/>
      </w:pPr>
    </w:p>
    <w:p w:rsidR="00A660C0" w:rsidRDefault="00A660C0" w:rsidP="00737CC3">
      <w:pPr>
        <w:tabs>
          <w:tab w:val="left" w:pos="-720"/>
        </w:tabs>
        <w:suppressAutoHyphens/>
        <w:rPr>
          <w:rFonts w:eastAsia="Calibri"/>
        </w:rPr>
      </w:pPr>
      <w:r>
        <w:t xml:space="preserve">On </w:t>
      </w:r>
      <w:r w:rsidR="00134E8F">
        <w:t xml:space="preserve">February 26, </w:t>
      </w:r>
      <w:r>
        <w:t>201</w:t>
      </w:r>
      <w:r w:rsidR="00431D09">
        <w:t>5</w:t>
      </w:r>
      <w:r>
        <w:t xml:space="preserve">, OMB </w:t>
      </w:r>
      <w:r w:rsidR="00737CC3">
        <w:t>published the Social Security Administration</w:t>
      </w:r>
      <w:r w:rsidR="00134E8F">
        <w:t>’</w:t>
      </w:r>
      <w:r w:rsidR="00737CC3">
        <w:t xml:space="preserve">s Notice of Proposed Rulemaking (NPRM) </w:t>
      </w:r>
      <w:r w:rsidR="00737CC3">
        <w:rPr>
          <w:rFonts w:eastAsia="Calibri"/>
        </w:rPr>
        <w:t>announcing the revision of our regulations to allow</w:t>
      </w:r>
      <w:r w:rsidR="00D16033">
        <w:rPr>
          <w:rFonts w:eastAsia="Calibri"/>
        </w:rPr>
        <w:t xml:space="preserve"> </w:t>
      </w:r>
      <w:r w:rsidR="00E7468B">
        <w:rPr>
          <w:rFonts w:eastAsia="Calibri"/>
        </w:rPr>
        <w:t xml:space="preserve">certain </w:t>
      </w:r>
      <w:r w:rsidR="00737CC3">
        <w:rPr>
          <w:rFonts w:eastAsia="Calibri"/>
        </w:rPr>
        <w:t xml:space="preserve">applicants for a Social Security number (SSN) replacement card to apply by </w:t>
      </w:r>
      <w:r w:rsidR="00737CC3">
        <w:t xml:space="preserve">completing a prescribed </w:t>
      </w:r>
      <w:r w:rsidR="00E7468B">
        <w:t xml:space="preserve">internet </w:t>
      </w:r>
      <w:r w:rsidR="00737CC3">
        <w:t xml:space="preserve">application and submitting the required evidence </w:t>
      </w:r>
      <w:r w:rsidR="00E7468B">
        <w:t xml:space="preserve">online </w:t>
      </w:r>
      <w:r w:rsidR="00737CC3">
        <w:t>rather than</w:t>
      </w:r>
      <w:r w:rsidR="005F3891">
        <w:rPr>
          <w:rFonts w:eastAsia="Calibri"/>
        </w:rPr>
        <w:t xml:space="preserve"> completing a paper Form SS</w:t>
      </w:r>
      <w:r w:rsidR="005F3891">
        <w:rPr>
          <w:rFonts w:eastAsia="Calibri"/>
        </w:rPr>
        <w:noBreakHyphen/>
      </w:r>
      <w:r w:rsidR="00737CC3">
        <w:rPr>
          <w:rFonts w:eastAsia="Calibri"/>
        </w:rPr>
        <w:t>5, Application for a Social Security Card</w:t>
      </w:r>
      <w:r w:rsidR="00134E8F">
        <w:rPr>
          <w:rFonts w:eastAsia="Calibri"/>
        </w:rPr>
        <w:t xml:space="preserve"> (80 FR 10432)</w:t>
      </w:r>
      <w:r w:rsidR="00737CC3">
        <w:rPr>
          <w:rFonts w:eastAsia="Calibri"/>
        </w:rPr>
        <w:t xml:space="preserve">. </w:t>
      </w:r>
      <w:r w:rsidR="00134E8F">
        <w:rPr>
          <w:rFonts w:eastAsia="Calibri"/>
        </w:rPr>
        <w:t xml:space="preserve"> </w:t>
      </w:r>
      <w:r w:rsidR="00737CC3">
        <w:rPr>
          <w:rFonts w:eastAsia="Calibri"/>
        </w:rPr>
        <w:t>Th</w:t>
      </w:r>
      <w:r w:rsidR="00826448">
        <w:rPr>
          <w:rFonts w:eastAsia="Calibri"/>
        </w:rPr>
        <w:t>is</w:t>
      </w:r>
      <w:r w:rsidR="00737CC3">
        <w:rPr>
          <w:rFonts w:eastAsia="Calibri"/>
        </w:rPr>
        <w:t xml:space="preserve"> proposed change will provide flexibility in the ways in which the public may request SSN replacement cards and allow us</w:t>
      </w:r>
      <w:r w:rsidR="00E7468B">
        <w:rPr>
          <w:rFonts w:eastAsia="Calibri"/>
        </w:rPr>
        <w:t xml:space="preserve"> </w:t>
      </w:r>
      <w:r w:rsidR="00737CC3">
        <w:rPr>
          <w:rFonts w:eastAsia="Calibri"/>
        </w:rPr>
        <w:t>to implement an online SSN replacement card application system.</w:t>
      </w:r>
      <w:r w:rsidR="00E7468B">
        <w:rPr>
          <w:rFonts w:eastAsia="Calibri"/>
        </w:rPr>
        <w:t xml:space="preserve">  We anticipate that</w:t>
      </w:r>
      <w:r w:rsidR="00134E8F">
        <w:rPr>
          <w:rFonts w:eastAsia="Calibri"/>
        </w:rPr>
        <w:t>,</w:t>
      </w:r>
      <w:r w:rsidR="00E7468B">
        <w:rPr>
          <w:rFonts w:eastAsia="Calibri"/>
        </w:rPr>
        <w:t xml:space="preserve"> as a result of the implementation of the iSSNRC modality, we will experience a net decrease in the estimated total annual burden hours on the public as indicated in #12 of the associated Supporting Statement.</w:t>
      </w:r>
      <w:r w:rsidR="00737CC3">
        <w:rPr>
          <w:rFonts w:eastAsia="Calibri"/>
        </w:rPr>
        <w:t xml:space="preserve"> </w:t>
      </w:r>
    </w:p>
    <w:p w:rsidR="00F0129F" w:rsidRDefault="00F0129F" w:rsidP="00737CC3">
      <w:pPr>
        <w:tabs>
          <w:tab w:val="left" w:pos="-720"/>
        </w:tabs>
        <w:suppressAutoHyphens/>
        <w:rPr>
          <w:rFonts w:eastAsia="Calibri"/>
        </w:rPr>
      </w:pPr>
    </w:p>
    <w:p w:rsidR="00A660C0" w:rsidRDefault="00A660C0" w:rsidP="002D7F39">
      <w:pPr>
        <w:outlineLvl w:val="0"/>
        <w:rPr>
          <w:b/>
          <w:u w:val="single"/>
        </w:rPr>
      </w:pPr>
      <w:r w:rsidRPr="00A660C0">
        <w:rPr>
          <w:b/>
          <w:u w:val="single"/>
        </w:rPr>
        <w:t>Revision to the Collection Instrument</w:t>
      </w:r>
    </w:p>
    <w:p w:rsidR="00826448" w:rsidRPr="00A660C0" w:rsidRDefault="00826448" w:rsidP="002D7F39">
      <w:pPr>
        <w:outlineLvl w:val="0"/>
        <w:rPr>
          <w:b/>
          <w:u w:val="single"/>
        </w:rPr>
      </w:pPr>
    </w:p>
    <w:p w:rsidR="008350E6" w:rsidRDefault="00454C9F" w:rsidP="00826448">
      <w:pPr>
        <w:pStyle w:val="ListParagraph"/>
        <w:numPr>
          <w:ilvl w:val="0"/>
          <w:numId w:val="28"/>
        </w:numPr>
        <w:rPr>
          <w:rFonts w:eastAsia="Calibri"/>
        </w:rPr>
      </w:pPr>
      <w:r w:rsidRPr="008350E6">
        <w:rPr>
          <w:b/>
          <w:u w:val="single"/>
        </w:rPr>
        <w:t>Change</w:t>
      </w:r>
      <w:r w:rsidR="00F0129F" w:rsidRPr="008350E6">
        <w:rPr>
          <w:b/>
          <w:u w:val="single"/>
        </w:rPr>
        <w:t xml:space="preserve"> #1</w:t>
      </w:r>
      <w:r w:rsidR="00A660C0" w:rsidRPr="008350E6">
        <w:rPr>
          <w:b/>
        </w:rPr>
        <w:t>:</w:t>
      </w:r>
      <w:r w:rsidR="00A660C0">
        <w:t xml:space="preserve">  </w:t>
      </w:r>
      <w:r w:rsidR="00737CC3">
        <w:t xml:space="preserve">We </w:t>
      </w:r>
      <w:r w:rsidR="004B734E">
        <w:t>will</w:t>
      </w:r>
      <w:r w:rsidR="00737CC3">
        <w:t xml:space="preserve"> allow some members of the</w:t>
      </w:r>
      <w:r w:rsidR="00737CC3" w:rsidRPr="008350E6">
        <w:rPr>
          <w:rFonts w:eastAsia="Calibri"/>
        </w:rPr>
        <w:t xml:space="preserve"> public to apply for replacement SSN cards electronically without having to visit our offices in person, or mail in the application and supporting evidence. </w:t>
      </w:r>
    </w:p>
    <w:p w:rsidR="008350E6" w:rsidRPr="008350E6" w:rsidRDefault="008350E6" w:rsidP="008350E6">
      <w:pPr>
        <w:pStyle w:val="ListParagraph"/>
        <w:ind w:left="360"/>
        <w:rPr>
          <w:rFonts w:eastAsia="Calibri"/>
        </w:rPr>
      </w:pPr>
    </w:p>
    <w:p w:rsidR="008350E6" w:rsidRDefault="0022403C" w:rsidP="008350E6">
      <w:pPr>
        <w:pStyle w:val="ListParagraph"/>
        <w:ind w:left="360"/>
        <w:rPr>
          <w:rFonts w:eastAsia="Calibri"/>
        </w:rPr>
      </w:pPr>
      <w:r w:rsidRPr="008350E6">
        <w:rPr>
          <w:b/>
          <w:u w:val="single"/>
        </w:rPr>
        <w:t>Justification #1</w:t>
      </w:r>
      <w:r w:rsidRPr="008350E6">
        <w:rPr>
          <w:b/>
        </w:rPr>
        <w:t xml:space="preserve">:  </w:t>
      </w:r>
      <w:r w:rsidR="00826448" w:rsidRPr="008350E6">
        <w:rPr>
          <w:rFonts w:eastAsia="Calibri"/>
        </w:rPr>
        <w:t xml:space="preserve">Currently, </w:t>
      </w:r>
      <w:r w:rsidR="00F340BA" w:rsidRPr="008350E6">
        <w:rPr>
          <w:rFonts w:eastAsia="Calibri"/>
        </w:rPr>
        <w:t xml:space="preserve">individuals can apply for an </w:t>
      </w:r>
      <w:r w:rsidR="00826448" w:rsidRPr="008350E6">
        <w:rPr>
          <w:rFonts w:eastAsia="Calibri"/>
        </w:rPr>
        <w:t>SSN by completing Form SS-5 and submitting it, in p</w:t>
      </w:r>
      <w:r w:rsidR="00F340BA" w:rsidRPr="008350E6">
        <w:rPr>
          <w:rFonts w:eastAsia="Calibri"/>
        </w:rPr>
        <w:t>erson or via mail, to their</w:t>
      </w:r>
      <w:r w:rsidR="00826448" w:rsidRPr="008350E6">
        <w:rPr>
          <w:rFonts w:eastAsia="Calibri"/>
        </w:rPr>
        <w:t xml:space="preserve"> local field office (FO) or a So</w:t>
      </w:r>
      <w:r w:rsidR="00F340BA" w:rsidRPr="008350E6">
        <w:rPr>
          <w:rFonts w:eastAsia="Calibri"/>
        </w:rPr>
        <w:t xml:space="preserve">cial Security Card Center, or through an in-office interview while one </w:t>
      </w:r>
      <w:r w:rsidR="00826448" w:rsidRPr="008350E6">
        <w:rPr>
          <w:rFonts w:eastAsia="Calibri"/>
        </w:rPr>
        <w:t>of our representatives file</w:t>
      </w:r>
      <w:r w:rsidR="00F340BA" w:rsidRPr="008350E6">
        <w:rPr>
          <w:rFonts w:eastAsia="Calibri"/>
        </w:rPr>
        <w:t>s</w:t>
      </w:r>
      <w:r w:rsidR="00826448" w:rsidRPr="008350E6">
        <w:rPr>
          <w:rFonts w:eastAsia="Calibri"/>
        </w:rPr>
        <w:t xml:space="preserve"> an application electronically through the Social Security Number Application Process (SSNAP). </w:t>
      </w:r>
      <w:r w:rsidRPr="008350E6">
        <w:rPr>
          <w:rFonts w:eastAsia="Calibri"/>
        </w:rPr>
        <w:t xml:space="preserve"> </w:t>
      </w:r>
      <w:r w:rsidR="00826448" w:rsidRPr="008350E6">
        <w:rPr>
          <w:rFonts w:eastAsia="Calibri"/>
        </w:rPr>
        <w:t>The applicant</w:t>
      </w:r>
      <w:r w:rsidR="00F340BA" w:rsidRPr="008350E6">
        <w:rPr>
          <w:rFonts w:eastAsia="Calibri"/>
        </w:rPr>
        <w:t>s</w:t>
      </w:r>
      <w:r w:rsidR="00826448" w:rsidRPr="008350E6">
        <w:rPr>
          <w:rFonts w:eastAsia="Calibri"/>
        </w:rPr>
        <w:t xml:space="preserve"> must also present, or mail in, supporting documentary evidence. </w:t>
      </w:r>
    </w:p>
    <w:p w:rsidR="008350E6" w:rsidRPr="008350E6" w:rsidRDefault="008350E6" w:rsidP="008350E6">
      <w:pPr>
        <w:pStyle w:val="ListParagraph"/>
        <w:rPr>
          <w:rFonts w:eastAsia="Calibri"/>
        </w:rPr>
      </w:pPr>
    </w:p>
    <w:p w:rsidR="008350E6" w:rsidRDefault="00826448" w:rsidP="008350E6">
      <w:pPr>
        <w:pStyle w:val="ListParagraph"/>
        <w:ind w:left="360"/>
        <w:rPr>
          <w:rFonts w:eastAsia="Calibri"/>
        </w:rPr>
      </w:pPr>
      <w:r w:rsidRPr="008350E6">
        <w:rPr>
          <w:rFonts w:eastAsia="Calibri"/>
        </w:rPr>
        <w:t xml:space="preserve">During the </w:t>
      </w:r>
      <w:r w:rsidR="00E7468B" w:rsidRPr="008350E6">
        <w:rPr>
          <w:rFonts w:eastAsia="Calibri"/>
        </w:rPr>
        <w:t xml:space="preserve">iSSNRC </w:t>
      </w:r>
      <w:r w:rsidRPr="008350E6">
        <w:rPr>
          <w:rFonts w:eastAsia="Calibri"/>
        </w:rPr>
        <w:t>application process, we w</w:t>
      </w:r>
      <w:r w:rsidR="00E7468B" w:rsidRPr="008350E6">
        <w:rPr>
          <w:rFonts w:eastAsia="Calibri"/>
        </w:rPr>
        <w:t>ill</w:t>
      </w:r>
      <w:r w:rsidRPr="008350E6">
        <w:rPr>
          <w:rFonts w:eastAsia="Calibri"/>
        </w:rPr>
        <w:t xml:space="preserve"> securely collect and verify required information electronically (for example, identifying information, </w:t>
      </w:r>
      <w:r w:rsidR="0022403C" w:rsidRPr="008350E6">
        <w:rPr>
          <w:rFonts w:eastAsia="Calibri"/>
        </w:rPr>
        <w:t xml:space="preserve">or the </w:t>
      </w:r>
      <w:r w:rsidRPr="008350E6">
        <w:rPr>
          <w:rFonts w:eastAsia="Calibri"/>
        </w:rPr>
        <w:t xml:space="preserve">mailing address associated with the individual requesting the card), and analyze each request for potential fraud. </w:t>
      </w:r>
      <w:r w:rsidR="0022403C" w:rsidRPr="008350E6">
        <w:rPr>
          <w:rFonts w:eastAsia="Calibri"/>
        </w:rPr>
        <w:t xml:space="preserve"> </w:t>
      </w:r>
      <w:r w:rsidRPr="008350E6">
        <w:rPr>
          <w:rFonts w:eastAsia="Calibri"/>
        </w:rPr>
        <w:t>Moving this service online w</w:t>
      </w:r>
      <w:r w:rsidR="00E7468B" w:rsidRPr="008350E6">
        <w:rPr>
          <w:rFonts w:eastAsia="Calibri"/>
        </w:rPr>
        <w:t>ill</w:t>
      </w:r>
      <w:r w:rsidRPr="008350E6">
        <w:rPr>
          <w:rFonts w:eastAsia="Calibri"/>
        </w:rPr>
        <w:t xml:space="preserve"> allow customers to complete a request at any time, without the need to visit us in person. </w:t>
      </w:r>
      <w:r w:rsidR="0022403C" w:rsidRPr="008350E6">
        <w:rPr>
          <w:rFonts w:eastAsia="Calibri"/>
        </w:rPr>
        <w:t xml:space="preserve"> </w:t>
      </w:r>
      <w:r w:rsidRPr="008350E6">
        <w:rPr>
          <w:rFonts w:eastAsia="Calibri"/>
        </w:rPr>
        <w:t>It w</w:t>
      </w:r>
      <w:r w:rsidR="00E7468B" w:rsidRPr="008350E6">
        <w:rPr>
          <w:rFonts w:eastAsia="Calibri"/>
        </w:rPr>
        <w:t>ill</w:t>
      </w:r>
      <w:r w:rsidRPr="008350E6">
        <w:rPr>
          <w:rFonts w:eastAsia="Calibri"/>
        </w:rPr>
        <w:t xml:space="preserve"> also help the public by allowing our employees to focus </w:t>
      </w:r>
      <w:r w:rsidR="0022403C" w:rsidRPr="008350E6">
        <w:rPr>
          <w:rFonts w:eastAsia="Calibri"/>
        </w:rPr>
        <w:t xml:space="preserve">more </w:t>
      </w:r>
      <w:r w:rsidRPr="008350E6">
        <w:rPr>
          <w:rFonts w:eastAsia="Calibri"/>
        </w:rPr>
        <w:t>on other vital services, such as taking claims for benefits and conducting program integrity work.</w:t>
      </w:r>
    </w:p>
    <w:p w:rsidR="008350E6" w:rsidRPr="008350E6" w:rsidRDefault="008350E6" w:rsidP="008350E6">
      <w:pPr>
        <w:pStyle w:val="ListParagraph"/>
        <w:rPr>
          <w:rFonts w:eastAsia="Calibri"/>
        </w:rPr>
      </w:pPr>
    </w:p>
    <w:p w:rsidR="008350E6" w:rsidRPr="008350E6" w:rsidRDefault="00737CC3" w:rsidP="008350E6">
      <w:pPr>
        <w:pStyle w:val="ListParagraph"/>
        <w:ind w:left="360"/>
        <w:rPr>
          <w:rFonts w:eastAsia="Calibri"/>
        </w:rPr>
      </w:pPr>
      <w:r w:rsidRPr="008350E6">
        <w:rPr>
          <w:rFonts w:eastAsia="Calibri"/>
        </w:rPr>
        <w:t>The proposed regulatory changes w</w:t>
      </w:r>
      <w:r w:rsidR="00E7468B" w:rsidRPr="008350E6">
        <w:rPr>
          <w:rFonts w:eastAsia="Calibri"/>
        </w:rPr>
        <w:t>ill</w:t>
      </w:r>
      <w:r w:rsidRPr="008350E6">
        <w:rPr>
          <w:rFonts w:eastAsia="Calibri"/>
        </w:rPr>
        <w:t xml:space="preserve"> ensure our SSN regulations support the development of this online application.  Under the new iSSNRC modality, a</w:t>
      </w:r>
      <w:r w:rsidRPr="00CA47DE">
        <w:t>dult</w:t>
      </w:r>
      <w:r w:rsidRPr="00655C24">
        <w:t xml:space="preserve"> U.S. citizens who are not reporting any changes to their record </w:t>
      </w:r>
      <w:r w:rsidRPr="008350E6">
        <w:rPr>
          <w:rFonts w:eastAsia="Calibri"/>
        </w:rPr>
        <w:t>(e.g., name or date of birth), w</w:t>
      </w:r>
      <w:r w:rsidR="00E7468B" w:rsidRPr="008350E6">
        <w:rPr>
          <w:rFonts w:eastAsia="Calibri"/>
        </w:rPr>
        <w:t>ill</w:t>
      </w:r>
      <w:r w:rsidRPr="00655C24">
        <w:t xml:space="preserve"> have the option to file for an SSN replacement card online after registering through the </w:t>
      </w:r>
      <w:r w:rsidR="00BA6B3E" w:rsidRPr="008350E6">
        <w:rPr>
          <w:rFonts w:ascii="Georgia" w:hAnsi="Georgia"/>
          <w:i/>
          <w:iCs/>
          <w:color w:val="D12229"/>
        </w:rPr>
        <w:t xml:space="preserve">my </w:t>
      </w:r>
      <w:r w:rsidR="00BA6B3E" w:rsidRPr="008350E6">
        <w:rPr>
          <w:rFonts w:ascii="Georgia" w:hAnsi="Georgia"/>
          <w:color w:val="0054A6"/>
        </w:rPr>
        <w:t>Social Security</w:t>
      </w:r>
      <w:r w:rsidR="00BA6B3E" w:rsidRPr="00655C24">
        <w:t xml:space="preserve"> </w:t>
      </w:r>
      <w:r w:rsidRPr="00655C24">
        <w:t>portal.</w:t>
      </w:r>
    </w:p>
    <w:p w:rsidR="008350E6" w:rsidRDefault="008350E6" w:rsidP="008350E6">
      <w:pPr>
        <w:pStyle w:val="ListParagraph"/>
      </w:pPr>
    </w:p>
    <w:p w:rsidR="008350E6" w:rsidRPr="008350E6" w:rsidRDefault="001F03B2" w:rsidP="008350E6">
      <w:pPr>
        <w:pStyle w:val="ListParagraph"/>
        <w:ind w:left="360"/>
        <w:rPr>
          <w:rFonts w:eastAsia="Calibri"/>
        </w:rPr>
      </w:pPr>
      <w:r>
        <w:lastRenderedPageBreak/>
        <w:t>iSSNRC has three m</w:t>
      </w:r>
      <w:r w:rsidR="00BA6B3E">
        <w:t>ain sections of messaging and</w:t>
      </w:r>
      <w:r>
        <w:t xml:space="preserve"> data collection.  First, before </w:t>
      </w:r>
      <w:r w:rsidR="00BA6B3E">
        <w:t xml:space="preserve">we offer the application to </w:t>
      </w:r>
      <w:r>
        <w:t>the user, it checks internal SSA records to ensure eligibility, such as being a U.S. Citizen</w:t>
      </w:r>
      <w:r w:rsidR="00F91A07">
        <w:t xml:space="preserve"> age 18 or over</w:t>
      </w:r>
      <w:r>
        <w:t xml:space="preserve">, no other pending SSN applications, and annual/lifetime card limits.  Next, the first screen within the application asks several self-screening questions to further determine if the user will be successful in the request and offers alternative service channels if not.  Finally, the main data collection page gathers specific information (such as the full name, SSN, Driver's License/State ID data, and address) and performs a real time verification of the information against our own records, the State issuing their ID, and possibly other external records to verify their mailing address is associated with them.  If </w:t>
      </w:r>
      <w:r w:rsidR="00E26F31">
        <w:t>iSSNRC verifies all data</w:t>
      </w:r>
      <w:r>
        <w:t xml:space="preserve"> successfully, then we accept the replacement card application, screen it for suspected fraud, and issue the card if </w:t>
      </w:r>
      <w:r w:rsidR="00E26F31">
        <w:t>we find no fraud</w:t>
      </w:r>
      <w:r>
        <w:t>.</w:t>
      </w:r>
    </w:p>
    <w:p w:rsidR="008350E6" w:rsidRPr="008350E6" w:rsidRDefault="008350E6" w:rsidP="008350E6">
      <w:pPr>
        <w:pStyle w:val="ListParagraph"/>
        <w:rPr>
          <w:b/>
          <w:u w:val="single"/>
        </w:rPr>
      </w:pPr>
    </w:p>
    <w:p w:rsidR="008350E6" w:rsidRPr="008350E6" w:rsidRDefault="0022403C" w:rsidP="00826448">
      <w:pPr>
        <w:pStyle w:val="ListParagraph"/>
        <w:numPr>
          <w:ilvl w:val="0"/>
          <w:numId w:val="28"/>
        </w:numPr>
        <w:rPr>
          <w:rFonts w:eastAsia="Calibri"/>
        </w:rPr>
      </w:pPr>
      <w:r w:rsidRPr="008350E6">
        <w:rPr>
          <w:b/>
          <w:u w:val="single"/>
        </w:rPr>
        <w:t>Change #</w:t>
      </w:r>
      <w:r w:rsidR="00FC3B19" w:rsidRPr="008350E6">
        <w:rPr>
          <w:b/>
          <w:u w:val="single"/>
        </w:rPr>
        <w:t>2</w:t>
      </w:r>
      <w:r w:rsidRPr="008350E6">
        <w:rPr>
          <w:b/>
          <w:u w:val="single"/>
        </w:rPr>
        <w:t>:</w:t>
      </w:r>
      <w:r w:rsidRPr="008350E6">
        <w:rPr>
          <w:b/>
        </w:rPr>
        <w:t xml:space="preserve">   </w:t>
      </w:r>
      <w:r w:rsidR="00E26F31">
        <w:t xml:space="preserve">SSA </w:t>
      </w:r>
      <w:r w:rsidR="0001781C">
        <w:t xml:space="preserve">secured the services of a contractor (American Association of Motor Vehicle Administrators or “AAMVA”) to provide real-time verification services for the iSSNRC application.  SSA will </w:t>
      </w:r>
      <w:r w:rsidR="0001781C" w:rsidRPr="0001781C">
        <w:t xml:space="preserve">collect </w:t>
      </w:r>
      <w:r w:rsidR="0001781C">
        <w:t>driver’s license</w:t>
      </w:r>
      <w:r w:rsidR="00E26F31">
        <w:t xml:space="preserve"> (DL)</w:t>
      </w:r>
      <w:r w:rsidR="0001781C">
        <w:t xml:space="preserve"> </w:t>
      </w:r>
      <w:r w:rsidR="0001781C" w:rsidRPr="0001781C">
        <w:t xml:space="preserve">or State </w:t>
      </w:r>
      <w:r w:rsidR="0001781C">
        <w:t>identification</w:t>
      </w:r>
      <w:r w:rsidR="00E26F31">
        <w:t xml:space="preserve"> (State ID)</w:t>
      </w:r>
      <w:r w:rsidR="0001781C">
        <w:t xml:space="preserve"> </w:t>
      </w:r>
      <w:r w:rsidR="0001781C" w:rsidRPr="0001781C">
        <w:t>data in the iSSNRC application.  The iSSNRC application will electronically transfer these data elements to the contractor.  The contractor will return a real-time verification, matching the data received from the iSSNRC application and the data received directly from the custodian of the record.  The contractor will return an immediate “match or no match” response to SSA for each data element.  Based on the response, SSA will determine whether the DL or State ID card meets our requirements as evidenc</w:t>
      </w:r>
      <w:r w:rsidR="008350E6">
        <w:t>e of the individual’s identity.</w:t>
      </w:r>
    </w:p>
    <w:p w:rsidR="008350E6" w:rsidRPr="008350E6" w:rsidRDefault="008350E6" w:rsidP="008350E6">
      <w:pPr>
        <w:pStyle w:val="ListParagraph"/>
        <w:rPr>
          <w:rFonts w:eastAsia="Calibri"/>
          <w:b/>
          <w:u w:val="single"/>
        </w:rPr>
      </w:pPr>
    </w:p>
    <w:p w:rsidR="00F0129F" w:rsidRPr="008350E6" w:rsidRDefault="00F0129F" w:rsidP="008350E6">
      <w:pPr>
        <w:pStyle w:val="ListParagraph"/>
        <w:ind w:left="360"/>
        <w:rPr>
          <w:rFonts w:eastAsia="Calibri"/>
        </w:rPr>
      </w:pPr>
      <w:r w:rsidRPr="008350E6">
        <w:rPr>
          <w:rFonts w:eastAsia="Calibri"/>
          <w:b/>
          <w:u w:val="single"/>
        </w:rPr>
        <w:t>Justification #</w:t>
      </w:r>
      <w:r w:rsidR="00FC3B19" w:rsidRPr="008350E6">
        <w:rPr>
          <w:rFonts w:eastAsia="Calibri"/>
          <w:b/>
          <w:u w:val="single"/>
        </w:rPr>
        <w:t>2</w:t>
      </w:r>
      <w:r w:rsidRPr="008350E6">
        <w:rPr>
          <w:rFonts w:eastAsia="Calibri"/>
          <w:b/>
          <w:u w:val="single"/>
        </w:rPr>
        <w:t>:</w:t>
      </w:r>
      <w:r w:rsidRPr="008350E6">
        <w:rPr>
          <w:rFonts w:eastAsia="Calibri"/>
          <w:b/>
        </w:rPr>
        <w:t xml:space="preserve">  </w:t>
      </w:r>
      <w:r w:rsidR="0001781C" w:rsidRPr="008350E6">
        <w:rPr>
          <w:rFonts w:eastAsia="Calibri"/>
        </w:rPr>
        <w:t>Leveraging AAMVA’s existing date-sharing capabilities, existing relationships with the states, and technological expertise allows SSA to implement and effectuate the iSSNRC application in the most efficient, cost-effective manner.</w:t>
      </w:r>
    </w:p>
    <w:p w:rsidR="00826448" w:rsidRDefault="00826448" w:rsidP="00826448"/>
    <w:p w:rsidR="00826448" w:rsidRPr="00826448" w:rsidRDefault="00826448" w:rsidP="00826448">
      <w:r>
        <w:rPr>
          <w:b/>
          <w:u w:val="single"/>
        </w:rPr>
        <w:t>Intended Implementation Date</w:t>
      </w:r>
      <w:r>
        <w:rPr>
          <w:b/>
        </w:rPr>
        <w:t xml:space="preserve">:  </w:t>
      </w:r>
      <w:r w:rsidR="00E26F31">
        <w:t xml:space="preserve">By the end of </w:t>
      </w:r>
      <w:r w:rsidR="008350E6">
        <w:t xml:space="preserve">calendar year </w:t>
      </w:r>
      <w:r w:rsidR="001E7FF4">
        <w:t xml:space="preserve">2015, we will begin releasing the new iSSNRC modality </w:t>
      </w:r>
      <w:r w:rsidR="001E7FF4">
        <w:rPr>
          <w:rFonts w:eastAsia="Calibri"/>
        </w:rPr>
        <w:t>via a gradual, state-by-state rollout.</w:t>
      </w:r>
    </w:p>
    <w:p w:rsidR="009904B9" w:rsidRDefault="009904B9" w:rsidP="002D7F39">
      <w:pPr>
        <w:pStyle w:val="ListParagraph"/>
        <w:ind w:left="360"/>
        <w:outlineLvl w:val="0"/>
      </w:pPr>
    </w:p>
    <w:p w:rsidR="00826448" w:rsidRDefault="00826448" w:rsidP="00826448">
      <w:pPr>
        <w:pStyle w:val="ListParagraph"/>
        <w:ind w:left="360"/>
        <w:jc w:val="both"/>
        <w:outlineLvl w:val="0"/>
      </w:pPr>
    </w:p>
    <w:sectPr w:rsidR="00826448" w:rsidSect="008E52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9C3" w:rsidRDefault="003D49C3">
      <w:r>
        <w:separator/>
      </w:r>
    </w:p>
  </w:endnote>
  <w:endnote w:type="continuationSeparator" w:id="0">
    <w:p w:rsidR="003D49C3" w:rsidRDefault="003D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AD" w:rsidRDefault="00984EAD" w:rsidP="007B63ED">
    <w:pPr>
      <w:pStyle w:val="Footer"/>
      <w:jc w:val="right"/>
      <w:rPr>
        <w:sz w:val="20"/>
        <w:szCs w:val="20"/>
      </w:rPr>
    </w:pPr>
  </w:p>
  <w:p w:rsidR="00984EAD" w:rsidRPr="00FE1204" w:rsidRDefault="00984EAD" w:rsidP="00FE1204">
    <w:pPr>
      <w:pStyle w:val="Footer"/>
      <w:jc w:val="center"/>
      <w:rPr>
        <w:sz w:val="20"/>
        <w:szCs w:val="20"/>
      </w:rPr>
    </w:pPr>
    <w:r w:rsidRPr="00FE1204">
      <w:rPr>
        <w:rStyle w:val="PageNumber"/>
        <w:sz w:val="20"/>
        <w:szCs w:val="20"/>
      </w:rPr>
      <w:fldChar w:fldCharType="begin"/>
    </w:r>
    <w:r w:rsidRPr="00FE1204">
      <w:rPr>
        <w:rStyle w:val="PageNumber"/>
        <w:sz w:val="20"/>
        <w:szCs w:val="20"/>
      </w:rPr>
      <w:instrText xml:space="preserve"> PAGE </w:instrText>
    </w:r>
    <w:r w:rsidRPr="00FE1204">
      <w:rPr>
        <w:rStyle w:val="PageNumber"/>
        <w:sz w:val="20"/>
        <w:szCs w:val="20"/>
      </w:rPr>
      <w:fldChar w:fldCharType="separate"/>
    </w:r>
    <w:r w:rsidR="00DE638A">
      <w:rPr>
        <w:rStyle w:val="PageNumber"/>
        <w:noProof/>
        <w:sz w:val="20"/>
        <w:szCs w:val="20"/>
      </w:rPr>
      <w:t>2</w:t>
    </w:r>
    <w:r w:rsidRPr="00FE1204">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9C3" w:rsidRDefault="003D49C3">
      <w:r>
        <w:separator/>
      </w:r>
    </w:p>
  </w:footnote>
  <w:footnote w:type="continuationSeparator" w:id="0">
    <w:p w:rsidR="003D49C3" w:rsidRDefault="003D4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1F92"/>
    <w:multiLevelType w:val="hybridMultilevel"/>
    <w:tmpl w:val="E7007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EF6483"/>
    <w:multiLevelType w:val="hybridMultilevel"/>
    <w:tmpl w:val="89EE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B2A5B"/>
    <w:multiLevelType w:val="multilevel"/>
    <w:tmpl w:val="E7007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CF51412"/>
    <w:multiLevelType w:val="hybridMultilevel"/>
    <w:tmpl w:val="5B1EF57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3B5089A"/>
    <w:multiLevelType w:val="hybridMultilevel"/>
    <w:tmpl w:val="4E022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2258DE"/>
    <w:multiLevelType w:val="hybridMultilevel"/>
    <w:tmpl w:val="7AD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992D52"/>
    <w:multiLevelType w:val="hybridMultilevel"/>
    <w:tmpl w:val="EA80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A79A3"/>
    <w:multiLevelType w:val="hybridMultilevel"/>
    <w:tmpl w:val="DB84D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025241"/>
    <w:multiLevelType w:val="hybridMultilevel"/>
    <w:tmpl w:val="C89ED58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13441BD"/>
    <w:multiLevelType w:val="hybridMultilevel"/>
    <w:tmpl w:val="7F101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D82A0D"/>
    <w:multiLevelType w:val="hybridMultilevel"/>
    <w:tmpl w:val="71205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D439DF"/>
    <w:multiLevelType w:val="hybridMultilevel"/>
    <w:tmpl w:val="6116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1A2791"/>
    <w:multiLevelType w:val="multilevel"/>
    <w:tmpl w:val="4E022D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E410E61"/>
    <w:multiLevelType w:val="hybridMultilevel"/>
    <w:tmpl w:val="5646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A676CC"/>
    <w:multiLevelType w:val="hybridMultilevel"/>
    <w:tmpl w:val="89B43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E253B5"/>
    <w:multiLevelType w:val="hybridMultilevel"/>
    <w:tmpl w:val="33664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B4508A"/>
    <w:multiLevelType w:val="hybridMultilevel"/>
    <w:tmpl w:val="291CA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3F56F8"/>
    <w:multiLevelType w:val="hybridMultilevel"/>
    <w:tmpl w:val="A64E71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5A0571"/>
    <w:multiLevelType w:val="hybridMultilevel"/>
    <w:tmpl w:val="FD7E74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06638B"/>
    <w:multiLevelType w:val="hybridMultilevel"/>
    <w:tmpl w:val="B420A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5C5ED2"/>
    <w:multiLevelType w:val="hybridMultilevel"/>
    <w:tmpl w:val="CB06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260405"/>
    <w:multiLevelType w:val="hybridMultilevel"/>
    <w:tmpl w:val="DDF0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E13DD6"/>
    <w:multiLevelType w:val="hybridMultilevel"/>
    <w:tmpl w:val="AEC43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7C342F"/>
    <w:multiLevelType w:val="hybridMultilevel"/>
    <w:tmpl w:val="3EA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2"/>
  </w:num>
  <w:num w:numId="4">
    <w:abstractNumId w:val="8"/>
  </w:num>
  <w:num w:numId="5">
    <w:abstractNumId w:val="4"/>
  </w:num>
  <w:num w:numId="6">
    <w:abstractNumId w:val="12"/>
  </w:num>
  <w:num w:numId="7">
    <w:abstractNumId w:val="3"/>
  </w:num>
  <w:num w:numId="8">
    <w:abstractNumId w:val="14"/>
  </w:num>
  <w:num w:numId="9">
    <w:abstractNumId w:val="10"/>
  </w:num>
  <w:num w:numId="10">
    <w:abstractNumId w:val="23"/>
  </w:num>
  <w:num w:numId="11">
    <w:abstractNumId w:val="7"/>
  </w:num>
  <w:num w:numId="12">
    <w:abstractNumId w:val="19"/>
  </w:num>
  <w:num w:numId="13">
    <w:abstractNumId w:val="20"/>
  </w:num>
  <w:num w:numId="14">
    <w:abstractNumId w:val="11"/>
  </w:num>
  <w:num w:numId="15">
    <w:abstractNumId w:val="22"/>
  </w:num>
  <w:num w:numId="16">
    <w:abstractNumId w:val="6"/>
  </w:num>
  <w:num w:numId="17">
    <w:abstractNumId w:val="11"/>
  </w:num>
  <w:num w:numId="18">
    <w:abstractNumId w:val="19"/>
  </w:num>
  <w:num w:numId="19">
    <w:abstractNumId w:val="6"/>
  </w:num>
  <w:num w:numId="20">
    <w:abstractNumId w:val="22"/>
  </w:num>
  <w:num w:numId="21">
    <w:abstractNumId w:val="21"/>
  </w:num>
  <w:num w:numId="22">
    <w:abstractNumId w:val="17"/>
  </w:num>
  <w:num w:numId="23">
    <w:abstractNumId w:val="1"/>
  </w:num>
  <w:num w:numId="24">
    <w:abstractNumId w:val="18"/>
  </w:num>
  <w:num w:numId="25">
    <w:abstractNumId w:val="13"/>
  </w:num>
  <w:num w:numId="26">
    <w:abstractNumId w:val="5"/>
  </w:num>
  <w:num w:numId="27">
    <w:abstractNumId w:val="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94"/>
    <w:rsid w:val="00005ECA"/>
    <w:rsid w:val="0001781C"/>
    <w:rsid w:val="00024FEE"/>
    <w:rsid w:val="00033B1E"/>
    <w:rsid w:val="00035AE2"/>
    <w:rsid w:val="00087B03"/>
    <w:rsid w:val="000A30BC"/>
    <w:rsid w:val="000C3BF4"/>
    <w:rsid w:val="000C5524"/>
    <w:rsid w:val="00106CC7"/>
    <w:rsid w:val="00122D9B"/>
    <w:rsid w:val="00134E8F"/>
    <w:rsid w:val="0014237B"/>
    <w:rsid w:val="001646F8"/>
    <w:rsid w:val="001905AC"/>
    <w:rsid w:val="001971B6"/>
    <w:rsid w:val="001A7818"/>
    <w:rsid w:val="001B6677"/>
    <w:rsid w:val="001B744E"/>
    <w:rsid w:val="001C15C7"/>
    <w:rsid w:val="001E1E23"/>
    <w:rsid w:val="001E5047"/>
    <w:rsid w:val="001E7FF4"/>
    <w:rsid w:val="001F03B2"/>
    <w:rsid w:val="00211B91"/>
    <w:rsid w:val="00221516"/>
    <w:rsid w:val="0022403C"/>
    <w:rsid w:val="00224626"/>
    <w:rsid w:val="0023794F"/>
    <w:rsid w:val="002434EC"/>
    <w:rsid w:val="00271F6F"/>
    <w:rsid w:val="00280A40"/>
    <w:rsid w:val="002A38BB"/>
    <w:rsid w:val="002B7128"/>
    <w:rsid w:val="002C7A48"/>
    <w:rsid w:val="002D0B04"/>
    <w:rsid w:val="002D3BE3"/>
    <w:rsid w:val="002D7F39"/>
    <w:rsid w:val="002F0D08"/>
    <w:rsid w:val="00333664"/>
    <w:rsid w:val="00362F14"/>
    <w:rsid w:val="003646E4"/>
    <w:rsid w:val="00367010"/>
    <w:rsid w:val="0037688F"/>
    <w:rsid w:val="00385E9E"/>
    <w:rsid w:val="003A4415"/>
    <w:rsid w:val="003D3AF3"/>
    <w:rsid w:val="003D422A"/>
    <w:rsid w:val="003D49C3"/>
    <w:rsid w:val="003F0C02"/>
    <w:rsid w:val="00402E5A"/>
    <w:rsid w:val="0041209C"/>
    <w:rsid w:val="0042249B"/>
    <w:rsid w:val="0042768F"/>
    <w:rsid w:val="00431D09"/>
    <w:rsid w:val="00433520"/>
    <w:rsid w:val="0043425E"/>
    <w:rsid w:val="00451387"/>
    <w:rsid w:val="00454C9F"/>
    <w:rsid w:val="00454FCF"/>
    <w:rsid w:val="00461D23"/>
    <w:rsid w:val="0046308B"/>
    <w:rsid w:val="00466C47"/>
    <w:rsid w:val="00467F8D"/>
    <w:rsid w:val="00480282"/>
    <w:rsid w:val="00481B8A"/>
    <w:rsid w:val="00496D5F"/>
    <w:rsid w:val="004A0F5A"/>
    <w:rsid w:val="004A2C35"/>
    <w:rsid w:val="004A3B3C"/>
    <w:rsid w:val="004B57D6"/>
    <w:rsid w:val="004B734E"/>
    <w:rsid w:val="004C3522"/>
    <w:rsid w:val="004F65DC"/>
    <w:rsid w:val="004F6FDA"/>
    <w:rsid w:val="00505F79"/>
    <w:rsid w:val="00526707"/>
    <w:rsid w:val="00527BB2"/>
    <w:rsid w:val="0053224A"/>
    <w:rsid w:val="00554175"/>
    <w:rsid w:val="00555ACE"/>
    <w:rsid w:val="0056072D"/>
    <w:rsid w:val="0056520B"/>
    <w:rsid w:val="00567370"/>
    <w:rsid w:val="005A245E"/>
    <w:rsid w:val="005D0179"/>
    <w:rsid w:val="005D753B"/>
    <w:rsid w:val="005F3891"/>
    <w:rsid w:val="00600E67"/>
    <w:rsid w:val="00604195"/>
    <w:rsid w:val="00605442"/>
    <w:rsid w:val="00607B5A"/>
    <w:rsid w:val="00611289"/>
    <w:rsid w:val="00640B6C"/>
    <w:rsid w:val="00647469"/>
    <w:rsid w:val="006546A3"/>
    <w:rsid w:val="0065483F"/>
    <w:rsid w:val="00665B62"/>
    <w:rsid w:val="0067398A"/>
    <w:rsid w:val="00680B8A"/>
    <w:rsid w:val="0069719B"/>
    <w:rsid w:val="006A27AB"/>
    <w:rsid w:val="006B24BE"/>
    <w:rsid w:val="006B37C5"/>
    <w:rsid w:val="006B3C87"/>
    <w:rsid w:val="006C20C5"/>
    <w:rsid w:val="006C3AE9"/>
    <w:rsid w:val="006C772F"/>
    <w:rsid w:val="006D1CFE"/>
    <w:rsid w:val="006D6F5E"/>
    <w:rsid w:val="00725B3C"/>
    <w:rsid w:val="00737CC3"/>
    <w:rsid w:val="007436A8"/>
    <w:rsid w:val="007479AB"/>
    <w:rsid w:val="007532D4"/>
    <w:rsid w:val="00763248"/>
    <w:rsid w:val="0077645C"/>
    <w:rsid w:val="0078204F"/>
    <w:rsid w:val="007A144C"/>
    <w:rsid w:val="007A38D5"/>
    <w:rsid w:val="007B2E29"/>
    <w:rsid w:val="007B63ED"/>
    <w:rsid w:val="007C62B4"/>
    <w:rsid w:val="007C7FB9"/>
    <w:rsid w:val="007E0F71"/>
    <w:rsid w:val="007F41A6"/>
    <w:rsid w:val="00800F55"/>
    <w:rsid w:val="00826448"/>
    <w:rsid w:val="008350E6"/>
    <w:rsid w:val="008353E7"/>
    <w:rsid w:val="008509CF"/>
    <w:rsid w:val="008677A9"/>
    <w:rsid w:val="008914E7"/>
    <w:rsid w:val="00892079"/>
    <w:rsid w:val="008A284F"/>
    <w:rsid w:val="008A7CF6"/>
    <w:rsid w:val="008A7E88"/>
    <w:rsid w:val="008B06DB"/>
    <w:rsid w:val="008C00E5"/>
    <w:rsid w:val="008C308E"/>
    <w:rsid w:val="008E5213"/>
    <w:rsid w:val="0090330B"/>
    <w:rsid w:val="00915215"/>
    <w:rsid w:val="0091761E"/>
    <w:rsid w:val="0093421C"/>
    <w:rsid w:val="00947523"/>
    <w:rsid w:val="00984EAD"/>
    <w:rsid w:val="009904B9"/>
    <w:rsid w:val="009927FB"/>
    <w:rsid w:val="009B1ADD"/>
    <w:rsid w:val="009C15A4"/>
    <w:rsid w:val="009D0089"/>
    <w:rsid w:val="009F4963"/>
    <w:rsid w:val="00A120A0"/>
    <w:rsid w:val="00A26551"/>
    <w:rsid w:val="00A53214"/>
    <w:rsid w:val="00A5680E"/>
    <w:rsid w:val="00A63D63"/>
    <w:rsid w:val="00A660C0"/>
    <w:rsid w:val="00A713B0"/>
    <w:rsid w:val="00A8203C"/>
    <w:rsid w:val="00A83AF5"/>
    <w:rsid w:val="00A84BE3"/>
    <w:rsid w:val="00A923F7"/>
    <w:rsid w:val="00AA2F30"/>
    <w:rsid w:val="00AA781E"/>
    <w:rsid w:val="00AC0DF6"/>
    <w:rsid w:val="00AD4537"/>
    <w:rsid w:val="00AD6410"/>
    <w:rsid w:val="00B019B5"/>
    <w:rsid w:val="00B064E3"/>
    <w:rsid w:val="00B06A59"/>
    <w:rsid w:val="00B12182"/>
    <w:rsid w:val="00B12F9F"/>
    <w:rsid w:val="00B161E4"/>
    <w:rsid w:val="00B4196F"/>
    <w:rsid w:val="00B42471"/>
    <w:rsid w:val="00BA6B3E"/>
    <w:rsid w:val="00BB7D9D"/>
    <w:rsid w:val="00BC4773"/>
    <w:rsid w:val="00BD2FD5"/>
    <w:rsid w:val="00C14A1A"/>
    <w:rsid w:val="00C1580D"/>
    <w:rsid w:val="00C26573"/>
    <w:rsid w:val="00C34F70"/>
    <w:rsid w:val="00C60942"/>
    <w:rsid w:val="00C673C5"/>
    <w:rsid w:val="00C83935"/>
    <w:rsid w:val="00C94A38"/>
    <w:rsid w:val="00CB298A"/>
    <w:rsid w:val="00CC5477"/>
    <w:rsid w:val="00CD5E8B"/>
    <w:rsid w:val="00CD74AD"/>
    <w:rsid w:val="00CE567A"/>
    <w:rsid w:val="00CF3455"/>
    <w:rsid w:val="00D052A8"/>
    <w:rsid w:val="00D1205F"/>
    <w:rsid w:val="00D16033"/>
    <w:rsid w:val="00D32A18"/>
    <w:rsid w:val="00D466AA"/>
    <w:rsid w:val="00D60B48"/>
    <w:rsid w:val="00D816E0"/>
    <w:rsid w:val="00D91496"/>
    <w:rsid w:val="00DA51F8"/>
    <w:rsid w:val="00DC0118"/>
    <w:rsid w:val="00DD0F64"/>
    <w:rsid w:val="00DE638A"/>
    <w:rsid w:val="00E0127F"/>
    <w:rsid w:val="00E1481F"/>
    <w:rsid w:val="00E26F31"/>
    <w:rsid w:val="00E40862"/>
    <w:rsid w:val="00E46329"/>
    <w:rsid w:val="00E50048"/>
    <w:rsid w:val="00E64E61"/>
    <w:rsid w:val="00E7468B"/>
    <w:rsid w:val="00E9325E"/>
    <w:rsid w:val="00EB6CCA"/>
    <w:rsid w:val="00EC2227"/>
    <w:rsid w:val="00EF0511"/>
    <w:rsid w:val="00EF5B94"/>
    <w:rsid w:val="00F0129F"/>
    <w:rsid w:val="00F10BB5"/>
    <w:rsid w:val="00F12FB8"/>
    <w:rsid w:val="00F20677"/>
    <w:rsid w:val="00F20E3E"/>
    <w:rsid w:val="00F340BA"/>
    <w:rsid w:val="00F37F1A"/>
    <w:rsid w:val="00F512A7"/>
    <w:rsid w:val="00F5284C"/>
    <w:rsid w:val="00F862DF"/>
    <w:rsid w:val="00F90336"/>
    <w:rsid w:val="00F90C83"/>
    <w:rsid w:val="00F91A07"/>
    <w:rsid w:val="00FC3B19"/>
    <w:rsid w:val="00FD64FA"/>
    <w:rsid w:val="00FE0700"/>
    <w:rsid w:val="00FE1204"/>
    <w:rsid w:val="00FE1BD9"/>
    <w:rsid w:val="00FF028A"/>
    <w:rsid w:val="00FF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284F"/>
    <w:rPr>
      <w:rFonts w:ascii="Tahoma" w:hAnsi="Tahoma" w:cs="Tahoma"/>
      <w:sz w:val="16"/>
      <w:szCs w:val="16"/>
    </w:rPr>
  </w:style>
  <w:style w:type="paragraph" w:styleId="DocumentMap">
    <w:name w:val="Document Map"/>
    <w:basedOn w:val="Normal"/>
    <w:semiHidden/>
    <w:rsid w:val="008A7CF6"/>
    <w:pPr>
      <w:shd w:val="clear" w:color="auto" w:fill="000080"/>
    </w:pPr>
    <w:rPr>
      <w:rFonts w:ascii="Tahoma" w:hAnsi="Tahoma" w:cs="Tahoma"/>
      <w:sz w:val="20"/>
      <w:szCs w:val="20"/>
    </w:rPr>
  </w:style>
  <w:style w:type="paragraph" w:styleId="Header">
    <w:name w:val="header"/>
    <w:basedOn w:val="Normal"/>
    <w:rsid w:val="007B63ED"/>
    <w:pPr>
      <w:tabs>
        <w:tab w:val="center" w:pos="4320"/>
        <w:tab w:val="right" w:pos="8640"/>
      </w:tabs>
    </w:pPr>
  </w:style>
  <w:style w:type="paragraph" w:styleId="Footer">
    <w:name w:val="footer"/>
    <w:basedOn w:val="Normal"/>
    <w:link w:val="FooterChar"/>
    <w:uiPriority w:val="99"/>
    <w:rsid w:val="007B63ED"/>
    <w:pPr>
      <w:tabs>
        <w:tab w:val="center" w:pos="4320"/>
        <w:tab w:val="right" w:pos="8640"/>
      </w:tabs>
    </w:pPr>
  </w:style>
  <w:style w:type="character" w:styleId="PageNumber">
    <w:name w:val="page number"/>
    <w:basedOn w:val="DefaultParagraphFont"/>
    <w:rsid w:val="00FE1204"/>
  </w:style>
  <w:style w:type="paragraph" w:styleId="PlainText">
    <w:name w:val="Plain Text"/>
    <w:basedOn w:val="Normal"/>
    <w:link w:val="PlainTextChar"/>
    <w:uiPriority w:val="99"/>
    <w:unhideWhenUsed/>
    <w:rsid w:val="00C83935"/>
    <w:rPr>
      <w:rFonts w:eastAsia="Calibri"/>
      <w:color w:val="000000"/>
    </w:rPr>
  </w:style>
  <w:style w:type="character" w:customStyle="1" w:styleId="PlainTextChar">
    <w:name w:val="Plain Text Char"/>
    <w:link w:val="PlainText"/>
    <w:uiPriority w:val="99"/>
    <w:rsid w:val="00C83935"/>
    <w:rPr>
      <w:rFonts w:eastAsia="Calibri"/>
      <w:color w:val="000000"/>
      <w:sz w:val="24"/>
      <w:szCs w:val="24"/>
    </w:rPr>
  </w:style>
  <w:style w:type="character" w:styleId="CommentReference">
    <w:name w:val="annotation reference"/>
    <w:rsid w:val="00E9325E"/>
    <w:rPr>
      <w:sz w:val="16"/>
      <w:szCs w:val="16"/>
    </w:rPr>
  </w:style>
  <w:style w:type="paragraph" w:styleId="CommentText">
    <w:name w:val="annotation text"/>
    <w:basedOn w:val="Normal"/>
    <w:link w:val="CommentTextChar"/>
    <w:rsid w:val="00E9325E"/>
    <w:rPr>
      <w:sz w:val="20"/>
      <w:szCs w:val="20"/>
    </w:rPr>
  </w:style>
  <w:style w:type="character" w:customStyle="1" w:styleId="CommentTextChar">
    <w:name w:val="Comment Text Char"/>
    <w:basedOn w:val="DefaultParagraphFont"/>
    <w:link w:val="CommentText"/>
    <w:rsid w:val="00E9325E"/>
  </w:style>
  <w:style w:type="paragraph" w:styleId="CommentSubject">
    <w:name w:val="annotation subject"/>
    <w:basedOn w:val="CommentText"/>
    <w:next w:val="CommentText"/>
    <w:link w:val="CommentSubjectChar"/>
    <w:rsid w:val="00E9325E"/>
    <w:rPr>
      <w:b/>
      <w:bCs/>
    </w:rPr>
  </w:style>
  <w:style w:type="character" w:customStyle="1" w:styleId="CommentSubjectChar">
    <w:name w:val="Comment Subject Char"/>
    <w:link w:val="CommentSubject"/>
    <w:rsid w:val="00E9325E"/>
    <w:rPr>
      <w:b/>
      <w:bCs/>
    </w:rPr>
  </w:style>
  <w:style w:type="character" w:customStyle="1" w:styleId="FooterChar">
    <w:name w:val="Footer Char"/>
    <w:link w:val="Footer"/>
    <w:uiPriority w:val="99"/>
    <w:rsid w:val="006D6F5E"/>
    <w:rPr>
      <w:sz w:val="24"/>
      <w:szCs w:val="24"/>
    </w:rPr>
  </w:style>
  <w:style w:type="paragraph" w:styleId="FootnoteText">
    <w:name w:val="footnote text"/>
    <w:basedOn w:val="Normal"/>
    <w:link w:val="FootnoteTextChar"/>
    <w:uiPriority w:val="99"/>
    <w:rsid w:val="001B6677"/>
    <w:rPr>
      <w:sz w:val="20"/>
      <w:szCs w:val="20"/>
    </w:rPr>
  </w:style>
  <w:style w:type="character" w:customStyle="1" w:styleId="FootnoteTextChar">
    <w:name w:val="Footnote Text Char"/>
    <w:basedOn w:val="DefaultParagraphFont"/>
    <w:link w:val="FootnoteText"/>
    <w:uiPriority w:val="99"/>
    <w:rsid w:val="001B6677"/>
  </w:style>
  <w:style w:type="character" w:styleId="FootnoteReference">
    <w:name w:val="footnote reference"/>
    <w:rsid w:val="001B6677"/>
    <w:rPr>
      <w:vertAlign w:val="superscript"/>
    </w:rPr>
  </w:style>
  <w:style w:type="paragraph" w:styleId="ListParagraph">
    <w:name w:val="List Paragraph"/>
    <w:basedOn w:val="Normal"/>
    <w:uiPriority w:val="34"/>
    <w:qFormat/>
    <w:rsid w:val="00A660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284F"/>
    <w:rPr>
      <w:rFonts w:ascii="Tahoma" w:hAnsi="Tahoma" w:cs="Tahoma"/>
      <w:sz w:val="16"/>
      <w:szCs w:val="16"/>
    </w:rPr>
  </w:style>
  <w:style w:type="paragraph" w:styleId="DocumentMap">
    <w:name w:val="Document Map"/>
    <w:basedOn w:val="Normal"/>
    <w:semiHidden/>
    <w:rsid w:val="008A7CF6"/>
    <w:pPr>
      <w:shd w:val="clear" w:color="auto" w:fill="000080"/>
    </w:pPr>
    <w:rPr>
      <w:rFonts w:ascii="Tahoma" w:hAnsi="Tahoma" w:cs="Tahoma"/>
      <w:sz w:val="20"/>
      <w:szCs w:val="20"/>
    </w:rPr>
  </w:style>
  <w:style w:type="paragraph" w:styleId="Header">
    <w:name w:val="header"/>
    <w:basedOn w:val="Normal"/>
    <w:rsid w:val="007B63ED"/>
    <w:pPr>
      <w:tabs>
        <w:tab w:val="center" w:pos="4320"/>
        <w:tab w:val="right" w:pos="8640"/>
      </w:tabs>
    </w:pPr>
  </w:style>
  <w:style w:type="paragraph" w:styleId="Footer">
    <w:name w:val="footer"/>
    <w:basedOn w:val="Normal"/>
    <w:link w:val="FooterChar"/>
    <w:uiPriority w:val="99"/>
    <w:rsid w:val="007B63ED"/>
    <w:pPr>
      <w:tabs>
        <w:tab w:val="center" w:pos="4320"/>
        <w:tab w:val="right" w:pos="8640"/>
      </w:tabs>
    </w:pPr>
  </w:style>
  <w:style w:type="character" w:styleId="PageNumber">
    <w:name w:val="page number"/>
    <w:basedOn w:val="DefaultParagraphFont"/>
    <w:rsid w:val="00FE1204"/>
  </w:style>
  <w:style w:type="paragraph" w:styleId="PlainText">
    <w:name w:val="Plain Text"/>
    <w:basedOn w:val="Normal"/>
    <w:link w:val="PlainTextChar"/>
    <w:uiPriority w:val="99"/>
    <w:unhideWhenUsed/>
    <w:rsid w:val="00C83935"/>
    <w:rPr>
      <w:rFonts w:eastAsia="Calibri"/>
      <w:color w:val="000000"/>
    </w:rPr>
  </w:style>
  <w:style w:type="character" w:customStyle="1" w:styleId="PlainTextChar">
    <w:name w:val="Plain Text Char"/>
    <w:link w:val="PlainText"/>
    <w:uiPriority w:val="99"/>
    <w:rsid w:val="00C83935"/>
    <w:rPr>
      <w:rFonts w:eastAsia="Calibri"/>
      <w:color w:val="000000"/>
      <w:sz w:val="24"/>
      <w:szCs w:val="24"/>
    </w:rPr>
  </w:style>
  <w:style w:type="character" w:styleId="CommentReference">
    <w:name w:val="annotation reference"/>
    <w:rsid w:val="00E9325E"/>
    <w:rPr>
      <w:sz w:val="16"/>
      <w:szCs w:val="16"/>
    </w:rPr>
  </w:style>
  <w:style w:type="paragraph" w:styleId="CommentText">
    <w:name w:val="annotation text"/>
    <w:basedOn w:val="Normal"/>
    <w:link w:val="CommentTextChar"/>
    <w:rsid w:val="00E9325E"/>
    <w:rPr>
      <w:sz w:val="20"/>
      <w:szCs w:val="20"/>
    </w:rPr>
  </w:style>
  <w:style w:type="character" w:customStyle="1" w:styleId="CommentTextChar">
    <w:name w:val="Comment Text Char"/>
    <w:basedOn w:val="DefaultParagraphFont"/>
    <w:link w:val="CommentText"/>
    <w:rsid w:val="00E9325E"/>
  </w:style>
  <w:style w:type="paragraph" w:styleId="CommentSubject">
    <w:name w:val="annotation subject"/>
    <w:basedOn w:val="CommentText"/>
    <w:next w:val="CommentText"/>
    <w:link w:val="CommentSubjectChar"/>
    <w:rsid w:val="00E9325E"/>
    <w:rPr>
      <w:b/>
      <w:bCs/>
    </w:rPr>
  </w:style>
  <w:style w:type="character" w:customStyle="1" w:styleId="CommentSubjectChar">
    <w:name w:val="Comment Subject Char"/>
    <w:link w:val="CommentSubject"/>
    <w:rsid w:val="00E9325E"/>
    <w:rPr>
      <w:b/>
      <w:bCs/>
    </w:rPr>
  </w:style>
  <w:style w:type="character" w:customStyle="1" w:styleId="FooterChar">
    <w:name w:val="Footer Char"/>
    <w:link w:val="Footer"/>
    <w:uiPriority w:val="99"/>
    <w:rsid w:val="006D6F5E"/>
    <w:rPr>
      <w:sz w:val="24"/>
      <w:szCs w:val="24"/>
    </w:rPr>
  </w:style>
  <w:style w:type="paragraph" w:styleId="FootnoteText">
    <w:name w:val="footnote text"/>
    <w:basedOn w:val="Normal"/>
    <w:link w:val="FootnoteTextChar"/>
    <w:uiPriority w:val="99"/>
    <w:rsid w:val="001B6677"/>
    <w:rPr>
      <w:sz w:val="20"/>
      <w:szCs w:val="20"/>
    </w:rPr>
  </w:style>
  <w:style w:type="character" w:customStyle="1" w:styleId="FootnoteTextChar">
    <w:name w:val="Footnote Text Char"/>
    <w:basedOn w:val="DefaultParagraphFont"/>
    <w:link w:val="FootnoteText"/>
    <w:uiPriority w:val="99"/>
    <w:rsid w:val="001B6677"/>
  </w:style>
  <w:style w:type="character" w:styleId="FootnoteReference">
    <w:name w:val="footnote reference"/>
    <w:rsid w:val="001B6677"/>
    <w:rPr>
      <w:vertAlign w:val="superscript"/>
    </w:rPr>
  </w:style>
  <w:style w:type="paragraph" w:styleId="ListParagraph">
    <w:name w:val="List Paragraph"/>
    <w:basedOn w:val="Normal"/>
    <w:uiPriority w:val="34"/>
    <w:qFormat/>
    <w:rsid w:val="00A660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3122">
      <w:bodyDiv w:val="1"/>
      <w:marLeft w:val="0"/>
      <w:marRight w:val="0"/>
      <w:marTop w:val="0"/>
      <w:marBottom w:val="0"/>
      <w:divBdr>
        <w:top w:val="none" w:sz="0" w:space="0" w:color="auto"/>
        <w:left w:val="none" w:sz="0" w:space="0" w:color="auto"/>
        <w:bottom w:val="none" w:sz="0" w:space="0" w:color="auto"/>
        <w:right w:val="none" w:sz="0" w:space="0" w:color="auto"/>
      </w:divBdr>
    </w:div>
    <w:div w:id="52849468">
      <w:bodyDiv w:val="1"/>
      <w:marLeft w:val="0"/>
      <w:marRight w:val="0"/>
      <w:marTop w:val="0"/>
      <w:marBottom w:val="0"/>
      <w:divBdr>
        <w:top w:val="none" w:sz="0" w:space="0" w:color="auto"/>
        <w:left w:val="none" w:sz="0" w:space="0" w:color="auto"/>
        <w:bottom w:val="none" w:sz="0" w:space="0" w:color="auto"/>
        <w:right w:val="none" w:sz="0" w:space="0" w:color="auto"/>
      </w:divBdr>
    </w:div>
    <w:div w:id="140852017">
      <w:bodyDiv w:val="1"/>
      <w:marLeft w:val="0"/>
      <w:marRight w:val="0"/>
      <w:marTop w:val="0"/>
      <w:marBottom w:val="0"/>
      <w:divBdr>
        <w:top w:val="none" w:sz="0" w:space="0" w:color="auto"/>
        <w:left w:val="none" w:sz="0" w:space="0" w:color="auto"/>
        <w:bottom w:val="none" w:sz="0" w:space="0" w:color="auto"/>
        <w:right w:val="none" w:sz="0" w:space="0" w:color="auto"/>
      </w:divBdr>
    </w:div>
    <w:div w:id="208764790">
      <w:bodyDiv w:val="1"/>
      <w:marLeft w:val="0"/>
      <w:marRight w:val="0"/>
      <w:marTop w:val="0"/>
      <w:marBottom w:val="0"/>
      <w:divBdr>
        <w:top w:val="none" w:sz="0" w:space="0" w:color="auto"/>
        <w:left w:val="none" w:sz="0" w:space="0" w:color="auto"/>
        <w:bottom w:val="none" w:sz="0" w:space="0" w:color="auto"/>
        <w:right w:val="none" w:sz="0" w:space="0" w:color="auto"/>
      </w:divBdr>
    </w:div>
    <w:div w:id="343174443">
      <w:bodyDiv w:val="1"/>
      <w:marLeft w:val="0"/>
      <w:marRight w:val="0"/>
      <w:marTop w:val="0"/>
      <w:marBottom w:val="0"/>
      <w:divBdr>
        <w:top w:val="none" w:sz="0" w:space="0" w:color="auto"/>
        <w:left w:val="none" w:sz="0" w:space="0" w:color="auto"/>
        <w:bottom w:val="none" w:sz="0" w:space="0" w:color="auto"/>
        <w:right w:val="none" w:sz="0" w:space="0" w:color="auto"/>
      </w:divBdr>
    </w:div>
    <w:div w:id="453327697">
      <w:bodyDiv w:val="1"/>
      <w:marLeft w:val="0"/>
      <w:marRight w:val="0"/>
      <w:marTop w:val="0"/>
      <w:marBottom w:val="0"/>
      <w:divBdr>
        <w:top w:val="none" w:sz="0" w:space="0" w:color="auto"/>
        <w:left w:val="none" w:sz="0" w:space="0" w:color="auto"/>
        <w:bottom w:val="none" w:sz="0" w:space="0" w:color="auto"/>
        <w:right w:val="none" w:sz="0" w:space="0" w:color="auto"/>
      </w:divBdr>
    </w:div>
    <w:div w:id="785806492">
      <w:bodyDiv w:val="1"/>
      <w:marLeft w:val="0"/>
      <w:marRight w:val="0"/>
      <w:marTop w:val="0"/>
      <w:marBottom w:val="0"/>
      <w:divBdr>
        <w:top w:val="none" w:sz="0" w:space="0" w:color="auto"/>
        <w:left w:val="none" w:sz="0" w:space="0" w:color="auto"/>
        <w:bottom w:val="none" w:sz="0" w:space="0" w:color="auto"/>
        <w:right w:val="none" w:sz="0" w:space="0" w:color="auto"/>
      </w:divBdr>
    </w:div>
    <w:div w:id="12955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8546E-08BE-448A-96E0-E7E8AA70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General Note:</vt:lpstr>
    </vt:vector>
  </TitlesOfParts>
  <Company>Social Security Administration</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Note:</dc:title>
  <dc:creator>055019</dc:creator>
  <cp:lastModifiedBy>889123</cp:lastModifiedBy>
  <cp:revision>2</cp:revision>
  <cp:lastPrinted>2012-05-09T12:14:00Z</cp:lastPrinted>
  <dcterms:created xsi:type="dcterms:W3CDTF">2015-06-29T10:20:00Z</dcterms:created>
  <dcterms:modified xsi:type="dcterms:W3CDTF">2015-06-29T10:20:00Z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