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8C" w:rsidRDefault="007138C1" w:rsidP="007138C1">
      <w:pPr>
        <w:pStyle w:val="MarkforAttachment"/>
        <w:widowControl w:val="0"/>
        <w:tabs>
          <w:tab w:val="clear" w:pos="432"/>
        </w:tabs>
        <w:autoSpaceDE w:val="0"/>
        <w:autoSpaceDN w:val="0"/>
        <w:adjustRightInd w:val="0"/>
        <w:rPr>
          <w:rFonts w:ascii="Arial" w:hAnsi="Arial" w:cs="Arial"/>
          <w:caps w:val="0"/>
          <w:szCs w:val="24"/>
        </w:rPr>
      </w:pPr>
      <w:r w:rsidRPr="00E57983">
        <w:rPr>
          <w:rFonts w:ascii="Arial" w:hAnsi="Arial" w:cs="Arial"/>
          <w:caps w:val="0"/>
          <w:szCs w:val="24"/>
        </w:rPr>
        <w:t xml:space="preserve">SUPPORTING STATEMENT </w:t>
      </w:r>
    </w:p>
    <w:p w:rsidR="007138C1" w:rsidRPr="00E57983" w:rsidRDefault="007138C1" w:rsidP="007138C1">
      <w:pPr>
        <w:pStyle w:val="MarkforAttachment"/>
        <w:widowControl w:val="0"/>
        <w:tabs>
          <w:tab w:val="clear" w:pos="432"/>
        </w:tabs>
        <w:autoSpaceDE w:val="0"/>
        <w:autoSpaceDN w:val="0"/>
        <w:adjustRightInd w:val="0"/>
        <w:rPr>
          <w:rFonts w:ascii="Arial" w:hAnsi="Arial" w:cs="Arial"/>
          <w:caps w:val="0"/>
          <w:szCs w:val="24"/>
        </w:rPr>
      </w:pPr>
      <w:r w:rsidRPr="00E57983">
        <w:rPr>
          <w:rFonts w:ascii="Arial" w:hAnsi="Arial" w:cs="Arial"/>
          <w:caps w:val="0"/>
          <w:szCs w:val="24"/>
        </w:rPr>
        <w:t xml:space="preserve">FOR </w:t>
      </w:r>
      <w:r w:rsidR="00ED388C">
        <w:rPr>
          <w:rFonts w:ascii="Arial" w:hAnsi="Arial" w:cs="Arial"/>
          <w:caps w:val="0"/>
          <w:szCs w:val="24"/>
        </w:rPr>
        <w:t xml:space="preserve">EMERGENCY </w:t>
      </w:r>
      <w:r w:rsidRPr="00E57983">
        <w:rPr>
          <w:rFonts w:ascii="Arial" w:hAnsi="Arial" w:cs="Arial"/>
          <w:caps w:val="0"/>
          <w:szCs w:val="24"/>
        </w:rPr>
        <w:t xml:space="preserve">REQUEST FOR OMB APPROVAL OF </w:t>
      </w:r>
    </w:p>
    <w:p w:rsidR="007138C1" w:rsidRPr="00E57983" w:rsidRDefault="007138C1" w:rsidP="007138C1">
      <w:pPr>
        <w:pStyle w:val="MarkforAttachment"/>
        <w:widowControl w:val="0"/>
        <w:tabs>
          <w:tab w:val="clear" w:pos="432"/>
        </w:tabs>
        <w:autoSpaceDE w:val="0"/>
        <w:autoSpaceDN w:val="0"/>
        <w:adjustRightInd w:val="0"/>
        <w:rPr>
          <w:rFonts w:ascii="Arial" w:hAnsi="Arial" w:cs="Arial"/>
          <w:caps w:val="0"/>
          <w:szCs w:val="24"/>
        </w:rPr>
      </w:pPr>
      <w:r w:rsidRPr="00E57983">
        <w:rPr>
          <w:rFonts w:ascii="Arial" w:hAnsi="Arial" w:cs="Arial"/>
          <w:caps w:val="0"/>
          <w:szCs w:val="24"/>
        </w:rPr>
        <w:t>NEW INFORMATION COLLECTION</w:t>
      </w:r>
    </w:p>
    <w:p w:rsidR="007138C1" w:rsidRPr="00E57983" w:rsidRDefault="007138C1" w:rsidP="007138C1">
      <w:pPr>
        <w:jc w:val="center"/>
        <w:rPr>
          <w:rFonts w:cs="Arial"/>
          <w:b/>
        </w:rPr>
      </w:pPr>
      <w:r w:rsidRPr="00E57983">
        <w:rPr>
          <w:rFonts w:cs="Arial"/>
          <w:b/>
        </w:rPr>
        <w:t>UNDER THE PAPERWORK REDUCTION ACT OF 1995</w:t>
      </w:r>
    </w:p>
    <w:p w:rsidR="007138C1" w:rsidRPr="00E57983" w:rsidRDefault="007138C1" w:rsidP="007138C1">
      <w:pPr>
        <w:rPr>
          <w:rFonts w:cs="Arial"/>
        </w:rPr>
      </w:pPr>
    </w:p>
    <w:p w:rsidR="007138C1" w:rsidRPr="00E57983" w:rsidRDefault="007138C1" w:rsidP="007138C1">
      <w:pPr>
        <w:jc w:val="center"/>
        <w:rPr>
          <w:rFonts w:cs="Arial"/>
          <w:b/>
        </w:rPr>
      </w:pPr>
      <w:r w:rsidRPr="00E57983">
        <w:rPr>
          <w:rFonts w:cs="Arial"/>
          <w:b/>
        </w:rPr>
        <w:t xml:space="preserve">TABLE OF CONTENTS </w:t>
      </w:r>
    </w:p>
    <w:p w:rsidR="007138C1" w:rsidRPr="00E57983" w:rsidRDefault="007138C1" w:rsidP="007138C1">
      <w:pPr>
        <w:pBdr>
          <w:bottom w:val="single" w:sz="4" w:space="1" w:color="auto"/>
        </w:pBdr>
        <w:jc w:val="center"/>
        <w:rPr>
          <w:rFonts w:cs="Arial"/>
          <w:b/>
        </w:rPr>
      </w:pPr>
    </w:p>
    <w:p w:rsidR="007138C1" w:rsidRPr="00E57983" w:rsidRDefault="007138C1" w:rsidP="007138C1">
      <w:pPr>
        <w:jc w:val="center"/>
        <w:rPr>
          <w:rFonts w:cs="Arial"/>
          <w:b/>
        </w:rPr>
      </w:pPr>
    </w:p>
    <w:p w:rsidR="007138C1" w:rsidRPr="00E57983" w:rsidRDefault="007138C1" w:rsidP="007138C1">
      <w:pPr>
        <w:pStyle w:val="font5"/>
        <w:widowControl w:val="0"/>
        <w:autoSpaceDE w:val="0"/>
        <w:autoSpaceDN w:val="0"/>
        <w:adjustRightInd w:val="0"/>
        <w:spacing w:before="0" w:after="0"/>
        <w:rPr>
          <w:rFonts w:cs="Arial"/>
          <w:sz w:val="24"/>
          <w:szCs w:val="24"/>
        </w:rPr>
      </w:pPr>
      <w:r w:rsidRPr="00E57983">
        <w:rPr>
          <w:rFonts w:cs="Arial"/>
          <w:sz w:val="24"/>
          <w:szCs w:val="24"/>
        </w:rPr>
        <w:t>SECTION</w:t>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r>
      <w:r w:rsidRPr="00E57983">
        <w:rPr>
          <w:rFonts w:cs="Arial"/>
          <w:sz w:val="24"/>
          <w:szCs w:val="24"/>
        </w:rPr>
        <w:tab/>
        <w:t>PAGE</w:t>
      </w:r>
    </w:p>
    <w:p w:rsidR="007138C1" w:rsidRPr="00E467E3" w:rsidRDefault="007138C1" w:rsidP="007138C1">
      <w:pPr>
        <w:rPr>
          <w:rFonts w:cs="Arial"/>
        </w:rPr>
      </w:pPr>
      <w:bookmarkStart w:id="0" w:name="_GoBack"/>
      <w:bookmarkEnd w:id="0"/>
    </w:p>
    <w:p w:rsidR="007138C1" w:rsidRPr="00564007" w:rsidRDefault="007138C1" w:rsidP="007138C1">
      <w:pPr>
        <w:pStyle w:val="TOC1"/>
        <w:rPr>
          <w:rFonts w:ascii="Arial" w:hAnsi="Arial" w:cs="Arial"/>
          <w:b w:val="0"/>
          <w:bCs/>
          <w:szCs w:val="22"/>
        </w:rPr>
      </w:pPr>
      <w:r w:rsidRPr="00E467E3">
        <w:rPr>
          <w:rFonts w:ascii="Arial" w:hAnsi="Arial" w:cs="Arial"/>
          <w:sz w:val="24"/>
        </w:rPr>
        <w:fldChar w:fldCharType="begin"/>
      </w:r>
      <w:r w:rsidRPr="00E467E3">
        <w:rPr>
          <w:rFonts w:ascii="Arial" w:hAnsi="Arial" w:cs="Arial"/>
          <w:sz w:val="24"/>
        </w:rPr>
        <w:instrText xml:space="preserve"> TOC \o "1-3" \h \z \u </w:instrText>
      </w:r>
      <w:r w:rsidRPr="00E467E3">
        <w:rPr>
          <w:rFonts w:ascii="Arial" w:hAnsi="Arial" w:cs="Arial"/>
          <w:sz w:val="24"/>
        </w:rPr>
        <w:fldChar w:fldCharType="separate"/>
      </w:r>
      <w:hyperlink w:anchor="_Toc412453213" w:history="1">
        <w:r w:rsidRPr="00E467E3">
          <w:rPr>
            <w:rStyle w:val="Hyperlink"/>
            <w:rFonts w:ascii="Arial" w:hAnsi="Arial" w:cs="Arial"/>
          </w:rPr>
          <w:t>A.  Justification</w:t>
        </w:r>
        <w:r w:rsidRPr="00E467E3">
          <w:rPr>
            <w:rFonts w:ascii="Arial" w:hAnsi="Arial" w:cs="Arial"/>
            <w:webHidden/>
          </w:rPr>
          <w:tab/>
        </w:r>
        <w:r w:rsidRPr="00E467E3">
          <w:rPr>
            <w:rFonts w:ascii="Arial" w:hAnsi="Arial" w:cs="Arial"/>
            <w:webHidden/>
          </w:rPr>
          <w:fldChar w:fldCharType="begin"/>
        </w:r>
        <w:r w:rsidRPr="00E467E3">
          <w:rPr>
            <w:rFonts w:ascii="Arial" w:hAnsi="Arial" w:cs="Arial"/>
            <w:webHidden/>
          </w:rPr>
          <w:instrText xml:space="preserve"> PAGEREF _Toc412453213 \h </w:instrText>
        </w:r>
        <w:r w:rsidRPr="00E467E3">
          <w:rPr>
            <w:rFonts w:ascii="Arial" w:hAnsi="Arial" w:cs="Arial"/>
            <w:webHidden/>
          </w:rPr>
        </w:r>
        <w:r w:rsidRPr="00E467E3">
          <w:rPr>
            <w:rFonts w:ascii="Arial" w:hAnsi="Arial" w:cs="Arial"/>
            <w:webHidden/>
          </w:rPr>
          <w:fldChar w:fldCharType="separate"/>
        </w:r>
        <w:r w:rsidR="00507970">
          <w:rPr>
            <w:rFonts w:ascii="Arial" w:hAnsi="Arial" w:cs="Arial"/>
            <w:webHidden/>
          </w:rPr>
          <w:t>2</w:t>
        </w:r>
        <w:r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4" w:history="1">
        <w:r w:rsidR="007138C1" w:rsidRPr="00E467E3">
          <w:rPr>
            <w:rStyle w:val="Hyperlink"/>
            <w:rFonts w:ascii="Arial" w:hAnsi="Arial" w:cs="Arial"/>
          </w:rPr>
          <w:t>A.1. Circumstances that make the collection of information necessary.</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_Toc412453214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2</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5" w:history="1">
        <w:r w:rsidR="007138C1" w:rsidRPr="00E467E3">
          <w:rPr>
            <w:rStyle w:val="Hyperlink"/>
            <w:rFonts w:ascii="Arial" w:hAnsi="Arial" w:cs="Arial"/>
          </w:rPr>
          <w:t>A.2. How, by whom, and for what purpose the information is to be used.</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_Toc412453215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3</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6" w:history="1">
        <w:r w:rsidR="007138C1" w:rsidRPr="00E467E3">
          <w:rPr>
            <w:rStyle w:val="Hyperlink"/>
            <w:rFonts w:ascii="Arial" w:hAnsi="Arial" w:cs="Arial"/>
          </w:rPr>
          <w:t>A.3. Extent to which collection is automated, reasons for automation, and considerations for reducing impact on burden.</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_Toc412453216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3</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7" w:history="1">
        <w:r w:rsidR="007138C1" w:rsidRPr="00E467E3">
          <w:rPr>
            <w:rStyle w:val="Hyperlink"/>
            <w:rFonts w:ascii="Arial" w:hAnsi="Arial" w:cs="Arial"/>
          </w:rPr>
          <w:t>A.4.  Efforts to identify duplication – why similar information already available cannot be used for purpose described in A.2.</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_Toc412453217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3</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8" w:history="1">
        <w:r w:rsidR="007138C1" w:rsidRPr="00E467E3">
          <w:rPr>
            <w:rStyle w:val="Hyperlink"/>
            <w:rFonts w:ascii="Arial" w:hAnsi="Arial" w:cs="Arial"/>
          </w:rPr>
          <w:t>A.5. Efforts to minimize burden on small businesses.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_Toc412453218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3</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19" w:history="1">
        <w:r w:rsidR="007138C1" w:rsidRPr="00E467E3">
          <w:rPr>
            <w:rStyle w:val="Hyperlink"/>
            <w:rFonts w:ascii="Arial" w:hAnsi="Arial" w:cs="Arial"/>
          </w:rPr>
          <w:t>A.6. Consequences to Federal program if collection not done or done less frequently and any technical or legal obstacles to reducing the burden.</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_Toc412453219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3</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0" w:history="1">
        <w:r w:rsidR="007138C1" w:rsidRPr="00E467E3">
          <w:rPr>
            <w:rStyle w:val="Hyperlink"/>
            <w:rFonts w:ascii="Arial" w:hAnsi="Arial" w:cs="Arial"/>
          </w:rPr>
          <w:t>A.7. Special circumstances for conducting information collection.</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_Toc412453220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1" w:history="1">
        <w:r w:rsidR="007138C1" w:rsidRPr="00E467E3">
          <w:rPr>
            <w:rStyle w:val="Hyperlink"/>
            <w:rFonts w:ascii="Arial" w:hAnsi="Arial" w:cs="Arial"/>
          </w:rPr>
          <w:t>A.8. Preclearance notice and summary of public comments.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_Toc412453221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2" w:history="1">
        <w:r w:rsidR="007138C1" w:rsidRPr="00E467E3">
          <w:rPr>
            <w:rStyle w:val="Hyperlink"/>
            <w:rFonts w:ascii="Arial" w:hAnsi="Arial" w:cs="Arial"/>
          </w:rPr>
          <w:t>A.9. Explanation of decision to provide any payment or gift to respondents.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_Toc412453222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3" w:history="1">
        <w:r w:rsidR="007138C1" w:rsidRPr="00E467E3">
          <w:rPr>
            <w:rStyle w:val="Hyperlink"/>
            <w:rFonts w:ascii="Arial" w:hAnsi="Arial" w:cs="Arial"/>
          </w:rPr>
          <w:t>A.10.  Assurance of confidentiality provided to respondents.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_Toc412453223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4" w:history="1">
        <w:r w:rsidR="007138C1" w:rsidRPr="00E467E3">
          <w:rPr>
            <w:rStyle w:val="Hyperlink"/>
            <w:rFonts w:ascii="Arial" w:hAnsi="Arial" w:cs="Arial"/>
          </w:rPr>
          <w:t>A.11. Justification for any sensitive questions.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_Toc412453224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5" w:history="1">
        <w:r w:rsidR="007138C1" w:rsidRPr="00E467E3">
          <w:rPr>
            <w:rStyle w:val="Hyperlink"/>
            <w:rFonts w:ascii="Arial" w:hAnsi="Arial" w:cs="Arial"/>
          </w:rPr>
          <w:t>A.12.  Estimated hourly burden.</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_Toc412453225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4</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6" w:history="1">
        <w:r w:rsidR="007138C1" w:rsidRPr="00E467E3">
          <w:rPr>
            <w:rStyle w:val="Hyperlink"/>
            <w:rFonts w:ascii="Arial" w:hAnsi="Arial" w:cs="Arial"/>
          </w:rPr>
          <w:t>A.13.  Estimated cost burden to respondents.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_Toc412453226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7</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7" w:history="1">
        <w:r w:rsidR="007138C1" w:rsidRPr="00E467E3">
          <w:rPr>
            <w:rStyle w:val="Hyperlink"/>
            <w:rFonts w:ascii="Arial" w:hAnsi="Arial" w:cs="Arial"/>
          </w:rPr>
          <w:t>A.14. Estimated cost burden to the Federal government.</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_Toc412453227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7</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8" w:history="1">
        <w:r w:rsidR="007138C1" w:rsidRPr="00E467E3">
          <w:rPr>
            <w:rStyle w:val="Hyperlink"/>
            <w:rFonts w:ascii="Arial" w:hAnsi="Arial" w:cs="Arial"/>
          </w:rPr>
          <w:t>A.15.  Reasons for any program changes reported in Items 13 or 14 of the OMB Form 83-1.</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_Toc412453228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8</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29" w:history="1">
        <w:r w:rsidR="007138C1" w:rsidRPr="00E467E3">
          <w:rPr>
            <w:rStyle w:val="Hyperlink"/>
            <w:rFonts w:ascii="Arial" w:hAnsi="Arial" w:cs="Arial"/>
          </w:rPr>
          <w:t>A.16. Method for publishing results.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_Toc412453229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8</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30" w:history="1">
        <w:r w:rsidR="007138C1" w:rsidRPr="00E467E3">
          <w:rPr>
            <w:rStyle w:val="Hyperlink"/>
            <w:rFonts w:ascii="Arial" w:hAnsi="Arial" w:cs="Arial"/>
          </w:rPr>
          <w:t>A.17. If seeking approval not to display the expiration date for OMB approval, explain why display would be inappropriate.</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_Toc412453230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8</w:t>
        </w:r>
        <w:r w:rsidR="007138C1" w:rsidRPr="00E467E3">
          <w:rPr>
            <w:rFonts w:ascii="Arial" w:hAnsi="Arial" w:cs="Arial"/>
            <w:webHidden/>
          </w:rPr>
          <w:fldChar w:fldCharType="end"/>
        </w:r>
      </w:hyperlink>
    </w:p>
    <w:p w:rsidR="007138C1" w:rsidRPr="00564007" w:rsidRDefault="00730AA0" w:rsidP="007138C1">
      <w:pPr>
        <w:pStyle w:val="TOC2"/>
        <w:rPr>
          <w:rFonts w:ascii="Arial" w:hAnsi="Arial" w:cs="Arial"/>
          <w:i/>
          <w:iCs/>
          <w:szCs w:val="22"/>
        </w:rPr>
      </w:pPr>
      <w:hyperlink w:anchor="_Toc412453231" w:history="1">
        <w:r w:rsidR="007138C1" w:rsidRPr="00E467E3">
          <w:rPr>
            <w:rStyle w:val="Hyperlink"/>
            <w:rFonts w:ascii="Arial" w:hAnsi="Arial" w:cs="Arial"/>
          </w:rPr>
          <w:t>A.18.  Explanation of each exception in the certification statement identified in Item 19 “Certification for Paperwork Reduction Act Submissions” on OMB Form 83-1.</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_Toc412453231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8</w:t>
        </w:r>
        <w:r w:rsidR="007138C1" w:rsidRPr="00E467E3">
          <w:rPr>
            <w:rFonts w:ascii="Arial" w:hAnsi="Arial" w:cs="Arial"/>
            <w:webHidden/>
          </w:rPr>
          <w:fldChar w:fldCharType="end"/>
        </w:r>
      </w:hyperlink>
    </w:p>
    <w:p w:rsidR="007138C1" w:rsidRPr="00564007" w:rsidRDefault="00730AA0" w:rsidP="007138C1">
      <w:pPr>
        <w:pStyle w:val="TOC1"/>
        <w:tabs>
          <w:tab w:val="left" w:pos="480"/>
        </w:tabs>
        <w:rPr>
          <w:rFonts w:ascii="Arial" w:hAnsi="Arial" w:cs="Arial"/>
          <w:b w:val="0"/>
          <w:bCs/>
          <w:szCs w:val="22"/>
        </w:rPr>
      </w:pPr>
      <w:hyperlink w:anchor="_Toc412453232" w:history="1">
        <w:r w:rsidR="007138C1" w:rsidRPr="00E467E3">
          <w:rPr>
            <w:rStyle w:val="Hyperlink"/>
            <w:rFonts w:ascii="Arial" w:hAnsi="Arial" w:cs="Arial"/>
          </w:rPr>
          <w:t>B.</w:t>
        </w:r>
        <w:r w:rsidR="007138C1" w:rsidRPr="00564007">
          <w:rPr>
            <w:rFonts w:ascii="Arial" w:hAnsi="Arial" w:cs="Arial"/>
            <w:b w:val="0"/>
            <w:szCs w:val="22"/>
          </w:rPr>
          <w:tab/>
        </w:r>
        <w:r w:rsidR="007138C1" w:rsidRPr="00E467E3">
          <w:rPr>
            <w:rStyle w:val="Hyperlink"/>
            <w:rFonts w:ascii="Arial" w:hAnsi="Arial" w:cs="Arial"/>
          </w:rPr>
          <w:t>Collection of Information Employing Statistical Methods</w:t>
        </w:r>
        <w:r w:rsidR="007138C1" w:rsidRPr="00E467E3">
          <w:rPr>
            <w:rFonts w:ascii="Arial" w:hAnsi="Arial" w:cs="Arial"/>
            <w:webHidden/>
          </w:rPr>
          <w:tab/>
        </w:r>
        <w:r w:rsidR="007138C1" w:rsidRPr="00E467E3">
          <w:rPr>
            <w:rFonts w:ascii="Arial" w:hAnsi="Arial" w:cs="Arial"/>
            <w:webHidden/>
          </w:rPr>
          <w:fldChar w:fldCharType="begin"/>
        </w:r>
        <w:r w:rsidR="007138C1" w:rsidRPr="00E467E3">
          <w:rPr>
            <w:rFonts w:ascii="Arial" w:hAnsi="Arial" w:cs="Arial"/>
            <w:webHidden/>
          </w:rPr>
          <w:instrText xml:space="preserve"> PAGEREF _Toc412453232 \h </w:instrText>
        </w:r>
        <w:r w:rsidR="007138C1" w:rsidRPr="00E467E3">
          <w:rPr>
            <w:rFonts w:ascii="Arial" w:hAnsi="Arial" w:cs="Arial"/>
            <w:webHidden/>
          </w:rPr>
        </w:r>
        <w:r w:rsidR="007138C1" w:rsidRPr="00E467E3">
          <w:rPr>
            <w:rFonts w:ascii="Arial" w:hAnsi="Arial" w:cs="Arial"/>
            <w:webHidden/>
          </w:rPr>
          <w:fldChar w:fldCharType="separate"/>
        </w:r>
        <w:r w:rsidR="00507970">
          <w:rPr>
            <w:rFonts w:ascii="Arial" w:hAnsi="Arial" w:cs="Arial"/>
            <w:webHidden/>
          </w:rPr>
          <w:t>8</w:t>
        </w:r>
        <w:r w:rsidR="007138C1" w:rsidRPr="00E467E3">
          <w:rPr>
            <w:rFonts w:ascii="Arial" w:hAnsi="Arial" w:cs="Arial"/>
            <w:webHidden/>
          </w:rPr>
          <w:fldChar w:fldCharType="end"/>
        </w:r>
      </w:hyperlink>
    </w:p>
    <w:p w:rsidR="007138C1" w:rsidRPr="00E57983" w:rsidRDefault="007138C1" w:rsidP="007138C1">
      <w:pPr>
        <w:pStyle w:val="TOC1"/>
        <w:tabs>
          <w:tab w:val="left" w:pos="480"/>
          <w:tab w:val="right" w:leader="dot" w:pos="9062"/>
        </w:tabs>
        <w:spacing w:before="0" w:after="0"/>
        <w:rPr>
          <w:rFonts w:ascii="Arial" w:hAnsi="Arial" w:cs="Arial"/>
          <w:sz w:val="24"/>
        </w:rPr>
      </w:pPr>
      <w:r w:rsidRPr="00E467E3">
        <w:rPr>
          <w:rFonts w:ascii="Arial" w:hAnsi="Arial" w:cs="Arial"/>
          <w:sz w:val="24"/>
        </w:rPr>
        <w:fldChar w:fldCharType="end"/>
      </w:r>
    </w:p>
    <w:p w:rsidR="007138C1" w:rsidRPr="00E57983" w:rsidRDefault="007138C1" w:rsidP="007138C1">
      <w:pPr>
        <w:jc w:val="center"/>
        <w:rPr>
          <w:rFonts w:cs="Arial"/>
          <w:b/>
        </w:rPr>
        <w:sectPr w:rsidR="007138C1" w:rsidRPr="00E579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7138C1" w:rsidRPr="00E57983" w:rsidRDefault="00ED388C" w:rsidP="007138C1">
      <w:pPr>
        <w:jc w:val="center"/>
        <w:rPr>
          <w:rFonts w:cs="Arial"/>
          <w:b/>
        </w:rPr>
      </w:pPr>
      <w:r w:rsidRPr="00ED388C">
        <w:rPr>
          <w:rFonts w:cs="Arial"/>
          <w:b/>
          <w:caps/>
        </w:rPr>
        <w:lastRenderedPageBreak/>
        <w:t xml:space="preserve">EMERGENCY </w:t>
      </w:r>
      <w:r w:rsidR="007138C1" w:rsidRPr="00E57983">
        <w:rPr>
          <w:rFonts w:cs="Arial"/>
          <w:b/>
        </w:rPr>
        <w:t>SUPPORTING STATEMENT</w:t>
      </w:r>
    </w:p>
    <w:p w:rsidR="007138C1" w:rsidRPr="00E57983" w:rsidRDefault="007138C1" w:rsidP="007138C1">
      <w:pPr>
        <w:jc w:val="center"/>
        <w:rPr>
          <w:rFonts w:cs="Arial"/>
          <w:b/>
        </w:rPr>
      </w:pPr>
      <w:r w:rsidRPr="00E57983">
        <w:rPr>
          <w:rFonts w:cs="Arial"/>
          <w:b/>
        </w:rPr>
        <w:t xml:space="preserve">NEW INFORMATION COLLECTION REQUEST </w:t>
      </w:r>
    </w:p>
    <w:p w:rsidR="007138C1" w:rsidRPr="00E57983" w:rsidRDefault="007138C1" w:rsidP="007138C1">
      <w:pPr>
        <w:jc w:val="center"/>
        <w:rPr>
          <w:rFonts w:cs="Arial"/>
          <w:b/>
        </w:rPr>
      </w:pPr>
      <w:r w:rsidRPr="00E57983">
        <w:rPr>
          <w:rFonts w:cs="Arial"/>
          <w:b/>
        </w:rPr>
        <w:t>OMB CONTROL NUMBER 1205-NEW</w:t>
      </w:r>
    </w:p>
    <w:p w:rsidR="007138C1" w:rsidRPr="00E57983" w:rsidRDefault="007138C1" w:rsidP="007138C1">
      <w:pPr>
        <w:jc w:val="center"/>
        <w:rPr>
          <w:rFonts w:cs="Arial"/>
          <w:b/>
        </w:rPr>
      </w:pPr>
      <w:r w:rsidRPr="00E57983">
        <w:rPr>
          <w:rFonts w:cs="Arial"/>
          <w:b/>
        </w:rPr>
        <w:t xml:space="preserve">Employer-Provided Survey </w:t>
      </w:r>
      <w:r w:rsidR="00757D5D">
        <w:rPr>
          <w:rFonts w:cs="Arial"/>
          <w:b/>
        </w:rPr>
        <w:t>Attestation</w:t>
      </w:r>
      <w:r w:rsidR="00757D5D" w:rsidRPr="00E57983">
        <w:rPr>
          <w:rFonts w:cs="Arial"/>
          <w:b/>
        </w:rPr>
        <w:t xml:space="preserve"> </w:t>
      </w:r>
      <w:r w:rsidRPr="00E57983">
        <w:rPr>
          <w:rFonts w:cs="Arial"/>
          <w:b/>
        </w:rPr>
        <w:t xml:space="preserve">to Accompany </w:t>
      </w:r>
    </w:p>
    <w:p w:rsidR="007138C1" w:rsidRPr="00E57983" w:rsidRDefault="007138C1" w:rsidP="007138C1">
      <w:pPr>
        <w:jc w:val="center"/>
        <w:rPr>
          <w:rFonts w:cs="Arial"/>
          <w:b/>
        </w:rPr>
      </w:pPr>
      <w:r w:rsidRPr="00E57983">
        <w:rPr>
          <w:rFonts w:cs="Arial"/>
          <w:b/>
        </w:rPr>
        <w:t>H-2B Prevailing Wage Determination Request based on a non-OES Survey</w:t>
      </w:r>
    </w:p>
    <w:p w:rsidR="007138C1" w:rsidRPr="00E57983" w:rsidRDefault="007138C1" w:rsidP="007138C1">
      <w:pPr>
        <w:jc w:val="center"/>
        <w:rPr>
          <w:rFonts w:cs="Arial"/>
          <w:b/>
        </w:rPr>
      </w:pPr>
      <w:r>
        <w:rPr>
          <w:rFonts w:cs="Arial"/>
          <w:b/>
        </w:rPr>
        <w:t>(20 CFR 655.10</w:t>
      </w:r>
      <w:r w:rsidRPr="00E57983">
        <w:rPr>
          <w:rFonts w:cs="Arial"/>
          <w:b/>
        </w:rPr>
        <w:t>)</w:t>
      </w:r>
    </w:p>
    <w:p w:rsidR="007138C1" w:rsidRPr="00E57983" w:rsidRDefault="007138C1" w:rsidP="007138C1">
      <w:pPr>
        <w:jc w:val="center"/>
        <w:rPr>
          <w:rFonts w:cs="Arial"/>
          <w:b/>
        </w:rPr>
      </w:pPr>
    </w:p>
    <w:p w:rsidR="007138C1" w:rsidRPr="00E57983" w:rsidRDefault="007138C1" w:rsidP="007138C1">
      <w:pPr>
        <w:jc w:val="center"/>
        <w:rPr>
          <w:rFonts w:cs="Arial"/>
          <w:b/>
        </w:rPr>
      </w:pPr>
    </w:p>
    <w:p w:rsidR="007138C1" w:rsidRPr="00E57983" w:rsidRDefault="007138C1" w:rsidP="007138C1">
      <w:pPr>
        <w:outlineLvl w:val="0"/>
        <w:rPr>
          <w:rFonts w:cs="Arial"/>
        </w:rPr>
      </w:pPr>
      <w:bookmarkStart w:id="1" w:name="_Toc412453213"/>
      <w:r w:rsidRPr="00E57983">
        <w:rPr>
          <w:rFonts w:cs="Arial"/>
          <w:b/>
        </w:rPr>
        <w:t>A.  Justification</w:t>
      </w:r>
      <w:bookmarkEnd w:id="1"/>
    </w:p>
    <w:p w:rsidR="007138C1" w:rsidRPr="00E57983" w:rsidRDefault="007138C1" w:rsidP="007138C1">
      <w:pPr>
        <w:rPr>
          <w:rFonts w:cs="Arial"/>
        </w:rPr>
      </w:pPr>
    </w:p>
    <w:p w:rsidR="007138C1" w:rsidRPr="00E57983" w:rsidRDefault="007138C1" w:rsidP="007138C1">
      <w:pPr>
        <w:outlineLvl w:val="1"/>
        <w:rPr>
          <w:rFonts w:cs="Arial"/>
          <w:i/>
        </w:rPr>
      </w:pPr>
      <w:bookmarkStart w:id="2" w:name="_Toc412453214"/>
      <w:r w:rsidRPr="00E57983">
        <w:rPr>
          <w:rFonts w:cs="Arial"/>
          <w:i/>
        </w:rPr>
        <w:t>A.1. Circumstances that make the collection of information necessary.</w:t>
      </w:r>
      <w:bookmarkEnd w:id="2"/>
    </w:p>
    <w:p w:rsidR="007138C1" w:rsidRPr="00E57983" w:rsidRDefault="007138C1" w:rsidP="007138C1">
      <w:pPr>
        <w:tabs>
          <w:tab w:val="left" w:pos="-1440"/>
        </w:tabs>
        <w:rPr>
          <w:rFonts w:cs="Arial"/>
        </w:rPr>
      </w:pPr>
    </w:p>
    <w:p w:rsidR="007138C1" w:rsidRPr="00E57983" w:rsidRDefault="007138C1" w:rsidP="007138C1">
      <w:pPr>
        <w:autoSpaceDE w:val="0"/>
        <w:autoSpaceDN w:val="0"/>
        <w:adjustRightInd w:val="0"/>
        <w:rPr>
          <w:rFonts w:cs="Arial"/>
        </w:rPr>
      </w:pPr>
      <w:r w:rsidRPr="00E57983">
        <w:rPr>
          <w:rFonts w:cs="Arial"/>
        </w:rPr>
        <w:t xml:space="preserve">The information collection (IC) is </w:t>
      </w:r>
      <w:r w:rsidR="00885D23">
        <w:rPr>
          <w:rFonts w:cs="Arial"/>
        </w:rPr>
        <w:t>authorized</w:t>
      </w:r>
      <w:r w:rsidR="00885D23" w:rsidRPr="00E57983">
        <w:rPr>
          <w:rFonts w:cs="Arial"/>
        </w:rPr>
        <w:t xml:space="preserve"> </w:t>
      </w:r>
      <w:r w:rsidRPr="00E57983">
        <w:rPr>
          <w:rFonts w:cs="Arial"/>
        </w:rPr>
        <w:t>by sections 101(a</w:t>
      </w:r>
      <w:proofErr w:type="gramStart"/>
      <w:r w:rsidRPr="00E57983">
        <w:rPr>
          <w:rFonts w:cs="Arial"/>
        </w:rPr>
        <w:t>)(</w:t>
      </w:r>
      <w:proofErr w:type="gramEnd"/>
      <w:r w:rsidRPr="00E57983">
        <w:rPr>
          <w:rFonts w:cs="Arial"/>
        </w:rPr>
        <w:t>15)(H)(ii)(b) and 214(c) of the Immigration and Nationality Act (INA) (8 U.S.C. 1011(a)(15)(H)(ii)(b) and 1184(c))</w:t>
      </w:r>
      <w:r>
        <w:rPr>
          <w:rFonts w:cs="Arial"/>
        </w:rPr>
        <w:t>, and implementing regulations at 20 CFR 655.10</w:t>
      </w:r>
      <w:r w:rsidRPr="00E57983">
        <w:rPr>
          <w:rFonts w:cs="Arial"/>
        </w:rPr>
        <w:t xml:space="preserve"> and 8 CFR 214.2(h).  The INA requires the Secretary of Labor to certify, among other things, that any foreign worker seeking to enter the United States (U.S.) </w:t>
      </w:r>
      <w:r>
        <w:rPr>
          <w:rFonts w:cs="Arial"/>
        </w:rPr>
        <w:t xml:space="preserve">temporarily </w:t>
      </w:r>
      <w:r w:rsidRPr="00E57983">
        <w:rPr>
          <w:rFonts w:cs="Arial"/>
        </w:rPr>
        <w:t>for the purpose of performing certain unskilled labor will not, by doing so, adversely affect wages and working conditions of U.S. workers similarly employed.  The Secretary must also certify that there are not sufficient U.S. workers available to perform such skilled or unskilled labor.  Before any employer may petition for any temporary unskilled foreign workers, it must submit a request for certification to the Secretary of Labor containing the elements prescribed by the INA and regulations.  The H-2B program enables employers to bring nonimmigrant foreign workers to the U.S. to perform nonagricultural work of a temporary or seasonal nature as defined in 8 U.S.C.</w:t>
      </w:r>
      <w:r>
        <w:rPr>
          <w:rFonts w:cs="Arial"/>
        </w:rPr>
        <w:t xml:space="preserve"> </w:t>
      </w:r>
      <w:r w:rsidRPr="00E57983">
        <w:rPr>
          <w:rFonts w:cs="Arial"/>
        </w:rPr>
        <w:t>1101(a)(15)(H)(ii)(b).</w:t>
      </w:r>
    </w:p>
    <w:p w:rsidR="007138C1" w:rsidRPr="00E57983" w:rsidRDefault="007138C1" w:rsidP="007138C1">
      <w:pPr>
        <w:widowControl w:val="0"/>
        <w:autoSpaceDE w:val="0"/>
        <w:autoSpaceDN w:val="0"/>
        <w:adjustRightInd w:val="0"/>
        <w:rPr>
          <w:rFonts w:cs="Arial"/>
        </w:rPr>
      </w:pPr>
    </w:p>
    <w:p w:rsidR="007138C1" w:rsidRPr="00E57983" w:rsidRDefault="007138C1" w:rsidP="007138C1">
      <w:pPr>
        <w:tabs>
          <w:tab w:val="left" w:pos="-1440"/>
        </w:tabs>
        <w:rPr>
          <w:rFonts w:cs="Arial"/>
        </w:rPr>
      </w:pPr>
      <w:bookmarkStart w:id="3" w:name="0-0-0-681"/>
      <w:bookmarkEnd w:id="3"/>
      <w:r w:rsidRPr="00E57983">
        <w:rPr>
          <w:rFonts w:cs="Arial"/>
        </w:rPr>
        <w:t xml:space="preserve">Prior to submitting labor certification applications to the Secretary of Labor, employers must obtain a prevailing wage for the </w:t>
      </w:r>
      <w:r w:rsidR="001A5C38">
        <w:rPr>
          <w:rFonts w:cs="Arial"/>
        </w:rPr>
        <w:t>occupation in the area of intended</w:t>
      </w:r>
      <w:r w:rsidRPr="00E57983">
        <w:rPr>
          <w:rFonts w:cs="Arial"/>
        </w:rPr>
        <w:t xml:space="preserve"> employment in order to ensure that wages are not being adversely affected by paying foreign workers less than a prevailing wage.  </w:t>
      </w:r>
      <w:r w:rsidR="00C31171">
        <w:rPr>
          <w:rFonts w:cs="Arial"/>
        </w:rPr>
        <w:t xml:space="preserve">Form </w:t>
      </w:r>
      <w:r w:rsidRPr="00E57983">
        <w:rPr>
          <w:rFonts w:cs="Arial"/>
        </w:rPr>
        <w:t>ETA</w:t>
      </w:r>
      <w:r w:rsidR="00C31171">
        <w:rPr>
          <w:rFonts w:cs="Arial"/>
        </w:rPr>
        <w:t>-</w:t>
      </w:r>
      <w:r w:rsidRPr="00E57983">
        <w:rPr>
          <w:rFonts w:cs="Arial"/>
        </w:rPr>
        <w:t xml:space="preserve">9141, </w:t>
      </w:r>
      <w:r w:rsidRPr="00E57983">
        <w:rPr>
          <w:rFonts w:cs="Arial"/>
          <w:i/>
        </w:rPr>
        <w:t>Application for Prevailing Wage Determination</w:t>
      </w:r>
      <w:r w:rsidRPr="00E57983">
        <w:rPr>
          <w:rFonts w:cs="Arial"/>
        </w:rPr>
        <w:t xml:space="preserve"> (OMB Control Number 1205-0508) is used to collect the necessary information from employers to enable the Department of Labor (Department) to issue a prevailing wage for the occupation and location of the job offer.  </w:t>
      </w:r>
    </w:p>
    <w:p w:rsidR="007138C1" w:rsidRPr="00E57983" w:rsidRDefault="007138C1" w:rsidP="007138C1">
      <w:pPr>
        <w:tabs>
          <w:tab w:val="left" w:pos="-1440"/>
        </w:tabs>
        <w:rPr>
          <w:rFonts w:cs="Arial"/>
        </w:rPr>
      </w:pPr>
    </w:p>
    <w:p w:rsidR="007138C1" w:rsidRDefault="007138C1" w:rsidP="007138C1">
      <w:pPr>
        <w:rPr>
          <w:rFonts w:cs="Arial"/>
        </w:rPr>
      </w:pPr>
      <w:r w:rsidRPr="00E57983">
        <w:rPr>
          <w:rFonts w:cs="Arial"/>
        </w:rPr>
        <w:t>The regulations allow</w:t>
      </w:r>
      <w:r w:rsidR="00D32A9D">
        <w:rPr>
          <w:rFonts w:cs="Arial"/>
        </w:rPr>
        <w:t>ed</w:t>
      </w:r>
      <w:r w:rsidRPr="00E57983">
        <w:rPr>
          <w:rFonts w:cs="Arial"/>
        </w:rPr>
        <w:t xml:space="preserve"> employers to submit wage surveys as long as they meet with the criteria set forth in the regulations at 20 CFR 655.10</w:t>
      </w:r>
      <w:r>
        <w:rPr>
          <w:rFonts w:cs="Arial"/>
        </w:rPr>
        <w:t>(f)</w:t>
      </w:r>
      <w:r w:rsidRPr="00E57983">
        <w:rPr>
          <w:rFonts w:cs="Arial"/>
        </w:rPr>
        <w:t xml:space="preserve">.  </w:t>
      </w:r>
      <w:r>
        <w:rPr>
          <w:rFonts w:cs="Arial"/>
        </w:rPr>
        <w:t>However,</w:t>
      </w:r>
      <w:r w:rsidR="00D32A9D">
        <w:rPr>
          <w:rFonts w:cs="Arial"/>
        </w:rPr>
        <w:t xml:space="preserve"> the court in </w:t>
      </w:r>
      <w:r w:rsidR="00D32A9D" w:rsidRPr="00D32A9D">
        <w:rPr>
          <w:rStyle w:val="Strong"/>
          <w:b w:val="0"/>
          <w:i/>
          <w:iCs/>
        </w:rPr>
        <w:t>Comite de Apoyo a los Trabajadores Agricolas et al v. Solis</w:t>
      </w:r>
      <w:r w:rsidR="00D32A9D" w:rsidRPr="00BA744D">
        <w:t xml:space="preserve">, </w:t>
      </w:r>
      <w:r w:rsidR="008B75C0">
        <w:t xml:space="preserve">774 F.3d 173 </w:t>
      </w:r>
      <w:r w:rsidR="00D32A9D" w:rsidRPr="00BA744D">
        <w:t xml:space="preserve">(3rd Cir., Dec. 5, 2014) vacated </w:t>
      </w:r>
      <w:r w:rsidR="00D32A9D">
        <w:t>the DOL’s authority to accept employer-provided surveys in the H-2B visa program for temporary non-agricultural foreign workers.  I</w:t>
      </w:r>
      <w:r>
        <w:rPr>
          <w:rFonts w:cs="Arial"/>
        </w:rPr>
        <w:t>n order to strengthen the reliability and validity of employer-provided surveys</w:t>
      </w:r>
      <w:r w:rsidR="00D32A9D">
        <w:rPr>
          <w:rFonts w:cs="Arial"/>
        </w:rPr>
        <w:t xml:space="preserve"> and comply with the court order</w:t>
      </w:r>
      <w:r>
        <w:rPr>
          <w:rFonts w:cs="Arial"/>
        </w:rPr>
        <w:t xml:space="preserve">, the Department, in a </w:t>
      </w:r>
      <w:r w:rsidR="00600000">
        <w:rPr>
          <w:rFonts w:cs="Arial"/>
        </w:rPr>
        <w:t>Final Rule,</w:t>
      </w:r>
      <w:r>
        <w:rPr>
          <w:rFonts w:cs="Arial"/>
        </w:rPr>
        <w:t xml:space="preserve"> </w:t>
      </w:r>
      <w:r w:rsidRPr="00403B3A">
        <w:rPr>
          <w:bCs/>
          <w:i/>
        </w:rPr>
        <w:t>Wage Methodology for the Temporary Non-Agricultural Employment H-2B Program</w:t>
      </w:r>
      <w:r w:rsidRPr="00403B3A">
        <w:rPr>
          <w:rFonts w:cs="Arial"/>
          <w:i/>
        </w:rPr>
        <w:t>,</w:t>
      </w:r>
      <w:r>
        <w:rPr>
          <w:rFonts w:cs="Arial"/>
        </w:rPr>
        <w:t xml:space="preserve"> </w:t>
      </w:r>
      <w:r w:rsidRPr="0041172E">
        <w:rPr>
          <w:rFonts w:cs="Arial"/>
        </w:rPr>
        <w:t>has</w:t>
      </w:r>
      <w:r w:rsidR="00691E06">
        <w:rPr>
          <w:rFonts w:cs="Arial"/>
        </w:rPr>
        <w:t xml:space="preserve"> prohibited reporting wages based on skill levels in employer provided surveys.  In addition, ETA has</w:t>
      </w:r>
      <w:r w:rsidRPr="0041172E">
        <w:rPr>
          <w:rFonts w:cs="Arial"/>
        </w:rPr>
        <w:t xml:space="preserve"> </w:t>
      </w:r>
      <w:r w:rsidR="00691E06">
        <w:rPr>
          <w:rFonts w:cs="Arial"/>
        </w:rPr>
        <w:t>codified</w:t>
      </w:r>
      <w:r w:rsidR="00691E06" w:rsidRPr="0041172E">
        <w:rPr>
          <w:rFonts w:cs="Arial"/>
        </w:rPr>
        <w:t xml:space="preserve"> </w:t>
      </w:r>
      <w:r w:rsidRPr="0041172E">
        <w:rPr>
          <w:rFonts w:cs="Arial"/>
        </w:rPr>
        <w:t>the standards it will use to assess employer provided surveys that may be relied on to set the prevailing wage.</w:t>
      </w:r>
      <w:r>
        <w:rPr>
          <w:rFonts w:cs="Arial"/>
        </w:rPr>
        <w:t xml:space="preserve">  In addition, the Department </w:t>
      </w:r>
      <w:r w:rsidR="00600000">
        <w:rPr>
          <w:rFonts w:cs="Arial"/>
        </w:rPr>
        <w:t xml:space="preserve">is </w:t>
      </w:r>
      <w:r>
        <w:rPr>
          <w:rFonts w:cs="Arial"/>
        </w:rPr>
        <w:t>establish</w:t>
      </w:r>
      <w:r w:rsidR="00600000">
        <w:rPr>
          <w:rFonts w:cs="Arial"/>
        </w:rPr>
        <w:t>ing</w:t>
      </w:r>
      <w:r>
        <w:rPr>
          <w:rFonts w:cs="Arial"/>
        </w:rPr>
        <w:t xml:space="preserve"> a new information collection,</w:t>
      </w:r>
      <w:r w:rsidRPr="00E57983">
        <w:rPr>
          <w:rFonts w:cs="Arial"/>
        </w:rPr>
        <w:t xml:space="preserve"> </w:t>
      </w:r>
      <w:r>
        <w:rPr>
          <w:rFonts w:cs="Arial"/>
        </w:rPr>
        <w:t xml:space="preserve">the </w:t>
      </w:r>
      <w:r w:rsidR="00C31171">
        <w:rPr>
          <w:rFonts w:cs="Arial"/>
        </w:rPr>
        <w:t xml:space="preserve">Form </w:t>
      </w:r>
      <w:r w:rsidR="00D32A9D">
        <w:rPr>
          <w:rFonts w:cs="Arial"/>
        </w:rPr>
        <w:t>ETA</w:t>
      </w:r>
      <w:r w:rsidR="00C31171">
        <w:rPr>
          <w:rFonts w:cs="Arial"/>
        </w:rPr>
        <w:t>-</w:t>
      </w:r>
      <w:r w:rsidR="00D32A9D">
        <w:rPr>
          <w:rFonts w:cs="Arial"/>
        </w:rPr>
        <w:t>91</w:t>
      </w:r>
      <w:r w:rsidR="00691E06">
        <w:rPr>
          <w:rFonts w:cs="Arial"/>
        </w:rPr>
        <w:t>65</w:t>
      </w:r>
      <w:r w:rsidRPr="00E57983">
        <w:rPr>
          <w:rFonts w:cs="Arial"/>
        </w:rPr>
        <w:t xml:space="preserve">, </w:t>
      </w:r>
      <w:r w:rsidRPr="00E57983">
        <w:rPr>
          <w:rFonts w:cs="Arial"/>
          <w:i/>
        </w:rPr>
        <w:t xml:space="preserve">Employer-Provided Survey </w:t>
      </w:r>
      <w:r w:rsidR="00757D5D">
        <w:rPr>
          <w:rFonts w:cs="Arial"/>
          <w:i/>
        </w:rPr>
        <w:t>Attestation</w:t>
      </w:r>
      <w:r w:rsidR="00757D5D" w:rsidRPr="00E57983">
        <w:rPr>
          <w:rFonts w:cs="Arial"/>
          <w:i/>
        </w:rPr>
        <w:t xml:space="preserve"> </w:t>
      </w:r>
      <w:r w:rsidRPr="00E57983">
        <w:rPr>
          <w:rFonts w:cs="Arial"/>
          <w:i/>
        </w:rPr>
        <w:t xml:space="preserve">to Accompany H-2B Prevailing </w:t>
      </w:r>
      <w:r w:rsidRPr="00E57983">
        <w:rPr>
          <w:rFonts w:cs="Arial"/>
          <w:i/>
        </w:rPr>
        <w:lastRenderedPageBreak/>
        <w:t>Wage Determination Request Based on a Non-OES Survey</w:t>
      </w:r>
      <w:r>
        <w:rPr>
          <w:rFonts w:cs="Arial"/>
        </w:rPr>
        <w:t>, in order to increase compliance with the new standards applicable to employer-provided surveys and to assist the Department in reviewing those surveys</w:t>
      </w:r>
      <w:r w:rsidRPr="00E57983">
        <w:rPr>
          <w:rFonts w:cs="Arial"/>
        </w:rPr>
        <w:t xml:space="preserve">.  </w:t>
      </w:r>
    </w:p>
    <w:p w:rsidR="007138C1"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4" w:name="_Toc412453215"/>
      <w:r w:rsidRPr="00E57983">
        <w:rPr>
          <w:rFonts w:cs="Arial"/>
          <w:i/>
        </w:rPr>
        <w:t>A.2. How, by whom, and for what purpose the information is to be used.</w:t>
      </w:r>
      <w:bookmarkEnd w:id="4"/>
      <w:r w:rsidRPr="00E57983">
        <w:rPr>
          <w:rFonts w:cs="Arial"/>
          <w:i/>
        </w:rPr>
        <w:t xml:space="preserve"> </w:t>
      </w:r>
    </w:p>
    <w:p w:rsidR="007138C1" w:rsidRPr="00E57983" w:rsidRDefault="007138C1" w:rsidP="007138C1">
      <w:pPr>
        <w:outlineLvl w:val="1"/>
        <w:rPr>
          <w:rFonts w:cs="Arial"/>
        </w:rPr>
      </w:pPr>
    </w:p>
    <w:p w:rsidR="007138C1" w:rsidRPr="00E57983" w:rsidRDefault="007138C1" w:rsidP="007138C1">
      <w:pPr>
        <w:rPr>
          <w:rFonts w:cs="Arial"/>
        </w:rPr>
      </w:pPr>
      <w:r w:rsidRPr="00E57983">
        <w:rPr>
          <w:rFonts w:cs="Arial"/>
        </w:rPr>
        <w:t xml:space="preserve">In order to meet its statutory responsibilities under the INA, the Department must request information from employers seeking to hire and import foreign labor and must ensure that the wages being paid will not adversely affect U.S. workers.  The Department will use the information collected to </w:t>
      </w:r>
      <w:r w:rsidRPr="00E57983">
        <w:rPr>
          <w:rFonts w:cs="Arial"/>
          <w:color w:val="000000"/>
        </w:rPr>
        <w:t>determine the adequacy of the data provided and validity of the methodology used in conducting the survey</w:t>
      </w:r>
      <w:r w:rsidRPr="00E57983">
        <w:rPr>
          <w:rFonts w:cs="Arial"/>
        </w:rPr>
        <w:t xml:space="preserve"> submitted by an employer in the H-2B nonimmigrant temporary nonagricultural worker program.  </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5" w:name="_Toc412453216"/>
      <w:r w:rsidRPr="00E57983">
        <w:rPr>
          <w:rFonts w:cs="Arial"/>
          <w:i/>
        </w:rPr>
        <w:t>A.3. Extent to which collection is automated, reasons for automation, and considerations for reducing impact on burden.</w:t>
      </w:r>
      <w:bookmarkEnd w:id="5"/>
    </w:p>
    <w:p w:rsidR="007138C1" w:rsidRPr="00E57983" w:rsidRDefault="007138C1" w:rsidP="007138C1">
      <w:pPr>
        <w:rPr>
          <w:rFonts w:cs="Arial"/>
        </w:rPr>
      </w:pPr>
    </w:p>
    <w:p w:rsidR="007138C1" w:rsidRPr="00E57983" w:rsidRDefault="007138C1" w:rsidP="007138C1">
      <w:pPr>
        <w:rPr>
          <w:rFonts w:cs="Arial"/>
        </w:rPr>
      </w:pPr>
      <w:r w:rsidRPr="00E57983">
        <w:rPr>
          <w:rFonts w:cs="Arial"/>
        </w:rPr>
        <w:t xml:space="preserve">In compliance with the Government Paperwork Elimination Act, the Department intends to make </w:t>
      </w:r>
      <w:r>
        <w:rPr>
          <w:rFonts w:cs="Arial"/>
        </w:rPr>
        <w:t>the</w:t>
      </w:r>
      <w:r w:rsidRPr="00E57983">
        <w:rPr>
          <w:rFonts w:cs="Arial"/>
        </w:rPr>
        <w:t xml:space="preserve"> instrument in this collection an electronically fillable PDF at </w:t>
      </w:r>
      <w:hyperlink r:id="rId15" w:history="1">
        <w:r w:rsidRPr="00E57983">
          <w:rPr>
            <w:rStyle w:val="Hyperlink"/>
            <w:rFonts w:cs="Arial"/>
          </w:rPr>
          <w:t>http://www.foreignlaborcert.doleta.gov/form.cfm</w:t>
        </w:r>
      </w:hyperlink>
      <w:r w:rsidRPr="00E57983">
        <w:rPr>
          <w:rFonts w:cs="Arial"/>
        </w:rPr>
        <w:t xml:space="preserve">.  The form will be filed electronically, but only as a scanned attachment to the employer provided survey because it must be signed by the employer prior to submission.  </w:t>
      </w:r>
    </w:p>
    <w:p w:rsidR="007138C1" w:rsidRPr="00E57983" w:rsidRDefault="007138C1" w:rsidP="007138C1">
      <w:pPr>
        <w:rPr>
          <w:rFonts w:cs="Arial"/>
        </w:rPr>
      </w:pPr>
    </w:p>
    <w:p w:rsidR="007138C1" w:rsidRPr="00E57983" w:rsidRDefault="007138C1" w:rsidP="007138C1">
      <w:pPr>
        <w:outlineLvl w:val="1"/>
        <w:rPr>
          <w:rFonts w:cs="Arial"/>
          <w:i/>
        </w:rPr>
      </w:pPr>
      <w:bookmarkStart w:id="6" w:name="_Toc412453217"/>
      <w:r w:rsidRPr="00E57983">
        <w:rPr>
          <w:rFonts w:cs="Arial"/>
          <w:i/>
        </w:rPr>
        <w:t>A.4</w:t>
      </w:r>
      <w:proofErr w:type="gramStart"/>
      <w:r w:rsidRPr="00E57983">
        <w:rPr>
          <w:rFonts w:cs="Arial"/>
          <w:i/>
        </w:rPr>
        <w:t>.  Efforts</w:t>
      </w:r>
      <w:proofErr w:type="gramEnd"/>
      <w:r w:rsidRPr="00E57983">
        <w:rPr>
          <w:rFonts w:cs="Arial"/>
          <w:i/>
        </w:rPr>
        <w:t xml:space="preserve"> to identify duplication – why similar information already available cannot be used for purpose described in A.2.</w:t>
      </w:r>
      <w:bookmarkEnd w:id="6"/>
      <w:r w:rsidRPr="00E57983">
        <w:rPr>
          <w:rFonts w:cs="Arial"/>
          <w:i/>
        </w:rPr>
        <w:t xml:space="preserve">  </w:t>
      </w:r>
    </w:p>
    <w:p w:rsidR="007138C1" w:rsidRPr="00E57983" w:rsidRDefault="007138C1" w:rsidP="007138C1">
      <w:pPr>
        <w:rPr>
          <w:rFonts w:cs="Arial"/>
        </w:rPr>
      </w:pPr>
    </w:p>
    <w:p w:rsidR="007138C1" w:rsidRPr="00E57983" w:rsidRDefault="007138C1" w:rsidP="007138C1">
      <w:pPr>
        <w:rPr>
          <w:rFonts w:cs="Arial"/>
        </w:rPr>
      </w:pPr>
      <w:r w:rsidRPr="00E57983">
        <w:rPr>
          <w:rFonts w:cs="Arial"/>
        </w:rPr>
        <w:t xml:space="preserve">The information requested on the </w:t>
      </w:r>
      <w:r w:rsidR="00C31171">
        <w:rPr>
          <w:rFonts w:cs="Arial"/>
        </w:rPr>
        <w:t xml:space="preserve">Form </w:t>
      </w:r>
      <w:r w:rsidR="00D32A9D">
        <w:rPr>
          <w:rFonts w:cs="Arial"/>
        </w:rPr>
        <w:t>ETA</w:t>
      </w:r>
      <w:r w:rsidR="00C31171">
        <w:rPr>
          <w:rFonts w:cs="Arial"/>
        </w:rPr>
        <w:t>-</w:t>
      </w:r>
      <w:r w:rsidR="00A704EA">
        <w:rPr>
          <w:rFonts w:cs="Arial"/>
        </w:rPr>
        <w:t>9165</w:t>
      </w:r>
      <w:r w:rsidR="00A704EA" w:rsidRPr="00E57983">
        <w:rPr>
          <w:rFonts w:cs="Arial"/>
        </w:rPr>
        <w:t xml:space="preserve"> </w:t>
      </w:r>
      <w:r w:rsidRPr="00E57983">
        <w:rPr>
          <w:rFonts w:cs="Arial"/>
        </w:rPr>
        <w:t xml:space="preserve">is sufficiently </w:t>
      </w:r>
      <w:r>
        <w:rPr>
          <w:rFonts w:cs="Arial"/>
        </w:rPr>
        <w:t xml:space="preserve">unique </w:t>
      </w:r>
      <w:r w:rsidRPr="00E57983">
        <w:rPr>
          <w:rFonts w:cs="Arial"/>
        </w:rPr>
        <w:t xml:space="preserve">to avoid duplication of activities within the Department for the H-2B program.  </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rPr>
      </w:pPr>
      <w:bookmarkStart w:id="7" w:name="_Toc412453218"/>
      <w:r w:rsidRPr="00E57983">
        <w:rPr>
          <w:rFonts w:cs="Arial"/>
          <w:i/>
        </w:rPr>
        <w:t>A.5. Efforts to minimize burden on small businesses</w:t>
      </w:r>
      <w:r w:rsidRPr="00E57983">
        <w:rPr>
          <w:rFonts w:cs="Arial"/>
        </w:rPr>
        <w:t>.</w:t>
      </w:r>
      <w:bookmarkEnd w:id="7"/>
    </w:p>
    <w:p w:rsidR="007138C1" w:rsidRPr="00E57983" w:rsidRDefault="007138C1" w:rsidP="007138C1">
      <w:pPr>
        <w:rPr>
          <w:rFonts w:cs="Arial"/>
        </w:rPr>
      </w:pPr>
    </w:p>
    <w:p w:rsidR="007138C1" w:rsidRPr="00E57983" w:rsidRDefault="007138C1" w:rsidP="007138C1">
      <w:pPr>
        <w:rPr>
          <w:rFonts w:cs="Arial"/>
        </w:rPr>
      </w:pPr>
      <w:r w:rsidRPr="00E57983">
        <w:rPr>
          <w:rFonts w:cs="Arial"/>
        </w:rPr>
        <w:t xml:space="preserve">The information collection is required of small businesses who want to hire and import foreign labor.  However, the information requested involves information that already exists in the survey voluntarily being submitted at the election of the employer.  </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8" w:name="_Toc412453219"/>
      <w:r w:rsidRPr="00E57983">
        <w:rPr>
          <w:rFonts w:cs="Arial"/>
          <w:i/>
        </w:rPr>
        <w:t>A.6. Consequences to Federal program if collection not done or done less frequently and any technical or legal obstacles to reducing the burden.</w:t>
      </w:r>
      <w:bookmarkEnd w:id="8"/>
    </w:p>
    <w:p w:rsidR="007138C1" w:rsidRPr="00E57983" w:rsidRDefault="007138C1" w:rsidP="007138C1">
      <w:pPr>
        <w:outlineLvl w:val="1"/>
        <w:rPr>
          <w:rFonts w:cs="Arial"/>
        </w:rPr>
      </w:pPr>
    </w:p>
    <w:p w:rsidR="007138C1" w:rsidRPr="00E57983" w:rsidRDefault="007138C1" w:rsidP="007138C1">
      <w:pPr>
        <w:rPr>
          <w:rFonts w:cs="Arial"/>
        </w:rPr>
      </w:pPr>
      <w:r w:rsidRPr="00E57983">
        <w:rPr>
          <w:rFonts w:cs="Arial"/>
        </w:rPr>
        <w:t xml:space="preserve">The Department would be </w:t>
      </w:r>
      <w:r>
        <w:rPr>
          <w:rFonts w:cs="Arial"/>
        </w:rPr>
        <w:t xml:space="preserve">unable to adequately determine that the methodological standards imposed in the </w:t>
      </w:r>
      <w:r w:rsidR="00600000">
        <w:rPr>
          <w:rFonts w:cs="Arial"/>
        </w:rPr>
        <w:t>Final Rule</w:t>
      </w:r>
      <w:r>
        <w:rPr>
          <w:rFonts w:cs="Arial"/>
        </w:rPr>
        <w:t xml:space="preserve"> governing employer-provided surveys would be met.  </w:t>
      </w:r>
      <w:r w:rsidRPr="00E57983">
        <w:rPr>
          <w:rFonts w:cs="Arial"/>
        </w:rPr>
        <w:t xml:space="preserve">Employers choose whether or not to submit </w:t>
      </w:r>
      <w:r w:rsidR="00561BB5">
        <w:rPr>
          <w:rFonts w:cs="Arial"/>
        </w:rPr>
        <w:t>employer-provided</w:t>
      </w:r>
      <w:r w:rsidR="00561BB5" w:rsidRPr="00E57983">
        <w:rPr>
          <w:rFonts w:cs="Arial"/>
        </w:rPr>
        <w:t xml:space="preserve"> </w:t>
      </w:r>
      <w:r w:rsidRPr="00E57983">
        <w:rPr>
          <w:rFonts w:cs="Arial"/>
        </w:rPr>
        <w:t xml:space="preserve">surveys.  The Department must ensure that surveys meet regulatory requirements without expending inordinate resources in </w:t>
      </w:r>
      <w:r>
        <w:rPr>
          <w:rFonts w:cs="Arial"/>
        </w:rPr>
        <w:t>verifying compliance with the regulations</w:t>
      </w:r>
      <w:r w:rsidRPr="00E57983">
        <w:rPr>
          <w:rFonts w:cs="Arial"/>
        </w:rPr>
        <w:t xml:space="preserve">.    </w:t>
      </w:r>
    </w:p>
    <w:p w:rsidR="007138C1" w:rsidRPr="00E57983" w:rsidRDefault="007138C1" w:rsidP="007138C1">
      <w:pPr>
        <w:rPr>
          <w:rFonts w:cs="Arial"/>
        </w:rPr>
      </w:pPr>
    </w:p>
    <w:p w:rsidR="007138C1" w:rsidRPr="00E57983" w:rsidRDefault="007138C1" w:rsidP="007138C1">
      <w:pPr>
        <w:outlineLvl w:val="1"/>
        <w:rPr>
          <w:rFonts w:cs="Arial"/>
          <w:i/>
        </w:rPr>
      </w:pPr>
      <w:bookmarkStart w:id="9" w:name="_Toc412453220"/>
      <w:r w:rsidRPr="00E57983">
        <w:rPr>
          <w:rFonts w:cs="Arial"/>
          <w:i/>
        </w:rPr>
        <w:t>A.7. Special circumstances for conducting information collection.</w:t>
      </w:r>
      <w:bookmarkEnd w:id="9"/>
    </w:p>
    <w:p w:rsidR="007138C1" w:rsidRPr="00E57983" w:rsidRDefault="007138C1" w:rsidP="007138C1">
      <w:pPr>
        <w:outlineLvl w:val="0"/>
        <w:rPr>
          <w:rFonts w:cs="Arial"/>
        </w:rPr>
      </w:pPr>
    </w:p>
    <w:p w:rsidR="007138C1" w:rsidRPr="00E57983" w:rsidRDefault="007138C1" w:rsidP="007138C1">
      <w:pPr>
        <w:pStyle w:val="FootnoteText"/>
        <w:rPr>
          <w:rFonts w:cs="Arial"/>
          <w:sz w:val="24"/>
          <w:szCs w:val="24"/>
        </w:rPr>
      </w:pPr>
      <w:r w:rsidRPr="00E57983">
        <w:rPr>
          <w:rFonts w:cs="Arial"/>
          <w:sz w:val="24"/>
          <w:szCs w:val="24"/>
        </w:rPr>
        <w:t>There are no special circumstances that would require the information to be collected or kept in any manner other than those normally required under the Paperwork Reduction Act</w:t>
      </w:r>
      <w:r>
        <w:rPr>
          <w:rFonts w:cs="Arial"/>
          <w:sz w:val="24"/>
          <w:szCs w:val="24"/>
        </w:rPr>
        <w:t>.</w:t>
      </w:r>
      <w:r w:rsidRPr="00E57983">
        <w:rPr>
          <w:rFonts w:cs="Arial"/>
          <w:sz w:val="24"/>
          <w:szCs w:val="24"/>
        </w:rPr>
        <w:t xml:space="preserve">  </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10" w:name="_Toc412453221"/>
      <w:proofErr w:type="gramStart"/>
      <w:r w:rsidRPr="00E57983">
        <w:rPr>
          <w:rFonts w:cs="Arial"/>
          <w:i/>
        </w:rPr>
        <w:t>A.8. Preclearance notice and summary of public comments.</w:t>
      </w:r>
      <w:bookmarkEnd w:id="10"/>
      <w:proofErr w:type="gramEnd"/>
    </w:p>
    <w:p w:rsidR="007138C1" w:rsidRPr="00E57983" w:rsidRDefault="007138C1" w:rsidP="007138C1">
      <w:pPr>
        <w:outlineLvl w:val="1"/>
        <w:rPr>
          <w:rFonts w:cs="Arial"/>
        </w:rPr>
      </w:pPr>
    </w:p>
    <w:p w:rsidR="004D542E" w:rsidRPr="004D542E" w:rsidRDefault="004D542E" w:rsidP="004D542E">
      <w:pPr>
        <w:rPr>
          <w:rFonts w:cs="Arial"/>
        </w:rPr>
      </w:pPr>
      <w:r w:rsidRPr="004D542E">
        <w:t>In order to have the information collections take effect on the same dates as all other parts of the</w:t>
      </w:r>
      <w:r>
        <w:t xml:space="preserve"> Final R</w:t>
      </w:r>
      <w:r w:rsidRPr="004D542E">
        <w:t>ule, DOL submitted an ICR to OMB under the emergency processing procedures codified in regulations 5 CFR 1320.13.</w:t>
      </w:r>
      <w:r>
        <w:t xml:space="preserve">  </w:t>
      </w:r>
      <w:r w:rsidR="00A835FA">
        <w:t>Within six months of the publication of the H-2B Comprehensive IFR, DOL will comply with the proper PRA</w:t>
      </w:r>
      <w:r w:rsidR="00A835FA" w:rsidRPr="000F2220">
        <w:t xml:space="preserve"> </w:t>
      </w:r>
      <w:r w:rsidR="00A835FA">
        <w:t>procedures outlined in 5 CFR 1320 to extend this collection.</w:t>
      </w:r>
      <w:r w:rsidRPr="004D542E">
        <w:t xml:space="preserve"> </w:t>
      </w:r>
      <w:bookmarkStart w:id="11" w:name="_Toc412453222"/>
    </w:p>
    <w:p w:rsidR="004D542E" w:rsidRPr="004D542E" w:rsidRDefault="004D542E" w:rsidP="004D542E">
      <w:pPr>
        <w:rPr>
          <w:rFonts w:cs="Arial"/>
        </w:rPr>
      </w:pPr>
    </w:p>
    <w:p w:rsidR="004D542E" w:rsidRPr="004D542E" w:rsidRDefault="004D542E" w:rsidP="004D542E">
      <w:pPr>
        <w:rPr>
          <w:rFonts w:cs="Arial"/>
        </w:rPr>
      </w:pPr>
    </w:p>
    <w:p w:rsidR="007138C1" w:rsidRPr="00E57983" w:rsidRDefault="007138C1" w:rsidP="004D542E">
      <w:pPr>
        <w:rPr>
          <w:rFonts w:cs="Arial"/>
          <w:i/>
        </w:rPr>
      </w:pPr>
      <w:r w:rsidRPr="00E57983">
        <w:rPr>
          <w:rFonts w:cs="Arial"/>
          <w:i/>
        </w:rPr>
        <w:t>9. Explanation of decision to provide any payment or gift to respondents.</w:t>
      </w:r>
      <w:bookmarkEnd w:id="11"/>
      <w:r w:rsidRPr="00E57983">
        <w:rPr>
          <w:rFonts w:cs="Arial"/>
          <w:i/>
        </w:rPr>
        <w:t xml:space="preserve"> </w:t>
      </w:r>
    </w:p>
    <w:p w:rsidR="007138C1" w:rsidRPr="00E57983" w:rsidRDefault="007138C1" w:rsidP="007138C1">
      <w:pPr>
        <w:rPr>
          <w:rFonts w:cs="Arial"/>
        </w:rPr>
      </w:pPr>
    </w:p>
    <w:p w:rsidR="007138C1" w:rsidRPr="00E57983" w:rsidRDefault="007138C1" w:rsidP="007138C1">
      <w:pPr>
        <w:rPr>
          <w:rFonts w:cs="Arial"/>
        </w:rPr>
      </w:pPr>
      <w:r w:rsidRPr="00E57983">
        <w:rPr>
          <w:rFonts w:cs="Arial"/>
        </w:rPr>
        <w:t>No payments or gifts will be made to respondents.</w:t>
      </w:r>
      <w:r w:rsidRPr="00E57983">
        <w:rPr>
          <w:rFonts w:cs="Arial"/>
        </w:rPr>
        <w:tab/>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12" w:name="_Toc412453223"/>
      <w:r w:rsidRPr="00E57983">
        <w:rPr>
          <w:rFonts w:cs="Arial"/>
          <w:i/>
        </w:rPr>
        <w:t>A.10</w:t>
      </w:r>
      <w:proofErr w:type="gramStart"/>
      <w:r w:rsidRPr="00E57983">
        <w:rPr>
          <w:rFonts w:cs="Arial"/>
          <w:i/>
        </w:rPr>
        <w:t>.  Assurance</w:t>
      </w:r>
      <w:proofErr w:type="gramEnd"/>
      <w:r w:rsidRPr="00E57983">
        <w:rPr>
          <w:rFonts w:cs="Arial"/>
          <w:i/>
        </w:rPr>
        <w:t xml:space="preserve"> of confidentiality provided to respondents.</w:t>
      </w:r>
      <w:bookmarkEnd w:id="12"/>
    </w:p>
    <w:p w:rsidR="007138C1" w:rsidRPr="00E57983" w:rsidRDefault="007138C1" w:rsidP="007138C1">
      <w:pPr>
        <w:outlineLvl w:val="0"/>
        <w:rPr>
          <w:rFonts w:cs="Arial"/>
        </w:rPr>
      </w:pPr>
    </w:p>
    <w:p w:rsidR="007138C1" w:rsidRPr="00E57983" w:rsidRDefault="007138C1" w:rsidP="007138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57983">
        <w:rPr>
          <w:rFonts w:cs="Arial"/>
        </w:rPr>
        <w:t>DOL offers no assurances of confidentiality to those responding to this information collection.  The information collected is not exempt from full disclosure under the Freedom of Information Act.  Generally, however, the Department is required under the Privacy Act to withhold the disclosure of personally identifiable information to the extent such information is supplied in response to the information collection.</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rPr>
      </w:pPr>
      <w:bookmarkStart w:id="13" w:name="_Toc412453224"/>
      <w:r w:rsidRPr="00E57983">
        <w:rPr>
          <w:rFonts w:cs="Arial"/>
          <w:i/>
        </w:rPr>
        <w:t>A.11. Justification for any sensitive questions</w:t>
      </w:r>
      <w:r w:rsidRPr="00E57983">
        <w:rPr>
          <w:rFonts w:cs="Arial"/>
        </w:rPr>
        <w:t>.</w:t>
      </w:r>
      <w:bookmarkEnd w:id="13"/>
      <w:r w:rsidRPr="00E57983">
        <w:rPr>
          <w:rFonts w:cs="Arial"/>
        </w:rPr>
        <w:t xml:space="preserve">  </w:t>
      </w:r>
    </w:p>
    <w:p w:rsidR="007138C1" w:rsidRPr="00E57983" w:rsidRDefault="007138C1" w:rsidP="007138C1">
      <w:pPr>
        <w:outlineLvl w:val="1"/>
        <w:rPr>
          <w:rFonts w:cs="Arial"/>
        </w:rPr>
      </w:pP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E57983">
        <w:rPr>
          <w:rFonts w:cs="Arial"/>
        </w:rPr>
        <w:t>The information collected does not involve sensitive matters.</w:t>
      </w:r>
    </w:p>
    <w:p w:rsidR="007138C1" w:rsidRPr="00E57983" w:rsidRDefault="007138C1" w:rsidP="007138C1">
      <w:pPr>
        <w:rPr>
          <w:rFonts w:cs="Arial"/>
        </w:rPr>
      </w:pPr>
      <w:r w:rsidRPr="00E57983">
        <w:rPr>
          <w:rFonts w:cs="Arial"/>
        </w:rPr>
        <w:t xml:space="preserve"> </w:t>
      </w:r>
    </w:p>
    <w:p w:rsidR="007138C1" w:rsidRPr="00E57983" w:rsidRDefault="007138C1" w:rsidP="007138C1">
      <w:pPr>
        <w:rPr>
          <w:rFonts w:cs="Arial"/>
        </w:rPr>
      </w:pPr>
    </w:p>
    <w:p w:rsidR="007138C1" w:rsidRPr="00E57983" w:rsidRDefault="007138C1" w:rsidP="007138C1">
      <w:pPr>
        <w:outlineLvl w:val="1"/>
        <w:rPr>
          <w:rFonts w:cs="Arial"/>
        </w:rPr>
      </w:pPr>
      <w:bookmarkStart w:id="14" w:name="_Toc412453225"/>
      <w:r w:rsidRPr="00E57983">
        <w:rPr>
          <w:rFonts w:cs="Arial"/>
        </w:rPr>
        <w:t>A</w:t>
      </w:r>
      <w:r w:rsidRPr="00E57983">
        <w:rPr>
          <w:rFonts w:cs="Arial"/>
          <w:i/>
        </w:rPr>
        <w:t>.12</w:t>
      </w:r>
      <w:proofErr w:type="gramStart"/>
      <w:r w:rsidRPr="00E57983">
        <w:rPr>
          <w:rFonts w:cs="Arial"/>
          <w:i/>
        </w:rPr>
        <w:t>.  Estimated</w:t>
      </w:r>
      <w:proofErr w:type="gramEnd"/>
      <w:r w:rsidRPr="00E57983">
        <w:rPr>
          <w:rFonts w:cs="Arial"/>
          <w:i/>
        </w:rPr>
        <w:t xml:space="preserve"> hourly burden.</w:t>
      </w:r>
      <w:bookmarkEnd w:id="14"/>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138C1" w:rsidRDefault="007138C1" w:rsidP="007138C1">
      <w:pPr>
        <w:tabs>
          <w:tab w:val="left" w:pos="-1440"/>
        </w:tabs>
        <w:rPr>
          <w:rFonts w:cs="Arial"/>
        </w:rPr>
      </w:pPr>
      <w:r w:rsidRPr="00E57983">
        <w:rPr>
          <w:rFonts w:cs="Arial"/>
        </w:rPr>
        <w:t>Based on previous program experience, the Department estimates it will receive approximately</w:t>
      </w:r>
      <w:r>
        <w:rPr>
          <w:rFonts w:cs="Arial"/>
        </w:rPr>
        <w:t xml:space="preserve"> 9,253 requests for prevailing wage determinations in the H-2B program each year of which </w:t>
      </w:r>
      <w:r w:rsidRPr="00757D5D">
        <w:rPr>
          <w:rFonts w:cs="Arial"/>
        </w:rPr>
        <w:t>3 percent</w:t>
      </w:r>
      <w:r>
        <w:rPr>
          <w:rFonts w:cs="Arial"/>
        </w:rPr>
        <w:t xml:space="preserve"> will request the use of a</w:t>
      </w:r>
      <w:r w:rsidR="00561BB5">
        <w:rPr>
          <w:rFonts w:cs="Arial"/>
        </w:rPr>
        <w:t>n</w:t>
      </w:r>
      <w:r>
        <w:rPr>
          <w:rFonts w:cs="Arial"/>
        </w:rPr>
        <w:t xml:space="preserve"> </w:t>
      </w:r>
      <w:r w:rsidR="00561BB5">
        <w:rPr>
          <w:rFonts w:cs="Arial"/>
        </w:rPr>
        <w:t>employer-provided</w:t>
      </w:r>
      <w:r>
        <w:rPr>
          <w:rFonts w:cs="Arial"/>
        </w:rPr>
        <w:t xml:space="preserve"> survey or a State survey and need to attach the </w:t>
      </w:r>
      <w:r w:rsidR="00C31171">
        <w:rPr>
          <w:rFonts w:cs="Arial"/>
        </w:rPr>
        <w:t>Form-</w:t>
      </w:r>
      <w:r w:rsidR="00E23B26">
        <w:rPr>
          <w:rFonts w:cs="Arial"/>
        </w:rPr>
        <w:t>ETA 9165</w:t>
      </w:r>
      <w:r>
        <w:rPr>
          <w:rFonts w:cs="Arial"/>
        </w:rPr>
        <w:t xml:space="preserve"> for a total of 278 </w:t>
      </w:r>
      <w:r w:rsidR="00C31171">
        <w:rPr>
          <w:rFonts w:cs="Arial"/>
        </w:rPr>
        <w:t xml:space="preserve">Form </w:t>
      </w:r>
      <w:r w:rsidR="00E23B26">
        <w:rPr>
          <w:rFonts w:cs="Arial"/>
        </w:rPr>
        <w:t>ETA</w:t>
      </w:r>
      <w:r w:rsidR="00C31171">
        <w:rPr>
          <w:rFonts w:cs="Arial"/>
        </w:rPr>
        <w:t>-</w:t>
      </w:r>
      <w:r w:rsidR="00E23B26">
        <w:rPr>
          <w:rFonts w:cs="Arial"/>
        </w:rPr>
        <w:t>9165</w:t>
      </w:r>
      <w:r>
        <w:rPr>
          <w:rFonts w:cs="Arial"/>
        </w:rPr>
        <w:t xml:space="preserve">s being filed each year.  </w:t>
      </w:r>
      <w:r w:rsidRPr="00E57983">
        <w:rPr>
          <w:rFonts w:cs="Arial"/>
        </w:rPr>
        <w:t xml:space="preserve">The total hourly burden for this information collection is </w:t>
      </w:r>
      <w:r>
        <w:rPr>
          <w:rFonts w:cs="Arial"/>
        </w:rPr>
        <w:t>348 hours</w:t>
      </w:r>
      <w:r w:rsidRPr="00E57983">
        <w:rPr>
          <w:rFonts w:cs="Arial"/>
        </w:rPr>
        <w:t xml:space="preserve"> and explained below. </w:t>
      </w:r>
    </w:p>
    <w:p w:rsidR="00130FAF" w:rsidRPr="00E57983" w:rsidRDefault="00130FAF" w:rsidP="007138C1">
      <w:pPr>
        <w:tabs>
          <w:tab w:val="left" w:pos="-1440"/>
        </w:tabs>
        <w:rPr>
          <w:rFonts w:cs="Arial"/>
        </w:rPr>
      </w:pPr>
    </w:p>
    <w:p w:rsidR="007138C1" w:rsidRPr="00E57983" w:rsidRDefault="007138C1" w:rsidP="007138C1">
      <w:pPr>
        <w:tabs>
          <w:tab w:val="left" w:pos="-1440"/>
        </w:tabs>
        <w:rPr>
          <w:rFonts w:cs="Arial"/>
        </w:rPr>
      </w:pPr>
    </w:p>
    <w:p w:rsidR="007138C1" w:rsidRPr="00BC2ED0" w:rsidRDefault="007138C1" w:rsidP="007138C1">
      <w:pPr>
        <w:pStyle w:val="ListParagraph"/>
        <w:numPr>
          <w:ilvl w:val="0"/>
          <w:numId w:val="12"/>
        </w:numPr>
        <w:tabs>
          <w:tab w:val="left" w:pos="-1440"/>
        </w:tabs>
        <w:rPr>
          <w:rFonts w:cs="Arial"/>
          <w:u w:val="single"/>
        </w:rPr>
      </w:pPr>
      <w:r w:rsidRPr="00BC2ED0">
        <w:rPr>
          <w:rFonts w:cs="Arial"/>
          <w:u w:val="single"/>
        </w:rPr>
        <w:lastRenderedPageBreak/>
        <w:t>Prevailing Wage Requirements 20 CFR 655.10</w:t>
      </w:r>
    </w:p>
    <w:p w:rsidR="007138C1" w:rsidRDefault="007138C1" w:rsidP="007138C1">
      <w:pPr>
        <w:tabs>
          <w:tab w:val="left" w:pos="-1440"/>
        </w:tabs>
        <w:rPr>
          <w:rFonts w:cs="Arial"/>
        </w:rPr>
      </w:pPr>
    </w:p>
    <w:p w:rsidR="00D32A9D" w:rsidRPr="00E57983" w:rsidRDefault="00D32A9D" w:rsidP="007138C1">
      <w:pPr>
        <w:tabs>
          <w:tab w:val="left" w:pos="-1440"/>
        </w:tabs>
        <w:rPr>
          <w:rFonts w:cs="Arial"/>
        </w:rPr>
      </w:pPr>
    </w:p>
    <w:p w:rsidR="007138C1" w:rsidRPr="00E57983" w:rsidRDefault="007138C1" w:rsidP="007138C1">
      <w:pPr>
        <w:pStyle w:val="ListParagraph"/>
        <w:numPr>
          <w:ilvl w:val="0"/>
          <w:numId w:val="11"/>
        </w:numPr>
        <w:rPr>
          <w:rFonts w:cs="Arial"/>
          <w:color w:val="000000"/>
        </w:rPr>
      </w:pPr>
      <w:r w:rsidRPr="00E57983">
        <w:rPr>
          <w:rFonts w:cs="Arial"/>
          <w:color w:val="000000"/>
        </w:rPr>
        <w:t xml:space="preserve"> </w:t>
      </w:r>
      <w:r>
        <w:rPr>
          <w:rFonts w:cs="Arial"/>
          <w:color w:val="000000"/>
        </w:rPr>
        <w:t xml:space="preserve">Requests for Prevailing Wage </w:t>
      </w:r>
      <w:r w:rsidRPr="00E57983">
        <w:rPr>
          <w:rFonts w:cs="Arial"/>
          <w:color w:val="000000"/>
        </w:rPr>
        <w:t>Determinations. 20 CFR 655.10(</w:t>
      </w:r>
      <w:r>
        <w:rPr>
          <w:rFonts w:cs="Arial"/>
          <w:color w:val="000000"/>
        </w:rPr>
        <w:t>c</w:t>
      </w:r>
      <w:r w:rsidRPr="00E57983">
        <w:rPr>
          <w:rFonts w:cs="Arial"/>
          <w:color w:val="000000"/>
        </w:rPr>
        <w:t xml:space="preserve">) </w:t>
      </w:r>
    </w:p>
    <w:p w:rsidR="007138C1" w:rsidRPr="00E57983" w:rsidRDefault="007138C1" w:rsidP="007138C1">
      <w:pPr>
        <w:rPr>
          <w:rFonts w:cs="Arial"/>
          <w:color w:val="000000"/>
        </w:rPr>
      </w:pPr>
    </w:p>
    <w:p w:rsidR="007138C1" w:rsidRDefault="007138C1" w:rsidP="007138C1">
      <w:pPr>
        <w:rPr>
          <w:rFonts w:cs="Arial"/>
          <w:color w:val="000000"/>
        </w:rPr>
      </w:pPr>
      <w:r>
        <w:rPr>
          <w:rFonts w:cs="Arial"/>
          <w:color w:val="000000"/>
        </w:rPr>
        <w:t>The burden for this section of the regulation is accounted for in the Information Collection for the Prevailing Wage Determination form ETA-9141 (OMB Control number 1205-0508).</w:t>
      </w:r>
    </w:p>
    <w:p w:rsidR="007138C1" w:rsidRPr="00E57983" w:rsidRDefault="007138C1" w:rsidP="007138C1">
      <w:pPr>
        <w:rPr>
          <w:rFonts w:cs="Arial"/>
          <w:color w:val="000000"/>
        </w:rPr>
      </w:pPr>
    </w:p>
    <w:p w:rsidR="007138C1" w:rsidRPr="0038356E" w:rsidRDefault="007138C1" w:rsidP="007138C1">
      <w:pPr>
        <w:pStyle w:val="ListParagraph"/>
        <w:numPr>
          <w:ilvl w:val="0"/>
          <w:numId w:val="11"/>
        </w:numPr>
        <w:rPr>
          <w:rFonts w:cs="Arial"/>
          <w:color w:val="000000"/>
        </w:rPr>
      </w:pPr>
      <w:r>
        <w:rPr>
          <w:rFonts w:cs="Arial"/>
          <w:color w:val="000000"/>
        </w:rPr>
        <w:t>Employer-provided wage surveys 20 CFR 655.10(f)</w:t>
      </w:r>
      <w:r w:rsidRPr="0038356E">
        <w:rPr>
          <w:rFonts w:cs="Arial"/>
          <w:color w:val="000000"/>
        </w:rPr>
        <w:t xml:space="preserve"> </w:t>
      </w:r>
    </w:p>
    <w:p w:rsidR="007138C1" w:rsidRDefault="007138C1" w:rsidP="007138C1">
      <w:pPr>
        <w:rPr>
          <w:rFonts w:cs="Arial"/>
          <w:color w:val="000000"/>
        </w:rPr>
      </w:pPr>
    </w:p>
    <w:p w:rsidR="007138C1" w:rsidRPr="0038356E" w:rsidRDefault="007138C1" w:rsidP="007138C1">
      <w:pPr>
        <w:rPr>
          <w:rFonts w:cs="Arial"/>
          <w:color w:val="000000"/>
        </w:rPr>
      </w:pPr>
      <w:r w:rsidRPr="0038356E">
        <w:rPr>
          <w:rFonts w:cs="Arial"/>
          <w:color w:val="000000"/>
        </w:rPr>
        <w:t>An employer may choose to submit a</w:t>
      </w:r>
      <w:r w:rsidR="00757D5D">
        <w:rPr>
          <w:rFonts w:cs="Arial"/>
          <w:color w:val="000000"/>
        </w:rPr>
        <w:t>n</w:t>
      </w:r>
      <w:r w:rsidRPr="0038356E">
        <w:rPr>
          <w:rFonts w:cs="Arial"/>
          <w:color w:val="000000"/>
        </w:rPr>
        <w:t xml:space="preserve"> </w:t>
      </w:r>
      <w:r w:rsidR="00561BB5">
        <w:rPr>
          <w:rFonts w:cs="Arial"/>
          <w:color w:val="000000"/>
        </w:rPr>
        <w:t>employer-provided</w:t>
      </w:r>
      <w:r w:rsidRPr="0038356E">
        <w:rPr>
          <w:rFonts w:cs="Arial"/>
          <w:color w:val="000000"/>
        </w:rPr>
        <w:t xml:space="preserve"> survey to establish the prevailing wage</w:t>
      </w:r>
      <w:r w:rsidR="00757D5D">
        <w:rPr>
          <w:rFonts w:cs="Arial"/>
          <w:color w:val="000000"/>
        </w:rPr>
        <w:t xml:space="preserve"> for an occupation</w:t>
      </w:r>
      <w:r w:rsidRPr="0038356E">
        <w:rPr>
          <w:rFonts w:cs="Arial"/>
          <w:color w:val="000000"/>
        </w:rPr>
        <w:t xml:space="preserve"> in the area of intended employment.  The </w:t>
      </w:r>
      <w:r w:rsidR="00600000">
        <w:rPr>
          <w:rFonts w:cs="Arial"/>
          <w:color w:val="000000"/>
        </w:rPr>
        <w:t>Final Rule</w:t>
      </w:r>
      <w:r w:rsidRPr="0038356E">
        <w:rPr>
          <w:rFonts w:cs="Arial"/>
          <w:color w:val="000000"/>
        </w:rPr>
        <w:t xml:space="preserve"> require</w:t>
      </w:r>
      <w:r w:rsidR="00600000">
        <w:rPr>
          <w:rFonts w:cs="Arial"/>
          <w:color w:val="000000"/>
        </w:rPr>
        <w:t>s</w:t>
      </w:r>
      <w:r w:rsidRPr="0038356E">
        <w:rPr>
          <w:rFonts w:cs="Arial"/>
          <w:color w:val="000000"/>
        </w:rPr>
        <w:t xml:space="preserve"> that any employer who submits a</w:t>
      </w:r>
      <w:r w:rsidR="00757D5D">
        <w:rPr>
          <w:rFonts w:cs="Arial"/>
          <w:color w:val="000000"/>
        </w:rPr>
        <w:t>n</w:t>
      </w:r>
      <w:r w:rsidRPr="0038356E">
        <w:rPr>
          <w:rFonts w:cs="Arial"/>
          <w:color w:val="000000"/>
        </w:rPr>
        <w:t xml:space="preserve"> </w:t>
      </w:r>
      <w:r w:rsidR="00561BB5">
        <w:rPr>
          <w:rFonts w:cs="Arial"/>
          <w:color w:val="000000"/>
        </w:rPr>
        <w:t>employer-provided</w:t>
      </w:r>
      <w:r w:rsidRPr="0038356E">
        <w:rPr>
          <w:rFonts w:cs="Arial"/>
          <w:color w:val="000000"/>
        </w:rPr>
        <w:t xml:space="preserve"> survey </w:t>
      </w:r>
      <w:r w:rsidR="00757D5D">
        <w:rPr>
          <w:rFonts w:cs="Arial"/>
          <w:color w:val="000000"/>
        </w:rPr>
        <w:t>attest</w:t>
      </w:r>
      <w:r w:rsidR="00757D5D" w:rsidRPr="0038356E">
        <w:rPr>
          <w:rFonts w:cs="Arial"/>
          <w:color w:val="000000"/>
        </w:rPr>
        <w:t xml:space="preserve"> </w:t>
      </w:r>
      <w:r w:rsidRPr="0038356E">
        <w:rPr>
          <w:rFonts w:cs="Arial"/>
          <w:color w:val="000000"/>
        </w:rPr>
        <w:t>that the survey meets the requirements of the regulations.</w:t>
      </w:r>
      <w:r>
        <w:rPr>
          <w:rFonts w:cs="Arial"/>
          <w:color w:val="000000"/>
        </w:rPr>
        <w:t xml:space="preserve">  The </w:t>
      </w:r>
      <w:r w:rsidR="00757D5D">
        <w:rPr>
          <w:rFonts w:cs="Arial"/>
          <w:color w:val="000000"/>
        </w:rPr>
        <w:t xml:space="preserve">attestation </w:t>
      </w:r>
      <w:r>
        <w:rPr>
          <w:rFonts w:cs="Arial"/>
          <w:color w:val="000000"/>
        </w:rPr>
        <w:t xml:space="preserve">is made on </w:t>
      </w:r>
      <w:r w:rsidR="00C31171">
        <w:rPr>
          <w:rFonts w:cs="Arial"/>
          <w:color w:val="000000"/>
        </w:rPr>
        <w:t xml:space="preserve">Form </w:t>
      </w:r>
      <w:r w:rsidR="00E23B26">
        <w:rPr>
          <w:rFonts w:cs="Arial"/>
          <w:color w:val="000000"/>
        </w:rPr>
        <w:t>ETA</w:t>
      </w:r>
      <w:r w:rsidR="00C31171">
        <w:rPr>
          <w:rFonts w:cs="Arial"/>
          <w:color w:val="000000"/>
        </w:rPr>
        <w:t>-</w:t>
      </w:r>
      <w:r w:rsidR="00E23B26">
        <w:rPr>
          <w:rFonts w:cs="Arial"/>
          <w:color w:val="000000"/>
        </w:rPr>
        <w:t>9165</w:t>
      </w:r>
      <w:r w:rsidRPr="0038356E">
        <w:rPr>
          <w:rFonts w:cs="Arial"/>
          <w:color w:val="000000"/>
        </w:rPr>
        <w:t xml:space="preserve">.  </w:t>
      </w:r>
      <w:r w:rsidR="00C31171">
        <w:rPr>
          <w:rFonts w:cs="Arial"/>
          <w:color w:val="000000"/>
        </w:rPr>
        <w:t xml:space="preserve">Form </w:t>
      </w:r>
      <w:r w:rsidR="00E23B26">
        <w:rPr>
          <w:rFonts w:cs="Arial"/>
          <w:color w:val="000000"/>
        </w:rPr>
        <w:t>ETA</w:t>
      </w:r>
      <w:r w:rsidR="00C31171">
        <w:rPr>
          <w:rFonts w:cs="Arial"/>
          <w:color w:val="000000"/>
        </w:rPr>
        <w:t>-</w:t>
      </w:r>
      <w:r w:rsidR="00E23B26">
        <w:rPr>
          <w:rFonts w:cs="Arial"/>
          <w:color w:val="000000"/>
        </w:rPr>
        <w:t>9165</w:t>
      </w:r>
      <w:r w:rsidRPr="0038356E">
        <w:rPr>
          <w:rFonts w:cs="Arial"/>
          <w:color w:val="000000"/>
        </w:rPr>
        <w:t xml:space="preserve"> contains specific information about the survey methodology, including such items as sample size and source, sample selection procedures, and survey job descriptions, to allow a determination of the adequacy of the data provided and validity of the statistical methodology used in conducting the survey.  </w:t>
      </w:r>
    </w:p>
    <w:p w:rsidR="007138C1" w:rsidRDefault="007138C1" w:rsidP="007138C1">
      <w:pPr>
        <w:rPr>
          <w:rFonts w:cs="Arial"/>
          <w:color w:val="000000"/>
        </w:rPr>
      </w:pPr>
    </w:p>
    <w:p w:rsidR="007138C1" w:rsidRDefault="007138C1" w:rsidP="007138C1">
      <w:pPr>
        <w:rPr>
          <w:rFonts w:cs="Arial"/>
          <w:color w:val="000000"/>
        </w:rPr>
      </w:pPr>
      <w:r>
        <w:rPr>
          <w:rFonts w:cs="Arial"/>
          <w:color w:val="000000"/>
        </w:rPr>
        <w:t xml:space="preserve">The Department estimates it will receive 278 </w:t>
      </w:r>
      <w:r w:rsidR="00757D5D">
        <w:rPr>
          <w:rFonts w:cs="Arial"/>
          <w:color w:val="000000"/>
        </w:rPr>
        <w:t xml:space="preserve">employer-provided </w:t>
      </w:r>
      <w:r>
        <w:rPr>
          <w:rFonts w:cs="Arial"/>
          <w:color w:val="000000"/>
        </w:rPr>
        <w:t xml:space="preserve">surveys each year and that it will take respondents an average of 75 minutes to complete the </w:t>
      </w:r>
      <w:r w:rsidR="00E23B26">
        <w:rPr>
          <w:rFonts w:cs="Arial"/>
          <w:color w:val="000000"/>
        </w:rPr>
        <w:t>Form</w:t>
      </w:r>
      <w:r w:rsidR="00C31171">
        <w:rPr>
          <w:rFonts w:cs="Arial"/>
          <w:color w:val="000000"/>
        </w:rPr>
        <w:t xml:space="preserve"> ETA-</w:t>
      </w:r>
      <w:r w:rsidR="00E23B26">
        <w:rPr>
          <w:rFonts w:cs="Arial"/>
          <w:color w:val="000000"/>
        </w:rPr>
        <w:t>9165</w:t>
      </w:r>
      <w:r>
        <w:rPr>
          <w:rFonts w:cs="Arial"/>
          <w:color w:val="000000"/>
        </w:rPr>
        <w:t xml:space="preserve"> for a total of 348 reporting hours. </w:t>
      </w:r>
      <w:r w:rsidRPr="002E553D">
        <w:rPr>
          <w:rFonts w:cs="Arial"/>
          <w:color w:val="000000"/>
        </w:rPr>
        <w:t xml:space="preserve">The Department views the burden on respondents to complete the </w:t>
      </w:r>
      <w:r w:rsidR="00C31171">
        <w:rPr>
          <w:rFonts w:cs="Arial"/>
          <w:color w:val="000000"/>
        </w:rPr>
        <w:t xml:space="preserve">Form </w:t>
      </w:r>
      <w:r w:rsidR="00E23B26">
        <w:rPr>
          <w:rFonts w:cs="Arial"/>
          <w:color w:val="000000"/>
        </w:rPr>
        <w:t>ETA</w:t>
      </w:r>
      <w:r w:rsidR="00C31171">
        <w:rPr>
          <w:rFonts w:cs="Arial"/>
          <w:color w:val="000000"/>
        </w:rPr>
        <w:t>-</w:t>
      </w:r>
      <w:r w:rsidR="00E23B26">
        <w:rPr>
          <w:rFonts w:cs="Arial"/>
          <w:color w:val="000000"/>
        </w:rPr>
        <w:t>9165</w:t>
      </w:r>
      <w:r w:rsidRPr="002E553D">
        <w:rPr>
          <w:rFonts w:cs="Arial"/>
          <w:color w:val="000000"/>
        </w:rPr>
        <w:t xml:space="preserve"> as a two-step process.  We conclude that third-party surveyors will take</w:t>
      </w:r>
      <w:r>
        <w:rPr>
          <w:rFonts w:cs="Arial"/>
          <w:color w:val="000000"/>
        </w:rPr>
        <w:t>, on average,</w:t>
      </w:r>
      <w:r w:rsidRPr="002E553D">
        <w:rPr>
          <w:rFonts w:cs="Arial"/>
          <w:color w:val="000000"/>
        </w:rPr>
        <w:t xml:space="preserve"> 50 minutes to compile the information necessary for the employer to complete </w:t>
      </w:r>
      <w:r w:rsidR="00C31171">
        <w:rPr>
          <w:rFonts w:cs="Arial"/>
          <w:color w:val="000000"/>
        </w:rPr>
        <w:t xml:space="preserve">Form </w:t>
      </w:r>
      <w:r w:rsidR="00E23B26">
        <w:rPr>
          <w:rFonts w:cs="Arial"/>
          <w:color w:val="000000"/>
        </w:rPr>
        <w:t>ETA</w:t>
      </w:r>
      <w:r w:rsidR="00C31171">
        <w:rPr>
          <w:rFonts w:cs="Arial"/>
          <w:color w:val="000000"/>
        </w:rPr>
        <w:t>-</w:t>
      </w:r>
      <w:r w:rsidR="00E23B26">
        <w:rPr>
          <w:rFonts w:cs="Arial"/>
          <w:color w:val="000000"/>
        </w:rPr>
        <w:t>9165</w:t>
      </w:r>
      <w:r w:rsidRPr="002E553D">
        <w:rPr>
          <w:rFonts w:cs="Arial"/>
          <w:color w:val="000000"/>
        </w:rPr>
        <w:t>.  In turn, we conclude that employers will take</w:t>
      </w:r>
      <w:r>
        <w:rPr>
          <w:rFonts w:cs="Arial"/>
          <w:color w:val="000000"/>
        </w:rPr>
        <w:t>, on average,</w:t>
      </w:r>
      <w:r w:rsidRPr="002E553D">
        <w:rPr>
          <w:rFonts w:cs="Arial"/>
          <w:color w:val="000000"/>
        </w:rPr>
        <w:t xml:space="preserve"> 2</w:t>
      </w:r>
      <w:r>
        <w:rPr>
          <w:rFonts w:cs="Arial"/>
          <w:color w:val="000000"/>
        </w:rPr>
        <w:t xml:space="preserve">5 minutes to complete and sign </w:t>
      </w:r>
      <w:r w:rsidR="00C31171">
        <w:rPr>
          <w:rFonts w:cs="Arial"/>
          <w:color w:val="000000"/>
        </w:rPr>
        <w:t xml:space="preserve">Form </w:t>
      </w:r>
      <w:r w:rsidR="00E23B26">
        <w:rPr>
          <w:rFonts w:cs="Arial"/>
          <w:color w:val="000000"/>
        </w:rPr>
        <w:t>ETA</w:t>
      </w:r>
      <w:r w:rsidR="00C31171">
        <w:rPr>
          <w:rFonts w:cs="Arial"/>
          <w:color w:val="000000"/>
        </w:rPr>
        <w:t>-</w:t>
      </w:r>
      <w:r w:rsidR="00E23B26">
        <w:rPr>
          <w:rFonts w:cs="Arial"/>
          <w:color w:val="000000"/>
        </w:rPr>
        <w:t>9165</w:t>
      </w:r>
      <w:r w:rsidRPr="002E553D">
        <w:rPr>
          <w:rFonts w:cs="Arial"/>
          <w:color w:val="000000"/>
        </w:rPr>
        <w:t xml:space="preserve"> once the third-party surveyor supplies the necessary information.  </w:t>
      </w:r>
    </w:p>
    <w:p w:rsidR="007138C1" w:rsidRPr="0038356E" w:rsidRDefault="007138C1" w:rsidP="007138C1">
      <w:pPr>
        <w:rPr>
          <w:rFonts w:cs="Arial"/>
          <w:color w:val="000000"/>
        </w:rPr>
      </w:pPr>
    </w:p>
    <w:p w:rsidR="007138C1" w:rsidRPr="0038356E" w:rsidRDefault="007138C1" w:rsidP="007138C1">
      <w:pPr>
        <w:pStyle w:val="ListParagraph"/>
        <w:numPr>
          <w:ilvl w:val="0"/>
          <w:numId w:val="11"/>
        </w:numPr>
        <w:rPr>
          <w:rFonts w:cs="Arial"/>
          <w:color w:val="000000"/>
        </w:rPr>
      </w:pPr>
      <w:r>
        <w:rPr>
          <w:rFonts w:cs="Arial"/>
          <w:color w:val="000000"/>
        </w:rPr>
        <w:t>Submission of supplemental information by employer 20 CFR 655.10(g)</w:t>
      </w:r>
    </w:p>
    <w:p w:rsidR="007138C1" w:rsidRDefault="007138C1" w:rsidP="007138C1">
      <w:pPr>
        <w:rPr>
          <w:rFonts w:cs="Arial"/>
          <w:color w:val="000000"/>
        </w:rPr>
      </w:pPr>
    </w:p>
    <w:p w:rsidR="007138C1" w:rsidRDefault="00757D5D" w:rsidP="007138C1">
      <w:pPr>
        <w:rPr>
          <w:rFonts w:cs="Arial"/>
          <w:color w:val="000000"/>
        </w:rPr>
      </w:pPr>
      <w:r>
        <w:rPr>
          <w:rFonts w:cs="Arial"/>
          <w:color w:val="000000"/>
        </w:rPr>
        <w:t>Employer-provided s</w:t>
      </w:r>
      <w:r w:rsidR="007138C1">
        <w:rPr>
          <w:rFonts w:cs="Arial"/>
          <w:color w:val="000000"/>
        </w:rPr>
        <w:t xml:space="preserve">urveys are filed with the Department’s </w:t>
      </w:r>
      <w:r w:rsidR="007138C1" w:rsidRPr="00E57983">
        <w:rPr>
          <w:rFonts w:cs="Arial"/>
          <w:color w:val="000000"/>
        </w:rPr>
        <w:t>N</w:t>
      </w:r>
      <w:r w:rsidR="007138C1">
        <w:rPr>
          <w:rFonts w:cs="Arial"/>
          <w:color w:val="000000"/>
        </w:rPr>
        <w:t xml:space="preserve">ational </w:t>
      </w:r>
      <w:r w:rsidR="007138C1" w:rsidRPr="00E57983">
        <w:rPr>
          <w:rFonts w:cs="Arial"/>
          <w:color w:val="000000"/>
        </w:rPr>
        <w:t>P</w:t>
      </w:r>
      <w:r w:rsidR="007138C1">
        <w:rPr>
          <w:rFonts w:cs="Arial"/>
          <w:color w:val="000000"/>
        </w:rPr>
        <w:t xml:space="preserve">revailing Wage </w:t>
      </w:r>
      <w:r w:rsidR="007138C1" w:rsidRPr="00E57983">
        <w:rPr>
          <w:rFonts w:cs="Arial"/>
          <w:color w:val="000000"/>
        </w:rPr>
        <w:t>C</w:t>
      </w:r>
      <w:r w:rsidR="007138C1">
        <w:rPr>
          <w:rFonts w:cs="Arial"/>
          <w:color w:val="000000"/>
        </w:rPr>
        <w:t>enter</w:t>
      </w:r>
      <w:r w:rsidR="007138C1" w:rsidRPr="00E57983">
        <w:rPr>
          <w:rFonts w:cs="Arial"/>
          <w:color w:val="000000"/>
        </w:rPr>
        <w:t xml:space="preserve"> </w:t>
      </w:r>
      <w:r w:rsidR="007138C1">
        <w:rPr>
          <w:rFonts w:cs="Arial"/>
          <w:color w:val="000000"/>
        </w:rPr>
        <w:t xml:space="preserve">(NPWC).  If the NPWC </w:t>
      </w:r>
      <w:r w:rsidR="007138C1" w:rsidRPr="00E57983">
        <w:rPr>
          <w:rFonts w:cs="Arial"/>
          <w:color w:val="000000"/>
        </w:rPr>
        <w:t>informs the employer its survey is not acceptable, the employer may submit supplemental information to the NP</w:t>
      </w:r>
      <w:r w:rsidR="007138C1">
        <w:rPr>
          <w:rFonts w:cs="Arial"/>
          <w:color w:val="000000"/>
        </w:rPr>
        <w:t>W</w:t>
      </w:r>
      <w:r w:rsidR="007138C1" w:rsidRPr="00E57983">
        <w:rPr>
          <w:rFonts w:cs="Arial"/>
          <w:color w:val="000000"/>
        </w:rPr>
        <w:t xml:space="preserve">C. </w:t>
      </w:r>
      <w:r w:rsidR="007138C1">
        <w:rPr>
          <w:rFonts w:cs="Arial"/>
          <w:color w:val="000000"/>
        </w:rPr>
        <w:t xml:space="preserve"> The burden for this section of the regulation is accounted for in the Information Collection for the Prevailing Wage Determination form ETA-9141 (OMB Control number 1205-0508).</w:t>
      </w:r>
    </w:p>
    <w:p w:rsidR="007138C1" w:rsidRDefault="007138C1" w:rsidP="007138C1">
      <w:pPr>
        <w:rPr>
          <w:rFonts w:cs="Arial"/>
          <w:color w:val="000000"/>
        </w:rPr>
      </w:pPr>
    </w:p>
    <w:p w:rsidR="007138C1" w:rsidRDefault="007138C1" w:rsidP="007138C1">
      <w:pPr>
        <w:pStyle w:val="ListParagraph"/>
        <w:numPr>
          <w:ilvl w:val="0"/>
          <w:numId w:val="13"/>
        </w:numPr>
        <w:rPr>
          <w:rFonts w:cs="Arial"/>
          <w:color w:val="000000"/>
        </w:rPr>
      </w:pPr>
      <w:r>
        <w:rPr>
          <w:rFonts w:cs="Arial"/>
          <w:color w:val="000000"/>
        </w:rPr>
        <w:t>Appeals 20 CFR 655.10(g)(3)</w:t>
      </w:r>
    </w:p>
    <w:p w:rsidR="007138C1" w:rsidRDefault="007138C1" w:rsidP="007138C1">
      <w:pPr>
        <w:rPr>
          <w:rFonts w:cs="Arial"/>
          <w:color w:val="000000"/>
        </w:rPr>
      </w:pPr>
    </w:p>
    <w:p w:rsidR="007138C1" w:rsidRPr="00E57983" w:rsidRDefault="007138C1" w:rsidP="007138C1">
      <w:pPr>
        <w:rPr>
          <w:rFonts w:cs="Arial"/>
          <w:color w:val="000000"/>
        </w:rPr>
      </w:pPr>
      <w:r>
        <w:rPr>
          <w:rFonts w:cs="Arial"/>
          <w:color w:val="000000"/>
        </w:rPr>
        <w:t xml:space="preserve">An </w:t>
      </w:r>
      <w:r w:rsidRPr="00E57983">
        <w:rPr>
          <w:rFonts w:cs="Arial"/>
          <w:color w:val="000000"/>
        </w:rPr>
        <w:t xml:space="preserve">employer </w:t>
      </w:r>
      <w:r>
        <w:rPr>
          <w:rFonts w:cs="Arial"/>
          <w:color w:val="000000"/>
        </w:rPr>
        <w:t xml:space="preserve">who does not agree with a prevailing wage determination </w:t>
      </w:r>
      <w:r w:rsidRPr="00E57983">
        <w:rPr>
          <w:rFonts w:cs="Arial"/>
          <w:color w:val="000000"/>
        </w:rPr>
        <w:t xml:space="preserve">may apply for a new wage determination, appeal </w:t>
      </w:r>
      <w:proofErr w:type="gramStart"/>
      <w:r w:rsidRPr="00E57983">
        <w:rPr>
          <w:rFonts w:cs="Arial"/>
          <w:color w:val="000000"/>
        </w:rPr>
        <w:t>under</w:t>
      </w:r>
      <w:proofErr w:type="gramEnd"/>
      <w:r>
        <w:rPr>
          <w:rFonts w:cs="Arial"/>
          <w:color w:val="000000"/>
        </w:rPr>
        <w:t xml:space="preserve"> 20 CFR 655.11, </w:t>
      </w:r>
      <w:r w:rsidRPr="00E57983">
        <w:rPr>
          <w:rFonts w:cs="Arial"/>
          <w:color w:val="000000"/>
        </w:rPr>
        <w:t xml:space="preserve">or acquiesce to the initial PWD. </w:t>
      </w:r>
      <w:r>
        <w:rPr>
          <w:rFonts w:cs="Arial"/>
          <w:color w:val="000000"/>
        </w:rPr>
        <w:t xml:space="preserve"> The burden calculations for applying for a new wage determination and appealing </w:t>
      </w:r>
      <w:proofErr w:type="gramStart"/>
      <w:r>
        <w:rPr>
          <w:rFonts w:cs="Arial"/>
          <w:color w:val="000000"/>
        </w:rPr>
        <w:t>under</w:t>
      </w:r>
      <w:proofErr w:type="gramEnd"/>
      <w:r>
        <w:rPr>
          <w:rFonts w:cs="Arial"/>
          <w:color w:val="000000"/>
        </w:rPr>
        <w:t xml:space="preserve"> 20 CFR 655.11 are accounted for in the Information Collection for the Prevailing Wage Determination form ETA-9141 (OMB Control number 1205-0508).  </w:t>
      </w:r>
    </w:p>
    <w:p w:rsidR="007138C1" w:rsidRDefault="007138C1" w:rsidP="007138C1">
      <w:pPr>
        <w:rPr>
          <w:rFonts w:cs="Arial"/>
          <w:color w:val="000000"/>
        </w:rPr>
      </w:pPr>
    </w:p>
    <w:p w:rsidR="00D32A9D" w:rsidRDefault="00D32A9D" w:rsidP="007138C1">
      <w:pPr>
        <w:rPr>
          <w:rFonts w:cs="Arial"/>
          <w:color w:val="000000"/>
        </w:rPr>
      </w:pPr>
    </w:p>
    <w:p w:rsidR="00D32A9D" w:rsidRDefault="00D32A9D" w:rsidP="007138C1">
      <w:pPr>
        <w:rPr>
          <w:rFonts w:cs="Arial"/>
          <w:color w:val="000000"/>
        </w:rPr>
      </w:pPr>
    </w:p>
    <w:p w:rsidR="00D32A9D" w:rsidRDefault="00D32A9D" w:rsidP="007138C1">
      <w:pPr>
        <w:rPr>
          <w:rFonts w:cs="Arial"/>
          <w:color w:val="000000"/>
        </w:rPr>
      </w:pPr>
    </w:p>
    <w:p w:rsidR="007138C1" w:rsidRDefault="007138C1" w:rsidP="007138C1">
      <w:pPr>
        <w:pStyle w:val="ListParagraph"/>
        <w:numPr>
          <w:ilvl w:val="0"/>
          <w:numId w:val="13"/>
        </w:numPr>
        <w:rPr>
          <w:rFonts w:cs="Arial"/>
          <w:color w:val="000000"/>
        </w:rPr>
      </w:pPr>
      <w:r>
        <w:rPr>
          <w:rFonts w:cs="Arial"/>
          <w:color w:val="000000"/>
        </w:rPr>
        <w:t>Retention of documentation 20 CFR 655.10(j)</w:t>
      </w:r>
    </w:p>
    <w:p w:rsidR="007138C1" w:rsidRDefault="007138C1" w:rsidP="007138C1">
      <w:pPr>
        <w:rPr>
          <w:rFonts w:cs="Arial"/>
          <w:color w:val="000000"/>
        </w:rPr>
      </w:pPr>
    </w:p>
    <w:p w:rsidR="007138C1" w:rsidRPr="00E57983" w:rsidRDefault="007138C1" w:rsidP="007138C1">
      <w:pPr>
        <w:rPr>
          <w:rFonts w:cs="Arial"/>
          <w:color w:val="000000"/>
        </w:rPr>
      </w:pPr>
      <w:r w:rsidRPr="00E57983">
        <w:rPr>
          <w:rFonts w:cs="Arial"/>
          <w:color w:val="000000"/>
        </w:rPr>
        <w:t>The employer must retain the P</w:t>
      </w:r>
      <w:r>
        <w:rPr>
          <w:rFonts w:cs="Arial"/>
          <w:color w:val="000000"/>
        </w:rPr>
        <w:t xml:space="preserve">revailing </w:t>
      </w:r>
      <w:r w:rsidRPr="00E57983">
        <w:rPr>
          <w:rFonts w:cs="Arial"/>
          <w:color w:val="000000"/>
        </w:rPr>
        <w:t>W</w:t>
      </w:r>
      <w:r>
        <w:rPr>
          <w:rFonts w:cs="Arial"/>
          <w:color w:val="000000"/>
        </w:rPr>
        <w:t xml:space="preserve">age </w:t>
      </w:r>
      <w:r w:rsidRPr="00E57983">
        <w:rPr>
          <w:rFonts w:cs="Arial"/>
          <w:color w:val="000000"/>
        </w:rPr>
        <w:t>D</w:t>
      </w:r>
      <w:r>
        <w:rPr>
          <w:rFonts w:cs="Arial"/>
          <w:color w:val="000000"/>
        </w:rPr>
        <w:t>etermination</w:t>
      </w:r>
      <w:r w:rsidRPr="00E57983">
        <w:rPr>
          <w:rFonts w:cs="Arial"/>
          <w:color w:val="000000"/>
        </w:rPr>
        <w:t xml:space="preserve"> for 3 years from the date of issuance or the date of a final determination on the Application for Temporary Employment Certification, whichever is later</w:t>
      </w:r>
      <w:r>
        <w:rPr>
          <w:rFonts w:cs="Arial"/>
          <w:color w:val="000000"/>
        </w:rPr>
        <w:t xml:space="preserve">.  The burden calculation for the retention requirement is accounted for in the Information Collection for the Prevailing Wage Determination form ETA-9141 (OMB Control number 1205-0508).  The employer is not required to retain the survey or the </w:t>
      </w:r>
      <w:r w:rsidR="00C31171">
        <w:rPr>
          <w:rFonts w:cs="Arial"/>
          <w:color w:val="000000"/>
        </w:rPr>
        <w:t xml:space="preserve">Form </w:t>
      </w:r>
      <w:r w:rsidR="00D32A9D">
        <w:rPr>
          <w:rFonts w:cs="Arial"/>
          <w:color w:val="000000"/>
        </w:rPr>
        <w:t>ETA</w:t>
      </w:r>
      <w:r w:rsidR="00C31171">
        <w:rPr>
          <w:rFonts w:cs="Arial"/>
          <w:color w:val="000000"/>
        </w:rPr>
        <w:t>-</w:t>
      </w:r>
      <w:r w:rsidR="00A704EA">
        <w:rPr>
          <w:rFonts w:cs="Arial"/>
          <w:color w:val="000000"/>
        </w:rPr>
        <w:t>9165</w:t>
      </w:r>
      <w:r>
        <w:rPr>
          <w:rFonts w:cs="Arial"/>
          <w:color w:val="000000"/>
        </w:rPr>
        <w:t xml:space="preserve">. </w:t>
      </w:r>
    </w:p>
    <w:p w:rsidR="007138C1" w:rsidRPr="00FD56B0" w:rsidRDefault="007138C1" w:rsidP="007138C1">
      <w:pPr>
        <w:rPr>
          <w:rFonts w:cs="Arial"/>
        </w:rPr>
      </w:pPr>
    </w:p>
    <w:p w:rsidR="007138C1" w:rsidRPr="00BC2ED0" w:rsidRDefault="007138C1" w:rsidP="007138C1">
      <w:pPr>
        <w:pStyle w:val="ListParagraph"/>
        <w:numPr>
          <w:ilvl w:val="0"/>
          <w:numId w:val="12"/>
        </w:numPr>
        <w:tabs>
          <w:tab w:val="left" w:pos="-1440"/>
        </w:tabs>
        <w:rPr>
          <w:rFonts w:cs="Arial"/>
          <w:u w:val="single"/>
        </w:rPr>
      </w:pPr>
      <w:r w:rsidRPr="00BC2ED0">
        <w:rPr>
          <w:rFonts w:cs="Arial"/>
          <w:u w:val="single"/>
        </w:rPr>
        <w:t xml:space="preserve">Total Annual Burden Hours </w:t>
      </w:r>
    </w:p>
    <w:p w:rsidR="007138C1" w:rsidRPr="00E57983" w:rsidRDefault="007138C1" w:rsidP="007138C1">
      <w:pPr>
        <w:rPr>
          <w:rFonts w:cs="Arial"/>
        </w:rPr>
      </w:pPr>
    </w:p>
    <w:p w:rsidR="007138C1" w:rsidRPr="00E57983" w:rsidRDefault="007138C1" w:rsidP="007138C1">
      <w:pPr>
        <w:rPr>
          <w:rFonts w:cs="Arial"/>
        </w:rPr>
      </w:pPr>
      <w:r>
        <w:rPr>
          <w:rFonts w:cs="Arial"/>
        </w:rPr>
        <w:t>348</w:t>
      </w:r>
      <w:r w:rsidRPr="00E57983">
        <w:rPr>
          <w:rFonts w:cs="Arial"/>
        </w:rPr>
        <w:t xml:space="preserve"> Reporting Hours</w:t>
      </w:r>
      <w:r>
        <w:rPr>
          <w:rFonts w:cs="Arial"/>
        </w:rPr>
        <w:t xml:space="preserve"> </w:t>
      </w:r>
      <w:r>
        <w:rPr>
          <w:rFonts w:cs="Arial"/>
        </w:rPr>
        <w:tab/>
        <w:t>(232 hours for third-party surveyor to compile information and transfer it to employer; 116 hours for employer to complete and sign the form)</w:t>
      </w:r>
    </w:p>
    <w:p w:rsidR="007138C1" w:rsidRPr="00E57983" w:rsidRDefault="007138C1" w:rsidP="007138C1">
      <w:pPr>
        <w:rPr>
          <w:rFonts w:cs="Arial"/>
        </w:rPr>
      </w:pPr>
      <w:r>
        <w:rPr>
          <w:rFonts w:cs="Arial"/>
        </w:rPr>
        <w:t>0</w:t>
      </w:r>
      <w:r w:rsidRPr="00E57983">
        <w:rPr>
          <w:rFonts w:cs="Arial"/>
        </w:rPr>
        <w:t xml:space="preserve"> Recordkeeping Hours</w:t>
      </w:r>
    </w:p>
    <w:p w:rsidR="007138C1" w:rsidRPr="00E57983" w:rsidRDefault="007138C1" w:rsidP="007138C1">
      <w:pPr>
        <w:rPr>
          <w:rFonts w:cs="Arial"/>
        </w:rPr>
      </w:pPr>
      <w:r>
        <w:rPr>
          <w:rFonts w:cs="Arial"/>
        </w:rPr>
        <w:t>0</w:t>
      </w:r>
      <w:r w:rsidRPr="00E57983">
        <w:rPr>
          <w:rFonts w:cs="Arial"/>
        </w:rPr>
        <w:t xml:space="preserve"> Third Party Disclosure Hours</w:t>
      </w:r>
    </w:p>
    <w:p w:rsidR="007138C1" w:rsidRDefault="007138C1" w:rsidP="007138C1">
      <w:pPr>
        <w:rPr>
          <w:rFonts w:cs="Arial"/>
        </w:rPr>
      </w:pPr>
    </w:p>
    <w:p w:rsidR="007138C1" w:rsidRPr="00E57983" w:rsidRDefault="007138C1" w:rsidP="007138C1">
      <w:pPr>
        <w:rPr>
          <w:rFonts w:cs="Arial"/>
        </w:rPr>
      </w:pPr>
      <w:r>
        <w:rPr>
          <w:rFonts w:cs="Arial"/>
        </w:rPr>
        <w:t>348</w:t>
      </w:r>
      <w:r w:rsidRPr="00E57983">
        <w:rPr>
          <w:rFonts w:cs="Arial"/>
        </w:rPr>
        <w:t xml:space="preserve"> Total Burden Hours</w:t>
      </w:r>
    </w:p>
    <w:p w:rsidR="007138C1" w:rsidRPr="00E57983" w:rsidRDefault="004D542E" w:rsidP="007138C1">
      <w:pPr>
        <w:rPr>
          <w:rFonts w:cs="Arial"/>
        </w:rPr>
      </w:pPr>
      <w:r>
        <w:rPr>
          <w:rFonts w:cs="Arial"/>
        </w:rPr>
        <w:t>556</w:t>
      </w:r>
      <w:r w:rsidR="007138C1" w:rsidRPr="00E57983">
        <w:rPr>
          <w:rFonts w:cs="Arial"/>
        </w:rPr>
        <w:t xml:space="preserve"> Total Responses</w:t>
      </w:r>
    </w:p>
    <w:p w:rsidR="007138C1" w:rsidRPr="00E57983" w:rsidRDefault="004D542E" w:rsidP="007138C1">
      <w:pPr>
        <w:rPr>
          <w:rFonts w:cs="Arial"/>
        </w:rPr>
      </w:pPr>
      <w:r>
        <w:rPr>
          <w:rFonts w:cs="Arial"/>
        </w:rPr>
        <w:t>556</w:t>
      </w:r>
      <w:r w:rsidR="007138C1" w:rsidRPr="00E57983">
        <w:rPr>
          <w:rFonts w:cs="Arial"/>
        </w:rPr>
        <w:t xml:space="preserve"> Total Re</w:t>
      </w:r>
      <w:r w:rsidR="007138C1">
        <w:rPr>
          <w:rFonts w:cs="Arial"/>
        </w:rPr>
        <w:t>s</w:t>
      </w:r>
      <w:r w:rsidR="007138C1" w:rsidRPr="00E57983">
        <w:rPr>
          <w:rFonts w:cs="Arial"/>
        </w:rPr>
        <w:t>pondents</w:t>
      </w:r>
    </w:p>
    <w:p w:rsidR="007138C1" w:rsidRPr="00E57983" w:rsidRDefault="007138C1" w:rsidP="007138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E57983">
        <w:rPr>
          <w:rFonts w:cs="Arial"/>
        </w:rPr>
        <w:tab/>
        <w:t xml:space="preserve">Estimated Time Reporting Burden </w:t>
      </w:r>
      <w:proofErr w:type="gramStart"/>
      <w:r w:rsidRPr="00E57983">
        <w:rPr>
          <w:rFonts w:cs="Arial"/>
        </w:rPr>
        <w:t>Per</w:t>
      </w:r>
      <w:proofErr w:type="gramEnd"/>
      <w:r w:rsidRPr="00E57983">
        <w:rPr>
          <w:rFonts w:cs="Arial"/>
        </w:rPr>
        <w:t xml:space="preserve"> </w:t>
      </w:r>
      <w:r w:rsidR="00757D5D">
        <w:rPr>
          <w:rFonts w:cs="Arial"/>
        </w:rPr>
        <w:t>F</w:t>
      </w:r>
      <w:r w:rsidR="00C31171">
        <w:rPr>
          <w:rFonts w:cs="Arial"/>
        </w:rPr>
        <w:t>orm</w:t>
      </w:r>
      <w:r w:rsidR="00757D5D">
        <w:rPr>
          <w:rFonts w:cs="Arial"/>
        </w:rPr>
        <w:t xml:space="preserve"> </w:t>
      </w:r>
      <w:r w:rsidR="00D32A9D">
        <w:rPr>
          <w:rFonts w:cs="Arial"/>
        </w:rPr>
        <w:t>ETA</w:t>
      </w:r>
      <w:r w:rsidR="00757D5D">
        <w:rPr>
          <w:rFonts w:cs="Arial"/>
        </w:rPr>
        <w:t>-</w:t>
      </w:r>
      <w:r w:rsidR="00A704EA">
        <w:rPr>
          <w:rFonts w:cs="Arial"/>
        </w:rPr>
        <w:t>9165</w:t>
      </w:r>
      <w:r>
        <w:rPr>
          <w:rFonts w:cs="Arial"/>
        </w:rPr>
        <w:t xml:space="preserve"> is 1.25 hours</w:t>
      </w:r>
    </w:p>
    <w:p w:rsidR="007138C1" w:rsidRPr="00E57983" w:rsidRDefault="007138C1" w:rsidP="007138C1">
      <w:pPr>
        <w:rPr>
          <w:rFonts w:cs="Arial"/>
        </w:rPr>
      </w:pPr>
    </w:p>
    <w:p w:rsidR="007138C1" w:rsidRPr="00BC2ED0" w:rsidRDefault="007138C1" w:rsidP="007138C1">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BC2ED0">
        <w:rPr>
          <w:rFonts w:cs="Arial"/>
          <w:u w:val="single"/>
        </w:rPr>
        <w:t>Total Hourly Cost</w:t>
      </w: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rsidR="007138C1" w:rsidRPr="00D84966"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57983">
        <w:rPr>
          <w:rFonts w:cs="Arial"/>
        </w:rPr>
        <w:t xml:space="preserve">Employers filing applications for temporary employment certification </w:t>
      </w:r>
      <w:r>
        <w:rPr>
          <w:rFonts w:cs="Arial"/>
        </w:rPr>
        <w:t xml:space="preserve">for foreign workers </w:t>
      </w:r>
      <w:r w:rsidRPr="00E57983">
        <w:rPr>
          <w:rFonts w:cs="Arial"/>
        </w:rPr>
        <w:t xml:space="preserve">may be from a wide variety of industries.  Salaries for employers and/or their employees who perform the reporting and recordkeeping functions required by this regulation may range from several hundred dollars to several hundred thousand dollars where the corporate executive office of a large company performs some or all of these functions </w:t>
      </w:r>
      <w:r>
        <w:rPr>
          <w:rFonts w:cs="Arial"/>
        </w:rPr>
        <w:t>itself</w:t>
      </w:r>
      <w:r w:rsidRPr="00E57983">
        <w:rPr>
          <w:rFonts w:cs="Arial"/>
        </w:rPr>
        <w:t xml:space="preserve">.  </w:t>
      </w:r>
      <w:r w:rsidRPr="00DB5CE9">
        <w:rPr>
          <w:rFonts w:cs="Arial"/>
        </w:rPr>
        <w:t xml:space="preserve">As noted above, </w:t>
      </w:r>
      <w:r>
        <w:rPr>
          <w:rFonts w:cs="Arial"/>
        </w:rPr>
        <w:t xml:space="preserve">however, </w:t>
      </w:r>
      <w:r w:rsidRPr="00DB5CE9">
        <w:rPr>
          <w:rFonts w:cs="Arial"/>
        </w:rPr>
        <w:t xml:space="preserve">the burden on respondents </w:t>
      </w:r>
      <w:r>
        <w:rPr>
          <w:rFonts w:cs="Arial"/>
        </w:rPr>
        <w:t xml:space="preserve">to complete the </w:t>
      </w:r>
      <w:r w:rsidR="00C31171">
        <w:rPr>
          <w:rFonts w:cs="Arial"/>
        </w:rPr>
        <w:t xml:space="preserve">Form </w:t>
      </w:r>
      <w:r w:rsidR="00E23B26">
        <w:rPr>
          <w:rFonts w:cs="Arial"/>
        </w:rPr>
        <w:t>ETA</w:t>
      </w:r>
      <w:r w:rsidR="00C31171">
        <w:rPr>
          <w:rFonts w:cs="Arial"/>
        </w:rPr>
        <w:t>-</w:t>
      </w:r>
      <w:r w:rsidR="00E23B26">
        <w:rPr>
          <w:rFonts w:cs="Arial"/>
        </w:rPr>
        <w:t>9165</w:t>
      </w:r>
      <w:r>
        <w:rPr>
          <w:rFonts w:cs="Arial"/>
        </w:rPr>
        <w:t xml:space="preserve"> will be</w:t>
      </w:r>
      <w:r w:rsidRPr="00DB5CE9">
        <w:rPr>
          <w:rFonts w:cs="Arial"/>
        </w:rPr>
        <w:t xml:space="preserve"> a two-step process, and we estimate that a Survey Researcher</w:t>
      </w:r>
      <w:r>
        <w:rPr>
          <w:rFonts w:cs="Arial"/>
        </w:rPr>
        <w:t xml:space="preserve"> (</w:t>
      </w:r>
      <w:r w:rsidRPr="00DB5CE9">
        <w:rPr>
          <w:rFonts w:cs="Arial"/>
        </w:rPr>
        <w:t>SOC code 19-3022</w:t>
      </w:r>
      <w:r>
        <w:rPr>
          <w:rFonts w:cs="Arial"/>
        </w:rPr>
        <w:t>)</w:t>
      </w:r>
      <w:r w:rsidRPr="00DB5CE9">
        <w:rPr>
          <w:rFonts w:cs="Arial"/>
        </w:rPr>
        <w:t xml:space="preserve"> will spend, on average, 50 minutes to compile the information necessary to complete the new form</w:t>
      </w:r>
      <w:r>
        <w:rPr>
          <w:rFonts w:cs="Arial"/>
        </w:rPr>
        <w:t xml:space="preserve"> and transmit it to the employer</w:t>
      </w:r>
      <w:r w:rsidRPr="00DB5CE9">
        <w:rPr>
          <w:rFonts w:cs="Arial"/>
        </w:rPr>
        <w:t>, and that an employer’s Human Resources Manager</w:t>
      </w:r>
      <w:r>
        <w:rPr>
          <w:rFonts w:cs="Arial"/>
        </w:rPr>
        <w:t xml:space="preserve"> (SOC code 11-3121)</w:t>
      </w:r>
      <w:r w:rsidRPr="00DB5CE9">
        <w:rPr>
          <w:rFonts w:cs="Arial"/>
        </w:rPr>
        <w:t xml:space="preserve"> </w:t>
      </w:r>
      <w:r>
        <w:rPr>
          <w:rFonts w:cs="Arial"/>
        </w:rPr>
        <w:t>will</w:t>
      </w:r>
      <w:r w:rsidRPr="00DB5CE9">
        <w:rPr>
          <w:rFonts w:cs="Arial"/>
        </w:rPr>
        <w:t xml:space="preserve"> spend, on average, 25 minutes to complete the form and sign it. </w:t>
      </w:r>
      <w:r w:rsidRPr="00E57983">
        <w:rPr>
          <w:rFonts w:cs="Arial"/>
        </w:rPr>
        <w:t xml:space="preserve">In estimating employer staff time costs, the Department used the national cross-industry mean hourly wage rate for a </w:t>
      </w:r>
      <w:r>
        <w:rPr>
          <w:rFonts w:cs="Arial"/>
        </w:rPr>
        <w:t xml:space="preserve">Survey Researcher ($25.58) and a </w:t>
      </w:r>
      <w:r w:rsidRPr="00E57983">
        <w:rPr>
          <w:rFonts w:cs="Arial"/>
        </w:rPr>
        <w:t>Human Resources Manager ($5</w:t>
      </w:r>
      <w:r>
        <w:rPr>
          <w:rFonts w:cs="Arial"/>
        </w:rPr>
        <w:t>3.45</w:t>
      </w:r>
      <w:r w:rsidRPr="00E57983">
        <w:rPr>
          <w:rFonts w:cs="Arial"/>
        </w:rPr>
        <w:t>), based on the U.S. Department of Labor, Bureau of Labor Statistics, Occupational Employment Statistics survey wage data,</w:t>
      </w:r>
      <w:r w:rsidRPr="00E57983">
        <w:rPr>
          <w:rStyle w:val="FootnoteReference"/>
          <w:rFonts w:cs="Arial"/>
        </w:rPr>
        <w:footnoteReference w:id="1"/>
      </w:r>
      <w:r w:rsidRPr="00E57983">
        <w:rPr>
          <w:rFonts w:cs="Arial"/>
        </w:rPr>
        <w:t xml:space="preserve"> and increased </w:t>
      </w:r>
      <w:r>
        <w:rPr>
          <w:rFonts w:cs="Arial"/>
        </w:rPr>
        <w:t>these wages</w:t>
      </w:r>
      <w:r w:rsidRPr="00E57983">
        <w:rPr>
          <w:rFonts w:cs="Arial"/>
        </w:rPr>
        <w:t xml:space="preserve"> by 1.43 </w:t>
      </w:r>
      <w:r>
        <w:rPr>
          <w:rFonts w:cs="Arial"/>
        </w:rPr>
        <w:t xml:space="preserve">percent </w:t>
      </w:r>
      <w:r w:rsidRPr="00E57983">
        <w:rPr>
          <w:rFonts w:cs="Arial"/>
        </w:rPr>
        <w:t xml:space="preserve">to account for employee benefits and other </w:t>
      </w:r>
      <w:r>
        <w:rPr>
          <w:rFonts w:cs="Arial"/>
        </w:rPr>
        <w:t xml:space="preserve">non-wage </w:t>
      </w:r>
      <w:r w:rsidRPr="00E57983">
        <w:rPr>
          <w:rFonts w:cs="Arial"/>
        </w:rPr>
        <w:t>compensation</w:t>
      </w:r>
      <w:r>
        <w:rPr>
          <w:rFonts w:cs="Arial"/>
        </w:rPr>
        <w:t xml:space="preserve">.  Therefore, the total hourly cost of a Survey Researcher </w:t>
      </w:r>
      <w:r>
        <w:rPr>
          <w:rFonts w:cs="Arial"/>
        </w:rPr>
        <w:lastRenderedPageBreak/>
        <w:t xml:space="preserve">is $36.58 and the </w:t>
      </w:r>
      <w:r w:rsidRPr="00E57983">
        <w:rPr>
          <w:rFonts w:cs="Arial"/>
        </w:rPr>
        <w:t>total hourly cost of</w:t>
      </w:r>
      <w:r>
        <w:rPr>
          <w:rFonts w:cs="Arial"/>
        </w:rPr>
        <w:t xml:space="preserve"> a Human Resources Manager is</w:t>
      </w:r>
      <w:r w:rsidRPr="00E57983">
        <w:rPr>
          <w:rFonts w:cs="Arial"/>
        </w:rPr>
        <w:t xml:space="preserve"> $76</w:t>
      </w:r>
      <w:r>
        <w:rPr>
          <w:rFonts w:cs="Arial"/>
        </w:rPr>
        <w:t>.43</w:t>
      </w:r>
      <w:r w:rsidRPr="00E57983">
        <w:rPr>
          <w:rFonts w:cs="Arial"/>
        </w:rPr>
        <w:t>.  Th</w:t>
      </w:r>
      <w:r>
        <w:rPr>
          <w:rFonts w:cs="Arial"/>
        </w:rPr>
        <w:t>ese compensation</w:t>
      </w:r>
      <w:r w:rsidRPr="00E57983">
        <w:rPr>
          <w:rFonts w:cs="Arial"/>
        </w:rPr>
        <w:t xml:space="preserve"> number</w:t>
      </w:r>
      <w:r>
        <w:rPr>
          <w:rFonts w:cs="Arial"/>
        </w:rPr>
        <w:t>s</w:t>
      </w:r>
      <w:r w:rsidRPr="00E57983">
        <w:rPr>
          <w:rFonts w:cs="Arial"/>
        </w:rPr>
        <w:t xml:space="preserve"> w</w:t>
      </w:r>
      <w:r>
        <w:rPr>
          <w:rFonts w:cs="Arial"/>
        </w:rPr>
        <w:t>ere</w:t>
      </w:r>
      <w:r w:rsidRPr="00E57983">
        <w:rPr>
          <w:rFonts w:cs="Arial"/>
        </w:rPr>
        <w:t xml:space="preserve"> multiplied by the total hourly annual burden</w:t>
      </w:r>
      <w:r>
        <w:rPr>
          <w:rFonts w:cs="Arial"/>
        </w:rPr>
        <w:t xml:space="preserve"> (as pro-rated above)</w:t>
      </w:r>
      <w:r w:rsidRPr="00E57983">
        <w:rPr>
          <w:rFonts w:cs="Arial"/>
        </w:rPr>
        <w:t xml:space="preserve"> for the information collection for </w:t>
      </w:r>
      <w:r>
        <w:rPr>
          <w:rFonts w:cs="Arial"/>
        </w:rPr>
        <w:t>the H-2B</w:t>
      </w:r>
      <w:r w:rsidRPr="00E57983">
        <w:rPr>
          <w:rFonts w:cs="Arial"/>
        </w:rPr>
        <w:t xml:space="preserve"> foreign labor certification program in order to arrive at total annual respondent hourly costs for all information collections under this extension request.</w:t>
      </w:r>
      <w:r>
        <w:rPr>
          <w:rFonts w:cs="Arial"/>
        </w:rPr>
        <w:t xml:space="preserve">  </w:t>
      </w:r>
      <w:r>
        <w:t xml:space="preserve">The resulting cost estimate for all respondents to complete </w:t>
      </w:r>
      <w:r w:rsidR="00600000">
        <w:t>the</w:t>
      </w:r>
      <w:r>
        <w:t xml:space="preserve"> </w:t>
      </w:r>
      <w:r w:rsidR="00C31171">
        <w:t xml:space="preserve">Form </w:t>
      </w:r>
      <w:r w:rsidR="00D32A9D">
        <w:t>ETA</w:t>
      </w:r>
      <w:r w:rsidR="00C31171">
        <w:t>-</w:t>
      </w:r>
      <w:r w:rsidR="00A704EA">
        <w:t>9165</w:t>
      </w:r>
      <w:r>
        <w:t xml:space="preserve"> is $17,353. [(</w:t>
      </w:r>
      <w:r>
        <w:rPr>
          <w:rFonts w:cs="Arial"/>
        </w:rPr>
        <w:t xml:space="preserve">232 </w:t>
      </w:r>
      <w:r>
        <w:t>hours x $36.58) + (116 hours x $76.43)].</w:t>
      </w:r>
    </w:p>
    <w:p w:rsidR="007138C1" w:rsidRPr="00E57983" w:rsidRDefault="007138C1" w:rsidP="007138C1">
      <w:pPr>
        <w:rPr>
          <w:rFonts w:cs="Arial"/>
        </w:rPr>
      </w:pPr>
    </w:p>
    <w:p w:rsidR="007138C1" w:rsidRPr="00E57983" w:rsidRDefault="007138C1" w:rsidP="007138C1">
      <w:pPr>
        <w:outlineLvl w:val="1"/>
        <w:rPr>
          <w:rFonts w:cs="Arial"/>
          <w:i/>
        </w:rPr>
      </w:pPr>
      <w:bookmarkStart w:id="15" w:name="_Toc412453226"/>
      <w:r w:rsidRPr="00E57983">
        <w:rPr>
          <w:rFonts w:cs="Arial"/>
          <w:i/>
        </w:rPr>
        <w:t>A.13</w:t>
      </w:r>
      <w:proofErr w:type="gramStart"/>
      <w:r w:rsidRPr="00E57983">
        <w:rPr>
          <w:rFonts w:cs="Arial"/>
          <w:i/>
        </w:rPr>
        <w:t>.  Estimated</w:t>
      </w:r>
      <w:proofErr w:type="gramEnd"/>
      <w:r w:rsidRPr="00E57983">
        <w:rPr>
          <w:rFonts w:cs="Arial"/>
          <w:i/>
        </w:rPr>
        <w:t xml:space="preserve"> cost burden to respondents.</w:t>
      </w:r>
      <w:bookmarkEnd w:id="15"/>
    </w:p>
    <w:p w:rsidR="007138C1" w:rsidRPr="00E57983" w:rsidRDefault="007138C1" w:rsidP="007138C1">
      <w:pPr>
        <w:rPr>
          <w:rFonts w:cs="Arial"/>
        </w:rPr>
      </w:pPr>
    </w:p>
    <w:p w:rsidR="007138C1" w:rsidRDefault="007138C1" w:rsidP="007138C1">
      <w:pPr>
        <w:rPr>
          <w:rFonts w:cs="Arial"/>
        </w:rPr>
      </w:pPr>
      <w:proofErr w:type="gramStart"/>
      <w:r w:rsidRPr="00E57983">
        <w:rPr>
          <w:rFonts w:cs="Arial"/>
        </w:rPr>
        <w:t>a.  Start</w:t>
      </w:r>
      <w:proofErr w:type="gramEnd"/>
      <w:r w:rsidRPr="00E57983">
        <w:rPr>
          <w:rFonts w:cs="Arial"/>
        </w:rPr>
        <w:t xml:space="preserve">-up/capital costs:  There are no start-up costs.  There is no obligation to own a computer to participate in the program.  Anyone without computer access can request the form from the Department’s Office of Foreign Labor Certification.  </w:t>
      </w:r>
    </w:p>
    <w:p w:rsidR="007138C1" w:rsidRDefault="007138C1" w:rsidP="007138C1">
      <w:pPr>
        <w:rPr>
          <w:rFonts w:cs="Arial"/>
        </w:rPr>
      </w:pPr>
    </w:p>
    <w:p w:rsidR="007138C1" w:rsidRPr="00E57983" w:rsidRDefault="007138C1" w:rsidP="007138C1">
      <w:pPr>
        <w:rPr>
          <w:rFonts w:cs="Arial"/>
        </w:rPr>
      </w:pPr>
      <w:proofErr w:type="gramStart"/>
      <w:r w:rsidRPr="00E57983">
        <w:rPr>
          <w:rFonts w:cs="Arial"/>
        </w:rPr>
        <w:t>b.  Annual</w:t>
      </w:r>
      <w:proofErr w:type="gramEnd"/>
      <w:r w:rsidRPr="00E57983">
        <w:rPr>
          <w:rFonts w:cs="Arial"/>
        </w:rPr>
        <w:t xml:space="preserve"> costs:  There are no annual costs involved with operation and maintenance because ETA will be responsible for the annual maintenance costs for the free downloadable forms.  </w:t>
      </w:r>
      <w:r w:rsidR="00CD671C">
        <w:rPr>
          <w:rFonts w:cs="Arial"/>
        </w:rPr>
        <w:t xml:space="preserve">However, employers who choose to commission private surveys will incur costs.  </w:t>
      </w:r>
      <w:r w:rsidR="00CD671C" w:rsidRPr="00BB44E7">
        <w:t xml:space="preserve">The cost of conducting a wage survey by a third party can vary widely depending on various factors, such as the scope of the survey, the survey methodology used, the number of respondents, and the nature of the sample. </w:t>
      </w:r>
      <w:r w:rsidR="00CD671C" w:rsidRPr="00683F34">
        <w:t xml:space="preserve"> </w:t>
      </w:r>
      <w:r w:rsidR="00CD671C" w:rsidRPr="00307D65">
        <w:t>After reviewing pricing information provided by some survey service providers, DOL estimates that it would take a manager (SOC</w:t>
      </w:r>
      <w:r w:rsidR="00CD671C">
        <w:t xml:space="preserve"> code 11-0000) 8 hours at $76.00</w:t>
      </w:r>
      <w:r w:rsidR="00CD671C" w:rsidRPr="00307D65">
        <w:t xml:space="preserve"> per hour t</w:t>
      </w:r>
      <w:r w:rsidR="00CD671C">
        <w:t>o review and a survey researcher (SOC code 19-3022) a total of 40 hours at $36.58</w:t>
      </w:r>
      <w:r w:rsidR="00CD671C" w:rsidRPr="00307D65">
        <w:t xml:space="preserve"> per hour to randomly select at least </w:t>
      </w:r>
      <w:r w:rsidR="00CD671C">
        <w:t>3 employers and 30 employees (8</w:t>
      </w:r>
      <w:r w:rsidR="00CD671C" w:rsidRPr="00307D65">
        <w:t xml:space="preserve"> hou</w:t>
      </w:r>
      <w:r w:rsidR="00CD671C">
        <w:t>rs), collect their wage data (16</w:t>
      </w:r>
      <w:r w:rsidR="00CD671C" w:rsidRPr="00307D65">
        <w:t xml:space="preserve"> hours), calc</w:t>
      </w:r>
      <w:r w:rsidR="00CD671C">
        <w:t>ulate the hourly average wage (8</w:t>
      </w:r>
      <w:r w:rsidR="00CD671C" w:rsidRPr="00307D65">
        <w:t xml:space="preserve"> hours), and write a report and provide it to the employer (8 hours).</w:t>
      </w:r>
      <w:r w:rsidR="00CD671C">
        <w:t xml:space="preserve"> </w:t>
      </w:r>
      <w:r w:rsidR="00CD671C" w:rsidRPr="00307D65">
        <w:t xml:space="preserve"> Therefore, the </w:t>
      </w:r>
      <w:r w:rsidR="00CD671C">
        <w:t>direct</w:t>
      </w:r>
      <w:r w:rsidR="00CD671C" w:rsidRPr="00307D65">
        <w:t xml:space="preserve"> cost of conducting a wage survey by a third party is </w:t>
      </w:r>
      <w:r w:rsidR="00CD671C">
        <w:t>estimated at $2,071.20 (= $76× 8 + $36.58 × 4</w:t>
      </w:r>
      <w:r w:rsidR="00CD671C" w:rsidRPr="00307D65">
        <w:t>0).</w:t>
      </w:r>
      <w:r w:rsidR="00CD671C">
        <w:t xml:space="preserve"> </w:t>
      </w:r>
      <w:r w:rsidR="00CD671C" w:rsidRPr="00307D65">
        <w:t xml:space="preserve"> </w:t>
      </w:r>
      <w:r w:rsidR="00CD671C" w:rsidRPr="008B5565">
        <w:t xml:space="preserve">DOL </w:t>
      </w:r>
      <w:r w:rsidR="00CD671C">
        <w:t xml:space="preserve">also adds </w:t>
      </w:r>
      <w:r w:rsidR="00CD671C" w:rsidRPr="008B5565">
        <w:t>10 percent to $2,071.20 to account for a profit for the third party surveyor</w:t>
      </w:r>
      <w:r w:rsidR="00CD671C">
        <w:t>.  T</w:t>
      </w:r>
      <w:r w:rsidR="00CD671C" w:rsidRPr="008B5565">
        <w:t>he full cost of conducting a wage survey is $2,278.32 (= $2,071.20 × 1.1).</w:t>
      </w:r>
      <w:r w:rsidR="00CD671C">
        <w:t xml:space="preserve">  Because surveys are valid for two years and some employers will use state produced surveys, DOL a</w:t>
      </w:r>
      <w:r w:rsidR="00CD671C" w:rsidRPr="00307D65">
        <w:t>ssum</w:t>
      </w:r>
      <w:r w:rsidR="00CD671C">
        <w:t>es</w:t>
      </w:r>
      <w:r w:rsidR="00CD671C" w:rsidRPr="00307D65">
        <w:t xml:space="preserve"> that </w:t>
      </w:r>
      <w:r w:rsidR="00CD671C">
        <w:t>93</w:t>
      </w:r>
      <w:r w:rsidR="00CD671C" w:rsidRPr="00307D65">
        <w:t xml:space="preserve"> employers will conduct </w:t>
      </w:r>
      <w:r w:rsidR="00CD671C">
        <w:t xml:space="preserve">a private wage </w:t>
      </w:r>
      <w:r w:rsidR="00CD671C" w:rsidRPr="00307D65">
        <w:t>survey</w:t>
      </w:r>
      <w:r w:rsidR="00CD671C">
        <w:t xml:space="preserve"> by a third-party each year that is valid for two years.  The cost to the employers will be </w:t>
      </w:r>
      <w:r w:rsidR="00CD671C" w:rsidRPr="00307D65">
        <w:t>$</w:t>
      </w:r>
      <w:r w:rsidR="00CD671C">
        <w:t>211,884 annually ($2,278.32</w:t>
      </w:r>
      <w:r w:rsidR="00CD671C" w:rsidRPr="00307D65">
        <w:t xml:space="preserve"> × </w:t>
      </w:r>
      <w:r w:rsidR="00CD671C">
        <w:t>93</w:t>
      </w:r>
      <w:r w:rsidR="00CD671C" w:rsidRPr="00307D65">
        <w:t>).</w:t>
      </w:r>
      <w:r w:rsidR="00CD671C">
        <w:tab/>
      </w:r>
      <w:r w:rsidRPr="00E57983">
        <w:rPr>
          <w:rFonts w:cs="Arial"/>
        </w:rPr>
        <w:t xml:space="preserve"> </w:t>
      </w:r>
    </w:p>
    <w:p w:rsidR="007138C1" w:rsidRPr="00E57983" w:rsidRDefault="007138C1" w:rsidP="007138C1">
      <w:pPr>
        <w:rPr>
          <w:rFonts w:cs="Arial"/>
        </w:rPr>
      </w:pPr>
      <w:r w:rsidRPr="00E57983">
        <w:rPr>
          <w:rFonts w:cs="Arial"/>
          <w:color w:val="000080"/>
        </w:rPr>
        <w:t> </w:t>
      </w:r>
    </w:p>
    <w:p w:rsidR="007138C1" w:rsidRPr="00E57983" w:rsidRDefault="007138C1" w:rsidP="007138C1">
      <w:pPr>
        <w:rPr>
          <w:rFonts w:cs="Arial"/>
        </w:rPr>
      </w:pPr>
    </w:p>
    <w:p w:rsidR="007138C1" w:rsidRPr="00E57983" w:rsidRDefault="007138C1" w:rsidP="007138C1">
      <w:pPr>
        <w:outlineLvl w:val="1"/>
        <w:rPr>
          <w:rFonts w:cs="Arial"/>
          <w:i/>
        </w:rPr>
      </w:pPr>
      <w:bookmarkStart w:id="16" w:name="_Toc412453227"/>
      <w:r w:rsidRPr="00E57983">
        <w:rPr>
          <w:rFonts w:cs="Arial"/>
          <w:i/>
        </w:rPr>
        <w:t>A.14. Estimated cost burden to the Federal government.</w:t>
      </w:r>
      <w:bookmarkEnd w:id="16"/>
    </w:p>
    <w:p w:rsidR="007138C1" w:rsidRPr="00E57983" w:rsidRDefault="007138C1" w:rsidP="007138C1">
      <w:pPr>
        <w:rPr>
          <w:rFonts w:cs="Arial"/>
        </w:rPr>
      </w:pP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57983">
        <w:rPr>
          <w:rFonts w:cs="Arial"/>
        </w:rPr>
        <w:t>The average Federal Government cost</w:t>
      </w:r>
      <w:r w:rsidRPr="00E57983">
        <w:rPr>
          <w:rStyle w:val="FootnoteReference"/>
          <w:rFonts w:cs="Arial"/>
        </w:rPr>
        <w:footnoteReference w:id="2"/>
      </w:r>
      <w:r w:rsidRPr="00E57983">
        <w:rPr>
          <w:rFonts w:cs="Arial"/>
        </w:rPr>
        <w:t xml:space="preserve"> for a year of operation is estimated on an hourly basis multiplied by an index of 1.69 to account for employee benefits and proportional operating costs, otherwise known as Fully Loaded Full Time Equivalent (FLFTE).  The index is derived by using the Bureau of Labor Statistics’ index for salary plus benefits and the Department’s internal analysis of overhead costs averaged over all employees of OFLC.  The total cost to the Federal Government for the prevailing </w:t>
      </w:r>
      <w:r w:rsidRPr="00E57983">
        <w:rPr>
          <w:rFonts w:cs="Arial"/>
        </w:rPr>
        <w:lastRenderedPageBreak/>
        <w:t>wage determination</w:t>
      </w:r>
      <w:r>
        <w:rPr>
          <w:rFonts w:cs="Arial"/>
        </w:rPr>
        <w:t xml:space="preserve">s that contain </w:t>
      </w:r>
      <w:r w:rsidR="00561BB5">
        <w:rPr>
          <w:rFonts w:cs="Arial"/>
        </w:rPr>
        <w:t>employer-provided</w:t>
      </w:r>
      <w:r>
        <w:rPr>
          <w:rFonts w:cs="Arial"/>
        </w:rPr>
        <w:t xml:space="preserve"> wage surveys in the H-2B program is </w:t>
      </w:r>
      <w:r w:rsidRPr="00E57983">
        <w:rPr>
          <w:rFonts w:cs="Arial"/>
        </w:rPr>
        <w:t>estimated at $</w:t>
      </w:r>
      <w:r>
        <w:rPr>
          <w:rFonts w:cs="Arial"/>
        </w:rPr>
        <w:t xml:space="preserve">3,216 </w:t>
      </w:r>
      <w:r w:rsidRPr="00E57983">
        <w:rPr>
          <w:rFonts w:cs="Arial"/>
        </w:rPr>
        <w:t>and is calculated as follows:</w:t>
      </w:r>
      <w:r>
        <w:rPr>
          <w:rStyle w:val="FootnoteReference"/>
          <w:rFonts w:cs="Arial"/>
        </w:rPr>
        <w:footnoteReference w:id="3"/>
      </w: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138C1" w:rsidRPr="00E57983" w:rsidRDefault="007138C1" w:rsidP="007138C1">
      <w:pPr>
        <w:rPr>
          <w:rFonts w:cs="Arial"/>
        </w:rPr>
      </w:pPr>
    </w:p>
    <w:p w:rsidR="007138C1" w:rsidRPr="00E57983" w:rsidRDefault="007138C1" w:rsidP="007138C1">
      <w:pPr>
        <w:rPr>
          <w:rFonts w:cs="Arial"/>
        </w:rPr>
      </w:pPr>
      <w:r w:rsidRPr="00E57983">
        <w:rPr>
          <w:rFonts w:cs="Arial"/>
          <w:u w:val="single"/>
        </w:rPr>
        <w:t xml:space="preserve">Staff Cost for </w:t>
      </w:r>
      <w:r>
        <w:rPr>
          <w:rFonts w:cs="Arial"/>
          <w:u w:val="single"/>
        </w:rPr>
        <w:t xml:space="preserve">Reviewing the </w:t>
      </w:r>
      <w:r w:rsidR="00C31171">
        <w:rPr>
          <w:rFonts w:cs="Arial"/>
          <w:u w:val="single"/>
        </w:rPr>
        <w:t xml:space="preserve">Form </w:t>
      </w:r>
      <w:r w:rsidR="00D32A9D">
        <w:rPr>
          <w:rFonts w:cs="Arial"/>
          <w:u w:val="single"/>
        </w:rPr>
        <w:t>ETA</w:t>
      </w:r>
      <w:r w:rsidR="00C31171">
        <w:rPr>
          <w:rFonts w:cs="Arial"/>
          <w:u w:val="single"/>
        </w:rPr>
        <w:t>-</w:t>
      </w:r>
      <w:r w:rsidR="00A704EA">
        <w:rPr>
          <w:rFonts w:cs="Arial"/>
          <w:u w:val="single"/>
        </w:rPr>
        <w:t>9165</w:t>
      </w:r>
      <w:r w:rsidRPr="00E57983">
        <w:rPr>
          <w:rFonts w:cs="Arial"/>
        </w:rPr>
        <w:tab/>
      </w:r>
      <w:r>
        <w:rPr>
          <w:rFonts w:cs="Arial"/>
        </w:rPr>
        <w:tab/>
      </w:r>
      <w:r>
        <w:rPr>
          <w:rFonts w:cs="Arial"/>
        </w:rPr>
        <w:tab/>
      </w:r>
      <w:r w:rsidRPr="00E57983">
        <w:rPr>
          <w:rFonts w:cs="Arial"/>
        </w:rPr>
        <w:t xml:space="preserve">          </w:t>
      </w:r>
      <w:r>
        <w:rPr>
          <w:rFonts w:cs="Arial"/>
        </w:rPr>
        <w:t>$3,216</w:t>
      </w:r>
    </w:p>
    <w:p w:rsidR="007138C1" w:rsidRPr="00E57983" w:rsidRDefault="007138C1" w:rsidP="007138C1">
      <w:pPr>
        <w:rPr>
          <w:rFonts w:cs="Arial"/>
        </w:rPr>
      </w:pPr>
      <w:r w:rsidRPr="00E57983">
        <w:rPr>
          <w:rFonts w:cs="Arial"/>
        </w:rPr>
        <w:t xml:space="preserve">Staff </w:t>
      </w:r>
      <w:r>
        <w:rPr>
          <w:rFonts w:cs="Arial"/>
        </w:rPr>
        <w:t>(GS-12, Step 5 x 1.69 FLFTE) @ 10 minutes</w:t>
      </w:r>
      <w:r w:rsidRPr="00E57983">
        <w:rPr>
          <w:rFonts w:cs="Arial"/>
        </w:rPr>
        <w:t xml:space="preserve"> </w:t>
      </w:r>
    </w:p>
    <w:p w:rsidR="007138C1" w:rsidRPr="00E57983" w:rsidRDefault="007138C1" w:rsidP="007138C1">
      <w:pPr>
        <w:rPr>
          <w:rFonts w:cs="Arial"/>
        </w:rPr>
      </w:pPr>
      <w:r w:rsidRPr="00E57983">
        <w:rPr>
          <w:rFonts w:cs="Arial"/>
        </w:rPr>
        <w:tab/>
        <w:t>$69.</w:t>
      </w:r>
      <w:r>
        <w:rPr>
          <w:rFonts w:cs="Arial"/>
        </w:rPr>
        <w:t>40</w:t>
      </w:r>
      <w:r w:rsidRPr="00E57983">
        <w:rPr>
          <w:rFonts w:cs="Arial"/>
        </w:rPr>
        <w:t xml:space="preserve"> x </w:t>
      </w:r>
      <w:r>
        <w:rPr>
          <w:rFonts w:cs="Arial"/>
        </w:rPr>
        <w:t>278 x 10 minutes ÷ 60 = $3,216</w:t>
      </w:r>
    </w:p>
    <w:p w:rsidR="007138C1" w:rsidRDefault="007138C1" w:rsidP="007138C1">
      <w:pPr>
        <w:tabs>
          <w:tab w:val="left" w:pos="-1440"/>
        </w:tabs>
        <w:rPr>
          <w:rFonts w:cs="Arial"/>
        </w:rPr>
      </w:pPr>
    </w:p>
    <w:p w:rsidR="007138C1" w:rsidRPr="00E57983" w:rsidRDefault="007138C1" w:rsidP="007138C1">
      <w:pPr>
        <w:rPr>
          <w:rFonts w:cs="Arial"/>
        </w:rPr>
      </w:pPr>
      <w:r w:rsidRPr="00E57983">
        <w:rPr>
          <w:rFonts w:cs="Arial"/>
        </w:rPr>
        <w:tab/>
      </w:r>
    </w:p>
    <w:p w:rsidR="007138C1" w:rsidRPr="00E57983" w:rsidRDefault="007138C1" w:rsidP="007138C1">
      <w:pPr>
        <w:rPr>
          <w:rFonts w:cs="Arial"/>
        </w:rPr>
      </w:pPr>
      <w:r w:rsidRPr="00E57983">
        <w:rPr>
          <w:rFonts w:cs="Arial"/>
          <w:b/>
        </w:rPr>
        <w:t>TOTAL COST TO FEDERAL GOVERNMENT</w:t>
      </w:r>
      <w:r w:rsidRPr="00E57983">
        <w:rPr>
          <w:rFonts w:cs="Arial"/>
        </w:rPr>
        <w:tab/>
      </w:r>
      <w:r w:rsidRPr="00E57983">
        <w:rPr>
          <w:rFonts w:cs="Arial"/>
        </w:rPr>
        <w:tab/>
      </w:r>
      <w:r w:rsidRPr="00E57983">
        <w:rPr>
          <w:rFonts w:cs="Arial"/>
        </w:rPr>
        <w:tab/>
      </w:r>
      <w:r w:rsidRPr="00E57983">
        <w:rPr>
          <w:rFonts w:cs="Arial"/>
          <w:b/>
        </w:rPr>
        <w:t>$</w:t>
      </w:r>
      <w:r>
        <w:rPr>
          <w:rFonts w:cs="Arial"/>
          <w:b/>
        </w:rPr>
        <w:t>3,216</w:t>
      </w:r>
    </w:p>
    <w:p w:rsidR="007138C1"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i/>
        </w:rPr>
      </w:pPr>
      <w:bookmarkStart w:id="17" w:name="_Toc412453228"/>
      <w:r w:rsidRPr="00E57983">
        <w:rPr>
          <w:rFonts w:cs="Arial"/>
          <w:i/>
        </w:rPr>
        <w:t>A.15</w:t>
      </w:r>
      <w:proofErr w:type="gramStart"/>
      <w:r w:rsidRPr="00E57983">
        <w:rPr>
          <w:rFonts w:cs="Arial"/>
          <w:i/>
        </w:rPr>
        <w:t>.  Reasons</w:t>
      </w:r>
      <w:proofErr w:type="gramEnd"/>
      <w:r w:rsidRPr="00E57983">
        <w:rPr>
          <w:rFonts w:cs="Arial"/>
          <w:i/>
        </w:rPr>
        <w:t xml:space="preserve"> for any program changes reported in Items 13 or 14 of the OMB Form 83-1.</w:t>
      </w:r>
      <w:bookmarkEnd w:id="17"/>
    </w:p>
    <w:p w:rsidR="007138C1" w:rsidRPr="00E57983" w:rsidRDefault="007138C1" w:rsidP="007138C1">
      <w:pPr>
        <w:tabs>
          <w:tab w:val="left" w:pos="-1440"/>
        </w:tabs>
        <w:outlineLvl w:val="0"/>
        <w:rPr>
          <w:rFonts w:cs="Arial"/>
        </w:rPr>
      </w:pPr>
    </w:p>
    <w:p w:rsidR="007138C1" w:rsidRPr="00E57983" w:rsidRDefault="007138C1" w:rsidP="007138C1">
      <w:pPr>
        <w:tabs>
          <w:tab w:val="left" w:pos="-1440"/>
        </w:tabs>
        <w:rPr>
          <w:rFonts w:cs="Arial"/>
        </w:rPr>
      </w:pPr>
      <w:r w:rsidRPr="00E57983">
        <w:rPr>
          <w:rFonts w:cs="Arial"/>
        </w:rPr>
        <w:t xml:space="preserve">This ICR </w:t>
      </w:r>
      <w:r>
        <w:rPr>
          <w:rFonts w:cs="Arial"/>
        </w:rPr>
        <w:t xml:space="preserve">is a new information collection.  </w:t>
      </w:r>
    </w:p>
    <w:p w:rsidR="007138C1"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rPr>
      </w:pPr>
      <w:bookmarkStart w:id="18" w:name="_Toc412453229"/>
      <w:r w:rsidRPr="00E57983">
        <w:rPr>
          <w:rFonts w:cs="Arial"/>
          <w:i/>
        </w:rPr>
        <w:t>A.16. Method for publishing results</w:t>
      </w:r>
      <w:r w:rsidRPr="00E57983">
        <w:rPr>
          <w:rFonts w:cs="Arial"/>
        </w:rPr>
        <w:t>.</w:t>
      </w:r>
      <w:bookmarkEnd w:id="18"/>
    </w:p>
    <w:p w:rsidR="007138C1" w:rsidRPr="00E57983" w:rsidRDefault="007138C1" w:rsidP="007138C1">
      <w:pPr>
        <w:rPr>
          <w:rFonts w:cs="Arial"/>
        </w:rPr>
      </w:pP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The information from the </w:t>
      </w:r>
      <w:r w:rsidR="00C31171">
        <w:rPr>
          <w:rFonts w:cs="Arial"/>
        </w:rPr>
        <w:t xml:space="preserve">Form </w:t>
      </w:r>
      <w:r w:rsidR="00D32A9D">
        <w:rPr>
          <w:rFonts w:cs="Arial"/>
        </w:rPr>
        <w:t>ETA</w:t>
      </w:r>
      <w:r w:rsidR="00C31171">
        <w:rPr>
          <w:rFonts w:cs="Arial"/>
        </w:rPr>
        <w:t>-</w:t>
      </w:r>
      <w:r w:rsidR="00A704EA">
        <w:rPr>
          <w:rFonts w:cs="Arial"/>
        </w:rPr>
        <w:t>9165</w:t>
      </w:r>
      <w:r>
        <w:rPr>
          <w:rFonts w:cs="Arial"/>
        </w:rPr>
        <w:t xml:space="preserve"> will not be published.  </w:t>
      </w: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138C1" w:rsidRPr="00E57983" w:rsidRDefault="007138C1" w:rsidP="007138C1">
      <w:pPr>
        <w:rPr>
          <w:rFonts w:cs="Arial"/>
        </w:rPr>
      </w:pPr>
    </w:p>
    <w:p w:rsidR="007138C1" w:rsidRPr="00E57983" w:rsidRDefault="007138C1" w:rsidP="007138C1">
      <w:pPr>
        <w:outlineLvl w:val="1"/>
        <w:rPr>
          <w:rFonts w:cs="Arial"/>
        </w:rPr>
      </w:pPr>
      <w:bookmarkStart w:id="19" w:name="_Toc412453230"/>
      <w:r w:rsidRPr="00E57983">
        <w:rPr>
          <w:rFonts w:cs="Arial"/>
          <w:i/>
        </w:rPr>
        <w:t>A.17. If seeking approval not to display the expiration date for OMB approval, explain why display would be inappropriate</w:t>
      </w:r>
      <w:r w:rsidRPr="00E57983">
        <w:rPr>
          <w:rFonts w:cs="Arial"/>
        </w:rPr>
        <w:t>.</w:t>
      </w:r>
      <w:bookmarkEnd w:id="19"/>
    </w:p>
    <w:p w:rsidR="007138C1" w:rsidRPr="00E57983" w:rsidRDefault="007138C1" w:rsidP="007138C1">
      <w:pPr>
        <w:rPr>
          <w:rFonts w:cs="Arial"/>
        </w:rPr>
      </w:pPr>
    </w:p>
    <w:p w:rsidR="007138C1" w:rsidRPr="00E57983" w:rsidRDefault="007138C1" w:rsidP="007138C1">
      <w:pPr>
        <w:rPr>
          <w:rFonts w:cs="Arial"/>
        </w:rPr>
      </w:pPr>
      <w:r w:rsidRPr="00E57983">
        <w:rPr>
          <w:rFonts w:cs="Arial"/>
        </w:rPr>
        <w:t xml:space="preserve">The Department will display the expiration date for OMB approval on all affected forms.  </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outlineLvl w:val="1"/>
        <w:rPr>
          <w:rFonts w:cs="Arial"/>
        </w:rPr>
      </w:pPr>
      <w:bookmarkStart w:id="20" w:name="_Toc412453231"/>
      <w:r w:rsidRPr="00E57983">
        <w:rPr>
          <w:rFonts w:cs="Arial"/>
          <w:i/>
        </w:rPr>
        <w:t>A.18</w:t>
      </w:r>
      <w:proofErr w:type="gramStart"/>
      <w:r w:rsidRPr="00E57983">
        <w:rPr>
          <w:rFonts w:cs="Arial"/>
          <w:i/>
        </w:rPr>
        <w:t>.  Explanation</w:t>
      </w:r>
      <w:proofErr w:type="gramEnd"/>
      <w:r w:rsidRPr="00E57983">
        <w:rPr>
          <w:rFonts w:cs="Arial"/>
          <w:i/>
        </w:rPr>
        <w:t xml:space="preserve"> of each exception in the certification statement identified in Item 19 “Certification for Paperwork Reduction Act Submissions” on OMB Form 83-1</w:t>
      </w:r>
      <w:r w:rsidRPr="00E57983">
        <w:rPr>
          <w:rFonts w:cs="Arial"/>
        </w:rPr>
        <w:t>.</w:t>
      </w:r>
      <w:bookmarkEnd w:id="20"/>
      <w:r w:rsidRPr="00E57983">
        <w:rPr>
          <w:rFonts w:cs="Arial"/>
        </w:rPr>
        <w:t xml:space="preserve">  </w:t>
      </w:r>
    </w:p>
    <w:p w:rsidR="007138C1" w:rsidRPr="00E57983" w:rsidRDefault="007138C1" w:rsidP="007138C1">
      <w:pPr>
        <w:rPr>
          <w:rFonts w:cs="Arial"/>
        </w:rPr>
      </w:pPr>
    </w:p>
    <w:p w:rsidR="007138C1" w:rsidRPr="00E57983" w:rsidRDefault="007138C1" w:rsidP="007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57983">
        <w:rPr>
          <w:rFonts w:cs="Arial"/>
        </w:rPr>
        <w:t>The Department is not seeking any exception to the certification requirements.</w:t>
      </w:r>
    </w:p>
    <w:p w:rsidR="007138C1" w:rsidRPr="00E57983" w:rsidRDefault="007138C1" w:rsidP="007138C1">
      <w:pPr>
        <w:rPr>
          <w:rFonts w:cs="Arial"/>
        </w:rPr>
      </w:pPr>
    </w:p>
    <w:p w:rsidR="007138C1" w:rsidRPr="00E57983" w:rsidRDefault="007138C1" w:rsidP="007138C1">
      <w:pPr>
        <w:rPr>
          <w:rFonts w:cs="Arial"/>
        </w:rPr>
      </w:pPr>
    </w:p>
    <w:p w:rsidR="007138C1" w:rsidRPr="00E57983" w:rsidRDefault="007138C1" w:rsidP="007138C1">
      <w:pPr>
        <w:numPr>
          <w:ilvl w:val="0"/>
          <w:numId w:val="4"/>
        </w:numPr>
        <w:ind w:left="0" w:firstLine="0"/>
        <w:outlineLvl w:val="0"/>
        <w:rPr>
          <w:rFonts w:cs="Arial"/>
          <w:b/>
        </w:rPr>
      </w:pPr>
      <w:bookmarkStart w:id="21" w:name="_Toc412453232"/>
      <w:r w:rsidRPr="00E57983">
        <w:rPr>
          <w:rFonts w:cs="Arial"/>
          <w:b/>
        </w:rPr>
        <w:t>Collection of Information Employing Statistical Methods</w:t>
      </w:r>
      <w:bookmarkEnd w:id="21"/>
    </w:p>
    <w:p w:rsidR="007138C1" w:rsidRPr="00E57983" w:rsidRDefault="007138C1" w:rsidP="007138C1">
      <w:pPr>
        <w:rPr>
          <w:rFonts w:cs="Arial"/>
        </w:rPr>
      </w:pPr>
    </w:p>
    <w:p w:rsidR="007138C1" w:rsidRPr="00E57983" w:rsidRDefault="007138C1" w:rsidP="007138C1">
      <w:pPr>
        <w:rPr>
          <w:rFonts w:cs="Arial"/>
        </w:rPr>
      </w:pPr>
      <w:r w:rsidRPr="00E57983">
        <w:rPr>
          <w:rFonts w:cs="Arial"/>
        </w:rPr>
        <w:t xml:space="preserve">This information collection does not employ statistical methods.  </w:t>
      </w:r>
    </w:p>
    <w:p w:rsidR="00B671B0" w:rsidRDefault="00B671B0" w:rsidP="00102990"/>
    <w:sectPr w:rsidR="00B671B0" w:rsidSect="007138C1">
      <w:headerReference w:type="default" r:id="rId16"/>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48" w:rsidRDefault="00F33248">
      <w:r>
        <w:separator/>
      </w:r>
    </w:p>
  </w:endnote>
  <w:endnote w:type="continuationSeparator" w:id="0">
    <w:p w:rsidR="00F33248" w:rsidRDefault="00F3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81" w:rsidRDefault="00DB3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C1" w:rsidRPr="000A6521" w:rsidRDefault="007138C1">
    <w:pPr>
      <w:pStyle w:val="Footer"/>
      <w:jc w:val="center"/>
      <w:rPr>
        <w:rFonts w:cs="Arial"/>
      </w:rPr>
    </w:pPr>
    <w:r w:rsidRPr="000A6521">
      <w:rPr>
        <w:rStyle w:val="PageNumber"/>
        <w:rFonts w:cs="Arial"/>
      </w:rPr>
      <w:fldChar w:fldCharType="begin"/>
    </w:r>
    <w:r w:rsidRPr="000A6521">
      <w:rPr>
        <w:rStyle w:val="PageNumber"/>
        <w:rFonts w:cs="Arial"/>
      </w:rPr>
      <w:instrText xml:space="preserve"> PAGE </w:instrText>
    </w:r>
    <w:r w:rsidRPr="000A6521">
      <w:rPr>
        <w:rStyle w:val="PageNumber"/>
        <w:rFonts w:cs="Arial"/>
      </w:rPr>
      <w:fldChar w:fldCharType="separate"/>
    </w:r>
    <w:r w:rsidR="00444C8F">
      <w:rPr>
        <w:rStyle w:val="PageNumber"/>
        <w:rFonts w:cs="Arial"/>
        <w:noProof/>
      </w:rPr>
      <w:t>1</w:t>
    </w:r>
    <w:r w:rsidRPr="000A6521">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81" w:rsidRDefault="00DB37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600D48" w:rsidP="00234571">
    <w:pPr>
      <w:pStyle w:val="Footer"/>
      <w:framePr w:wrap="around" w:vAnchor="text" w:hAnchor="margin" w:xAlign="center" w:y="1"/>
      <w:rPr>
        <w:rStyle w:val="PageNumber"/>
      </w:rPr>
    </w:pPr>
    <w:r>
      <w:rPr>
        <w:rStyle w:val="PageNumber"/>
      </w:rPr>
      <w:fldChar w:fldCharType="begin"/>
    </w:r>
    <w:r w:rsidR="00232350">
      <w:rPr>
        <w:rStyle w:val="PageNumber"/>
      </w:rPr>
      <w:instrText xml:space="preserve">PAGE  </w:instrText>
    </w:r>
    <w:r>
      <w:rPr>
        <w:rStyle w:val="PageNumber"/>
      </w:rPr>
      <w:fldChar w:fldCharType="end"/>
    </w:r>
  </w:p>
  <w:p w:rsidR="00232350" w:rsidRDefault="002323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600D48" w:rsidP="00234571">
    <w:pPr>
      <w:pStyle w:val="Footer"/>
      <w:framePr w:wrap="around" w:vAnchor="text" w:hAnchor="margin" w:xAlign="center" w:y="1"/>
      <w:rPr>
        <w:rStyle w:val="PageNumber"/>
      </w:rPr>
    </w:pPr>
    <w:r>
      <w:rPr>
        <w:rStyle w:val="PageNumber"/>
      </w:rPr>
      <w:fldChar w:fldCharType="begin"/>
    </w:r>
    <w:r w:rsidR="00232350">
      <w:rPr>
        <w:rStyle w:val="PageNumber"/>
      </w:rPr>
      <w:instrText xml:space="preserve">PAGE  </w:instrText>
    </w:r>
    <w:r>
      <w:rPr>
        <w:rStyle w:val="PageNumber"/>
      </w:rPr>
      <w:fldChar w:fldCharType="separate"/>
    </w:r>
    <w:r w:rsidR="0070327F">
      <w:rPr>
        <w:rStyle w:val="PageNumber"/>
        <w:noProof/>
      </w:rPr>
      <w:t>8</w:t>
    </w:r>
    <w:r>
      <w:rPr>
        <w:rStyle w:val="PageNumber"/>
      </w:rPr>
      <w:fldChar w:fldCharType="end"/>
    </w:r>
  </w:p>
  <w:p w:rsidR="00232350" w:rsidRDefault="00232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48" w:rsidRDefault="00F33248">
      <w:r>
        <w:separator/>
      </w:r>
    </w:p>
  </w:footnote>
  <w:footnote w:type="continuationSeparator" w:id="0">
    <w:p w:rsidR="00F33248" w:rsidRDefault="00F33248">
      <w:r>
        <w:continuationSeparator/>
      </w:r>
    </w:p>
  </w:footnote>
  <w:footnote w:id="1">
    <w:p w:rsidR="007138C1" w:rsidRPr="00381E7B" w:rsidRDefault="007138C1" w:rsidP="007138C1">
      <w:pPr>
        <w:outlineLvl w:val="1"/>
        <w:rPr>
          <w:rFonts w:ascii="Tahoma" w:hAnsi="Tahoma" w:cs="Tahoma"/>
          <w:kern w:val="36"/>
          <w:sz w:val="29"/>
          <w:szCs w:val="29"/>
        </w:rPr>
      </w:pPr>
      <w:r>
        <w:rPr>
          <w:rStyle w:val="FootnoteReference"/>
        </w:rPr>
        <w:footnoteRef/>
      </w:r>
      <w:r>
        <w:t xml:space="preserve"> </w:t>
      </w:r>
      <w:r w:rsidRPr="000D7B63">
        <w:rPr>
          <w:rFonts w:cs="Arial"/>
          <w:sz w:val="20"/>
          <w:szCs w:val="20"/>
        </w:rPr>
        <w:t xml:space="preserve">Source:  Bureau of Labor Statistics.  Occupational Employment Statistics:  </w:t>
      </w:r>
      <w:r w:rsidRPr="00381E7B">
        <w:rPr>
          <w:rFonts w:cs="Arial"/>
          <w:kern w:val="36"/>
          <w:sz w:val="20"/>
          <w:szCs w:val="20"/>
        </w:rPr>
        <w:t>May 201</w:t>
      </w:r>
      <w:r>
        <w:rPr>
          <w:rFonts w:cs="Arial"/>
          <w:kern w:val="36"/>
          <w:sz w:val="20"/>
          <w:szCs w:val="20"/>
        </w:rPr>
        <w:t>3</w:t>
      </w:r>
      <w:r w:rsidRPr="00381E7B">
        <w:rPr>
          <w:rFonts w:cs="Arial"/>
          <w:kern w:val="36"/>
          <w:sz w:val="20"/>
          <w:szCs w:val="20"/>
        </w:rPr>
        <w:t xml:space="preserve"> National Occupational Employment and Wage Estimates; Management Occupations</w:t>
      </w:r>
      <w:r>
        <w:rPr>
          <w:rFonts w:cs="Arial"/>
          <w:kern w:val="36"/>
          <w:sz w:val="20"/>
          <w:szCs w:val="20"/>
        </w:rPr>
        <w:t>.</w:t>
      </w:r>
    </w:p>
    <w:p w:rsidR="007138C1" w:rsidRPr="000D7B63" w:rsidRDefault="007138C1" w:rsidP="007138C1">
      <w:pPr>
        <w:rPr>
          <w:rFonts w:ascii="Tahoma" w:hAnsi="Tahoma" w:cs="Tahoma"/>
          <w:sz w:val="16"/>
          <w:szCs w:val="16"/>
        </w:rPr>
      </w:pPr>
    </w:p>
    <w:p w:rsidR="007138C1" w:rsidRDefault="007138C1" w:rsidP="007138C1">
      <w:pPr>
        <w:pStyle w:val="FootnoteText"/>
      </w:pPr>
      <w:r>
        <w:t>.</w:t>
      </w:r>
    </w:p>
  </w:footnote>
  <w:footnote w:id="2">
    <w:p w:rsidR="007138C1" w:rsidRPr="00CB5729" w:rsidRDefault="007138C1" w:rsidP="007138C1">
      <w:pPr>
        <w:rPr>
          <w:sz w:val="20"/>
          <w:szCs w:val="20"/>
        </w:rPr>
      </w:pPr>
      <w:r w:rsidRPr="00643678">
        <w:rPr>
          <w:rStyle w:val="FootnoteReference"/>
        </w:rPr>
        <w:footnoteRef/>
      </w:r>
      <w:r>
        <w:t xml:space="preserve"> </w:t>
      </w:r>
      <w:r w:rsidRPr="00CB5729">
        <w:rPr>
          <w:sz w:val="20"/>
          <w:szCs w:val="20"/>
        </w:rPr>
        <w:t>The Federal Government cost estimates are based on the U.S. Office of Personnel Management 201</w:t>
      </w:r>
      <w:r>
        <w:rPr>
          <w:sz w:val="20"/>
          <w:szCs w:val="20"/>
        </w:rPr>
        <w:t>4</w:t>
      </w:r>
      <w:r w:rsidRPr="00CB5729">
        <w:rPr>
          <w:sz w:val="20"/>
          <w:szCs w:val="20"/>
        </w:rPr>
        <w:t xml:space="preserve"> Salary Tables.  Please see: </w:t>
      </w:r>
      <w:hyperlink r:id="rId1" w:history="1">
        <w:r w:rsidRPr="00CB5729">
          <w:rPr>
            <w:rStyle w:val="Hyperlink"/>
            <w:sz w:val="20"/>
            <w:szCs w:val="20"/>
            <w:u w:val="none"/>
          </w:rPr>
          <w:t>http://www.opm.gov/oca/11tables/index.asp</w:t>
        </w:r>
      </w:hyperlink>
      <w:r w:rsidRPr="00CB5729">
        <w:rPr>
          <w:sz w:val="20"/>
          <w:szCs w:val="20"/>
        </w:rPr>
        <w:t xml:space="preserve">.  The cost estimate for the adjudication of prevailing wage applications </w:t>
      </w:r>
      <w:r>
        <w:rPr>
          <w:sz w:val="20"/>
          <w:szCs w:val="20"/>
        </w:rPr>
        <w:t xml:space="preserve">with private surveys in the </w:t>
      </w:r>
      <w:r w:rsidRPr="00CB5729">
        <w:rPr>
          <w:sz w:val="20"/>
          <w:szCs w:val="20"/>
        </w:rPr>
        <w:t>H-2B</w:t>
      </w:r>
      <w:r>
        <w:rPr>
          <w:sz w:val="20"/>
          <w:szCs w:val="20"/>
        </w:rPr>
        <w:t xml:space="preserve"> </w:t>
      </w:r>
      <w:r w:rsidRPr="00CB5729">
        <w:rPr>
          <w:sz w:val="20"/>
          <w:szCs w:val="20"/>
        </w:rPr>
        <w:t xml:space="preserve">program uses wage data from the locality pay schedule for the </w:t>
      </w:r>
      <w:r w:rsidRPr="00CB5729">
        <w:rPr>
          <w:bCs/>
          <w:sz w:val="20"/>
          <w:szCs w:val="20"/>
        </w:rPr>
        <w:t xml:space="preserve">Washington-Baltimore-Northern Virginia, DC-MD-VA-WV-PA </w:t>
      </w:r>
      <w:r w:rsidRPr="00CB5729">
        <w:rPr>
          <w:sz w:val="20"/>
          <w:szCs w:val="20"/>
        </w:rPr>
        <w:t>area</w:t>
      </w:r>
      <w:r>
        <w:rPr>
          <w:sz w:val="20"/>
          <w:szCs w:val="20"/>
        </w:rPr>
        <w:t xml:space="preserve"> </w:t>
      </w:r>
      <w:r w:rsidRPr="00CB5729">
        <w:rPr>
          <w:sz w:val="20"/>
          <w:szCs w:val="20"/>
        </w:rPr>
        <w:t>to reflect the locations of ETA’s National Pr</w:t>
      </w:r>
      <w:r>
        <w:rPr>
          <w:sz w:val="20"/>
          <w:szCs w:val="20"/>
        </w:rPr>
        <w:t xml:space="preserve">evailing Wage </w:t>
      </w:r>
      <w:r w:rsidRPr="00CB5729">
        <w:rPr>
          <w:sz w:val="20"/>
          <w:szCs w:val="20"/>
        </w:rPr>
        <w:t>Center.</w:t>
      </w:r>
    </w:p>
  </w:footnote>
  <w:footnote w:id="3">
    <w:p w:rsidR="007138C1" w:rsidRDefault="007138C1" w:rsidP="007138C1">
      <w:pPr>
        <w:pStyle w:val="FootnoteText"/>
      </w:pPr>
      <w:r>
        <w:rPr>
          <w:rStyle w:val="FootnoteReference"/>
        </w:rPr>
        <w:footnoteRef/>
      </w:r>
      <w:r>
        <w:t xml:space="preserve"> The Department expects that its cost of evaluating employer-provided surveys will decrease as a result of the new </w:t>
      </w:r>
      <w:r w:rsidR="00C31171">
        <w:t xml:space="preserve">Form </w:t>
      </w:r>
      <w:r w:rsidR="00E23B26">
        <w:t>ETA</w:t>
      </w:r>
      <w:r w:rsidR="00C31171">
        <w:t>-</w:t>
      </w:r>
      <w:r w:rsidR="00E23B26">
        <w:t>9165</w:t>
      </w:r>
      <w:r>
        <w:t xml:space="preserve">.  However, the Department did not assess its cost in evaluating employer-provided surveys in 2008, (73 FR 29942 (NPRM); 73 FR 78020 (final rule), the first time regulations permitting the submission of employer-provided surveys were established.  As a result, we are unable to assess the cost-savings that we expect as a result of the new </w:t>
      </w:r>
      <w:r w:rsidR="00C31171">
        <w:t xml:space="preserve">Form </w:t>
      </w:r>
      <w:r w:rsidR="00E23B26">
        <w:t>ETA</w:t>
      </w:r>
      <w:r w:rsidR="00C31171">
        <w:t>-</w:t>
      </w:r>
      <w:r w:rsidR="00E23B26">
        <w:t>9165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81" w:rsidRDefault="00DB3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C1" w:rsidRPr="009B5232" w:rsidRDefault="007138C1">
    <w:pPr>
      <w:pStyle w:val="Header"/>
      <w:jc w:val="right"/>
      <w:rPr>
        <w:rFonts w:cs="Arial"/>
      </w:rPr>
    </w:pPr>
  </w:p>
  <w:p w:rsidR="007138C1" w:rsidRPr="00B43D85" w:rsidRDefault="007138C1">
    <w:pPr>
      <w:pStyle w:val="Header"/>
      <w:jc w:val="right"/>
      <w:rPr>
        <w:rFonts w:cs="Arial"/>
      </w:rPr>
    </w:pPr>
  </w:p>
  <w:p w:rsidR="007138C1" w:rsidRPr="00B43D85" w:rsidRDefault="007138C1">
    <w:pPr>
      <w:pStyle w:val="Header"/>
      <w:jc w:val="right"/>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81" w:rsidRDefault="00DB37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232350">
    <w:pPr>
      <w:framePr w:w="9361" w:wrap="notBeside" w:vAnchor="text" w:hAnchor="text" w:x="1" w:y="1"/>
      <w:jc w:val="center"/>
    </w:pPr>
  </w:p>
  <w:p w:rsidR="00232350" w:rsidRDefault="00232350"/>
  <w:p w:rsidR="00232350" w:rsidRDefault="0023235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A8B"/>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F38EE"/>
    <w:multiLevelType w:val="hybridMultilevel"/>
    <w:tmpl w:val="384645D6"/>
    <w:lvl w:ilvl="0" w:tplc="3BB29FE6">
      <w:start w:val="2"/>
      <w:numFmt w:val="upperLetter"/>
      <w:lvlText w:val="%1."/>
      <w:lvlJc w:val="left"/>
      <w:pPr>
        <w:tabs>
          <w:tab w:val="num" w:pos="360"/>
        </w:tabs>
        <w:ind w:left="360" w:hanging="360"/>
      </w:pPr>
      <w:rPr>
        <w:rFonts w:cs="Times New Roman" w:hint="default"/>
      </w:rPr>
    </w:lvl>
    <w:lvl w:ilvl="1" w:tplc="CB2E61C6" w:tentative="1">
      <w:start w:val="1"/>
      <w:numFmt w:val="lowerLetter"/>
      <w:lvlText w:val="%2."/>
      <w:lvlJc w:val="left"/>
      <w:pPr>
        <w:tabs>
          <w:tab w:val="num" w:pos="1080"/>
        </w:tabs>
        <w:ind w:left="1080" w:hanging="360"/>
      </w:pPr>
      <w:rPr>
        <w:rFonts w:cs="Times New Roman"/>
      </w:rPr>
    </w:lvl>
    <w:lvl w:ilvl="2" w:tplc="414A3472" w:tentative="1">
      <w:start w:val="1"/>
      <w:numFmt w:val="lowerRoman"/>
      <w:lvlText w:val="%3."/>
      <w:lvlJc w:val="right"/>
      <w:pPr>
        <w:tabs>
          <w:tab w:val="num" w:pos="1800"/>
        </w:tabs>
        <w:ind w:left="1800" w:hanging="180"/>
      </w:pPr>
      <w:rPr>
        <w:rFonts w:cs="Times New Roman"/>
      </w:rPr>
    </w:lvl>
    <w:lvl w:ilvl="3" w:tplc="8B70EDAE" w:tentative="1">
      <w:start w:val="1"/>
      <w:numFmt w:val="decimal"/>
      <w:lvlText w:val="%4."/>
      <w:lvlJc w:val="left"/>
      <w:pPr>
        <w:tabs>
          <w:tab w:val="num" w:pos="2520"/>
        </w:tabs>
        <w:ind w:left="2520" w:hanging="360"/>
      </w:pPr>
      <w:rPr>
        <w:rFonts w:cs="Times New Roman"/>
      </w:rPr>
    </w:lvl>
    <w:lvl w:ilvl="4" w:tplc="D80E3160" w:tentative="1">
      <w:start w:val="1"/>
      <w:numFmt w:val="lowerLetter"/>
      <w:lvlText w:val="%5."/>
      <w:lvlJc w:val="left"/>
      <w:pPr>
        <w:tabs>
          <w:tab w:val="num" w:pos="3240"/>
        </w:tabs>
        <w:ind w:left="3240" w:hanging="360"/>
      </w:pPr>
      <w:rPr>
        <w:rFonts w:cs="Times New Roman"/>
      </w:rPr>
    </w:lvl>
    <w:lvl w:ilvl="5" w:tplc="B29C86A6" w:tentative="1">
      <w:start w:val="1"/>
      <w:numFmt w:val="lowerRoman"/>
      <w:lvlText w:val="%6."/>
      <w:lvlJc w:val="right"/>
      <w:pPr>
        <w:tabs>
          <w:tab w:val="num" w:pos="3960"/>
        </w:tabs>
        <w:ind w:left="3960" w:hanging="180"/>
      </w:pPr>
      <w:rPr>
        <w:rFonts w:cs="Times New Roman"/>
      </w:rPr>
    </w:lvl>
    <w:lvl w:ilvl="6" w:tplc="1158B5F8" w:tentative="1">
      <w:start w:val="1"/>
      <w:numFmt w:val="decimal"/>
      <w:lvlText w:val="%7."/>
      <w:lvlJc w:val="left"/>
      <w:pPr>
        <w:tabs>
          <w:tab w:val="num" w:pos="4680"/>
        </w:tabs>
        <w:ind w:left="4680" w:hanging="360"/>
      </w:pPr>
      <w:rPr>
        <w:rFonts w:cs="Times New Roman"/>
      </w:rPr>
    </w:lvl>
    <w:lvl w:ilvl="7" w:tplc="7F3CAB60" w:tentative="1">
      <w:start w:val="1"/>
      <w:numFmt w:val="lowerLetter"/>
      <w:lvlText w:val="%8."/>
      <w:lvlJc w:val="left"/>
      <w:pPr>
        <w:tabs>
          <w:tab w:val="num" w:pos="5400"/>
        </w:tabs>
        <w:ind w:left="5400" w:hanging="360"/>
      </w:pPr>
      <w:rPr>
        <w:rFonts w:cs="Times New Roman"/>
      </w:rPr>
    </w:lvl>
    <w:lvl w:ilvl="8" w:tplc="37147892" w:tentative="1">
      <w:start w:val="1"/>
      <w:numFmt w:val="lowerRoman"/>
      <w:lvlText w:val="%9."/>
      <w:lvlJc w:val="right"/>
      <w:pPr>
        <w:tabs>
          <w:tab w:val="num" w:pos="6120"/>
        </w:tabs>
        <w:ind w:left="6120" w:hanging="180"/>
      </w:pPr>
      <w:rPr>
        <w:rFonts w:cs="Times New Roman"/>
      </w:rPr>
    </w:lvl>
  </w:abstractNum>
  <w:abstractNum w:abstractNumId="2">
    <w:nsid w:val="287A7C78"/>
    <w:multiLevelType w:val="hybridMultilevel"/>
    <w:tmpl w:val="DB7E0ACA"/>
    <w:lvl w:ilvl="0" w:tplc="6FD0E6AE">
      <w:start w:val="1"/>
      <w:numFmt w:val="decimal"/>
      <w:lvlText w:val="%1."/>
      <w:lvlJc w:val="left"/>
      <w:pPr>
        <w:tabs>
          <w:tab w:val="num" w:pos="1152"/>
        </w:tabs>
        <w:ind w:left="1152" w:hanging="360"/>
      </w:pPr>
      <w:rPr>
        <w:rFonts w:cs="Times New Roman"/>
      </w:rPr>
    </w:lvl>
    <w:lvl w:ilvl="1" w:tplc="273CAB10" w:tentative="1">
      <w:start w:val="1"/>
      <w:numFmt w:val="lowerLetter"/>
      <w:lvlText w:val="%2."/>
      <w:lvlJc w:val="left"/>
      <w:pPr>
        <w:tabs>
          <w:tab w:val="num" w:pos="1872"/>
        </w:tabs>
        <w:ind w:left="1872" w:hanging="360"/>
      </w:pPr>
      <w:rPr>
        <w:rFonts w:cs="Times New Roman"/>
      </w:rPr>
    </w:lvl>
    <w:lvl w:ilvl="2" w:tplc="351E26C0" w:tentative="1">
      <w:start w:val="1"/>
      <w:numFmt w:val="lowerRoman"/>
      <w:lvlText w:val="%3."/>
      <w:lvlJc w:val="right"/>
      <w:pPr>
        <w:tabs>
          <w:tab w:val="num" w:pos="2592"/>
        </w:tabs>
        <w:ind w:left="2592" w:hanging="180"/>
      </w:pPr>
      <w:rPr>
        <w:rFonts w:cs="Times New Roman"/>
      </w:rPr>
    </w:lvl>
    <w:lvl w:ilvl="3" w:tplc="F998EB60" w:tentative="1">
      <w:start w:val="1"/>
      <w:numFmt w:val="decimal"/>
      <w:lvlText w:val="%4."/>
      <w:lvlJc w:val="left"/>
      <w:pPr>
        <w:tabs>
          <w:tab w:val="num" w:pos="3312"/>
        </w:tabs>
        <w:ind w:left="3312" w:hanging="360"/>
      </w:pPr>
      <w:rPr>
        <w:rFonts w:cs="Times New Roman"/>
      </w:rPr>
    </w:lvl>
    <w:lvl w:ilvl="4" w:tplc="54969322" w:tentative="1">
      <w:start w:val="1"/>
      <w:numFmt w:val="lowerLetter"/>
      <w:lvlText w:val="%5."/>
      <w:lvlJc w:val="left"/>
      <w:pPr>
        <w:tabs>
          <w:tab w:val="num" w:pos="4032"/>
        </w:tabs>
        <w:ind w:left="4032" w:hanging="360"/>
      </w:pPr>
      <w:rPr>
        <w:rFonts w:cs="Times New Roman"/>
      </w:rPr>
    </w:lvl>
    <w:lvl w:ilvl="5" w:tplc="051430BC" w:tentative="1">
      <w:start w:val="1"/>
      <w:numFmt w:val="lowerRoman"/>
      <w:lvlText w:val="%6."/>
      <w:lvlJc w:val="right"/>
      <w:pPr>
        <w:tabs>
          <w:tab w:val="num" w:pos="4752"/>
        </w:tabs>
        <w:ind w:left="4752" w:hanging="180"/>
      </w:pPr>
      <w:rPr>
        <w:rFonts w:cs="Times New Roman"/>
      </w:rPr>
    </w:lvl>
    <w:lvl w:ilvl="6" w:tplc="1A8CD624" w:tentative="1">
      <w:start w:val="1"/>
      <w:numFmt w:val="decimal"/>
      <w:lvlText w:val="%7."/>
      <w:lvlJc w:val="left"/>
      <w:pPr>
        <w:tabs>
          <w:tab w:val="num" w:pos="5472"/>
        </w:tabs>
        <w:ind w:left="5472" w:hanging="360"/>
      </w:pPr>
      <w:rPr>
        <w:rFonts w:cs="Times New Roman"/>
      </w:rPr>
    </w:lvl>
    <w:lvl w:ilvl="7" w:tplc="C17A068A" w:tentative="1">
      <w:start w:val="1"/>
      <w:numFmt w:val="lowerLetter"/>
      <w:lvlText w:val="%8."/>
      <w:lvlJc w:val="left"/>
      <w:pPr>
        <w:tabs>
          <w:tab w:val="num" w:pos="6192"/>
        </w:tabs>
        <w:ind w:left="6192" w:hanging="360"/>
      </w:pPr>
      <w:rPr>
        <w:rFonts w:cs="Times New Roman"/>
      </w:rPr>
    </w:lvl>
    <w:lvl w:ilvl="8" w:tplc="32263A0A" w:tentative="1">
      <w:start w:val="1"/>
      <w:numFmt w:val="lowerRoman"/>
      <w:lvlText w:val="%9."/>
      <w:lvlJc w:val="right"/>
      <w:pPr>
        <w:tabs>
          <w:tab w:val="num" w:pos="6912"/>
        </w:tabs>
        <w:ind w:left="6912" w:hanging="180"/>
      </w:pPr>
      <w:rPr>
        <w:rFonts w:cs="Times New Roman"/>
      </w:rPr>
    </w:lvl>
  </w:abstractNum>
  <w:abstractNum w:abstractNumId="3">
    <w:nsid w:val="38984F16"/>
    <w:multiLevelType w:val="hybridMultilevel"/>
    <w:tmpl w:val="7B1EBEF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47FD7A7A"/>
    <w:multiLevelType w:val="hybridMultilevel"/>
    <w:tmpl w:val="EF623FAC"/>
    <w:lvl w:ilvl="0" w:tplc="04090001">
      <w:start w:val="1"/>
      <w:numFmt w:val="lowerLetter"/>
      <w:lvlText w:val="(%1)"/>
      <w:lvlJc w:val="left"/>
      <w:pPr>
        <w:tabs>
          <w:tab w:val="num" w:pos="1095"/>
        </w:tabs>
        <w:ind w:left="1095" w:hanging="375"/>
      </w:pPr>
      <w:rPr>
        <w:rFonts w:ascii="Times New Roman" w:eastAsia="Times New Roman" w:hAnsi="Times New Roman"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
    <w:nsid w:val="5AFF2715"/>
    <w:multiLevelType w:val="hybridMultilevel"/>
    <w:tmpl w:val="01E4C0CE"/>
    <w:lvl w:ilvl="0" w:tplc="9DCC225E">
      <w:start w:val="1"/>
      <w:numFmt w:val="bullet"/>
      <w:lvlText w:val=""/>
      <w:lvlJc w:val="left"/>
      <w:pPr>
        <w:ind w:left="720" w:hanging="360"/>
      </w:pPr>
      <w:rPr>
        <w:rFonts w:ascii="Symbol" w:hAnsi="Symbol" w:hint="default"/>
      </w:rPr>
    </w:lvl>
    <w:lvl w:ilvl="1" w:tplc="BFEA0BA0" w:tentative="1">
      <w:start w:val="1"/>
      <w:numFmt w:val="bullet"/>
      <w:lvlText w:val="o"/>
      <w:lvlJc w:val="left"/>
      <w:pPr>
        <w:ind w:left="1440" w:hanging="360"/>
      </w:pPr>
      <w:rPr>
        <w:rFonts w:ascii="Courier New" w:hAnsi="Courier New" w:cs="Courier New" w:hint="default"/>
      </w:rPr>
    </w:lvl>
    <w:lvl w:ilvl="2" w:tplc="5778EFE8" w:tentative="1">
      <w:start w:val="1"/>
      <w:numFmt w:val="bullet"/>
      <w:lvlText w:val=""/>
      <w:lvlJc w:val="left"/>
      <w:pPr>
        <w:ind w:left="2160" w:hanging="360"/>
      </w:pPr>
      <w:rPr>
        <w:rFonts w:ascii="Wingdings" w:hAnsi="Wingdings" w:hint="default"/>
      </w:rPr>
    </w:lvl>
    <w:lvl w:ilvl="3" w:tplc="17B6EAC4" w:tentative="1">
      <w:start w:val="1"/>
      <w:numFmt w:val="bullet"/>
      <w:lvlText w:val=""/>
      <w:lvlJc w:val="left"/>
      <w:pPr>
        <w:ind w:left="2880" w:hanging="360"/>
      </w:pPr>
      <w:rPr>
        <w:rFonts w:ascii="Symbol" w:hAnsi="Symbol" w:hint="default"/>
      </w:rPr>
    </w:lvl>
    <w:lvl w:ilvl="4" w:tplc="0E8439B6" w:tentative="1">
      <w:start w:val="1"/>
      <w:numFmt w:val="bullet"/>
      <w:lvlText w:val="o"/>
      <w:lvlJc w:val="left"/>
      <w:pPr>
        <w:ind w:left="3600" w:hanging="360"/>
      </w:pPr>
      <w:rPr>
        <w:rFonts w:ascii="Courier New" w:hAnsi="Courier New" w:cs="Courier New" w:hint="default"/>
      </w:rPr>
    </w:lvl>
    <w:lvl w:ilvl="5" w:tplc="521C84C6" w:tentative="1">
      <w:start w:val="1"/>
      <w:numFmt w:val="bullet"/>
      <w:lvlText w:val=""/>
      <w:lvlJc w:val="left"/>
      <w:pPr>
        <w:ind w:left="4320" w:hanging="360"/>
      </w:pPr>
      <w:rPr>
        <w:rFonts w:ascii="Wingdings" w:hAnsi="Wingdings" w:hint="default"/>
      </w:rPr>
    </w:lvl>
    <w:lvl w:ilvl="6" w:tplc="44A0268A" w:tentative="1">
      <w:start w:val="1"/>
      <w:numFmt w:val="bullet"/>
      <w:lvlText w:val=""/>
      <w:lvlJc w:val="left"/>
      <w:pPr>
        <w:ind w:left="5040" w:hanging="360"/>
      </w:pPr>
      <w:rPr>
        <w:rFonts w:ascii="Symbol" w:hAnsi="Symbol" w:hint="default"/>
      </w:rPr>
    </w:lvl>
    <w:lvl w:ilvl="7" w:tplc="F0184976" w:tentative="1">
      <w:start w:val="1"/>
      <w:numFmt w:val="bullet"/>
      <w:lvlText w:val="o"/>
      <w:lvlJc w:val="left"/>
      <w:pPr>
        <w:ind w:left="5760" w:hanging="360"/>
      </w:pPr>
      <w:rPr>
        <w:rFonts w:ascii="Courier New" w:hAnsi="Courier New" w:cs="Courier New" w:hint="default"/>
      </w:rPr>
    </w:lvl>
    <w:lvl w:ilvl="8" w:tplc="C07CEBA0" w:tentative="1">
      <w:start w:val="1"/>
      <w:numFmt w:val="bullet"/>
      <w:lvlText w:val=""/>
      <w:lvlJc w:val="left"/>
      <w:pPr>
        <w:ind w:left="6480" w:hanging="360"/>
      </w:pPr>
      <w:rPr>
        <w:rFonts w:ascii="Wingdings" w:hAnsi="Wingdings" w:hint="default"/>
      </w:rPr>
    </w:lvl>
  </w:abstractNum>
  <w:abstractNum w:abstractNumId="6">
    <w:nsid w:val="6B020A86"/>
    <w:multiLevelType w:val="hybridMultilevel"/>
    <w:tmpl w:val="D730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21AC8"/>
    <w:multiLevelType w:val="hybridMultilevel"/>
    <w:tmpl w:val="C5E22058"/>
    <w:lvl w:ilvl="0" w:tplc="04090001">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hint="default"/>
      </w:rPr>
    </w:lvl>
    <w:lvl w:ilvl="2" w:tplc="04090005">
      <w:start w:val="1"/>
      <w:numFmt w:val="bullet"/>
      <w:lvlText w:val=""/>
      <w:lvlJc w:val="left"/>
      <w:pPr>
        <w:tabs>
          <w:tab w:val="num" w:pos="3720"/>
        </w:tabs>
        <w:ind w:left="3720" w:hanging="360"/>
      </w:pPr>
      <w:rPr>
        <w:rFonts w:ascii="Wingdings" w:hAnsi="Wingdings" w:hint="default"/>
      </w:rPr>
    </w:lvl>
    <w:lvl w:ilvl="3" w:tplc="04090001">
      <w:start w:val="1"/>
      <w:numFmt w:val="bullet"/>
      <w:lvlText w:val=""/>
      <w:lvlJc w:val="left"/>
      <w:pPr>
        <w:tabs>
          <w:tab w:val="num" w:pos="4440"/>
        </w:tabs>
        <w:ind w:left="4440" w:hanging="360"/>
      </w:pPr>
      <w:rPr>
        <w:rFonts w:ascii="Symbol" w:hAnsi="Symbol" w:hint="default"/>
      </w:rPr>
    </w:lvl>
    <w:lvl w:ilvl="4" w:tplc="04090003">
      <w:start w:val="1"/>
      <w:numFmt w:val="bullet"/>
      <w:lvlText w:val="o"/>
      <w:lvlJc w:val="left"/>
      <w:pPr>
        <w:tabs>
          <w:tab w:val="num" w:pos="5160"/>
        </w:tabs>
        <w:ind w:left="5160" w:hanging="360"/>
      </w:pPr>
      <w:rPr>
        <w:rFonts w:ascii="Courier New" w:hAnsi="Courier New" w:hint="default"/>
      </w:rPr>
    </w:lvl>
    <w:lvl w:ilvl="5" w:tplc="04090005">
      <w:start w:val="1"/>
      <w:numFmt w:val="bullet"/>
      <w:lvlText w:val=""/>
      <w:lvlJc w:val="left"/>
      <w:pPr>
        <w:tabs>
          <w:tab w:val="num" w:pos="5880"/>
        </w:tabs>
        <w:ind w:left="5880" w:hanging="360"/>
      </w:pPr>
      <w:rPr>
        <w:rFonts w:ascii="Wingdings" w:hAnsi="Wingdings" w:hint="default"/>
      </w:rPr>
    </w:lvl>
    <w:lvl w:ilvl="6" w:tplc="04090001">
      <w:start w:val="1"/>
      <w:numFmt w:val="bullet"/>
      <w:lvlText w:val=""/>
      <w:lvlJc w:val="left"/>
      <w:pPr>
        <w:tabs>
          <w:tab w:val="num" w:pos="6600"/>
        </w:tabs>
        <w:ind w:left="6600" w:hanging="360"/>
      </w:pPr>
      <w:rPr>
        <w:rFonts w:ascii="Symbol" w:hAnsi="Symbol" w:hint="default"/>
      </w:rPr>
    </w:lvl>
    <w:lvl w:ilvl="7" w:tplc="04090003">
      <w:start w:val="1"/>
      <w:numFmt w:val="bullet"/>
      <w:lvlText w:val="o"/>
      <w:lvlJc w:val="left"/>
      <w:pPr>
        <w:tabs>
          <w:tab w:val="num" w:pos="7320"/>
        </w:tabs>
        <w:ind w:left="7320" w:hanging="360"/>
      </w:pPr>
      <w:rPr>
        <w:rFonts w:ascii="Courier New" w:hAnsi="Courier New" w:hint="default"/>
      </w:rPr>
    </w:lvl>
    <w:lvl w:ilvl="8" w:tplc="04090005">
      <w:start w:val="1"/>
      <w:numFmt w:val="bullet"/>
      <w:lvlText w:val=""/>
      <w:lvlJc w:val="left"/>
      <w:pPr>
        <w:tabs>
          <w:tab w:val="num" w:pos="8040"/>
        </w:tabs>
        <w:ind w:left="8040" w:hanging="360"/>
      </w:pPr>
      <w:rPr>
        <w:rFonts w:ascii="Wingdings" w:hAnsi="Wingdings" w:hint="default"/>
      </w:rPr>
    </w:lvl>
  </w:abstractNum>
  <w:abstractNum w:abstractNumId="8">
    <w:nsid w:val="71C574AE"/>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EC0C0B"/>
    <w:multiLevelType w:val="hybridMultilevel"/>
    <w:tmpl w:val="259654C4"/>
    <w:lvl w:ilvl="0" w:tplc="DD8019D6">
      <w:start w:val="1"/>
      <w:numFmt w:val="upperRoman"/>
      <w:lvlText w:val="%1."/>
      <w:lvlJc w:val="left"/>
      <w:pPr>
        <w:tabs>
          <w:tab w:val="num" w:pos="720"/>
        </w:tabs>
        <w:ind w:left="720" w:hanging="720"/>
      </w:pPr>
      <w:rPr>
        <w:rFonts w:cs="Times New Roman" w:hint="default"/>
      </w:rPr>
    </w:lvl>
    <w:lvl w:ilvl="1" w:tplc="7DEC6A86" w:tentative="1">
      <w:start w:val="1"/>
      <w:numFmt w:val="lowerLetter"/>
      <w:lvlText w:val="%2."/>
      <w:lvlJc w:val="left"/>
      <w:pPr>
        <w:tabs>
          <w:tab w:val="num" w:pos="1080"/>
        </w:tabs>
        <w:ind w:left="1080" w:hanging="360"/>
      </w:pPr>
      <w:rPr>
        <w:rFonts w:cs="Times New Roman"/>
      </w:rPr>
    </w:lvl>
    <w:lvl w:ilvl="2" w:tplc="2F10FFAA" w:tentative="1">
      <w:start w:val="1"/>
      <w:numFmt w:val="lowerRoman"/>
      <w:lvlText w:val="%3."/>
      <w:lvlJc w:val="right"/>
      <w:pPr>
        <w:tabs>
          <w:tab w:val="num" w:pos="1800"/>
        </w:tabs>
        <w:ind w:left="1800" w:hanging="180"/>
      </w:pPr>
      <w:rPr>
        <w:rFonts w:cs="Times New Roman"/>
      </w:rPr>
    </w:lvl>
    <w:lvl w:ilvl="3" w:tplc="C7DCE9A8" w:tentative="1">
      <w:start w:val="1"/>
      <w:numFmt w:val="decimal"/>
      <w:lvlText w:val="%4."/>
      <w:lvlJc w:val="left"/>
      <w:pPr>
        <w:tabs>
          <w:tab w:val="num" w:pos="2520"/>
        </w:tabs>
        <w:ind w:left="2520" w:hanging="360"/>
      </w:pPr>
      <w:rPr>
        <w:rFonts w:cs="Times New Roman"/>
      </w:rPr>
    </w:lvl>
    <w:lvl w:ilvl="4" w:tplc="5A7CD070" w:tentative="1">
      <w:start w:val="1"/>
      <w:numFmt w:val="lowerLetter"/>
      <w:lvlText w:val="%5."/>
      <w:lvlJc w:val="left"/>
      <w:pPr>
        <w:tabs>
          <w:tab w:val="num" w:pos="3240"/>
        </w:tabs>
        <w:ind w:left="3240" w:hanging="360"/>
      </w:pPr>
      <w:rPr>
        <w:rFonts w:cs="Times New Roman"/>
      </w:rPr>
    </w:lvl>
    <w:lvl w:ilvl="5" w:tplc="0D3AC158" w:tentative="1">
      <w:start w:val="1"/>
      <w:numFmt w:val="lowerRoman"/>
      <w:lvlText w:val="%6."/>
      <w:lvlJc w:val="right"/>
      <w:pPr>
        <w:tabs>
          <w:tab w:val="num" w:pos="3960"/>
        </w:tabs>
        <w:ind w:left="3960" w:hanging="180"/>
      </w:pPr>
      <w:rPr>
        <w:rFonts w:cs="Times New Roman"/>
      </w:rPr>
    </w:lvl>
    <w:lvl w:ilvl="6" w:tplc="F4DC5682" w:tentative="1">
      <w:start w:val="1"/>
      <w:numFmt w:val="decimal"/>
      <w:lvlText w:val="%7."/>
      <w:lvlJc w:val="left"/>
      <w:pPr>
        <w:tabs>
          <w:tab w:val="num" w:pos="4680"/>
        </w:tabs>
        <w:ind w:left="4680" w:hanging="360"/>
      </w:pPr>
      <w:rPr>
        <w:rFonts w:cs="Times New Roman"/>
      </w:rPr>
    </w:lvl>
    <w:lvl w:ilvl="7" w:tplc="0CEC17A4" w:tentative="1">
      <w:start w:val="1"/>
      <w:numFmt w:val="lowerLetter"/>
      <w:lvlText w:val="%8."/>
      <w:lvlJc w:val="left"/>
      <w:pPr>
        <w:tabs>
          <w:tab w:val="num" w:pos="5400"/>
        </w:tabs>
        <w:ind w:left="5400" w:hanging="360"/>
      </w:pPr>
      <w:rPr>
        <w:rFonts w:cs="Times New Roman"/>
      </w:rPr>
    </w:lvl>
    <w:lvl w:ilvl="8" w:tplc="2FF89C72" w:tentative="1">
      <w:start w:val="1"/>
      <w:numFmt w:val="lowerRoman"/>
      <w:lvlText w:val="%9."/>
      <w:lvlJc w:val="right"/>
      <w:pPr>
        <w:tabs>
          <w:tab w:val="num" w:pos="6120"/>
        </w:tabs>
        <w:ind w:left="6120" w:hanging="180"/>
      </w:pPr>
      <w:rPr>
        <w:rFonts w:cs="Times New Roman"/>
      </w:rPr>
    </w:lvl>
  </w:abstractNum>
  <w:abstractNum w:abstractNumId="10">
    <w:nsid w:val="75E644C9"/>
    <w:multiLevelType w:val="hybridMultilevel"/>
    <w:tmpl w:val="4ADE8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7746E"/>
    <w:multiLevelType w:val="hybridMultilevel"/>
    <w:tmpl w:val="5F9A01FC"/>
    <w:lvl w:ilvl="0" w:tplc="388E1DF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ABB26BB"/>
    <w:multiLevelType w:val="hybridMultilevel"/>
    <w:tmpl w:val="13806A34"/>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9"/>
  </w:num>
  <w:num w:numId="4">
    <w:abstractNumId w:val="1"/>
  </w:num>
  <w:num w:numId="5">
    <w:abstractNumId w:val="4"/>
  </w:num>
  <w:num w:numId="6">
    <w:abstractNumId w:val="2"/>
  </w:num>
  <w:num w:numId="7">
    <w:abstractNumId w:val="12"/>
  </w:num>
  <w:num w:numId="8">
    <w:abstractNumId w:val="3"/>
  </w:num>
  <w:num w:numId="9">
    <w:abstractNumId w:val="5"/>
  </w:num>
  <w:num w:numId="10">
    <w:abstractNumId w:val="6"/>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58F4"/>
    <w:rsid w:val="000063C2"/>
    <w:rsid w:val="000073A8"/>
    <w:rsid w:val="00011432"/>
    <w:rsid w:val="000136D5"/>
    <w:rsid w:val="00016A37"/>
    <w:rsid w:val="00023008"/>
    <w:rsid w:val="0003091A"/>
    <w:rsid w:val="00032515"/>
    <w:rsid w:val="00032AFD"/>
    <w:rsid w:val="00033054"/>
    <w:rsid w:val="00033988"/>
    <w:rsid w:val="000367C4"/>
    <w:rsid w:val="00037AC1"/>
    <w:rsid w:val="000404B4"/>
    <w:rsid w:val="00046E19"/>
    <w:rsid w:val="000471A5"/>
    <w:rsid w:val="0005064C"/>
    <w:rsid w:val="00052F67"/>
    <w:rsid w:val="00054BFA"/>
    <w:rsid w:val="00055E99"/>
    <w:rsid w:val="0006019E"/>
    <w:rsid w:val="00062904"/>
    <w:rsid w:val="00062FAF"/>
    <w:rsid w:val="000630B0"/>
    <w:rsid w:val="00065274"/>
    <w:rsid w:val="000703FB"/>
    <w:rsid w:val="000712A3"/>
    <w:rsid w:val="00073A5F"/>
    <w:rsid w:val="0007738D"/>
    <w:rsid w:val="00077D89"/>
    <w:rsid w:val="000847B3"/>
    <w:rsid w:val="00084AD8"/>
    <w:rsid w:val="000851CC"/>
    <w:rsid w:val="00087795"/>
    <w:rsid w:val="0009002F"/>
    <w:rsid w:val="00091B6E"/>
    <w:rsid w:val="000942CA"/>
    <w:rsid w:val="00095069"/>
    <w:rsid w:val="000956EF"/>
    <w:rsid w:val="00095735"/>
    <w:rsid w:val="000A0AE7"/>
    <w:rsid w:val="000A17F0"/>
    <w:rsid w:val="000A277E"/>
    <w:rsid w:val="000A5295"/>
    <w:rsid w:val="000A5A48"/>
    <w:rsid w:val="000B07CB"/>
    <w:rsid w:val="000B33F9"/>
    <w:rsid w:val="000B358B"/>
    <w:rsid w:val="000B42EF"/>
    <w:rsid w:val="000B63CA"/>
    <w:rsid w:val="000C1DE0"/>
    <w:rsid w:val="000C21A1"/>
    <w:rsid w:val="000C359B"/>
    <w:rsid w:val="000C4BF8"/>
    <w:rsid w:val="000C78EF"/>
    <w:rsid w:val="000C7938"/>
    <w:rsid w:val="000D02E1"/>
    <w:rsid w:val="000D0D2B"/>
    <w:rsid w:val="000D1230"/>
    <w:rsid w:val="000D1BCE"/>
    <w:rsid w:val="000D222B"/>
    <w:rsid w:val="000D6E19"/>
    <w:rsid w:val="000E0A83"/>
    <w:rsid w:val="000E6ADB"/>
    <w:rsid w:val="000E7348"/>
    <w:rsid w:val="000F280B"/>
    <w:rsid w:val="000F6878"/>
    <w:rsid w:val="000F731D"/>
    <w:rsid w:val="000F7915"/>
    <w:rsid w:val="0010159E"/>
    <w:rsid w:val="00102990"/>
    <w:rsid w:val="00102EF4"/>
    <w:rsid w:val="001041BD"/>
    <w:rsid w:val="00104BF0"/>
    <w:rsid w:val="0011065C"/>
    <w:rsid w:val="00111487"/>
    <w:rsid w:val="0011259E"/>
    <w:rsid w:val="00115EF5"/>
    <w:rsid w:val="001172F9"/>
    <w:rsid w:val="001226A2"/>
    <w:rsid w:val="00123909"/>
    <w:rsid w:val="00126783"/>
    <w:rsid w:val="00130FAF"/>
    <w:rsid w:val="00131182"/>
    <w:rsid w:val="0013344D"/>
    <w:rsid w:val="00133917"/>
    <w:rsid w:val="00133CFB"/>
    <w:rsid w:val="00136188"/>
    <w:rsid w:val="00136989"/>
    <w:rsid w:val="00136E27"/>
    <w:rsid w:val="00140218"/>
    <w:rsid w:val="0014192B"/>
    <w:rsid w:val="00142244"/>
    <w:rsid w:val="001434BB"/>
    <w:rsid w:val="00144FB4"/>
    <w:rsid w:val="001450BF"/>
    <w:rsid w:val="001459B3"/>
    <w:rsid w:val="001469A1"/>
    <w:rsid w:val="00146D42"/>
    <w:rsid w:val="00150FED"/>
    <w:rsid w:val="00154A80"/>
    <w:rsid w:val="001577D4"/>
    <w:rsid w:val="00162DD3"/>
    <w:rsid w:val="0017219D"/>
    <w:rsid w:val="001725DE"/>
    <w:rsid w:val="001777C2"/>
    <w:rsid w:val="00180B04"/>
    <w:rsid w:val="00181D5B"/>
    <w:rsid w:val="001825F6"/>
    <w:rsid w:val="00182779"/>
    <w:rsid w:val="00184124"/>
    <w:rsid w:val="0018768B"/>
    <w:rsid w:val="00192998"/>
    <w:rsid w:val="00193ED5"/>
    <w:rsid w:val="001A17EB"/>
    <w:rsid w:val="001A386D"/>
    <w:rsid w:val="001A4601"/>
    <w:rsid w:val="001A49DD"/>
    <w:rsid w:val="001A55C6"/>
    <w:rsid w:val="001A576F"/>
    <w:rsid w:val="001A5C38"/>
    <w:rsid w:val="001A5D09"/>
    <w:rsid w:val="001A6EAF"/>
    <w:rsid w:val="001B22CA"/>
    <w:rsid w:val="001B6358"/>
    <w:rsid w:val="001B6E40"/>
    <w:rsid w:val="001B7B3E"/>
    <w:rsid w:val="001C1D24"/>
    <w:rsid w:val="001C3214"/>
    <w:rsid w:val="001C41F0"/>
    <w:rsid w:val="001C476E"/>
    <w:rsid w:val="001C5868"/>
    <w:rsid w:val="001C6B95"/>
    <w:rsid w:val="001D4525"/>
    <w:rsid w:val="001D4ACF"/>
    <w:rsid w:val="001D7917"/>
    <w:rsid w:val="001E09FC"/>
    <w:rsid w:val="001E4B32"/>
    <w:rsid w:val="001F1BD6"/>
    <w:rsid w:val="001F267F"/>
    <w:rsid w:val="001F2C60"/>
    <w:rsid w:val="001F675E"/>
    <w:rsid w:val="001F783E"/>
    <w:rsid w:val="0020018C"/>
    <w:rsid w:val="0020059F"/>
    <w:rsid w:val="00201126"/>
    <w:rsid w:val="00204C41"/>
    <w:rsid w:val="00207849"/>
    <w:rsid w:val="00207A2B"/>
    <w:rsid w:val="00210AF8"/>
    <w:rsid w:val="002151AB"/>
    <w:rsid w:val="002208AD"/>
    <w:rsid w:val="00222179"/>
    <w:rsid w:val="002233FD"/>
    <w:rsid w:val="0022766E"/>
    <w:rsid w:val="002279E8"/>
    <w:rsid w:val="00230396"/>
    <w:rsid w:val="00231013"/>
    <w:rsid w:val="00231CD3"/>
    <w:rsid w:val="00232350"/>
    <w:rsid w:val="00234571"/>
    <w:rsid w:val="002369B5"/>
    <w:rsid w:val="0024108E"/>
    <w:rsid w:val="00241AFA"/>
    <w:rsid w:val="00244574"/>
    <w:rsid w:val="002450FD"/>
    <w:rsid w:val="00246A73"/>
    <w:rsid w:val="0025384A"/>
    <w:rsid w:val="00257E8D"/>
    <w:rsid w:val="002604B3"/>
    <w:rsid w:val="0026140B"/>
    <w:rsid w:val="00262BBA"/>
    <w:rsid w:val="00262FAA"/>
    <w:rsid w:val="0026325F"/>
    <w:rsid w:val="0026538C"/>
    <w:rsid w:val="00265F0F"/>
    <w:rsid w:val="00270E41"/>
    <w:rsid w:val="00272138"/>
    <w:rsid w:val="0027599B"/>
    <w:rsid w:val="00275EA6"/>
    <w:rsid w:val="00276AB6"/>
    <w:rsid w:val="00277AB0"/>
    <w:rsid w:val="00280110"/>
    <w:rsid w:val="002808A7"/>
    <w:rsid w:val="00282359"/>
    <w:rsid w:val="00284F6E"/>
    <w:rsid w:val="00285CD1"/>
    <w:rsid w:val="00286167"/>
    <w:rsid w:val="00287F90"/>
    <w:rsid w:val="00292180"/>
    <w:rsid w:val="002941F4"/>
    <w:rsid w:val="00294C85"/>
    <w:rsid w:val="00295A72"/>
    <w:rsid w:val="00295F97"/>
    <w:rsid w:val="00296743"/>
    <w:rsid w:val="0029764C"/>
    <w:rsid w:val="002A242B"/>
    <w:rsid w:val="002A2AD7"/>
    <w:rsid w:val="002A2B4A"/>
    <w:rsid w:val="002A6223"/>
    <w:rsid w:val="002A701B"/>
    <w:rsid w:val="002B01A7"/>
    <w:rsid w:val="002B20F4"/>
    <w:rsid w:val="002B6B86"/>
    <w:rsid w:val="002B6E7C"/>
    <w:rsid w:val="002C5DFF"/>
    <w:rsid w:val="002D39EC"/>
    <w:rsid w:val="002D4169"/>
    <w:rsid w:val="002D6506"/>
    <w:rsid w:val="002D6DE1"/>
    <w:rsid w:val="002D7CDC"/>
    <w:rsid w:val="002E2B76"/>
    <w:rsid w:val="002E3D09"/>
    <w:rsid w:val="002E5219"/>
    <w:rsid w:val="002E5E61"/>
    <w:rsid w:val="002E6159"/>
    <w:rsid w:val="002E77B9"/>
    <w:rsid w:val="002F02BE"/>
    <w:rsid w:val="002F0C1B"/>
    <w:rsid w:val="002F2994"/>
    <w:rsid w:val="002F386D"/>
    <w:rsid w:val="00310157"/>
    <w:rsid w:val="00311B5D"/>
    <w:rsid w:val="00314F87"/>
    <w:rsid w:val="003150D8"/>
    <w:rsid w:val="003178AA"/>
    <w:rsid w:val="003252BD"/>
    <w:rsid w:val="0033396C"/>
    <w:rsid w:val="00335934"/>
    <w:rsid w:val="00335ADD"/>
    <w:rsid w:val="00336FFE"/>
    <w:rsid w:val="00346011"/>
    <w:rsid w:val="00346D55"/>
    <w:rsid w:val="003473ED"/>
    <w:rsid w:val="003479E6"/>
    <w:rsid w:val="00350923"/>
    <w:rsid w:val="00351241"/>
    <w:rsid w:val="0035210B"/>
    <w:rsid w:val="00354480"/>
    <w:rsid w:val="00355675"/>
    <w:rsid w:val="00362773"/>
    <w:rsid w:val="00376ED5"/>
    <w:rsid w:val="00377079"/>
    <w:rsid w:val="0038099C"/>
    <w:rsid w:val="00382FE8"/>
    <w:rsid w:val="003836BD"/>
    <w:rsid w:val="0038391F"/>
    <w:rsid w:val="00386429"/>
    <w:rsid w:val="0039004E"/>
    <w:rsid w:val="00391FAB"/>
    <w:rsid w:val="00395A22"/>
    <w:rsid w:val="00395FA5"/>
    <w:rsid w:val="0039740A"/>
    <w:rsid w:val="003A415C"/>
    <w:rsid w:val="003A6EF1"/>
    <w:rsid w:val="003B135F"/>
    <w:rsid w:val="003B28AF"/>
    <w:rsid w:val="003B4115"/>
    <w:rsid w:val="003B47BC"/>
    <w:rsid w:val="003B510E"/>
    <w:rsid w:val="003B56F0"/>
    <w:rsid w:val="003B5D55"/>
    <w:rsid w:val="003B76A7"/>
    <w:rsid w:val="003C2909"/>
    <w:rsid w:val="003C7C43"/>
    <w:rsid w:val="003D0BD8"/>
    <w:rsid w:val="003D0E43"/>
    <w:rsid w:val="003D313B"/>
    <w:rsid w:val="003D4307"/>
    <w:rsid w:val="003D525D"/>
    <w:rsid w:val="003D5D6A"/>
    <w:rsid w:val="003E1D9C"/>
    <w:rsid w:val="003F0328"/>
    <w:rsid w:val="003F192F"/>
    <w:rsid w:val="003F2692"/>
    <w:rsid w:val="003F3851"/>
    <w:rsid w:val="004006B7"/>
    <w:rsid w:val="00405117"/>
    <w:rsid w:val="00405502"/>
    <w:rsid w:val="004117C4"/>
    <w:rsid w:val="0041333D"/>
    <w:rsid w:val="00416A00"/>
    <w:rsid w:val="00416C15"/>
    <w:rsid w:val="004177E9"/>
    <w:rsid w:val="00417FD6"/>
    <w:rsid w:val="00422C9B"/>
    <w:rsid w:val="00423108"/>
    <w:rsid w:val="00424646"/>
    <w:rsid w:val="004253D6"/>
    <w:rsid w:val="00425D37"/>
    <w:rsid w:val="00432BFB"/>
    <w:rsid w:val="0043593D"/>
    <w:rsid w:val="00435CC3"/>
    <w:rsid w:val="00436C55"/>
    <w:rsid w:val="00437197"/>
    <w:rsid w:val="004375D1"/>
    <w:rsid w:val="00440FE9"/>
    <w:rsid w:val="004419C4"/>
    <w:rsid w:val="004420E7"/>
    <w:rsid w:val="00443F5D"/>
    <w:rsid w:val="00444C8F"/>
    <w:rsid w:val="00444E78"/>
    <w:rsid w:val="00445AFA"/>
    <w:rsid w:val="00445BA9"/>
    <w:rsid w:val="0044688B"/>
    <w:rsid w:val="004473F2"/>
    <w:rsid w:val="00447E43"/>
    <w:rsid w:val="00452BB3"/>
    <w:rsid w:val="00453DE8"/>
    <w:rsid w:val="004577C6"/>
    <w:rsid w:val="0046156C"/>
    <w:rsid w:val="00461C3F"/>
    <w:rsid w:val="00466C2E"/>
    <w:rsid w:val="00471817"/>
    <w:rsid w:val="004724E8"/>
    <w:rsid w:val="0047315B"/>
    <w:rsid w:val="00477067"/>
    <w:rsid w:val="00482382"/>
    <w:rsid w:val="0048266A"/>
    <w:rsid w:val="004843AD"/>
    <w:rsid w:val="00486F9E"/>
    <w:rsid w:val="004876D9"/>
    <w:rsid w:val="00487D66"/>
    <w:rsid w:val="004913E3"/>
    <w:rsid w:val="00497530"/>
    <w:rsid w:val="004A1071"/>
    <w:rsid w:val="004A1223"/>
    <w:rsid w:val="004A34DD"/>
    <w:rsid w:val="004A4333"/>
    <w:rsid w:val="004A779C"/>
    <w:rsid w:val="004B0788"/>
    <w:rsid w:val="004B0842"/>
    <w:rsid w:val="004B10B0"/>
    <w:rsid w:val="004B1734"/>
    <w:rsid w:val="004B5088"/>
    <w:rsid w:val="004C329E"/>
    <w:rsid w:val="004C33FC"/>
    <w:rsid w:val="004C5BC0"/>
    <w:rsid w:val="004C7110"/>
    <w:rsid w:val="004D1DE3"/>
    <w:rsid w:val="004D2DC6"/>
    <w:rsid w:val="004D3DF6"/>
    <w:rsid w:val="004D542E"/>
    <w:rsid w:val="004D5798"/>
    <w:rsid w:val="004E090A"/>
    <w:rsid w:val="004E1D43"/>
    <w:rsid w:val="004E4C4F"/>
    <w:rsid w:val="004E6639"/>
    <w:rsid w:val="004F4446"/>
    <w:rsid w:val="004F63BE"/>
    <w:rsid w:val="004F7EE3"/>
    <w:rsid w:val="00502C92"/>
    <w:rsid w:val="0050309E"/>
    <w:rsid w:val="005035E4"/>
    <w:rsid w:val="0050392B"/>
    <w:rsid w:val="00507970"/>
    <w:rsid w:val="00512060"/>
    <w:rsid w:val="00513FBA"/>
    <w:rsid w:val="0052249D"/>
    <w:rsid w:val="00523721"/>
    <w:rsid w:val="005249A9"/>
    <w:rsid w:val="00526331"/>
    <w:rsid w:val="0053116D"/>
    <w:rsid w:val="005340AA"/>
    <w:rsid w:val="005362FA"/>
    <w:rsid w:val="00537CB1"/>
    <w:rsid w:val="00541409"/>
    <w:rsid w:val="00542BD1"/>
    <w:rsid w:val="005433AB"/>
    <w:rsid w:val="005509F8"/>
    <w:rsid w:val="005514EE"/>
    <w:rsid w:val="005551A8"/>
    <w:rsid w:val="00557971"/>
    <w:rsid w:val="00557D12"/>
    <w:rsid w:val="00560612"/>
    <w:rsid w:val="00561BB5"/>
    <w:rsid w:val="00564007"/>
    <w:rsid w:val="005641E9"/>
    <w:rsid w:val="00564EF2"/>
    <w:rsid w:val="00565BAE"/>
    <w:rsid w:val="00566C48"/>
    <w:rsid w:val="00567B9E"/>
    <w:rsid w:val="00567F36"/>
    <w:rsid w:val="00576485"/>
    <w:rsid w:val="00576736"/>
    <w:rsid w:val="00576F1C"/>
    <w:rsid w:val="0058169B"/>
    <w:rsid w:val="00585E00"/>
    <w:rsid w:val="0059026D"/>
    <w:rsid w:val="0059058C"/>
    <w:rsid w:val="005916E9"/>
    <w:rsid w:val="0059207F"/>
    <w:rsid w:val="005932D8"/>
    <w:rsid w:val="005957E6"/>
    <w:rsid w:val="005961EC"/>
    <w:rsid w:val="00596C9E"/>
    <w:rsid w:val="00597496"/>
    <w:rsid w:val="005A2A4A"/>
    <w:rsid w:val="005B16F9"/>
    <w:rsid w:val="005B2432"/>
    <w:rsid w:val="005B7199"/>
    <w:rsid w:val="005C0F76"/>
    <w:rsid w:val="005C28D5"/>
    <w:rsid w:val="005C298F"/>
    <w:rsid w:val="005C2F72"/>
    <w:rsid w:val="005C3296"/>
    <w:rsid w:val="005C3D15"/>
    <w:rsid w:val="005C6621"/>
    <w:rsid w:val="005C6AD6"/>
    <w:rsid w:val="005C6ED7"/>
    <w:rsid w:val="005D0659"/>
    <w:rsid w:val="005D2AC7"/>
    <w:rsid w:val="005D57B0"/>
    <w:rsid w:val="005D5803"/>
    <w:rsid w:val="005D770A"/>
    <w:rsid w:val="005E0709"/>
    <w:rsid w:val="005E179E"/>
    <w:rsid w:val="005E2B39"/>
    <w:rsid w:val="005E4CA7"/>
    <w:rsid w:val="005E6BE0"/>
    <w:rsid w:val="005E6C99"/>
    <w:rsid w:val="005E74A8"/>
    <w:rsid w:val="005F066C"/>
    <w:rsid w:val="005F6A81"/>
    <w:rsid w:val="00600000"/>
    <w:rsid w:val="006007A2"/>
    <w:rsid w:val="00600989"/>
    <w:rsid w:val="00600D48"/>
    <w:rsid w:val="00604775"/>
    <w:rsid w:val="00605BB2"/>
    <w:rsid w:val="006064DC"/>
    <w:rsid w:val="00611254"/>
    <w:rsid w:val="006123CD"/>
    <w:rsid w:val="006124BB"/>
    <w:rsid w:val="00613A39"/>
    <w:rsid w:val="00615DA3"/>
    <w:rsid w:val="0061626D"/>
    <w:rsid w:val="00620321"/>
    <w:rsid w:val="00623C50"/>
    <w:rsid w:val="00624EA2"/>
    <w:rsid w:val="00627EB2"/>
    <w:rsid w:val="00631CF9"/>
    <w:rsid w:val="00633AB0"/>
    <w:rsid w:val="00634A6F"/>
    <w:rsid w:val="00634FFC"/>
    <w:rsid w:val="006356DF"/>
    <w:rsid w:val="00636132"/>
    <w:rsid w:val="0063637E"/>
    <w:rsid w:val="00641134"/>
    <w:rsid w:val="0064363D"/>
    <w:rsid w:val="00646789"/>
    <w:rsid w:val="006469A8"/>
    <w:rsid w:val="006476E7"/>
    <w:rsid w:val="00647883"/>
    <w:rsid w:val="0065667C"/>
    <w:rsid w:val="00657673"/>
    <w:rsid w:val="00660930"/>
    <w:rsid w:val="00660D0E"/>
    <w:rsid w:val="0066405E"/>
    <w:rsid w:val="00665B3C"/>
    <w:rsid w:val="00666A44"/>
    <w:rsid w:val="006676C3"/>
    <w:rsid w:val="006676FC"/>
    <w:rsid w:val="006718B7"/>
    <w:rsid w:val="00671BFC"/>
    <w:rsid w:val="00676194"/>
    <w:rsid w:val="0067789A"/>
    <w:rsid w:val="00677E48"/>
    <w:rsid w:val="00680817"/>
    <w:rsid w:val="006808EB"/>
    <w:rsid w:val="0068190A"/>
    <w:rsid w:val="00684257"/>
    <w:rsid w:val="00684C9F"/>
    <w:rsid w:val="00691E06"/>
    <w:rsid w:val="00692592"/>
    <w:rsid w:val="006932D1"/>
    <w:rsid w:val="006934EE"/>
    <w:rsid w:val="006960C8"/>
    <w:rsid w:val="00696F97"/>
    <w:rsid w:val="006975C8"/>
    <w:rsid w:val="0069792F"/>
    <w:rsid w:val="006A0B3A"/>
    <w:rsid w:val="006A0B57"/>
    <w:rsid w:val="006A2CE6"/>
    <w:rsid w:val="006A6E7F"/>
    <w:rsid w:val="006B29EB"/>
    <w:rsid w:val="006B5CDB"/>
    <w:rsid w:val="006C2E03"/>
    <w:rsid w:val="006C4079"/>
    <w:rsid w:val="006C7778"/>
    <w:rsid w:val="006C790F"/>
    <w:rsid w:val="006D0068"/>
    <w:rsid w:val="006D0884"/>
    <w:rsid w:val="006D1BE6"/>
    <w:rsid w:val="006D3A84"/>
    <w:rsid w:val="006E1D37"/>
    <w:rsid w:val="006E7142"/>
    <w:rsid w:val="006F031F"/>
    <w:rsid w:val="006F1B5A"/>
    <w:rsid w:val="006F3CBE"/>
    <w:rsid w:val="006F4E01"/>
    <w:rsid w:val="006F55CB"/>
    <w:rsid w:val="00700BC5"/>
    <w:rsid w:val="0070217F"/>
    <w:rsid w:val="007028C3"/>
    <w:rsid w:val="0070327F"/>
    <w:rsid w:val="00705C4C"/>
    <w:rsid w:val="00707D30"/>
    <w:rsid w:val="007112C4"/>
    <w:rsid w:val="00712560"/>
    <w:rsid w:val="007125F6"/>
    <w:rsid w:val="007138C1"/>
    <w:rsid w:val="007160D5"/>
    <w:rsid w:val="00716A7D"/>
    <w:rsid w:val="0071731F"/>
    <w:rsid w:val="00717BDA"/>
    <w:rsid w:val="00717D07"/>
    <w:rsid w:val="00721C1C"/>
    <w:rsid w:val="007230A9"/>
    <w:rsid w:val="007274BF"/>
    <w:rsid w:val="00730AA0"/>
    <w:rsid w:val="00732194"/>
    <w:rsid w:val="007330E5"/>
    <w:rsid w:val="00734993"/>
    <w:rsid w:val="00735CE8"/>
    <w:rsid w:val="00740B86"/>
    <w:rsid w:val="007413E4"/>
    <w:rsid w:val="00742853"/>
    <w:rsid w:val="00743259"/>
    <w:rsid w:val="007472F6"/>
    <w:rsid w:val="007574F8"/>
    <w:rsid w:val="00757D5D"/>
    <w:rsid w:val="00763113"/>
    <w:rsid w:val="00764C6F"/>
    <w:rsid w:val="00765287"/>
    <w:rsid w:val="007717F5"/>
    <w:rsid w:val="00774172"/>
    <w:rsid w:val="00775111"/>
    <w:rsid w:val="00777709"/>
    <w:rsid w:val="0077783B"/>
    <w:rsid w:val="007804FA"/>
    <w:rsid w:val="007819B0"/>
    <w:rsid w:val="0078213A"/>
    <w:rsid w:val="00783584"/>
    <w:rsid w:val="00785B48"/>
    <w:rsid w:val="00785CFF"/>
    <w:rsid w:val="00786E23"/>
    <w:rsid w:val="007900BD"/>
    <w:rsid w:val="00796AD6"/>
    <w:rsid w:val="007A18B0"/>
    <w:rsid w:val="007A2F42"/>
    <w:rsid w:val="007A3817"/>
    <w:rsid w:val="007A66C4"/>
    <w:rsid w:val="007A676E"/>
    <w:rsid w:val="007A7069"/>
    <w:rsid w:val="007B1421"/>
    <w:rsid w:val="007B347A"/>
    <w:rsid w:val="007B7715"/>
    <w:rsid w:val="007C1617"/>
    <w:rsid w:val="007C2CD3"/>
    <w:rsid w:val="007C3B29"/>
    <w:rsid w:val="007C41FF"/>
    <w:rsid w:val="007C5D67"/>
    <w:rsid w:val="007C714B"/>
    <w:rsid w:val="007C7430"/>
    <w:rsid w:val="007D15B7"/>
    <w:rsid w:val="007D1DDE"/>
    <w:rsid w:val="007D3A99"/>
    <w:rsid w:val="007D54A0"/>
    <w:rsid w:val="007D78AF"/>
    <w:rsid w:val="007E0237"/>
    <w:rsid w:val="007E0684"/>
    <w:rsid w:val="007E1712"/>
    <w:rsid w:val="007E3100"/>
    <w:rsid w:val="007E3BDA"/>
    <w:rsid w:val="007E595D"/>
    <w:rsid w:val="007F16BF"/>
    <w:rsid w:val="007F2536"/>
    <w:rsid w:val="007F3C5F"/>
    <w:rsid w:val="007F4F3F"/>
    <w:rsid w:val="007F5FF1"/>
    <w:rsid w:val="007F7C94"/>
    <w:rsid w:val="00800712"/>
    <w:rsid w:val="00803256"/>
    <w:rsid w:val="00803CD5"/>
    <w:rsid w:val="0080409B"/>
    <w:rsid w:val="008043EA"/>
    <w:rsid w:val="00806211"/>
    <w:rsid w:val="00810E34"/>
    <w:rsid w:val="008146C2"/>
    <w:rsid w:val="008149B1"/>
    <w:rsid w:val="008203D6"/>
    <w:rsid w:val="00821C2C"/>
    <w:rsid w:val="00823067"/>
    <w:rsid w:val="00826785"/>
    <w:rsid w:val="008271B4"/>
    <w:rsid w:val="008311FC"/>
    <w:rsid w:val="008321DD"/>
    <w:rsid w:val="008329B4"/>
    <w:rsid w:val="00833937"/>
    <w:rsid w:val="0083422E"/>
    <w:rsid w:val="008405F9"/>
    <w:rsid w:val="008418AF"/>
    <w:rsid w:val="00842F96"/>
    <w:rsid w:val="0084380E"/>
    <w:rsid w:val="00844A2A"/>
    <w:rsid w:val="00844E0C"/>
    <w:rsid w:val="00850BA9"/>
    <w:rsid w:val="00852A35"/>
    <w:rsid w:val="00856DE4"/>
    <w:rsid w:val="00857F89"/>
    <w:rsid w:val="00860EFA"/>
    <w:rsid w:val="00861FC2"/>
    <w:rsid w:val="00862522"/>
    <w:rsid w:val="008650A8"/>
    <w:rsid w:val="00865CAE"/>
    <w:rsid w:val="00866949"/>
    <w:rsid w:val="008670E0"/>
    <w:rsid w:val="00867855"/>
    <w:rsid w:val="00872413"/>
    <w:rsid w:val="00873440"/>
    <w:rsid w:val="00875BC7"/>
    <w:rsid w:val="00875F97"/>
    <w:rsid w:val="008809F6"/>
    <w:rsid w:val="008811FF"/>
    <w:rsid w:val="0088470D"/>
    <w:rsid w:val="00885D23"/>
    <w:rsid w:val="0088655C"/>
    <w:rsid w:val="00892039"/>
    <w:rsid w:val="00892856"/>
    <w:rsid w:val="00895D04"/>
    <w:rsid w:val="008966DC"/>
    <w:rsid w:val="00897C69"/>
    <w:rsid w:val="008A2F91"/>
    <w:rsid w:val="008A3343"/>
    <w:rsid w:val="008A54F4"/>
    <w:rsid w:val="008A58A9"/>
    <w:rsid w:val="008B1D3B"/>
    <w:rsid w:val="008B683F"/>
    <w:rsid w:val="008B75C0"/>
    <w:rsid w:val="008C0226"/>
    <w:rsid w:val="008C0695"/>
    <w:rsid w:val="008C0C5A"/>
    <w:rsid w:val="008C1542"/>
    <w:rsid w:val="008C1685"/>
    <w:rsid w:val="008C4803"/>
    <w:rsid w:val="008C5C6B"/>
    <w:rsid w:val="008D02B5"/>
    <w:rsid w:val="008D1659"/>
    <w:rsid w:val="008D4C4A"/>
    <w:rsid w:val="008E1A08"/>
    <w:rsid w:val="008E3076"/>
    <w:rsid w:val="008E5180"/>
    <w:rsid w:val="008E6F1F"/>
    <w:rsid w:val="008F060D"/>
    <w:rsid w:val="008F4DCB"/>
    <w:rsid w:val="008F6302"/>
    <w:rsid w:val="008F6672"/>
    <w:rsid w:val="00900458"/>
    <w:rsid w:val="00902304"/>
    <w:rsid w:val="009031DB"/>
    <w:rsid w:val="00907851"/>
    <w:rsid w:val="009133FA"/>
    <w:rsid w:val="00914870"/>
    <w:rsid w:val="0092129E"/>
    <w:rsid w:val="0092286B"/>
    <w:rsid w:val="00924F7E"/>
    <w:rsid w:val="00925A00"/>
    <w:rsid w:val="00934668"/>
    <w:rsid w:val="009349CD"/>
    <w:rsid w:val="00934BA5"/>
    <w:rsid w:val="00935EBD"/>
    <w:rsid w:val="0093616F"/>
    <w:rsid w:val="0094027C"/>
    <w:rsid w:val="00941C67"/>
    <w:rsid w:val="00943A92"/>
    <w:rsid w:val="00947575"/>
    <w:rsid w:val="00950686"/>
    <w:rsid w:val="00953707"/>
    <w:rsid w:val="00953907"/>
    <w:rsid w:val="00953A88"/>
    <w:rsid w:val="009559B2"/>
    <w:rsid w:val="00955D6A"/>
    <w:rsid w:val="00957D63"/>
    <w:rsid w:val="00961B00"/>
    <w:rsid w:val="009625C6"/>
    <w:rsid w:val="00964389"/>
    <w:rsid w:val="00965002"/>
    <w:rsid w:val="00966D29"/>
    <w:rsid w:val="00967632"/>
    <w:rsid w:val="00971D16"/>
    <w:rsid w:val="00974997"/>
    <w:rsid w:val="00974A81"/>
    <w:rsid w:val="00976620"/>
    <w:rsid w:val="00982493"/>
    <w:rsid w:val="00987B91"/>
    <w:rsid w:val="00990BC3"/>
    <w:rsid w:val="009920D8"/>
    <w:rsid w:val="00995E32"/>
    <w:rsid w:val="009964E8"/>
    <w:rsid w:val="009A024E"/>
    <w:rsid w:val="009A4232"/>
    <w:rsid w:val="009A6BCE"/>
    <w:rsid w:val="009B0D3D"/>
    <w:rsid w:val="009B279C"/>
    <w:rsid w:val="009B389E"/>
    <w:rsid w:val="009B420F"/>
    <w:rsid w:val="009B4338"/>
    <w:rsid w:val="009B4F2D"/>
    <w:rsid w:val="009B61AD"/>
    <w:rsid w:val="009B6400"/>
    <w:rsid w:val="009C0541"/>
    <w:rsid w:val="009C3964"/>
    <w:rsid w:val="009C3C80"/>
    <w:rsid w:val="009C520F"/>
    <w:rsid w:val="009C5329"/>
    <w:rsid w:val="009C5815"/>
    <w:rsid w:val="009D02B2"/>
    <w:rsid w:val="009D090A"/>
    <w:rsid w:val="009D3CBE"/>
    <w:rsid w:val="009D477C"/>
    <w:rsid w:val="009D6D00"/>
    <w:rsid w:val="009E13C3"/>
    <w:rsid w:val="009E1F6E"/>
    <w:rsid w:val="009E2EAE"/>
    <w:rsid w:val="009E6502"/>
    <w:rsid w:val="009F0850"/>
    <w:rsid w:val="009F1631"/>
    <w:rsid w:val="009F2F84"/>
    <w:rsid w:val="009F4889"/>
    <w:rsid w:val="009F6449"/>
    <w:rsid w:val="00A027AF"/>
    <w:rsid w:val="00A0569B"/>
    <w:rsid w:val="00A07646"/>
    <w:rsid w:val="00A117FA"/>
    <w:rsid w:val="00A11F5E"/>
    <w:rsid w:val="00A128E1"/>
    <w:rsid w:val="00A13C39"/>
    <w:rsid w:val="00A14930"/>
    <w:rsid w:val="00A14EC9"/>
    <w:rsid w:val="00A1603B"/>
    <w:rsid w:val="00A162F0"/>
    <w:rsid w:val="00A2271D"/>
    <w:rsid w:val="00A25F22"/>
    <w:rsid w:val="00A31C4C"/>
    <w:rsid w:val="00A33A0F"/>
    <w:rsid w:val="00A34E16"/>
    <w:rsid w:val="00A42D2D"/>
    <w:rsid w:val="00A43F02"/>
    <w:rsid w:val="00A44C86"/>
    <w:rsid w:val="00A50BF6"/>
    <w:rsid w:val="00A52A86"/>
    <w:rsid w:val="00A55C4C"/>
    <w:rsid w:val="00A62016"/>
    <w:rsid w:val="00A640AB"/>
    <w:rsid w:val="00A6516E"/>
    <w:rsid w:val="00A65833"/>
    <w:rsid w:val="00A67362"/>
    <w:rsid w:val="00A67628"/>
    <w:rsid w:val="00A704EA"/>
    <w:rsid w:val="00A71792"/>
    <w:rsid w:val="00A73892"/>
    <w:rsid w:val="00A73C48"/>
    <w:rsid w:val="00A745F3"/>
    <w:rsid w:val="00A75900"/>
    <w:rsid w:val="00A763E7"/>
    <w:rsid w:val="00A773D8"/>
    <w:rsid w:val="00A83046"/>
    <w:rsid w:val="00A835FA"/>
    <w:rsid w:val="00A856AD"/>
    <w:rsid w:val="00A90FDF"/>
    <w:rsid w:val="00A91D46"/>
    <w:rsid w:val="00A91E32"/>
    <w:rsid w:val="00A9411E"/>
    <w:rsid w:val="00AA097E"/>
    <w:rsid w:val="00AA2FFE"/>
    <w:rsid w:val="00AA5EEC"/>
    <w:rsid w:val="00AA604A"/>
    <w:rsid w:val="00AB0699"/>
    <w:rsid w:val="00AB28B6"/>
    <w:rsid w:val="00AB28EB"/>
    <w:rsid w:val="00AB2E85"/>
    <w:rsid w:val="00AB5244"/>
    <w:rsid w:val="00AB5F63"/>
    <w:rsid w:val="00AB7D5B"/>
    <w:rsid w:val="00AC045F"/>
    <w:rsid w:val="00AC0619"/>
    <w:rsid w:val="00AC087A"/>
    <w:rsid w:val="00AC22B6"/>
    <w:rsid w:val="00AC2A39"/>
    <w:rsid w:val="00AC3B25"/>
    <w:rsid w:val="00AC4772"/>
    <w:rsid w:val="00AC4D94"/>
    <w:rsid w:val="00AC640A"/>
    <w:rsid w:val="00AC68FE"/>
    <w:rsid w:val="00AC6DC2"/>
    <w:rsid w:val="00AD0CE0"/>
    <w:rsid w:val="00AD19B7"/>
    <w:rsid w:val="00AD2B7C"/>
    <w:rsid w:val="00AD44DF"/>
    <w:rsid w:val="00AD5581"/>
    <w:rsid w:val="00AD70EE"/>
    <w:rsid w:val="00AD7A61"/>
    <w:rsid w:val="00AE201E"/>
    <w:rsid w:val="00AE2154"/>
    <w:rsid w:val="00AE35AB"/>
    <w:rsid w:val="00AE41C8"/>
    <w:rsid w:val="00AE4830"/>
    <w:rsid w:val="00AE5DB8"/>
    <w:rsid w:val="00AF323B"/>
    <w:rsid w:val="00AF4621"/>
    <w:rsid w:val="00AF7F6C"/>
    <w:rsid w:val="00B00DD8"/>
    <w:rsid w:val="00B01525"/>
    <w:rsid w:val="00B01AB1"/>
    <w:rsid w:val="00B04D9A"/>
    <w:rsid w:val="00B04EC0"/>
    <w:rsid w:val="00B05B29"/>
    <w:rsid w:val="00B0737E"/>
    <w:rsid w:val="00B1267B"/>
    <w:rsid w:val="00B151CF"/>
    <w:rsid w:val="00B174B0"/>
    <w:rsid w:val="00B17DFE"/>
    <w:rsid w:val="00B245A1"/>
    <w:rsid w:val="00B3041D"/>
    <w:rsid w:val="00B3421F"/>
    <w:rsid w:val="00B408FD"/>
    <w:rsid w:val="00B43A42"/>
    <w:rsid w:val="00B44902"/>
    <w:rsid w:val="00B44C69"/>
    <w:rsid w:val="00B46237"/>
    <w:rsid w:val="00B52C83"/>
    <w:rsid w:val="00B538B4"/>
    <w:rsid w:val="00B54599"/>
    <w:rsid w:val="00B5521B"/>
    <w:rsid w:val="00B55AF7"/>
    <w:rsid w:val="00B55CD1"/>
    <w:rsid w:val="00B66915"/>
    <w:rsid w:val="00B671B0"/>
    <w:rsid w:val="00B7030C"/>
    <w:rsid w:val="00B70917"/>
    <w:rsid w:val="00B71AC7"/>
    <w:rsid w:val="00B72940"/>
    <w:rsid w:val="00B742D2"/>
    <w:rsid w:val="00B74474"/>
    <w:rsid w:val="00B749BF"/>
    <w:rsid w:val="00B852DB"/>
    <w:rsid w:val="00B85522"/>
    <w:rsid w:val="00B85CA2"/>
    <w:rsid w:val="00B85CE9"/>
    <w:rsid w:val="00B909F5"/>
    <w:rsid w:val="00B92B19"/>
    <w:rsid w:val="00B94790"/>
    <w:rsid w:val="00B94EE4"/>
    <w:rsid w:val="00B95432"/>
    <w:rsid w:val="00BA2B2B"/>
    <w:rsid w:val="00BA3468"/>
    <w:rsid w:val="00BA4E3D"/>
    <w:rsid w:val="00BA7880"/>
    <w:rsid w:val="00BB0679"/>
    <w:rsid w:val="00BB20E1"/>
    <w:rsid w:val="00BB23D9"/>
    <w:rsid w:val="00BB2C1A"/>
    <w:rsid w:val="00BB6FAB"/>
    <w:rsid w:val="00BC46DF"/>
    <w:rsid w:val="00BC4F6B"/>
    <w:rsid w:val="00BC7BC4"/>
    <w:rsid w:val="00BD0074"/>
    <w:rsid w:val="00BD602E"/>
    <w:rsid w:val="00BD6996"/>
    <w:rsid w:val="00BE29E7"/>
    <w:rsid w:val="00BE3A7B"/>
    <w:rsid w:val="00BE7B04"/>
    <w:rsid w:val="00BE7ED6"/>
    <w:rsid w:val="00BF0508"/>
    <w:rsid w:val="00BF13C1"/>
    <w:rsid w:val="00BF3515"/>
    <w:rsid w:val="00BF466B"/>
    <w:rsid w:val="00BF4F57"/>
    <w:rsid w:val="00C00A58"/>
    <w:rsid w:val="00C01141"/>
    <w:rsid w:val="00C03E48"/>
    <w:rsid w:val="00C058D1"/>
    <w:rsid w:val="00C06D28"/>
    <w:rsid w:val="00C108C8"/>
    <w:rsid w:val="00C128CB"/>
    <w:rsid w:val="00C14C59"/>
    <w:rsid w:val="00C15AF1"/>
    <w:rsid w:val="00C15B90"/>
    <w:rsid w:val="00C17796"/>
    <w:rsid w:val="00C21FD4"/>
    <w:rsid w:val="00C229E4"/>
    <w:rsid w:val="00C22B00"/>
    <w:rsid w:val="00C23765"/>
    <w:rsid w:val="00C24281"/>
    <w:rsid w:val="00C24649"/>
    <w:rsid w:val="00C31171"/>
    <w:rsid w:val="00C33F26"/>
    <w:rsid w:val="00C34FDB"/>
    <w:rsid w:val="00C36690"/>
    <w:rsid w:val="00C4015E"/>
    <w:rsid w:val="00C40B9F"/>
    <w:rsid w:val="00C42D6B"/>
    <w:rsid w:val="00C42E37"/>
    <w:rsid w:val="00C4361A"/>
    <w:rsid w:val="00C476B8"/>
    <w:rsid w:val="00C505C2"/>
    <w:rsid w:val="00C5125B"/>
    <w:rsid w:val="00C64360"/>
    <w:rsid w:val="00C64773"/>
    <w:rsid w:val="00C66DE7"/>
    <w:rsid w:val="00C708AE"/>
    <w:rsid w:val="00C7459F"/>
    <w:rsid w:val="00C77C35"/>
    <w:rsid w:val="00C81A4B"/>
    <w:rsid w:val="00C82A6B"/>
    <w:rsid w:val="00C8306B"/>
    <w:rsid w:val="00C86098"/>
    <w:rsid w:val="00C90D8E"/>
    <w:rsid w:val="00C920B5"/>
    <w:rsid w:val="00C928B3"/>
    <w:rsid w:val="00C941F8"/>
    <w:rsid w:val="00C951C4"/>
    <w:rsid w:val="00C95370"/>
    <w:rsid w:val="00C96D17"/>
    <w:rsid w:val="00CA12A6"/>
    <w:rsid w:val="00CA204F"/>
    <w:rsid w:val="00CA2EFC"/>
    <w:rsid w:val="00CA3AFC"/>
    <w:rsid w:val="00CA4989"/>
    <w:rsid w:val="00CA578A"/>
    <w:rsid w:val="00CA5904"/>
    <w:rsid w:val="00CA6E0A"/>
    <w:rsid w:val="00CB03DD"/>
    <w:rsid w:val="00CB1EF0"/>
    <w:rsid w:val="00CC174D"/>
    <w:rsid w:val="00CC21C0"/>
    <w:rsid w:val="00CC2B59"/>
    <w:rsid w:val="00CC38B0"/>
    <w:rsid w:val="00CC4455"/>
    <w:rsid w:val="00CC539B"/>
    <w:rsid w:val="00CD0563"/>
    <w:rsid w:val="00CD1200"/>
    <w:rsid w:val="00CD1A74"/>
    <w:rsid w:val="00CD23FC"/>
    <w:rsid w:val="00CD34A9"/>
    <w:rsid w:val="00CD5833"/>
    <w:rsid w:val="00CD613D"/>
    <w:rsid w:val="00CD61BF"/>
    <w:rsid w:val="00CD671C"/>
    <w:rsid w:val="00CE0F72"/>
    <w:rsid w:val="00CE13AF"/>
    <w:rsid w:val="00CE188A"/>
    <w:rsid w:val="00CE1E90"/>
    <w:rsid w:val="00CE2BDF"/>
    <w:rsid w:val="00CE48D0"/>
    <w:rsid w:val="00CE69AD"/>
    <w:rsid w:val="00CE7ACA"/>
    <w:rsid w:val="00CE7DFC"/>
    <w:rsid w:val="00CF1886"/>
    <w:rsid w:val="00CF2895"/>
    <w:rsid w:val="00CF41CC"/>
    <w:rsid w:val="00CF4FFD"/>
    <w:rsid w:val="00D03307"/>
    <w:rsid w:val="00D03DCC"/>
    <w:rsid w:val="00D05D45"/>
    <w:rsid w:val="00D07084"/>
    <w:rsid w:val="00D12299"/>
    <w:rsid w:val="00D134B9"/>
    <w:rsid w:val="00D13A61"/>
    <w:rsid w:val="00D15C41"/>
    <w:rsid w:val="00D15ED2"/>
    <w:rsid w:val="00D163A3"/>
    <w:rsid w:val="00D16A8E"/>
    <w:rsid w:val="00D17D8F"/>
    <w:rsid w:val="00D228B4"/>
    <w:rsid w:val="00D2369C"/>
    <w:rsid w:val="00D236EC"/>
    <w:rsid w:val="00D2380D"/>
    <w:rsid w:val="00D23D71"/>
    <w:rsid w:val="00D265FA"/>
    <w:rsid w:val="00D30EC0"/>
    <w:rsid w:val="00D31638"/>
    <w:rsid w:val="00D32A9D"/>
    <w:rsid w:val="00D330E1"/>
    <w:rsid w:val="00D3321D"/>
    <w:rsid w:val="00D3471A"/>
    <w:rsid w:val="00D3683D"/>
    <w:rsid w:val="00D37E42"/>
    <w:rsid w:val="00D405C3"/>
    <w:rsid w:val="00D4398F"/>
    <w:rsid w:val="00D43DCE"/>
    <w:rsid w:val="00D45F68"/>
    <w:rsid w:val="00D460E5"/>
    <w:rsid w:val="00D5059C"/>
    <w:rsid w:val="00D52D4A"/>
    <w:rsid w:val="00D53022"/>
    <w:rsid w:val="00D56389"/>
    <w:rsid w:val="00D5663E"/>
    <w:rsid w:val="00D61413"/>
    <w:rsid w:val="00D6283B"/>
    <w:rsid w:val="00D65B46"/>
    <w:rsid w:val="00D71C3C"/>
    <w:rsid w:val="00D734FE"/>
    <w:rsid w:val="00D771AE"/>
    <w:rsid w:val="00D81D02"/>
    <w:rsid w:val="00D836B9"/>
    <w:rsid w:val="00D85D27"/>
    <w:rsid w:val="00D85FA1"/>
    <w:rsid w:val="00D877A5"/>
    <w:rsid w:val="00D90CD0"/>
    <w:rsid w:val="00D92DDB"/>
    <w:rsid w:val="00D92E0D"/>
    <w:rsid w:val="00D930D0"/>
    <w:rsid w:val="00D95B52"/>
    <w:rsid w:val="00DA23D5"/>
    <w:rsid w:val="00DA4568"/>
    <w:rsid w:val="00DA538E"/>
    <w:rsid w:val="00DA5812"/>
    <w:rsid w:val="00DA588D"/>
    <w:rsid w:val="00DA6ACF"/>
    <w:rsid w:val="00DB134C"/>
    <w:rsid w:val="00DB3781"/>
    <w:rsid w:val="00DB4677"/>
    <w:rsid w:val="00DB5793"/>
    <w:rsid w:val="00DB6689"/>
    <w:rsid w:val="00DB6898"/>
    <w:rsid w:val="00DB7754"/>
    <w:rsid w:val="00DC2BB3"/>
    <w:rsid w:val="00DC3391"/>
    <w:rsid w:val="00DC541E"/>
    <w:rsid w:val="00DE2B7C"/>
    <w:rsid w:val="00DE2CB6"/>
    <w:rsid w:val="00DE2E30"/>
    <w:rsid w:val="00DE3D74"/>
    <w:rsid w:val="00DE5451"/>
    <w:rsid w:val="00DE7560"/>
    <w:rsid w:val="00DF12F1"/>
    <w:rsid w:val="00DF3340"/>
    <w:rsid w:val="00DF34D8"/>
    <w:rsid w:val="00DF3C17"/>
    <w:rsid w:val="00DF3E9C"/>
    <w:rsid w:val="00E00AE6"/>
    <w:rsid w:val="00E03E31"/>
    <w:rsid w:val="00E05665"/>
    <w:rsid w:val="00E125AB"/>
    <w:rsid w:val="00E13FB8"/>
    <w:rsid w:val="00E149C6"/>
    <w:rsid w:val="00E14B9A"/>
    <w:rsid w:val="00E1789E"/>
    <w:rsid w:val="00E20C1D"/>
    <w:rsid w:val="00E23B26"/>
    <w:rsid w:val="00E24A8A"/>
    <w:rsid w:val="00E26E07"/>
    <w:rsid w:val="00E272E6"/>
    <w:rsid w:val="00E2781F"/>
    <w:rsid w:val="00E27977"/>
    <w:rsid w:val="00E279A2"/>
    <w:rsid w:val="00E325F2"/>
    <w:rsid w:val="00E32FAA"/>
    <w:rsid w:val="00E335E5"/>
    <w:rsid w:val="00E37323"/>
    <w:rsid w:val="00E413DC"/>
    <w:rsid w:val="00E4159B"/>
    <w:rsid w:val="00E46A89"/>
    <w:rsid w:val="00E50122"/>
    <w:rsid w:val="00E51C6B"/>
    <w:rsid w:val="00E52233"/>
    <w:rsid w:val="00E53274"/>
    <w:rsid w:val="00E546E0"/>
    <w:rsid w:val="00E552B6"/>
    <w:rsid w:val="00E56627"/>
    <w:rsid w:val="00E60C57"/>
    <w:rsid w:val="00E67646"/>
    <w:rsid w:val="00E67A64"/>
    <w:rsid w:val="00E67E21"/>
    <w:rsid w:val="00E800BA"/>
    <w:rsid w:val="00E80682"/>
    <w:rsid w:val="00E84857"/>
    <w:rsid w:val="00E84B35"/>
    <w:rsid w:val="00E85CC1"/>
    <w:rsid w:val="00E865BC"/>
    <w:rsid w:val="00E9099F"/>
    <w:rsid w:val="00E91D48"/>
    <w:rsid w:val="00E943B3"/>
    <w:rsid w:val="00E95097"/>
    <w:rsid w:val="00E95803"/>
    <w:rsid w:val="00EA148E"/>
    <w:rsid w:val="00EA1C81"/>
    <w:rsid w:val="00EA5A17"/>
    <w:rsid w:val="00EB0AD1"/>
    <w:rsid w:val="00EB412D"/>
    <w:rsid w:val="00EB79D1"/>
    <w:rsid w:val="00EB7E0A"/>
    <w:rsid w:val="00EC0CB6"/>
    <w:rsid w:val="00EC6B82"/>
    <w:rsid w:val="00EC7E12"/>
    <w:rsid w:val="00ED1B59"/>
    <w:rsid w:val="00ED388C"/>
    <w:rsid w:val="00ED4D7A"/>
    <w:rsid w:val="00ED58FF"/>
    <w:rsid w:val="00ED5FB9"/>
    <w:rsid w:val="00ED68D3"/>
    <w:rsid w:val="00EE0677"/>
    <w:rsid w:val="00EE1A32"/>
    <w:rsid w:val="00EE5683"/>
    <w:rsid w:val="00EE6ED0"/>
    <w:rsid w:val="00EF257D"/>
    <w:rsid w:val="00EF2734"/>
    <w:rsid w:val="00EF4065"/>
    <w:rsid w:val="00EF4A89"/>
    <w:rsid w:val="00EF4C61"/>
    <w:rsid w:val="00F03354"/>
    <w:rsid w:val="00F037B6"/>
    <w:rsid w:val="00F03F1F"/>
    <w:rsid w:val="00F047AD"/>
    <w:rsid w:val="00F04DF2"/>
    <w:rsid w:val="00F05891"/>
    <w:rsid w:val="00F07168"/>
    <w:rsid w:val="00F12707"/>
    <w:rsid w:val="00F139F6"/>
    <w:rsid w:val="00F153D1"/>
    <w:rsid w:val="00F15DAE"/>
    <w:rsid w:val="00F17DE3"/>
    <w:rsid w:val="00F17FDA"/>
    <w:rsid w:val="00F2591F"/>
    <w:rsid w:val="00F26C3D"/>
    <w:rsid w:val="00F27878"/>
    <w:rsid w:val="00F3000B"/>
    <w:rsid w:val="00F31C95"/>
    <w:rsid w:val="00F328DF"/>
    <w:rsid w:val="00F33248"/>
    <w:rsid w:val="00F355FD"/>
    <w:rsid w:val="00F36355"/>
    <w:rsid w:val="00F37A48"/>
    <w:rsid w:val="00F410D3"/>
    <w:rsid w:val="00F4153A"/>
    <w:rsid w:val="00F4335F"/>
    <w:rsid w:val="00F447C0"/>
    <w:rsid w:val="00F44FFD"/>
    <w:rsid w:val="00F4607B"/>
    <w:rsid w:val="00F51C7F"/>
    <w:rsid w:val="00F55939"/>
    <w:rsid w:val="00F56075"/>
    <w:rsid w:val="00F56686"/>
    <w:rsid w:val="00F57F11"/>
    <w:rsid w:val="00F603B2"/>
    <w:rsid w:val="00F60F85"/>
    <w:rsid w:val="00F612A3"/>
    <w:rsid w:val="00F63819"/>
    <w:rsid w:val="00F7065E"/>
    <w:rsid w:val="00F70A0B"/>
    <w:rsid w:val="00F73AFA"/>
    <w:rsid w:val="00F77406"/>
    <w:rsid w:val="00F80831"/>
    <w:rsid w:val="00F82FF1"/>
    <w:rsid w:val="00F8376B"/>
    <w:rsid w:val="00F83812"/>
    <w:rsid w:val="00F839DF"/>
    <w:rsid w:val="00F868D4"/>
    <w:rsid w:val="00F922F8"/>
    <w:rsid w:val="00F943AA"/>
    <w:rsid w:val="00F944D9"/>
    <w:rsid w:val="00F94D46"/>
    <w:rsid w:val="00F965EC"/>
    <w:rsid w:val="00F97D5A"/>
    <w:rsid w:val="00F97E2E"/>
    <w:rsid w:val="00FA1969"/>
    <w:rsid w:val="00FA60D5"/>
    <w:rsid w:val="00FA6103"/>
    <w:rsid w:val="00FB1FBB"/>
    <w:rsid w:val="00FB54B9"/>
    <w:rsid w:val="00FB6C13"/>
    <w:rsid w:val="00FB6C2D"/>
    <w:rsid w:val="00FB7AD7"/>
    <w:rsid w:val="00FC4F75"/>
    <w:rsid w:val="00FD124F"/>
    <w:rsid w:val="00FD3AA9"/>
    <w:rsid w:val="00FD5180"/>
    <w:rsid w:val="00FD60B6"/>
    <w:rsid w:val="00FD646F"/>
    <w:rsid w:val="00FE29EA"/>
    <w:rsid w:val="00FE5EDB"/>
    <w:rsid w:val="00FE6233"/>
    <w:rsid w:val="00FE77AA"/>
    <w:rsid w:val="00FE7CC6"/>
    <w:rsid w:val="00FF0E24"/>
    <w:rsid w:val="00FF0F6A"/>
    <w:rsid w:val="00FF41B5"/>
    <w:rsid w:val="00FF44A2"/>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rsid w:val="004D5798"/>
    <w:rPr>
      <w:rFonts w:cs="Times New Roman"/>
      <w:color w:val="0000FF"/>
      <w:u w:val="single"/>
    </w:rPr>
  </w:style>
  <w:style w:type="character" w:styleId="FollowedHyperlink">
    <w:name w:val="FollowedHyperlink"/>
    <w:uiPriority w:val="99"/>
    <w:rsid w:val="004D5798"/>
    <w:rPr>
      <w:rFonts w:cs="Times New Roman"/>
      <w:color w:val="800080"/>
      <w:u w:val="single"/>
    </w:rPr>
  </w:style>
  <w:style w:type="character" w:styleId="CommentReference">
    <w:name w:val="annotation reference"/>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link w:val="CommentText"/>
    <w:uiPriority w:val="99"/>
    <w:semiHidden/>
    <w:locked/>
    <w:rsid w:val="00A027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link w:val="CommentSubject"/>
    <w:uiPriority w:val="99"/>
    <w:semiHidden/>
    <w:locked/>
    <w:rsid w:val="00A027AF"/>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link w:val="BalloonText"/>
    <w:uiPriority w:val="99"/>
    <w:semiHidden/>
    <w:locked/>
    <w:rsid w:val="00A027AF"/>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rsid w:val="00C128CB"/>
    <w:pPr>
      <w:spacing w:before="100" w:after="100"/>
    </w:pPr>
    <w:rPr>
      <w:b/>
      <w:sz w:val="20"/>
      <w:szCs w:val="20"/>
    </w:rPr>
  </w:style>
  <w:style w:type="paragraph" w:styleId="Footer">
    <w:name w:val="footer"/>
    <w:basedOn w:val="Normal"/>
    <w:link w:val="FooterChar"/>
    <w:rsid w:val="00974A81"/>
    <w:pPr>
      <w:tabs>
        <w:tab w:val="center" w:pos="4320"/>
        <w:tab w:val="right" w:pos="8640"/>
      </w:tabs>
    </w:pPr>
  </w:style>
  <w:style w:type="character" w:customStyle="1" w:styleId="FooterChar">
    <w:name w:val="Footer Char"/>
    <w:link w:val="Footer"/>
    <w:uiPriority w:val="99"/>
    <w:semiHidden/>
    <w:locked/>
    <w:rsid w:val="00A027AF"/>
    <w:rPr>
      <w:rFonts w:ascii="Arial" w:hAnsi="Arial" w:cs="Times New Roman"/>
      <w:sz w:val="24"/>
      <w:szCs w:val="24"/>
    </w:rPr>
  </w:style>
  <w:style w:type="character" w:styleId="PageNumber">
    <w:name w:val="page number"/>
    <w:rsid w:val="00974A81"/>
    <w:rPr>
      <w:rFonts w:cs="Times New Roman"/>
    </w:rPr>
  </w:style>
  <w:style w:type="paragraph" w:styleId="Header">
    <w:name w:val="header"/>
    <w:basedOn w:val="Normal"/>
    <w:link w:val="HeaderChar"/>
    <w:rsid w:val="00974A81"/>
    <w:pPr>
      <w:tabs>
        <w:tab w:val="center" w:pos="4320"/>
        <w:tab w:val="right" w:pos="8640"/>
      </w:tabs>
    </w:pPr>
  </w:style>
  <w:style w:type="character" w:customStyle="1" w:styleId="HeaderChar">
    <w:name w:val="Header Char"/>
    <w:link w:val="Header"/>
    <w:uiPriority w:val="99"/>
    <w:semiHidden/>
    <w:locked/>
    <w:rsid w:val="00A027AF"/>
    <w:rPr>
      <w:rFonts w:ascii="Arial" w:hAnsi="Arial" w:cs="Times New Roman"/>
      <w:sz w:val="24"/>
      <w:szCs w:val="24"/>
    </w:rPr>
  </w:style>
  <w:style w:type="paragraph" w:styleId="FootnoteText">
    <w:name w:val="footnote text"/>
    <w:basedOn w:val="Normal"/>
    <w:link w:val="FootnoteTextChar"/>
    <w:uiPriority w:val="99"/>
    <w:rsid w:val="00423108"/>
    <w:rPr>
      <w:sz w:val="20"/>
      <w:szCs w:val="20"/>
    </w:rPr>
  </w:style>
  <w:style w:type="character" w:customStyle="1" w:styleId="FootnoteTextChar">
    <w:name w:val="Footnote Text Char"/>
    <w:link w:val="FootnoteText"/>
    <w:uiPriority w:val="99"/>
    <w:locked/>
    <w:rsid w:val="00A027AF"/>
    <w:rPr>
      <w:rFonts w:ascii="Arial" w:hAnsi="Arial" w:cs="Times New Roman"/>
      <w:sz w:val="20"/>
      <w:szCs w:val="20"/>
    </w:rPr>
  </w:style>
  <w:style w:type="character" w:styleId="FootnoteReference">
    <w:name w:val="footnote reference"/>
    <w:uiPriority w:val="99"/>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link w:val="BodyText"/>
    <w:uiPriority w:val="99"/>
    <w:semiHidden/>
    <w:locked/>
    <w:rsid w:val="00A027AF"/>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A027AF"/>
    <w:rPr>
      <w:rFonts w:ascii="Courier New" w:hAnsi="Courier New" w:cs="Courier New"/>
      <w:sz w:val="20"/>
      <w:szCs w:val="20"/>
    </w:rPr>
  </w:style>
  <w:style w:type="table" w:styleId="TableGrid">
    <w:name w:val="Table Grid"/>
    <w:basedOn w:val="TableNormal"/>
    <w:uiPriority w:val="99"/>
    <w:rsid w:val="0049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 w:type="paragraph" w:styleId="ListParagraph">
    <w:name w:val="List Paragraph"/>
    <w:basedOn w:val="Normal"/>
    <w:uiPriority w:val="34"/>
    <w:qFormat/>
    <w:rsid w:val="008321DD"/>
    <w:pPr>
      <w:ind w:left="720"/>
      <w:contextualSpacing/>
    </w:pPr>
  </w:style>
  <w:style w:type="paragraph" w:customStyle="1" w:styleId="AppendixLevel2">
    <w:name w:val="Appendix Level 2"/>
    <w:basedOn w:val="Normal"/>
    <w:next w:val="Normal"/>
    <w:rsid w:val="00CD1A74"/>
    <w:pPr>
      <w:keepNext/>
      <w:tabs>
        <w:tab w:val="left" w:pos="576"/>
      </w:tabs>
      <w:spacing w:before="120" w:after="120" w:line="260" w:lineRule="atLeast"/>
    </w:pPr>
    <w:rPr>
      <w:rFonts w:ascii="Times New Roman" w:hAnsi="Times New Roman"/>
      <w:b/>
      <w:caps/>
      <w:szCs w:val="20"/>
    </w:rPr>
  </w:style>
  <w:style w:type="character" w:styleId="Strong">
    <w:name w:val="Strong"/>
    <w:uiPriority w:val="22"/>
    <w:qFormat/>
    <w:locked/>
    <w:rsid w:val="00D32A9D"/>
    <w:rPr>
      <w:b/>
      <w:bCs/>
    </w:rPr>
  </w:style>
  <w:style w:type="paragraph" w:styleId="Revision">
    <w:name w:val="Revision"/>
    <w:hidden/>
    <w:uiPriority w:val="99"/>
    <w:semiHidden/>
    <w:rsid w:val="0020018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rsid w:val="004D5798"/>
    <w:rPr>
      <w:rFonts w:cs="Times New Roman"/>
      <w:color w:val="0000FF"/>
      <w:u w:val="single"/>
    </w:rPr>
  </w:style>
  <w:style w:type="character" w:styleId="FollowedHyperlink">
    <w:name w:val="FollowedHyperlink"/>
    <w:uiPriority w:val="99"/>
    <w:rsid w:val="004D5798"/>
    <w:rPr>
      <w:rFonts w:cs="Times New Roman"/>
      <w:color w:val="800080"/>
      <w:u w:val="single"/>
    </w:rPr>
  </w:style>
  <w:style w:type="character" w:styleId="CommentReference">
    <w:name w:val="annotation reference"/>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link w:val="CommentText"/>
    <w:uiPriority w:val="99"/>
    <w:semiHidden/>
    <w:locked/>
    <w:rsid w:val="00A027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link w:val="CommentSubject"/>
    <w:uiPriority w:val="99"/>
    <w:semiHidden/>
    <w:locked/>
    <w:rsid w:val="00A027AF"/>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link w:val="BalloonText"/>
    <w:uiPriority w:val="99"/>
    <w:semiHidden/>
    <w:locked/>
    <w:rsid w:val="00A027AF"/>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rsid w:val="00C128CB"/>
    <w:pPr>
      <w:spacing w:before="100" w:after="100"/>
    </w:pPr>
    <w:rPr>
      <w:b/>
      <w:sz w:val="20"/>
      <w:szCs w:val="20"/>
    </w:rPr>
  </w:style>
  <w:style w:type="paragraph" w:styleId="Footer">
    <w:name w:val="footer"/>
    <w:basedOn w:val="Normal"/>
    <w:link w:val="FooterChar"/>
    <w:rsid w:val="00974A81"/>
    <w:pPr>
      <w:tabs>
        <w:tab w:val="center" w:pos="4320"/>
        <w:tab w:val="right" w:pos="8640"/>
      </w:tabs>
    </w:pPr>
  </w:style>
  <w:style w:type="character" w:customStyle="1" w:styleId="FooterChar">
    <w:name w:val="Footer Char"/>
    <w:link w:val="Footer"/>
    <w:uiPriority w:val="99"/>
    <w:semiHidden/>
    <w:locked/>
    <w:rsid w:val="00A027AF"/>
    <w:rPr>
      <w:rFonts w:ascii="Arial" w:hAnsi="Arial" w:cs="Times New Roman"/>
      <w:sz w:val="24"/>
      <w:szCs w:val="24"/>
    </w:rPr>
  </w:style>
  <w:style w:type="character" w:styleId="PageNumber">
    <w:name w:val="page number"/>
    <w:rsid w:val="00974A81"/>
    <w:rPr>
      <w:rFonts w:cs="Times New Roman"/>
    </w:rPr>
  </w:style>
  <w:style w:type="paragraph" w:styleId="Header">
    <w:name w:val="header"/>
    <w:basedOn w:val="Normal"/>
    <w:link w:val="HeaderChar"/>
    <w:rsid w:val="00974A81"/>
    <w:pPr>
      <w:tabs>
        <w:tab w:val="center" w:pos="4320"/>
        <w:tab w:val="right" w:pos="8640"/>
      </w:tabs>
    </w:pPr>
  </w:style>
  <w:style w:type="character" w:customStyle="1" w:styleId="HeaderChar">
    <w:name w:val="Header Char"/>
    <w:link w:val="Header"/>
    <w:uiPriority w:val="99"/>
    <w:semiHidden/>
    <w:locked/>
    <w:rsid w:val="00A027AF"/>
    <w:rPr>
      <w:rFonts w:ascii="Arial" w:hAnsi="Arial" w:cs="Times New Roman"/>
      <w:sz w:val="24"/>
      <w:szCs w:val="24"/>
    </w:rPr>
  </w:style>
  <w:style w:type="paragraph" w:styleId="FootnoteText">
    <w:name w:val="footnote text"/>
    <w:basedOn w:val="Normal"/>
    <w:link w:val="FootnoteTextChar"/>
    <w:uiPriority w:val="99"/>
    <w:rsid w:val="00423108"/>
    <w:rPr>
      <w:sz w:val="20"/>
      <w:szCs w:val="20"/>
    </w:rPr>
  </w:style>
  <w:style w:type="character" w:customStyle="1" w:styleId="FootnoteTextChar">
    <w:name w:val="Footnote Text Char"/>
    <w:link w:val="FootnoteText"/>
    <w:uiPriority w:val="99"/>
    <w:locked/>
    <w:rsid w:val="00A027AF"/>
    <w:rPr>
      <w:rFonts w:ascii="Arial" w:hAnsi="Arial" w:cs="Times New Roman"/>
      <w:sz w:val="20"/>
      <w:szCs w:val="20"/>
    </w:rPr>
  </w:style>
  <w:style w:type="character" w:styleId="FootnoteReference">
    <w:name w:val="footnote reference"/>
    <w:uiPriority w:val="99"/>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link w:val="BodyText"/>
    <w:uiPriority w:val="99"/>
    <w:semiHidden/>
    <w:locked/>
    <w:rsid w:val="00A027AF"/>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A027AF"/>
    <w:rPr>
      <w:rFonts w:ascii="Courier New" w:hAnsi="Courier New" w:cs="Courier New"/>
      <w:sz w:val="20"/>
      <w:szCs w:val="20"/>
    </w:rPr>
  </w:style>
  <w:style w:type="table" w:styleId="TableGrid">
    <w:name w:val="Table Grid"/>
    <w:basedOn w:val="TableNormal"/>
    <w:uiPriority w:val="99"/>
    <w:rsid w:val="0049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 w:type="paragraph" w:styleId="ListParagraph">
    <w:name w:val="List Paragraph"/>
    <w:basedOn w:val="Normal"/>
    <w:uiPriority w:val="34"/>
    <w:qFormat/>
    <w:rsid w:val="008321DD"/>
    <w:pPr>
      <w:ind w:left="720"/>
      <w:contextualSpacing/>
    </w:pPr>
  </w:style>
  <w:style w:type="paragraph" w:customStyle="1" w:styleId="AppendixLevel2">
    <w:name w:val="Appendix Level 2"/>
    <w:basedOn w:val="Normal"/>
    <w:next w:val="Normal"/>
    <w:rsid w:val="00CD1A74"/>
    <w:pPr>
      <w:keepNext/>
      <w:tabs>
        <w:tab w:val="left" w:pos="576"/>
      </w:tabs>
      <w:spacing w:before="120" w:after="120" w:line="260" w:lineRule="atLeast"/>
    </w:pPr>
    <w:rPr>
      <w:rFonts w:ascii="Times New Roman" w:hAnsi="Times New Roman"/>
      <w:b/>
      <w:caps/>
      <w:szCs w:val="20"/>
    </w:rPr>
  </w:style>
  <w:style w:type="character" w:styleId="Strong">
    <w:name w:val="Strong"/>
    <w:uiPriority w:val="22"/>
    <w:qFormat/>
    <w:locked/>
    <w:rsid w:val="00D32A9D"/>
    <w:rPr>
      <w:b/>
      <w:bCs/>
    </w:rPr>
  </w:style>
  <w:style w:type="paragraph" w:styleId="Revision">
    <w:name w:val="Revision"/>
    <w:hidden/>
    <w:uiPriority w:val="99"/>
    <w:semiHidden/>
    <w:rsid w:val="0020018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86768">
      <w:marLeft w:val="0"/>
      <w:marRight w:val="0"/>
      <w:marTop w:val="0"/>
      <w:marBottom w:val="0"/>
      <w:divBdr>
        <w:top w:val="none" w:sz="0" w:space="0" w:color="auto"/>
        <w:left w:val="none" w:sz="0" w:space="0" w:color="auto"/>
        <w:bottom w:val="none" w:sz="0" w:space="0" w:color="auto"/>
        <w:right w:val="none" w:sz="0" w:space="0" w:color="auto"/>
      </w:divBdr>
    </w:div>
    <w:div w:id="1499686769">
      <w:marLeft w:val="0"/>
      <w:marRight w:val="0"/>
      <w:marTop w:val="0"/>
      <w:marBottom w:val="0"/>
      <w:divBdr>
        <w:top w:val="none" w:sz="0" w:space="0" w:color="auto"/>
        <w:left w:val="none" w:sz="0" w:space="0" w:color="auto"/>
        <w:bottom w:val="none" w:sz="0" w:space="0" w:color="auto"/>
        <w:right w:val="none" w:sz="0" w:space="0" w:color="auto"/>
      </w:divBdr>
    </w:div>
    <w:div w:id="1499686770">
      <w:marLeft w:val="0"/>
      <w:marRight w:val="0"/>
      <w:marTop w:val="0"/>
      <w:marBottom w:val="0"/>
      <w:divBdr>
        <w:top w:val="none" w:sz="0" w:space="0" w:color="auto"/>
        <w:left w:val="none" w:sz="0" w:space="0" w:color="auto"/>
        <w:bottom w:val="none" w:sz="0" w:space="0" w:color="auto"/>
        <w:right w:val="none" w:sz="0" w:space="0" w:color="auto"/>
      </w:divBdr>
    </w:div>
    <w:div w:id="1499686771">
      <w:marLeft w:val="0"/>
      <w:marRight w:val="0"/>
      <w:marTop w:val="0"/>
      <w:marBottom w:val="0"/>
      <w:divBdr>
        <w:top w:val="none" w:sz="0" w:space="0" w:color="auto"/>
        <w:left w:val="none" w:sz="0" w:space="0" w:color="auto"/>
        <w:bottom w:val="none" w:sz="0" w:space="0" w:color="auto"/>
        <w:right w:val="none" w:sz="0" w:space="0" w:color="auto"/>
      </w:divBdr>
    </w:div>
    <w:div w:id="149968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oreignlaborcert.doleta.gov/form.cf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1table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0CA28-8A38-4D45-A90E-CECCDDDE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2720</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19277</CharactersWithSpaces>
  <SharedDoc>false</SharedDoc>
  <HLinks>
    <vt:vector size="132" baseType="variant">
      <vt:variant>
        <vt:i4>3080227</vt:i4>
      </vt:variant>
      <vt:variant>
        <vt:i4>123</vt:i4>
      </vt:variant>
      <vt:variant>
        <vt:i4>0</vt:i4>
      </vt:variant>
      <vt:variant>
        <vt:i4>5</vt:i4>
      </vt:variant>
      <vt:variant>
        <vt:lpwstr>http://www.foreignlaborcert.doleta.gov/form.cfm</vt:lpwstr>
      </vt:variant>
      <vt:variant>
        <vt:lpwstr/>
      </vt:variant>
      <vt:variant>
        <vt:i4>1179697</vt:i4>
      </vt:variant>
      <vt:variant>
        <vt:i4>116</vt:i4>
      </vt:variant>
      <vt:variant>
        <vt:i4>0</vt:i4>
      </vt:variant>
      <vt:variant>
        <vt:i4>5</vt:i4>
      </vt:variant>
      <vt:variant>
        <vt:lpwstr/>
      </vt:variant>
      <vt:variant>
        <vt:lpwstr>_Toc412453232</vt:lpwstr>
      </vt:variant>
      <vt:variant>
        <vt:i4>1179697</vt:i4>
      </vt:variant>
      <vt:variant>
        <vt:i4>110</vt:i4>
      </vt:variant>
      <vt:variant>
        <vt:i4>0</vt:i4>
      </vt:variant>
      <vt:variant>
        <vt:i4>5</vt:i4>
      </vt:variant>
      <vt:variant>
        <vt:lpwstr/>
      </vt:variant>
      <vt:variant>
        <vt:lpwstr>_Toc412453231</vt:lpwstr>
      </vt:variant>
      <vt:variant>
        <vt:i4>1179697</vt:i4>
      </vt:variant>
      <vt:variant>
        <vt:i4>104</vt:i4>
      </vt:variant>
      <vt:variant>
        <vt:i4>0</vt:i4>
      </vt:variant>
      <vt:variant>
        <vt:i4>5</vt:i4>
      </vt:variant>
      <vt:variant>
        <vt:lpwstr/>
      </vt:variant>
      <vt:variant>
        <vt:lpwstr>_Toc412453230</vt:lpwstr>
      </vt:variant>
      <vt:variant>
        <vt:i4>1245233</vt:i4>
      </vt:variant>
      <vt:variant>
        <vt:i4>98</vt:i4>
      </vt:variant>
      <vt:variant>
        <vt:i4>0</vt:i4>
      </vt:variant>
      <vt:variant>
        <vt:i4>5</vt:i4>
      </vt:variant>
      <vt:variant>
        <vt:lpwstr/>
      </vt:variant>
      <vt:variant>
        <vt:lpwstr>_Toc412453229</vt:lpwstr>
      </vt:variant>
      <vt:variant>
        <vt:i4>1245233</vt:i4>
      </vt:variant>
      <vt:variant>
        <vt:i4>92</vt:i4>
      </vt:variant>
      <vt:variant>
        <vt:i4>0</vt:i4>
      </vt:variant>
      <vt:variant>
        <vt:i4>5</vt:i4>
      </vt:variant>
      <vt:variant>
        <vt:lpwstr/>
      </vt:variant>
      <vt:variant>
        <vt:lpwstr>_Toc412453228</vt:lpwstr>
      </vt:variant>
      <vt:variant>
        <vt:i4>1245233</vt:i4>
      </vt:variant>
      <vt:variant>
        <vt:i4>86</vt:i4>
      </vt:variant>
      <vt:variant>
        <vt:i4>0</vt:i4>
      </vt:variant>
      <vt:variant>
        <vt:i4>5</vt:i4>
      </vt:variant>
      <vt:variant>
        <vt:lpwstr/>
      </vt:variant>
      <vt:variant>
        <vt:lpwstr>_Toc412453227</vt:lpwstr>
      </vt:variant>
      <vt:variant>
        <vt:i4>1245233</vt:i4>
      </vt:variant>
      <vt:variant>
        <vt:i4>80</vt:i4>
      </vt:variant>
      <vt:variant>
        <vt:i4>0</vt:i4>
      </vt:variant>
      <vt:variant>
        <vt:i4>5</vt:i4>
      </vt:variant>
      <vt:variant>
        <vt:lpwstr/>
      </vt:variant>
      <vt:variant>
        <vt:lpwstr>_Toc412453226</vt:lpwstr>
      </vt:variant>
      <vt:variant>
        <vt:i4>1245233</vt:i4>
      </vt:variant>
      <vt:variant>
        <vt:i4>74</vt:i4>
      </vt:variant>
      <vt:variant>
        <vt:i4>0</vt:i4>
      </vt:variant>
      <vt:variant>
        <vt:i4>5</vt:i4>
      </vt:variant>
      <vt:variant>
        <vt:lpwstr/>
      </vt:variant>
      <vt:variant>
        <vt:lpwstr>_Toc412453225</vt:lpwstr>
      </vt:variant>
      <vt:variant>
        <vt:i4>1245233</vt:i4>
      </vt:variant>
      <vt:variant>
        <vt:i4>68</vt:i4>
      </vt:variant>
      <vt:variant>
        <vt:i4>0</vt:i4>
      </vt:variant>
      <vt:variant>
        <vt:i4>5</vt:i4>
      </vt:variant>
      <vt:variant>
        <vt:lpwstr/>
      </vt:variant>
      <vt:variant>
        <vt:lpwstr>_Toc412453224</vt:lpwstr>
      </vt:variant>
      <vt:variant>
        <vt:i4>1245233</vt:i4>
      </vt:variant>
      <vt:variant>
        <vt:i4>62</vt:i4>
      </vt:variant>
      <vt:variant>
        <vt:i4>0</vt:i4>
      </vt:variant>
      <vt:variant>
        <vt:i4>5</vt:i4>
      </vt:variant>
      <vt:variant>
        <vt:lpwstr/>
      </vt:variant>
      <vt:variant>
        <vt:lpwstr>_Toc412453223</vt:lpwstr>
      </vt:variant>
      <vt:variant>
        <vt:i4>1245233</vt:i4>
      </vt:variant>
      <vt:variant>
        <vt:i4>56</vt:i4>
      </vt:variant>
      <vt:variant>
        <vt:i4>0</vt:i4>
      </vt:variant>
      <vt:variant>
        <vt:i4>5</vt:i4>
      </vt:variant>
      <vt:variant>
        <vt:lpwstr/>
      </vt:variant>
      <vt:variant>
        <vt:lpwstr>_Toc412453222</vt:lpwstr>
      </vt:variant>
      <vt:variant>
        <vt:i4>1245233</vt:i4>
      </vt:variant>
      <vt:variant>
        <vt:i4>50</vt:i4>
      </vt:variant>
      <vt:variant>
        <vt:i4>0</vt:i4>
      </vt:variant>
      <vt:variant>
        <vt:i4>5</vt:i4>
      </vt:variant>
      <vt:variant>
        <vt:lpwstr/>
      </vt:variant>
      <vt:variant>
        <vt:lpwstr>_Toc412453221</vt:lpwstr>
      </vt:variant>
      <vt:variant>
        <vt:i4>1245233</vt:i4>
      </vt:variant>
      <vt:variant>
        <vt:i4>44</vt:i4>
      </vt:variant>
      <vt:variant>
        <vt:i4>0</vt:i4>
      </vt:variant>
      <vt:variant>
        <vt:i4>5</vt:i4>
      </vt:variant>
      <vt:variant>
        <vt:lpwstr/>
      </vt:variant>
      <vt:variant>
        <vt:lpwstr>_Toc412453220</vt:lpwstr>
      </vt:variant>
      <vt:variant>
        <vt:i4>1048625</vt:i4>
      </vt:variant>
      <vt:variant>
        <vt:i4>38</vt:i4>
      </vt:variant>
      <vt:variant>
        <vt:i4>0</vt:i4>
      </vt:variant>
      <vt:variant>
        <vt:i4>5</vt:i4>
      </vt:variant>
      <vt:variant>
        <vt:lpwstr/>
      </vt:variant>
      <vt:variant>
        <vt:lpwstr>_Toc412453219</vt:lpwstr>
      </vt:variant>
      <vt:variant>
        <vt:i4>1048625</vt:i4>
      </vt:variant>
      <vt:variant>
        <vt:i4>32</vt:i4>
      </vt:variant>
      <vt:variant>
        <vt:i4>0</vt:i4>
      </vt:variant>
      <vt:variant>
        <vt:i4>5</vt:i4>
      </vt:variant>
      <vt:variant>
        <vt:lpwstr/>
      </vt:variant>
      <vt:variant>
        <vt:lpwstr>_Toc412453218</vt:lpwstr>
      </vt:variant>
      <vt:variant>
        <vt:i4>1048625</vt:i4>
      </vt:variant>
      <vt:variant>
        <vt:i4>26</vt:i4>
      </vt:variant>
      <vt:variant>
        <vt:i4>0</vt:i4>
      </vt:variant>
      <vt:variant>
        <vt:i4>5</vt:i4>
      </vt:variant>
      <vt:variant>
        <vt:lpwstr/>
      </vt:variant>
      <vt:variant>
        <vt:lpwstr>_Toc412453217</vt:lpwstr>
      </vt:variant>
      <vt:variant>
        <vt:i4>1048625</vt:i4>
      </vt:variant>
      <vt:variant>
        <vt:i4>20</vt:i4>
      </vt:variant>
      <vt:variant>
        <vt:i4>0</vt:i4>
      </vt:variant>
      <vt:variant>
        <vt:i4>5</vt:i4>
      </vt:variant>
      <vt:variant>
        <vt:lpwstr/>
      </vt:variant>
      <vt:variant>
        <vt:lpwstr>_Toc412453216</vt:lpwstr>
      </vt:variant>
      <vt:variant>
        <vt:i4>1048625</vt:i4>
      </vt:variant>
      <vt:variant>
        <vt:i4>14</vt:i4>
      </vt:variant>
      <vt:variant>
        <vt:i4>0</vt:i4>
      </vt:variant>
      <vt:variant>
        <vt:i4>5</vt:i4>
      </vt:variant>
      <vt:variant>
        <vt:lpwstr/>
      </vt:variant>
      <vt:variant>
        <vt:lpwstr>_Toc412453215</vt:lpwstr>
      </vt:variant>
      <vt:variant>
        <vt:i4>1048625</vt:i4>
      </vt:variant>
      <vt:variant>
        <vt:i4>8</vt:i4>
      </vt:variant>
      <vt:variant>
        <vt:i4>0</vt:i4>
      </vt:variant>
      <vt:variant>
        <vt:i4>5</vt:i4>
      </vt:variant>
      <vt:variant>
        <vt:lpwstr/>
      </vt:variant>
      <vt:variant>
        <vt:lpwstr>_Toc412453214</vt:lpwstr>
      </vt:variant>
      <vt:variant>
        <vt:i4>1048625</vt:i4>
      </vt:variant>
      <vt:variant>
        <vt:i4>2</vt:i4>
      </vt:variant>
      <vt:variant>
        <vt:i4>0</vt:i4>
      </vt:variant>
      <vt:variant>
        <vt:i4>5</vt:i4>
      </vt:variant>
      <vt:variant>
        <vt:lpwstr/>
      </vt:variant>
      <vt:variant>
        <vt:lpwstr>_Toc412453213</vt:lpwstr>
      </vt:variant>
      <vt:variant>
        <vt:i4>852057</vt:i4>
      </vt:variant>
      <vt:variant>
        <vt:i4>0</vt:i4>
      </vt:variant>
      <vt:variant>
        <vt:i4>0</vt:i4>
      </vt:variant>
      <vt:variant>
        <vt:i4>5</vt:i4>
      </vt:variant>
      <vt:variant>
        <vt:lpwstr>http://www.opm.gov/oca/11tables/index.asp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2015-04-27T21:34:00Z</dcterms:created>
  <dcterms:modified xsi:type="dcterms:W3CDTF">2015-04-27T21:37:00Z</dcterms:modified>
</cp:coreProperties>
</file>