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07" w:rsidRDefault="00B60FBA" w:rsidP="006F183B">
      <w:pPr>
        <w:widowControl/>
        <w:jc w:val="center"/>
        <w:rPr>
          <w:b/>
          <w:bCs/>
        </w:rPr>
      </w:pPr>
      <w:r w:rsidRPr="00426A98">
        <w:rPr>
          <w:b/>
          <w:bCs/>
        </w:rPr>
        <w:t>SUPPORTING STATEMENT FOR</w:t>
      </w:r>
      <w:r w:rsidR="000F3407">
        <w:rPr>
          <w:b/>
          <w:bCs/>
        </w:rPr>
        <w:t xml:space="preserve"> </w:t>
      </w:r>
      <w:r w:rsidRPr="00426A98">
        <w:rPr>
          <w:b/>
          <w:bCs/>
        </w:rPr>
        <w:t xml:space="preserve">THE </w:t>
      </w:r>
      <w:r w:rsidR="00BE21F2">
        <w:rPr>
          <w:b/>
          <w:bCs/>
        </w:rPr>
        <w:t xml:space="preserve">COLLECTION OF </w:t>
      </w:r>
      <w:r w:rsidRPr="00426A98">
        <w:rPr>
          <w:b/>
          <w:bCs/>
        </w:rPr>
        <w:t>INFORMATION</w:t>
      </w:r>
    </w:p>
    <w:p w:rsidR="000F3407" w:rsidRDefault="00B60FBA" w:rsidP="006F183B">
      <w:pPr>
        <w:widowControl/>
        <w:jc w:val="center"/>
        <w:rPr>
          <w:b/>
          <w:bCs/>
        </w:rPr>
      </w:pPr>
      <w:r w:rsidRPr="00426A98">
        <w:rPr>
          <w:b/>
          <w:bCs/>
        </w:rPr>
        <w:t>REQUIREMENTS FOR</w:t>
      </w:r>
      <w:r w:rsidR="000F3407">
        <w:rPr>
          <w:b/>
          <w:bCs/>
        </w:rPr>
        <w:t xml:space="preserve"> </w:t>
      </w:r>
      <w:r w:rsidRPr="00426A98">
        <w:rPr>
          <w:b/>
          <w:bCs/>
        </w:rPr>
        <w:t>THE STANDARD</w:t>
      </w:r>
    </w:p>
    <w:p w:rsidR="000F3407" w:rsidRDefault="00B60FBA" w:rsidP="006F183B">
      <w:pPr>
        <w:widowControl/>
        <w:jc w:val="center"/>
        <w:rPr>
          <w:b/>
          <w:bCs/>
        </w:rPr>
      </w:pPr>
      <w:r w:rsidRPr="00426A98">
        <w:rPr>
          <w:b/>
          <w:bCs/>
        </w:rPr>
        <w:t>ON PERMIT-REQUIRED CONFINED SPACES</w:t>
      </w:r>
      <w:r w:rsidR="000F3407">
        <w:rPr>
          <w:b/>
          <w:bCs/>
        </w:rPr>
        <w:t xml:space="preserve"> </w:t>
      </w:r>
      <w:r w:rsidRPr="00426A98">
        <w:rPr>
          <w:b/>
          <w:bCs/>
        </w:rPr>
        <w:t>(29 CFR 1910.146)</w:t>
      </w:r>
      <w:r w:rsidRPr="00426A98">
        <w:rPr>
          <w:rStyle w:val="FootnoteReference"/>
          <w:vertAlign w:val="superscript"/>
        </w:rPr>
        <w:footnoteReference w:id="1"/>
      </w:r>
      <w:r w:rsidR="002D48DF">
        <w:rPr>
          <w:b/>
          <w:bCs/>
        </w:rPr>
        <w:t xml:space="preserve"> </w:t>
      </w:r>
    </w:p>
    <w:p w:rsidR="0025702D" w:rsidRDefault="00B60FBA" w:rsidP="006F183B">
      <w:pPr>
        <w:widowControl/>
        <w:jc w:val="center"/>
        <w:rPr>
          <w:b/>
          <w:bCs/>
        </w:rPr>
      </w:pPr>
      <w:r w:rsidRPr="00426A98">
        <w:rPr>
          <w:b/>
          <w:bCs/>
        </w:rPr>
        <w:t>(O</w:t>
      </w:r>
      <w:r w:rsidR="0025702D">
        <w:rPr>
          <w:b/>
          <w:bCs/>
        </w:rPr>
        <w:t xml:space="preserve">FFICE OF </w:t>
      </w:r>
      <w:r w:rsidRPr="00426A98">
        <w:rPr>
          <w:b/>
          <w:bCs/>
        </w:rPr>
        <w:t>M</w:t>
      </w:r>
      <w:r w:rsidR="0025702D">
        <w:rPr>
          <w:b/>
          <w:bCs/>
        </w:rPr>
        <w:t>ANAGEMENT AND BUDGET (OMB))</w:t>
      </w:r>
    </w:p>
    <w:p w:rsidR="00B60FBA" w:rsidRPr="00426A98" w:rsidRDefault="00B60FBA" w:rsidP="006F183B">
      <w:pPr>
        <w:widowControl/>
        <w:jc w:val="center"/>
      </w:pPr>
      <w:r w:rsidRPr="00426A98">
        <w:rPr>
          <w:b/>
          <w:bCs/>
        </w:rPr>
        <w:t>CO</w:t>
      </w:r>
      <w:r w:rsidR="00EC5C00">
        <w:rPr>
          <w:b/>
          <w:bCs/>
        </w:rPr>
        <w:t>NTROL NO. 1218-0203 (</w:t>
      </w:r>
      <w:r w:rsidR="001342DF">
        <w:rPr>
          <w:b/>
          <w:bCs/>
        </w:rPr>
        <w:t xml:space="preserve">June </w:t>
      </w:r>
      <w:r w:rsidR="0038517F">
        <w:rPr>
          <w:b/>
          <w:bCs/>
        </w:rPr>
        <w:t>2015</w:t>
      </w:r>
      <w:r w:rsidRPr="00426A98">
        <w:rPr>
          <w:b/>
          <w:bCs/>
        </w:rPr>
        <w:t>)</w:t>
      </w:r>
    </w:p>
    <w:p w:rsidR="00B60FBA" w:rsidRPr="006F183B" w:rsidRDefault="00B60FBA" w:rsidP="006F183B">
      <w:pPr>
        <w:widowControl/>
      </w:pPr>
    </w:p>
    <w:p w:rsidR="00B60FBA" w:rsidRPr="00B61F04" w:rsidRDefault="00A36D86" w:rsidP="006F183B">
      <w:pPr>
        <w:widowControl/>
      </w:pPr>
      <w:r>
        <w:rPr>
          <w:b/>
          <w:bCs/>
        </w:rPr>
        <w:t xml:space="preserve">A. </w:t>
      </w:r>
      <w:r w:rsidR="00B60FBA" w:rsidRPr="00426A98">
        <w:rPr>
          <w:b/>
          <w:bCs/>
        </w:rPr>
        <w:t>JUSTIFICATION</w:t>
      </w:r>
    </w:p>
    <w:p w:rsidR="00B60FBA" w:rsidRPr="00426A98" w:rsidRDefault="00B60FBA" w:rsidP="006F183B">
      <w:pPr>
        <w:widowControl/>
        <w:rPr>
          <w:color w:val="000000"/>
        </w:rPr>
      </w:pPr>
    </w:p>
    <w:p w:rsidR="00B60FBA" w:rsidRPr="004854B9" w:rsidRDefault="00B60FBA" w:rsidP="006F183B">
      <w:pPr>
        <w:widowControl/>
        <w:rPr>
          <w:color w:val="000000"/>
          <w:sz w:val="18"/>
          <w:szCs w:val="18"/>
        </w:rPr>
      </w:pPr>
      <w:r w:rsidRPr="004854B9">
        <w:rPr>
          <w:b/>
          <w:bCs/>
          <w:color w:val="000000"/>
          <w:sz w:val="18"/>
          <w:szCs w:val="18"/>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60FBA" w:rsidRPr="00426A98" w:rsidRDefault="00B60FBA" w:rsidP="006F183B">
      <w:pPr>
        <w:widowControl/>
        <w:rPr>
          <w:color w:val="000000"/>
        </w:rPr>
      </w:pPr>
    </w:p>
    <w:p w:rsidR="00B60FBA" w:rsidRPr="00426A98" w:rsidRDefault="00B60FBA" w:rsidP="006F183B">
      <w:pPr>
        <w:widowControl/>
        <w:rPr>
          <w:color w:val="000000"/>
        </w:rPr>
      </w:pPr>
      <w:r w:rsidRPr="00426A98">
        <w:rPr>
          <w:color w:val="000000"/>
        </w:rPr>
        <w:t>The main objective of the Occupational Safety and Health Act of 1970 (i.e., “the Act”) is to “assure so far as possible every working man and woman in the Nation safe and healthful working conditions and to preserve our human resources” (29 U.S.C. 651)</w:t>
      </w:r>
      <w:r w:rsidR="0025702D">
        <w:rPr>
          <w:color w:val="000000"/>
        </w:rPr>
        <w:t>.</w:t>
      </w:r>
      <w:r w:rsidRPr="00426A98">
        <w:rPr>
          <w:color w:val="000000"/>
        </w:rPr>
        <w:t xml:space="preserve">  To achieve this objective, the Act authorizes “the development and promulgation of occupational safety and health standards” (29 U.S.C. 651)</w:t>
      </w:r>
      <w:r w:rsidR="0025702D">
        <w:rPr>
          <w:color w:val="000000"/>
        </w:rPr>
        <w:t>.</w:t>
      </w:r>
    </w:p>
    <w:p w:rsidR="00B60FBA" w:rsidRPr="00426A98" w:rsidRDefault="00B60FBA" w:rsidP="006F183B">
      <w:pPr>
        <w:widowControl/>
        <w:rPr>
          <w:color w:val="000000"/>
        </w:rPr>
      </w:pPr>
    </w:p>
    <w:p w:rsidR="00B60FBA" w:rsidRPr="00426A98" w:rsidRDefault="00B60FBA" w:rsidP="00742FA5">
      <w:pPr>
        <w:widowControl/>
        <w:rPr>
          <w:color w:val="000000"/>
        </w:rPr>
      </w:pPr>
      <w:r w:rsidRPr="00426A98">
        <w:rPr>
          <w:color w:val="000000"/>
        </w:rPr>
        <w:t>Section 6(b</w:t>
      </w:r>
      <w:proofErr w:type="gramStart"/>
      <w:r w:rsidRPr="00426A98">
        <w:rPr>
          <w:color w:val="000000"/>
        </w:rPr>
        <w:t>)(</w:t>
      </w:r>
      <w:proofErr w:type="gramEnd"/>
      <w:r w:rsidRPr="00426A98">
        <w:rPr>
          <w:color w:val="000000"/>
        </w:rPr>
        <w:t>7) of the Act specifies that “[a]</w:t>
      </w:r>
      <w:proofErr w:type="spellStart"/>
      <w:r w:rsidRPr="00426A98">
        <w:rPr>
          <w:color w:val="000000"/>
        </w:rPr>
        <w:t>ny</w:t>
      </w:r>
      <w:proofErr w:type="spellEnd"/>
      <w:r w:rsidRPr="00426A98">
        <w:rPr>
          <w:color w:val="000000"/>
        </w:rPr>
        <w:t xml:space="preserve">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r w:rsidR="0025702D">
        <w:rPr>
          <w:color w:val="000000"/>
        </w:rPr>
        <w:t>.</w:t>
      </w:r>
    </w:p>
    <w:p w:rsidR="00B60FBA" w:rsidRPr="00426A98" w:rsidRDefault="00B60FBA" w:rsidP="00742FA5">
      <w:pPr>
        <w:widowControl/>
        <w:rPr>
          <w:color w:val="000000"/>
        </w:rPr>
      </w:pPr>
    </w:p>
    <w:p w:rsidR="00B60FBA" w:rsidRPr="00426A98" w:rsidRDefault="00B60FBA" w:rsidP="00742FA5">
      <w:pPr>
        <w:widowControl/>
        <w:rPr>
          <w:color w:val="000000"/>
        </w:rPr>
      </w:pPr>
      <w:r w:rsidRPr="00426A98">
        <w:rPr>
          <w:color w:val="000000"/>
        </w:rPr>
        <w:t>With regard to recordkeeping, the Act specifies that “[e]ach employer shall make, keep and preserve, and make available to the Secretary . . . such records . . . as the Secretary . . . may prescribe by regulation as necessary or appropriate for the enforcement of this Act . . .” (29 U.S.C. 657)</w:t>
      </w:r>
      <w:r w:rsidR="0025702D">
        <w:rPr>
          <w:color w:val="000000"/>
        </w:rPr>
        <w:t>.</w:t>
      </w:r>
      <w:r w:rsidRPr="00426A98">
        <w:rPr>
          <w:color w:val="000000"/>
        </w:rPr>
        <w:t xml:space="preserve">  The Act states further that “[t]he Secretary . . . shall prescribe such rules and regulations as [he/she] may deem necessary to carry out [his/her] responsibilities under this Act, including rules and regulations dealing with the inspection of an employer’s establishment” (29 U.S.C. 657)</w:t>
      </w:r>
      <w:r w:rsidR="0025702D">
        <w:rPr>
          <w:color w:val="000000"/>
        </w:rPr>
        <w:t>.</w:t>
      </w:r>
    </w:p>
    <w:p w:rsidR="00B60FBA" w:rsidRPr="00426A98" w:rsidRDefault="00B60FBA" w:rsidP="00742FA5">
      <w:pPr>
        <w:widowControl/>
        <w:rPr>
          <w:color w:val="000000"/>
        </w:rPr>
      </w:pPr>
      <w:r w:rsidRPr="00426A98">
        <w:rPr>
          <w:color w:val="000000"/>
        </w:rPr>
        <w:lastRenderedPageBreak/>
        <w:t xml:space="preserve">Under the authority granted by the Act, the Occupational Safety and Health Administration (i.e., “OSHA” or “the Agency”) published at 29 CFR 1910.146 a safety standard for general industry regulating permit-required confined spaces (i.e., “the Standard").  The paperwork provisions of the Standard specify requirements for developing and maintaining inspection records.  Items 2 and 12 below describe in detail the specific </w:t>
      </w:r>
      <w:r w:rsidR="00BE21F2">
        <w:rPr>
          <w:color w:val="000000"/>
        </w:rPr>
        <w:t xml:space="preserve">collection of </w:t>
      </w:r>
      <w:r w:rsidRPr="00426A98">
        <w:rPr>
          <w:color w:val="000000"/>
        </w:rPr>
        <w:t>requirements of the Standard.</w:t>
      </w:r>
    </w:p>
    <w:p w:rsidR="00B60FBA" w:rsidRPr="00426A98" w:rsidRDefault="00B60FBA" w:rsidP="00742FA5">
      <w:pPr>
        <w:widowControl/>
        <w:rPr>
          <w:color w:val="000000"/>
        </w:rPr>
      </w:pPr>
    </w:p>
    <w:p w:rsidR="00B60FBA" w:rsidRPr="00426A98" w:rsidRDefault="00B60FBA" w:rsidP="00742FA5">
      <w:pPr>
        <w:widowControl/>
        <w:rPr>
          <w:color w:val="000000"/>
        </w:rPr>
      </w:pPr>
      <w:r w:rsidRPr="00426A98">
        <w:rPr>
          <w:b/>
          <w:bCs/>
          <w:color w:val="000000"/>
          <w:sz w:val="20"/>
          <w:szCs w:val="20"/>
        </w:rPr>
        <w:t xml:space="preserve"> 2.  Indicate how, by whom, and for what purpose the information is to be used.  Except for a new collection, indicate the actual use the Agency has made of the information received from the current collection.</w:t>
      </w:r>
    </w:p>
    <w:p w:rsidR="00B60FBA" w:rsidRPr="00426A98" w:rsidRDefault="00B60FBA" w:rsidP="00742FA5">
      <w:pPr>
        <w:widowControl/>
        <w:rPr>
          <w:color w:val="000000"/>
        </w:rPr>
      </w:pPr>
    </w:p>
    <w:p w:rsidR="00B60FBA" w:rsidRPr="00426A98" w:rsidRDefault="00B60FBA" w:rsidP="00742FA5">
      <w:pPr>
        <w:widowControl/>
        <w:rPr>
          <w:color w:val="000000"/>
        </w:rPr>
      </w:pPr>
      <w:r w:rsidRPr="00426A98">
        <w:rPr>
          <w:color w:val="000000"/>
        </w:rPr>
        <w:t xml:space="preserve">The Standard specifies a number of </w:t>
      </w:r>
      <w:proofErr w:type="gramStart"/>
      <w:r w:rsidRPr="00426A98">
        <w:rPr>
          <w:color w:val="000000"/>
        </w:rPr>
        <w:t>collection</w:t>
      </w:r>
      <w:proofErr w:type="gramEnd"/>
      <w:r w:rsidRPr="00426A98">
        <w:rPr>
          <w:color w:val="000000"/>
        </w:rPr>
        <w:t xml:space="preserve"> of information requirements.  The collections of information are used by employers and employees whenever entry is made into permit-required confined spaces.  The following sections describe who uses the information collected under each requirement, as well as how they use it. The p</w:t>
      </w:r>
      <w:r w:rsidR="00A91222">
        <w:rPr>
          <w:color w:val="000000"/>
        </w:rPr>
        <w:t>urpose of th</w:t>
      </w:r>
      <w:r w:rsidR="00532034">
        <w:rPr>
          <w:color w:val="000000"/>
        </w:rPr>
        <w:t>e information is to ensure that</w:t>
      </w:r>
      <w:r w:rsidR="00A91222">
        <w:rPr>
          <w:color w:val="000000"/>
        </w:rPr>
        <w:t xml:space="preserve"> </w:t>
      </w:r>
      <w:r w:rsidRPr="00426A98">
        <w:rPr>
          <w:color w:val="000000"/>
        </w:rPr>
        <w:t>employers systematically evaluate the dangers in permit spaces before entry is attempted</w:t>
      </w:r>
      <w:r w:rsidR="00532034">
        <w:rPr>
          <w:color w:val="000000"/>
        </w:rPr>
        <w:t>,</w:t>
      </w:r>
      <w:r w:rsidRPr="00426A98">
        <w:rPr>
          <w:color w:val="000000"/>
        </w:rPr>
        <w:t xml:space="preserve"> and to </w:t>
      </w:r>
      <w:r w:rsidR="00FD7E47">
        <w:rPr>
          <w:color w:val="000000"/>
        </w:rPr>
        <w:t>e</w:t>
      </w:r>
      <w:r w:rsidRPr="00426A98">
        <w:rPr>
          <w:color w:val="000000"/>
        </w:rPr>
        <w:t>nsure that adequate measures are taken to make the spaces safe for entry.  In addition, the information is needed to determine, during an OSHA inspection by a compliance safety and health officer, if employ</w:t>
      </w:r>
      <w:r w:rsidR="00A91222">
        <w:rPr>
          <w:color w:val="000000"/>
        </w:rPr>
        <w:t>ers are in compliance with the S</w:t>
      </w:r>
      <w:r w:rsidRPr="00426A98">
        <w:rPr>
          <w:color w:val="000000"/>
        </w:rPr>
        <w:t xml:space="preserve">tandard. </w:t>
      </w:r>
    </w:p>
    <w:p w:rsidR="00B60FBA" w:rsidRPr="00426A98" w:rsidRDefault="00B60FBA" w:rsidP="00742FA5">
      <w:pPr>
        <w:widowControl/>
        <w:rPr>
          <w:color w:val="000000"/>
        </w:rPr>
      </w:pPr>
    </w:p>
    <w:p w:rsidR="00B60FBA" w:rsidRPr="00426A98" w:rsidRDefault="00B60FBA" w:rsidP="00742FA5">
      <w:pPr>
        <w:widowControl/>
        <w:rPr>
          <w:color w:val="000000"/>
        </w:rPr>
      </w:pPr>
      <w:r w:rsidRPr="00426A98">
        <w:rPr>
          <w:color w:val="000000"/>
        </w:rPr>
        <w:t>Section 1910.146(c</w:t>
      </w:r>
      <w:proofErr w:type="gramStart"/>
      <w:r w:rsidRPr="00426A98">
        <w:rPr>
          <w:color w:val="000000"/>
        </w:rPr>
        <w:t>)(</w:t>
      </w:r>
      <w:proofErr w:type="gramEnd"/>
      <w:r w:rsidRPr="00426A98">
        <w:rPr>
          <w:color w:val="000000"/>
        </w:rPr>
        <w:t>2) requires the employer to post danger signs to inform exposed employees of the existence and location of</w:t>
      </w:r>
      <w:r w:rsidR="0022520A">
        <w:rPr>
          <w:color w:val="000000"/>
        </w:rPr>
        <w:t>,</w:t>
      </w:r>
      <w:r w:rsidRPr="00426A98">
        <w:rPr>
          <w:color w:val="000000"/>
        </w:rPr>
        <w:t xml:space="preserve"> and the danger posed by</w:t>
      </w:r>
      <w:r w:rsidR="0022520A">
        <w:rPr>
          <w:color w:val="000000"/>
        </w:rPr>
        <w:t>,</w:t>
      </w:r>
      <w:r w:rsidR="00850A51">
        <w:rPr>
          <w:color w:val="000000"/>
        </w:rPr>
        <w:t xml:space="preserve"> permit </w:t>
      </w:r>
      <w:r w:rsidRPr="00426A98">
        <w:rPr>
          <w:color w:val="000000"/>
        </w:rPr>
        <w:t>spaces.</w:t>
      </w:r>
    </w:p>
    <w:p w:rsidR="00B60FBA" w:rsidRPr="00426A98" w:rsidRDefault="00B60FBA" w:rsidP="00742FA5">
      <w:pPr>
        <w:widowControl/>
        <w:rPr>
          <w:color w:val="000000"/>
        </w:rPr>
      </w:pPr>
    </w:p>
    <w:p w:rsidR="00B60FBA" w:rsidRPr="00426A98" w:rsidRDefault="00B60FBA" w:rsidP="00742FA5">
      <w:pPr>
        <w:widowControl/>
        <w:rPr>
          <w:color w:val="000000"/>
        </w:rPr>
      </w:pPr>
      <w:r w:rsidRPr="00426A98">
        <w:rPr>
          <w:color w:val="000000"/>
        </w:rPr>
        <w:t>Section 1910.146(c</w:t>
      </w:r>
      <w:proofErr w:type="gramStart"/>
      <w:r w:rsidRPr="00426A98">
        <w:rPr>
          <w:color w:val="000000"/>
        </w:rPr>
        <w:t>)(</w:t>
      </w:r>
      <w:proofErr w:type="gramEnd"/>
      <w:r w:rsidRPr="00426A98">
        <w:rPr>
          <w:color w:val="000000"/>
        </w:rPr>
        <w:t>4) requires the employer to develop and implement a</w:t>
      </w:r>
      <w:r w:rsidR="00204C7E">
        <w:rPr>
          <w:color w:val="000000"/>
        </w:rPr>
        <w:t xml:space="preserve"> written “permit-space program” </w:t>
      </w:r>
      <w:r w:rsidR="002A36D7">
        <w:rPr>
          <w:color w:val="000000"/>
        </w:rPr>
        <w:t>when</w:t>
      </w:r>
      <w:r w:rsidRPr="00426A98">
        <w:rPr>
          <w:color w:val="000000"/>
        </w:rPr>
        <w:t xml:space="preserve"> the employer decides that its employees will enter</w:t>
      </w:r>
      <w:r w:rsidR="00204C7E">
        <w:rPr>
          <w:color w:val="000000"/>
        </w:rPr>
        <w:t xml:space="preserve"> permit-</w:t>
      </w:r>
      <w:r w:rsidRPr="00426A98">
        <w:rPr>
          <w:color w:val="000000"/>
        </w:rPr>
        <w:t>spaces.  The written program is to be made available for inspection by employees and their authorized representatives.  Section 1910.146(d) provides the employer with the requirements of a permit-required</w:t>
      </w:r>
      <w:r w:rsidR="00204C7E">
        <w:rPr>
          <w:color w:val="000000"/>
        </w:rPr>
        <w:t xml:space="preserve"> confined space program (“permit-</w:t>
      </w:r>
      <w:r w:rsidRPr="00426A98">
        <w:rPr>
          <w:color w:val="000000"/>
        </w:rPr>
        <w:t>space program</w:t>
      </w:r>
      <w:r w:rsidR="00204C7E">
        <w:rPr>
          <w:color w:val="000000"/>
        </w:rPr>
        <w:t>”</w:t>
      </w:r>
      <w:r w:rsidRPr="00426A98">
        <w:rPr>
          <w:color w:val="000000"/>
        </w:rPr>
        <w:t>) required under this paragraph.</w:t>
      </w:r>
    </w:p>
    <w:p w:rsidR="00B60FBA" w:rsidRPr="00426A98" w:rsidRDefault="00B60FBA" w:rsidP="00742FA5">
      <w:pPr>
        <w:widowControl/>
        <w:rPr>
          <w:color w:val="000000"/>
        </w:rPr>
      </w:pPr>
    </w:p>
    <w:p w:rsidR="00BB2A34" w:rsidRPr="00BB2A34" w:rsidRDefault="00B60FBA" w:rsidP="00742FA5">
      <w:pPr>
        <w:widowControl/>
        <w:rPr>
          <w:bCs/>
        </w:rPr>
      </w:pPr>
      <w:r w:rsidRPr="00426A98">
        <w:rPr>
          <w:color w:val="000000"/>
        </w:rPr>
        <w:t xml:space="preserve">Section 1910.146(c)(5)(i)(E) requires that the determinations and supporting data </w:t>
      </w:r>
      <w:r w:rsidR="00204C7E">
        <w:rPr>
          <w:color w:val="000000"/>
        </w:rPr>
        <w:t>specifie</w:t>
      </w:r>
      <w:r w:rsidRPr="00426A98">
        <w:rPr>
          <w:color w:val="000000"/>
        </w:rPr>
        <w:t>d by paragraphs (c)(5)(i)(A), (c)(5)(i)(B), and (c)(5)(i)(C) of this section are documented by the employer and are made available to each employee who enters a permit space or to that employee’s authorized representative.</w:t>
      </w:r>
    </w:p>
    <w:p w:rsidR="00B60FBA" w:rsidRPr="00426A98" w:rsidRDefault="00B60FBA" w:rsidP="00742FA5">
      <w:pPr>
        <w:widowControl/>
        <w:rPr>
          <w:color w:val="000000"/>
        </w:rPr>
      </w:pPr>
    </w:p>
    <w:p w:rsidR="0015311A" w:rsidRPr="00BB2A34" w:rsidRDefault="00B60FBA" w:rsidP="00742FA5">
      <w:pPr>
        <w:widowControl/>
        <w:rPr>
          <w:bCs/>
        </w:rPr>
      </w:pPr>
      <w:r w:rsidRPr="00426A98">
        <w:rPr>
          <w:color w:val="000000"/>
        </w:rPr>
        <w:t>Under paragraph (c</w:t>
      </w:r>
      <w:proofErr w:type="gramStart"/>
      <w:r w:rsidRPr="00426A98">
        <w:rPr>
          <w:color w:val="000000"/>
        </w:rPr>
        <w:t>)(</w:t>
      </w:r>
      <w:proofErr w:type="gramEnd"/>
      <w:r w:rsidRPr="00426A98">
        <w:rPr>
          <w:color w:val="000000"/>
        </w:rPr>
        <w:t xml:space="preserve">5)(ii)(H) of </w:t>
      </w:r>
      <w:r w:rsidR="00E46BA2">
        <w:rPr>
          <w:color w:val="000000"/>
        </w:rPr>
        <w:t>§</w:t>
      </w:r>
      <w:r w:rsidRPr="00426A98">
        <w:rPr>
          <w:color w:val="000000"/>
        </w:rPr>
        <w:t xml:space="preserve">1910.146, the employer is required to verify that the space is safe for entry and that the pre-entry measures required by paragraph (c)(5)(ii) of this section have been taken, </w:t>
      </w:r>
      <w:r w:rsidR="00462FBA">
        <w:rPr>
          <w:color w:val="000000"/>
        </w:rPr>
        <w:t>using</w:t>
      </w:r>
      <w:r w:rsidRPr="00426A98">
        <w:rPr>
          <w:color w:val="000000"/>
        </w:rPr>
        <w:t xml:space="preserve"> a written certification that contains the date, the location of the space, and the signature of the person providing the certification.  The certification is to be made before entry and is required to be made available to each employee entering the space or to that employee’s authorized representative.</w:t>
      </w:r>
      <w:r w:rsidR="0015311A" w:rsidRPr="0015311A">
        <w:rPr>
          <w:color w:val="000000"/>
        </w:rPr>
        <w:t xml:space="preserve"> </w:t>
      </w:r>
      <w:r w:rsidR="0015311A">
        <w:rPr>
          <w:color w:val="000000"/>
        </w:rPr>
        <w:t>Section</w:t>
      </w:r>
      <w:r w:rsidR="00E40C61">
        <w:rPr>
          <w:color w:val="000000"/>
        </w:rPr>
        <w:t>s</w:t>
      </w:r>
      <w:r w:rsidR="0015311A">
        <w:rPr>
          <w:color w:val="000000"/>
        </w:rPr>
        <w:t xml:space="preserve"> 1910.146(c</w:t>
      </w:r>
      <w:proofErr w:type="gramStart"/>
      <w:r w:rsidR="0015311A">
        <w:rPr>
          <w:color w:val="000000"/>
        </w:rPr>
        <w:t>)(</w:t>
      </w:r>
      <w:proofErr w:type="gramEnd"/>
      <w:r w:rsidR="0015311A">
        <w:rPr>
          <w:color w:val="000000"/>
        </w:rPr>
        <w:t>5)(ii)(C) and (c)(5)(ii)(F) require atmospheric hazard testing.</w:t>
      </w:r>
      <w:r w:rsidR="0015311A" w:rsidRPr="0015311A">
        <w:rPr>
          <w:rStyle w:val="FootnoteReference"/>
          <w:color w:val="000000"/>
          <w:sz w:val="22"/>
          <w:vertAlign w:val="superscript"/>
        </w:rPr>
        <w:footnoteReference w:id="2"/>
      </w:r>
    </w:p>
    <w:p w:rsidR="00B60FBA" w:rsidRPr="00426A98" w:rsidRDefault="00B60FBA" w:rsidP="00742FA5">
      <w:pPr>
        <w:widowControl/>
        <w:rPr>
          <w:color w:val="000000"/>
        </w:rPr>
      </w:pPr>
      <w:r w:rsidRPr="00426A98">
        <w:rPr>
          <w:color w:val="000000"/>
        </w:rPr>
        <w:lastRenderedPageBreak/>
        <w:t>Section 1910.146(c</w:t>
      </w:r>
      <w:proofErr w:type="gramStart"/>
      <w:r w:rsidRPr="00426A98">
        <w:rPr>
          <w:color w:val="000000"/>
        </w:rPr>
        <w:t>)(</w:t>
      </w:r>
      <w:proofErr w:type="gramEnd"/>
      <w:r w:rsidRPr="00426A98">
        <w:rPr>
          <w:color w:val="000000"/>
        </w:rPr>
        <w:t>7)(iii) requires the employer to document the basis for determining that all hazards in a permit space have been eliminated</w:t>
      </w:r>
      <w:r w:rsidR="00A5303A">
        <w:rPr>
          <w:color w:val="000000"/>
        </w:rPr>
        <w:t xml:space="preserve"> using</w:t>
      </w:r>
      <w:r w:rsidRPr="00426A98">
        <w:rPr>
          <w:color w:val="000000"/>
        </w:rPr>
        <w:t xml:space="preserve"> a certification that contains the date, the location of the space, and the signature of the person making the determination.  The certification is to be made available to each employee entering the space or to that employee’s authorized representative.</w:t>
      </w:r>
    </w:p>
    <w:p w:rsidR="00426A98" w:rsidRDefault="00426A98" w:rsidP="00742FA5">
      <w:pPr>
        <w:widowControl/>
        <w:rPr>
          <w:color w:val="000000"/>
        </w:rPr>
      </w:pPr>
    </w:p>
    <w:p w:rsidR="001B58E5" w:rsidRPr="001B58E5" w:rsidRDefault="001B58E5" w:rsidP="006F183B">
      <w:pPr>
        <w:widowControl/>
      </w:pPr>
      <w:r>
        <w:rPr>
          <w:rStyle w:val="blueten1"/>
          <w:rFonts w:ascii="Times New Roman" w:hAnsi="Times New Roman"/>
          <w:bCs/>
          <w:color w:val="auto"/>
          <w:sz w:val="24"/>
          <w:szCs w:val="24"/>
        </w:rPr>
        <w:t xml:space="preserve">Section </w:t>
      </w:r>
      <w:r w:rsidR="00A5303A">
        <w:rPr>
          <w:rStyle w:val="blueten1"/>
          <w:rFonts w:ascii="Times New Roman" w:hAnsi="Times New Roman"/>
          <w:bCs/>
          <w:color w:val="auto"/>
          <w:sz w:val="24"/>
          <w:szCs w:val="24"/>
        </w:rPr>
        <w:t>1910.146(c)(8)</w:t>
      </w:r>
      <w:r w:rsidR="00DE7EDD">
        <w:rPr>
          <w:rStyle w:val="blueten1"/>
          <w:rFonts w:ascii="Times New Roman" w:hAnsi="Times New Roman"/>
          <w:bCs/>
          <w:color w:val="auto"/>
          <w:sz w:val="24"/>
          <w:szCs w:val="24"/>
        </w:rPr>
        <w:t>(i)</w:t>
      </w:r>
      <w:r w:rsidR="00BA02FA">
        <w:rPr>
          <w:rStyle w:val="blueten1"/>
          <w:rFonts w:ascii="Times New Roman" w:hAnsi="Times New Roman"/>
          <w:bCs/>
          <w:color w:val="auto"/>
          <w:sz w:val="24"/>
          <w:szCs w:val="24"/>
        </w:rPr>
        <w:t xml:space="preserve"> </w:t>
      </w:r>
      <w:r>
        <w:rPr>
          <w:rStyle w:val="blueten1"/>
          <w:rFonts w:ascii="Times New Roman" w:hAnsi="Times New Roman"/>
          <w:color w:val="auto"/>
          <w:sz w:val="24"/>
          <w:szCs w:val="24"/>
        </w:rPr>
        <w:t>requires that the employer i</w:t>
      </w:r>
      <w:r w:rsidRPr="001B58E5">
        <w:t>nform the contractor that the workplace contains permit spaces and that permit space entry is allowed only through compliance with a permit space program meeting the requirements of this section</w:t>
      </w:r>
      <w:r>
        <w:t>.</w:t>
      </w:r>
      <w:r w:rsidR="001D14F0">
        <w:t xml:space="preserve">  Section </w:t>
      </w:r>
      <w:r w:rsidR="001D14F0" w:rsidRPr="001D14F0">
        <w:rPr>
          <w:rStyle w:val="blueten1"/>
          <w:rFonts w:ascii="Times New Roman" w:hAnsi="Times New Roman"/>
          <w:bCs/>
          <w:color w:val="auto"/>
          <w:sz w:val="24"/>
          <w:szCs w:val="24"/>
        </w:rPr>
        <w:t>1910.146(c)(8)(ii)</w:t>
      </w:r>
      <w:r w:rsidR="001D14F0">
        <w:rPr>
          <w:rStyle w:val="blueten1"/>
          <w:rFonts w:ascii="Times New Roman" w:hAnsi="Times New Roman"/>
          <w:bCs/>
          <w:color w:val="auto"/>
          <w:sz w:val="24"/>
          <w:szCs w:val="24"/>
        </w:rPr>
        <w:t xml:space="preserve"> requires that the employer a</w:t>
      </w:r>
      <w:r w:rsidR="001D14F0" w:rsidRPr="001D14F0">
        <w:t>pprise the contractor of the elements, including the hazards identified and the host employer's experience with the space, that make the space in question a permit space</w:t>
      </w:r>
      <w:r w:rsidR="00C76AFB">
        <w:t xml:space="preserve">.  </w:t>
      </w:r>
      <w:r w:rsidR="008C39A6">
        <w:t>Section</w:t>
      </w:r>
      <w:r w:rsidR="00C76AFB">
        <w:t xml:space="preserve"> </w:t>
      </w:r>
      <w:r w:rsidR="001D14F0" w:rsidRPr="001D14F0">
        <w:rPr>
          <w:rStyle w:val="blueten1"/>
          <w:rFonts w:ascii="Times New Roman" w:hAnsi="Times New Roman"/>
          <w:bCs/>
          <w:color w:val="auto"/>
          <w:sz w:val="24"/>
          <w:szCs w:val="24"/>
        </w:rPr>
        <w:t>1910.146(c</w:t>
      </w:r>
      <w:proofErr w:type="gramStart"/>
      <w:r w:rsidR="001D14F0" w:rsidRPr="001D14F0">
        <w:rPr>
          <w:rStyle w:val="blueten1"/>
          <w:rFonts w:ascii="Times New Roman" w:hAnsi="Times New Roman"/>
          <w:bCs/>
          <w:color w:val="auto"/>
          <w:sz w:val="24"/>
          <w:szCs w:val="24"/>
        </w:rPr>
        <w:t>)(</w:t>
      </w:r>
      <w:proofErr w:type="gramEnd"/>
      <w:r w:rsidR="001D14F0" w:rsidRPr="001D14F0">
        <w:rPr>
          <w:rStyle w:val="blueten1"/>
          <w:rFonts w:ascii="Times New Roman" w:hAnsi="Times New Roman"/>
          <w:bCs/>
          <w:color w:val="auto"/>
          <w:sz w:val="24"/>
          <w:szCs w:val="24"/>
        </w:rPr>
        <w:t>8)(iii)</w:t>
      </w:r>
      <w:r w:rsidR="001D14F0" w:rsidRPr="001D14F0">
        <w:rPr>
          <w:rStyle w:val="blueten1"/>
          <w:rFonts w:ascii="Times New Roman" w:hAnsi="Times New Roman"/>
          <w:color w:val="auto"/>
          <w:sz w:val="24"/>
          <w:szCs w:val="24"/>
        </w:rPr>
        <w:t xml:space="preserve"> </w:t>
      </w:r>
      <w:r w:rsidR="00C76AFB">
        <w:rPr>
          <w:rStyle w:val="blueten1"/>
          <w:rFonts w:ascii="Times New Roman" w:hAnsi="Times New Roman"/>
          <w:color w:val="auto"/>
          <w:sz w:val="24"/>
          <w:szCs w:val="24"/>
        </w:rPr>
        <w:t>requires that the employer a</w:t>
      </w:r>
      <w:r w:rsidR="001D14F0" w:rsidRPr="001D14F0">
        <w:t>pprise the contractor of any precautions or procedures that the host employer has implemented for the protection of employees in or near permit spaces where contractor personnel will be working</w:t>
      </w:r>
      <w:r w:rsidR="00C76AFB">
        <w:t>.</w:t>
      </w:r>
      <w:r w:rsidR="001F4D6B">
        <w:t xml:space="preserve"> </w:t>
      </w:r>
      <w:r w:rsidR="00E31AC4">
        <w:t xml:space="preserve"> </w:t>
      </w:r>
      <w:r w:rsidR="008C39A6">
        <w:t xml:space="preserve">Section </w:t>
      </w:r>
      <w:r w:rsidR="001F4D6B" w:rsidRPr="001F4D6B">
        <w:rPr>
          <w:bCs/>
        </w:rPr>
        <w:t>1910.146(c)(8)(v)</w:t>
      </w:r>
      <w:r w:rsidR="001F4D6B" w:rsidRPr="001F4D6B">
        <w:t xml:space="preserve"> </w:t>
      </w:r>
      <w:r w:rsidR="00E31AC4">
        <w:t>requires the employer to d</w:t>
      </w:r>
      <w:r w:rsidR="001F4D6B" w:rsidRPr="001F4D6B">
        <w:t>ebrief the contractor at the conclusion of the entry operations regarding the permit space program followed and regarding any hazards confronted or created in permit spaces during entry operations.</w:t>
      </w:r>
      <w:r w:rsidRPr="0025702D">
        <w:rPr>
          <w:rStyle w:val="FootnoteReference"/>
          <w:vertAlign w:val="superscript"/>
        </w:rPr>
        <w:footnoteReference w:id="3"/>
      </w:r>
    </w:p>
    <w:p w:rsidR="001B58E5" w:rsidRDefault="001B58E5" w:rsidP="006F183B">
      <w:pPr>
        <w:widowControl/>
      </w:pPr>
    </w:p>
    <w:p w:rsidR="00E31AC4" w:rsidRPr="00512B59" w:rsidRDefault="008C39A6" w:rsidP="006F183B">
      <w:pPr>
        <w:widowControl/>
        <w:rPr>
          <w:vertAlign w:val="superscript"/>
        </w:rPr>
      </w:pPr>
      <w:r>
        <w:rPr>
          <w:rStyle w:val="blueten1"/>
          <w:rFonts w:ascii="Times New Roman" w:hAnsi="Times New Roman"/>
          <w:bCs/>
          <w:color w:val="auto"/>
          <w:sz w:val="24"/>
          <w:szCs w:val="24"/>
        </w:rPr>
        <w:t>Section</w:t>
      </w:r>
      <w:r w:rsidR="00E31AC4">
        <w:rPr>
          <w:rStyle w:val="blueten1"/>
          <w:rFonts w:ascii="Times New Roman" w:hAnsi="Times New Roman"/>
          <w:bCs/>
          <w:color w:val="auto"/>
          <w:sz w:val="24"/>
          <w:szCs w:val="24"/>
        </w:rPr>
        <w:t xml:space="preserve"> </w:t>
      </w:r>
      <w:r w:rsidR="00E31AC4" w:rsidRPr="00E31AC4">
        <w:rPr>
          <w:rStyle w:val="blueten1"/>
          <w:rFonts w:ascii="Times New Roman" w:hAnsi="Times New Roman"/>
          <w:bCs/>
          <w:color w:val="auto"/>
          <w:sz w:val="24"/>
          <w:szCs w:val="24"/>
        </w:rPr>
        <w:t>1910.146(c)(9)(iii)</w:t>
      </w:r>
      <w:r w:rsidR="00E31AC4" w:rsidRPr="00E31AC4">
        <w:rPr>
          <w:rStyle w:val="blueten1"/>
          <w:rFonts w:ascii="Times New Roman" w:hAnsi="Times New Roman"/>
          <w:color w:val="auto"/>
          <w:sz w:val="24"/>
          <w:szCs w:val="24"/>
        </w:rPr>
        <w:t xml:space="preserve"> </w:t>
      </w:r>
      <w:r w:rsidR="00E31AC4">
        <w:rPr>
          <w:rStyle w:val="blueten1"/>
          <w:rFonts w:ascii="Times New Roman" w:hAnsi="Times New Roman"/>
          <w:color w:val="auto"/>
          <w:sz w:val="24"/>
          <w:szCs w:val="24"/>
        </w:rPr>
        <w:t xml:space="preserve">requires that the </w:t>
      </w:r>
      <w:r w:rsidR="00D76573">
        <w:rPr>
          <w:rStyle w:val="blueten1"/>
          <w:rFonts w:ascii="Times New Roman" w:hAnsi="Times New Roman"/>
          <w:color w:val="auto"/>
          <w:sz w:val="24"/>
          <w:szCs w:val="24"/>
        </w:rPr>
        <w:t>contractor</w:t>
      </w:r>
      <w:r w:rsidR="00E31AC4" w:rsidRPr="00E31AC4">
        <w:t xml:space="preserve"> </w:t>
      </w:r>
      <w:r w:rsidR="007B14F8">
        <w:t xml:space="preserve">inform </w:t>
      </w:r>
      <w:r w:rsidR="00E31AC4" w:rsidRPr="00E31AC4">
        <w:t>the host employer of the permit space program that the contractor will follow and of any hazards confronted or created in permit spaces, either through a debriefing or during the entry operation</w:t>
      </w:r>
      <w:r w:rsidR="00E31AC4">
        <w:t>.</w:t>
      </w:r>
      <w:r w:rsidR="00E40C61" w:rsidRPr="00FE2D52">
        <w:rPr>
          <w:rStyle w:val="FootnoteReference"/>
          <w:sz w:val="22"/>
          <w:vertAlign w:val="superscript"/>
        </w:rPr>
        <w:footnoteReference w:id="4"/>
      </w:r>
    </w:p>
    <w:p w:rsidR="0017488D" w:rsidRDefault="0017488D" w:rsidP="006F183B">
      <w:pPr>
        <w:widowControl/>
        <w:rPr>
          <w:rStyle w:val="blueten1"/>
          <w:rFonts w:ascii="Times New Roman" w:hAnsi="Times New Roman"/>
          <w:bCs/>
          <w:color w:val="auto"/>
          <w:sz w:val="24"/>
          <w:szCs w:val="24"/>
        </w:rPr>
      </w:pPr>
    </w:p>
    <w:p w:rsidR="00BC2761" w:rsidRDefault="00441921" w:rsidP="006F183B">
      <w:pPr>
        <w:widowControl/>
      </w:pPr>
      <w:r>
        <w:t>Section 1910.146(d)(5)(iii) provides for testing of atmospheric hazards.</w:t>
      </w:r>
      <w:r w:rsidRPr="00333914">
        <w:rPr>
          <w:rStyle w:val="FootnoteReference"/>
          <w:sz w:val="22"/>
          <w:vertAlign w:val="superscript"/>
        </w:rPr>
        <w:footnoteReference w:id="5"/>
      </w:r>
      <w:r>
        <w:t xml:space="preserve"> </w:t>
      </w:r>
      <w:r w:rsidR="0017488D">
        <w:rPr>
          <w:rStyle w:val="blueten1"/>
          <w:rFonts w:ascii="Times New Roman" w:hAnsi="Times New Roman"/>
          <w:bCs/>
          <w:color w:val="auto"/>
          <w:sz w:val="24"/>
          <w:szCs w:val="24"/>
        </w:rPr>
        <w:t>Section 1910.1</w:t>
      </w:r>
      <w:r w:rsidR="0017488D" w:rsidRPr="00FE3860">
        <w:rPr>
          <w:rStyle w:val="blueten1"/>
          <w:rFonts w:ascii="Times New Roman" w:hAnsi="Times New Roman"/>
          <w:bCs/>
          <w:color w:val="auto"/>
          <w:sz w:val="24"/>
          <w:szCs w:val="24"/>
        </w:rPr>
        <w:t>46(d)(5)(vi)</w:t>
      </w:r>
      <w:r w:rsidR="0017488D">
        <w:rPr>
          <w:rStyle w:val="blueten1"/>
          <w:rFonts w:ascii="Times New Roman" w:hAnsi="Times New Roman"/>
          <w:bCs/>
          <w:color w:val="auto"/>
          <w:sz w:val="24"/>
          <w:szCs w:val="24"/>
        </w:rPr>
        <w:t xml:space="preserve"> requires the employer to i</w:t>
      </w:r>
      <w:r w:rsidR="0017488D" w:rsidRPr="00FE3860">
        <w:t xml:space="preserve">mmediately provide each authorized entrant or that </w:t>
      </w:r>
      <w:r w:rsidR="0017488D" w:rsidRPr="00FE3860">
        <w:lastRenderedPageBreak/>
        <w:t>employee's authorized representative with the results of any testing conducted in accord</w:t>
      </w:r>
      <w:r w:rsidR="0017488D">
        <w:t>ance</w:t>
      </w:r>
      <w:r w:rsidR="0017488D" w:rsidRPr="00FE3860">
        <w:t xml:space="preserve"> with paragraph (d) of this section. </w:t>
      </w:r>
      <w:r w:rsidR="00C4092A">
        <w:t xml:space="preserve">  </w:t>
      </w:r>
    </w:p>
    <w:p w:rsidR="00441921" w:rsidRDefault="00441921" w:rsidP="006F183B">
      <w:pPr>
        <w:widowControl/>
      </w:pPr>
    </w:p>
    <w:p w:rsidR="00BC2761" w:rsidRPr="005B68EE" w:rsidRDefault="00BC2761" w:rsidP="006F183B">
      <w:pPr>
        <w:widowControl/>
      </w:pPr>
      <w:r>
        <w:t>Section 1910.146(d)(14) requires employers to review the permit space program, using the canceled permits retained under paragraph (e)(6) within 1 year after each entry and revise the program as necessary, to ensure that employees participating in entry operations are protected from permit space hazards</w:t>
      </w:r>
      <w:r w:rsidRPr="005B68EE">
        <w:t>.</w:t>
      </w:r>
      <w:r w:rsidRPr="005B68EE">
        <w:rPr>
          <w:vertAlign w:val="superscript"/>
        </w:rPr>
        <w:footnoteReference w:id="6"/>
      </w:r>
    </w:p>
    <w:p w:rsidR="00E31AC4" w:rsidRPr="00E31AC4" w:rsidRDefault="00E31AC4" w:rsidP="006F183B">
      <w:pPr>
        <w:widowControl/>
      </w:pPr>
    </w:p>
    <w:p w:rsidR="00633379" w:rsidRDefault="00B60FBA" w:rsidP="00742FA5">
      <w:pPr>
        <w:widowControl/>
        <w:rPr>
          <w:color w:val="000000"/>
        </w:rPr>
      </w:pPr>
      <w:r w:rsidRPr="00426A98">
        <w:rPr>
          <w:color w:val="000000"/>
        </w:rPr>
        <w:t>Section 1910.146(e)</w:t>
      </w:r>
      <w:r w:rsidR="000D3282">
        <w:rPr>
          <w:color w:val="000000"/>
        </w:rPr>
        <w:t>(1)</w:t>
      </w:r>
      <w:r w:rsidRPr="00426A98">
        <w:rPr>
          <w:color w:val="000000"/>
        </w:rPr>
        <w:t xml:space="preserve"> requires the employer to document the completion of measures required by paragraph (d)(3) by preparing an entry permit before employee entry is authorized. </w:t>
      </w:r>
      <w:r w:rsidR="000D3282">
        <w:rPr>
          <w:color w:val="000000"/>
        </w:rPr>
        <w:t xml:space="preserve">Paragraph (f) of §1910.146 specifies the information to be included on the entry permit. </w:t>
      </w:r>
      <w:r w:rsidRPr="00426A98">
        <w:rPr>
          <w:color w:val="000000"/>
        </w:rPr>
        <w:t xml:space="preserve"> Paragraph (e)(3) requires that the employer make the completed permit available at the time of entry to all authorized entrants by posting the permit at the entry portal or by any other equally effective means, so that the entrants can confirm that pre-entry preparations have been completed.  Paragraph (e)(6) requires the employer to retain each canceled entry permit for at least one year</w:t>
      </w:r>
      <w:r w:rsidR="00BC2761">
        <w:rPr>
          <w:color w:val="000000"/>
        </w:rPr>
        <w:t>; any problems encountered during an entry operation must be noted on the pertinent permit so that revisions to the permit space program can be made</w:t>
      </w:r>
      <w:r w:rsidRPr="00426A98">
        <w:rPr>
          <w:color w:val="000000"/>
        </w:rPr>
        <w:t>.</w:t>
      </w:r>
      <w:r w:rsidR="00AD6C2B" w:rsidRPr="00AD6C2B">
        <w:rPr>
          <w:rStyle w:val="FootnoteReference"/>
          <w:color w:val="000000"/>
          <w:szCs w:val="28"/>
          <w:vertAlign w:val="superscript"/>
        </w:rPr>
        <w:t xml:space="preserve"> </w:t>
      </w:r>
      <w:r w:rsidR="00753432">
        <w:rPr>
          <w:color w:val="000000"/>
        </w:rPr>
        <w:t xml:space="preserve"> </w:t>
      </w:r>
    </w:p>
    <w:p w:rsidR="00633379" w:rsidRDefault="00633379" w:rsidP="00742FA5">
      <w:pPr>
        <w:widowControl/>
        <w:rPr>
          <w:color w:val="000000"/>
        </w:rPr>
      </w:pPr>
    </w:p>
    <w:p w:rsidR="00B60FBA" w:rsidRDefault="00B60FBA" w:rsidP="00742FA5">
      <w:pPr>
        <w:widowControl/>
        <w:rPr>
          <w:color w:val="000000"/>
        </w:rPr>
      </w:pPr>
      <w:r w:rsidRPr="00426A98">
        <w:rPr>
          <w:color w:val="000000"/>
        </w:rPr>
        <w:t>Section 1910.146(g)(4) requires that the employer certify that the training required by paragraphs (g)(1) through (g)(3) has been accomplished by preparing a written certification record.</w:t>
      </w:r>
      <w:r w:rsidR="00BC2761" w:rsidRPr="005B68EE">
        <w:rPr>
          <w:vertAlign w:val="superscript"/>
        </w:rPr>
        <w:footnoteReference w:id="7"/>
      </w:r>
    </w:p>
    <w:p w:rsidR="008A2DE9" w:rsidRDefault="008A2DE9" w:rsidP="006F18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A2DE9" w:rsidRDefault="008A2DE9" w:rsidP="00E34B1F">
      <w:pPr>
        <w:widowControl/>
        <w:rPr>
          <w:color w:val="000000"/>
        </w:rPr>
      </w:pPr>
      <w:r>
        <w:rPr>
          <w:color w:val="000000"/>
        </w:rPr>
        <w:t>Section 1910.146(h)(3) requires the employer to ensure that all authorized entrants communicate with the attendant as necessary to enable the attendant to monitor entrant status and to enable the attendant to alert entrants of the need to evacuate the space as required by paragraph (l)(6) of the Standard. Section 1910.146(h)(4) requires the employer to ensure that all authorized entrants alert the attendant whenever the entrant recognizes any warning sign or sympto</w:t>
      </w:r>
      <w:r w:rsidR="00AD39CD">
        <w:rPr>
          <w:color w:val="000000"/>
        </w:rPr>
        <w:t>m</w:t>
      </w:r>
      <w:r>
        <w:rPr>
          <w:color w:val="000000"/>
        </w:rPr>
        <w:t xml:space="preserve"> of exposure to a dangerous situation (paragraph ((h)(4)(i)), or</w:t>
      </w:r>
      <w:r w:rsidR="00441921">
        <w:rPr>
          <w:color w:val="000000"/>
        </w:rPr>
        <w:t xml:space="preserve"> the entrant detects a prohibit</w:t>
      </w:r>
      <w:r>
        <w:rPr>
          <w:color w:val="000000"/>
        </w:rPr>
        <w:t>ed condition  (paragraph (h)(4)(ii)).</w:t>
      </w:r>
      <w:r w:rsidR="00C4092A" w:rsidRPr="000E08B4">
        <w:rPr>
          <w:rStyle w:val="FootnoteReference"/>
          <w:color w:val="000000"/>
          <w:sz w:val="22"/>
          <w:vertAlign w:val="superscript"/>
        </w:rPr>
        <w:footnoteReference w:id="8"/>
      </w:r>
    </w:p>
    <w:p w:rsidR="008A2DE9" w:rsidRPr="00D47A6A" w:rsidRDefault="00333914" w:rsidP="00742FA5">
      <w:pPr>
        <w:widowControl/>
        <w:rPr>
          <w:color w:val="000000"/>
        </w:rPr>
      </w:pPr>
      <w:r>
        <w:rPr>
          <w:color w:val="000000"/>
        </w:rPr>
        <w:lastRenderedPageBreak/>
        <w:t>Section 1910.146(i</w:t>
      </w:r>
      <w:r w:rsidR="0056392D">
        <w:rPr>
          <w:color w:val="000000"/>
        </w:rPr>
        <w:t>)</w:t>
      </w:r>
      <w:r>
        <w:rPr>
          <w:color w:val="000000"/>
        </w:rPr>
        <w:t>(5)</w:t>
      </w:r>
      <w:r w:rsidR="0056392D">
        <w:rPr>
          <w:color w:val="000000"/>
        </w:rPr>
        <w:t xml:space="preserve"> </w:t>
      </w:r>
      <w:r w:rsidR="008A2DE9">
        <w:rPr>
          <w:color w:val="000000"/>
        </w:rPr>
        <w:t xml:space="preserve">requires the employer to ensure that each attendant communicate with authorized entrants as necessary to monitor entrant status and to alert entrants of the need to evacuate the space under </w:t>
      </w:r>
      <w:r w:rsidR="001228BF">
        <w:rPr>
          <w:color w:val="000000"/>
        </w:rPr>
        <w:t xml:space="preserve">the conditions specified in </w:t>
      </w:r>
      <w:r w:rsidR="008A2DE9">
        <w:rPr>
          <w:color w:val="000000"/>
        </w:rPr>
        <w:t>paragraph</w:t>
      </w:r>
      <w:r w:rsidR="001228BF">
        <w:rPr>
          <w:color w:val="000000"/>
        </w:rPr>
        <w:t>s</w:t>
      </w:r>
      <w:r w:rsidR="00E40C61">
        <w:rPr>
          <w:color w:val="000000"/>
        </w:rPr>
        <w:t xml:space="preserve"> (i</w:t>
      </w:r>
      <w:r w:rsidR="008A2DE9">
        <w:rPr>
          <w:color w:val="000000"/>
        </w:rPr>
        <w:t>)(6)</w:t>
      </w:r>
      <w:r w:rsidR="00E40C61">
        <w:rPr>
          <w:color w:val="000000"/>
        </w:rPr>
        <w:t>(i)-(i</w:t>
      </w:r>
      <w:r w:rsidR="001228BF">
        <w:rPr>
          <w:color w:val="000000"/>
        </w:rPr>
        <w:t>)(6)(iv)</w:t>
      </w:r>
      <w:r>
        <w:rPr>
          <w:color w:val="000000"/>
        </w:rPr>
        <w:t xml:space="preserve"> </w:t>
      </w:r>
      <w:r w:rsidR="001228BF">
        <w:rPr>
          <w:color w:val="000000"/>
        </w:rPr>
        <w:t>of the Standard.  Section 1910.146(</w:t>
      </w:r>
      <w:r>
        <w:rPr>
          <w:color w:val="000000"/>
        </w:rPr>
        <w:t>i</w:t>
      </w:r>
      <w:r w:rsidR="001228BF">
        <w:rPr>
          <w:color w:val="000000"/>
        </w:rPr>
        <w:t>)(7) requires the employer to ensure that the attendant summon rescue and other emergency services as soon as the attendant determines that authorized entrants may need assistance to escape from permit space hazards</w:t>
      </w:r>
      <w:r w:rsidR="00E40C61">
        <w:rPr>
          <w:color w:val="000000"/>
        </w:rPr>
        <w:t>.  Section 1910.146(i</w:t>
      </w:r>
      <w:r w:rsidR="001228BF">
        <w:rPr>
          <w:color w:val="000000"/>
        </w:rPr>
        <w:t>)(8) requires that the employer ensure that the attendant warn unauthorized persons that they must stay away from the permit space</w:t>
      </w:r>
      <w:r w:rsidR="00E40C61">
        <w:rPr>
          <w:color w:val="000000"/>
        </w:rPr>
        <w:t xml:space="preserve"> (paragraph (i</w:t>
      </w:r>
      <w:r w:rsidR="001228BF">
        <w:rPr>
          <w:color w:val="000000"/>
        </w:rPr>
        <w:t>)(8)(i)); advise unauthorized persons that they must exit immediately if they have entered the permit space</w:t>
      </w:r>
      <w:r w:rsidR="00E40C61">
        <w:rPr>
          <w:color w:val="000000"/>
        </w:rPr>
        <w:t xml:space="preserve"> (paragraph (i</w:t>
      </w:r>
      <w:r w:rsidR="001228BF">
        <w:rPr>
          <w:color w:val="000000"/>
        </w:rPr>
        <w:t>)(8)(ii)); and inform authorized entrants and the entry supervisor if unauthorized persons have entered the permit space</w:t>
      </w:r>
      <w:r w:rsidR="00E40C61">
        <w:rPr>
          <w:color w:val="000000"/>
        </w:rPr>
        <w:t xml:space="preserve"> (</w:t>
      </w:r>
      <w:r w:rsidR="00E40C61" w:rsidRPr="00D47A6A">
        <w:rPr>
          <w:color w:val="000000"/>
        </w:rPr>
        <w:t>paragraph (i</w:t>
      </w:r>
      <w:r w:rsidR="001228BF" w:rsidRPr="00D47A6A">
        <w:rPr>
          <w:color w:val="000000"/>
        </w:rPr>
        <w:t>)(8)(iii)).</w:t>
      </w:r>
      <w:r w:rsidR="0056392D" w:rsidRPr="00D47A6A">
        <w:rPr>
          <w:rStyle w:val="FootnoteReference"/>
          <w:color w:val="000000"/>
          <w:sz w:val="22"/>
          <w:vertAlign w:val="superscript"/>
        </w:rPr>
        <w:footnoteReference w:id="9"/>
      </w:r>
    </w:p>
    <w:p w:rsidR="00DA2FA9" w:rsidRPr="00D47A6A" w:rsidRDefault="00DA2FA9" w:rsidP="00742FA5">
      <w:pPr>
        <w:widowControl/>
        <w:rPr>
          <w:rFonts w:ascii="Tahoma" w:hAnsi="Tahoma" w:cs="Tahoma"/>
          <w:color w:val="000000"/>
          <w:sz w:val="20"/>
          <w:szCs w:val="20"/>
        </w:rPr>
      </w:pPr>
    </w:p>
    <w:p w:rsidR="00615F46" w:rsidRPr="00D47A6A" w:rsidRDefault="00DA2FA9" w:rsidP="00742FA5">
      <w:pPr>
        <w:widowControl/>
      </w:pPr>
      <w:r w:rsidRPr="00D47A6A">
        <w:rPr>
          <w:color w:val="000000"/>
        </w:rPr>
        <w:t>Section 1910.146(j)(2) requires the employer to ensure that each entry supervisor verifies, by checking that the appropriate entries have been made on the permit, that all tests specified by the permit have been conducted and that all procedures and equipment specified by the permit are in place before endorsing the permit and allowing entry to begin.</w:t>
      </w:r>
      <w:r w:rsidR="0078269A" w:rsidRPr="00D47A6A">
        <w:rPr>
          <w:rStyle w:val="FootnoteReference"/>
          <w:color w:val="000000"/>
          <w:sz w:val="22"/>
          <w:vertAlign w:val="superscript"/>
        </w:rPr>
        <w:footnoteReference w:id="10"/>
      </w:r>
      <w:r w:rsidR="00615F46" w:rsidRPr="00D47A6A">
        <w:rPr>
          <w:color w:val="000000"/>
        </w:rPr>
        <w:t xml:space="preserve">  </w:t>
      </w:r>
    </w:p>
    <w:p w:rsidR="00615F46" w:rsidRPr="00D47A6A" w:rsidRDefault="00615F46" w:rsidP="006F18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26168" w:rsidRDefault="003310D7" w:rsidP="006F183B">
      <w:pPr>
        <w:widowControl/>
      </w:pPr>
      <w:r w:rsidRPr="00D47A6A">
        <w:t>Section 1910.146(k</w:t>
      </w:r>
      <w:proofErr w:type="gramStart"/>
      <w:r w:rsidRPr="00D47A6A">
        <w:t>)(</w:t>
      </w:r>
      <w:proofErr w:type="gramEnd"/>
      <w:r w:rsidRPr="00D47A6A">
        <w:t>1)(i) requires the employer to evaluate a prospective rescuer's ability to respond to a rescue summons in a timely manner, considering the hazard(s) identified;  Section 1910.146(k)(1)(ii) requires the employer to evaluate a prospective rescue service's ability, in terms of proficiency with rescue-related tasks and equipment, to function appropriately while rescuing entrants from the particular permit space or types of permit spaces identified.</w:t>
      </w:r>
      <w:r w:rsidR="00615F46" w:rsidRPr="00D47A6A">
        <w:rPr>
          <w:rStyle w:val="FootnoteReference"/>
          <w:color w:val="000000"/>
          <w:sz w:val="22"/>
          <w:vertAlign w:val="superscript"/>
        </w:rPr>
        <w:footnoteReference w:id="11"/>
      </w:r>
      <w:r w:rsidR="00615F46" w:rsidRPr="00D47A6A">
        <w:rPr>
          <w:rStyle w:val="blueten1"/>
          <w:rFonts w:ascii="Times New Roman" w:hAnsi="Times New Roman"/>
          <w:bCs/>
          <w:color w:val="auto"/>
          <w:sz w:val="24"/>
          <w:szCs w:val="24"/>
        </w:rPr>
        <w:t xml:space="preserve">  </w:t>
      </w:r>
      <w:r w:rsidR="00757D2F" w:rsidRPr="00D47A6A">
        <w:rPr>
          <w:rStyle w:val="blueten1"/>
          <w:rFonts w:ascii="Times New Roman" w:hAnsi="Times New Roman"/>
          <w:bCs/>
          <w:color w:val="auto"/>
          <w:sz w:val="24"/>
          <w:szCs w:val="24"/>
        </w:rPr>
        <w:t xml:space="preserve">Section </w:t>
      </w:r>
      <w:r w:rsidR="008C39A6" w:rsidRPr="00D47A6A">
        <w:rPr>
          <w:rStyle w:val="blueten1"/>
          <w:rFonts w:ascii="Times New Roman" w:hAnsi="Times New Roman"/>
          <w:bCs/>
          <w:color w:val="auto"/>
          <w:sz w:val="24"/>
          <w:szCs w:val="24"/>
        </w:rPr>
        <w:t>1910.146(k</w:t>
      </w:r>
      <w:proofErr w:type="gramStart"/>
      <w:r w:rsidR="008C39A6" w:rsidRPr="00D47A6A">
        <w:rPr>
          <w:rStyle w:val="blueten1"/>
          <w:rFonts w:ascii="Times New Roman" w:hAnsi="Times New Roman"/>
          <w:bCs/>
          <w:color w:val="auto"/>
          <w:sz w:val="24"/>
          <w:szCs w:val="24"/>
        </w:rPr>
        <w:t>)(</w:t>
      </w:r>
      <w:proofErr w:type="gramEnd"/>
      <w:r w:rsidR="008C39A6" w:rsidRPr="00D47A6A">
        <w:rPr>
          <w:rStyle w:val="blueten1"/>
          <w:rFonts w:ascii="Times New Roman" w:hAnsi="Times New Roman"/>
          <w:bCs/>
          <w:color w:val="auto"/>
          <w:sz w:val="24"/>
          <w:szCs w:val="24"/>
        </w:rPr>
        <w:t>1)(iv)</w:t>
      </w:r>
      <w:r w:rsidR="008C39A6" w:rsidRPr="00D47A6A">
        <w:rPr>
          <w:rStyle w:val="blueten1"/>
          <w:rFonts w:ascii="Times New Roman" w:hAnsi="Times New Roman"/>
          <w:color w:val="auto"/>
          <w:sz w:val="24"/>
          <w:szCs w:val="24"/>
        </w:rPr>
        <w:t xml:space="preserve"> </w:t>
      </w:r>
      <w:r w:rsidR="00757D2F" w:rsidRPr="00D47A6A">
        <w:rPr>
          <w:rStyle w:val="blueten1"/>
          <w:rFonts w:ascii="Times New Roman" w:hAnsi="Times New Roman"/>
          <w:color w:val="auto"/>
          <w:sz w:val="24"/>
          <w:szCs w:val="24"/>
        </w:rPr>
        <w:t>requires that the employer i</w:t>
      </w:r>
      <w:r w:rsidR="008C39A6" w:rsidRPr="00D47A6A">
        <w:t>nform each</w:t>
      </w:r>
      <w:r w:rsidR="008C39A6" w:rsidRPr="008C39A6">
        <w:t xml:space="preserve"> rescue team or service of the hazards they may confront when called on to perform rescue at the site</w:t>
      </w:r>
      <w:r w:rsidR="00757D2F">
        <w:t>.</w:t>
      </w:r>
      <w:r>
        <w:rPr>
          <w:vertAlign w:val="superscript"/>
        </w:rPr>
        <w:t xml:space="preserve">  </w:t>
      </w:r>
      <w:r w:rsidR="008C62AE">
        <w:t>Section 1910.146(k)(1)(v) requires that the employer to provide the rescue team or service selected with access to all permit spaces from which rescue may be necessary so that the rescue service can develop appropriate rescue plans.</w:t>
      </w:r>
      <w:r w:rsidR="008C62AE" w:rsidRPr="00C4092A">
        <w:rPr>
          <w:rStyle w:val="FootnoteReference"/>
          <w:color w:val="000000"/>
          <w:sz w:val="22"/>
          <w:vertAlign w:val="superscript"/>
        </w:rPr>
        <w:footnoteReference w:id="12"/>
      </w:r>
      <w:r w:rsidR="008C62AE" w:rsidRPr="00C4092A">
        <w:rPr>
          <w:rStyle w:val="FootnoteReference"/>
          <w:color w:val="000000"/>
          <w:sz w:val="22"/>
          <w:vertAlign w:val="superscript"/>
        </w:rPr>
        <w:t xml:space="preserve">  </w:t>
      </w:r>
    </w:p>
    <w:p w:rsidR="008C62AE" w:rsidRDefault="008C62AE" w:rsidP="006F183B">
      <w:pPr>
        <w:widowControl/>
      </w:pPr>
    </w:p>
    <w:p w:rsidR="00026168" w:rsidRPr="001530E5" w:rsidRDefault="00BA03C2" w:rsidP="006F183B">
      <w:pPr>
        <w:widowControl/>
      </w:pPr>
      <w:r>
        <w:t xml:space="preserve">Section </w:t>
      </w:r>
      <w:bookmarkStart w:id="0" w:name="1910.146(k)(2)(ii)"/>
      <w:bookmarkEnd w:id="0"/>
      <w:r w:rsidR="00026168" w:rsidRPr="00AA6116">
        <w:rPr>
          <w:bCs/>
        </w:rPr>
        <w:t>1910.146(k)(2)(ii)</w:t>
      </w:r>
      <w:r>
        <w:rPr>
          <w:bCs/>
        </w:rPr>
        <w:t xml:space="preserve"> requires that the employer t</w:t>
      </w:r>
      <w:r w:rsidR="00026168" w:rsidRPr="00AA6116">
        <w:t>rain affected employees to perform assigned rescue duties. The employer must ensure that such employees successfully complete the training required to establish proficiency as an authorized entrant, as provided by paragraphs (g) and (h) of this section</w:t>
      </w:r>
      <w:r>
        <w:t xml:space="preserve">.  Section </w:t>
      </w:r>
      <w:bookmarkStart w:id="1" w:name="1910.146(k)(2)(iii)"/>
      <w:bookmarkEnd w:id="1"/>
      <w:r w:rsidR="00026168" w:rsidRPr="00BA03C2">
        <w:rPr>
          <w:bCs/>
        </w:rPr>
        <w:fldChar w:fldCharType="begin"/>
      </w:r>
      <w:r w:rsidR="00026168" w:rsidRPr="00BA03C2">
        <w:rPr>
          <w:bCs/>
        </w:rPr>
        <w:instrText xml:space="preserve"> HYPERLINK "http://www.osha.gov/pls/oshaweb/owalink.query_links?src_doc_type=STANDARDS&amp;src_unique_file=1910_0146&amp;src_anchor_name=1910.146(k)(2)(iii)" </w:instrText>
      </w:r>
      <w:r w:rsidR="00026168" w:rsidRPr="00BA03C2">
        <w:rPr>
          <w:bCs/>
        </w:rPr>
        <w:fldChar w:fldCharType="separate"/>
      </w:r>
      <w:r w:rsidR="00026168" w:rsidRPr="00BA03C2">
        <w:rPr>
          <w:bCs/>
        </w:rPr>
        <w:t>1910.146(k</w:t>
      </w:r>
      <w:proofErr w:type="gramStart"/>
      <w:r w:rsidR="00026168" w:rsidRPr="00BA03C2">
        <w:rPr>
          <w:bCs/>
        </w:rPr>
        <w:t>)(</w:t>
      </w:r>
      <w:proofErr w:type="gramEnd"/>
      <w:r w:rsidR="00026168" w:rsidRPr="00BA03C2">
        <w:rPr>
          <w:bCs/>
        </w:rPr>
        <w:t>2)(iii)</w:t>
      </w:r>
      <w:r w:rsidR="00026168" w:rsidRPr="00BA03C2">
        <w:rPr>
          <w:bCs/>
        </w:rPr>
        <w:fldChar w:fldCharType="end"/>
      </w:r>
      <w:r w:rsidR="00026168" w:rsidRPr="00AA6116">
        <w:t xml:space="preserve"> </w:t>
      </w:r>
      <w:r>
        <w:t>requires that the employer t</w:t>
      </w:r>
      <w:r w:rsidR="00026168" w:rsidRPr="00AA6116">
        <w:t>rain affected employees in basic first-aid and cardiopulmonary resuscitation (CPR)</w:t>
      </w:r>
      <w:r w:rsidR="001530E5">
        <w:t>.</w:t>
      </w:r>
      <w:bookmarkStart w:id="2" w:name="1910.146(k)(2)(iv)"/>
      <w:bookmarkEnd w:id="2"/>
      <w:r w:rsidR="00AD6C2B" w:rsidRPr="009E23E5">
        <w:rPr>
          <w:rStyle w:val="FootnoteReference"/>
          <w:color w:val="000000"/>
          <w:szCs w:val="28"/>
          <w:vertAlign w:val="superscript"/>
        </w:rPr>
        <w:footnoteReference w:id="13"/>
      </w:r>
    </w:p>
    <w:p w:rsidR="00026168" w:rsidRPr="001530E5" w:rsidRDefault="00026168" w:rsidP="006F183B">
      <w:pPr>
        <w:widowControl/>
      </w:pPr>
    </w:p>
    <w:p w:rsidR="008C39A6" w:rsidRPr="008C39A6" w:rsidRDefault="001530E5" w:rsidP="006F183B">
      <w:pPr>
        <w:widowControl/>
      </w:pPr>
      <w:r>
        <w:rPr>
          <w:rStyle w:val="blueten1"/>
          <w:rFonts w:ascii="Times New Roman" w:hAnsi="Times New Roman"/>
          <w:bCs/>
          <w:color w:val="auto"/>
          <w:sz w:val="24"/>
          <w:szCs w:val="24"/>
        </w:rPr>
        <w:t xml:space="preserve">Section </w:t>
      </w:r>
      <w:r w:rsidR="008C39A6" w:rsidRPr="008C39A6">
        <w:rPr>
          <w:rStyle w:val="blueten1"/>
          <w:rFonts w:ascii="Times New Roman" w:hAnsi="Times New Roman"/>
          <w:bCs/>
          <w:color w:val="auto"/>
          <w:sz w:val="24"/>
          <w:szCs w:val="24"/>
        </w:rPr>
        <w:t>1910.146(k)(4)</w:t>
      </w:r>
      <w:r w:rsidR="008C39A6" w:rsidRPr="008C39A6">
        <w:rPr>
          <w:rStyle w:val="blueten1"/>
          <w:rFonts w:ascii="Times New Roman" w:hAnsi="Times New Roman"/>
          <w:color w:val="auto"/>
          <w:sz w:val="24"/>
          <w:szCs w:val="24"/>
        </w:rPr>
        <w:t xml:space="preserve"> </w:t>
      </w:r>
      <w:r>
        <w:rPr>
          <w:rStyle w:val="blueten1"/>
          <w:rFonts w:ascii="Times New Roman" w:hAnsi="Times New Roman"/>
          <w:color w:val="auto"/>
          <w:sz w:val="24"/>
          <w:szCs w:val="24"/>
        </w:rPr>
        <w:t>requires that i</w:t>
      </w:r>
      <w:r w:rsidR="008C39A6" w:rsidRPr="008C39A6">
        <w:t xml:space="preserve">f an injured entrant is exposed to a substance for which a </w:t>
      </w:r>
      <w:r w:rsidR="00333914">
        <w:t>“</w:t>
      </w:r>
      <w:r w:rsidR="008C39A6" w:rsidRPr="008C39A6">
        <w:t>Material Safety Data Sheet</w:t>
      </w:r>
      <w:r w:rsidR="00333914">
        <w:t>”</w:t>
      </w:r>
      <w:r w:rsidR="008C39A6" w:rsidRPr="008C39A6">
        <w:t xml:space="preserve"> (MSDS) </w:t>
      </w:r>
      <w:r w:rsidR="000C31F0">
        <w:t xml:space="preserve">[now referred to as a SDS (Safety Data Sheet)] </w:t>
      </w:r>
      <w:r w:rsidR="008C39A6" w:rsidRPr="008C39A6">
        <w:t xml:space="preserve">or other similar written information is required to be kept at the worksite, that </w:t>
      </w:r>
      <w:r w:rsidR="00E17188">
        <w:t xml:space="preserve">the employer make the </w:t>
      </w:r>
      <w:r w:rsidR="008C39A6" w:rsidRPr="008C39A6">
        <w:t>MSDS or written information available to the medical facility treating the exposed entrant</w:t>
      </w:r>
      <w:r w:rsidR="00E17188">
        <w:t>.</w:t>
      </w:r>
      <w:r w:rsidR="00EF4E27" w:rsidRPr="0025702D">
        <w:rPr>
          <w:rStyle w:val="FootnoteReference"/>
          <w:vertAlign w:val="superscript"/>
        </w:rPr>
        <w:footnoteReference w:id="14"/>
      </w:r>
    </w:p>
    <w:p w:rsidR="008C39A6" w:rsidRDefault="008C39A6" w:rsidP="006F183B">
      <w:pPr>
        <w:widowControl/>
      </w:pPr>
    </w:p>
    <w:p w:rsidR="00724588" w:rsidRPr="009C0788" w:rsidRDefault="00724588" w:rsidP="006F183B">
      <w:pPr>
        <w:widowControl/>
      </w:pPr>
      <w:r>
        <w:rPr>
          <w:rStyle w:val="blueten1"/>
          <w:rFonts w:ascii="Times New Roman" w:hAnsi="Times New Roman"/>
          <w:bCs/>
          <w:color w:val="auto"/>
          <w:sz w:val="24"/>
          <w:szCs w:val="24"/>
        </w:rPr>
        <w:t>Section 1910.146(l)(1</w:t>
      </w:r>
      <w:r w:rsidRPr="00E17188">
        <w:rPr>
          <w:rStyle w:val="blueten1"/>
          <w:rFonts w:ascii="Times New Roman" w:hAnsi="Times New Roman"/>
          <w:bCs/>
          <w:color w:val="auto"/>
          <w:sz w:val="24"/>
          <w:szCs w:val="24"/>
        </w:rPr>
        <w:t>)</w:t>
      </w:r>
      <w:r w:rsidRPr="00E17188">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requires that employers consult with </w:t>
      </w:r>
      <w:r w:rsidRPr="00E17188">
        <w:t>affected employees and their authorized representatives</w:t>
      </w:r>
      <w:r>
        <w:t xml:space="preserve"> on the development and implementation of all aspects of the permit space program required by paragr</w:t>
      </w:r>
      <w:r w:rsidRPr="009C0788">
        <w:t xml:space="preserve">aph </w:t>
      </w:r>
      <w:r w:rsidRPr="005E1FD6">
        <w:t>(c</w:t>
      </w:r>
      <w:r w:rsidRPr="008C62AE">
        <w:t>).</w:t>
      </w:r>
      <w:r w:rsidRPr="00E40C61">
        <w:rPr>
          <w:vertAlign w:val="superscript"/>
        </w:rPr>
        <w:footnoteReference w:id="15"/>
      </w:r>
    </w:p>
    <w:p w:rsidR="00724588" w:rsidRDefault="00724588" w:rsidP="006F183B">
      <w:pPr>
        <w:widowControl/>
      </w:pPr>
    </w:p>
    <w:p w:rsidR="00E17188" w:rsidRPr="00E17188" w:rsidRDefault="00E17188" w:rsidP="006F183B">
      <w:pPr>
        <w:widowControl/>
      </w:pPr>
      <w:r>
        <w:rPr>
          <w:rStyle w:val="blueten1"/>
          <w:rFonts w:ascii="Times New Roman" w:hAnsi="Times New Roman"/>
          <w:bCs/>
          <w:color w:val="auto"/>
          <w:sz w:val="24"/>
          <w:szCs w:val="24"/>
        </w:rPr>
        <w:t xml:space="preserve">Section </w:t>
      </w:r>
      <w:r w:rsidRPr="00E17188">
        <w:rPr>
          <w:rStyle w:val="blueten1"/>
          <w:rFonts w:ascii="Times New Roman" w:hAnsi="Times New Roman"/>
          <w:bCs/>
          <w:color w:val="auto"/>
          <w:sz w:val="24"/>
          <w:szCs w:val="24"/>
        </w:rPr>
        <w:t>1910.146(l)(2)</w:t>
      </w:r>
      <w:r w:rsidRPr="00E17188">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requires that employers </w:t>
      </w:r>
      <w:r w:rsidRPr="00E17188">
        <w:t xml:space="preserve">make </w:t>
      </w:r>
      <w:r w:rsidR="00FE3860" w:rsidRPr="00E17188">
        <w:t xml:space="preserve">all information required to be developed by this section </w:t>
      </w:r>
      <w:r w:rsidRPr="00E17188">
        <w:t>available to affected employees and their authorized representatives.</w:t>
      </w:r>
    </w:p>
    <w:p w:rsidR="00473627" w:rsidRPr="00E17188" w:rsidRDefault="00473627" w:rsidP="006F183B">
      <w:pPr>
        <w:widowControl/>
      </w:pPr>
    </w:p>
    <w:p w:rsidR="00B60FBA" w:rsidRPr="00426A98" w:rsidRDefault="00B60FBA" w:rsidP="00742FA5">
      <w:pPr>
        <w:widowControl/>
        <w:rPr>
          <w:b/>
          <w:bCs/>
          <w:color w:val="000000"/>
          <w:sz w:val="20"/>
          <w:szCs w:val="20"/>
        </w:rPr>
      </w:pPr>
      <w:r w:rsidRPr="00426A98">
        <w:rPr>
          <w:b/>
          <w:bCs/>
          <w:color w:val="000000"/>
          <w:sz w:val="20"/>
          <w:szCs w:val="2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60FBA" w:rsidRPr="00426A98" w:rsidRDefault="00B60FBA" w:rsidP="00742FA5">
      <w:pPr>
        <w:widowControl/>
        <w:rPr>
          <w:color w:val="000000"/>
        </w:rPr>
      </w:pPr>
    </w:p>
    <w:p w:rsidR="00B60FBA" w:rsidRPr="00426A98" w:rsidRDefault="00B60FBA" w:rsidP="00742FA5">
      <w:pPr>
        <w:widowControl/>
        <w:rPr>
          <w:color w:val="000000"/>
        </w:rPr>
      </w:pPr>
      <w:r w:rsidRPr="00426A98">
        <w:rPr>
          <w:color w:val="000000"/>
        </w:rPr>
        <w:t>Employers may use automated, electronic, mechanical, or other technological infor</w:t>
      </w:r>
      <w:r w:rsidR="00F7027E">
        <w:rPr>
          <w:color w:val="000000"/>
        </w:rPr>
        <w:t>mation</w:t>
      </w:r>
      <w:r w:rsidR="001A7F12">
        <w:rPr>
          <w:color w:val="000000"/>
        </w:rPr>
        <w:t xml:space="preserve"> </w:t>
      </w:r>
      <w:r w:rsidR="00F7027E">
        <w:rPr>
          <w:color w:val="000000"/>
        </w:rPr>
        <w:t>coll</w:t>
      </w:r>
      <w:r w:rsidRPr="00426A98">
        <w:rPr>
          <w:color w:val="000000"/>
        </w:rPr>
        <w:t xml:space="preserve">ection techniques, or other forms of information technology (e.g., electronic submission of responses) when establishing and maintaining the required records.  The Agency wrote the paperwork requirements of the Standard in performance-oriented language </w:t>
      </w:r>
      <w:r w:rsidR="0025702D" w:rsidRPr="00426A98">
        <w:rPr>
          <w:color w:val="000000"/>
        </w:rPr>
        <w:t>(i.e</w:t>
      </w:r>
      <w:r w:rsidRPr="00426A98">
        <w:rPr>
          <w:color w:val="000000"/>
        </w:rPr>
        <w:t xml:space="preserve">., in terms of </w:t>
      </w:r>
      <w:r w:rsidRPr="00426A98">
        <w:rPr>
          <w:color w:val="000000"/>
          <w:u w:val="single"/>
        </w:rPr>
        <w:t>what</w:t>
      </w:r>
      <w:r w:rsidRPr="00426A98">
        <w:rPr>
          <w:color w:val="000000"/>
        </w:rPr>
        <w:t xml:space="preserve"> data to collect, not </w:t>
      </w:r>
      <w:r w:rsidRPr="00426A98">
        <w:rPr>
          <w:color w:val="000000"/>
          <w:u w:val="single"/>
        </w:rPr>
        <w:t>how</w:t>
      </w:r>
      <w:r w:rsidRPr="00426A98">
        <w:rPr>
          <w:color w:val="000000"/>
        </w:rPr>
        <w:t xml:space="preserve"> to record the data).</w:t>
      </w:r>
    </w:p>
    <w:p w:rsidR="00B60FBA" w:rsidRPr="00426A98" w:rsidRDefault="00B60FBA" w:rsidP="00742FA5">
      <w:pPr>
        <w:widowControl/>
        <w:rPr>
          <w:color w:val="000000"/>
        </w:rPr>
      </w:pPr>
    </w:p>
    <w:p w:rsidR="00B60FBA" w:rsidRPr="00426A98" w:rsidRDefault="00B60FBA" w:rsidP="00742FA5">
      <w:pPr>
        <w:widowControl/>
        <w:rPr>
          <w:color w:val="000000"/>
          <w:sz w:val="20"/>
          <w:szCs w:val="20"/>
        </w:rPr>
      </w:pPr>
      <w:r w:rsidRPr="00426A98">
        <w:rPr>
          <w:b/>
          <w:bCs/>
          <w:color w:val="000000"/>
          <w:sz w:val="20"/>
          <w:szCs w:val="20"/>
        </w:rPr>
        <w:lastRenderedPageBreak/>
        <w:t xml:space="preserve"> 4.  Describe efforts to identify duplication.  Show specifically why any similar information already available cannot be used or modified for use for the purpose(s) described in </w:t>
      </w:r>
      <w:r w:rsidR="004A2EE8">
        <w:rPr>
          <w:b/>
          <w:bCs/>
          <w:color w:val="000000"/>
          <w:sz w:val="20"/>
          <w:szCs w:val="20"/>
        </w:rPr>
        <w:t>A.</w:t>
      </w:r>
      <w:r w:rsidRPr="00426A98">
        <w:rPr>
          <w:b/>
          <w:bCs/>
          <w:color w:val="000000"/>
          <w:sz w:val="20"/>
          <w:szCs w:val="20"/>
        </w:rPr>
        <w:t>2 above.</w:t>
      </w:r>
    </w:p>
    <w:p w:rsidR="00B60FBA" w:rsidRPr="00426A98" w:rsidRDefault="00B60FBA" w:rsidP="00742FA5">
      <w:pPr>
        <w:widowControl/>
        <w:rPr>
          <w:color w:val="000000"/>
          <w:sz w:val="20"/>
          <w:szCs w:val="20"/>
        </w:rPr>
      </w:pPr>
    </w:p>
    <w:p w:rsidR="00B60FBA" w:rsidRPr="00426A98" w:rsidRDefault="00B60FBA" w:rsidP="00742FA5">
      <w:pPr>
        <w:widowControl/>
        <w:rPr>
          <w:color w:val="000000"/>
          <w:sz w:val="20"/>
          <w:szCs w:val="20"/>
        </w:rPr>
      </w:pPr>
      <w:r w:rsidRPr="00426A98">
        <w:rPr>
          <w:color w:val="000000"/>
        </w:rPr>
        <w:t>The requirements to collect and maintain information are specific to each employer and employee involved, and no other source or agency duplicates these requirements or can make the required information available to OSHA (i.e., the required information is available only from employers).</w:t>
      </w:r>
      <w:r w:rsidRPr="00426A98">
        <w:rPr>
          <w:color w:val="000000"/>
          <w:sz w:val="20"/>
          <w:szCs w:val="20"/>
        </w:rPr>
        <w:softHyphen/>
      </w:r>
      <w:r w:rsidRPr="00426A98">
        <w:rPr>
          <w:color w:val="000000"/>
          <w:sz w:val="20"/>
          <w:szCs w:val="20"/>
        </w:rPr>
        <w:softHyphen/>
      </w:r>
    </w:p>
    <w:p w:rsidR="00B60FBA" w:rsidRPr="00426A98" w:rsidRDefault="00B60FBA" w:rsidP="00742FA5">
      <w:pPr>
        <w:widowControl/>
        <w:rPr>
          <w:color w:val="000000"/>
          <w:sz w:val="20"/>
          <w:szCs w:val="20"/>
        </w:rPr>
      </w:pPr>
    </w:p>
    <w:p w:rsidR="00B60FBA" w:rsidRPr="00426A98" w:rsidRDefault="00B60FBA" w:rsidP="00742FA5">
      <w:pPr>
        <w:widowControl/>
        <w:rPr>
          <w:color w:val="000000"/>
          <w:sz w:val="20"/>
          <w:szCs w:val="20"/>
        </w:rPr>
      </w:pPr>
      <w:r w:rsidRPr="00426A98">
        <w:rPr>
          <w:b/>
          <w:bCs/>
          <w:color w:val="000000"/>
          <w:sz w:val="20"/>
          <w:szCs w:val="20"/>
        </w:rPr>
        <w:t xml:space="preserve"> 5.  If the collection of information impacts small businesses or other small entities, describe the methods used to reduce the burden.</w:t>
      </w:r>
    </w:p>
    <w:p w:rsidR="00B60FBA" w:rsidRPr="00426A98" w:rsidRDefault="00B60FBA" w:rsidP="00742FA5">
      <w:pPr>
        <w:widowControl/>
        <w:rPr>
          <w:color w:val="000000"/>
          <w:sz w:val="20"/>
          <w:szCs w:val="20"/>
        </w:rPr>
      </w:pPr>
    </w:p>
    <w:p w:rsidR="00B60FBA" w:rsidRPr="00426A98" w:rsidRDefault="00B60FBA" w:rsidP="00742FA5">
      <w:pPr>
        <w:widowControl/>
        <w:rPr>
          <w:color w:val="000000"/>
          <w:sz w:val="20"/>
          <w:szCs w:val="20"/>
        </w:rPr>
      </w:pPr>
      <w:r w:rsidRPr="00426A98">
        <w:rPr>
          <w:color w:val="000000"/>
        </w:rPr>
        <w:t xml:space="preserve">The </w:t>
      </w:r>
      <w:r w:rsidR="00BE21F2">
        <w:rPr>
          <w:color w:val="000000"/>
        </w:rPr>
        <w:t xml:space="preserve">collection of information </w:t>
      </w:r>
      <w:r w:rsidRPr="00426A98">
        <w:rPr>
          <w:color w:val="000000"/>
        </w:rPr>
        <w:t>requirements specified by the Standard do not have a significant impact on a substantial number of small entities.</w:t>
      </w:r>
    </w:p>
    <w:p w:rsidR="00B60FBA" w:rsidRPr="00426A98" w:rsidRDefault="00B60FBA" w:rsidP="00742FA5">
      <w:pPr>
        <w:widowControl/>
        <w:rPr>
          <w:color w:val="000000"/>
          <w:sz w:val="20"/>
          <w:szCs w:val="20"/>
        </w:rPr>
      </w:pPr>
    </w:p>
    <w:p w:rsidR="00B60FBA" w:rsidRPr="00426A98" w:rsidRDefault="00B60FBA" w:rsidP="00742FA5">
      <w:pPr>
        <w:widowControl/>
        <w:rPr>
          <w:color w:val="000000"/>
          <w:sz w:val="20"/>
          <w:szCs w:val="20"/>
        </w:rPr>
      </w:pPr>
      <w:r w:rsidRPr="00426A98">
        <w:rPr>
          <w:b/>
          <w:bCs/>
          <w:color w:val="000000"/>
          <w:sz w:val="20"/>
          <w:szCs w:val="20"/>
        </w:rPr>
        <w:t xml:space="preserve"> 6.  Describe the consequence to Federal program or policy activities if the collection is or is not conducted less frequently, and any technical or legal obstacles to reducing the burden.</w:t>
      </w:r>
    </w:p>
    <w:p w:rsidR="00426A98" w:rsidRDefault="00426A98" w:rsidP="00742FA5">
      <w:pPr>
        <w:widowControl/>
        <w:rPr>
          <w:color w:val="000000"/>
        </w:rPr>
      </w:pPr>
    </w:p>
    <w:p w:rsidR="00B60FBA" w:rsidRPr="00426A98" w:rsidRDefault="00B60FBA" w:rsidP="00742FA5">
      <w:pPr>
        <w:widowControl/>
        <w:rPr>
          <w:color w:val="000000"/>
          <w:sz w:val="20"/>
          <w:szCs w:val="20"/>
        </w:rPr>
      </w:pPr>
      <w:r w:rsidRPr="00426A98">
        <w:rPr>
          <w:color w:val="000000"/>
        </w:rPr>
        <w:t>The Agency believes that the infor</w:t>
      </w:r>
      <w:r w:rsidR="00F7027E">
        <w:rPr>
          <w:color w:val="000000"/>
        </w:rPr>
        <w:t>mation</w:t>
      </w:r>
      <w:r w:rsidR="0025702D">
        <w:rPr>
          <w:color w:val="000000"/>
        </w:rPr>
        <w:t xml:space="preserve"> </w:t>
      </w:r>
      <w:r w:rsidR="00F7027E">
        <w:rPr>
          <w:color w:val="000000"/>
        </w:rPr>
        <w:t>coll</w:t>
      </w:r>
      <w:r w:rsidRPr="00426A98">
        <w:rPr>
          <w:color w:val="000000"/>
        </w:rPr>
        <w:t>ection frequencies required by the Standard are the minimum frequencies necessary to effectively regulate permit-requir</w:t>
      </w:r>
      <w:r w:rsidR="00333904">
        <w:rPr>
          <w:color w:val="000000"/>
        </w:rPr>
        <w:t xml:space="preserve">ed confined spaces </w:t>
      </w:r>
      <w:r w:rsidRPr="00426A98">
        <w:rPr>
          <w:color w:val="000000"/>
        </w:rPr>
        <w:t>and, thereby, fulfill its mandate “to assure so far as possible every working man and woman in the nation safe and healthful working conditions and to preserve our human resources” as specified in the Act at 29 U.S.C. 651.  Accordingly, if employers do not perform the required information collections, or delay in providing this information, employees may be subject to an increased risk of death and serious injury</w:t>
      </w:r>
      <w:r w:rsidR="00333904">
        <w:rPr>
          <w:color w:val="000000"/>
        </w:rPr>
        <w:t xml:space="preserve"> when working in pe</w:t>
      </w:r>
      <w:r w:rsidR="006F68BE">
        <w:rPr>
          <w:color w:val="000000"/>
        </w:rPr>
        <w:t>r</w:t>
      </w:r>
      <w:r w:rsidR="00333904">
        <w:rPr>
          <w:color w:val="000000"/>
        </w:rPr>
        <w:t>mit</w:t>
      </w:r>
      <w:r w:rsidR="00C60C92">
        <w:rPr>
          <w:color w:val="000000"/>
        </w:rPr>
        <w:t>-required confined spaces.</w:t>
      </w:r>
    </w:p>
    <w:p w:rsidR="00B60FBA" w:rsidRPr="00426A98" w:rsidRDefault="00B60FBA" w:rsidP="00742FA5">
      <w:pPr>
        <w:widowControl/>
        <w:rPr>
          <w:color w:val="000000"/>
          <w:sz w:val="20"/>
          <w:szCs w:val="20"/>
        </w:rPr>
      </w:pPr>
    </w:p>
    <w:p w:rsidR="00B60FBA" w:rsidRPr="00426A98" w:rsidRDefault="00B60FBA" w:rsidP="00742FA5">
      <w:pPr>
        <w:widowControl/>
        <w:rPr>
          <w:color w:val="000000"/>
          <w:sz w:val="20"/>
          <w:szCs w:val="20"/>
        </w:rPr>
      </w:pPr>
      <w:r w:rsidRPr="00426A98">
        <w:rPr>
          <w:b/>
          <w:bCs/>
          <w:color w:val="000000"/>
          <w:sz w:val="20"/>
          <w:szCs w:val="20"/>
        </w:rPr>
        <w:t xml:space="preserve"> 7.  Explain any special circumstances that would cause an information collection to be conducted in a manner:</w:t>
      </w:r>
    </w:p>
    <w:p w:rsidR="00B60FBA" w:rsidRPr="00426A98" w:rsidRDefault="00B60FBA" w:rsidP="00742FA5">
      <w:pPr>
        <w:widowControl/>
        <w:rPr>
          <w:color w:val="000000"/>
          <w:sz w:val="20"/>
          <w:szCs w:val="20"/>
        </w:rPr>
      </w:pPr>
    </w:p>
    <w:p w:rsidR="00B60FBA" w:rsidRPr="00426A98" w:rsidRDefault="00B60FBA" w:rsidP="00742FA5">
      <w:pPr>
        <w:pStyle w:val="Level1"/>
        <w:widowControl/>
        <w:numPr>
          <w:ilvl w:val="0"/>
          <w:numId w:val="3"/>
        </w:numPr>
        <w:outlineLvl w:val="9"/>
        <w:rPr>
          <w:b/>
          <w:bCs/>
          <w:color w:val="000000"/>
          <w:sz w:val="20"/>
          <w:szCs w:val="20"/>
        </w:rPr>
      </w:pPr>
      <w:r w:rsidRPr="00426A98">
        <w:rPr>
          <w:b/>
          <w:bCs/>
          <w:color w:val="000000"/>
          <w:sz w:val="20"/>
          <w:szCs w:val="20"/>
        </w:rPr>
        <w:t>Requiring respondents to report information to the agency more often than quarterly;</w:t>
      </w:r>
    </w:p>
    <w:p w:rsidR="00B60FBA" w:rsidRPr="00426A98" w:rsidRDefault="00B60FBA" w:rsidP="00742FA5">
      <w:pPr>
        <w:widowControl/>
        <w:rPr>
          <w:b/>
          <w:bCs/>
          <w:color w:val="000000"/>
          <w:sz w:val="20"/>
          <w:szCs w:val="20"/>
        </w:rPr>
      </w:pPr>
    </w:p>
    <w:p w:rsidR="00B60FBA" w:rsidRPr="00426A98" w:rsidRDefault="00B60FBA" w:rsidP="00742FA5">
      <w:pPr>
        <w:pStyle w:val="Level1"/>
        <w:widowControl/>
        <w:numPr>
          <w:ilvl w:val="0"/>
          <w:numId w:val="3"/>
        </w:numPr>
        <w:outlineLvl w:val="9"/>
        <w:rPr>
          <w:b/>
          <w:bCs/>
          <w:color w:val="000000"/>
          <w:sz w:val="20"/>
          <w:szCs w:val="20"/>
        </w:rPr>
      </w:pPr>
      <w:r w:rsidRPr="00426A98">
        <w:rPr>
          <w:b/>
          <w:bCs/>
          <w:color w:val="000000"/>
          <w:sz w:val="20"/>
          <w:szCs w:val="20"/>
        </w:rPr>
        <w:t>Requiring respondents to prepare a written response to a collection of information in fewer than 30 days after receipt of it;</w:t>
      </w:r>
    </w:p>
    <w:p w:rsidR="00B60FBA" w:rsidRPr="00426A98" w:rsidRDefault="00B60FBA" w:rsidP="00742FA5">
      <w:pPr>
        <w:widowControl/>
        <w:rPr>
          <w:b/>
          <w:bCs/>
          <w:color w:val="000000"/>
          <w:sz w:val="20"/>
          <w:szCs w:val="20"/>
        </w:rPr>
      </w:pPr>
    </w:p>
    <w:p w:rsidR="00B60FBA" w:rsidRPr="00426A98" w:rsidRDefault="00B60FBA" w:rsidP="00742FA5">
      <w:pPr>
        <w:pStyle w:val="Level1"/>
        <w:widowControl/>
        <w:numPr>
          <w:ilvl w:val="0"/>
          <w:numId w:val="3"/>
        </w:numPr>
        <w:outlineLvl w:val="9"/>
        <w:rPr>
          <w:b/>
          <w:bCs/>
          <w:color w:val="000000"/>
          <w:sz w:val="20"/>
          <w:szCs w:val="20"/>
        </w:rPr>
      </w:pPr>
      <w:r w:rsidRPr="00426A98">
        <w:rPr>
          <w:b/>
          <w:bCs/>
          <w:color w:val="000000"/>
          <w:sz w:val="20"/>
          <w:szCs w:val="20"/>
        </w:rPr>
        <w:t>Requiring respondents to submit more than an original and two copies of any document;</w:t>
      </w:r>
    </w:p>
    <w:p w:rsidR="00B60FBA" w:rsidRPr="00426A98" w:rsidRDefault="00B60FBA" w:rsidP="00742FA5">
      <w:pPr>
        <w:widowControl/>
        <w:rPr>
          <w:b/>
          <w:bCs/>
          <w:color w:val="000000"/>
          <w:sz w:val="20"/>
          <w:szCs w:val="20"/>
        </w:rPr>
      </w:pPr>
    </w:p>
    <w:p w:rsidR="00B60FBA" w:rsidRPr="00426A98" w:rsidRDefault="00B60FBA" w:rsidP="00742FA5">
      <w:pPr>
        <w:pStyle w:val="Level1"/>
        <w:widowControl/>
        <w:numPr>
          <w:ilvl w:val="0"/>
          <w:numId w:val="3"/>
        </w:numPr>
        <w:outlineLvl w:val="9"/>
        <w:rPr>
          <w:b/>
          <w:bCs/>
          <w:color w:val="000000"/>
          <w:sz w:val="20"/>
          <w:szCs w:val="20"/>
        </w:rPr>
      </w:pPr>
      <w:r w:rsidRPr="00426A98">
        <w:rPr>
          <w:b/>
          <w:bCs/>
          <w:color w:val="000000"/>
          <w:sz w:val="20"/>
          <w:szCs w:val="20"/>
        </w:rPr>
        <w:t>Requiring respondents to retain records, other than health, medical, government contract, grant-in- aid,  or tax records for more than three years;</w:t>
      </w:r>
    </w:p>
    <w:p w:rsidR="00B60FBA" w:rsidRPr="00426A98" w:rsidRDefault="00B60FBA" w:rsidP="00742FA5">
      <w:pPr>
        <w:widowControl/>
        <w:rPr>
          <w:b/>
          <w:bCs/>
          <w:color w:val="000000"/>
          <w:sz w:val="20"/>
          <w:szCs w:val="20"/>
        </w:rPr>
      </w:pPr>
    </w:p>
    <w:p w:rsidR="00B60FBA" w:rsidRPr="00426A98" w:rsidRDefault="00B60FBA" w:rsidP="00742FA5">
      <w:pPr>
        <w:pStyle w:val="Level1"/>
        <w:widowControl/>
        <w:numPr>
          <w:ilvl w:val="0"/>
          <w:numId w:val="3"/>
        </w:numPr>
        <w:outlineLvl w:val="9"/>
        <w:rPr>
          <w:b/>
          <w:bCs/>
          <w:color w:val="000000"/>
          <w:sz w:val="20"/>
          <w:szCs w:val="20"/>
        </w:rPr>
      </w:pPr>
      <w:r w:rsidRPr="00426A98">
        <w:rPr>
          <w:b/>
          <w:bCs/>
          <w:color w:val="000000"/>
          <w:sz w:val="20"/>
          <w:szCs w:val="20"/>
        </w:rPr>
        <w:t>In connection with a statistical survey that is not designed to produce valid and reliable results that can be generalized to the universe of study;</w:t>
      </w:r>
    </w:p>
    <w:p w:rsidR="00B60FBA" w:rsidRPr="00426A98" w:rsidRDefault="00B60FBA" w:rsidP="00742FA5">
      <w:pPr>
        <w:widowControl/>
        <w:rPr>
          <w:b/>
          <w:bCs/>
          <w:color w:val="000000"/>
          <w:sz w:val="20"/>
          <w:szCs w:val="20"/>
        </w:rPr>
      </w:pPr>
    </w:p>
    <w:p w:rsidR="00B60FBA" w:rsidRPr="00426A98" w:rsidRDefault="00B60FBA" w:rsidP="00742FA5">
      <w:pPr>
        <w:pStyle w:val="Level1"/>
        <w:widowControl/>
        <w:numPr>
          <w:ilvl w:val="0"/>
          <w:numId w:val="3"/>
        </w:numPr>
        <w:outlineLvl w:val="9"/>
        <w:rPr>
          <w:b/>
          <w:bCs/>
          <w:color w:val="000000"/>
          <w:sz w:val="20"/>
          <w:szCs w:val="20"/>
        </w:rPr>
      </w:pPr>
      <w:r w:rsidRPr="00426A98">
        <w:rPr>
          <w:b/>
          <w:bCs/>
          <w:color w:val="000000"/>
          <w:sz w:val="20"/>
          <w:szCs w:val="20"/>
        </w:rPr>
        <w:t>Requiring the use of statistical data classification that has not been reviewed and approved by OMB;</w:t>
      </w:r>
    </w:p>
    <w:p w:rsidR="00B60FBA" w:rsidRPr="00426A98" w:rsidRDefault="00B60FBA" w:rsidP="00742FA5">
      <w:pPr>
        <w:pStyle w:val="Level1"/>
        <w:widowControl/>
        <w:numPr>
          <w:ilvl w:val="0"/>
          <w:numId w:val="3"/>
        </w:numPr>
        <w:outlineLvl w:val="9"/>
        <w:rPr>
          <w:b/>
          <w:bCs/>
          <w:color w:val="000000"/>
          <w:sz w:val="20"/>
          <w:szCs w:val="20"/>
        </w:rPr>
      </w:pPr>
      <w:r w:rsidRPr="00426A98">
        <w:rPr>
          <w:b/>
          <w:bCs/>
          <w:color w:val="000000"/>
          <w:sz w:val="20"/>
          <w:szCs w:val="20"/>
        </w:rPr>
        <w:t>That includes a pledge of confidentially that is not supported by authority established in statu</w:t>
      </w:r>
      <w:r w:rsidR="00720B4C">
        <w:rPr>
          <w:b/>
          <w:bCs/>
          <w:color w:val="000000"/>
          <w:sz w:val="20"/>
          <w:szCs w:val="20"/>
        </w:rPr>
        <w:t>t</w:t>
      </w:r>
      <w:r w:rsidRPr="00426A98">
        <w:rPr>
          <w:b/>
          <w:bCs/>
          <w:color w:val="000000"/>
          <w:sz w:val="20"/>
          <w:szCs w:val="20"/>
        </w:rPr>
        <w:t>e or  regulation that is not supported by disclosure and data security policies that are consistent with the pledge, or which unnecessarily impedes sharing of data with other agencies for compatible confidential use; or</w:t>
      </w:r>
    </w:p>
    <w:p w:rsidR="00B60FBA" w:rsidRPr="00426A98" w:rsidRDefault="00B60FBA" w:rsidP="00742FA5">
      <w:pPr>
        <w:widowControl/>
        <w:rPr>
          <w:b/>
          <w:bCs/>
          <w:color w:val="000000"/>
          <w:sz w:val="20"/>
          <w:szCs w:val="20"/>
        </w:rPr>
      </w:pPr>
    </w:p>
    <w:p w:rsidR="00B60FBA" w:rsidRPr="00426A98" w:rsidRDefault="00B60FBA" w:rsidP="00742FA5">
      <w:pPr>
        <w:pStyle w:val="Level1"/>
        <w:widowControl/>
        <w:numPr>
          <w:ilvl w:val="0"/>
          <w:numId w:val="3"/>
        </w:numPr>
        <w:outlineLvl w:val="9"/>
        <w:rPr>
          <w:color w:val="000000"/>
          <w:sz w:val="20"/>
          <w:szCs w:val="20"/>
        </w:rPr>
      </w:pPr>
      <w:r w:rsidRPr="00426A98">
        <w:rPr>
          <w:b/>
          <w:bCs/>
          <w:color w:val="000000"/>
          <w:sz w:val="20"/>
          <w:szCs w:val="20"/>
        </w:rPr>
        <w:lastRenderedPageBreak/>
        <w:t>Requiring respondents to submit proprietary trade secret, or other confidential information unless the agency can prove that it has instituted procedures to protect the information's confidentially to the extent permitted by law.</w:t>
      </w:r>
    </w:p>
    <w:p w:rsidR="00B60FBA" w:rsidRPr="00426A98" w:rsidRDefault="00B60FBA" w:rsidP="00742FA5">
      <w:pPr>
        <w:widowControl/>
        <w:rPr>
          <w:color w:val="000000"/>
          <w:sz w:val="20"/>
          <w:szCs w:val="20"/>
        </w:rPr>
      </w:pPr>
    </w:p>
    <w:p w:rsidR="00B60FBA" w:rsidRPr="00426A98" w:rsidRDefault="00B60FBA" w:rsidP="00742FA5">
      <w:pPr>
        <w:widowControl/>
        <w:rPr>
          <w:color w:val="000000"/>
        </w:rPr>
      </w:pPr>
      <w:r w:rsidRPr="00426A98">
        <w:rPr>
          <w:color w:val="000000"/>
        </w:rPr>
        <w:t>No special circumstances exist that require employers to collect information using the procedures specified by this item.  The requirements are within the guidelines set forth in 5 CFR 1320.5.</w:t>
      </w:r>
    </w:p>
    <w:p w:rsidR="00B60FBA" w:rsidRPr="00426A98" w:rsidRDefault="00B60FBA" w:rsidP="00742FA5">
      <w:pPr>
        <w:widowControl/>
        <w:rPr>
          <w:color w:val="000000"/>
          <w:sz w:val="20"/>
          <w:szCs w:val="20"/>
        </w:rPr>
      </w:pPr>
    </w:p>
    <w:p w:rsidR="00B60FBA" w:rsidRPr="00426A98" w:rsidRDefault="00B60FBA" w:rsidP="00742FA5">
      <w:pPr>
        <w:widowControl/>
        <w:rPr>
          <w:b/>
          <w:bCs/>
          <w:color w:val="000000"/>
          <w:sz w:val="20"/>
          <w:szCs w:val="20"/>
        </w:rPr>
      </w:pPr>
      <w:r w:rsidRPr="00426A98">
        <w:rPr>
          <w:b/>
          <w:bCs/>
          <w:color w:val="000000"/>
          <w:sz w:val="20"/>
          <w:szCs w:val="20"/>
        </w:rPr>
        <w:t xml:space="preserve"> 8.  If applicable, provide a copy and identify the date and page number of publication in the </w:t>
      </w:r>
      <w:r w:rsidRPr="00BE22C4">
        <w:rPr>
          <w:b/>
          <w:bCs/>
          <w:i/>
          <w:color w:val="000000"/>
          <w:sz w:val="20"/>
          <w:szCs w:val="20"/>
        </w:rPr>
        <w:t>Federal Register</w:t>
      </w:r>
      <w:r w:rsidRPr="00426A98">
        <w:rPr>
          <w:b/>
          <w:bCs/>
          <w:color w:val="000000"/>
          <w:sz w:val="20"/>
          <w:szCs w:val="20"/>
        </w:rPr>
        <w:t xml:space="preserve"> of the agency's notice, required by 5 CFR 1320.8(d), soliciting comments on the information collection </w:t>
      </w:r>
      <w:r w:rsidR="00BE22C4">
        <w:rPr>
          <w:b/>
          <w:bCs/>
          <w:color w:val="000000"/>
          <w:sz w:val="20"/>
          <w:szCs w:val="20"/>
        </w:rPr>
        <w:t xml:space="preserve">prior to submission </w:t>
      </w:r>
      <w:r w:rsidRPr="00426A98">
        <w:rPr>
          <w:b/>
          <w:bCs/>
          <w:color w:val="000000"/>
          <w:sz w:val="20"/>
          <w:szCs w:val="20"/>
        </w:rPr>
        <w:t>to OMB.  Summarize public comments received in response to that notice and describe actions taken by the agency in response to those comments</w:t>
      </w:r>
      <w:r w:rsidR="00BE22C4">
        <w:rPr>
          <w:b/>
          <w:bCs/>
          <w:color w:val="000000"/>
          <w:sz w:val="20"/>
          <w:szCs w:val="20"/>
        </w:rPr>
        <w:t xml:space="preserve">.  </w:t>
      </w:r>
      <w:r w:rsidRPr="00426A98">
        <w:rPr>
          <w:b/>
          <w:bCs/>
          <w:color w:val="000000"/>
          <w:sz w:val="20"/>
          <w:szCs w:val="20"/>
        </w:rPr>
        <w:t xml:space="preserve"> </w:t>
      </w:r>
      <w:r w:rsidR="00BE22C4">
        <w:rPr>
          <w:b/>
          <w:bCs/>
          <w:color w:val="000000"/>
          <w:sz w:val="20"/>
          <w:szCs w:val="20"/>
        </w:rPr>
        <w:t>S</w:t>
      </w:r>
      <w:r w:rsidRPr="00426A98">
        <w:rPr>
          <w:b/>
          <w:bCs/>
          <w:color w:val="000000"/>
          <w:sz w:val="20"/>
          <w:szCs w:val="20"/>
        </w:rPr>
        <w:t>pecifically address comments received on cost and hour burdens.</w:t>
      </w:r>
    </w:p>
    <w:p w:rsidR="00B60FBA" w:rsidRPr="00426A98" w:rsidRDefault="00B60FBA" w:rsidP="00742FA5">
      <w:pPr>
        <w:widowControl/>
        <w:ind w:left="360"/>
        <w:rPr>
          <w:b/>
          <w:bCs/>
          <w:color w:val="000000"/>
          <w:sz w:val="20"/>
          <w:szCs w:val="20"/>
        </w:rPr>
      </w:pPr>
    </w:p>
    <w:p w:rsidR="00B60FBA" w:rsidRPr="00426A98" w:rsidRDefault="00B60FBA" w:rsidP="00742FA5">
      <w:pPr>
        <w:widowControl/>
        <w:rPr>
          <w:b/>
          <w:bCs/>
          <w:color w:val="000000"/>
          <w:sz w:val="20"/>
          <w:szCs w:val="20"/>
        </w:rPr>
      </w:pPr>
      <w:r w:rsidRPr="00426A98">
        <w:rPr>
          <w:b/>
          <w:bCs/>
          <w:color w:val="000000"/>
          <w:sz w:val="20"/>
          <w:szCs w:val="2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00BE22C4">
        <w:rPr>
          <w:b/>
          <w:bCs/>
          <w:color w:val="000000"/>
          <w:sz w:val="20"/>
          <w:szCs w:val="20"/>
        </w:rPr>
        <w:t>disclosed</w:t>
      </w:r>
      <w:r w:rsidRPr="00426A98">
        <w:rPr>
          <w:b/>
          <w:bCs/>
          <w:color w:val="000000"/>
          <w:sz w:val="20"/>
          <w:szCs w:val="20"/>
        </w:rPr>
        <w:t>, or reported.</w:t>
      </w:r>
    </w:p>
    <w:p w:rsidR="00B60FBA" w:rsidRPr="00426A98" w:rsidRDefault="00B60FBA" w:rsidP="00742FA5">
      <w:pPr>
        <w:widowControl/>
        <w:rPr>
          <w:b/>
          <w:bCs/>
          <w:color w:val="000000"/>
          <w:sz w:val="20"/>
          <w:szCs w:val="20"/>
        </w:rPr>
      </w:pPr>
    </w:p>
    <w:p w:rsidR="00B60FBA" w:rsidRPr="00426A98" w:rsidRDefault="00B60FBA" w:rsidP="00742FA5">
      <w:pPr>
        <w:widowControl/>
        <w:rPr>
          <w:b/>
          <w:bCs/>
          <w:color w:val="000000"/>
          <w:sz w:val="20"/>
          <w:szCs w:val="20"/>
        </w:rPr>
      </w:pPr>
      <w:r w:rsidRPr="00426A98">
        <w:rPr>
          <w:b/>
          <w:bCs/>
          <w:color w:val="000000"/>
          <w:sz w:val="20"/>
          <w:szCs w:val="20"/>
        </w:rPr>
        <w:t>Consultation with</w:t>
      </w:r>
      <w:r w:rsidR="00BE22C4">
        <w:rPr>
          <w:b/>
          <w:bCs/>
          <w:color w:val="000000"/>
          <w:sz w:val="20"/>
          <w:szCs w:val="20"/>
        </w:rPr>
        <w:t xml:space="preserve"> </w:t>
      </w:r>
      <w:r w:rsidRPr="00426A98">
        <w:rPr>
          <w:b/>
          <w:bCs/>
          <w:color w:val="000000"/>
          <w:sz w:val="20"/>
          <w:szCs w:val="20"/>
        </w:rPr>
        <w:t xml:space="preserve">representatives of those from whom information is to be obtained or those who must compile records should occur at least once every three years -- even if the collection of information activity is the same as in prior periods.  There may be circumstances that </w:t>
      </w:r>
      <w:r w:rsidR="003028DC">
        <w:rPr>
          <w:b/>
          <w:bCs/>
          <w:color w:val="000000"/>
          <w:sz w:val="20"/>
          <w:szCs w:val="20"/>
        </w:rPr>
        <w:t>may preclude</w:t>
      </w:r>
      <w:r w:rsidRPr="00426A98">
        <w:rPr>
          <w:b/>
          <w:bCs/>
          <w:color w:val="000000"/>
          <w:sz w:val="20"/>
          <w:szCs w:val="20"/>
        </w:rPr>
        <w:t xml:space="preserve"> consultation in a specific situation.  These circumstances should be explained.</w:t>
      </w:r>
    </w:p>
    <w:p w:rsidR="00B60FBA" w:rsidRDefault="00B60FBA" w:rsidP="00742FA5">
      <w:pPr>
        <w:widowControl/>
        <w:rPr>
          <w:color w:val="000000"/>
          <w:sz w:val="20"/>
          <w:szCs w:val="20"/>
        </w:rPr>
      </w:pPr>
    </w:p>
    <w:p w:rsidR="001342DF" w:rsidRDefault="001342DF" w:rsidP="00742FA5">
      <w:pPr>
        <w:widowControl/>
        <w:rPr>
          <w:rFonts w:cs="Shruti"/>
        </w:rPr>
      </w:pPr>
      <w:r w:rsidRPr="00CD209E">
        <w:rPr>
          <w:color w:val="000000"/>
        </w:rPr>
        <w:t xml:space="preserve">As </w:t>
      </w:r>
      <w:r w:rsidRPr="00CD209E">
        <w:t>required by the Paperwork Reduction Act of 1995 (44 U.S.C. 3506(c)(2)(A)), OSHA publish</w:t>
      </w:r>
      <w:r>
        <w:t>ed</w:t>
      </w:r>
      <w:r w:rsidRPr="00CD209E">
        <w:t xml:space="preserve"> a notice in the </w:t>
      </w:r>
      <w:r w:rsidRPr="0005235F">
        <w:rPr>
          <w:bCs/>
          <w:i/>
        </w:rPr>
        <w:t>Federal Register</w:t>
      </w:r>
      <w:r w:rsidRPr="00CD209E">
        <w:rPr>
          <w:color w:val="000000"/>
        </w:rPr>
        <w:t xml:space="preserve"> </w:t>
      </w:r>
      <w:r>
        <w:rPr>
          <w:color w:val="000000"/>
        </w:rPr>
        <w:t xml:space="preserve">on April 27, 2015 (80 FR 23297), Docket Number OSHA-2011-0858, </w:t>
      </w:r>
      <w:r w:rsidRPr="00CD209E">
        <w:rPr>
          <w:color w:val="000000"/>
        </w:rPr>
        <w:t xml:space="preserve">requesting public comment on its proposal to extend the Office of Management and Budget’s approval of the </w:t>
      </w:r>
      <w:r>
        <w:rPr>
          <w:color w:val="000000"/>
        </w:rPr>
        <w:t xml:space="preserve">collection of information </w:t>
      </w:r>
      <w:r w:rsidRPr="00CD209E">
        <w:rPr>
          <w:color w:val="000000"/>
        </w:rPr>
        <w:t xml:space="preserve">requirements found in </w:t>
      </w:r>
      <w:r w:rsidRPr="00426A98">
        <w:rPr>
          <w:color w:val="000000"/>
        </w:rPr>
        <w:t>the Standard on Permit-Required Confined Spaces (29 CFR 1910.146)</w:t>
      </w:r>
      <w:r w:rsidRPr="00CD209E">
        <w:t xml:space="preserve">.   This notice </w:t>
      </w:r>
      <w:r>
        <w:t>wa</w:t>
      </w:r>
      <w:r w:rsidRPr="00CD209E">
        <w:t>s part of a preclearance consultation program that provid</w:t>
      </w:r>
      <w:r>
        <w:t>ed</w:t>
      </w:r>
      <w:r w:rsidRPr="00CD209E">
        <w:t xml:space="preserve"> the general public and government agencies with an opportunity to comment</w:t>
      </w:r>
      <w:r w:rsidRPr="00CD209E">
        <w:rPr>
          <w:rFonts w:cs="Shruti"/>
        </w:rPr>
        <w:t xml:space="preserve">.  </w:t>
      </w:r>
      <w:r>
        <w:rPr>
          <w:rFonts w:cs="Shruti"/>
        </w:rPr>
        <w:t xml:space="preserve"> The Agency did not receive any comments in response to this notice.</w:t>
      </w:r>
    </w:p>
    <w:p w:rsidR="00473627" w:rsidRDefault="00473627" w:rsidP="00742FA5">
      <w:pPr>
        <w:widowControl/>
        <w:rPr>
          <w:color w:val="000000"/>
        </w:rPr>
      </w:pPr>
    </w:p>
    <w:p w:rsidR="00B60FBA" w:rsidRPr="00426A98" w:rsidRDefault="00B60FBA" w:rsidP="006F183B">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426A98">
        <w:rPr>
          <w:color w:val="000000"/>
          <w:sz w:val="20"/>
          <w:szCs w:val="20"/>
        </w:rPr>
        <w:t xml:space="preserve"> </w:t>
      </w:r>
      <w:r w:rsidRPr="00426A98">
        <w:rPr>
          <w:b/>
          <w:bCs/>
          <w:color w:val="000000"/>
          <w:sz w:val="20"/>
          <w:szCs w:val="20"/>
        </w:rPr>
        <w:t>9.  Explain any decision to provide any payments or gift to respondents, other than re</w:t>
      </w:r>
      <w:r w:rsidR="00014FC4">
        <w:rPr>
          <w:b/>
          <w:bCs/>
          <w:color w:val="000000"/>
          <w:sz w:val="20"/>
          <w:szCs w:val="20"/>
        </w:rPr>
        <w:t>m</w:t>
      </w:r>
      <w:r w:rsidR="007C15FC">
        <w:rPr>
          <w:b/>
          <w:bCs/>
          <w:color w:val="000000"/>
          <w:sz w:val="20"/>
          <w:szCs w:val="20"/>
        </w:rPr>
        <w:t>un</w:t>
      </w:r>
      <w:r w:rsidRPr="00426A98">
        <w:rPr>
          <w:b/>
          <w:bCs/>
          <w:color w:val="000000"/>
          <w:sz w:val="20"/>
          <w:szCs w:val="20"/>
        </w:rPr>
        <w:t>eration of contractors or grantees.</w:t>
      </w:r>
    </w:p>
    <w:p w:rsidR="00B60FBA" w:rsidRPr="00426A98" w:rsidRDefault="00B60FBA" w:rsidP="00742FA5">
      <w:pPr>
        <w:widowControl/>
        <w:rPr>
          <w:color w:val="000000"/>
          <w:sz w:val="20"/>
          <w:szCs w:val="20"/>
        </w:rPr>
      </w:pPr>
    </w:p>
    <w:p w:rsidR="00B60FBA" w:rsidRPr="00426A98" w:rsidRDefault="00B60FBA" w:rsidP="00F46530">
      <w:pPr>
        <w:widowControl/>
        <w:rPr>
          <w:color w:val="000000"/>
        </w:rPr>
      </w:pPr>
      <w:r w:rsidRPr="00426A98">
        <w:rPr>
          <w:color w:val="000000"/>
        </w:rPr>
        <w:t xml:space="preserve">The Agency will </w:t>
      </w:r>
      <w:r w:rsidRPr="00426A98">
        <w:rPr>
          <w:color w:val="000000"/>
          <w:u w:val="single"/>
        </w:rPr>
        <w:t>not</w:t>
      </w:r>
      <w:r w:rsidRPr="00426A98">
        <w:rPr>
          <w:color w:val="000000"/>
        </w:rPr>
        <w:t xml:space="preserve"> provide payments or gifts to the respondents.</w:t>
      </w:r>
    </w:p>
    <w:p w:rsidR="00B60FBA" w:rsidRDefault="00B60FBA" w:rsidP="00F46530">
      <w:pPr>
        <w:widowControl/>
        <w:rPr>
          <w:color w:val="000000"/>
        </w:rPr>
      </w:pPr>
    </w:p>
    <w:p w:rsidR="00B60FBA" w:rsidRPr="00426A98" w:rsidRDefault="00B60FBA" w:rsidP="00742FA5">
      <w:pPr>
        <w:widowControl/>
        <w:rPr>
          <w:color w:val="000000"/>
          <w:sz w:val="20"/>
          <w:szCs w:val="20"/>
        </w:rPr>
      </w:pPr>
      <w:r w:rsidRPr="00426A98">
        <w:rPr>
          <w:b/>
          <w:bCs/>
          <w:color w:val="000000"/>
          <w:sz w:val="20"/>
          <w:szCs w:val="20"/>
        </w:rPr>
        <w:t>10.  Describe any assurance of confidentiality provided to respondents and the basis for the assurance in statute, regulation, or agency policy.</w:t>
      </w:r>
    </w:p>
    <w:p w:rsidR="00B60FBA" w:rsidRPr="00426A98" w:rsidRDefault="00B60FBA" w:rsidP="00742FA5">
      <w:pPr>
        <w:widowControl/>
        <w:rPr>
          <w:color w:val="000000"/>
          <w:sz w:val="20"/>
          <w:szCs w:val="20"/>
        </w:rPr>
      </w:pPr>
    </w:p>
    <w:p w:rsidR="00B60FBA" w:rsidRPr="00426A98" w:rsidRDefault="00B60FBA" w:rsidP="00742FA5">
      <w:pPr>
        <w:widowControl/>
        <w:rPr>
          <w:color w:val="000000"/>
        </w:rPr>
      </w:pPr>
      <w:r w:rsidRPr="00426A98">
        <w:rPr>
          <w:color w:val="000000"/>
        </w:rPr>
        <w:t>The paperwork requirements specified by the Standard do not involve confidential information.</w:t>
      </w:r>
    </w:p>
    <w:p w:rsidR="00B60FBA" w:rsidRPr="00426A98" w:rsidRDefault="00B60FBA" w:rsidP="00742FA5">
      <w:pPr>
        <w:widowControl/>
        <w:rPr>
          <w:color w:val="000000"/>
          <w:sz w:val="20"/>
          <w:szCs w:val="20"/>
        </w:rPr>
      </w:pPr>
    </w:p>
    <w:p w:rsidR="00B60FBA" w:rsidRPr="00426A98" w:rsidRDefault="00B60FBA" w:rsidP="00742FA5">
      <w:pPr>
        <w:widowControl/>
        <w:rPr>
          <w:color w:val="000000"/>
          <w:sz w:val="20"/>
          <w:szCs w:val="20"/>
        </w:rPr>
      </w:pPr>
      <w:r w:rsidRPr="00426A98">
        <w:rPr>
          <w:b/>
          <w:bCs/>
          <w:color w:val="000000"/>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60FBA" w:rsidRPr="00426A98" w:rsidRDefault="00B60FBA" w:rsidP="00742FA5">
      <w:pPr>
        <w:widowControl/>
        <w:rPr>
          <w:color w:val="000000"/>
          <w:sz w:val="20"/>
          <w:szCs w:val="20"/>
        </w:rPr>
      </w:pPr>
    </w:p>
    <w:p w:rsidR="00B60FBA" w:rsidRPr="00426A98" w:rsidRDefault="00B60FBA" w:rsidP="00742FA5">
      <w:pPr>
        <w:widowControl/>
        <w:rPr>
          <w:color w:val="000000"/>
          <w:sz w:val="20"/>
          <w:szCs w:val="20"/>
        </w:rPr>
      </w:pPr>
      <w:r w:rsidRPr="00426A98">
        <w:rPr>
          <w:color w:val="000000"/>
        </w:rPr>
        <w:lastRenderedPageBreak/>
        <w:t>None of the provisions in the Standard require sensitive information.</w:t>
      </w:r>
    </w:p>
    <w:p w:rsidR="00B60FBA" w:rsidRPr="00426A98" w:rsidRDefault="00B60FBA" w:rsidP="00742FA5">
      <w:pPr>
        <w:widowControl/>
        <w:rPr>
          <w:color w:val="000000"/>
          <w:sz w:val="20"/>
          <w:szCs w:val="20"/>
        </w:rPr>
      </w:pPr>
      <w:r w:rsidRPr="00426A98">
        <w:rPr>
          <w:color w:val="000000"/>
          <w:sz w:val="20"/>
          <w:szCs w:val="20"/>
        </w:rPr>
        <w:t xml:space="preserve"> </w:t>
      </w:r>
    </w:p>
    <w:p w:rsidR="00B60FBA" w:rsidRPr="00426A98" w:rsidRDefault="00B60FBA" w:rsidP="00742FA5">
      <w:pPr>
        <w:widowControl/>
        <w:rPr>
          <w:b/>
          <w:bCs/>
          <w:color w:val="000000"/>
          <w:sz w:val="20"/>
          <w:szCs w:val="20"/>
        </w:rPr>
      </w:pPr>
      <w:r w:rsidRPr="00426A98">
        <w:rPr>
          <w:b/>
          <w:bCs/>
          <w:color w:val="000000"/>
          <w:sz w:val="20"/>
          <w:szCs w:val="20"/>
        </w:rPr>
        <w:t>12.  Provide estimates of the hour burden of the collection of information.  The statement should:</w:t>
      </w:r>
    </w:p>
    <w:p w:rsidR="00B60FBA" w:rsidRPr="00426A98" w:rsidRDefault="00B60FBA" w:rsidP="00742FA5">
      <w:pPr>
        <w:widowControl/>
        <w:rPr>
          <w:b/>
          <w:bCs/>
          <w:color w:val="000000"/>
          <w:sz w:val="20"/>
          <w:szCs w:val="20"/>
        </w:rPr>
      </w:pPr>
    </w:p>
    <w:p w:rsidR="00B60FBA" w:rsidRPr="00426A98" w:rsidRDefault="00B60FBA" w:rsidP="00742FA5">
      <w:pPr>
        <w:pStyle w:val="Level1"/>
        <w:widowControl/>
        <w:numPr>
          <w:ilvl w:val="0"/>
          <w:numId w:val="3"/>
        </w:numPr>
        <w:outlineLvl w:val="9"/>
        <w:rPr>
          <w:b/>
          <w:bCs/>
          <w:color w:val="000000"/>
          <w:sz w:val="20"/>
          <w:szCs w:val="20"/>
        </w:rPr>
      </w:pPr>
      <w:r w:rsidRPr="00426A98">
        <w:rPr>
          <w:b/>
          <w:bCs/>
          <w:color w:val="000000"/>
          <w:sz w:val="20"/>
          <w:szCs w:val="2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t>
      </w:r>
      <w:r w:rsidR="00C94088" w:rsidRPr="00426A98">
        <w:rPr>
          <w:b/>
          <w:bCs/>
          <w:color w:val="000000"/>
          <w:sz w:val="20"/>
          <w:szCs w:val="20"/>
        </w:rPr>
        <w:t>widely because</w:t>
      </w:r>
      <w:r w:rsidRPr="00426A98">
        <w:rPr>
          <w:b/>
          <w:bCs/>
          <w:color w:val="000000"/>
          <w:sz w:val="20"/>
          <w:szCs w:val="20"/>
        </w:rPr>
        <w:t xml:space="preserve"> of differences in activity, size, or complexity, show the range of estimated hour burden, and explain the reasons for the variance.  Generally, estimates should not include burden hours for customary and usual business practices.</w:t>
      </w:r>
    </w:p>
    <w:p w:rsidR="00B60FBA" w:rsidRPr="00426A98" w:rsidRDefault="00B60FBA" w:rsidP="00742FA5">
      <w:pPr>
        <w:widowControl/>
        <w:rPr>
          <w:b/>
          <w:bCs/>
          <w:color w:val="000000"/>
          <w:sz w:val="20"/>
          <w:szCs w:val="20"/>
        </w:rPr>
      </w:pPr>
    </w:p>
    <w:p w:rsidR="00B60FBA" w:rsidRPr="00426A98" w:rsidRDefault="00B60FBA" w:rsidP="00742FA5">
      <w:pPr>
        <w:pStyle w:val="Level1"/>
        <w:widowControl/>
        <w:numPr>
          <w:ilvl w:val="0"/>
          <w:numId w:val="3"/>
        </w:numPr>
        <w:outlineLvl w:val="9"/>
        <w:rPr>
          <w:b/>
          <w:bCs/>
          <w:color w:val="000000"/>
          <w:sz w:val="20"/>
          <w:szCs w:val="20"/>
        </w:rPr>
      </w:pPr>
      <w:r w:rsidRPr="00426A98">
        <w:rPr>
          <w:b/>
          <w:bCs/>
          <w:color w:val="000000"/>
          <w:sz w:val="20"/>
          <w:szCs w:val="20"/>
        </w:rPr>
        <w:t>If this request for approval covers more than one form, provide separate hour burden estimates for each form.</w:t>
      </w:r>
    </w:p>
    <w:p w:rsidR="00B60FBA" w:rsidRPr="00426A98" w:rsidRDefault="00B60FBA" w:rsidP="00742FA5">
      <w:pPr>
        <w:widowControl/>
        <w:rPr>
          <w:b/>
          <w:bCs/>
          <w:color w:val="000000"/>
          <w:sz w:val="20"/>
          <w:szCs w:val="20"/>
        </w:rPr>
      </w:pPr>
    </w:p>
    <w:p w:rsidR="00B60FBA" w:rsidRPr="00426A98" w:rsidRDefault="00B60FBA" w:rsidP="00742FA5">
      <w:pPr>
        <w:pStyle w:val="Level1"/>
        <w:widowControl/>
        <w:numPr>
          <w:ilvl w:val="0"/>
          <w:numId w:val="3"/>
        </w:numPr>
        <w:outlineLvl w:val="9"/>
        <w:rPr>
          <w:b/>
          <w:bCs/>
          <w:color w:val="000000"/>
          <w:sz w:val="20"/>
          <w:szCs w:val="20"/>
        </w:rPr>
      </w:pPr>
      <w:r w:rsidRPr="00426A98">
        <w:rPr>
          <w:b/>
          <w:bCs/>
          <w:color w:val="000000"/>
          <w:sz w:val="20"/>
          <w:szCs w:val="20"/>
        </w:rPr>
        <w:t>Provide estimates of annualized cost to respondents for the hour burdens for collections of information, identifying and using appropriate wage</w:t>
      </w:r>
      <w:r w:rsidR="003028DC">
        <w:rPr>
          <w:b/>
          <w:bCs/>
          <w:color w:val="000000"/>
          <w:sz w:val="20"/>
          <w:szCs w:val="20"/>
        </w:rPr>
        <w:t xml:space="preserve"> </w:t>
      </w:r>
      <w:r w:rsidRPr="00426A98">
        <w:rPr>
          <w:b/>
          <w:bCs/>
          <w:color w:val="000000"/>
          <w:sz w:val="20"/>
          <w:szCs w:val="20"/>
        </w:rPr>
        <w:t>rate categories.</w:t>
      </w:r>
      <w:r w:rsidR="003028DC">
        <w:rPr>
          <w:b/>
          <w:bCs/>
          <w:color w:val="000000"/>
          <w:sz w:val="20"/>
          <w:szCs w:val="20"/>
        </w:rPr>
        <w:t xml:space="preserve">  The cost of contracting out or paying outside parties for information collection activities should not be included here.  Instead, this cost should be included in item 14.</w:t>
      </w:r>
    </w:p>
    <w:p w:rsidR="001C2018" w:rsidRDefault="001C2018" w:rsidP="006F183B">
      <w:pPr>
        <w:widowControl/>
        <w:rPr>
          <w:b/>
          <w:bCs/>
          <w:color w:val="000000"/>
        </w:rPr>
      </w:pPr>
    </w:p>
    <w:p w:rsidR="00B60FBA" w:rsidRPr="00426A98" w:rsidRDefault="00B60FBA" w:rsidP="00742FA5">
      <w:pPr>
        <w:widowControl/>
        <w:rPr>
          <w:color w:val="000000"/>
        </w:rPr>
      </w:pPr>
      <w:r w:rsidRPr="00426A98">
        <w:rPr>
          <w:b/>
          <w:bCs/>
          <w:color w:val="000000"/>
        </w:rPr>
        <w:t>Burden-Hour and Cost Determinations</w:t>
      </w:r>
    </w:p>
    <w:p w:rsidR="00426A98" w:rsidRDefault="00426A98" w:rsidP="00742FA5">
      <w:pPr>
        <w:widowControl/>
        <w:rPr>
          <w:color w:val="000000"/>
        </w:rPr>
      </w:pPr>
    </w:p>
    <w:p w:rsidR="00C40781" w:rsidRDefault="00C40781" w:rsidP="006F183B">
      <w:pPr>
        <w:widowControl/>
        <w:rPr>
          <w:color w:val="000000"/>
          <w:szCs w:val="22"/>
        </w:rPr>
      </w:pPr>
      <w:r w:rsidRPr="00C40781">
        <w:rPr>
          <w:color w:val="000000"/>
          <w:szCs w:val="22"/>
        </w:rPr>
        <w:t xml:space="preserve">Estimates of the burden hours for each </w:t>
      </w:r>
      <w:r w:rsidR="00BE21F2">
        <w:rPr>
          <w:color w:val="000000"/>
          <w:szCs w:val="22"/>
        </w:rPr>
        <w:t xml:space="preserve">collection of information </w:t>
      </w:r>
      <w:r w:rsidRPr="00C40781">
        <w:rPr>
          <w:color w:val="000000"/>
          <w:szCs w:val="22"/>
        </w:rPr>
        <w:t xml:space="preserve">requirement are shown below. Information regarding the number of permit spaces, establishments with permit spaces, </w:t>
      </w:r>
      <w:r w:rsidR="00234F5C" w:rsidRPr="00C40781">
        <w:rPr>
          <w:color w:val="000000"/>
          <w:szCs w:val="22"/>
        </w:rPr>
        <w:t>and permit</w:t>
      </w:r>
      <w:r w:rsidRPr="00C40781">
        <w:rPr>
          <w:color w:val="000000"/>
          <w:szCs w:val="22"/>
        </w:rPr>
        <w:t xml:space="preserve"> space entrants </w:t>
      </w:r>
      <w:r w:rsidR="00FE161F">
        <w:rPr>
          <w:color w:val="000000"/>
          <w:szCs w:val="22"/>
        </w:rPr>
        <w:t>were based on information</w:t>
      </w:r>
      <w:r w:rsidRPr="00C40781">
        <w:rPr>
          <w:color w:val="000000"/>
          <w:szCs w:val="22"/>
        </w:rPr>
        <w:t xml:space="preserve"> derived from Table II-1 of the Final Regulatory Impact Analysis and Regulatory Flexibility Analysis (RIA) of the final Permit-Required Confined Space Standard (58 FR 4542</w:t>
      </w:r>
      <w:r w:rsidR="003F6AA7">
        <w:rPr>
          <w:color w:val="000000"/>
          <w:szCs w:val="22"/>
        </w:rPr>
        <w:t xml:space="preserve">, </w:t>
      </w:r>
      <w:r w:rsidR="00FC7583">
        <w:rPr>
          <w:color w:val="000000"/>
          <w:szCs w:val="22"/>
        </w:rPr>
        <w:t>January 14, 1993</w:t>
      </w:r>
      <w:r w:rsidRPr="00C40781">
        <w:rPr>
          <w:color w:val="000000"/>
          <w:szCs w:val="22"/>
        </w:rPr>
        <w:t>).</w:t>
      </w:r>
    </w:p>
    <w:p w:rsidR="00FE161F" w:rsidRDefault="00FE161F" w:rsidP="006F183B">
      <w:pPr>
        <w:widowControl/>
        <w:rPr>
          <w:color w:val="000000"/>
          <w:szCs w:val="22"/>
        </w:rPr>
      </w:pPr>
    </w:p>
    <w:p w:rsidR="003F6AA7" w:rsidRPr="00C40781" w:rsidRDefault="00FE161F" w:rsidP="006F183B">
      <w:pPr>
        <w:widowControl/>
        <w:rPr>
          <w:color w:val="000000"/>
          <w:szCs w:val="22"/>
        </w:rPr>
      </w:pPr>
      <w:r>
        <w:rPr>
          <w:color w:val="000000"/>
          <w:szCs w:val="22"/>
        </w:rPr>
        <w:t xml:space="preserve">First, the Agency determined the ratio between the </w:t>
      </w:r>
      <w:r w:rsidR="00234F5C">
        <w:rPr>
          <w:color w:val="000000"/>
          <w:szCs w:val="22"/>
        </w:rPr>
        <w:t>numbers</w:t>
      </w:r>
      <w:r>
        <w:rPr>
          <w:color w:val="000000"/>
          <w:szCs w:val="22"/>
        </w:rPr>
        <w:t xml:space="preserve"> of establishments with permit spaces</w:t>
      </w:r>
      <w:r w:rsidR="00FC7583">
        <w:rPr>
          <w:color w:val="000000"/>
          <w:szCs w:val="22"/>
        </w:rPr>
        <w:t>,</w:t>
      </w:r>
      <w:r>
        <w:rPr>
          <w:color w:val="000000"/>
          <w:szCs w:val="22"/>
        </w:rPr>
        <w:t xml:space="preserve"> </w:t>
      </w:r>
      <w:r w:rsidR="00F71E14">
        <w:rPr>
          <w:color w:val="000000"/>
          <w:szCs w:val="22"/>
        </w:rPr>
        <w:t xml:space="preserve">number of </w:t>
      </w:r>
      <w:r w:rsidR="00234F5C">
        <w:rPr>
          <w:color w:val="000000"/>
          <w:szCs w:val="22"/>
        </w:rPr>
        <w:t xml:space="preserve">permit spaces, </w:t>
      </w:r>
      <w:r>
        <w:rPr>
          <w:color w:val="000000"/>
          <w:szCs w:val="22"/>
        </w:rPr>
        <w:t xml:space="preserve">and </w:t>
      </w:r>
      <w:r w:rsidR="00F71E14">
        <w:rPr>
          <w:color w:val="000000"/>
          <w:szCs w:val="22"/>
        </w:rPr>
        <w:t xml:space="preserve">number of </w:t>
      </w:r>
      <w:r>
        <w:rPr>
          <w:color w:val="000000"/>
          <w:szCs w:val="22"/>
        </w:rPr>
        <w:t xml:space="preserve">permit space </w:t>
      </w:r>
      <w:r w:rsidR="00FC7583">
        <w:rPr>
          <w:color w:val="000000"/>
          <w:szCs w:val="22"/>
        </w:rPr>
        <w:t>entrants in the 1993</w:t>
      </w:r>
      <w:r>
        <w:rPr>
          <w:color w:val="000000"/>
          <w:szCs w:val="22"/>
        </w:rPr>
        <w:t xml:space="preserve"> Analysis</w:t>
      </w:r>
      <w:r w:rsidR="00234F5C">
        <w:rPr>
          <w:color w:val="000000"/>
          <w:szCs w:val="22"/>
        </w:rPr>
        <w:t xml:space="preserve"> </w:t>
      </w:r>
      <w:r w:rsidR="008661AE" w:rsidRPr="008661AE">
        <w:t xml:space="preserve">and </w:t>
      </w:r>
      <w:r w:rsidR="00234F5C">
        <w:t xml:space="preserve">then </w:t>
      </w:r>
      <w:r w:rsidR="008661AE" w:rsidRPr="008661AE">
        <w:t>applied this ratio to update the numbers</w:t>
      </w:r>
      <w:r w:rsidR="00234F5C">
        <w:t xml:space="preserve"> of establishments with permit spaces and permit space entrants</w:t>
      </w:r>
      <w:r w:rsidR="008661AE">
        <w:t>.</w:t>
      </w:r>
      <w:r w:rsidR="00234F5C">
        <w:t xml:space="preserve">  </w:t>
      </w:r>
      <w:r w:rsidR="008661AE">
        <w:t xml:space="preserve">Second, OSHA updated the Standard Industrial Classification (SIC) Codes </w:t>
      </w:r>
      <w:r w:rsidR="00234F5C">
        <w:t xml:space="preserve">used in the 1993 Analysis </w:t>
      </w:r>
      <w:r w:rsidR="008661AE">
        <w:t>to the North American Industry Classification System (NAICS)</w:t>
      </w:r>
      <w:r w:rsidR="003F6AA7">
        <w:t xml:space="preserve"> codes</w:t>
      </w:r>
      <w:r w:rsidR="00234F5C" w:rsidRPr="00C40781">
        <w:rPr>
          <w:rStyle w:val="FootnoteReference"/>
          <w:szCs w:val="22"/>
          <w:vertAlign w:val="superscript"/>
        </w:rPr>
        <w:footnoteReference w:id="16"/>
      </w:r>
      <w:r w:rsidR="003F6AA7">
        <w:t xml:space="preserve">; then used the number </w:t>
      </w:r>
      <w:r w:rsidR="00FC7583">
        <w:t xml:space="preserve">from the </w:t>
      </w:r>
      <w:r w:rsidR="00D1269D">
        <w:t xml:space="preserve">U.S. Census Bureau’s 2011 County Business Patterns Survey </w:t>
      </w:r>
      <w:r w:rsidR="003F6AA7">
        <w:t xml:space="preserve">to determine the number of </w:t>
      </w:r>
      <w:r w:rsidR="00234F5C">
        <w:t xml:space="preserve">new </w:t>
      </w:r>
      <w:r w:rsidR="003F6AA7">
        <w:t>establishments.</w:t>
      </w:r>
      <w:r w:rsidR="00234F5C">
        <w:t xml:space="preserve">  </w:t>
      </w:r>
      <w:r w:rsidR="00FC7583">
        <w:t>Third</w:t>
      </w:r>
      <w:r w:rsidR="003F6AA7">
        <w:t xml:space="preserve">, OSHA applied the ratio from the 1993 Analysis to the new establishments to arrive at new estimates for the number of </w:t>
      </w:r>
      <w:r w:rsidR="003F6AA7">
        <w:rPr>
          <w:color w:val="000000"/>
          <w:szCs w:val="22"/>
        </w:rPr>
        <w:t>permit spaces, establishments with permit spaces</w:t>
      </w:r>
      <w:r w:rsidR="00FC7583">
        <w:rPr>
          <w:color w:val="000000"/>
          <w:szCs w:val="22"/>
        </w:rPr>
        <w:t>,</w:t>
      </w:r>
      <w:r w:rsidR="003F6AA7">
        <w:rPr>
          <w:color w:val="000000"/>
          <w:szCs w:val="22"/>
        </w:rPr>
        <w:t xml:space="preserve"> and permit space entrants.</w:t>
      </w:r>
    </w:p>
    <w:p w:rsidR="00C40781" w:rsidRPr="00C40781" w:rsidRDefault="00C40781" w:rsidP="006F183B">
      <w:pPr>
        <w:widowControl/>
        <w:rPr>
          <w:color w:val="000000"/>
          <w:szCs w:val="22"/>
        </w:rPr>
      </w:pPr>
    </w:p>
    <w:p w:rsidR="00C40781" w:rsidRPr="00C40781" w:rsidRDefault="00C40781" w:rsidP="006F183B">
      <w:pPr>
        <w:widowControl/>
        <w:rPr>
          <w:color w:val="000000"/>
          <w:szCs w:val="22"/>
        </w:rPr>
      </w:pPr>
      <w:r w:rsidRPr="00C40781">
        <w:rPr>
          <w:szCs w:val="22"/>
        </w:rPr>
        <w:lastRenderedPageBreak/>
        <w:t xml:space="preserve">The following hourly wage rates for the relevant occupational categories have been derived from the </w:t>
      </w:r>
      <w:r w:rsidRPr="00FE2D52">
        <w:rPr>
          <w:i/>
          <w:szCs w:val="22"/>
        </w:rPr>
        <w:t>National Compensation Survey</w:t>
      </w:r>
      <w:r w:rsidRPr="00FE2D52">
        <w:rPr>
          <w:szCs w:val="22"/>
        </w:rPr>
        <w:t xml:space="preserve"> (NCS)</w:t>
      </w:r>
      <w:r w:rsidRPr="008C492E">
        <w:rPr>
          <w:szCs w:val="22"/>
        </w:rPr>
        <w:t>,</w:t>
      </w:r>
      <w:r w:rsidRPr="00C40781">
        <w:rPr>
          <w:szCs w:val="22"/>
        </w:rPr>
        <w:t xml:space="preserve"> published by the Bureau of Labor Statistics.</w:t>
      </w:r>
      <w:r w:rsidRPr="00185059">
        <w:rPr>
          <w:rStyle w:val="FootnoteReference"/>
          <w:sz w:val="22"/>
          <w:szCs w:val="22"/>
          <w:vertAlign w:val="superscript"/>
        </w:rPr>
        <w:footnoteReference w:id="17"/>
      </w:r>
      <w:r w:rsidRPr="00C40781">
        <w:rPr>
          <w:color w:val="000000"/>
          <w:szCs w:val="22"/>
        </w:rPr>
        <w:t xml:space="preserve"> </w:t>
      </w:r>
      <w:r w:rsidR="00185059">
        <w:rPr>
          <w:color w:val="000000"/>
          <w:szCs w:val="22"/>
        </w:rPr>
        <w:t xml:space="preserve"> </w:t>
      </w:r>
      <w:r w:rsidRPr="00C40781">
        <w:rPr>
          <w:szCs w:val="22"/>
        </w:rPr>
        <w:t xml:space="preserve">These wages have been adjusted to reflect the fact that fringe benefits comprise </w:t>
      </w:r>
      <w:r w:rsidRPr="00F71E14">
        <w:rPr>
          <w:szCs w:val="22"/>
        </w:rPr>
        <w:t xml:space="preserve">roughly </w:t>
      </w:r>
      <w:r w:rsidR="0004029C">
        <w:rPr>
          <w:szCs w:val="22"/>
        </w:rPr>
        <w:t xml:space="preserve">30.6 </w:t>
      </w:r>
      <w:r w:rsidRPr="00F71E14">
        <w:rPr>
          <w:szCs w:val="22"/>
        </w:rPr>
        <w:t>percent</w:t>
      </w:r>
      <w:r w:rsidRPr="00C40781">
        <w:rPr>
          <w:szCs w:val="22"/>
        </w:rPr>
        <w:t xml:space="preserve"> of total employee compensation in the private sector.</w:t>
      </w:r>
      <w:r w:rsidRPr="00185059">
        <w:rPr>
          <w:rStyle w:val="FootnoteReference"/>
          <w:sz w:val="22"/>
          <w:szCs w:val="22"/>
          <w:vertAlign w:val="superscript"/>
        </w:rPr>
        <w:footnoteReference w:id="18"/>
      </w:r>
      <w:r w:rsidRPr="00C40781">
        <w:rPr>
          <w:szCs w:val="22"/>
        </w:rPr>
        <w:t xml:space="preserve"> </w:t>
      </w:r>
      <w:r w:rsidR="00185059">
        <w:rPr>
          <w:szCs w:val="22"/>
        </w:rPr>
        <w:t xml:space="preserve"> </w:t>
      </w:r>
      <w:r w:rsidRPr="00C40781">
        <w:rPr>
          <w:szCs w:val="22"/>
        </w:rPr>
        <w:t>The costs of labor used in this analysis are</w:t>
      </w:r>
      <w:r w:rsidR="00185059">
        <w:rPr>
          <w:szCs w:val="22"/>
        </w:rPr>
        <w:t>;</w:t>
      </w:r>
      <w:r w:rsidRPr="00C40781">
        <w:rPr>
          <w:szCs w:val="22"/>
        </w:rPr>
        <w:t xml:space="preserve"> therefore</w:t>
      </w:r>
      <w:r w:rsidR="00185059">
        <w:rPr>
          <w:szCs w:val="22"/>
        </w:rPr>
        <w:t>,</w:t>
      </w:r>
      <w:r w:rsidRPr="00C40781">
        <w:rPr>
          <w:szCs w:val="22"/>
        </w:rPr>
        <w:t xml:space="preserve"> estimates of total hourly compensation. These hourly wages are:</w:t>
      </w:r>
    </w:p>
    <w:p w:rsidR="00C40781" w:rsidRPr="00C40781" w:rsidRDefault="00C40781" w:rsidP="006F183B">
      <w:pPr>
        <w:widowControl/>
        <w:rPr>
          <w:color w:val="000000"/>
          <w:szCs w:val="22"/>
        </w:rPr>
      </w:pPr>
    </w:p>
    <w:p w:rsidR="00C40781" w:rsidRPr="004A2EE8" w:rsidRDefault="00C40781" w:rsidP="006F183B">
      <w:pPr>
        <w:widowControl/>
        <w:numPr>
          <w:ilvl w:val="0"/>
          <w:numId w:val="5"/>
        </w:numPr>
        <w:rPr>
          <w:szCs w:val="22"/>
        </w:rPr>
      </w:pPr>
      <w:r w:rsidRPr="00C40781">
        <w:rPr>
          <w:color w:val="000000"/>
          <w:szCs w:val="22"/>
        </w:rPr>
        <w:t>Professional and/or Manager:</w:t>
      </w:r>
      <w:r w:rsidRPr="00C40781">
        <w:rPr>
          <w:color w:val="000000"/>
          <w:szCs w:val="22"/>
        </w:rPr>
        <w:tab/>
      </w:r>
      <w:r w:rsidRPr="004A2EE8">
        <w:rPr>
          <w:szCs w:val="22"/>
        </w:rPr>
        <w:t>$</w:t>
      </w:r>
      <w:r w:rsidR="00D66D54">
        <w:rPr>
          <w:szCs w:val="22"/>
        </w:rPr>
        <w:t>57.8</w:t>
      </w:r>
      <w:r w:rsidR="008C492E">
        <w:rPr>
          <w:szCs w:val="22"/>
        </w:rPr>
        <w:t>7</w:t>
      </w:r>
      <w:r w:rsidRPr="004A2EE8">
        <w:rPr>
          <w:rStyle w:val="FootnoteReference"/>
          <w:sz w:val="22"/>
          <w:szCs w:val="22"/>
          <w:vertAlign w:val="superscript"/>
        </w:rPr>
        <w:footnoteReference w:id="19"/>
      </w:r>
    </w:p>
    <w:p w:rsidR="00C40781" w:rsidRPr="004A2EE8" w:rsidRDefault="00C40781" w:rsidP="006F183B">
      <w:pPr>
        <w:widowControl/>
        <w:numPr>
          <w:ilvl w:val="0"/>
          <w:numId w:val="5"/>
        </w:numPr>
        <w:rPr>
          <w:szCs w:val="22"/>
        </w:rPr>
      </w:pPr>
      <w:r w:rsidRPr="004A2EE8">
        <w:rPr>
          <w:szCs w:val="22"/>
        </w:rPr>
        <w:t>Secretary:</w:t>
      </w:r>
      <w:r w:rsidRPr="004A2EE8">
        <w:rPr>
          <w:szCs w:val="22"/>
        </w:rPr>
        <w:tab/>
      </w:r>
      <w:r w:rsidRPr="004A2EE8">
        <w:rPr>
          <w:szCs w:val="22"/>
        </w:rPr>
        <w:tab/>
      </w:r>
      <w:r w:rsidRPr="004A2EE8">
        <w:rPr>
          <w:szCs w:val="22"/>
        </w:rPr>
        <w:tab/>
      </w:r>
      <w:r w:rsidRPr="004A2EE8">
        <w:rPr>
          <w:szCs w:val="22"/>
        </w:rPr>
        <w:tab/>
        <w:t>$</w:t>
      </w:r>
      <w:r w:rsidR="008C492E">
        <w:rPr>
          <w:szCs w:val="22"/>
        </w:rPr>
        <w:t>27.31</w:t>
      </w:r>
      <w:r w:rsidRPr="004A2EE8">
        <w:rPr>
          <w:rStyle w:val="FootnoteReference"/>
          <w:sz w:val="22"/>
          <w:szCs w:val="22"/>
          <w:vertAlign w:val="superscript"/>
        </w:rPr>
        <w:footnoteReference w:id="20"/>
      </w:r>
    </w:p>
    <w:p w:rsidR="00C40781" w:rsidRPr="004A2EE8" w:rsidRDefault="00C40781" w:rsidP="006F183B">
      <w:pPr>
        <w:widowControl/>
        <w:numPr>
          <w:ilvl w:val="0"/>
          <w:numId w:val="5"/>
        </w:numPr>
        <w:rPr>
          <w:szCs w:val="22"/>
        </w:rPr>
      </w:pPr>
      <w:r w:rsidRPr="004A2EE8">
        <w:rPr>
          <w:szCs w:val="22"/>
        </w:rPr>
        <w:t>Non-supervisory laborer:</w:t>
      </w:r>
      <w:r w:rsidRPr="004A2EE8">
        <w:rPr>
          <w:szCs w:val="22"/>
        </w:rPr>
        <w:tab/>
      </w:r>
      <w:r w:rsidRPr="004A2EE8">
        <w:rPr>
          <w:szCs w:val="22"/>
        </w:rPr>
        <w:tab/>
        <w:t>$</w:t>
      </w:r>
      <w:r w:rsidR="008C492E">
        <w:rPr>
          <w:szCs w:val="22"/>
        </w:rPr>
        <w:t>23.48</w:t>
      </w:r>
      <w:r w:rsidRPr="004A2EE8">
        <w:rPr>
          <w:rStyle w:val="FootnoteReference"/>
          <w:sz w:val="22"/>
          <w:szCs w:val="22"/>
          <w:vertAlign w:val="superscript"/>
        </w:rPr>
        <w:footnoteReference w:id="21"/>
      </w:r>
    </w:p>
    <w:p w:rsidR="00C40781" w:rsidRPr="004A2EE8" w:rsidRDefault="00C40781" w:rsidP="006F183B">
      <w:pPr>
        <w:widowControl/>
        <w:rPr>
          <w:szCs w:val="22"/>
        </w:rPr>
      </w:pPr>
    </w:p>
    <w:p w:rsidR="00FE161F" w:rsidRPr="004A2EE8" w:rsidRDefault="00C40781" w:rsidP="006F183B">
      <w:pPr>
        <w:pStyle w:val="Level1"/>
        <w:widowControl/>
        <w:numPr>
          <w:ilvl w:val="0"/>
          <w:numId w:val="1"/>
        </w:numPr>
        <w:ind w:hanging="720"/>
        <w:rPr>
          <w:b/>
          <w:szCs w:val="22"/>
        </w:rPr>
      </w:pPr>
      <w:r w:rsidRPr="004A2EE8">
        <w:rPr>
          <w:b/>
          <w:szCs w:val="22"/>
        </w:rPr>
        <w:t>Preparation of a "Danger--Permit Required Confined Space" Sign</w:t>
      </w:r>
    </w:p>
    <w:p w:rsidR="00C40781" w:rsidRPr="004A2EE8" w:rsidRDefault="00C40781" w:rsidP="006F183B">
      <w:pPr>
        <w:pStyle w:val="Level1"/>
        <w:widowControl/>
        <w:numPr>
          <w:ilvl w:val="0"/>
          <w:numId w:val="0"/>
        </w:numPr>
        <w:ind w:firstLine="720"/>
        <w:rPr>
          <w:b/>
          <w:szCs w:val="22"/>
        </w:rPr>
      </w:pPr>
      <w:r w:rsidRPr="004A2EE8">
        <w:rPr>
          <w:b/>
          <w:szCs w:val="22"/>
        </w:rPr>
        <w:t>(§ 1910.146(c)(2))</w:t>
      </w:r>
    </w:p>
    <w:p w:rsidR="00C40781" w:rsidRPr="004A2EE8" w:rsidRDefault="00C40781" w:rsidP="006F183B">
      <w:pPr>
        <w:widowControl/>
        <w:rPr>
          <w:szCs w:val="22"/>
        </w:rPr>
      </w:pPr>
    </w:p>
    <w:p w:rsidR="00C40781" w:rsidRPr="00C40781" w:rsidRDefault="00C40781" w:rsidP="006F183B">
      <w:pPr>
        <w:widowControl/>
        <w:rPr>
          <w:szCs w:val="22"/>
        </w:rPr>
      </w:pPr>
      <w:r w:rsidRPr="004A2EE8">
        <w:rPr>
          <w:szCs w:val="22"/>
        </w:rPr>
        <w:t>OSHA estimate</w:t>
      </w:r>
      <w:r w:rsidR="008551E0" w:rsidRPr="004A2EE8">
        <w:rPr>
          <w:szCs w:val="22"/>
        </w:rPr>
        <w:t>s</w:t>
      </w:r>
      <w:r w:rsidRPr="004A2EE8">
        <w:rPr>
          <w:szCs w:val="22"/>
        </w:rPr>
        <w:t xml:space="preserve"> that approximately </w:t>
      </w:r>
      <w:r w:rsidR="00D1269D" w:rsidRPr="00D1269D">
        <w:rPr>
          <w:bCs/>
        </w:rPr>
        <w:t>4,483,473</w:t>
      </w:r>
      <w:r w:rsidR="00D1269D">
        <w:rPr>
          <w:b/>
          <w:bCs/>
        </w:rPr>
        <w:t xml:space="preserve"> </w:t>
      </w:r>
      <w:r w:rsidRPr="004A2EE8">
        <w:rPr>
          <w:szCs w:val="22"/>
        </w:rPr>
        <w:t>permit spaces are entered annually, half of which (</w:t>
      </w:r>
      <w:r w:rsidR="008A5411">
        <w:rPr>
          <w:szCs w:val="22"/>
        </w:rPr>
        <w:t>2,241,737</w:t>
      </w:r>
      <w:r w:rsidRPr="004A2EE8">
        <w:rPr>
          <w:szCs w:val="22"/>
        </w:rPr>
        <w:t>) are susceptible to inadvertent entry and, therefore</w:t>
      </w:r>
      <w:r w:rsidRPr="00C40781">
        <w:rPr>
          <w:szCs w:val="22"/>
        </w:rPr>
        <w:t>, must be marked by a warning sign.  Signs are expected to last five years (average</w:t>
      </w:r>
      <w:r w:rsidR="00185059">
        <w:rPr>
          <w:szCs w:val="22"/>
        </w:rPr>
        <w:t>d</w:t>
      </w:r>
      <w:r w:rsidRPr="00C40781">
        <w:rPr>
          <w:szCs w:val="22"/>
        </w:rPr>
        <w:t xml:space="preserve"> out to an annual rate of 20 percent). </w:t>
      </w:r>
      <w:r w:rsidR="00185059">
        <w:rPr>
          <w:szCs w:val="22"/>
        </w:rPr>
        <w:t xml:space="preserve"> </w:t>
      </w:r>
    </w:p>
    <w:p w:rsidR="00C40781" w:rsidRPr="00C40781" w:rsidRDefault="00C40781" w:rsidP="006F183B">
      <w:pPr>
        <w:widowControl/>
        <w:rPr>
          <w:szCs w:val="22"/>
        </w:rPr>
      </w:pPr>
    </w:p>
    <w:p w:rsidR="00C40781" w:rsidRPr="00C40781" w:rsidRDefault="00C40781" w:rsidP="006F183B">
      <w:pPr>
        <w:widowControl/>
        <w:rPr>
          <w:szCs w:val="22"/>
        </w:rPr>
      </w:pPr>
      <w:r w:rsidRPr="00C40781">
        <w:rPr>
          <w:szCs w:val="22"/>
        </w:rPr>
        <w:t xml:space="preserve">The language for the required warning sign is provided by the Standard (i.e., “Danger–Permit-Required Confined Space. </w:t>
      </w:r>
      <w:r w:rsidR="00185059">
        <w:rPr>
          <w:szCs w:val="22"/>
        </w:rPr>
        <w:t xml:space="preserve"> </w:t>
      </w:r>
      <w:r w:rsidRPr="00C40781">
        <w:rPr>
          <w:szCs w:val="22"/>
        </w:rPr>
        <w:t>Do Not Enter”)</w:t>
      </w:r>
      <w:r w:rsidR="00185059">
        <w:rPr>
          <w:szCs w:val="22"/>
        </w:rPr>
        <w:t xml:space="preserve">. </w:t>
      </w:r>
      <w:r w:rsidRPr="00C40781">
        <w:rPr>
          <w:szCs w:val="22"/>
        </w:rPr>
        <w:t xml:space="preserve"> Therefore, in accordance with Section 1320.3(c)(2) of </w:t>
      </w:r>
      <w:r w:rsidR="00185059">
        <w:rPr>
          <w:szCs w:val="22"/>
        </w:rPr>
        <w:t>the Paperwork Reduction Act of 1995 (</w:t>
      </w:r>
      <w:r w:rsidRPr="00C40781">
        <w:rPr>
          <w:szCs w:val="22"/>
        </w:rPr>
        <w:t>PRA-95</w:t>
      </w:r>
      <w:r w:rsidR="00185059">
        <w:rPr>
          <w:szCs w:val="22"/>
        </w:rPr>
        <w:t>)</w:t>
      </w:r>
      <w:r w:rsidRPr="00C40781">
        <w:rPr>
          <w:szCs w:val="22"/>
        </w:rPr>
        <w:t xml:space="preserve">, this requirement does not fall within the definition of a collection of information. </w:t>
      </w:r>
      <w:r w:rsidR="00185059">
        <w:rPr>
          <w:szCs w:val="22"/>
        </w:rPr>
        <w:t xml:space="preserve"> </w:t>
      </w:r>
      <w:r w:rsidRPr="00C40781">
        <w:rPr>
          <w:szCs w:val="22"/>
        </w:rPr>
        <w:t xml:space="preserve">However, OSHA allows the employer to use </w:t>
      </w:r>
      <w:r w:rsidR="00391B80">
        <w:rPr>
          <w:szCs w:val="22"/>
        </w:rPr>
        <w:t>“</w:t>
      </w:r>
      <w:r w:rsidRPr="00C40781">
        <w:rPr>
          <w:szCs w:val="22"/>
        </w:rPr>
        <w:t>similar</w:t>
      </w:r>
      <w:r w:rsidR="00391B80">
        <w:rPr>
          <w:szCs w:val="22"/>
        </w:rPr>
        <w:t>”</w:t>
      </w:r>
      <w:r w:rsidRPr="00C40781">
        <w:rPr>
          <w:szCs w:val="22"/>
        </w:rPr>
        <w:t xml:space="preserve"> language on the warning sign if desired. </w:t>
      </w:r>
      <w:r w:rsidR="00185059">
        <w:rPr>
          <w:szCs w:val="22"/>
        </w:rPr>
        <w:t xml:space="preserve"> </w:t>
      </w:r>
      <w:r w:rsidRPr="00C40781">
        <w:rPr>
          <w:szCs w:val="22"/>
        </w:rPr>
        <w:t>The Agency believes an employer would only rarely opt for the similar language</w:t>
      </w:r>
      <w:r w:rsidR="00185059">
        <w:rPr>
          <w:szCs w:val="22"/>
        </w:rPr>
        <w:t>;</w:t>
      </w:r>
      <w:r w:rsidRPr="00C40781">
        <w:rPr>
          <w:szCs w:val="22"/>
        </w:rPr>
        <w:t xml:space="preserve"> therefore, for purposes of this </w:t>
      </w:r>
      <w:r w:rsidR="00391B80">
        <w:rPr>
          <w:szCs w:val="22"/>
        </w:rPr>
        <w:t>s</w:t>
      </w:r>
      <w:r w:rsidRPr="00C40781">
        <w:rPr>
          <w:szCs w:val="22"/>
        </w:rPr>
        <w:t xml:space="preserve">upporting </w:t>
      </w:r>
      <w:r w:rsidR="00391B80">
        <w:rPr>
          <w:szCs w:val="22"/>
        </w:rPr>
        <w:t>s</w:t>
      </w:r>
      <w:r w:rsidRPr="00C40781">
        <w:rPr>
          <w:szCs w:val="22"/>
        </w:rPr>
        <w:t>tatement, OSHA estimates that 2 percent of the susceptible spaces will include a warning sign with language other than that provided by OSHA.</w:t>
      </w:r>
      <w:r w:rsidR="00391B80">
        <w:rPr>
          <w:szCs w:val="22"/>
        </w:rPr>
        <w:t xml:space="preserve">  </w:t>
      </w:r>
      <w:r w:rsidR="00391B80" w:rsidRPr="00C40781">
        <w:rPr>
          <w:szCs w:val="22"/>
        </w:rPr>
        <w:t xml:space="preserve">OSHA estimates that it takes five minutes (.08 hour) for </w:t>
      </w:r>
      <w:r w:rsidR="00391B80">
        <w:rPr>
          <w:szCs w:val="22"/>
        </w:rPr>
        <w:t xml:space="preserve">a </w:t>
      </w:r>
      <w:r w:rsidR="00391B80" w:rsidRPr="00C40781">
        <w:rPr>
          <w:szCs w:val="22"/>
        </w:rPr>
        <w:t>laborer to make up the language for these signs.</w:t>
      </w:r>
    </w:p>
    <w:p w:rsidR="00C40781" w:rsidRPr="00C40781" w:rsidRDefault="00C40781" w:rsidP="006F183B">
      <w:pPr>
        <w:widowControl/>
        <w:rPr>
          <w:szCs w:val="22"/>
        </w:rPr>
      </w:pPr>
    </w:p>
    <w:p w:rsidR="00C40781" w:rsidRPr="004A2EE8" w:rsidRDefault="00C40781" w:rsidP="006F183B">
      <w:pPr>
        <w:widowControl/>
        <w:ind w:left="720" w:firstLine="720"/>
        <w:rPr>
          <w:szCs w:val="22"/>
        </w:rPr>
      </w:pPr>
      <w:r w:rsidRPr="00C40781">
        <w:rPr>
          <w:szCs w:val="22"/>
        </w:rPr>
        <w:t>Burden hours:</w:t>
      </w:r>
      <w:r w:rsidRPr="00C40781">
        <w:rPr>
          <w:szCs w:val="22"/>
        </w:rPr>
        <w:tab/>
      </w:r>
      <w:r w:rsidR="008A5411">
        <w:rPr>
          <w:szCs w:val="22"/>
        </w:rPr>
        <w:t xml:space="preserve">2,241,737 </w:t>
      </w:r>
      <w:r w:rsidRPr="004A2EE8">
        <w:rPr>
          <w:szCs w:val="22"/>
        </w:rPr>
        <w:t xml:space="preserve">spaces × .02 × .20 × .08 hour = </w:t>
      </w:r>
      <w:r w:rsidR="000B5299">
        <w:rPr>
          <w:szCs w:val="22"/>
        </w:rPr>
        <w:t>717</w:t>
      </w:r>
      <w:r w:rsidR="0057551C" w:rsidRPr="004A2EE8">
        <w:rPr>
          <w:szCs w:val="22"/>
        </w:rPr>
        <w:t xml:space="preserve"> </w:t>
      </w:r>
      <w:r w:rsidRPr="004A2EE8">
        <w:rPr>
          <w:szCs w:val="22"/>
        </w:rPr>
        <w:t xml:space="preserve">hours </w:t>
      </w:r>
    </w:p>
    <w:p w:rsidR="00C40781" w:rsidRPr="004A2EE8" w:rsidRDefault="00185059" w:rsidP="006F183B">
      <w:pPr>
        <w:widowControl/>
        <w:ind w:left="720" w:firstLine="720"/>
        <w:rPr>
          <w:szCs w:val="22"/>
        </w:rPr>
      </w:pPr>
      <w:r w:rsidRPr="004A2EE8">
        <w:rPr>
          <w:szCs w:val="22"/>
        </w:rPr>
        <w:t xml:space="preserve">              </w:t>
      </w:r>
      <w:r w:rsidR="00C40781" w:rsidRPr="004A2EE8">
        <w:rPr>
          <w:szCs w:val="22"/>
        </w:rPr>
        <w:t>Cost:</w:t>
      </w:r>
      <w:r w:rsidR="00C40781" w:rsidRPr="004A2EE8">
        <w:rPr>
          <w:szCs w:val="22"/>
        </w:rPr>
        <w:tab/>
      </w:r>
      <w:r w:rsidR="000B5299">
        <w:rPr>
          <w:szCs w:val="22"/>
        </w:rPr>
        <w:t xml:space="preserve">717 </w:t>
      </w:r>
      <w:r w:rsidR="00C40781" w:rsidRPr="004A2EE8">
        <w:rPr>
          <w:szCs w:val="22"/>
        </w:rPr>
        <w:t xml:space="preserve">hours × </w:t>
      </w:r>
      <w:r w:rsidR="008C492E">
        <w:rPr>
          <w:szCs w:val="22"/>
        </w:rPr>
        <w:t>$23.48</w:t>
      </w:r>
      <w:r w:rsidR="00C40781" w:rsidRPr="004A2EE8">
        <w:rPr>
          <w:szCs w:val="22"/>
        </w:rPr>
        <w:t xml:space="preserve"> = $</w:t>
      </w:r>
      <w:r w:rsidR="008C492E">
        <w:rPr>
          <w:szCs w:val="22"/>
        </w:rPr>
        <w:t>16,83</w:t>
      </w:r>
      <w:r w:rsidR="00645B62">
        <w:rPr>
          <w:szCs w:val="22"/>
        </w:rPr>
        <w:t>5</w:t>
      </w:r>
    </w:p>
    <w:p w:rsidR="003F6AA7" w:rsidRPr="004A2EE8" w:rsidRDefault="003F6AA7" w:rsidP="006F183B">
      <w:pPr>
        <w:widowControl/>
        <w:rPr>
          <w:bCs/>
          <w:szCs w:val="22"/>
        </w:rPr>
      </w:pPr>
    </w:p>
    <w:p w:rsidR="004D3C43" w:rsidRPr="004A2EE8" w:rsidRDefault="00C40781" w:rsidP="006F183B">
      <w:pPr>
        <w:widowControl/>
        <w:rPr>
          <w:b/>
          <w:bCs/>
          <w:szCs w:val="22"/>
        </w:rPr>
      </w:pPr>
      <w:r w:rsidRPr="004A2EE8">
        <w:rPr>
          <w:bCs/>
          <w:szCs w:val="22"/>
        </w:rPr>
        <w:lastRenderedPageBreak/>
        <w:t>(B)</w:t>
      </w:r>
      <w:r w:rsidR="00FE2D52">
        <w:rPr>
          <w:bCs/>
          <w:szCs w:val="22"/>
        </w:rPr>
        <w:t>(1)</w:t>
      </w:r>
      <w:r w:rsidRPr="004A2EE8">
        <w:rPr>
          <w:bCs/>
          <w:szCs w:val="22"/>
        </w:rPr>
        <w:tab/>
      </w:r>
      <w:r w:rsidRPr="004A2EE8">
        <w:rPr>
          <w:b/>
          <w:bCs/>
          <w:szCs w:val="22"/>
        </w:rPr>
        <w:t>Preparation of a written permit-space entry program (§§ 1910.146(c)(4)</w:t>
      </w:r>
      <w:r w:rsidR="00724588">
        <w:rPr>
          <w:b/>
          <w:bCs/>
          <w:szCs w:val="22"/>
        </w:rPr>
        <w:t>,</w:t>
      </w:r>
      <w:r w:rsidRPr="004A2EE8">
        <w:rPr>
          <w:b/>
          <w:bCs/>
          <w:szCs w:val="22"/>
        </w:rPr>
        <w:t xml:space="preserve"> </w:t>
      </w:r>
    </w:p>
    <w:p w:rsidR="00C40781" w:rsidRPr="004A2EE8" w:rsidRDefault="004D3C43" w:rsidP="006F183B">
      <w:pPr>
        <w:widowControl/>
        <w:rPr>
          <w:szCs w:val="22"/>
        </w:rPr>
      </w:pPr>
      <w:r w:rsidRPr="004A2EE8">
        <w:rPr>
          <w:b/>
          <w:bCs/>
          <w:szCs w:val="22"/>
        </w:rPr>
        <w:tab/>
      </w:r>
      <w:r w:rsidR="00C40781" w:rsidRPr="004A2EE8">
        <w:rPr>
          <w:b/>
          <w:bCs/>
          <w:szCs w:val="22"/>
        </w:rPr>
        <w:t>1910.146(d)</w:t>
      </w:r>
      <w:r w:rsidR="00724588">
        <w:rPr>
          <w:b/>
          <w:bCs/>
          <w:szCs w:val="22"/>
        </w:rPr>
        <w:t xml:space="preserve"> and 1910.146(l)(1)</w:t>
      </w:r>
      <w:r w:rsidR="00C40781" w:rsidRPr="004A2EE8">
        <w:rPr>
          <w:b/>
          <w:bCs/>
          <w:szCs w:val="22"/>
        </w:rPr>
        <w:t>)</w:t>
      </w:r>
    </w:p>
    <w:p w:rsidR="00C40781" w:rsidRPr="004A2EE8" w:rsidRDefault="00C40781" w:rsidP="006F183B">
      <w:pPr>
        <w:widowControl/>
        <w:rPr>
          <w:szCs w:val="22"/>
        </w:rPr>
      </w:pPr>
    </w:p>
    <w:p w:rsidR="00C40781" w:rsidRPr="004A2EE8" w:rsidRDefault="00C40781" w:rsidP="006F183B">
      <w:pPr>
        <w:widowControl/>
        <w:rPr>
          <w:szCs w:val="22"/>
        </w:rPr>
      </w:pPr>
      <w:r w:rsidRPr="004A2EE8">
        <w:rPr>
          <w:szCs w:val="22"/>
        </w:rPr>
        <w:t>Employers whose employees enter permit spaces are required to develop, implement, and use an entry permit system that includes written procedures describing how permits are to be issued</w:t>
      </w:r>
      <w:r w:rsidRPr="00C40781">
        <w:rPr>
          <w:szCs w:val="22"/>
        </w:rPr>
        <w:t xml:space="preserve"> at the establishment. </w:t>
      </w:r>
      <w:r w:rsidR="00391B80">
        <w:rPr>
          <w:szCs w:val="22"/>
        </w:rPr>
        <w:t xml:space="preserve"> </w:t>
      </w:r>
      <w:r w:rsidR="008551E0">
        <w:rPr>
          <w:szCs w:val="22"/>
        </w:rPr>
        <w:t xml:space="preserve">OSHA estimates that </w:t>
      </w:r>
      <w:r w:rsidRPr="00C40781">
        <w:rPr>
          <w:szCs w:val="22"/>
        </w:rPr>
        <w:t xml:space="preserve">there are </w:t>
      </w:r>
      <w:r w:rsidR="009C0C54" w:rsidRPr="009C0C54">
        <w:rPr>
          <w:bCs/>
        </w:rPr>
        <w:t>205,548</w:t>
      </w:r>
      <w:r w:rsidR="009C0C54">
        <w:rPr>
          <w:b/>
          <w:bCs/>
        </w:rPr>
        <w:t xml:space="preserve"> </w:t>
      </w:r>
      <w:r w:rsidRPr="004A2EE8">
        <w:rPr>
          <w:szCs w:val="22"/>
        </w:rPr>
        <w:t xml:space="preserve">establishments, with </w:t>
      </w:r>
      <w:r w:rsidR="00D1269D">
        <w:rPr>
          <w:szCs w:val="22"/>
        </w:rPr>
        <w:t>4,483,473</w:t>
      </w:r>
      <w:r w:rsidRPr="004A2EE8">
        <w:rPr>
          <w:szCs w:val="22"/>
        </w:rPr>
        <w:t xml:space="preserve"> permit spaces, subject to these provisions. </w:t>
      </w:r>
      <w:r w:rsidR="00391B80" w:rsidRPr="004A2EE8">
        <w:rPr>
          <w:szCs w:val="22"/>
        </w:rPr>
        <w:t xml:space="preserve"> </w:t>
      </w:r>
      <w:r w:rsidRPr="004A2EE8">
        <w:rPr>
          <w:szCs w:val="22"/>
        </w:rPr>
        <w:t>The RIA states that an employer without a written program can expect to spend a minimum of 16 hours</w:t>
      </w:r>
      <w:r w:rsidR="00391B80" w:rsidRPr="004A2EE8">
        <w:rPr>
          <w:szCs w:val="22"/>
        </w:rPr>
        <w:t xml:space="preserve"> </w:t>
      </w:r>
      <w:r w:rsidRPr="004A2EE8">
        <w:rPr>
          <w:szCs w:val="22"/>
        </w:rPr>
        <w:t xml:space="preserve">developing a written program. </w:t>
      </w:r>
      <w:r w:rsidR="00391B80" w:rsidRPr="004A2EE8">
        <w:rPr>
          <w:szCs w:val="22"/>
        </w:rPr>
        <w:t xml:space="preserve"> </w:t>
      </w:r>
      <w:r w:rsidRPr="004A2EE8">
        <w:rPr>
          <w:szCs w:val="22"/>
        </w:rPr>
        <w:t xml:space="preserve">Since the Standard has been in effect for a number of years, OSHA believes that existing establishments have already prepared and implemented their permit-space entry program. </w:t>
      </w:r>
      <w:r w:rsidR="008551E0" w:rsidRPr="004A2EE8">
        <w:rPr>
          <w:szCs w:val="22"/>
        </w:rPr>
        <w:t xml:space="preserve"> </w:t>
      </w:r>
      <w:r w:rsidRPr="004A2EE8">
        <w:rPr>
          <w:szCs w:val="22"/>
        </w:rPr>
        <w:t>The Agency has no definitive number of new establishments that will be required to develop a written program; therefore, the Agency is using an estimate of 5 percent of the total number of establishments (</w:t>
      </w:r>
      <w:r w:rsidR="000B5299">
        <w:rPr>
          <w:szCs w:val="22"/>
        </w:rPr>
        <w:t>10,277</w:t>
      </w:r>
      <w:r w:rsidRPr="004A2EE8">
        <w:rPr>
          <w:szCs w:val="22"/>
        </w:rPr>
        <w:t xml:space="preserve">) to account for new establishments that must prepare a written permit space entry program. </w:t>
      </w:r>
      <w:r w:rsidR="004D3C43" w:rsidRPr="004A2EE8">
        <w:rPr>
          <w:szCs w:val="22"/>
        </w:rPr>
        <w:t xml:space="preserve"> </w:t>
      </w:r>
      <w:r w:rsidRPr="004A2EE8">
        <w:rPr>
          <w:szCs w:val="22"/>
        </w:rPr>
        <w:t>For purposes of this paperwork package, OSHA is assuming that all “new” establishments have no written program.</w:t>
      </w:r>
    </w:p>
    <w:p w:rsidR="00C40781" w:rsidRPr="004A2EE8" w:rsidRDefault="00C40781" w:rsidP="006F183B">
      <w:pPr>
        <w:widowControl/>
        <w:rPr>
          <w:szCs w:val="22"/>
        </w:rPr>
      </w:pPr>
    </w:p>
    <w:p w:rsidR="00C40781" w:rsidRPr="004A2EE8" w:rsidRDefault="00C40781" w:rsidP="006F183B">
      <w:pPr>
        <w:widowControl/>
        <w:ind w:firstLine="720"/>
        <w:rPr>
          <w:szCs w:val="22"/>
        </w:rPr>
      </w:pPr>
      <w:r w:rsidRPr="004A2EE8">
        <w:rPr>
          <w:szCs w:val="22"/>
        </w:rPr>
        <w:t>Burden hours:</w:t>
      </w:r>
      <w:r w:rsidRPr="004A2EE8">
        <w:rPr>
          <w:szCs w:val="22"/>
        </w:rPr>
        <w:tab/>
      </w:r>
      <w:r w:rsidR="000B5299">
        <w:rPr>
          <w:szCs w:val="22"/>
        </w:rPr>
        <w:t xml:space="preserve">10,277 </w:t>
      </w:r>
      <w:r w:rsidRPr="004A2EE8">
        <w:rPr>
          <w:szCs w:val="22"/>
        </w:rPr>
        <w:t xml:space="preserve">new establishments × 16 hours = </w:t>
      </w:r>
      <w:r w:rsidR="000B5299">
        <w:rPr>
          <w:szCs w:val="22"/>
        </w:rPr>
        <w:t xml:space="preserve">164,432 </w:t>
      </w:r>
      <w:r w:rsidRPr="004A2EE8">
        <w:rPr>
          <w:szCs w:val="22"/>
        </w:rPr>
        <w:t>hours</w:t>
      </w:r>
    </w:p>
    <w:p w:rsidR="00C40781" w:rsidRPr="004A2EE8" w:rsidRDefault="004D3C43" w:rsidP="006F183B">
      <w:pPr>
        <w:widowControl/>
        <w:ind w:left="720" w:firstLine="720"/>
        <w:rPr>
          <w:szCs w:val="22"/>
        </w:rPr>
      </w:pPr>
      <w:r w:rsidRPr="004A2EE8">
        <w:rPr>
          <w:szCs w:val="22"/>
        </w:rPr>
        <w:t xml:space="preserve">  </w:t>
      </w:r>
      <w:r w:rsidR="00C40781" w:rsidRPr="004A2EE8">
        <w:rPr>
          <w:szCs w:val="22"/>
        </w:rPr>
        <w:t>Cost:</w:t>
      </w:r>
      <w:r w:rsidR="00C40781" w:rsidRPr="004A2EE8">
        <w:rPr>
          <w:szCs w:val="22"/>
        </w:rPr>
        <w:tab/>
      </w:r>
      <w:r w:rsidR="000B5299">
        <w:rPr>
          <w:szCs w:val="22"/>
        </w:rPr>
        <w:t xml:space="preserve">164,432 </w:t>
      </w:r>
      <w:r w:rsidR="00C40781" w:rsidRPr="004A2EE8">
        <w:rPr>
          <w:szCs w:val="22"/>
        </w:rPr>
        <w:t xml:space="preserve">hours × </w:t>
      </w:r>
      <w:r w:rsidR="008C492E">
        <w:rPr>
          <w:szCs w:val="22"/>
        </w:rPr>
        <w:t>$57.87</w:t>
      </w:r>
      <w:r w:rsidR="00C40781" w:rsidRPr="004A2EE8">
        <w:rPr>
          <w:szCs w:val="22"/>
        </w:rPr>
        <w:t xml:space="preserve"> = $</w:t>
      </w:r>
      <w:r w:rsidR="0071531F">
        <w:rPr>
          <w:szCs w:val="22"/>
        </w:rPr>
        <w:t>9,515,</w:t>
      </w:r>
      <w:r w:rsidR="00645B62">
        <w:rPr>
          <w:szCs w:val="22"/>
        </w:rPr>
        <w:t>680</w:t>
      </w:r>
    </w:p>
    <w:p w:rsidR="00B74609" w:rsidRDefault="00B74609" w:rsidP="006F183B">
      <w:pPr>
        <w:widowControl/>
        <w:rPr>
          <w:szCs w:val="22"/>
        </w:rPr>
      </w:pPr>
    </w:p>
    <w:p w:rsidR="00B74609" w:rsidRPr="00AA7B25" w:rsidRDefault="00FE2D52" w:rsidP="006F183B">
      <w:pPr>
        <w:widowControl/>
        <w:ind w:left="720" w:hanging="720"/>
        <w:contextualSpacing/>
        <w:rPr>
          <w:b/>
          <w:szCs w:val="22"/>
        </w:rPr>
      </w:pPr>
      <w:r w:rsidRPr="00FE2D52">
        <w:rPr>
          <w:szCs w:val="22"/>
        </w:rPr>
        <w:t>(B)(2)</w:t>
      </w:r>
      <w:r>
        <w:rPr>
          <w:b/>
          <w:szCs w:val="22"/>
        </w:rPr>
        <w:t xml:space="preserve"> </w:t>
      </w:r>
      <w:r w:rsidR="00B74609" w:rsidRPr="00AA7B25">
        <w:rPr>
          <w:b/>
          <w:szCs w:val="22"/>
        </w:rPr>
        <w:t xml:space="preserve">Annual </w:t>
      </w:r>
      <w:r>
        <w:rPr>
          <w:b/>
          <w:szCs w:val="22"/>
        </w:rPr>
        <w:t>r</w:t>
      </w:r>
      <w:r w:rsidR="00B74609" w:rsidRPr="00AA7B25">
        <w:rPr>
          <w:b/>
          <w:szCs w:val="22"/>
        </w:rPr>
        <w:t xml:space="preserve">eview of </w:t>
      </w:r>
      <w:r>
        <w:rPr>
          <w:b/>
          <w:szCs w:val="22"/>
        </w:rPr>
        <w:t>w</w:t>
      </w:r>
      <w:r w:rsidR="00B74609" w:rsidRPr="00AA7B25">
        <w:rPr>
          <w:b/>
          <w:szCs w:val="22"/>
        </w:rPr>
        <w:t xml:space="preserve">ritten </w:t>
      </w:r>
      <w:r>
        <w:rPr>
          <w:b/>
          <w:szCs w:val="22"/>
        </w:rPr>
        <w:t>p</w:t>
      </w:r>
      <w:r w:rsidR="00B74609" w:rsidRPr="00AA7B25">
        <w:rPr>
          <w:b/>
          <w:szCs w:val="22"/>
        </w:rPr>
        <w:t xml:space="preserve">ermit </w:t>
      </w:r>
      <w:r>
        <w:rPr>
          <w:b/>
          <w:szCs w:val="22"/>
        </w:rPr>
        <w:t>s</w:t>
      </w:r>
      <w:r w:rsidR="00B74609" w:rsidRPr="00AA7B25">
        <w:rPr>
          <w:b/>
          <w:szCs w:val="22"/>
        </w:rPr>
        <w:t xml:space="preserve">pace </w:t>
      </w:r>
      <w:r>
        <w:rPr>
          <w:b/>
          <w:szCs w:val="22"/>
        </w:rPr>
        <w:t>entry program</w:t>
      </w:r>
      <w:r w:rsidR="00B74609">
        <w:rPr>
          <w:b/>
          <w:szCs w:val="22"/>
        </w:rPr>
        <w:t xml:space="preserve"> and </w:t>
      </w:r>
      <w:r>
        <w:rPr>
          <w:b/>
          <w:szCs w:val="22"/>
        </w:rPr>
        <w:t>c</w:t>
      </w:r>
      <w:r w:rsidR="00B74609">
        <w:rPr>
          <w:b/>
          <w:szCs w:val="22"/>
        </w:rPr>
        <w:t xml:space="preserve">ancelled </w:t>
      </w:r>
      <w:r>
        <w:rPr>
          <w:b/>
          <w:szCs w:val="22"/>
        </w:rPr>
        <w:t>p</w:t>
      </w:r>
      <w:r w:rsidR="00B74609">
        <w:rPr>
          <w:b/>
          <w:szCs w:val="22"/>
        </w:rPr>
        <w:t>ermits</w:t>
      </w:r>
      <w:r w:rsidR="00B74609" w:rsidRPr="00AA7B25">
        <w:rPr>
          <w:b/>
          <w:szCs w:val="22"/>
        </w:rPr>
        <w:t xml:space="preserve"> §</w:t>
      </w:r>
      <w:r w:rsidR="00530A0E" w:rsidRPr="004A2EE8">
        <w:rPr>
          <w:b/>
          <w:bCs/>
          <w:szCs w:val="22"/>
        </w:rPr>
        <w:t>§</w:t>
      </w:r>
      <w:r w:rsidR="006F183B">
        <w:t> </w:t>
      </w:r>
      <w:r w:rsidR="00B74609">
        <w:rPr>
          <w:b/>
          <w:szCs w:val="22"/>
        </w:rPr>
        <w:t>1910.146(d)(14) and (e)(6)</w:t>
      </w:r>
      <w:r w:rsidR="00B74609" w:rsidRPr="00AA7B25">
        <w:rPr>
          <w:b/>
          <w:szCs w:val="22"/>
        </w:rPr>
        <w:t>)</w:t>
      </w:r>
    </w:p>
    <w:p w:rsidR="00B74609" w:rsidRPr="00AA7B25" w:rsidRDefault="00B74609" w:rsidP="006F183B">
      <w:pPr>
        <w:widowControl/>
        <w:rPr>
          <w:b/>
          <w:szCs w:val="22"/>
        </w:rPr>
      </w:pPr>
    </w:p>
    <w:p w:rsidR="00B74609" w:rsidRDefault="007C15FC" w:rsidP="006F183B">
      <w:pPr>
        <w:widowControl/>
        <w:rPr>
          <w:bCs/>
          <w:szCs w:val="22"/>
        </w:rPr>
      </w:pPr>
      <w:r>
        <w:rPr>
          <w:bCs/>
        </w:rPr>
        <w:t xml:space="preserve">Based on the RIA, </w:t>
      </w:r>
      <w:r w:rsidR="00B74609" w:rsidRPr="00AA7B25">
        <w:rPr>
          <w:bCs/>
        </w:rPr>
        <w:t xml:space="preserve">OSHA estimates </w:t>
      </w:r>
      <w:r>
        <w:rPr>
          <w:bCs/>
        </w:rPr>
        <w:t>2 hours of</w:t>
      </w:r>
      <w:r w:rsidR="00B74609" w:rsidRPr="00AA7B25">
        <w:rPr>
          <w:bCs/>
        </w:rPr>
        <w:t xml:space="preserve"> supervisor time </w:t>
      </w:r>
      <w:r w:rsidR="00B74609">
        <w:rPr>
          <w:bCs/>
        </w:rPr>
        <w:t xml:space="preserve">to review and revise </w:t>
      </w:r>
      <w:r w:rsidR="0076143F">
        <w:rPr>
          <w:bCs/>
        </w:rPr>
        <w:t>97,636</w:t>
      </w:r>
      <w:r w:rsidR="00401499">
        <w:rPr>
          <w:bCs/>
        </w:rPr>
        <w:t xml:space="preserve"> (50% of </w:t>
      </w:r>
      <w:r w:rsidR="0076143F">
        <w:rPr>
          <w:bCs/>
        </w:rPr>
        <w:t xml:space="preserve"> 195,271</w:t>
      </w:r>
      <w:r w:rsidR="0035313E">
        <w:rPr>
          <w:bCs/>
        </w:rPr>
        <w:t xml:space="preserve"> </w:t>
      </w:r>
      <w:r w:rsidR="0035313E" w:rsidRPr="002D7BDD">
        <w:rPr>
          <w:rStyle w:val="FootnoteReference"/>
          <w:bCs/>
          <w:sz w:val="22"/>
          <w:vertAlign w:val="superscript"/>
        </w:rPr>
        <w:footnoteReference w:id="22"/>
      </w:r>
      <w:r w:rsidR="00401499">
        <w:rPr>
          <w:bCs/>
        </w:rPr>
        <w:t>)</w:t>
      </w:r>
      <w:r w:rsidR="00B74609">
        <w:rPr>
          <w:b/>
          <w:bCs/>
        </w:rPr>
        <w:t xml:space="preserve"> </w:t>
      </w:r>
      <w:r w:rsidR="00B74609" w:rsidRPr="00AA7B25">
        <w:rPr>
          <w:bCs/>
        </w:rPr>
        <w:t>written permit space programs and the related cancelled permits and other available information annually</w:t>
      </w:r>
      <w:r w:rsidR="00B74609">
        <w:rPr>
          <w:bCs/>
        </w:rPr>
        <w:t>.</w:t>
      </w:r>
      <w:r w:rsidR="00B74609" w:rsidRPr="00AA7B25">
        <w:rPr>
          <w:bCs/>
          <w:vertAlign w:val="superscript"/>
        </w:rPr>
        <w:t xml:space="preserve">  </w:t>
      </w:r>
      <w:r w:rsidR="00B74609" w:rsidRPr="00AA7B25">
        <w:rPr>
          <w:bCs/>
          <w:szCs w:val="22"/>
        </w:rPr>
        <w:t>The burden hour and cost estimates for reviewing and revising the written program are:</w:t>
      </w:r>
    </w:p>
    <w:p w:rsidR="00B05F36" w:rsidRPr="00AA7B25" w:rsidRDefault="00B05F36" w:rsidP="006F183B">
      <w:pPr>
        <w:widowControl/>
        <w:rPr>
          <w:bCs/>
          <w:szCs w:val="22"/>
        </w:rPr>
      </w:pPr>
    </w:p>
    <w:p w:rsidR="00B74609" w:rsidRPr="00AA7B25" w:rsidRDefault="00B74609" w:rsidP="006F183B">
      <w:pPr>
        <w:widowControl/>
        <w:ind w:firstLine="720"/>
        <w:rPr>
          <w:bCs/>
          <w:szCs w:val="22"/>
        </w:rPr>
      </w:pPr>
      <w:r w:rsidRPr="00AA7B25">
        <w:rPr>
          <w:bCs/>
          <w:szCs w:val="22"/>
        </w:rPr>
        <w:t>Burden hours:</w:t>
      </w:r>
      <w:r w:rsidRPr="00AA7B25">
        <w:rPr>
          <w:bCs/>
          <w:szCs w:val="22"/>
        </w:rPr>
        <w:tab/>
      </w:r>
      <w:r w:rsidR="0076143F">
        <w:rPr>
          <w:bCs/>
          <w:szCs w:val="22"/>
        </w:rPr>
        <w:t>97,636</w:t>
      </w:r>
      <w:r w:rsidR="00401499">
        <w:rPr>
          <w:bCs/>
          <w:szCs w:val="22"/>
        </w:rPr>
        <w:t xml:space="preserve"> </w:t>
      </w:r>
      <w:r>
        <w:rPr>
          <w:bCs/>
          <w:szCs w:val="22"/>
        </w:rPr>
        <w:t xml:space="preserve">permit programs </w:t>
      </w:r>
      <w:r w:rsidRPr="00AA7B25">
        <w:rPr>
          <w:bCs/>
          <w:szCs w:val="22"/>
        </w:rPr>
        <w:t xml:space="preserve">× </w:t>
      </w:r>
      <w:r w:rsidR="007C15FC">
        <w:rPr>
          <w:bCs/>
          <w:szCs w:val="22"/>
        </w:rPr>
        <w:t>2 hours</w:t>
      </w:r>
      <w:r w:rsidRPr="00AA7B25">
        <w:rPr>
          <w:bCs/>
          <w:szCs w:val="22"/>
        </w:rPr>
        <w:t xml:space="preserve"> = </w:t>
      </w:r>
      <w:r w:rsidR="0076143F">
        <w:rPr>
          <w:bCs/>
          <w:szCs w:val="22"/>
        </w:rPr>
        <w:t>195,27</w:t>
      </w:r>
      <w:r w:rsidR="00BE0E02">
        <w:rPr>
          <w:bCs/>
          <w:szCs w:val="22"/>
        </w:rPr>
        <w:t>2</w:t>
      </w:r>
      <w:r w:rsidR="0076143F">
        <w:rPr>
          <w:bCs/>
          <w:szCs w:val="22"/>
        </w:rPr>
        <w:t xml:space="preserve"> </w:t>
      </w:r>
      <w:r w:rsidRPr="00AA7B25">
        <w:rPr>
          <w:bCs/>
          <w:szCs w:val="22"/>
        </w:rPr>
        <w:t>hours</w:t>
      </w:r>
    </w:p>
    <w:p w:rsidR="00B74609" w:rsidRPr="00AA7B25" w:rsidRDefault="00B74609" w:rsidP="006F183B">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sidRPr="00AA7B25">
        <w:rPr>
          <w:bCs/>
          <w:szCs w:val="22"/>
        </w:rPr>
        <w:t xml:space="preserve">  </w:t>
      </w:r>
      <w:r w:rsidRPr="00AA7B25">
        <w:rPr>
          <w:bCs/>
          <w:szCs w:val="22"/>
        </w:rPr>
        <w:tab/>
      </w:r>
      <w:r w:rsidRPr="00AA7B25">
        <w:rPr>
          <w:bCs/>
          <w:szCs w:val="22"/>
        </w:rPr>
        <w:tab/>
        <w:t xml:space="preserve">              </w:t>
      </w:r>
      <w:r w:rsidR="00FB30B6">
        <w:rPr>
          <w:bCs/>
          <w:szCs w:val="22"/>
        </w:rPr>
        <w:t xml:space="preserve">Cost: </w:t>
      </w:r>
      <w:r w:rsidR="0076143F">
        <w:rPr>
          <w:bCs/>
          <w:szCs w:val="22"/>
        </w:rPr>
        <w:t>195,27</w:t>
      </w:r>
      <w:r w:rsidR="00BE0E02">
        <w:rPr>
          <w:bCs/>
          <w:szCs w:val="22"/>
        </w:rPr>
        <w:t>2</w:t>
      </w:r>
      <w:r w:rsidR="00401499">
        <w:rPr>
          <w:bCs/>
          <w:szCs w:val="22"/>
        </w:rPr>
        <w:t xml:space="preserve"> </w:t>
      </w:r>
      <w:r w:rsidR="00FB30B6">
        <w:rPr>
          <w:bCs/>
          <w:szCs w:val="22"/>
        </w:rPr>
        <w:t xml:space="preserve">hours × $57.87 </w:t>
      </w:r>
      <w:r w:rsidRPr="00AA7B25">
        <w:rPr>
          <w:bCs/>
          <w:szCs w:val="22"/>
        </w:rPr>
        <w:t>= $</w:t>
      </w:r>
      <w:r w:rsidR="00401499">
        <w:rPr>
          <w:bCs/>
          <w:szCs w:val="22"/>
        </w:rPr>
        <w:t>11,</w:t>
      </w:r>
      <w:r w:rsidR="0076143F">
        <w:rPr>
          <w:bCs/>
          <w:szCs w:val="22"/>
        </w:rPr>
        <w:t>300,3</w:t>
      </w:r>
      <w:r w:rsidR="00BE0E02">
        <w:rPr>
          <w:bCs/>
          <w:szCs w:val="22"/>
        </w:rPr>
        <w:t>91</w:t>
      </w:r>
      <w:r w:rsidR="0076143F">
        <w:rPr>
          <w:bCs/>
          <w:szCs w:val="22"/>
        </w:rPr>
        <w:t xml:space="preserve"> </w:t>
      </w:r>
    </w:p>
    <w:p w:rsidR="00B74609" w:rsidRPr="00C40781" w:rsidRDefault="00B74609" w:rsidP="006F183B">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C40781" w:rsidRPr="00C40781" w:rsidRDefault="00C40781" w:rsidP="006F183B">
      <w:pPr>
        <w:widowControl/>
        <w:ind w:left="720" w:hanging="720"/>
        <w:rPr>
          <w:szCs w:val="22"/>
        </w:rPr>
      </w:pPr>
      <w:r w:rsidRPr="00C40781">
        <w:rPr>
          <w:bCs/>
          <w:szCs w:val="22"/>
        </w:rPr>
        <w:t>(C)</w:t>
      </w:r>
      <w:r w:rsidRPr="00C40781">
        <w:rPr>
          <w:bCs/>
          <w:szCs w:val="22"/>
        </w:rPr>
        <w:tab/>
      </w:r>
      <w:r w:rsidRPr="004D3C43">
        <w:rPr>
          <w:b/>
          <w:bCs/>
          <w:szCs w:val="22"/>
        </w:rPr>
        <w:t>Documentation of determinations and supporting data required for entries using the alternative procedures (§ 1910.146(c)(5)(i)(E))</w:t>
      </w:r>
    </w:p>
    <w:p w:rsidR="00C40781" w:rsidRPr="00C40781" w:rsidRDefault="00C40781" w:rsidP="006F183B">
      <w:pPr>
        <w:widowControl/>
        <w:rPr>
          <w:szCs w:val="22"/>
        </w:rPr>
      </w:pPr>
    </w:p>
    <w:p w:rsidR="00C40781" w:rsidRPr="004A2EE8" w:rsidRDefault="008551E0" w:rsidP="006F183B">
      <w:pPr>
        <w:widowControl/>
        <w:rPr>
          <w:szCs w:val="22"/>
        </w:rPr>
      </w:pPr>
      <w:r>
        <w:rPr>
          <w:szCs w:val="22"/>
        </w:rPr>
        <w:t>The Agency estimates that a</w:t>
      </w:r>
      <w:r w:rsidR="00C40781" w:rsidRPr="00C40781">
        <w:rPr>
          <w:szCs w:val="22"/>
        </w:rPr>
        <w:t xml:space="preserve">pproximately </w:t>
      </w:r>
      <w:r w:rsidR="002A13EB">
        <w:rPr>
          <w:szCs w:val="22"/>
        </w:rPr>
        <w:t xml:space="preserve">2,207,351 </w:t>
      </w:r>
      <w:r w:rsidR="00C40781" w:rsidRPr="004A2EE8">
        <w:rPr>
          <w:szCs w:val="22"/>
        </w:rPr>
        <w:t>million permit spaces will be entered each year under the alternative procedures allowed in paragraph (c)(5) of the Standard.</w:t>
      </w:r>
      <w:r w:rsidR="00C40781" w:rsidRPr="004A2EE8">
        <w:rPr>
          <w:rStyle w:val="FootnoteReference"/>
          <w:sz w:val="20"/>
          <w:szCs w:val="20"/>
          <w:vertAlign w:val="superscript"/>
        </w:rPr>
        <w:footnoteReference w:id="23"/>
      </w:r>
      <w:r w:rsidR="00C40781" w:rsidRPr="004A2EE8">
        <w:rPr>
          <w:szCs w:val="22"/>
        </w:rPr>
        <w:t xml:space="preserve"> </w:t>
      </w:r>
      <w:r w:rsidR="004D3C43" w:rsidRPr="004A2EE8">
        <w:rPr>
          <w:szCs w:val="22"/>
        </w:rPr>
        <w:t xml:space="preserve"> </w:t>
      </w:r>
      <w:r w:rsidR="00C40781" w:rsidRPr="004A2EE8">
        <w:rPr>
          <w:szCs w:val="22"/>
        </w:rPr>
        <w:t xml:space="preserve">A </w:t>
      </w:r>
      <w:r w:rsidR="00C40781" w:rsidRPr="004A2EE8">
        <w:rPr>
          <w:szCs w:val="22"/>
        </w:rPr>
        <w:lastRenderedPageBreak/>
        <w:t xml:space="preserve">documentation of the determinations and supporting data (required by paragraphs (c)(5)(i)(A), (c)(5)(i)(B), and (c)(5)(i)(C)) for each entry under the alternative procedures must be maintained by the employer and disclosed to each employee who enters a permit space. </w:t>
      </w:r>
      <w:r w:rsidR="00E31598" w:rsidRPr="004A2EE8">
        <w:rPr>
          <w:szCs w:val="22"/>
        </w:rPr>
        <w:t xml:space="preserve"> </w:t>
      </w:r>
      <w:r w:rsidR="00C40781" w:rsidRPr="004A2EE8">
        <w:rPr>
          <w:szCs w:val="22"/>
        </w:rPr>
        <w:t xml:space="preserve">OSHA believes that the process takes 15 minutes (.25 hour); accordingly, the Agency estimates that the total annual burden hours and cost of documenting determinations and supporting data required for entries using the alternative procedures is: </w:t>
      </w:r>
    </w:p>
    <w:p w:rsidR="00C40781" w:rsidRPr="004A2EE8" w:rsidRDefault="00C40781" w:rsidP="006F183B">
      <w:pPr>
        <w:widowControl/>
        <w:rPr>
          <w:szCs w:val="22"/>
        </w:rPr>
      </w:pPr>
    </w:p>
    <w:p w:rsidR="00C40781" w:rsidRPr="004A2EE8" w:rsidRDefault="00C40781" w:rsidP="006F183B">
      <w:pPr>
        <w:widowControl/>
        <w:ind w:left="2160" w:hanging="1440"/>
        <w:rPr>
          <w:szCs w:val="22"/>
        </w:rPr>
      </w:pPr>
      <w:r w:rsidRPr="004A2EE8">
        <w:rPr>
          <w:szCs w:val="22"/>
        </w:rPr>
        <w:t>Burden hours:</w:t>
      </w:r>
      <w:r w:rsidRPr="004A2EE8">
        <w:rPr>
          <w:szCs w:val="22"/>
        </w:rPr>
        <w:tab/>
      </w:r>
      <w:r w:rsidR="000B5299">
        <w:rPr>
          <w:szCs w:val="22"/>
        </w:rPr>
        <w:t xml:space="preserve">2,207,351 </w:t>
      </w:r>
      <w:r w:rsidRPr="004A2EE8">
        <w:rPr>
          <w:szCs w:val="22"/>
        </w:rPr>
        <w:t xml:space="preserve">permit spaces to be entered annually using the alternative procedures × .25 hour required to complete documentation = </w:t>
      </w:r>
      <w:r w:rsidR="000B5299">
        <w:rPr>
          <w:szCs w:val="22"/>
        </w:rPr>
        <w:t>551,838</w:t>
      </w:r>
      <w:r w:rsidRPr="004A2EE8">
        <w:rPr>
          <w:szCs w:val="22"/>
        </w:rPr>
        <w:t xml:space="preserve"> hours</w:t>
      </w:r>
    </w:p>
    <w:p w:rsidR="00C40781" w:rsidRPr="004A2EE8" w:rsidRDefault="00E31598" w:rsidP="006F183B">
      <w:pPr>
        <w:widowControl/>
        <w:ind w:left="720" w:firstLine="720"/>
        <w:rPr>
          <w:szCs w:val="22"/>
        </w:rPr>
      </w:pPr>
      <w:r w:rsidRPr="004A2EE8">
        <w:rPr>
          <w:szCs w:val="22"/>
        </w:rPr>
        <w:t xml:space="preserve">  </w:t>
      </w:r>
      <w:r w:rsidR="00C40781" w:rsidRPr="004A2EE8">
        <w:rPr>
          <w:szCs w:val="22"/>
        </w:rPr>
        <w:t>Cost:</w:t>
      </w:r>
      <w:r w:rsidR="00C40781" w:rsidRPr="004A2EE8">
        <w:rPr>
          <w:szCs w:val="22"/>
        </w:rPr>
        <w:tab/>
      </w:r>
      <w:r w:rsidR="000B5299">
        <w:rPr>
          <w:szCs w:val="22"/>
        </w:rPr>
        <w:t xml:space="preserve">551,838 </w:t>
      </w:r>
      <w:r w:rsidR="00C40781" w:rsidRPr="004A2EE8">
        <w:rPr>
          <w:szCs w:val="22"/>
        </w:rPr>
        <w:t xml:space="preserve">hours × </w:t>
      </w:r>
      <w:r w:rsidR="008C492E">
        <w:rPr>
          <w:szCs w:val="22"/>
        </w:rPr>
        <w:t>$23.48</w:t>
      </w:r>
      <w:r w:rsidR="00C40781" w:rsidRPr="004A2EE8">
        <w:rPr>
          <w:szCs w:val="22"/>
        </w:rPr>
        <w:t xml:space="preserve"> = $</w:t>
      </w:r>
      <w:r w:rsidR="0071531F">
        <w:rPr>
          <w:szCs w:val="22"/>
        </w:rPr>
        <w:t>12,95</w:t>
      </w:r>
      <w:r w:rsidR="00645B62">
        <w:rPr>
          <w:szCs w:val="22"/>
        </w:rPr>
        <w:t>7,156</w:t>
      </w:r>
    </w:p>
    <w:p w:rsidR="00C40781" w:rsidRPr="00C40781" w:rsidRDefault="00C40781" w:rsidP="006F183B">
      <w:pPr>
        <w:widowControl/>
        <w:rPr>
          <w:szCs w:val="22"/>
        </w:rPr>
      </w:pPr>
    </w:p>
    <w:p w:rsidR="00C40781" w:rsidRPr="00C40781" w:rsidRDefault="00C40781" w:rsidP="006F183B">
      <w:pPr>
        <w:pStyle w:val="Level1"/>
        <w:widowControl/>
        <w:numPr>
          <w:ilvl w:val="0"/>
          <w:numId w:val="0"/>
        </w:numPr>
        <w:rPr>
          <w:szCs w:val="22"/>
        </w:rPr>
      </w:pPr>
      <w:r w:rsidRPr="00C40781">
        <w:rPr>
          <w:szCs w:val="22"/>
        </w:rPr>
        <w:t>(D)</w:t>
      </w:r>
      <w:r w:rsidRPr="00C40781">
        <w:rPr>
          <w:szCs w:val="22"/>
        </w:rPr>
        <w:tab/>
      </w:r>
      <w:r w:rsidRPr="00E31598">
        <w:rPr>
          <w:b/>
          <w:szCs w:val="22"/>
        </w:rPr>
        <w:t>Written certification for the alternative procedures (§ 1910.146(c)(5)(ii)(H))</w:t>
      </w:r>
    </w:p>
    <w:p w:rsidR="00C40781" w:rsidRPr="00C40781" w:rsidRDefault="00C40781" w:rsidP="006F183B">
      <w:pPr>
        <w:widowControl/>
        <w:rPr>
          <w:szCs w:val="22"/>
        </w:rPr>
      </w:pPr>
    </w:p>
    <w:p w:rsidR="00C40781" w:rsidRPr="004A2EE8" w:rsidRDefault="008551E0" w:rsidP="006F183B">
      <w:pPr>
        <w:widowControl/>
        <w:rPr>
          <w:szCs w:val="22"/>
        </w:rPr>
      </w:pPr>
      <w:r>
        <w:rPr>
          <w:szCs w:val="22"/>
        </w:rPr>
        <w:t xml:space="preserve">OSHA believes that </w:t>
      </w:r>
      <w:r w:rsidR="00C40781" w:rsidRPr="00C40781">
        <w:rPr>
          <w:szCs w:val="22"/>
        </w:rPr>
        <w:t xml:space="preserve">approximately </w:t>
      </w:r>
      <w:r w:rsidR="000B5299">
        <w:rPr>
          <w:szCs w:val="22"/>
        </w:rPr>
        <w:t>2,207,351</w:t>
      </w:r>
      <w:r w:rsidR="00C40781" w:rsidRPr="004A2EE8">
        <w:rPr>
          <w:szCs w:val="22"/>
        </w:rPr>
        <w:t xml:space="preserve"> permit spaces will be entered each year under the abbreviated permit system. </w:t>
      </w:r>
      <w:r w:rsidR="00E31598" w:rsidRPr="004A2EE8">
        <w:rPr>
          <w:szCs w:val="22"/>
        </w:rPr>
        <w:t xml:space="preserve"> </w:t>
      </w:r>
      <w:r w:rsidR="00C40781" w:rsidRPr="004A2EE8">
        <w:rPr>
          <w:szCs w:val="22"/>
        </w:rPr>
        <w:t xml:space="preserve">A written certificate must be prepared in accordance with paragraph (c)(5)(ii)(H) of the Standard for each of these entries. </w:t>
      </w:r>
      <w:r w:rsidRPr="004A2EE8">
        <w:rPr>
          <w:szCs w:val="22"/>
        </w:rPr>
        <w:t xml:space="preserve"> </w:t>
      </w:r>
      <w:r w:rsidR="00C40781" w:rsidRPr="004A2EE8">
        <w:rPr>
          <w:szCs w:val="22"/>
        </w:rPr>
        <w:t>OSHA estimates that it will take three minutes (.05 hour) to generate and maintain the written certification (one-year retention).</w:t>
      </w:r>
    </w:p>
    <w:p w:rsidR="00C40781" w:rsidRPr="004A2EE8" w:rsidRDefault="00C40781" w:rsidP="006F183B">
      <w:pPr>
        <w:widowControl/>
        <w:rPr>
          <w:szCs w:val="22"/>
        </w:rPr>
      </w:pPr>
    </w:p>
    <w:p w:rsidR="00C40781" w:rsidRPr="004A2EE8" w:rsidRDefault="00C40781" w:rsidP="006F183B">
      <w:pPr>
        <w:widowControl/>
        <w:ind w:left="2160" w:hanging="1440"/>
        <w:rPr>
          <w:szCs w:val="22"/>
        </w:rPr>
      </w:pPr>
      <w:r w:rsidRPr="004A2EE8">
        <w:rPr>
          <w:szCs w:val="22"/>
        </w:rPr>
        <w:t>Burden hours:</w:t>
      </w:r>
      <w:r w:rsidRPr="004A2EE8">
        <w:rPr>
          <w:szCs w:val="22"/>
        </w:rPr>
        <w:tab/>
      </w:r>
      <w:r w:rsidR="000B5299">
        <w:rPr>
          <w:szCs w:val="22"/>
        </w:rPr>
        <w:t>2,207,351</w:t>
      </w:r>
      <w:r w:rsidR="001B5F28" w:rsidRPr="004A2EE8">
        <w:rPr>
          <w:szCs w:val="22"/>
        </w:rPr>
        <w:t xml:space="preserve"> </w:t>
      </w:r>
      <w:r w:rsidRPr="004A2EE8">
        <w:rPr>
          <w:szCs w:val="22"/>
        </w:rPr>
        <w:t xml:space="preserve">permit spaces × .05 hour to generate and maintain the written certificate = </w:t>
      </w:r>
      <w:r w:rsidR="000B5299">
        <w:rPr>
          <w:szCs w:val="22"/>
        </w:rPr>
        <w:t xml:space="preserve">110,368 </w:t>
      </w:r>
      <w:r w:rsidRPr="004A2EE8">
        <w:rPr>
          <w:szCs w:val="22"/>
        </w:rPr>
        <w:t>hours</w:t>
      </w:r>
      <w:r w:rsidR="002C65A0" w:rsidRPr="004A2EE8">
        <w:rPr>
          <w:szCs w:val="22"/>
        </w:rPr>
        <w:t xml:space="preserve"> </w:t>
      </w:r>
    </w:p>
    <w:p w:rsidR="00C40781" w:rsidRPr="004A2EE8" w:rsidRDefault="00E31598" w:rsidP="006F183B">
      <w:pPr>
        <w:widowControl/>
        <w:ind w:left="720" w:firstLine="720"/>
        <w:rPr>
          <w:szCs w:val="22"/>
        </w:rPr>
      </w:pPr>
      <w:r w:rsidRPr="004A2EE8">
        <w:rPr>
          <w:szCs w:val="22"/>
        </w:rPr>
        <w:t xml:space="preserve">  </w:t>
      </w:r>
      <w:r w:rsidR="00C40781" w:rsidRPr="004A2EE8">
        <w:rPr>
          <w:szCs w:val="22"/>
        </w:rPr>
        <w:t>Cost:</w:t>
      </w:r>
      <w:r w:rsidR="00C40781" w:rsidRPr="004A2EE8">
        <w:rPr>
          <w:szCs w:val="22"/>
        </w:rPr>
        <w:tab/>
      </w:r>
      <w:r w:rsidR="000B5299">
        <w:rPr>
          <w:szCs w:val="22"/>
        </w:rPr>
        <w:t xml:space="preserve">110,368 </w:t>
      </w:r>
      <w:r w:rsidR="00C40781" w:rsidRPr="004A2EE8">
        <w:rPr>
          <w:szCs w:val="22"/>
        </w:rPr>
        <w:t xml:space="preserve">hours × </w:t>
      </w:r>
      <w:r w:rsidR="008C492E">
        <w:rPr>
          <w:szCs w:val="22"/>
        </w:rPr>
        <w:t>$23.48</w:t>
      </w:r>
      <w:r w:rsidR="00C40781" w:rsidRPr="004A2EE8">
        <w:rPr>
          <w:szCs w:val="22"/>
        </w:rPr>
        <w:t xml:space="preserve"> = $</w:t>
      </w:r>
      <w:r w:rsidR="0071531F">
        <w:rPr>
          <w:szCs w:val="22"/>
        </w:rPr>
        <w:t>2,591,</w:t>
      </w:r>
      <w:r w:rsidR="00645B62">
        <w:rPr>
          <w:szCs w:val="22"/>
        </w:rPr>
        <w:t>441</w:t>
      </w:r>
    </w:p>
    <w:p w:rsidR="00F46530" w:rsidRPr="00C40781" w:rsidRDefault="00F46530" w:rsidP="006F183B">
      <w:pPr>
        <w:widowControl/>
        <w:rPr>
          <w:szCs w:val="22"/>
        </w:rPr>
      </w:pPr>
    </w:p>
    <w:p w:rsidR="00C40781" w:rsidRPr="00C40781" w:rsidRDefault="00C40781" w:rsidP="006F183B">
      <w:pPr>
        <w:pStyle w:val="Level1"/>
        <w:widowControl/>
        <w:numPr>
          <w:ilvl w:val="0"/>
          <w:numId w:val="0"/>
        </w:numPr>
        <w:ind w:left="720" w:hanging="720"/>
        <w:rPr>
          <w:szCs w:val="22"/>
        </w:rPr>
      </w:pPr>
      <w:r w:rsidRPr="00C40781">
        <w:rPr>
          <w:szCs w:val="22"/>
        </w:rPr>
        <w:t>(E)</w:t>
      </w:r>
      <w:r w:rsidRPr="00C40781">
        <w:rPr>
          <w:szCs w:val="22"/>
        </w:rPr>
        <w:tab/>
      </w:r>
      <w:r w:rsidRPr="00E31598">
        <w:rPr>
          <w:b/>
          <w:szCs w:val="22"/>
        </w:rPr>
        <w:t>Written certification that all hazards have been eliminated (reclassification of a permit space) (§ 1910.146(c)(7)(iii))</w:t>
      </w:r>
    </w:p>
    <w:p w:rsidR="00C40781" w:rsidRPr="00C40781" w:rsidRDefault="00C40781" w:rsidP="006F183B">
      <w:pPr>
        <w:widowControl/>
        <w:rPr>
          <w:szCs w:val="22"/>
        </w:rPr>
      </w:pPr>
    </w:p>
    <w:p w:rsidR="00C40781" w:rsidRPr="004A2EE8" w:rsidRDefault="008551E0" w:rsidP="006F183B">
      <w:pPr>
        <w:widowControl/>
        <w:rPr>
          <w:szCs w:val="22"/>
        </w:rPr>
      </w:pPr>
      <w:r>
        <w:rPr>
          <w:szCs w:val="22"/>
        </w:rPr>
        <w:t xml:space="preserve">The Agency estimates that </w:t>
      </w:r>
      <w:r w:rsidR="00C40781" w:rsidRPr="00C40781">
        <w:rPr>
          <w:szCs w:val="22"/>
        </w:rPr>
        <w:t xml:space="preserve">approximately </w:t>
      </w:r>
      <w:r w:rsidR="009B7BAE">
        <w:rPr>
          <w:szCs w:val="22"/>
        </w:rPr>
        <w:t xml:space="preserve">187,463 </w:t>
      </w:r>
      <w:r w:rsidR="00C40781" w:rsidRPr="004A2EE8">
        <w:rPr>
          <w:szCs w:val="22"/>
        </w:rPr>
        <w:t>permit spaces will be reclassified each year under paragraph (c)(7) of the Standard.</w:t>
      </w:r>
      <w:r w:rsidR="00C40781" w:rsidRPr="004A2EE8">
        <w:rPr>
          <w:rStyle w:val="FootnoteReference"/>
          <w:sz w:val="20"/>
          <w:szCs w:val="20"/>
          <w:vertAlign w:val="superscript"/>
        </w:rPr>
        <w:footnoteReference w:id="24"/>
      </w:r>
      <w:r w:rsidR="00C40781" w:rsidRPr="004A2EE8">
        <w:rPr>
          <w:szCs w:val="22"/>
        </w:rPr>
        <w:t xml:space="preserve"> </w:t>
      </w:r>
      <w:r w:rsidR="00E31598" w:rsidRPr="004A2EE8">
        <w:rPr>
          <w:szCs w:val="22"/>
        </w:rPr>
        <w:t xml:space="preserve"> </w:t>
      </w:r>
      <w:r w:rsidR="00C40781" w:rsidRPr="004A2EE8">
        <w:rPr>
          <w:szCs w:val="22"/>
        </w:rPr>
        <w:t xml:space="preserve">A certificate must be prepared in accordance with paragraph (c)(7)(iii) for each of these entries. </w:t>
      </w:r>
      <w:r w:rsidR="00E31598" w:rsidRPr="004A2EE8">
        <w:rPr>
          <w:szCs w:val="22"/>
        </w:rPr>
        <w:t xml:space="preserve"> </w:t>
      </w:r>
      <w:r w:rsidR="00C40781" w:rsidRPr="004A2EE8">
        <w:rPr>
          <w:szCs w:val="22"/>
        </w:rPr>
        <w:t>OSHA estimates that it takes 3 minutes (.05 hour) to generate and maintain the certification.</w:t>
      </w:r>
    </w:p>
    <w:p w:rsidR="00C40781" w:rsidRPr="004A2EE8" w:rsidRDefault="00C40781" w:rsidP="006F183B">
      <w:pPr>
        <w:widowControl/>
        <w:rPr>
          <w:szCs w:val="22"/>
        </w:rPr>
      </w:pPr>
    </w:p>
    <w:p w:rsidR="00C40781" w:rsidRPr="004A2EE8" w:rsidRDefault="00C40781" w:rsidP="006F183B">
      <w:pPr>
        <w:widowControl/>
        <w:ind w:left="2160" w:hanging="1440"/>
        <w:rPr>
          <w:szCs w:val="22"/>
        </w:rPr>
      </w:pPr>
      <w:r w:rsidRPr="004A2EE8">
        <w:rPr>
          <w:szCs w:val="22"/>
        </w:rPr>
        <w:t>Burden hours:</w:t>
      </w:r>
      <w:r w:rsidRPr="004A2EE8">
        <w:rPr>
          <w:szCs w:val="22"/>
        </w:rPr>
        <w:tab/>
      </w:r>
      <w:r w:rsidR="009B7BAE">
        <w:rPr>
          <w:szCs w:val="22"/>
        </w:rPr>
        <w:t xml:space="preserve">187,463 </w:t>
      </w:r>
      <w:r w:rsidRPr="004A2EE8">
        <w:rPr>
          <w:szCs w:val="22"/>
        </w:rPr>
        <w:t xml:space="preserve">permit spaces to be entered annually under the reclassification × .05 hour to generate and maintain (one year retention) = </w:t>
      </w:r>
      <w:r w:rsidR="009B7BAE">
        <w:rPr>
          <w:szCs w:val="22"/>
        </w:rPr>
        <w:t xml:space="preserve">9,373 </w:t>
      </w:r>
      <w:r w:rsidRPr="004A2EE8">
        <w:rPr>
          <w:szCs w:val="22"/>
        </w:rPr>
        <w:t>hours</w:t>
      </w:r>
    </w:p>
    <w:p w:rsidR="00C40781" w:rsidRPr="004A2EE8" w:rsidRDefault="00E31598" w:rsidP="006F183B">
      <w:pPr>
        <w:widowControl/>
        <w:ind w:left="720" w:firstLine="720"/>
        <w:rPr>
          <w:szCs w:val="22"/>
        </w:rPr>
      </w:pPr>
      <w:r w:rsidRPr="004A2EE8">
        <w:rPr>
          <w:szCs w:val="22"/>
        </w:rPr>
        <w:t xml:space="preserve">  </w:t>
      </w:r>
      <w:r w:rsidR="00C40781" w:rsidRPr="004A2EE8">
        <w:rPr>
          <w:szCs w:val="22"/>
        </w:rPr>
        <w:t>Cost:</w:t>
      </w:r>
      <w:r w:rsidR="00C40781" w:rsidRPr="004A2EE8">
        <w:rPr>
          <w:szCs w:val="22"/>
        </w:rPr>
        <w:tab/>
      </w:r>
      <w:r w:rsidRPr="004A2EE8">
        <w:rPr>
          <w:szCs w:val="22"/>
        </w:rPr>
        <w:t xml:space="preserve"> </w:t>
      </w:r>
      <w:r w:rsidR="009B7BAE">
        <w:rPr>
          <w:szCs w:val="22"/>
        </w:rPr>
        <w:t xml:space="preserve">9,373 </w:t>
      </w:r>
      <w:r w:rsidR="00C40781" w:rsidRPr="004A2EE8">
        <w:rPr>
          <w:szCs w:val="22"/>
        </w:rPr>
        <w:t xml:space="preserve">hours × </w:t>
      </w:r>
      <w:r w:rsidR="008C492E">
        <w:rPr>
          <w:szCs w:val="22"/>
        </w:rPr>
        <w:t>$23.48</w:t>
      </w:r>
      <w:r w:rsidR="00C40781" w:rsidRPr="004A2EE8">
        <w:rPr>
          <w:szCs w:val="22"/>
        </w:rPr>
        <w:t xml:space="preserve"> = $</w:t>
      </w:r>
      <w:r w:rsidR="0071531F">
        <w:rPr>
          <w:szCs w:val="22"/>
        </w:rPr>
        <w:t>220,0</w:t>
      </w:r>
      <w:r w:rsidR="00645B62">
        <w:rPr>
          <w:szCs w:val="22"/>
        </w:rPr>
        <w:t>78</w:t>
      </w:r>
    </w:p>
    <w:p w:rsidR="00C40781" w:rsidRPr="004A2EE8" w:rsidRDefault="00C40781" w:rsidP="006F183B">
      <w:pPr>
        <w:widowControl/>
        <w:rPr>
          <w:szCs w:val="22"/>
        </w:rPr>
      </w:pPr>
    </w:p>
    <w:p w:rsidR="00EA0455" w:rsidRPr="0003772F" w:rsidRDefault="00EA0455" w:rsidP="00CF1F3B">
      <w:pPr>
        <w:pStyle w:val="Level1"/>
        <w:widowControl/>
        <w:numPr>
          <w:ilvl w:val="0"/>
          <w:numId w:val="0"/>
        </w:numPr>
        <w:ind w:left="720" w:hanging="720"/>
        <w:rPr>
          <w:b/>
          <w:szCs w:val="22"/>
        </w:rPr>
      </w:pPr>
      <w:r w:rsidRPr="00CF1F3B">
        <w:rPr>
          <w:b/>
          <w:szCs w:val="22"/>
        </w:rPr>
        <w:lastRenderedPageBreak/>
        <w:t xml:space="preserve">(F) </w:t>
      </w:r>
      <w:r w:rsidRPr="00CF1F3B">
        <w:rPr>
          <w:b/>
          <w:szCs w:val="22"/>
        </w:rPr>
        <w:tab/>
        <w:t>Information E</w:t>
      </w:r>
      <w:r w:rsidRPr="001D0941">
        <w:rPr>
          <w:b/>
          <w:szCs w:val="22"/>
        </w:rPr>
        <w:t>xchange –</w:t>
      </w:r>
      <w:r w:rsidRPr="00620C88">
        <w:rPr>
          <w:b/>
          <w:szCs w:val="22"/>
        </w:rPr>
        <w:t xml:space="preserve"> Host Employer and Contractor (§ 1910.146(c)(8)(i), (c)(8)(ii), (c)</w:t>
      </w:r>
      <w:r w:rsidRPr="0003772F">
        <w:rPr>
          <w:b/>
          <w:szCs w:val="22"/>
        </w:rPr>
        <w:t>(8)(iii), (c)(8)(v) and (c)(9)(iii)</w:t>
      </w:r>
      <w:r w:rsidR="0003772F">
        <w:rPr>
          <w:b/>
          <w:szCs w:val="22"/>
        </w:rPr>
        <w:t>)</w:t>
      </w:r>
    </w:p>
    <w:p w:rsidR="00EA0455" w:rsidRPr="009E0664" w:rsidRDefault="00EA0455" w:rsidP="00CF1F3B">
      <w:pPr>
        <w:pStyle w:val="Level1"/>
        <w:widowControl/>
        <w:numPr>
          <w:ilvl w:val="0"/>
          <w:numId w:val="0"/>
        </w:numPr>
        <w:ind w:left="720" w:hanging="720"/>
        <w:rPr>
          <w:b/>
          <w:szCs w:val="22"/>
        </w:rPr>
      </w:pPr>
    </w:p>
    <w:p w:rsidR="00EA0455" w:rsidRDefault="0046073C" w:rsidP="006F183B">
      <w:pPr>
        <w:pStyle w:val="Level1"/>
        <w:widowControl/>
        <w:numPr>
          <w:ilvl w:val="0"/>
          <w:numId w:val="0"/>
        </w:numPr>
        <w:rPr>
          <w:bCs/>
        </w:rPr>
      </w:pPr>
      <w:r>
        <w:rPr>
          <w:szCs w:val="22"/>
        </w:rPr>
        <w:t xml:space="preserve">The Agency believes that the information exchange requirements between employer and contractor are usual and customary communications at most establishments.  </w:t>
      </w:r>
      <w:r w:rsidR="00D75DAF">
        <w:rPr>
          <w:bCs/>
          <w:szCs w:val="22"/>
        </w:rPr>
        <w:t xml:space="preserve">The Agency has no reliable data to estimate the information exchange costs between host employers and their contractors.  </w:t>
      </w:r>
      <w:r w:rsidR="0018073B">
        <w:rPr>
          <w:bCs/>
          <w:szCs w:val="22"/>
        </w:rPr>
        <w:t xml:space="preserve">For purposes of </w:t>
      </w:r>
      <w:r w:rsidR="0018073B" w:rsidRPr="0018073B">
        <w:rPr>
          <w:bCs/>
          <w:szCs w:val="22"/>
        </w:rPr>
        <w:t>estimating burden hours and costs</w:t>
      </w:r>
      <w:r w:rsidR="00763FA9">
        <w:rPr>
          <w:bCs/>
          <w:szCs w:val="22"/>
        </w:rPr>
        <w:t xml:space="preserve"> only</w:t>
      </w:r>
      <w:r w:rsidR="0018073B" w:rsidRPr="0018073B">
        <w:rPr>
          <w:bCs/>
          <w:szCs w:val="22"/>
        </w:rPr>
        <w:t xml:space="preserve">, </w:t>
      </w:r>
      <w:r w:rsidR="00EA0455" w:rsidRPr="0018073B">
        <w:rPr>
          <w:bCs/>
          <w:szCs w:val="22"/>
        </w:rPr>
        <w:t>OSHA estimates that app</w:t>
      </w:r>
      <w:r w:rsidR="0018073B" w:rsidRPr="0018073B">
        <w:rPr>
          <w:bCs/>
          <w:szCs w:val="22"/>
        </w:rPr>
        <w:t xml:space="preserve">roximately </w:t>
      </w:r>
      <w:r w:rsidR="00420CD3">
        <w:rPr>
          <w:bCs/>
          <w:szCs w:val="22"/>
        </w:rPr>
        <w:t>2,055 establishments (</w:t>
      </w:r>
      <w:r w:rsidR="0018073B" w:rsidRPr="0018073B">
        <w:rPr>
          <w:bCs/>
        </w:rPr>
        <w:t>1% of the estimated 205,548 establis</w:t>
      </w:r>
      <w:r w:rsidR="0018073B">
        <w:rPr>
          <w:bCs/>
        </w:rPr>
        <w:t>h</w:t>
      </w:r>
      <w:r w:rsidR="0018073B" w:rsidRPr="0018073B">
        <w:rPr>
          <w:bCs/>
        </w:rPr>
        <w:t>ments with permit spaces</w:t>
      </w:r>
      <w:r w:rsidR="00420CD3">
        <w:rPr>
          <w:bCs/>
        </w:rPr>
        <w:t>)</w:t>
      </w:r>
      <w:r w:rsidR="0018073B">
        <w:rPr>
          <w:bCs/>
        </w:rPr>
        <w:t xml:space="preserve"> </w:t>
      </w:r>
      <w:r w:rsidR="00763FA9">
        <w:rPr>
          <w:bCs/>
        </w:rPr>
        <w:t xml:space="preserve">are not in compliance with the required </w:t>
      </w:r>
      <w:r w:rsidR="00565DA1">
        <w:rPr>
          <w:bCs/>
        </w:rPr>
        <w:t xml:space="preserve">communications associated with contractor </w:t>
      </w:r>
      <w:r w:rsidR="00782321">
        <w:rPr>
          <w:bCs/>
        </w:rPr>
        <w:t>permit space operations</w:t>
      </w:r>
      <w:r w:rsidR="0018073B">
        <w:rPr>
          <w:bCs/>
        </w:rPr>
        <w:t xml:space="preserve">. The Agency </w:t>
      </w:r>
      <w:r w:rsidR="00782321">
        <w:rPr>
          <w:bCs/>
        </w:rPr>
        <w:t>estimates</w:t>
      </w:r>
      <w:r w:rsidR="00420CD3">
        <w:rPr>
          <w:bCs/>
        </w:rPr>
        <w:t xml:space="preserve"> that a host</w:t>
      </w:r>
      <w:r w:rsidR="00782321">
        <w:rPr>
          <w:bCs/>
        </w:rPr>
        <w:t xml:space="preserve"> </w:t>
      </w:r>
      <w:r w:rsidR="0018073B">
        <w:rPr>
          <w:bCs/>
        </w:rPr>
        <w:t>employer would communicate with one contractor for an average of 8 minutes</w:t>
      </w:r>
      <w:r w:rsidR="006C5D63">
        <w:rPr>
          <w:bCs/>
        </w:rPr>
        <w:t xml:space="preserve"> </w:t>
      </w:r>
      <w:r w:rsidR="00325F9E">
        <w:rPr>
          <w:bCs/>
        </w:rPr>
        <w:t xml:space="preserve">(.13 hours) </w:t>
      </w:r>
      <w:r w:rsidR="006C5D63">
        <w:rPr>
          <w:bCs/>
        </w:rPr>
        <w:t>for these requirements</w:t>
      </w:r>
      <w:r w:rsidR="0018073B">
        <w:rPr>
          <w:bCs/>
        </w:rPr>
        <w:t>.</w:t>
      </w:r>
    </w:p>
    <w:p w:rsidR="00620C88" w:rsidRDefault="00620C88" w:rsidP="006F183B">
      <w:pPr>
        <w:pStyle w:val="Level1"/>
        <w:widowControl/>
        <w:numPr>
          <w:ilvl w:val="0"/>
          <w:numId w:val="0"/>
        </w:numPr>
        <w:rPr>
          <w:bCs/>
        </w:rPr>
      </w:pPr>
    </w:p>
    <w:p w:rsidR="006C5D63" w:rsidRDefault="00620C88" w:rsidP="0003772F">
      <w:pPr>
        <w:pStyle w:val="Level1"/>
        <w:widowControl/>
        <w:numPr>
          <w:ilvl w:val="0"/>
          <w:numId w:val="0"/>
        </w:numPr>
        <w:ind w:left="720"/>
        <w:rPr>
          <w:szCs w:val="22"/>
        </w:rPr>
      </w:pPr>
      <w:r w:rsidRPr="006C5D63">
        <w:rPr>
          <w:szCs w:val="22"/>
        </w:rPr>
        <w:t xml:space="preserve">Burden hours: 2,055 establishments x 2 parties x .13 hours to exchange information </w:t>
      </w:r>
      <w:r w:rsidR="006C5D63">
        <w:rPr>
          <w:szCs w:val="22"/>
        </w:rPr>
        <w:t>=</w:t>
      </w:r>
    </w:p>
    <w:p w:rsidR="006C5D63" w:rsidRDefault="006C5D63" w:rsidP="00620C88">
      <w:pPr>
        <w:pStyle w:val="Level1"/>
        <w:widowControl/>
        <w:numPr>
          <w:ilvl w:val="0"/>
          <w:numId w:val="0"/>
        </w:numPr>
        <w:ind w:firstLine="720"/>
        <w:rPr>
          <w:bCs/>
        </w:rPr>
      </w:pPr>
      <w:r>
        <w:rPr>
          <w:bCs/>
        </w:rPr>
        <w:tab/>
        <w:t xml:space="preserve">            534 hours</w:t>
      </w:r>
    </w:p>
    <w:p w:rsidR="00620C88" w:rsidRPr="0018073B" w:rsidRDefault="00620C88" w:rsidP="00620C88">
      <w:pPr>
        <w:pStyle w:val="Level1"/>
        <w:widowControl/>
        <w:numPr>
          <w:ilvl w:val="0"/>
          <w:numId w:val="0"/>
        </w:numPr>
        <w:ind w:firstLine="720"/>
        <w:rPr>
          <w:bCs/>
          <w:szCs w:val="22"/>
        </w:rPr>
      </w:pPr>
      <w:r>
        <w:rPr>
          <w:bCs/>
        </w:rPr>
        <w:t xml:space="preserve">             Cost:  534 hours x </w:t>
      </w:r>
      <w:r w:rsidR="006C5D63">
        <w:rPr>
          <w:bCs/>
        </w:rPr>
        <w:t>$57.87 = $30,903</w:t>
      </w:r>
    </w:p>
    <w:p w:rsidR="00EA0455" w:rsidRDefault="00EA0455" w:rsidP="006F183B">
      <w:pPr>
        <w:pStyle w:val="Level1"/>
        <w:widowControl/>
        <w:numPr>
          <w:ilvl w:val="0"/>
          <w:numId w:val="0"/>
        </w:numPr>
        <w:rPr>
          <w:bCs/>
          <w:szCs w:val="22"/>
        </w:rPr>
      </w:pPr>
    </w:p>
    <w:p w:rsidR="00C40781" w:rsidRPr="004A2EE8" w:rsidRDefault="00C40781" w:rsidP="006F183B">
      <w:pPr>
        <w:pStyle w:val="Level1"/>
        <w:widowControl/>
        <w:numPr>
          <w:ilvl w:val="0"/>
          <w:numId w:val="0"/>
        </w:numPr>
        <w:rPr>
          <w:szCs w:val="22"/>
        </w:rPr>
      </w:pPr>
      <w:r w:rsidRPr="004A2EE8">
        <w:rPr>
          <w:bCs/>
          <w:szCs w:val="22"/>
        </w:rPr>
        <w:t>(</w:t>
      </w:r>
      <w:r w:rsidR="007D5632">
        <w:rPr>
          <w:bCs/>
          <w:szCs w:val="22"/>
        </w:rPr>
        <w:t>G</w:t>
      </w:r>
      <w:r w:rsidRPr="004A2EE8">
        <w:rPr>
          <w:bCs/>
          <w:szCs w:val="22"/>
        </w:rPr>
        <w:t>)</w:t>
      </w:r>
      <w:r w:rsidRPr="004A2EE8">
        <w:rPr>
          <w:bCs/>
          <w:szCs w:val="22"/>
        </w:rPr>
        <w:tab/>
      </w:r>
      <w:r w:rsidRPr="004A2EE8">
        <w:rPr>
          <w:b/>
          <w:bCs/>
          <w:szCs w:val="22"/>
        </w:rPr>
        <w:t>Written entry permits (§ 1910.146(e)</w:t>
      </w:r>
      <w:r w:rsidR="00753432">
        <w:rPr>
          <w:b/>
          <w:bCs/>
          <w:szCs w:val="22"/>
        </w:rPr>
        <w:t xml:space="preserve"> and (f)</w:t>
      </w:r>
      <w:r w:rsidRPr="004A2EE8">
        <w:rPr>
          <w:b/>
          <w:bCs/>
          <w:szCs w:val="22"/>
        </w:rPr>
        <w:t>)</w:t>
      </w:r>
    </w:p>
    <w:p w:rsidR="00C40781" w:rsidRPr="004A2EE8" w:rsidRDefault="00C40781" w:rsidP="006F183B">
      <w:pPr>
        <w:widowControl/>
        <w:rPr>
          <w:szCs w:val="22"/>
        </w:rPr>
      </w:pPr>
    </w:p>
    <w:p w:rsidR="00C40781" w:rsidRPr="004A2EE8" w:rsidRDefault="008551E0" w:rsidP="006F183B">
      <w:pPr>
        <w:widowControl/>
        <w:rPr>
          <w:szCs w:val="22"/>
        </w:rPr>
      </w:pPr>
      <w:r w:rsidRPr="004A2EE8">
        <w:rPr>
          <w:szCs w:val="22"/>
        </w:rPr>
        <w:t xml:space="preserve">OSHA estimates that </w:t>
      </w:r>
      <w:r w:rsidR="00C40781" w:rsidRPr="004A2EE8">
        <w:rPr>
          <w:szCs w:val="22"/>
        </w:rPr>
        <w:t xml:space="preserve">approximately </w:t>
      </w:r>
      <w:r w:rsidR="009B7BAE">
        <w:rPr>
          <w:szCs w:val="22"/>
        </w:rPr>
        <w:t>1,780,900</w:t>
      </w:r>
      <w:r w:rsidR="00C40781" w:rsidRPr="004A2EE8">
        <w:rPr>
          <w:szCs w:val="22"/>
        </w:rPr>
        <w:t xml:space="preserve"> permit spaces will be entered each year under the full permit system.</w:t>
      </w:r>
      <w:r w:rsidR="00C40781" w:rsidRPr="004A2EE8">
        <w:rPr>
          <w:rStyle w:val="FootnoteReference"/>
          <w:sz w:val="20"/>
          <w:szCs w:val="20"/>
          <w:vertAlign w:val="superscript"/>
        </w:rPr>
        <w:footnoteReference w:id="25"/>
      </w:r>
      <w:r w:rsidR="00C40781" w:rsidRPr="004A2EE8">
        <w:rPr>
          <w:szCs w:val="22"/>
          <w:vertAlign w:val="superscript"/>
        </w:rPr>
        <w:t xml:space="preserve"> </w:t>
      </w:r>
      <w:r w:rsidR="00E31598" w:rsidRPr="004A2EE8">
        <w:rPr>
          <w:szCs w:val="22"/>
          <w:vertAlign w:val="superscript"/>
        </w:rPr>
        <w:t xml:space="preserve"> </w:t>
      </w:r>
      <w:r w:rsidRPr="004A2EE8">
        <w:rPr>
          <w:szCs w:val="22"/>
          <w:vertAlign w:val="superscript"/>
        </w:rPr>
        <w:t xml:space="preserve"> </w:t>
      </w:r>
      <w:r w:rsidR="00C40781" w:rsidRPr="004A2EE8">
        <w:rPr>
          <w:szCs w:val="22"/>
        </w:rPr>
        <w:t xml:space="preserve">A complete written permit, prepared in accordance with paragraph (f) of the standard, must be generated for each of these entries, made available to authorized entrants by posting it, and retained for one year. </w:t>
      </w:r>
      <w:r w:rsidR="00E31598" w:rsidRPr="004A2EE8">
        <w:rPr>
          <w:szCs w:val="22"/>
        </w:rPr>
        <w:t xml:space="preserve"> </w:t>
      </w:r>
      <w:r w:rsidR="00C40781" w:rsidRPr="004A2EE8">
        <w:rPr>
          <w:szCs w:val="22"/>
        </w:rPr>
        <w:t xml:space="preserve">Employers must note any problems encountered during an entry operation on the permit so that appropriate revisions to the permit space program can be made. </w:t>
      </w:r>
      <w:r w:rsidR="00E31598" w:rsidRPr="004A2EE8">
        <w:rPr>
          <w:szCs w:val="22"/>
        </w:rPr>
        <w:t xml:space="preserve"> </w:t>
      </w:r>
      <w:r w:rsidR="00C40781" w:rsidRPr="004A2EE8">
        <w:rPr>
          <w:szCs w:val="22"/>
        </w:rPr>
        <w:t>The Agency estimates it takes an average of 15 minutes (.25 hour) for a non-supervisory employee to generate, post, and maintain each entry.</w:t>
      </w:r>
    </w:p>
    <w:p w:rsidR="00C40781" w:rsidRPr="004A2EE8" w:rsidRDefault="00C40781" w:rsidP="006F183B">
      <w:pPr>
        <w:widowControl/>
        <w:rPr>
          <w:szCs w:val="22"/>
        </w:rPr>
      </w:pPr>
    </w:p>
    <w:p w:rsidR="00C40781" w:rsidRPr="004A2EE8" w:rsidRDefault="00C40781" w:rsidP="006F183B">
      <w:pPr>
        <w:widowControl/>
        <w:ind w:firstLine="720"/>
        <w:rPr>
          <w:szCs w:val="22"/>
        </w:rPr>
      </w:pPr>
      <w:r w:rsidRPr="004A2EE8">
        <w:rPr>
          <w:szCs w:val="22"/>
        </w:rPr>
        <w:t>Burden hours:</w:t>
      </w:r>
      <w:r w:rsidRPr="004A2EE8">
        <w:rPr>
          <w:szCs w:val="22"/>
        </w:rPr>
        <w:tab/>
      </w:r>
      <w:r w:rsidR="009B7BAE">
        <w:rPr>
          <w:szCs w:val="22"/>
        </w:rPr>
        <w:t xml:space="preserve">1,780,900 </w:t>
      </w:r>
      <w:r w:rsidRPr="004A2EE8">
        <w:rPr>
          <w:szCs w:val="22"/>
        </w:rPr>
        <w:t xml:space="preserve">permit spaces × .25 hour = </w:t>
      </w:r>
      <w:r w:rsidR="009B7BAE">
        <w:rPr>
          <w:szCs w:val="22"/>
        </w:rPr>
        <w:t xml:space="preserve">445,225 </w:t>
      </w:r>
      <w:r w:rsidRPr="004A2EE8">
        <w:rPr>
          <w:szCs w:val="22"/>
        </w:rPr>
        <w:t>hours</w:t>
      </w:r>
    </w:p>
    <w:p w:rsidR="00C40781" w:rsidRPr="004A2EE8" w:rsidRDefault="00E31598" w:rsidP="006F183B">
      <w:pPr>
        <w:widowControl/>
        <w:ind w:left="720" w:firstLine="720"/>
        <w:rPr>
          <w:szCs w:val="22"/>
        </w:rPr>
      </w:pPr>
      <w:r w:rsidRPr="004A2EE8">
        <w:rPr>
          <w:szCs w:val="22"/>
        </w:rPr>
        <w:t xml:space="preserve">  </w:t>
      </w:r>
      <w:r w:rsidR="00C40781" w:rsidRPr="004A2EE8">
        <w:rPr>
          <w:szCs w:val="22"/>
        </w:rPr>
        <w:t>Cost:</w:t>
      </w:r>
      <w:r w:rsidR="00C40781" w:rsidRPr="004A2EE8">
        <w:rPr>
          <w:szCs w:val="22"/>
        </w:rPr>
        <w:tab/>
      </w:r>
      <w:r w:rsidRPr="004A2EE8">
        <w:rPr>
          <w:szCs w:val="22"/>
        </w:rPr>
        <w:t xml:space="preserve"> </w:t>
      </w:r>
      <w:r w:rsidR="009B7BAE">
        <w:rPr>
          <w:szCs w:val="22"/>
        </w:rPr>
        <w:t xml:space="preserve">445,225 </w:t>
      </w:r>
      <w:r w:rsidR="00C40781" w:rsidRPr="004A2EE8">
        <w:rPr>
          <w:szCs w:val="22"/>
        </w:rPr>
        <w:t xml:space="preserve">hours × </w:t>
      </w:r>
      <w:r w:rsidR="008C492E">
        <w:rPr>
          <w:szCs w:val="22"/>
        </w:rPr>
        <w:t>$23.48</w:t>
      </w:r>
      <w:r w:rsidR="00C40781" w:rsidRPr="004A2EE8">
        <w:rPr>
          <w:szCs w:val="22"/>
        </w:rPr>
        <w:t xml:space="preserve"> = $</w:t>
      </w:r>
      <w:r w:rsidR="0071531F">
        <w:rPr>
          <w:szCs w:val="22"/>
        </w:rPr>
        <w:t>10,45</w:t>
      </w:r>
      <w:r w:rsidR="00645B62">
        <w:rPr>
          <w:szCs w:val="22"/>
        </w:rPr>
        <w:t>3,883</w:t>
      </w:r>
    </w:p>
    <w:p w:rsidR="00AA7B25" w:rsidRPr="00AA7B25" w:rsidRDefault="00AA7B25" w:rsidP="006F183B">
      <w:pPr>
        <w:widowControl/>
        <w:rPr>
          <w:bCs/>
          <w:szCs w:val="22"/>
        </w:rPr>
      </w:pPr>
    </w:p>
    <w:p w:rsidR="00C40781" w:rsidRPr="00C40781" w:rsidRDefault="00C40781" w:rsidP="006F183B">
      <w:pPr>
        <w:pStyle w:val="Level1"/>
        <w:widowControl/>
        <w:numPr>
          <w:ilvl w:val="0"/>
          <w:numId w:val="0"/>
        </w:numPr>
        <w:rPr>
          <w:szCs w:val="22"/>
        </w:rPr>
      </w:pPr>
      <w:r w:rsidRPr="00C40781">
        <w:rPr>
          <w:bCs/>
          <w:szCs w:val="22"/>
        </w:rPr>
        <w:t>(</w:t>
      </w:r>
      <w:r w:rsidR="007D5632">
        <w:rPr>
          <w:bCs/>
          <w:szCs w:val="22"/>
        </w:rPr>
        <w:t>H</w:t>
      </w:r>
      <w:r w:rsidRPr="00C40781">
        <w:rPr>
          <w:bCs/>
          <w:szCs w:val="22"/>
        </w:rPr>
        <w:t>)</w:t>
      </w:r>
      <w:r w:rsidRPr="00C40781">
        <w:rPr>
          <w:bCs/>
          <w:szCs w:val="22"/>
        </w:rPr>
        <w:tab/>
      </w:r>
      <w:r w:rsidRPr="00AE506E">
        <w:rPr>
          <w:b/>
          <w:bCs/>
          <w:szCs w:val="22"/>
        </w:rPr>
        <w:t>Certification of training (§ 1910.146(g</w:t>
      </w:r>
      <w:proofErr w:type="gramStart"/>
      <w:r w:rsidRPr="00AE506E">
        <w:rPr>
          <w:b/>
          <w:bCs/>
          <w:szCs w:val="22"/>
        </w:rPr>
        <w:t>)(</w:t>
      </w:r>
      <w:proofErr w:type="gramEnd"/>
      <w:r w:rsidRPr="00AE506E">
        <w:rPr>
          <w:b/>
          <w:bCs/>
          <w:szCs w:val="22"/>
        </w:rPr>
        <w:t>4))</w:t>
      </w:r>
    </w:p>
    <w:p w:rsidR="00C40781" w:rsidRPr="00C40781" w:rsidRDefault="00C40781" w:rsidP="006F183B">
      <w:pPr>
        <w:widowControl/>
        <w:rPr>
          <w:szCs w:val="22"/>
        </w:rPr>
      </w:pPr>
    </w:p>
    <w:p w:rsidR="00C40781" w:rsidRPr="004A2EE8" w:rsidRDefault="00C40781" w:rsidP="006F183B">
      <w:pPr>
        <w:widowControl/>
        <w:rPr>
          <w:szCs w:val="22"/>
        </w:rPr>
      </w:pPr>
      <w:r w:rsidRPr="00C40781">
        <w:rPr>
          <w:szCs w:val="22"/>
        </w:rPr>
        <w:t xml:space="preserve">A certification record of training must be maintained for all existing employees. </w:t>
      </w:r>
      <w:r w:rsidR="008551E0">
        <w:rPr>
          <w:szCs w:val="22"/>
        </w:rPr>
        <w:t xml:space="preserve"> </w:t>
      </w:r>
      <w:r w:rsidRPr="00C40781">
        <w:rPr>
          <w:szCs w:val="22"/>
        </w:rPr>
        <w:t>According</w:t>
      </w:r>
      <w:r w:rsidR="008551E0">
        <w:rPr>
          <w:szCs w:val="22"/>
        </w:rPr>
        <w:t>ly, OSHA estimates that</w:t>
      </w:r>
      <w:r w:rsidRPr="00C40781">
        <w:rPr>
          <w:szCs w:val="22"/>
        </w:rPr>
        <w:t xml:space="preserve"> there are approximately </w:t>
      </w:r>
      <w:r w:rsidR="00FC5BA4" w:rsidRPr="00FC5BA4">
        <w:rPr>
          <w:bCs/>
        </w:rPr>
        <w:t>1,463,075</w:t>
      </w:r>
      <w:r w:rsidR="00FC5BA4">
        <w:rPr>
          <w:b/>
          <w:bCs/>
        </w:rPr>
        <w:t xml:space="preserve"> </w:t>
      </w:r>
      <w:r w:rsidRPr="004A2EE8">
        <w:rPr>
          <w:szCs w:val="22"/>
        </w:rPr>
        <w:t xml:space="preserve">employees who enter permit spaces annually. </w:t>
      </w:r>
      <w:r w:rsidR="008551E0" w:rsidRPr="004A2EE8">
        <w:rPr>
          <w:szCs w:val="22"/>
        </w:rPr>
        <w:t xml:space="preserve"> </w:t>
      </w:r>
      <w:r w:rsidRPr="004A2EE8">
        <w:rPr>
          <w:szCs w:val="22"/>
        </w:rPr>
        <w:t>OSHA believes that each year 10 percent of these employees (</w:t>
      </w:r>
      <w:r w:rsidR="00FC5BA4">
        <w:rPr>
          <w:szCs w:val="22"/>
        </w:rPr>
        <w:t>146,308</w:t>
      </w:r>
      <w:r w:rsidRPr="004A2EE8">
        <w:rPr>
          <w:szCs w:val="22"/>
        </w:rPr>
        <w:t xml:space="preserve">) are considered new employees or are assigned new duties that will require that they receive new training. </w:t>
      </w:r>
      <w:r w:rsidR="008551E0" w:rsidRPr="004A2EE8">
        <w:rPr>
          <w:szCs w:val="22"/>
        </w:rPr>
        <w:t xml:space="preserve"> </w:t>
      </w:r>
      <w:r w:rsidRPr="004A2EE8">
        <w:rPr>
          <w:szCs w:val="22"/>
        </w:rPr>
        <w:t>A new record of training must be generated and maintained for these employees.</w:t>
      </w:r>
    </w:p>
    <w:p w:rsidR="00C40781" w:rsidRPr="004A2EE8" w:rsidRDefault="00C40781" w:rsidP="006F183B">
      <w:pPr>
        <w:widowControl/>
        <w:rPr>
          <w:szCs w:val="22"/>
        </w:rPr>
      </w:pPr>
    </w:p>
    <w:p w:rsidR="00C40781" w:rsidRPr="004A2EE8" w:rsidRDefault="00C40781" w:rsidP="006F183B">
      <w:pPr>
        <w:widowControl/>
        <w:rPr>
          <w:szCs w:val="22"/>
        </w:rPr>
      </w:pPr>
      <w:r w:rsidRPr="004A2EE8">
        <w:rPr>
          <w:szCs w:val="22"/>
        </w:rPr>
        <w:lastRenderedPageBreak/>
        <w:t xml:space="preserve">OSHA believes it takes one minute (.02 hour) for a secretary to maintain the training certification for each existing employees), and three minutes (.05 hour) to generate and maintain the training certification for new or retrained employees. </w:t>
      </w:r>
      <w:r w:rsidR="008551E0" w:rsidRPr="004A2EE8">
        <w:rPr>
          <w:szCs w:val="22"/>
        </w:rPr>
        <w:t xml:space="preserve"> </w:t>
      </w:r>
      <w:r w:rsidRPr="004A2EE8">
        <w:rPr>
          <w:szCs w:val="22"/>
        </w:rPr>
        <w:t>Thus, the burden hours for this provision are:</w:t>
      </w:r>
    </w:p>
    <w:p w:rsidR="004C1870" w:rsidRPr="004A2EE8" w:rsidRDefault="004C1870" w:rsidP="006F183B">
      <w:pPr>
        <w:widowControl/>
        <w:rPr>
          <w:szCs w:val="22"/>
        </w:rPr>
      </w:pPr>
    </w:p>
    <w:p w:rsidR="00E31598" w:rsidRPr="004A2EE8" w:rsidRDefault="00C40781" w:rsidP="006F183B">
      <w:pPr>
        <w:widowControl/>
        <w:ind w:firstLine="720"/>
        <w:rPr>
          <w:szCs w:val="22"/>
        </w:rPr>
      </w:pPr>
      <w:r w:rsidRPr="004A2EE8">
        <w:rPr>
          <w:szCs w:val="22"/>
        </w:rPr>
        <w:t>Burden hours:</w:t>
      </w:r>
      <w:r w:rsidRPr="004A2EE8">
        <w:rPr>
          <w:szCs w:val="22"/>
        </w:rPr>
        <w:tab/>
      </w:r>
      <w:r w:rsidR="006B1BD7">
        <w:rPr>
          <w:szCs w:val="22"/>
        </w:rPr>
        <w:t xml:space="preserve">1,316,767 </w:t>
      </w:r>
      <w:r w:rsidRPr="004A2EE8">
        <w:rPr>
          <w:szCs w:val="22"/>
        </w:rPr>
        <w:t xml:space="preserve">existing employees × .02 hour to maintain record = </w:t>
      </w:r>
      <w:r w:rsidR="006B1BD7">
        <w:rPr>
          <w:szCs w:val="22"/>
        </w:rPr>
        <w:t>26,335</w:t>
      </w:r>
    </w:p>
    <w:p w:rsidR="00C40781" w:rsidRPr="004A2EE8" w:rsidRDefault="00C40781" w:rsidP="006F183B">
      <w:pPr>
        <w:widowControl/>
        <w:ind w:left="2160"/>
        <w:rPr>
          <w:szCs w:val="22"/>
        </w:rPr>
      </w:pPr>
      <w:r w:rsidRPr="004A2EE8">
        <w:rPr>
          <w:szCs w:val="22"/>
        </w:rPr>
        <w:t xml:space="preserve"> hours</w:t>
      </w:r>
    </w:p>
    <w:p w:rsidR="00C40781" w:rsidRPr="004A2EE8" w:rsidRDefault="00AE506E" w:rsidP="006F183B">
      <w:pPr>
        <w:widowControl/>
        <w:ind w:left="720" w:firstLine="720"/>
        <w:rPr>
          <w:szCs w:val="22"/>
        </w:rPr>
      </w:pPr>
      <w:r w:rsidRPr="004A2EE8">
        <w:rPr>
          <w:szCs w:val="22"/>
        </w:rPr>
        <w:t xml:space="preserve">  Cost:</w:t>
      </w:r>
      <w:r w:rsidRPr="004A2EE8">
        <w:rPr>
          <w:szCs w:val="22"/>
        </w:rPr>
        <w:tab/>
        <w:t xml:space="preserve"> </w:t>
      </w:r>
      <w:r w:rsidR="006B1BD7">
        <w:rPr>
          <w:szCs w:val="22"/>
        </w:rPr>
        <w:t xml:space="preserve">26,335 </w:t>
      </w:r>
      <w:r w:rsidR="00C40781" w:rsidRPr="004A2EE8">
        <w:rPr>
          <w:szCs w:val="22"/>
        </w:rPr>
        <w:t xml:space="preserve">hours × </w:t>
      </w:r>
      <w:r w:rsidR="008C492E">
        <w:rPr>
          <w:szCs w:val="22"/>
        </w:rPr>
        <w:t>$27.31</w:t>
      </w:r>
      <w:r w:rsidR="00C40781" w:rsidRPr="004A2EE8">
        <w:rPr>
          <w:szCs w:val="22"/>
        </w:rPr>
        <w:t xml:space="preserve"> = $</w:t>
      </w:r>
      <w:r w:rsidR="006B1BD7">
        <w:rPr>
          <w:szCs w:val="22"/>
        </w:rPr>
        <w:t>719,</w:t>
      </w:r>
      <w:r w:rsidR="00014FC4">
        <w:rPr>
          <w:szCs w:val="22"/>
        </w:rPr>
        <w:t>209</w:t>
      </w:r>
    </w:p>
    <w:p w:rsidR="00C40781" w:rsidRPr="004A2EE8" w:rsidRDefault="00C40781" w:rsidP="006F183B">
      <w:pPr>
        <w:widowControl/>
        <w:ind w:left="720" w:firstLine="720"/>
        <w:rPr>
          <w:szCs w:val="22"/>
        </w:rPr>
      </w:pPr>
    </w:p>
    <w:p w:rsidR="00CE50BD" w:rsidRPr="004A2EE8" w:rsidRDefault="00C40781" w:rsidP="006F183B">
      <w:pPr>
        <w:widowControl/>
        <w:ind w:left="2160" w:hanging="1440"/>
        <w:rPr>
          <w:szCs w:val="22"/>
        </w:rPr>
      </w:pPr>
      <w:r w:rsidRPr="004A2EE8">
        <w:rPr>
          <w:szCs w:val="22"/>
        </w:rPr>
        <w:t>Burden hours:</w:t>
      </w:r>
      <w:r w:rsidRPr="004A2EE8">
        <w:rPr>
          <w:szCs w:val="22"/>
        </w:rPr>
        <w:tab/>
      </w:r>
      <w:r w:rsidR="00FC5BA4">
        <w:rPr>
          <w:szCs w:val="22"/>
        </w:rPr>
        <w:t xml:space="preserve">146,308 </w:t>
      </w:r>
      <w:r w:rsidRPr="004A2EE8">
        <w:rPr>
          <w:szCs w:val="22"/>
        </w:rPr>
        <w:t>new/retrained employees × .05 hour to generate and maintain record =</w:t>
      </w:r>
      <w:r w:rsidR="00FC5BA4">
        <w:rPr>
          <w:szCs w:val="22"/>
        </w:rPr>
        <w:t xml:space="preserve"> 7,315</w:t>
      </w:r>
      <w:r w:rsidR="00544D8D">
        <w:rPr>
          <w:szCs w:val="22"/>
        </w:rPr>
        <w:t xml:space="preserve"> </w:t>
      </w:r>
      <w:r w:rsidRPr="004A2EE8">
        <w:rPr>
          <w:szCs w:val="22"/>
        </w:rPr>
        <w:t>hours</w:t>
      </w:r>
    </w:p>
    <w:p w:rsidR="00C40781" w:rsidRDefault="00AE506E" w:rsidP="006F183B">
      <w:pPr>
        <w:widowControl/>
        <w:ind w:left="720" w:firstLine="720"/>
        <w:rPr>
          <w:szCs w:val="22"/>
        </w:rPr>
      </w:pPr>
      <w:r w:rsidRPr="004A2EE8">
        <w:rPr>
          <w:szCs w:val="22"/>
        </w:rPr>
        <w:t xml:space="preserve">  </w:t>
      </w:r>
      <w:r w:rsidR="00C40781" w:rsidRPr="004A2EE8">
        <w:rPr>
          <w:szCs w:val="22"/>
        </w:rPr>
        <w:t>Cost:</w:t>
      </w:r>
      <w:r w:rsidR="00C40781" w:rsidRPr="004A2EE8">
        <w:rPr>
          <w:szCs w:val="22"/>
        </w:rPr>
        <w:tab/>
      </w:r>
      <w:r w:rsidR="00FC5BA4">
        <w:rPr>
          <w:szCs w:val="22"/>
        </w:rPr>
        <w:t xml:space="preserve">7,315 </w:t>
      </w:r>
      <w:r w:rsidR="00C40781" w:rsidRPr="004A2EE8">
        <w:rPr>
          <w:szCs w:val="22"/>
        </w:rPr>
        <w:t xml:space="preserve">hours × </w:t>
      </w:r>
      <w:r w:rsidR="008C492E">
        <w:rPr>
          <w:szCs w:val="22"/>
        </w:rPr>
        <w:t>$27.31</w:t>
      </w:r>
      <w:r w:rsidR="00C40781" w:rsidRPr="004A2EE8">
        <w:rPr>
          <w:szCs w:val="22"/>
        </w:rPr>
        <w:t xml:space="preserve"> = $</w:t>
      </w:r>
      <w:r w:rsidR="0071531F">
        <w:rPr>
          <w:szCs w:val="22"/>
        </w:rPr>
        <w:t>199,7</w:t>
      </w:r>
      <w:r w:rsidR="00014FC4">
        <w:rPr>
          <w:szCs w:val="22"/>
        </w:rPr>
        <w:t>73</w:t>
      </w:r>
      <w:r w:rsidR="00645B62">
        <w:rPr>
          <w:szCs w:val="22"/>
        </w:rPr>
        <w:t xml:space="preserve"> </w:t>
      </w:r>
    </w:p>
    <w:p w:rsidR="000C69C7" w:rsidRDefault="000C69C7" w:rsidP="006F183B">
      <w:pPr>
        <w:widowControl/>
        <w:ind w:left="720" w:firstLine="720"/>
        <w:rPr>
          <w:szCs w:val="22"/>
        </w:rPr>
      </w:pPr>
    </w:p>
    <w:p w:rsidR="00AD39CD" w:rsidRDefault="00AD39CD" w:rsidP="00AD39CD">
      <w:pPr>
        <w:widowControl/>
        <w:rPr>
          <w:szCs w:val="22"/>
        </w:rPr>
      </w:pPr>
    </w:p>
    <w:p w:rsidR="00AD39CD" w:rsidRPr="00242C58" w:rsidRDefault="00AD39CD" w:rsidP="00AD39CD">
      <w:pPr>
        <w:widowControl/>
        <w:rPr>
          <w:b/>
          <w:szCs w:val="22"/>
        </w:rPr>
      </w:pPr>
      <w:r w:rsidRPr="005F521A">
        <w:rPr>
          <w:b/>
          <w:szCs w:val="22"/>
        </w:rPr>
        <w:t>(</w:t>
      </w:r>
      <w:r w:rsidR="007D5632" w:rsidRPr="005F521A">
        <w:rPr>
          <w:b/>
          <w:szCs w:val="22"/>
        </w:rPr>
        <w:t>I</w:t>
      </w:r>
      <w:r w:rsidRPr="005F521A">
        <w:rPr>
          <w:b/>
          <w:szCs w:val="22"/>
        </w:rPr>
        <w:t xml:space="preserve">) </w:t>
      </w:r>
      <w:r w:rsidRPr="005F521A">
        <w:rPr>
          <w:b/>
          <w:szCs w:val="22"/>
        </w:rPr>
        <w:tab/>
        <w:t>Information</w:t>
      </w:r>
      <w:r w:rsidRPr="00242C58">
        <w:rPr>
          <w:b/>
          <w:szCs w:val="22"/>
        </w:rPr>
        <w:t xml:space="preserve"> Exchange – Authorized Entrants</w:t>
      </w:r>
      <w:r>
        <w:rPr>
          <w:b/>
          <w:szCs w:val="22"/>
        </w:rPr>
        <w:t xml:space="preserve"> </w:t>
      </w:r>
      <w:r w:rsidRPr="00B25534">
        <w:rPr>
          <w:b/>
          <w:bCs/>
          <w:szCs w:val="22"/>
        </w:rPr>
        <w:t>(</w:t>
      </w:r>
      <w:r>
        <w:rPr>
          <w:b/>
          <w:bCs/>
          <w:szCs w:val="22"/>
        </w:rPr>
        <w:t>§ 1910.146(h)(3</w:t>
      </w:r>
      <w:r w:rsidRPr="00AE506E">
        <w:rPr>
          <w:b/>
          <w:bCs/>
          <w:szCs w:val="22"/>
        </w:rPr>
        <w:t>)</w:t>
      </w:r>
      <w:r>
        <w:rPr>
          <w:b/>
          <w:bCs/>
          <w:szCs w:val="22"/>
        </w:rPr>
        <w:t xml:space="preserve"> and h)(4))</w:t>
      </w:r>
      <w:r w:rsidR="00CF1F3B">
        <w:rPr>
          <w:b/>
          <w:bCs/>
          <w:szCs w:val="22"/>
        </w:rPr>
        <w:t xml:space="preserve"> and Attendants </w:t>
      </w:r>
      <w:r w:rsidR="00CF1F3B" w:rsidRPr="00B25534">
        <w:rPr>
          <w:b/>
          <w:bCs/>
          <w:szCs w:val="22"/>
        </w:rPr>
        <w:t>(</w:t>
      </w:r>
      <w:r w:rsidR="00CF1F3B">
        <w:rPr>
          <w:b/>
          <w:bCs/>
          <w:szCs w:val="22"/>
        </w:rPr>
        <w:t>§ 1910.146(i)(5), (i)(6), (i)(7), and (i)(8</w:t>
      </w:r>
      <w:r w:rsidR="005F521A">
        <w:rPr>
          <w:b/>
          <w:bCs/>
          <w:szCs w:val="22"/>
        </w:rPr>
        <w:t>))</w:t>
      </w:r>
    </w:p>
    <w:p w:rsidR="00CF1F3B" w:rsidRDefault="00CF1F3B" w:rsidP="00CF1F3B">
      <w:pPr>
        <w:widowControl/>
        <w:rPr>
          <w:szCs w:val="22"/>
        </w:rPr>
      </w:pPr>
    </w:p>
    <w:p w:rsidR="000D0812" w:rsidRDefault="00CF1F3B" w:rsidP="00CF1F3B">
      <w:pPr>
        <w:widowControl/>
        <w:rPr>
          <w:szCs w:val="22"/>
        </w:rPr>
      </w:pPr>
      <w:r>
        <w:rPr>
          <w:szCs w:val="22"/>
        </w:rPr>
        <w:t xml:space="preserve">The RIA estimated that </w:t>
      </w:r>
      <w:r w:rsidRPr="00B25534">
        <w:rPr>
          <w:szCs w:val="22"/>
        </w:rPr>
        <w:t>an add</w:t>
      </w:r>
      <w:r>
        <w:rPr>
          <w:szCs w:val="22"/>
        </w:rPr>
        <w:t xml:space="preserve">itional 114,352 attendants would </w:t>
      </w:r>
      <w:r w:rsidRPr="00B25534">
        <w:rPr>
          <w:szCs w:val="22"/>
        </w:rPr>
        <w:t>be</w:t>
      </w:r>
      <w:r>
        <w:rPr>
          <w:szCs w:val="22"/>
        </w:rPr>
        <w:t xml:space="preserve"> </w:t>
      </w:r>
      <w:r w:rsidRPr="00B25534">
        <w:rPr>
          <w:szCs w:val="22"/>
        </w:rPr>
        <w:t xml:space="preserve">necessary </w:t>
      </w:r>
      <w:r>
        <w:rPr>
          <w:szCs w:val="22"/>
        </w:rPr>
        <w:t>in industry to comply with the S</w:t>
      </w:r>
      <w:r w:rsidRPr="00B25534">
        <w:rPr>
          <w:szCs w:val="22"/>
        </w:rPr>
        <w:t>tandard</w:t>
      </w:r>
      <w:r>
        <w:rPr>
          <w:szCs w:val="22"/>
        </w:rPr>
        <w:t>.  Applying a ratio of the increase in employees affected by the Standard, the Agency estimate</w:t>
      </w:r>
      <w:r w:rsidR="00160FA3">
        <w:rPr>
          <w:szCs w:val="22"/>
        </w:rPr>
        <w:t>s 102,688 attendants</w:t>
      </w:r>
      <w:r>
        <w:rPr>
          <w:szCs w:val="22"/>
        </w:rPr>
        <w:t>.</w:t>
      </w:r>
      <w:r w:rsidRPr="00160FA3">
        <w:rPr>
          <w:rStyle w:val="FootnoteReference"/>
          <w:sz w:val="22"/>
          <w:szCs w:val="22"/>
          <w:vertAlign w:val="superscript"/>
        </w:rPr>
        <w:footnoteReference w:id="26"/>
      </w:r>
      <w:r>
        <w:rPr>
          <w:szCs w:val="22"/>
        </w:rPr>
        <w:t xml:space="preserve">  The Agency estimates that an attendant would engage in 15 minutes </w:t>
      </w:r>
      <w:r w:rsidR="00C22298">
        <w:rPr>
          <w:szCs w:val="22"/>
        </w:rPr>
        <w:t xml:space="preserve">(.25 hours) </w:t>
      </w:r>
      <w:r>
        <w:rPr>
          <w:szCs w:val="22"/>
        </w:rPr>
        <w:t xml:space="preserve">of communication, on average, with authorized entrants.  </w:t>
      </w:r>
    </w:p>
    <w:p w:rsidR="000D0812" w:rsidRDefault="000D0812" w:rsidP="00AD39CD">
      <w:pPr>
        <w:widowControl/>
        <w:rPr>
          <w:szCs w:val="22"/>
        </w:rPr>
      </w:pPr>
    </w:p>
    <w:p w:rsidR="0046073C" w:rsidRDefault="00AD39CD" w:rsidP="0046073C">
      <w:pPr>
        <w:widowControl/>
        <w:rPr>
          <w:szCs w:val="22"/>
        </w:rPr>
      </w:pPr>
      <w:r>
        <w:rPr>
          <w:szCs w:val="22"/>
        </w:rPr>
        <w:t xml:space="preserve">The Agency has no reliable data on which to estimate the number of authorized entrants engaged in communications with an attendant during permit space operations.  </w:t>
      </w:r>
      <w:r w:rsidR="00CF1F3B">
        <w:rPr>
          <w:szCs w:val="22"/>
        </w:rPr>
        <w:t>For purposes of estimating burden hours and costs</w:t>
      </w:r>
      <w:r w:rsidR="006C5D63">
        <w:rPr>
          <w:szCs w:val="22"/>
        </w:rPr>
        <w:t xml:space="preserve"> only</w:t>
      </w:r>
      <w:r w:rsidR="00CF1F3B">
        <w:rPr>
          <w:szCs w:val="22"/>
        </w:rPr>
        <w:t>, the Agency estimates that one authorized entrant will communicate with each attendant</w:t>
      </w:r>
      <w:r w:rsidR="00620C88">
        <w:rPr>
          <w:szCs w:val="22"/>
        </w:rPr>
        <w:t xml:space="preserve"> not in compliance</w:t>
      </w:r>
      <w:r w:rsidR="00CF1F3B">
        <w:rPr>
          <w:szCs w:val="22"/>
        </w:rPr>
        <w:t>.</w:t>
      </w:r>
    </w:p>
    <w:p w:rsidR="001D0941" w:rsidRDefault="001D0941" w:rsidP="0046073C">
      <w:pPr>
        <w:widowControl/>
        <w:rPr>
          <w:szCs w:val="22"/>
        </w:rPr>
      </w:pPr>
    </w:p>
    <w:p w:rsidR="00AD39CD" w:rsidRDefault="001D0941" w:rsidP="001D0941">
      <w:pPr>
        <w:widowControl/>
        <w:ind w:left="2160" w:hanging="1440"/>
        <w:rPr>
          <w:szCs w:val="22"/>
        </w:rPr>
      </w:pPr>
      <w:r w:rsidRPr="004A2EE8">
        <w:rPr>
          <w:szCs w:val="22"/>
        </w:rPr>
        <w:t>Burden hours:</w:t>
      </w:r>
      <w:r w:rsidRPr="004A2EE8">
        <w:rPr>
          <w:szCs w:val="22"/>
        </w:rPr>
        <w:tab/>
      </w:r>
      <w:r>
        <w:rPr>
          <w:szCs w:val="22"/>
        </w:rPr>
        <w:t>(102,688 attendants + 102,688 authorized entrants) x .25 hours to   communicate = 51,344 hours</w:t>
      </w:r>
    </w:p>
    <w:p w:rsidR="001D0941" w:rsidRDefault="001D0941" w:rsidP="001D0941">
      <w:pPr>
        <w:widowControl/>
        <w:ind w:left="2160" w:hanging="1440"/>
        <w:rPr>
          <w:szCs w:val="22"/>
        </w:rPr>
      </w:pPr>
      <w:r>
        <w:rPr>
          <w:szCs w:val="22"/>
        </w:rPr>
        <w:t xml:space="preserve">              Cost:  51,344 hours x $23.48 = $1,205,557</w:t>
      </w:r>
    </w:p>
    <w:p w:rsidR="00451316" w:rsidRDefault="00451316" w:rsidP="001D0941">
      <w:pPr>
        <w:widowControl/>
        <w:ind w:left="2160" w:hanging="1440"/>
        <w:rPr>
          <w:szCs w:val="22"/>
        </w:rPr>
      </w:pPr>
    </w:p>
    <w:p w:rsidR="00451316" w:rsidRDefault="00451316" w:rsidP="00451316">
      <w:pPr>
        <w:widowControl/>
        <w:rPr>
          <w:szCs w:val="22"/>
        </w:rPr>
      </w:pPr>
      <w:r>
        <w:rPr>
          <w:szCs w:val="22"/>
        </w:rPr>
        <w:t xml:space="preserve">In addition, </w:t>
      </w:r>
      <w:r w:rsidRPr="00B632B0">
        <w:rPr>
          <w:szCs w:val="22"/>
        </w:rPr>
        <w:t>for the one per cent (</w:t>
      </w:r>
      <w:r w:rsidR="00E31377">
        <w:rPr>
          <w:szCs w:val="22"/>
        </w:rPr>
        <w:t>44,835</w:t>
      </w:r>
      <w:r w:rsidRPr="00B632B0">
        <w:rPr>
          <w:szCs w:val="22"/>
        </w:rPr>
        <w:t xml:space="preserve">) of </w:t>
      </w:r>
      <w:r>
        <w:rPr>
          <w:szCs w:val="22"/>
        </w:rPr>
        <w:t>entries (</w:t>
      </w:r>
      <w:r w:rsidR="00E31377">
        <w:rPr>
          <w:szCs w:val="22"/>
        </w:rPr>
        <w:t xml:space="preserve">one percent of </w:t>
      </w:r>
      <w:r w:rsidR="00E31377" w:rsidRPr="00E31377">
        <w:rPr>
          <w:szCs w:val="22"/>
        </w:rPr>
        <w:t xml:space="preserve">the </w:t>
      </w:r>
      <w:r w:rsidRPr="00E31377">
        <w:rPr>
          <w:bCs/>
        </w:rPr>
        <w:t>4,483,473</w:t>
      </w:r>
      <w:r w:rsidR="00E31377" w:rsidRPr="00E31377">
        <w:rPr>
          <w:bCs/>
        </w:rPr>
        <w:t xml:space="preserve"> total permit spaces)</w:t>
      </w:r>
      <w:r w:rsidRPr="00E31377">
        <w:rPr>
          <w:szCs w:val="22"/>
        </w:rPr>
        <w:t xml:space="preserve"> which an attendant observes unsafe conditions, one minute (.02 hours) to alert authorized entrants of the need to evacuate the</w:t>
      </w:r>
      <w:r w:rsidR="005F521A">
        <w:rPr>
          <w:szCs w:val="22"/>
        </w:rPr>
        <w:t xml:space="preserve"> permit space</w:t>
      </w:r>
      <w:r w:rsidRPr="00E31377">
        <w:rPr>
          <w:szCs w:val="22"/>
        </w:rPr>
        <w:t xml:space="preserve">; for the </w:t>
      </w:r>
      <w:r w:rsidR="00E31377">
        <w:rPr>
          <w:szCs w:val="22"/>
        </w:rPr>
        <w:t>448</w:t>
      </w:r>
      <w:r w:rsidRPr="00E31377">
        <w:rPr>
          <w:szCs w:val="22"/>
        </w:rPr>
        <w:t xml:space="preserve"> entries estimated to</w:t>
      </w:r>
      <w:r w:rsidRPr="00B632B0">
        <w:rPr>
          <w:szCs w:val="22"/>
        </w:rPr>
        <w:t xml:space="preserve"> involve rescue operations</w:t>
      </w:r>
      <w:r w:rsidR="00E31377">
        <w:rPr>
          <w:szCs w:val="22"/>
        </w:rPr>
        <w:t xml:space="preserve"> (see below)</w:t>
      </w:r>
      <w:r w:rsidRPr="00B632B0">
        <w:rPr>
          <w:szCs w:val="22"/>
        </w:rPr>
        <w:t xml:space="preserve">, two minutes (.03 hours) to recognize unsafe conditions, summon rescue </w:t>
      </w:r>
      <w:r>
        <w:rPr>
          <w:szCs w:val="22"/>
        </w:rPr>
        <w:t>(</w:t>
      </w:r>
      <w:r w:rsidRPr="00B632B0">
        <w:rPr>
          <w:szCs w:val="22"/>
        </w:rPr>
        <w:t>and other emergency services</w:t>
      </w:r>
      <w:r>
        <w:rPr>
          <w:szCs w:val="22"/>
        </w:rPr>
        <w:t>, if necessary)</w:t>
      </w:r>
      <w:r w:rsidRPr="00B632B0">
        <w:rPr>
          <w:szCs w:val="22"/>
        </w:rPr>
        <w:t xml:space="preserve"> as soon as the attendant determines that assistance is needed, and inform the employer when a non-entry or entry rescue begins or an authorized entrant may need medical aid or assistance in escaping from the</w:t>
      </w:r>
      <w:r w:rsidR="005F521A">
        <w:rPr>
          <w:szCs w:val="22"/>
        </w:rPr>
        <w:t xml:space="preserve"> permit space</w:t>
      </w:r>
      <w:r w:rsidRPr="00B632B0">
        <w:rPr>
          <w:szCs w:val="22"/>
        </w:rPr>
        <w:t xml:space="preserve">; and, for ten </w:t>
      </w:r>
      <w:r w:rsidRPr="00B632B0">
        <w:rPr>
          <w:szCs w:val="22"/>
        </w:rPr>
        <w:lastRenderedPageBreak/>
        <w:t>percent (</w:t>
      </w:r>
      <w:r w:rsidR="005F521A">
        <w:rPr>
          <w:szCs w:val="22"/>
        </w:rPr>
        <w:t>448,347</w:t>
      </w:r>
      <w:r w:rsidRPr="00B632B0">
        <w:rPr>
          <w:szCs w:val="22"/>
        </w:rPr>
        <w:t xml:space="preserve">) of these </w:t>
      </w:r>
      <w:r w:rsidR="005F521A">
        <w:rPr>
          <w:szCs w:val="22"/>
        </w:rPr>
        <w:t>entrie</w:t>
      </w:r>
      <w:r w:rsidRPr="00B632B0">
        <w:rPr>
          <w:szCs w:val="22"/>
        </w:rPr>
        <w:t xml:space="preserve">s, one minute (.02 hours) to warn any individual who is not an authorized entrant and approaches a </w:t>
      </w:r>
      <w:r w:rsidR="00921256">
        <w:rPr>
          <w:szCs w:val="22"/>
        </w:rPr>
        <w:t xml:space="preserve">permit space </w:t>
      </w:r>
      <w:r w:rsidRPr="00B632B0">
        <w:rPr>
          <w:szCs w:val="22"/>
        </w:rPr>
        <w:t xml:space="preserve">during entry operations to stay away from the </w:t>
      </w:r>
      <w:r w:rsidR="005F521A">
        <w:rPr>
          <w:szCs w:val="22"/>
        </w:rPr>
        <w:t xml:space="preserve">permit space </w:t>
      </w:r>
      <w:r w:rsidRPr="00B632B0">
        <w:rPr>
          <w:szCs w:val="22"/>
        </w:rPr>
        <w:t xml:space="preserve">or to exit the </w:t>
      </w:r>
      <w:r w:rsidR="005F521A">
        <w:rPr>
          <w:szCs w:val="22"/>
        </w:rPr>
        <w:t xml:space="preserve">permit space </w:t>
      </w:r>
      <w:r w:rsidRPr="00B632B0">
        <w:rPr>
          <w:szCs w:val="22"/>
        </w:rPr>
        <w:t>if that individual enters the</w:t>
      </w:r>
      <w:r w:rsidR="005F521A">
        <w:rPr>
          <w:szCs w:val="22"/>
        </w:rPr>
        <w:t xml:space="preserve"> permit space</w:t>
      </w:r>
      <w:r w:rsidRPr="00B632B0">
        <w:rPr>
          <w:szCs w:val="22"/>
        </w:rPr>
        <w:t>, as well as to inform the authorized entrant and entry supervisor of any such unauthorized entry.</w:t>
      </w:r>
    </w:p>
    <w:p w:rsidR="00451316" w:rsidRDefault="00451316" w:rsidP="00451316">
      <w:pPr>
        <w:widowControl/>
        <w:rPr>
          <w:szCs w:val="22"/>
        </w:rPr>
      </w:pPr>
    </w:p>
    <w:p w:rsidR="000D0812" w:rsidRDefault="000D0812" w:rsidP="001D0941">
      <w:pPr>
        <w:widowControl/>
        <w:ind w:left="2160" w:hanging="1440"/>
        <w:rPr>
          <w:szCs w:val="22"/>
        </w:rPr>
      </w:pPr>
      <w:r>
        <w:rPr>
          <w:szCs w:val="22"/>
        </w:rPr>
        <w:t xml:space="preserve">Burden hours: </w:t>
      </w:r>
      <w:r w:rsidR="005F521A">
        <w:rPr>
          <w:szCs w:val="22"/>
        </w:rPr>
        <w:t>44,835 entries x .02 hours (evacuation alert) =</w:t>
      </w:r>
      <w:r w:rsidR="007858F9">
        <w:rPr>
          <w:szCs w:val="22"/>
        </w:rPr>
        <w:t xml:space="preserve"> 897 hours</w:t>
      </w:r>
    </w:p>
    <w:p w:rsidR="005F521A" w:rsidRDefault="005F521A" w:rsidP="0003772F">
      <w:pPr>
        <w:widowControl/>
        <w:ind w:left="2160" w:hanging="720"/>
        <w:rPr>
          <w:szCs w:val="22"/>
        </w:rPr>
      </w:pPr>
      <w:r>
        <w:rPr>
          <w:szCs w:val="22"/>
        </w:rPr>
        <w:t xml:space="preserve">  Cost:</w:t>
      </w:r>
      <w:r w:rsidR="007858F9">
        <w:rPr>
          <w:szCs w:val="22"/>
        </w:rPr>
        <w:t xml:space="preserve">  897 hours x $57.87 = $51,909</w:t>
      </w:r>
    </w:p>
    <w:p w:rsidR="005F521A" w:rsidRDefault="005F521A" w:rsidP="001D0941">
      <w:pPr>
        <w:widowControl/>
        <w:ind w:left="2160" w:hanging="1440"/>
        <w:rPr>
          <w:szCs w:val="22"/>
        </w:rPr>
      </w:pPr>
    </w:p>
    <w:p w:rsidR="005F521A" w:rsidRDefault="005F521A" w:rsidP="001D0941">
      <w:pPr>
        <w:widowControl/>
        <w:ind w:left="2160" w:hanging="1440"/>
        <w:rPr>
          <w:szCs w:val="22"/>
        </w:rPr>
      </w:pPr>
      <w:r>
        <w:rPr>
          <w:szCs w:val="22"/>
        </w:rPr>
        <w:t>Burden hours:  448 entries x .03 hours (rescue operations) =</w:t>
      </w:r>
      <w:r w:rsidR="007858F9">
        <w:rPr>
          <w:szCs w:val="22"/>
        </w:rPr>
        <w:t xml:space="preserve"> 13 hours</w:t>
      </w:r>
    </w:p>
    <w:p w:rsidR="005F521A" w:rsidRDefault="005F521A" w:rsidP="0003772F">
      <w:pPr>
        <w:widowControl/>
        <w:ind w:left="2160" w:hanging="720"/>
        <w:rPr>
          <w:szCs w:val="22"/>
        </w:rPr>
      </w:pPr>
      <w:r>
        <w:rPr>
          <w:szCs w:val="22"/>
        </w:rPr>
        <w:t xml:space="preserve"> Cost:</w:t>
      </w:r>
      <w:r w:rsidR="007858F9">
        <w:rPr>
          <w:szCs w:val="22"/>
        </w:rPr>
        <w:t xml:space="preserve">   13 hours x $57.87 = $752</w:t>
      </w:r>
    </w:p>
    <w:p w:rsidR="005F521A" w:rsidRDefault="005F521A" w:rsidP="001D0941">
      <w:pPr>
        <w:widowControl/>
        <w:ind w:left="2160" w:hanging="1440"/>
        <w:rPr>
          <w:szCs w:val="22"/>
        </w:rPr>
      </w:pPr>
    </w:p>
    <w:p w:rsidR="005F521A" w:rsidRDefault="005F521A" w:rsidP="001D0941">
      <w:pPr>
        <w:widowControl/>
        <w:ind w:left="2160" w:hanging="1440"/>
        <w:rPr>
          <w:szCs w:val="22"/>
        </w:rPr>
      </w:pPr>
      <w:r>
        <w:rPr>
          <w:szCs w:val="22"/>
        </w:rPr>
        <w:t>Burden hours: 448,347 entries x .02 hours (warn non-entrants) =</w:t>
      </w:r>
      <w:r w:rsidR="007858F9">
        <w:rPr>
          <w:szCs w:val="22"/>
        </w:rPr>
        <w:t xml:space="preserve"> 8,967</w:t>
      </w:r>
    </w:p>
    <w:p w:rsidR="005F521A" w:rsidRDefault="005F521A" w:rsidP="001D0941">
      <w:pPr>
        <w:widowControl/>
        <w:ind w:left="2160" w:hanging="1440"/>
        <w:rPr>
          <w:szCs w:val="22"/>
        </w:rPr>
      </w:pPr>
      <w:r>
        <w:rPr>
          <w:szCs w:val="22"/>
        </w:rPr>
        <w:t xml:space="preserve">            Cost:</w:t>
      </w:r>
      <w:r w:rsidR="007858F9">
        <w:rPr>
          <w:szCs w:val="22"/>
        </w:rPr>
        <w:t xml:space="preserve">   8,967 hours x $57.87 = $518,920</w:t>
      </w:r>
    </w:p>
    <w:p w:rsidR="005F521A" w:rsidRDefault="005F521A" w:rsidP="001D0941">
      <w:pPr>
        <w:widowControl/>
        <w:ind w:left="2160" w:hanging="1440"/>
        <w:rPr>
          <w:szCs w:val="22"/>
        </w:rPr>
      </w:pPr>
    </w:p>
    <w:p w:rsidR="005F521A" w:rsidRDefault="005F521A" w:rsidP="001D0941">
      <w:pPr>
        <w:widowControl/>
        <w:ind w:left="2160" w:hanging="1440"/>
        <w:rPr>
          <w:szCs w:val="22"/>
        </w:rPr>
      </w:pPr>
      <w:r>
        <w:rPr>
          <w:szCs w:val="22"/>
        </w:rPr>
        <w:t>Total Burden Hours:</w:t>
      </w:r>
      <w:r w:rsidR="007858F9">
        <w:rPr>
          <w:szCs w:val="22"/>
        </w:rPr>
        <w:t xml:space="preserve">  897 + 13 + 8,967 = 9,877</w:t>
      </w:r>
    </w:p>
    <w:p w:rsidR="005F521A" w:rsidRDefault="005F521A" w:rsidP="001D0941">
      <w:pPr>
        <w:widowControl/>
        <w:ind w:left="2160" w:hanging="1440"/>
        <w:rPr>
          <w:szCs w:val="22"/>
        </w:rPr>
      </w:pPr>
      <w:r>
        <w:rPr>
          <w:szCs w:val="22"/>
        </w:rPr>
        <w:t>Total Costs:</w:t>
      </w:r>
      <w:r w:rsidR="007858F9">
        <w:rPr>
          <w:szCs w:val="22"/>
        </w:rPr>
        <w:t xml:space="preserve"> $51,909 + $752 + $518,920 = $571,581</w:t>
      </w:r>
    </w:p>
    <w:p w:rsidR="005F521A" w:rsidRDefault="005F521A" w:rsidP="001D0941">
      <w:pPr>
        <w:widowControl/>
        <w:ind w:left="2160" w:hanging="1440"/>
        <w:rPr>
          <w:szCs w:val="22"/>
        </w:rPr>
      </w:pPr>
    </w:p>
    <w:p w:rsidR="007858F9" w:rsidRDefault="007858F9" w:rsidP="001D0941">
      <w:pPr>
        <w:widowControl/>
        <w:ind w:left="2160" w:hanging="1440"/>
        <w:rPr>
          <w:szCs w:val="22"/>
        </w:rPr>
      </w:pPr>
    </w:p>
    <w:p w:rsidR="005F521A" w:rsidRPr="005F521A" w:rsidRDefault="005F521A" w:rsidP="001D0941">
      <w:pPr>
        <w:widowControl/>
        <w:ind w:left="2160" w:hanging="1440"/>
        <w:rPr>
          <w:b/>
          <w:szCs w:val="22"/>
        </w:rPr>
      </w:pPr>
      <w:r w:rsidRPr="005F521A">
        <w:rPr>
          <w:b/>
          <w:szCs w:val="22"/>
        </w:rPr>
        <w:t>Total Attendant and Authorized Entrant Burden Hours:</w:t>
      </w:r>
      <w:r w:rsidR="007858F9">
        <w:rPr>
          <w:b/>
          <w:szCs w:val="22"/>
        </w:rPr>
        <w:t xml:space="preserve"> 51,344 + 9,877 = 61,221</w:t>
      </w:r>
    </w:p>
    <w:p w:rsidR="005F521A" w:rsidRPr="005F521A" w:rsidRDefault="005F521A" w:rsidP="001D0941">
      <w:pPr>
        <w:widowControl/>
        <w:ind w:left="2160" w:hanging="1440"/>
        <w:rPr>
          <w:b/>
          <w:szCs w:val="22"/>
        </w:rPr>
      </w:pPr>
      <w:r w:rsidRPr="005F521A">
        <w:rPr>
          <w:b/>
          <w:szCs w:val="22"/>
        </w:rPr>
        <w:t>Total Attendant and Authorized Entrant Cost:</w:t>
      </w:r>
      <w:r w:rsidR="007858F9">
        <w:rPr>
          <w:b/>
          <w:szCs w:val="22"/>
        </w:rPr>
        <w:t xml:space="preserve"> $1,205,557 + $571,581 = $1,777,138</w:t>
      </w:r>
    </w:p>
    <w:p w:rsidR="00B25534" w:rsidRDefault="00B25534" w:rsidP="006F183B">
      <w:pPr>
        <w:widowControl/>
        <w:rPr>
          <w:szCs w:val="22"/>
        </w:rPr>
      </w:pPr>
    </w:p>
    <w:p w:rsidR="005A1C5E" w:rsidRPr="005A1C5E" w:rsidRDefault="007D5632" w:rsidP="005A1C5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contextualSpacing/>
        <w:rPr>
          <w:b/>
          <w:bCs/>
          <w:szCs w:val="22"/>
        </w:rPr>
      </w:pPr>
      <w:r>
        <w:rPr>
          <w:bCs/>
        </w:rPr>
        <w:t>(</w:t>
      </w:r>
      <w:r w:rsidR="009E0664">
        <w:rPr>
          <w:bCs/>
        </w:rPr>
        <w:t>J</w:t>
      </w:r>
      <w:r w:rsidR="005A1C5E">
        <w:rPr>
          <w:bCs/>
        </w:rPr>
        <w:t xml:space="preserve">) </w:t>
      </w:r>
      <w:r w:rsidR="005A1C5E">
        <w:rPr>
          <w:bCs/>
        </w:rPr>
        <w:tab/>
      </w:r>
      <w:r w:rsidR="005A1C5E" w:rsidRPr="005A1C5E">
        <w:rPr>
          <w:b/>
          <w:bCs/>
        </w:rPr>
        <w:t>Informing the Rescue Service About the Hazards of the Space</w:t>
      </w:r>
      <w:r w:rsidR="005A1C5E">
        <w:rPr>
          <w:b/>
          <w:bCs/>
        </w:rPr>
        <w:t xml:space="preserve"> </w:t>
      </w:r>
      <w:r w:rsidR="005A1C5E" w:rsidRPr="00B25534">
        <w:rPr>
          <w:b/>
          <w:bCs/>
          <w:szCs w:val="22"/>
        </w:rPr>
        <w:t>(</w:t>
      </w:r>
      <w:r w:rsidR="005A1C5E">
        <w:rPr>
          <w:b/>
          <w:bCs/>
          <w:szCs w:val="22"/>
        </w:rPr>
        <w:t>§ 1910.146</w:t>
      </w:r>
      <w:r w:rsidR="005A1C5E" w:rsidRPr="005A1C5E">
        <w:rPr>
          <w:b/>
          <w:bCs/>
          <w:szCs w:val="22"/>
        </w:rPr>
        <w:t xml:space="preserve"> </w:t>
      </w:r>
      <w:r w:rsidR="005A1C5E">
        <w:rPr>
          <w:b/>
          <w:bCs/>
          <w:szCs w:val="22"/>
        </w:rPr>
        <w:t>(k</w:t>
      </w:r>
      <w:proofErr w:type="gramStart"/>
      <w:r w:rsidR="005A1C5E">
        <w:rPr>
          <w:b/>
          <w:bCs/>
          <w:szCs w:val="22"/>
        </w:rPr>
        <w:t>)(</w:t>
      </w:r>
      <w:proofErr w:type="gramEnd"/>
      <w:r w:rsidR="005A1C5E">
        <w:rPr>
          <w:b/>
          <w:bCs/>
          <w:szCs w:val="22"/>
        </w:rPr>
        <w:t>1)(iv))</w:t>
      </w:r>
    </w:p>
    <w:p w:rsidR="005A1C5E" w:rsidRPr="005A1C5E" w:rsidRDefault="005A1C5E" w:rsidP="005A1C5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Cs w:val="22"/>
        </w:rPr>
      </w:pPr>
      <w:r>
        <w:rPr>
          <w:b/>
          <w:bCs/>
          <w:szCs w:val="22"/>
        </w:rPr>
        <w:t xml:space="preserve"> </w:t>
      </w:r>
    </w:p>
    <w:p w:rsidR="005A1C5E" w:rsidRPr="005A1C5E" w:rsidRDefault="005A1C5E" w:rsidP="005A1C5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Cs w:val="22"/>
        </w:rPr>
      </w:pPr>
      <w:r>
        <w:rPr>
          <w:bCs/>
          <w:szCs w:val="22"/>
        </w:rPr>
        <w:t xml:space="preserve">The Agency has no reliable data on which to estimate the number of in-house permit space rescues </w:t>
      </w:r>
      <w:r w:rsidR="006225BC">
        <w:rPr>
          <w:bCs/>
          <w:szCs w:val="22"/>
        </w:rPr>
        <w:t xml:space="preserve">that </w:t>
      </w:r>
      <w:r>
        <w:rPr>
          <w:bCs/>
          <w:szCs w:val="22"/>
        </w:rPr>
        <w:t>occur each year. For the purpose of estimating burden hours and costs only, t</w:t>
      </w:r>
      <w:r w:rsidRPr="005A1C5E">
        <w:rPr>
          <w:bCs/>
          <w:szCs w:val="22"/>
        </w:rPr>
        <w:t xml:space="preserve">he Agency estimates that </w:t>
      </w:r>
      <w:r w:rsidR="00E31377">
        <w:rPr>
          <w:bCs/>
          <w:szCs w:val="22"/>
        </w:rPr>
        <w:t>448</w:t>
      </w:r>
      <w:r w:rsidR="00420CD3">
        <w:rPr>
          <w:bCs/>
          <w:szCs w:val="22"/>
        </w:rPr>
        <w:t xml:space="preserve"> establishments (</w:t>
      </w:r>
      <w:r>
        <w:rPr>
          <w:bCs/>
          <w:szCs w:val="22"/>
        </w:rPr>
        <w:t xml:space="preserve">one </w:t>
      </w:r>
      <w:r w:rsidR="00E31377">
        <w:rPr>
          <w:bCs/>
          <w:szCs w:val="22"/>
        </w:rPr>
        <w:t xml:space="preserve">thousandth </w:t>
      </w:r>
      <w:r>
        <w:rPr>
          <w:bCs/>
          <w:szCs w:val="22"/>
        </w:rPr>
        <w:t xml:space="preserve">of </w:t>
      </w:r>
      <w:r w:rsidR="00420CD3">
        <w:rPr>
          <w:bCs/>
          <w:szCs w:val="22"/>
        </w:rPr>
        <w:t xml:space="preserve">one percent </w:t>
      </w:r>
      <w:r>
        <w:rPr>
          <w:bCs/>
          <w:szCs w:val="22"/>
        </w:rPr>
        <w:t xml:space="preserve">of the </w:t>
      </w:r>
      <w:r w:rsidR="00E31377" w:rsidRPr="00091A9D">
        <w:rPr>
          <w:bCs/>
        </w:rPr>
        <w:t>4,483,473</w:t>
      </w:r>
      <w:r w:rsidR="00E31377">
        <w:rPr>
          <w:b/>
          <w:bCs/>
        </w:rPr>
        <w:t xml:space="preserve"> </w:t>
      </w:r>
      <w:r>
        <w:rPr>
          <w:bCs/>
          <w:szCs w:val="22"/>
        </w:rPr>
        <w:t>permit space establishments</w:t>
      </w:r>
      <w:r w:rsidR="00420CD3">
        <w:rPr>
          <w:bCs/>
          <w:szCs w:val="22"/>
        </w:rPr>
        <w:t xml:space="preserve">) would experience an </w:t>
      </w:r>
      <w:r w:rsidRPr="005A1C5E">
        <w:rPr>
          <w:bCs/>
          <w:szCs w:val="22"/>
        </w:rPr>
        <w:t>in-house rescue per year.  The Agency estimates that it would take two minutes (.03 hours) to inform the rescue service of the hazards they may confront when called on to perform rescue at the site</w:t>
      </w:r>
      <w:r w:rsidRPr="005A1C5E">
        <w:rPr>
          <w:bCs/>
          <w:spacing w:val="-10"/>
        </w:rPr>
        <w:t xml:space="preserve">.  </w:t>
      </w:r>
      <w:r w:rsidRPr="005A1C5E">
        <w:rPr>
          <w:bCs/>
          <w:szCs w:val="22"/>
        </w:rPr>
        <w:t>OSHA determines that the burden hours and cost of this provision each year to be:</w:t>
      </w:r>
    </w:p>
    <w:p w:rsidR="005A1C5E" w:rsidRPr="005A1C5E" w:rsidRDefault="005A1C5E" w:rsidP="005A1C5E">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Cs/>
        </w:rPr>
      </w:pPr>
    </w:p>
    <w:p w:rsidR="005A1C5E" w:rsidRDefault="005A1C5E" w:rsidP="005A1C5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rPr>
          <w:bCs/>
          <w:szCs w:val="22"/>
        </w:rPr>
      </w:pPr>
      <w:r w:rsidRPr="005A1C5E">
        <w:rPr>
          <w:bCs/>
        </w:rPr>
        <w:t xml:space="preserve">Burden hours:  </w:t>
      </w:r>
      <w:r w:rsidR="00E31377">
        <w:rPr>
          <w:bCs/>
        </w:rPr>
        <w:t>448</w:t>
      </w:r>
      <w:r w:rsidRPr="005A1C5E">
        <w:rPr>
          <w:bCs/>
        </w:rPr>
        <w:t xml:space="preserve"> entry rescues x</w:t>
      </w:r>
      <w:r w:rsidR="001D0941">
        <w:rPr>
          <w:bCs/>
        </w:rPr>
        <w:t xml:space="preserve"> .03 hours to </w:t>
      </w:r>
      <w:r w:rsidRPr="005A1C5E">
        <w:rPr>
          <w:bCs/>
        </w:rPr>
        <w:t>inform</w:t>
      </w:r>
      <w:r w:rsidRPr="005A1C5E">
        <w:rPr>
          <w:bCs/>
          <w:szCs w:val="22"/>
        </w:rPr>
        <w:t xml:space="preserve"> </w:t>
      </w:r>
      <w:proofErr w:type="gramStart"/>
      <w:r w:rsidRPr="005A1C5E">
        <w:rPr>
          <w:bCs/>
          <w:szCs w:val="22"/>
        </w:rPr>
        <w:t xml:space="preserve">=  </w:t>
      </w:r>
      <w:r w:rsidR="00E31377">
        <w:rPr>
          <w:bCs/>
          <w:szCs w:val="22"/>
        </w:rPr>
        <w:t>13</w:t>
      </w:r>
      <w:proofErr w:type="gramEnd"/>
      <w:r w:rsidR="00620C88">
        <w:rPr>
          <w:bCs/>
          <w:szCs w:val="22"/>
        </w:rPr>
        <w:t xml:space="preserve"> </w:t>
      </w:r>
      <w:r w:rsidRPr="005A1C5E">
        <w:rPr>
          <w:bCs/>
          <w:szCs w:val="22"/>
        </w:rPr>
        <w:t xml:space="preserve">hours </w:t>
      </w:r>
    </w:p>
    <w:p w:rsidR="00620C88" w:rsidRPr="005A1C5E" w:rsidRDefault="00620C88" w:rsidP="005A1C5E">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rPr>
          <w:bCs/>
        </w:rPr>
      </w:pPr>
      <w:r>
        <w:rPr>
          <w:bCs/>
          <w:szCs w:val="22"/>
        </w:rPr>
        <w:t xml:space="preserve">              Cost:  </w:t>
      </w:r>
      <w:r w:rsidR="00E31377">
        <w:rPr>
          <w:bCs/>
          <w:szCs w:val="22"/>
        </w:rPr>
        <w:t>13</w:t>
      </w:r>
      <w:r>
        <w:rPr>
          <w:bCs/>
          <w:szCs w:val="22"/>
        </w:rPr>
        <w:t xml:space="preserve"> hours x $57.87 =</w:t>
      </w:r>
      <w:r w:rsidR="00E31377">
        <w:rPr>
          <w:bCs/>
          <w:szCs w:val="22"/>
        </w:rPr>
        <w:t xml:space="preserve"> $778</w:t>
      </w:r>
    </w:p>
    <w:p w:rsidR="005A1C5E" w:rsidRPr="004A2EE8" w:rsidRDefault="005A1C5E" w:rsidP="006F183B">
      <w:pPr>
        <w:widowControl/>
        <w:rPr>
          <w:szCs w:val="22"/>
        </w:rPr>
      </w:pPr>
    </w:p>
    <w:p w:rsidR="00C40781" w:rsidRPr="00C40781" w:rsidRDefault="00C40781" w:rsidP="006F183B">
      <w:pPr>
        <w:pStyle w:val="Level1"/>
        <w:widowControl/>
        <w:numPr>
          <w:ilvl w:val="0"/>
          <w:numId w:val="0"/>
        </w:numPr>
        <w:ind w:left="720" w:hanging="720"/>
        <w:rPr>
          <w:szCs w:val="22"/>
        </w:rPr>
      </w:pPr>
      <w:r w:rsidRPr="00C40781">
        <w:rPr>
          <w:bCs/>
          <w:szCs w:val="22"/>
        </w:rPr>
        <w:t>(</w:t>
      </w:r>
      <w:r w:rsidR="009E0664">
        <w:rPr>
          <w:bCs/>
          <w:szCs w:val="22"/>
        </w:rPr>
        <w:t>K)</w:t>
      </w:r>
      <w:r w:rsidRPr="00C40781">
        <w:rPr>
          <w:bCs/>
          <w:szCs w:val="22"/>
        </w:rPr>
        <w:tab/>
      </w:r>
      <w:r w:rsidRPr="00AE506E">
        <w:rPr>
          <w:b/>
          <w:bCs/>
          <w:szCs w:val="22"/>
        </w:rPr>
        <w:t>Disclosure of records (§ 1910.146 (c)(5)(ii)(H), (c)(7)(iii)</w:t>
      </w:r>
      <w:r w:rsidR="00AD6C2B">
        <w:rPr>
          <w:b/>
          <w:bCs/>
          <w:szCs w:val="22"/>
        </w:rPr>
        <w:t xml:space="preserve">, </w:t>
      </w:r>
      <w:r w:rsidR="005B68EE">
        <w:rPr>
          <w:b/>
          <w:bCs/>
          <w:szCs w:val="22"/>
        </w:rPr>
        <w:t xml:space="preserve">(d)(5)(vi), </w:t>
      </w:r>
      <w:r w:rsidRPr="00AE506E">
        <w:rPr>
          <w:b/>
          <w:bCs/>
          <w:szCs w:val="22"/>
        </w:rPr>
        <w:t>(g)(4)</w:t>
      </w:r>
      <w:r w:rsidR="00AD6C2B">
        <w:rPr>
          <w:b/>
          <w:bCs/>
          <w:szCs w:val="22"/>
        </w:rPr>
        <w:t xml:space="preserve"> and </w:t>
      </w:r>
      <w:r w:rsidR="006357A8" w:rsidRPr="006357A8">
        <w:rPr>
          <w:rStyle w:val="blueten1"/>
          <w:rFonts w:ascii="Times New Roman" w:hAnsi="Times New Roman"/>
          <w:b/>
          <w:bCs/>
          <w:color w:val="auto"/>
          <w:sz w:val="24"/>
          <w:szCs w:val="24"/>
        </w:rPr>
        <w:t>(l)(2)</w:t>
      </w:r>
      <w:r w:rsidRPr="000C31F0">
        <w:rPr>
          <w:b/>
          <w:bCs/>
          <w:szCs w:val="22"/>
        </w:rPr>
        <w:t>)</w:t>
      </w:r>
    </w:p>
    <w:p w:rsidR="00C40781" w:rsidRPr="00C40781" w:rsidRDefault="00C40781" w:rsidP="006F183B">
      <w:pPr>
        <w:widowControl/>
        <w:rPr>
          <w:szCs w:val="22"/>
        </w:rPr>
      </w:pPr>
    </w:p>
    <w:p w:rsidR="00D829A8" w:rsidRDefault="00D829A8" w:rsidP="006F183B">
      <w:pPr>
        <w:widowControl/>
        <w:autoSpaceDE/>
        <w:autoSpaceDN/>
        <w:adjustRightInd/>
      </w:pPr>
      <w:r w:rsidRPr="00D829A8">
        <w:t>Usually, OSHA requests access to records during an inspection.  Information collected by the Agency during the investigation is not subject to the PRA under 5 CFR 1320.4(a</w:t>
      </w:r>
      <w:proofErr w:type="gramStart"/>
      <w:r w:rsidRPr="00D829A8">
        <w:t>)(</w:t>
      </w:r>
      <w:proofErr w:type="gramEnd"/>
      <w:r w:rsidRPr="00D829A8">
        <w:t>2).  Therefore, OSHA takes no burden or cost in Items 12 and 14 of this Supporting Statement</w:t>
      </w:r>
      <w:r w:rsidR="0017373F">
        <w:t>.</w:t>
      </w:r>
    </w:p>
    <w:p w:rsidR="0017373F" w:rsidRDefault="0017373F" w:rsidP="006F183B">
      <w:pPr>
        <w:widowControl/>
        <w:autoSpaceDE/>
        <w:autoSpaceDN/>
        <w:adjustRightInd/>
        <w:rPr>
          <w:bCs/>
        </w:rPr>
      </w:pPr>
      <w:r w:rsidRPr="0017373F">
        <w:rPr>
          <w:bCs/>
        </w:rPr>
        <w:lastRenderedPageBreak/>
        <w:t xml:space="preserve">OSHA has no data on the number of access requests made by workers and their designated representatives and, therefore, the Agency estimates that 1% of all affected employees </w:t>
      </w:r>
      <w:r w:rsidR="00EC66FA">
        <w:rPr>
          <w:bCs/>
        </w:rPr>
        <w:t xml:space="preserve">(14,631) </w:t>
      </w:r>
      <w:r w:rsidRPr="0017373F">
        <w:rPr>
          <w:bCs/>
        </w:rPr>
        <w:t xml:space="preserve">will request access to </w:t>
      </w:r>
      <w:r>
        <w:rPr>
          <w:bCs/>
        </w:rPr>
        <w:t>records under the Standard.</w:t>
      </w:r>
    </w:p>
    <w:p w:rsidR="0017373F" w:rsidRDefault="0017373F" w:rsidP="006F183B">
      <w:pPr>
        <w:widowControl/>
        <w:autoSpaceDE/>
        <w:autoSpaceDN/>
        <w:adjustRightInd/>
        <w:rPr>
          <w:bCs/>
        </w:rPr>
      </w:pPr>
    </w:p>
    <w:p w:rsidR="00EC66FA" w:rsidRDefault="0017373F" w:rsidP="006F183B">
      <w:pPr>
        <w:widowControl/>
        <w:autoSpaceDE/>
        <w:autoSpaceDN/>
        <w:adjustRightInd/>
        <w:rPr>
          <w:bCs/>
        </w:rPr>
      </w:pPr>
      <w:r>
        <w:rPr>
          <w:bCs/>
        </w:rPr>
        <w:tab/>
        <w:t xml:space="preserve">Burden hours:  </w:t>
      </w:r>
      <w:r w:rsidR="00BE0E02">
        <w:rPr>
          <w:bCs/>
        </w:rPr>
        <w:t xml:space="preserve">14,631 </w:t>
      </w:r>
      <w:r>
        <w:rPr>
          <w:bCs/>
        </w:rPr>
        <w:t>x .08 hours =</w:t>
      </w:r>
      <w:r w:rsidR="00645B62">
        <w:rPr>
          <w:bCs/>
        </w:rPr>
        <w:t>1,170</w:t>
      </w:r>
    </w:p>
    <w:p w:rsidR="0017373F" w:rsidRPr="00D829A8" w:rsidRDefault="0017373F" w:rsidP="006F183B">
      <w:pPr>
        <w:widowControl/>
        <w:autoSpaceDE/>
        <w:autoSpaceDN/>
        <w:adjustRightInd/>
        <w:rPr>
          <w:color w:val="000000"/>
        </w:rPr>
      </w:pPr>
      <w:r>
        <w:rPr>
          <w:bCs/>
        </w:rPr>
        <w:tab/>
        <w:t xml:space="preserve">     </w:t>
      </w:r>
      <w:r>
        <w:rPr>
          <w:bCs/>
        </w:rPr>
        <w:tab/>
        <w:t xml:space="preserve">  Cost:  </w:t>
      </w:r>
      <w:r w:rsidR="00EC66FA">
        <w:rPr>
          <w:bCs/>
        </w:rPr>
        <w:t>1,17</w:t>
      </w:r>
      <w:r w:rsidR="00014FC4">
        <w:rPr>
          <w:bCs/>
        </w:rPr>
        <w:t>0</w:t>
      </w:r>
      <w:r w:rsidR="00EC66FA">
        <w:rPr>
          <w:bCs/>
        </w:rPr>
        <w:t xml:space="preserve"> </w:t>
      </w:r>
      <w:r>
        <w:rPr>
          <w:bCs/>
        </w:rPr>
        <w:t xml:space="preserve">hours x $57.87 = </w:t>
      </w:r>
      <w:r w:rsidR="009B4B5B">
        <w:rPr>
          <w:bCs/>
        </w:rPr>
        <w:t>$</w:t>
      </w:r>
      <w:r w:rsidR="00EC66FA">
        <w:rPr>
          <w:color w:val="000000"/>
        </w:rPr>
        <w:t>67,7</w:t>
      </w:r>
      <w:r w:rsidR="00014FC4">
        <w:rPr>
          <w:color w:val="000000"/>
        </w:rPr>
        <w:t>08</w:t>
      </w:r>
    </w:p>
    <w:p w:rsidR="001E4023" w:rsidRDefault="001E4023" w:rsidP="006F183B">
      <w:pPr>
        <w:widowControl/>
        <w:ind w:left="1440" w:firstLine="720"/>
        <w:rPr>
          <w:szCs w:val="22"/>
        </w:rPr>
      </w:pPr>
    </w:p>
    <w:p w:rsidR="001E4023" w:rsidRPr="00AE506E" w:rsidRDefault="001E4023" w:rsidP="00742FA5">
      <w:pPr>
        <w:widowControl/>
        <w:rPr>
          <w:b/>
          <w:sz w:val="20"/>
          <w:szCs w:val="20"/>
        </w:rPr>
      </w:pPr>
      <w:r w:rsidRPr="00AE506E">
        <w:rPr>
          <w:b/>
          <w:bCs/>
          <w:sz w:val="20"/>
          <w:szCs w:val="20"/>
        </w:rPr>
        <w:t>13.  Provide an estimate of the total annual cost burden to respondents or recordkeepers resulting from the collection of information.  (Do not include the cost of any hour burden shown in Items 12 and 14.)</w:t>
      </w:r>
    </w:p>
    <w:p w:rsidR="001E4023" w:rsidRPr="00AE506E" w:rsidRDefault="001E4023" w:rsidP="00742FA5">
      <w:pPr>
        <w:widowControl/>
        <w:rPr>
          <w:b/>
          <w:sz w:val="20"/>
          <w:szCs w:val="20"/>
        </w:rPr>
      </w:pPr>
    </w:p>
    <w:p w:rsidR="001E4023" w:rsidRPr="00AE506E" w:rsidRDefault="001E4023" w:rsidP="00742FA5">
      <w:pPr>
        <w:pStyle w:val="Level2"/>
        <w:widowControl/>
        <w:numPr>
          <w:ilvl w:val="0"/>
          <w:numId w:val="3"/>
        </w:numPr>
        <w:rPr>
          <w:b/>
          <w:bCs/>
          <w:sz w:val="20"/>
          <w:szCs w:val="20"/>
        </w:rPr>
      </w:pPr>
      <w:r w:rsidRPr="00AE506E">
        <w:rPr>
          <w:b/>
          <w:bCs/>
          <w:sz w:val="20"/>
          <w:szCs w:val="20"/>
        </w:rPr>
        <w:t xml:space="preserve">The cost estimate should be split into two components:  (a) a total capital and start-up cost component </w:t>
      </w:r>
      <w:r w:rsidR="003028DC">
        <w:rPr>
          <w:b/>
          <w:bCs/>
          <w:sz w:val="20"/>
          <w:szCs w:val="20"/>
        </w:rPr>
        <w:t>(</w:t>
      </w:r>
      <w:r w:rsidRPr="00AE506E">
        <w:rPr>
          <w:b/>
          <w:bCs/>
          <w:sz w:val="20"/>
          <w:szCs w:val="20"/>
        </w:rPr>
        <w:t>annualized over its expected useful life); and (b) a total operation and maintenance and purchase of service</w:t>
      </w:r>
      <w:r w:rsidR="00263A72">
        <w:rPr>
          <w:b/>
          <w:bCs/>
          <w:sz w:val="20"/>
          <w:szCs w:val="20"/>
        </w:rPr>
        <w:t>s</w:t>
      </w:r>
      <w:r w:rsidRPr="00AE506E">
        <w:rPr>
          <w:b/>
          <w:bCs/>
          <w:sz w:val="20"/>
          <w:szCs w:val="20"/>
        </w:rPr>
        <w:t xml:space="preserv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E4023" w:rsidRPr="00AE506E" w:rsidRDefault="001E4023" w:rsidP="00742FA5">
      <w:pPr>
        <w:widowControl/>
        <w:rPr>
          <w:b/>
          <w:bCs/>
          <w:sz w:val="20"/>
          <w:szCs w:val="20"/>
        </w:rPr>
      </w:pPr>
    </w:p>
    <w:p w:rsidR="001E4023" w:rsidRPr="00AE506E" w:rsidRDefault="001E4023" w:rsidP="00742FA5">
      <w:pPr>
        <w:pStyle w:val="Level1"/>
        <w:widowControl/>
        <w:numPr>
          <w:ilvl w:val="0"/>
          <w:numId w:val="3"/>
        </w:numPr>
        <w:outlineLvl w:val="9"/>
        <w:rPr>
          <w:b/>
          <w:sz w:val="20"/>
          <w:szCs w:val="20"/>
        </w:rPr>
      </w:pPr>
      <w:r w:rsidRPr="00AE506E">
        <w:rPr>
          <w:b/>
          <w:bCs/>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AE506E">
        <w:rPr>
          <w:b/>
          <w:sz w:val="20"/>
          <w:szCs w:val="20"/>
        </w:rPr>
        <w:t>.</w:t>
      </w:r>
    </w:p>
    <w:p w:rsidR="001E4023" w:rsidRPr="00AE506E" w:rsidRDefault="001E4023" w:rsidP="00742FA5">
      <w:pPr>
        <w:widowControl/>
        <w:rPr>
          <w:b/>
          <w:sz w:val="20"/>
          <w:szCs w:val="20"/>
        </w:rPr>
      </w:pPr>
    </w:p>
    <w:p w:rsidR="001E4023" w:rsidRPr="00AE506E" w:rsidRDefault="001E4023" w:rsidP="00742FA5">
      <w:pPr>
        <w:pStyle w:val="Level1"/>
        <w:widowControl/>
        <w:numPr>
          <w:ilvl w:val="0"/>
          <w:numId w:val="3"/>
        </w:numPr>
        <w:outlineLvl w:val="9"/>
        <w:rPr>
          <w:b/>
          <w:bCs/>
          <w:sz w:val="20"/>
          <w:szCs w:val="20"/>
        </w:rPr>
      </w:pPr>
      <w:r w:rsidRPr="00AE506E">
        <w:rPr>
          <w:b/>
          <w:bCs/>
          <w:sz w:val="20"/>
          <w:szCs w:val="20"/>
        </w:rPr>
        <w:t>Generally, estimates should not include purchases of equipment or services, or portions thereof, made:  (1</w:t>
      </w:r>
      <w:proofErr w:type="gramStart"/>
      <w:r w:rsidRPr="00AE506E">
        <w:rPr>
          <w:b/>
          <w:bCs/>
          <w:sz w:val="20"/>
          <w:szCs w:val="20"/>
        </w:rPr>
        <w:t>)  prior</w:t>
      </w:r>
      <w:proofErr w:type="gramEnd"/>
      <w:r w:rsidRPr="00AE506E">
        <w:rPr>
          <w:b/>
          <w:bCs/>
          <w:sz w:val="20"/>
          <w:szCs w:val="20"/>
        </w:rPr>
        <w:t xml:space="preserve"> to October 1, 1995, </w:t>
      </w:r>
      <w:r w:rsidR="00263A72">
        <w:rPr>
          <w:b/>
          <w:bCs/>
          <w:sz w:val="20"/>
          <w:szCs w:val="20"/>
        </w:rPr>
        <w:t xml:space="preserve"> </w:t>
      </w:r>
      <w:r w:rsidRPr="00AE506E">
        <w:rPr>
          <w:b/>
          <w:bCs/>
          <w:sz w:val="20"/>
          <w:szCs w:val="20"/>
        </w:rPr>
        <w:t>(2)  to achieve regulatory compliance with requirements not associated with the information collection, (3)  for reasons other than to provide information or keep records for the government, or (4)  as part of customary and usual business or private practices.</w:t>
      </w:r>
    </w:p>
    <w:p w:rsidR="009E0664" w:rsidRDefault="009E0664" w:rsidP="00742FA5">
      <w:pPr>
        <w:widowControl/>
      </w:pPr>
    </w:p>
    <w:p w:rsidR="001E4023" w:rsidRPr="00C40781" w:rsidRDefault="001E4023" w:rsidP="00742FA5">
      <w:pPr>
        <w:widowControl/>
        <w:rPr>
          <w:szCs w:val="22"/>
        </w:rPr>
      </w:pPr>
      <w:r w:rsidRPr="00C40781">
        <w:t xml:space="preserve">Item 12 above provides the total cost of the </w:t>
      </w:r>
      <w:r w:rsidR="00BE21F2">
        <w:t xml:space="preserve">collection of information </w:t>
      </w:r>
      <w:r w:rsidRPr="00C40781">
        <w:t>requirements specified by the Standard.</w:t>
      </w:r>
    </w:p>
    <w:p w:rsidR="001E4023" w:rsidRPr="00C40781" w:rsidRDefault="001E4023" w:rsidP="00742FA5">
      <w:pPr>
        <w:widowControl/>
        <w:rPr>
          <w:szCs w:val="22"/>
        </w:rPr>
      </w:pPr>
    </w:p>
    <w:p w:rsidR="001E4023" w:rsidRPr="00AE506E" w:rsidRDefault="001E4023" w:rsidP="00742FA5">
      <w:pPr>
        <w:widowControl/>
        <w:rPr>
          <w:b/>
          <w:bCs/>
          <w:sz w:val="20"/>
          <w:szCs w:val="20"/>
        </w:rPr>
      </w:pPr>
      <w:r w:rsidRPr="00AE506E">
        <w:rPr>
          <w:b/>
          <w:bCs/>
          <w:sz w:val="20"/>
          <w:szCs w:val="20"/>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00263A72">
        <w:rPr>
          <w:b/>
          <w:bCs/>
          <w:sz w:val="20"/>
          <w:szCs w:val="20"/>
        </w:rPr>
        <w:t xml:space="preserve">and </w:t>
      </w:r>
      <w:r w:rsidRPr="00AE506E">
        <w:rPr>
          <w:b/>
          <w:bCs/>
          <w:sz w:val="20"/>
          <w:szCs w:val="20"/>
        </w:rPr>
        <w:t>any other expense that would not have been incurred without this collection of information.  Agencies also may aggregate cost estimates from Items 12, 13, and 14 into a single table.</w:t>
      </w:r>
    </w:p>
    <w:p w:rsidR="001E4023" w:rsidRPr="00C40781" w:rsidRDefault="001E4023" w:rsidP="00742FA5">
      <w:pPr>
        <w:widowControl/>
      </w:pPr>
    </w:p>
    <w:p w:rsidR="00BB02EF" w:rsidRPr="00D829A8" w:rsidRDefault="00BB02EF" w:rsidP="006F183B">
      <w:pPr>
        <w:widowControl/>
        <w:autoSpaceDE/>
        <w:autoSpaceDN/>
        <w:adjustRightInd/>
        <w:rPr>
          <w:color w:val="000000"/>
        </w:rPr>
      </w:pPr>
      <w:r w:rsidRPr="00D829A8">
        <w:t>Usually, OSHA requests access to records during an inspection.  Information collected by the Agency during the investigation is not subject to the PRA under 5 CFR 1320.4(a</w:t>
      </w:r>
      <w:proofErr w:type="gramStart"/>
      <w:r w:rsidRPr="00D829A8">
        <w:t>)(</w:t>
      </w:r>
      <w:proofErr w:type="gramEnd"/>
      <w:r w:rsidRPr="00D829A8">
        <w:t>2).  Therefore, OSHA takes no burden or cost in Items 12 and 14 of this Supporting Statement</w:t>
      </w:r>
    </w:p>
    <w:p w:rsidR="00124057" w:rsidRDefault="00124057" w:rsidP="00124057">
      <w:pPr>
        <w:widowControl/>
        <w:rPr>
          <w:szCs w:val="22"/>
        </w:rPr>
      </w:pPr>
    </w:p>
    <w:p w:rsidR="001E4023" w:rsidRPr="00AE506E" w:rsidRDefault="001E4023" w:rsidP="00742FA5">
      <w:pPr>
        <w:widowControl/>
        <w:rPr>
          <w:b/>
          <w:bCs/>
          <w:sz w:val="20"/>
          <w:szCs w:val="20"/>
        </w:rPr>
      </w:pPr>
      <w:r w:rsidRPr="00AE506E">
        <w:rPr>
          <w:b/>
          <w:bCs/>
          <w:sz w:val="20"/>
          <w:szCs w:val="20"/>
        </w:rPr>
        <w:t>15.  Explain the reasons for any program changes or adjustments.</w:t>
      </w:r>
    </w:p>
    <w:p w:rsidR="001E4023" w:rsidRPr="00C40781" w:rsidRDefault="001E4023" w:rsidP="00742FA5">
      <w:pPr>
        <w:widowControl/>
        <w:rPr>
          <w:szCs w:val="20"/>
        </w:rPr>
      </w:pPr>
    </w:p>
    <w:p w:rsidR="00771A04" w:rsidRDefault="001E4023" w:rsidP="00742FA5">
      <w:pPr>
        <w:widowControl/>
        <w:sectPr w:rsidR="00771A04" w:rsidSect="009B04D4">
          <w:headerReference w:type="default" r:id="rId9"/>
          <w:footerReference w:type="even" r:id="rId10"/>
          <w:footerReference w:type="default" r:id="rId11"/>
          <w:headerReference w:type="first" r:id="rId12"/>
          <w:footerReference w:type="first" r:id="rId13"/>
          <w:type w:val="continuous"/>
          <w:pgSz w:w="12240" w:h="15840"/>
          <w:pgMar w:top="1296" w:right="1440" w:bottom="1296" w:left="1440" w:header="1440" w:footer="1440" w:gutter="0"/>
          <w:cols w:space="720"/>
          <w:noEndnote/>
          <w:titlePg/>
        </w:sectPr>
      </w:pPr>
      <w:bookmarkStart w:id="3" w:name="OLE_LINK1"/>
      <w:bookmarkStart w:id="4" w:name="OLE_LINK2"/>
      <w:r w:rsidRPr="00C40781">
        <w:t xml:space="preserve">OSHA is proposing to </w:t>
      </w:r>
      <w:r w:rsidR="00FB30B6">
        <w:t xml:space="preserve">increase </w:t>
      </w:r>
      <w:r w:rsidRPr="00C40781">
        <w:t>the existing burden</w:t>
      </w:r>
      <w:r w:rsidR="00720B4C">
        <w:t xml:space="preserve"> </w:t>
      </w:r>
      <w:r w:rsidRPr="00C40781">
        <w:t xml:space="preserve">hour estimate for the collection of information requirements specified by the Standard from </w:t>
      </w:r>
      <w:r w:rsidR="00450C99" w:rsidRPr="004A2EE8">
        <w:t>1,4</w:t>
      </w:r>
      <w:r w:rsidR="00554F7E" w:rsidRPr="004A2EE8">
        <w:t>33</w:t>
      </w:r>
      <w:r w:rsidR="00450C99" w:rsidRPr="004A2EE8">
        <w:t>,</w:t>
      </w:r>
      <w:r w:rsidR="00554F7E" w:rsidRPr="004A2EE8">
        <w:t>443</w:t>
      </w:r>
      <w:r w:rsidR="00450C99" w:rsidRPr="004A2EE8">
        <w:t xml:space="preserve"> </w:t>
      </w:r>
      <w:r w:rsidR="00720B4C" w:rsidRPr="004A2EE8">
        <w:t>hours</w:t>
      </w:r>
      <w:r w:rsidR="0071531F">
        <w:t xml:space="preserve"> to</w:t>
      </w:r>
      <w:r w:rsidR="000D0812">
        <w:t xml:space="preserve"> 1,5</w:t>
      </w:r>
      <w:r w:rsidR="007858F9">
        <w:t>73,813</w:t>
      </w:r>
      <w:r w:rsidRPr="004A2EE8">
        <w:t xml:space="preserve">, a total </w:t>
      </w:r>
      <w:r w:rsidR="00720B4C" w:rsidRPr="004A2EE8">
        <w:t xml:space="preserve">adjustment </w:t>
      </w:r>
      <w:r w:rsidR="00FB30B6">
        <w:t>increase</w:t>
      </w:r>
      <w:r w:rsidRPr="004A2EE8">
        <w:t xml:space="preserve"> of </w:t>
      </w:r>
      <w:r w:rsidR="007858F9">
        <w:t xml:space="preserve">140,370 </w:t>
      </w:r>
      <w:r w:rsidRPr="004A2EE8">
        <w:t xml:space="preserve">hours.  </w:t>
      </w:r>
      <w:r w:rsidR="009A15AE" w:rsidRPr="00C40781">
        <w:t xml:space="preserve">Table </w:t>
      </w:r>
      <w:r w:rsidR="009A15AE">
        <w:t>A</w:t>
      </w:r>
      <w:r w:rsidR="009A15AE" w:rsidRPr="00C40781">
        <w:t xml:space="preserve"> </w:t>
      </w:r>
      <w:r w:rsidR="009A15AE">
        <w:t xml:space="preserve">provides explanations of the </w:t>
      </w:r>
      <w:r w:rsidR="009A15AE" w:rsidRPr="00C40781">
        <w:t>proposed adjustment</w:t>
      </w:r>
      <w:r w:rsidR="00270B0D">
        <w:t xml:space="preserve"> increase</w:t>
      </w:r>
      <w:r w:rsidR="009A15AE">
        <w:t xml:space="preserve">.  Table B details the </w:t>
      </w:r>
      <w:r w:rsidR="009A15AE" w:rsidRPr="004A2EE8">
        <w:t>reduction</w:t>
      </w:r>
      <w:r w:rsidR="009A15AE">
        <w:t>s</w:t>
      </w:r>
      <w:r w:rsidR="009A15AE" w:rsidRPr="004A2EE8">
        <w:t>, based on</w:t>
      </w:r>
      <w:r w:rsidR="009A15AE">
        <w:t xml:space="preserve"> updated data, of </w:t>
      </w:r>
      <w:r w:rsidR="009A15AE" w:rsidRPr="00C40781">
        <w:rPr>
          <w:color w:val="000000"/>
          <w:szCs w:val="22"/>
        </w:rPr>
        <w:t>the number of permit spaces, the number of establishments with permit spaces, and the number of permit space entrants</w:t>
      </w:r>
      <w:r w:rsidR="009A15AE">
        <w:t>.</w:t>
      </w:r>
      <w:r w:rsidR="00270B0D">
        <w:t xml:space="preserve">  This reduction is </w:t>
      </w:r>
      <w:r w:rsidR="00BF38DC">
        <w:t xml:space="preserve">partially </w:t>
      </w:r>
      <w:r w:rsidR="00270B0D">
        <w:t>off</w:t>
      </w:r>
      <w:r w:rsidR="00BF38DC">
        <w:t>-</w:t>
      </w:r>
      <w:r w:rsidR="00270B0D">
        <w:t xml:space="preserve">set by the inclusion of burden hours and costs associated with the </w:t>
      </w:r>
      <w:r w:rsidR="00BF38DC">
        <w:t>newly-identif</w:t>
      </w:r>
      <w:r w:rsidR="00014FC4">
        <w:t>i</w:t>
      </w:r>
      <w:r w:rsidR="00BF38DC">
        <w:t>ed collection of information requirement related to</w:t>
      </w:r>
      <w:r w:rsidR="000D0812">
        <w:t>: information exchange between host employers and contractors; information exchanges between attendants and authorized entrants; communication with rescue services;</w:t>
      </w:r>
      <w:r w:rsidR="00BF38DC">
        <w:t xml:space="preserve"> </w:t>
      </w:r>
      <w:r w:rsidR="000D0812">
        <w:t xml:space="preserve">and </w:t>
      </w:r>
      <w:r w:rsidR="00270B0D">
        <w:t>annual review of the written program and cancelled permits.</w:t>
      </w:r>
    </w:p>
    <w:p w:rsidR="00771A04" w:rsidRPr="008551E0" w:rsidRDefault="00771A04" w:rsidP="00124057">
      <w:pPr>
        <w:widowControl/>
        <w:jc w:val="center"/>
        <w:rPr>
          <w:b/>
          <w:bCs/>
        </w:rPr>
      </w:pPr>
      <w:r w:rsidRPr="008551E0">
        <w:rPr>
          <w:b/>
          <w:bCs/>
        </w:rPr>
        <w:lastRenderedPageBreak/>
        <w:t xml:space="preserve">Table </w:t>
      </w:r>
      <w:r w:rsidR="009A15AE">
        <w:rPr>
          <w:b/>
          <w:bCs/>
        </w:rPr>
        <w:t>A</w:t>
      </w:r>
    </w:p>
    <w:p w:rsidR="00DF0BB4" w:rsidRDefault="00771A04" w:rsidP="00124057">
      <w:pPr>
        <w:widowControl/>
        <w:jc w:val="center"/>
        <w:rPr>
          <w:b/>
          <w:bCs/>
          <w:sz w:val="20"/>
          <w:szCs w:val="20"/>
        </w:rPr>
      </w:pPr>
      <w:r w:rsidRPr="008551E0">
        <w:rPr>
          <w:b/>
          <w:bCs/>
        </w:rPr>
        <w:t>Proposed Burden Hours</w:t>
      </w:r>
      <w:bookmarkEnd w:id="3"/>
      <w:bookmarkEnd w:id="4"/>
    </w:p>
    <w:tbl>
      <w:tblPr>
        <w:tblW w:w="1356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93"/>
        <w:gridCol w:w="1299"/>
        <w:gridCol w:w="1506"/>
        <w:gridCol w:w="1315"/>
        <w:gridCol w:w="1430"/>
        <w:gridCol w:w="1591"/>
        <w:gridCol w:w="3426"/>
      </w:tblGrid>
      <w:tr w:rsidR="00E325E8" w:rsidRPr="00E325E8" w:rsidTr="00E325E8">
        <w:trPr>
          <w:cantSplit/>
          <w:trHeight w:val="960"/>
          <w:tblHeader/>
        </w:trPr>
        <w:tc>
          <w:tcPr>
            <w:tcW w:w="2993" w:type="dxa"/>
            <w:shd w:val="clear" w:color="auto" w:fill="auto"/>
            <w:vAlign w:val="center"/>
            <w:hideMark/>
          </w:tcPr>
          <w:p w:rsidR="00E325E8" w:rsidRPr="00E325E8" w:rsidRDefault="00124057" w:rsidP="00E325E8">
            <w:pPr>
              <w:widowControl/>
              <w:autoSpaceDE/>
              <w:autoSpaceDN/>
              <w:adjustRightInd/>
              <w:rPr>
                <w:b/>
                <w:bCs/>
                <w:color w:val="000000"/>
              </w:rPr>
            </w:pPr>
            <w:r>
              <w:br w:type="page"/>
            </w:r>
            <w:r w:rsidR="00E325E8" w:rsidRPr="00E325E8">
              <w:rPr>
                <w:b/>
                <w:bCs/>
                <w:color w:val="000000"/>
              </w:rPr>
              <w:t>Collection of Information Requirement</w:t>
            </w:r>
          </w:p>
        </w:tc>
        <w:tc>
          <w:tcPr>
            <w:tcW w:w="1299" w:type="dxa"/>
            <w:shd w:val="clear" w:color="auto" w:fill="auto"/>
            <w:vAlign w:val="center"/>
            <w:hideMark/>
          </w:tcPr>
          <w:p w:rsidR="00E325E8" w:rsidRPr="00E325E8" w:rsidRDefault="00E325E8" w:rsidP="00E325E8">
            <w:pPr>
              <w:widowControl/>
              <w:autoSpaceDE/>
              <w:autoSpaceDN/>
              <w:adjustRightInd/>
              <w:rPr>
                <w:b/>
                <w:bCs/>
                <w:color w:val="000000"/>
              </w:rPr>
            </w:pPr>
            <w:r w:rsidRPr="00E325E8">
              <w:rPr>
                <w:b/>
                <w:bCs/>
                <w:color w:val="000000"/>
              </w:rPr>
              <w:t>Responses</w:t>
            </w:r>
          </w:p>
        </w:tc>
        <w:tc>
          <w:tcPr>
            <w:tcW w:w="1506" w:type="dxa"/>
            <w:shd w:val="clear" w:color="auto" w:fill="auto"/>
            <w:vAlign w:val="center"/>
            <w:hideMark/>
          </w:tcPr>
          <w:p w:rsidR="00E325E8" w:rsidRPr="00E325E8" w:rsidRDefault="00E325E8" w:rsidP="00E325E8">
            <w:pPr>
              <w:widowControl/>
              <w:autoSpaceDE/>
              <w:autoSpaceDN/>
              <w:adjustRightInd/>
              <w:rPr>
                <w:b/>
                <w:bCs/>
                <w:color w:val="000000"/>
              </w:rPr>
            </w:pPr>
            <w:r w:rsidRPr="00E325E8">
              <w:rPr>
                <w:b/>
                <w:bCs/>
                <w:color w:val="000000"/>
              </w:rPr>
              <w:t>Current Burden Hours</w:t>
            </w:r>
          </w:p>
        </w:tc>
        <w:tc>
          <w:tcPr>
            <w:tcW w:w="1315" w:type="dxa"/>
            <w:shd w:val="clear" w:color="auto" w:fill="auto"/>
            <w:vAlign w:val="center"/>
            <w:hideMark/>
          </w:tcPr>
          <w:p w:rsidR="00E325E8" w:rsidRPr="00E325E8" w:rsidRDefault="00E325E8" w:rsidP="00E325E8">
            <w:pPr>
              <w:widowControl/>
              <w:autoSpaceDE/>
              <w:autoSpaceDN/>
              <w:adjustRightInd/>
              <w:rPr>
                <w:b/>
                <w:bCs/>
                <w:color w:val="000000"/>
              </w:rPr>
            </w:pPr>
            <w:r w:rsidRPr="00E325E8">
              <w:rPr>
                <w:b/>
                <w:bCs/>
                <w:color w:val="000000"/>
              </w:rPr>
              <w:t>Proposed Burden Hours</w:t>
            </w:r>
          </w:p>
        </w:tc>
        <w:tc>
          <w:tcPr>
            <w:tcW w:w="1430" w:type="dxa"/>
            <w:shd w:val="clear" w:color="auto" w:fill="auto"/>
            <w:vAlign w:val="center"/>
            <w:hideMark/>
          </w:tcPr>
          <w:p w:rsidR="00E325E8" w:rsidRPr="00E325E8" w:rsidRDefault="00E325E8" w:rsidP="00E325E8">
            <w:pPr>
              <w:widowControl/>
              <w:autoSpaceDE/>
              <w:autoSpaceDN/>
              <w:adjustRightInd/>
              <w:rPr>
                <w:b/>
                <w:bCs/>
                <w:color w:val="000000"/>
              </w:rPr>
            </w:pPr>
            <w:r w:rsidRPr="00E325E8">
              <w:rPr>
                <w:b/>
                <w:bCs/>
                <w:color w:val="000000"/>
              </w:rPr>
              <w:t>Adjustment (Hours)</w:t>
            </w:r>
          </w:p>
        </w:tc>
        <w:tc>
          <w:tcPr>
            <w:tcW w:w="1591" w:type="dxa"/>
            <w:shd w:val="clear" w:color="auto" w:fill="auto"/>
            <w:vAlign w:val="center"/>
            <w:hideMark/>
          </w:tcPr>
          <w:p w:rsidR="00E325E8" w:rsidRPr="00E325E8" w:rsidRDefault="00E325E8" w:rsidP="00E325E8">
            <w:pPr>
              <w:widowControl/>
              <w:autoSpaceDE/>
              <w:autoSpaceDN/>
              <w:adjustRightInd/>
              <w:rPr>
                <w:b/>
                <w:bCs/>
                <w:color w:val="000000"/>
              </w:rPr>
            </w:pPr>
            <w:r w:rsidRPr="00E325E8">
              <w:rPr>
                <w:b/>
                <w:bCs/>
                <w:color w:val="000000"/>
              </w:rPr>
              <w:t>Cost Under Item 12</w:t>
            </w:r>
          </w:p>
        </w:tc>
        <w:tc>
          <w:tcPr>
            <w:tcW w:w="3426" w:type="dxa"/>
            <w:shd w:val="clear" w:color="auto" w:fill="auto"/>
            <w:vAlign w:val="center"/>
            <w:hideMark/>
          </w:tcPr>
          <w:p w:rsidR="00E325E8" w:rsidRPr="00E325E8" w:rsidRDefault="00E325E8" w:rsidP="00E325E8">
            <w:pPr>
              <w:widowControl/>
              <w:autoSpaceDE/>
              <w:autoSpaceDN/>
              <w:adjustRightInd/>
              <w:rPr>
                <w:b/>
                <w:bCs/>
                <w:color w:val="000000"/>
              </w:rPr>
            </w:pPr>
            <w:r w:rsidRPr="00E325E8">
              <w:rPr>
                <w:b/>
                <w:bCs/>
                <w:color w:val="000000"/>
              </w:rPr>
              <w:t>Explanation of Adjustment</w:t>
            </w:r>
          </w:p>
        </w:tc>
      </w:tr>
      <w:tr w:rsidR="00E325E8" w:rsidRPr="00E325E8" w:rsidTr="00E325E8">
        <w:trPr>
          <w:trHeight w:val="1815"/>
        </w:trPr>
        <w:tc>
          <w:tcPr>
            <w:tcW w:w="2993" w:type="dxa"/>
            <w:shd w:val="clear" w:color="auto" w:fill="auto"/>
            <w:vAlign w:val="center"/>
            <w:hideMark/>
          </w:tcPr>
          <w:p w:rsidR="00E325E8" w:rsidRPr="00E325E8" w:rsidRDefault="00E325E8" w:rsidP="00E325E8">
            <w:pPr>
              <w:widowControl/>
              <w:autoSpaceDE/>
              <w:autoSpaceDN/>
              <w:adjustRightInd/>
              <w:rPr>
                <w:color w:val="000000"/>
                <w:sz w:val="22"/>
                <w:szCs w:val="22"/>
              </w:rPr>
            </w:pPr>
            <w:r w:rsidRPr="00E325E8">
              <w:rPr>
                <w:color w:val="000000"/>
                <w:sz w:val="22"/>
                <w:szCs w:val="22"/>
              </w:rPr>
              <w:t>(A) Preparation of  a "Danger--Permit Required Confined Space" Sign (§ 1910.146(c)(2))</w:t>
            </w:r>
          </w:p>
        </w:tc>
        <w:tc>
          <w:tcPr>
            <w:tcW w:w="1299" w:type="dxa"/>
            <w:shd w:val="clear" w:color="000000" w:fill="FFFFFF"/>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8,967</w:t>
            </w:r>
          </w:p>
        </w:tc>
        <w:tc>
          <w:tcPr>
            <w:tcW w:w="1506" w:type="dxa"/>
            <w:shd w:val="clear" w:color="000000" w:fill="FFFFFF"/>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730</w:t>
            </w:r>
          </w:p>
        </w:tc>
        <w:tc>
          <w:tcPr>
            <w:tcW w:w="1315"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717</w:t>
            </w:r>
          </w:p>
        </w:tc>
        <w:tc>
          <w:tcPr>
            <w:tcW w:w="1430"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-13</w:t>
            </w:r>
          </w:p>
        </w:tc>
        <w:tc>
          <w:tcPr>
            <w:tcW w:w="1591" w:type="dxa"/>
            <w:shd w:val="clear" w:color="000000" w:fill="FFFFFF"/>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$16,835</w:t>
            </w:r>
          </w:p>
        </w:tc>
        <w:tc>
          <w:tcPr>
            <w:tcW w:w="3426" w:type="dxa"/>
            <w:shd w:val="clear" w:color="000000" w:fill="FFFFFF"/>
            <w:vAlign w:val="center"/>
            <w:hideMark/>
          </w:tcPr>
          <w:p w:rsidR="00E325E8" w:rsidRPr="00E325E8" w:rsidRDefault="00E325E8" w:rsidP="00E325E8">
            <w:pPr>
              <w:widowControl/>
              <w:autoSpaceDE/>
              <w:autoSpaceDN/>
              <w:adjustRightInd/>
              <w:rPr>
                <w:color w:val="000000"/>
                <w:sz w:val="22"/>
                <w:szCs w:val="22"/>
              </w:rPr>
            </w:pPr>
            <w:r w:rsidRPr="00E325E8">
              <w:rPr>
                <w:color w:val="000000"/>
                <w:sz w:val="22"/>
                <w:szCs w:val="22"/>
              </w:rPr>
              <w:t>Based on updated data, there was a reduction in the number of permit spaces (from 9,120 to 8,967) which may need to have a sign prepared warning that the space is unsafe for entry.</w:t>
            </w:r>
          </w:p>
        </w:tc>
      </w:tr>
      <w:tr w:rsidR="00E325E8" w:rsidRPr="00E325E8" w:rsidTr="00E325E8">
        <w:trPr>
          <w:trHeight w:val="1590"/>
        </w:trPr>
        <w:tc>
          <w:tcPr>
            <w:tcW w:w="2993" w:type="dxa"/>
            <w:shd w:val="clear" w:color="auto" w:fill="auto"/>
            <w:vAlign w:val="center"/>
            <w:hideMark/>
          </w:tcPr>
          <w:p w:rsidR="00E325E8" w:rsidRPr="00E325E8" w:rsidRDefault="00E325E8" w:rsidP="00E325E8">
            <w:pPr>
              <w:widowControl/>
              <w:autoSpaceDE/>
              <w:autoSpaceDN/>
              <w:adjustRightInd/>
              <w:rPr>
                <w:color w:val="000000"/>
                <w:sz w:val="22"/>
                <w:szCs w:val="22"/>
              </w:rPr>
            </w:pPr>
            <w:r w:rsidRPr="00E325E8">
              <w:rPr>
                <w:color w:val="000000"/>
                <w:sz w:val="22"/>
                <w:szCs w:val="22"/>
              </w:rPr>
              <w:t>(B)(1)  Preparation of a written permit-space entry program (§§ 1910.146 (c)(4) and 1910.146(d))</w:t>
            </w:r>
          </w:p>
        </w:tc>
        <w:tc>
          <w:tcPr>
            <w:tcW w:w="1299"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10,277</w:t>
            </w:r>
          </w:p>
        </w:tc>
        <w:tc>
          <w:tcPr>
            <w:tcW w:w="1506"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167,232</w:t>
            </w:r>
          </w:p>
        </w:tc>
        <w:tc>
          <w:tcPr>
            <w:tcW w:w="1315"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164,432</w:t>
            </w:r>
          </w:p>
        </w:tc>
        <w:tc>
          <w:tcPr>
            <w:tcW w:w="1430"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-2,800</w:t>
            </w:r>
          </w:p>
        </w:tc>
        <w:tc>
          <w:tcPr>
            <w:tcW w:w="1591"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$9,515,680</w:t>
            </w:r>
          </w:p>
        </w:tc>
        <w:tc>
          <w:tcPr>
            <w:tcW w:w="3426" w:type="dxa"/>
            <w:shd w:val="clear" w:color="auto" w:fill="auto"/>
            <w:vAlign w:val="center"/>
            <w:hideMark/>
          </w:tcPr>
          <w:p w:rsidR="00E325E8" w:rsidRPr="00E325E8" w:rsidRDefault="00E325E8" w:rsidP="00E325E8">
            <w:pPr>
              <w:widowControl/>
              <w:autoSpaceDE/>
              <w:autoSpaceDN/>
              <w:adjustRightInd/>
              <w:rPr>
                <w:color w:val="000000"/>
                <w:sz w:val="22"/>
                <w:szCs w:val="22"/>
              </w:rPr>
            </w:pPr>
            <w:r w:rsidRPr="00E325E8">
              <w:rPr>
                <w:color w:val="000000"/>
                <w:sz w:val="22"/>
                <w:szCs w:val="22"/>
              </w:rPr>
              <w:t>Based on updated data, there was a reduction in the number of new establishments (from 10,452 to 10,277) that need to prepare a written permit entry program.</w:t>
            </w:r>
          </w:p>
        </w:tc>
      </w:tr>
      <w:tr w:rsidR="00E325E8" w:rsidRPr="00E325E8" w:rsidTr="00E325E8">
        <w:trPr>
          <w:trHeight w:val="1590"/>
        </w:trPr>
        <w:tc>
          <w:tcPr>
            <w:tcW w:w="2993" w:type="dxa"/>
            <w:shd w:val="clear" w:color="auto" w:fill="auto"/>
            <w:vAlign w:val="center"/>
            <w:hideMark/>
          </w:tcPr>
          <w:p w:rsidR="00E325E8" w:rsidRPr="00E325E8" w:rsidRDefault="00E325E8" w:rsidP="00E325E8">
            <w:pPr>
              <w:widowControl/>
              <w:autoSpaceDE/>
              <w:autoSpaceDN/>
              <w:adjustRightInd/>
              <w:jc w:val="right"/>
              <w:rPr>
                <w:color w:val="000000"/>
                <w:sz w:val="22"/>
                <w:szCs w:val="22"/>
              </w:rPr>
            </w:pPr>
            <w:r w:rsidRPr="00E325E8">
              <w:rPr>
                <w:color w:val="000000"/>
                <w:sz w:val="22"/>
                <w:szCs w:val="22"/>
              </w:rPr>
              <w:t>(B )(2)Annual Review of Written Permit Space Program and Cancelled Permits (§29 CFR 1910.146(d)(14) and (e)(6))</w:t>
            </w:r>
          </w:p>
        </w:tc>
        <w:tc>
          <w:tcPr>
            <w:tcW w:w="1299"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97,636</w:t>
            </w:r>
          </w:p>
        </w:tc>
        <w:tc>
          <w:tcPr>
            <w:tcW w:w="1506"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0</w:t>
            </w:r>
          </w:p>
        </w:tc>
        <w:tc>
          <w:tcPr>
            <w:tcW w:w="1315"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195,272</w:t>
            </w:r>
          </w:p>
        </w:tc>
        <w:tc>
          <w:tcPr>
            <w:tcW w:w="1430"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195,272</w:t>
            </w:r>
          </w:p>
        </w:tc>
        <w:tc>
          <w:tcPr>
            <w:tcW w:w="1591"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$11,300,391</w:t>
            </w:r>
          </w:p>
        </w:tc>
        <w:tc>
          <w:tcPr>
            <w:tcW w:w="3426" w:type="dxa"/>
            <w:shd w:val="clear" w:color="auto" w:fill="auto"/>
            <w:vAlign w:val="center"/>
            <w:hideMark/>
          </w:tcPr>
          <w:p w:rsidR="00E325E8" w:rsidRPr="00E325E8" w:rsidRDefault="00E325E8" w:rsidP="00E325E8">
            <w:pPr>
              <w:widowControl/>
              <w:autoSpaceDE/>
              <w:autoSpaceDN/>
              <w:adjustRightInd/>
              <w:rPr>
                <w:color w:val="000000"/>
                <w:sz w:val="22"/>
                <w:szCs w:val="22"/>
              </w:rPr>
            </w:pPr>
            <w:r w:rsidRPr="00E325E8">
              <w:rPr>
                <w:color w:val="000000"/>
                <w:sz w:val="22"/>
                <w:szCs w:val="22"/>
              </w:rPr>
              <w:t>The Agency added this newly-identified collection of information requirement to the ICR.</w:t>
            </w:r>
          </w:p>
        </w:tc>
      </w:tr>
      <w:tr w:rsidR="00E325E8" w:rsidRPr="00E325E8" w:rsidTr="00E325E8">
        <w:trPr>
          <w:trHeight w:val="1815"/>
        </w:trPr>
        <w:tc>
          <w:tcPr>
            <w:tcW w:w="2993" w:type="dxa"/>
            <w:shd w:val="clear" w:color="auto" w:fill="auto"/>
            <w:vAlign w:val="center"/>
            <w:hideMark/>
          </w:tcPr>
          <w:p w:rsidR="00E325E8" w:rsidRPr="00E325E8" w:rsidRDefault="00E325E8" w:rsidP="00E325E8">
            <w:pPr>
              <w:widowControl/>
              <w:autoSpaceDE/>
              <w:autoSpaceDN/>
              <w:adjustRightInd/>
              <w:rPr>
                <w:color w:val="000000"/>
                <w:sz w:val="22"/>
                <w:szCs w:val="22"/>
              </w:rPr>
            </w:pPr>
            <w:r w:rsidRPr="00E325E8">
              <w:rPr>
                <w:color w:val="000000"/>
                <w:sz w:val="22"/>
                <w:szCs w:val="22"/>
              </w:rPr>
              <w:lastRenderedPageBreak/>
              <w:t>(C)  Documentation of determinations and supporting data required for entries using alternative procedures (§ 1910.146(c)(5)(i)(E))</w:t>
            </w:r>
          </w:p>
        </w:tc>
        <w:tc>
          <w:tcPr>
            <w:tcW w:w="1299"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2,207,351</w:t>
            </w:r>
          </w:p>
        </w:tc>
        <w:tc>
          <w:tcPr>
            <w:tcW w:w="1506"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641,672</w:t>
            </w:r>
          </w:p>
        </w:tc>
        <w:tc>
          <w:tcPr>
            <w:tcW w:w="1315"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551,838</w:t>
            </w:r>
          </w:p>
        </w:tc>
        <w:tc>
          <w:tcPr>
            <w:tcW w:w="1430"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-89,834</w:t>
            </w:r>
          </w:p>
        </w:tc>
        <w:tc>
          <w:tcPr>
            <w:tcW w:w="1591"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$12,957,156</w:t>
            </w:r>
          </w:p>
        </w:tc>
        <w:tc>
          <w:tcPr>
            <w:tcW w:w="3426" w:type="dxa"/>
            <w:shd w:val="clear" w:color="auto" w:fill="auto"/>
            <w:vAlign w:val="center"/>
            <w:hideMark/>
          </w:tcPr>
          <w:p w:rsidR="00E325E8" w:rsidRPr="00E325E8" w:rsidRDefault="00E325E8" w:rsidP="00E325E8">
            <w:pPr>
              <w:widowControl/>
              <w:autoSpaceDE/>
              <w:autoSpaceDN/>
              <w:adjustRightInd/>
              <w:rPr>
                <w:color w:val="000000"/>
                <w:sz w:val="22"/>
                <w:szCs w:val="22"/>
              </w:rPr>
            </w:pPr>
            <w:r w:rsidRPr="00E325E8">
              <w:rPr>
                <w:color w:val="000000"/>
                <w:sz w:val="22"/>
                <w:szCs w:val="22"/>
              </w:rPr>
              <w:t>Based upon updated data, there was a reduction in the number of new establishments (from 10,452 to 10,277) that need to prepare documentation for spaces being entered using alternative procedures.</w:t>
            </w:r>
          </w:p>
        </w:tc>
      </w:tr>
      <w:tr w:rsidR="00E325E8" w:rsidRPr="00E325E8" w:rsidTr="00E325E8">
        <w:trPr>
          <w:trHeight w:val="1815"/>
        </w:trPr>
        <w:tc>
          <w:tcPr>
            <w:tcW w:w="2993" w:type="dxa"/>
            <w:shd w:val="clear" w:color="auto" w:fill="auto"/>
            <w:vAlign w:val="center"/>
            <w:hideMark/>
          </w:tcPr>
          <w:p w:rsidR="00E325E8" w:rsidRPr="00E325E8" w:rsidRDefault="00E325E8" w:rsidP="00E325E8">
            <w:pPr>
              <w:widowControl/>
              <w:autoSpaceDE/>
              <w:autoSpaceDN/>
              <w:adjustRightInd/>
              <w:rPr>
                <w:color w:val="000000"/>
                <w:sz w:val="22"/>
                <w:szCs w:val="22"/>
              </w:rPr>
            </w:pPr>
            <w:r w:rsidRPr="00E325E8">
              <w:rPr>
                <w:color w:val="000000"/>
                <w:sz w:val="22"/>
                <w:szCs w:val="22"/>
              </w:rPr>
              <w:t>(D) Written certification for alternate procedures (§ 1910.146(c)(5)(ii)(H))</w:t>
            </w:r>
          </w:p>
        </w:tc>
        <w:tc>
          <w:tcPr>
            <w:tcW w:w="1299"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2,207,351</w:t>
            </w:r>
          </w:p>
        </w:tc>
        <w:tc>
          <w:tcPr>
            <w:tcW w:w="1506"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128,334</w:t>
            </w:r>
          </w:p>
        </w:tc>
        <w:tc>
          <w:tcPr>
            <w:tcW w:w="1315"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110,368</w:t>
            </w:r>
          </w:p>
        </w:tc>
        <w:tc>
          <w:tcPr>
            <w:tcW w:w="1430"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-17,966</w:t>
            </w:r>
          </w:p>
        </w:tc>
        <w:tc>
          <w:tcPr>
            <w:tcW w:w="1591"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$2,591,441</w:t>
            </w:r>
          </w:p>
        </w:tc>
        <w:tc>
          <w:tcPr>
            <w:tcW w:w="3426" w:type="dxa"/>
            <w:shd w:val="clear" w:color="auto" w:fill="auto"/>
            <w:vAlign w:val="center"/>
            <w:hideMark/>
          </w:tcPr>
          <w:p w:rsidR="00E325E8" w:rsidRPr="00E325E8" w:rsidRDefault="00E325E8" w:rsidP="00E325E8">
            <w:pPr>
              <w:widowControl/>
              <w:autoSpaceDE/>
              <w:autoSpaceDN/>
              <w:adjustRightInd/>
              <w:rPr>
                <w:color w:val="000000"/>
                <w:sz w:val="22"/>
                <w:szCs w:val="22"/>
              </w:rPr>
            </w:pPr>
            <w:r w:rsidRPr="00E325E8">
              <w:rPr>
                <w:color w:val="000000"/>
                <w:sz w:val="22"/>
                <w:szCs w:val="22"/>
              </w:rPr>
              <w:t>Based upon updated data, there was a reduction in the number of permit spaces being entered under th</w:t>
            </w:r>
            <w:bookmarkStart w:id="5" w:name="_GoBack"/>
            <w:bookmarkEnd w:id="5"/>
            <w:r w:rsidRPr="00E325E8">
              <w:rPr>
                <w:color w:val="000000"/>
                <w:sz w:val="22"/>
                <w:szCs w:val="22"/>
              </w:rPr>
              <w:t>e abbreviated permit system (from 2,632,500 to 2,207,351) that need to prepare written documentation.</w:t>
            </w:r>
          </w:p>
        </w:tc>
      </w:tr>
      <w:tr w:rsidR="00E325E8" w:rsidRPr="00E325E8" w:rsidTr="00E325E8">
        <w:trPr>
          <w:trHeight w:val="1215"/>
        </w:trPr>
        <w:tc>
          <w:tcPr>
            <w:tcW w:w="2993" w:type="dxa"/>
            <w:shd w:val="clear" w:color="auto" w:fill="auto"/>
            <w:vAlign w:val="center"/>
            <w:hideMark/>
          </w:tcPr>
          <w:p w:rsidR="00E325E8" w:rsidRPr="00E325E8" w:rsidRDefault="00E325E8" w:rsidP="00E325E8">
            <w:pPr>
              <w:widowControl/>
              <w:autoSpaceDE/>
              <w:autoSpaceDN/>
              <w:adjustRightInd/>
              <w:rPr>
                <w:color w:val="000000"/>
                <w:sz w:val="22"/>
                <w:szCs w:val="22"/>
              </w:rPr>
            </w:pPr>
            <w:r w:rsidRPr="00E325E8">
              <w:rPr>
                <w:color w:val="000000"/>
                <w:sz w:val="22"/>
                <w:szCs w:val="22"/>
              </w:rPr>
              <w:t>(E)  Written certification that all hazards have been eliminated (reclassification of a permit space)  (§ 1910.146(c)(7)(iii))</w:t>
            </w:r>
          </w:p>
        </w:tc>
        <w:tc>
          <w:tcPr>
            <w:tcW w:w="1299"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187,463</w:t>
            </w:r>
          </w:p>
        </w:tc>
        <w:tc>
          <w:tcPr>
            <w:tcW w:w="1506"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9,506</w:t>
            </w:r>
          </w:p>
        </w:tc>
        <w:tc>
          <w:tcPr>
            <w:tcW w:w="1315"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9,373</w:t>
            </w:r>
          </w:p>
        </w:tc>
        <w:tc>
          <w:tcPr>
            <w:tcW w:w="1430"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-133</w:t>
            </w:r>
          </w:p>
        </w:tc>
        <w:tc>
          <w:tcPr>
            <w:tcW w:w="1591"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$220,078</w:t>
            </w:r>
          </w:p>
        </w:tc>
        <w:tc>
          <w:tcPr>
            <w:tcW w:w="3426" w:type="dxa"/>
            <w:shd w:val="clear" w:color="auto" w:fill="auto"/>
            <w:vAlign w:val="center"/>
            <w:hideMark/>
          </w:tcPr>
          <w:p w:rsidR="00E325E8" w:rsidRPr="00E325E8" w:rsidRDefault="00E325E8" w:rsidP="00E325E8">
            <w:pPr>
              <w:widowControl/>
              <w:autoSpaceDE/>
              <w:autoSpaceDN/>
              <w:adjustRightInd/>
              <w:rPr>
                <w:color w:val="000000"/>
                <w:sz w:val="22"/>
                <w:szCs w:val="22"/>
              </w:rPr>
            </w:pPr>
            <w:r w:rsidRPr="00E325E8">
              <w:rPr>
                <w:color w:val="000000"/>
                <w:sz w:val="22"/>
                <w:szCs w:val="22"/>
              </w:rPr>
              <w:t>Based upon updated data, there was a reduction in the number of permit spaces which will be reclassified each year (from 195,000 to 190,125).</w:t>
            </w:r>
          </w:p>
        </w:tc>
      </w:tr>
      <w:tr w:rsidR="00E325E8" w:rsidRPr="00E325E8" w:rsidTr="00E325E8">
        <w:trPr>
          <w:trHeight w:val="1515"/>
        </w:trPr>
        <w:tc>
          <w:tcPr>
            <w:tcW w:w="2993" w:type="dxa"/>
            <w:shd w:val="clear" w:color="auto" w:fill="auto"/>
            <w:vAlign w:val="center"/>
            <w:hideMark/>
          </w:tcPr>
          <w:p w:rsidR="00E325E8" w:rsidRPr="00BB6290" w:rsidRDefault="00E325E8" w:rsidP="00E325E8">
            <w:pPr>
              <w:widowControl/>
              <w:autoSpaceDE/>
              <w:autoSpaceDN/>
              <w:adjustRightInd/>
              <w:rPr>
                <w:color w:val="000000"/>
                <w:sz w:val="22"/>
                <w:szCs w:val="22"/>
              </w:rPr>
            </w:pPr>
            <w:r w:rsidRPr="00BB6290">
              <w:rPr>
                <w:color w:val="000000"/>
                <w:sz w:val="22"/>
                <w:szCs w:val="22"/>
              </w:rPr>
              <w:t>(F) Information Exchange - Host Employer and Contractor (§ 1910.146(c)(8)(i), (c)(8)(ii), (c)(8)(iii), (c)(8)(v) and (c)(9)(iii))</w:t>
            </w:r>
          </w:p>
        </w:tc>
        <w:tc>
          <w:tcPr>
            <w:tcW w:w="1299" w:type="dxa"/>
            <w:shd w:val="clear" w:color="auto" w:fill="auto"/>
            <w:vAlign w:val="center"/>
            <w:hideMark/>
          </w:tcPr>
          <w:p w:rsidR="00E325E8" w:rsidRPr="00BB6290" w:rsidRDefault="00E325E8" w:rsidP="00E325E8">
            <w:pPr>
              <w:widowControl/>
              <w:autoSpaceDE/>
              <w:autoSpaceDN/>
              <w:adjustRightInd/>
              <w:jc w:val="center"/>
              <w:rPr>
                <w:rFonts w:ascii="Calibri" w:hAnsi="Calibri"/>
                <w:color w:val="000000"/>
                <w:sz w:val="22"/>
                <w:szCs w:val="22"/>
              </w:rPr>
            </w:pPr>
            <w:r w:rsidRPr="00BB6290">
              <w:rPr>
                <w:rFonts w:ascii="Calibri" w:hAnsi="Calibri"/>
                <w:color w:val="000000"/>
                <w:sz w:val="22"/>
                <w:szCs w:val="22"/>
              </w:rPr>
              <w:t>4,110</w:t>
            </w:r>
          </w:p>
        </w:tc>
        <w:tc>
          <w:tcPr>
            <w:tcW w:w="1506" w:type="dxa"/>
            <w:shd w:val="clear" w:color="auto" w:fill="auto"/>
            <w:vAlign w:val="center"/>
            <w:hideMark/>
          </w:tcPr>
          <w:p w:rsidR="00E325E8" w:rsidRPr="00BB6290" w:rsidRDefault="00E325E8" w:rsidP="00E325E8">
            <w:pPr>
              <w:widowControl/>
              <w:autoSpaceDE/>
              <w:autoSpaceDN/>
              <w:adjustRightInd/>
              <w:jc w:val="center"/>
              <w:rPr>
                <w:color w:val="000000"/>
                <w:sz w:val="22"/>
                <w:szCs w:val="22"/>
              </w:rPr>
            </w:pPr>
            <w:r w:rsidRPr="00BB6290">
              <w:rPr>
                <w:color w:val="000000"/>
                <w:sz w:val="22"/>
                <w:szCs w:val="22"/>
              </w:rPr>
              <w:t>0</w:t>
            </w:r>
          </w:p>
        </w:tc>
        <w:tc>
          <w:tcPr>
            <w:tcW w:w="1315" w:type="dxa"/>
            <w:shd w:val="clear" w:color="auto" w:fill="auto"/>
            <w:vAlign w:val="center"/>
            <w:hideMark/>
          </w:tcPr>
          <w:p w:rsidR="00E325E8" w:rsidRPr="00BB6290" w:rsidRDefault="00E325E8" w:rsidP="00E325E8">
            <w:pPr>
              <w:widowControl/>
              <w:autoSpaceDE/>
              <w:autoSpaceDN/>
              <w:adjustRightInd/>
              <w:jc w:val="center"/>
              <w:rPr>
                <w:color w:val="000000"/>
                <w:sz w:val="22"/>
                <w:szCs w:val="22"/>
              </w:rPr>
            </w:pPr>
            <w:r w:rsidRPr="00BB6290">
              <w:rPr>
                <w:color w:val="000000"/>
                <w:sz w:val="22"/>
                <w:szCs w:val="22"/>
              </w:rPr>
              <w:t>534</w:t>
            </w:r>
          </w:p>
        </w:tc>
        <w:tc>
          <w:tcPr>
            <w:tcW w:w="1430" w:type="dxa"/>
            <w:shd w:val="clear" w:color="auto" w:fill="auto"/>
            <w:vAlign w:val="center"/>
            <w:hideMark/>
          </w:tcPr>
          <w:p w:rsidR="00E325E8" w:rsidRPr="00BB6290" w:rsidRDefault="00E325E8" w:rsidP="00E325E8">
            <w:pPr>
              <w:widowControl/>
              <w:autoSpaceDE/>
              <w:autoSpaceDN/>
              <w:adjustRightInd/>
              <w:jc w:val="center"/>
              <w:rPr>
                <w:color w:val="000000"/>
                <w:sz w:val="22"/>
                <w:szCs w:val="22"/>
              </w:rPr>
            </w:pPr>
            <w:r w:rsidRPr="00BB6290">
              <w:rPr>
                <w:color w:val="000000"/>
                <w:sz w:val="22"/>
                <w:szCs w:val="22"/>
              </w:rPr>
              <w:t>534</w:t>
            </w:r>
          </w:p>
        </w:tc>
        <w:tc>
          <w:tcPr>
            <w:tcW w:w="1591" w:type="dxa"/>
            <w:shd w:val="clear" w:color="auto" w:fill="auto"/>
            <w:vAlign w:val="center"/>
            <w:hideMark/>
          </w:tcPr>
          <w:p w:rsidR="00E325E8" w:rsidRPr="00BB6290" w:rsidRDefault="00E325E8" w:rsidP="00E325E8">
            <w:pPr>
              <w:widowControl/>
              <w:autoSpaceDE/>
              <w:autoSpaceDN/>
              <w:adjustRightInd/>
              <w:jc w:val="center"/>
              <w:rPr>
                <w:rFonts w:ascii="Calibri" w:hAnsi="Calibri"/>
                <w:color w:val="000000"/>
                <w:sz w:val="22"/>
                <w:szCs w:val="22"/>
              </w:rPr>
            </w:pPr>
            <w:r w:rsidRPr="00BB6290">
              <w:rPr>
                <w:rFonts w:ascii="Calibri" w:hAnsi="Calibri"/>
                <w:color w:val="000000"/>
                <w:sz w:val="22"/>
                <w:szCs w:val="22"/>
              </w:rPr>
              <w:t>$30,903</w:t>
            </w:r>
          </w:p>
        </w:tc>
        <w:tc>
          <w:tcPr>
            <w:tcW w:w="3426" w:type="dxa"/>
            <w:shd w:val="clear" w:color="auto" w:fill="auto"/>
            <w:vAlign w:val="center"/>
            <w:hideMark/>
          </w:tcPr>
          <w:p w:rsidR="00E325E8" w:rsidRPr="00BB6290" w:rsidRDefault="00E325E8" w:rsidP="00E325E8">
            <w:pPr>
              <w:widowControl/>
              <w:autoSpaceDE/>
              <w:autoSpaceDN/>
              <w:adjustRightInd/>
              <w:rPr>
                <w:color w:val="000000"/>
                <w:sz w:val="22"/>
                <w:szCs w:val="22"/>
              </w:rPr>
            </w:pPr>
            <w:r w:rsidRPr="00BB6290">
              <w:rPr>
                <w:color w:val="000000"/>
                <w:sz w:val="22"/>
                <w:szCs w:val="22"/>
              </w:rPr>
              <w:t>The Agency added this newly-identified collection of information requirement to the ICR.</w:t>
            </w:r>
          </w:p>
        </w:tc>
      </w:tr>
      <w:tr w:rsidR="00E325E8" w:rsidRPr="00E325E8" w:rsidTr="00E325E8">
        <w:trPr>
          <w:trHeight w:val="1815"/>
        </w:trPr>
        <w:tc>
          <w:tcPr>
            <w:tcW w:w="2993" w:type="dxa"/>
            <w:shd w:val="clear" w:color="auto" w:fill="auto"/>
            <w:vAlign w:val="center"/>
            <w:hideMark/>
          </w:tcPr>
          <w:p w:rsidR="00E325E8" w:rsidRPr="00E325E8" w:rsidRDefault="00E325E8" w:rsidP="00E325E8">
            <w:pPr>
              <w:widowControl/>
              <w:autoSpaceDE/>
              <w:autoSpaceDN/>
              <w:adjustRightInd/>
              <w:rPr>
                <w:color w:val="000000"/>
                <w:sz w:val="22"/>
                <w:szCs w:val="22"/>
              </w:rPr>
            </w:pPr>
            <w:r w:rsidRPr="00E325E8">
              <w:rPr>
                <w:color w:val="000000"/>
                <w:sz w:val="22"/>
                <w:szCs w:val="22"/>
              </w:rPr>
              <w:lastRenderedPageBreak/>
              <w:t>(G)  Written entry permits (§ 1910.146(e ))</w:t>
            </w:r>
          </w:p>
        </w:tc>
        <w:tc>
          <w:tcPr>
            <w:tcW w:w="1299"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1,780,900</w:t>
            </w:r>
          </w:p>
        </w:tc>
        <w:tc>
          <w:tcPr>
            <w:tcW w:w="1506"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451,547</w:t>
            </w:r>
          </w:p>
        </w:tc>
        <w:tc>
          <w:tcPr>
            <w:tcW w:w="1315"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445,225</w:t>
            </w:r>
          </w:p>
        </w:tc>
        <w:tc>
          <w:tcPr>
            <w:tcW w:w="1430"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-6,322</w:t>
            </w:r>
          </w:p>
        </w:tc>
        <w:tc>
          <w:tcPr>
            <w:tcW w:w="1591"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$10,453,883</w:t>
            </w:r>
          </w:p>
        </w:tc>
        <w:tc>
          <w:tcPr>
            <w:tcW w:w="3426" w:type="dxa"/>
            <w:shd w:val="clear" w:color="auto" w:fill="auto"/>
            <w:vAlign w:val="center"/>
            <w:hideMark/>
          </w:tcPr>
          <w:p w:rsidR="00E325E8" w:rsidRPr="00E325E8" w:rsidRDefault="00E325E8" w:rsidP="00E325E8">
            <w:pPr>
              <w:widowControl/>
              <w:autoSpaceDE/>
              <w:autoSpaceDN/>
              <w:adjustRightInd/>
              <w:rPr>
                <w:color w:val="000000"/>
                <w:sz w:val="22"/>
                <w:szCs w:val="22"/>
              </w:rPr>
            </w:pPr>
            <w:r w:rsidRPr="00E325E8">
              <w:rPr>
                <w:color w:val="000000"/>
                <w:sz w:val="22"/>
                <w:szCs w:val="22"/>
              </w:rPr>
              <w:t>Based upon updated data, there was a reduction in the number of permit spaces being entered which will require a complete written permit generated and posted (from 1,806,187 to 1,780,900).</w:t>
            </w:r>
          </w:p>
        </w:tc>
      </w:tr>
      <w:tr w:rsidR="00E325E8" w:rsidRPr="00E325E8" w:rsidTr="00E325E8">
        <w:trPr>
          <w:trHeight w:val="3990"/>
        </w:trPr>
        <w:tc>
          <w:tcPr>
            <w:tcW w:w="2993" w:type="dxa"/>
            <w:vMerge w:val="restart"/>
            <w:shd w:val="clear" w:color="auto" w:fill="auto"/>
            <w:vAlign w:val="center"/>
            <w:hideMark/>
          </w:tcPr>
          <w:p w:rsidR="00E325E8" w:rsidRPr="00E325E8" w:rsidRDefault="00E325E8" w:rsidP="00E325E8">
            <w:pPr>
              <w:widowControl/>
              <w:autoSpaceDE/>
              <w:autoSpaceDN/>
              <w:adjustRightInd/>
              <w:rPr>
                <w:color w:val="000000"/>
                <w:sz w:val="22"/>
                <w:szCs w:val="22"/>
              </w:rPr>
            </w:pPr>
            <w:r w:rsidRPr="00E325E8">
              <w:rPr>
                <w:color w:val="000000"/>
                <w:sz w:val="22"/>
                <w:szCs w:val="22"/>
              </w:rPr>
              <w:t>(H) Certification of training (§ 1910.146(g)(4))</w:t>
            </w:r>
          </w:p>
        </w:tc>
        <w:tc>
          <w:tcPr>
            <w:tcW w:w="1299"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1,316,767</w:t>
            </w:r>
          </w:p>
        </w:tc>
        <w:tc>
          <w:tcPr>
            <w:tcW w:w="1506"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26,870</w:t>
            </w:r>
          </w:p>
        </w:tc>
        <w:tc>
          <w:tcPr>
            <w:tcW w:w="1315"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26,335</w:t>
            </w:r>
          </w:p>
        </w:tc>
        <w:tc>
          <w:tcPr>
            <w:tcW w:w="1430"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-535</w:t>
            </w:r>
          </w:p>
        </w:tc>
        <w:tc>
          <w:tcPr>
            <w:tcW w:w="1591"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$719,209</w:t>
            </w:r>
          </w:p>
        </w:tc>
        <w:tc>
          <w:tcPr>
            <w:tcW w:w="3426" w:type="dxa"/>
            <w:vMerge w:val="restart"/>
            <w:shd w:val="clear" w:color="auto" w:fill="auto"/>
            <w:vAlign w:val="center"/>
            <w:hideMark/>
          </w:tcPr>
          <w:p w:rsidR="00E325E8" w:rsidRPr="00E325E8" w:rsidRDefault="00E325E8" w:rsidP="00E325E8">
            <w:pPr>
              <w:widowControl/>
              <w:autoSpaceDE/>
              <w:autoSpaceDN/>
              <w:adjustRightInd/>
              <w:rPr>
                <w:color w:val="000000"/>
                <w:sz w:val="22"/>
                <w:szCs w:val="22"/>
              </w:rPr>
            </w:pPr>
            <w:r w:rsidRPr="00E325E8">
              <w:rPr>
                <w:color w:val="000000"/>
                <w:sz w:val="22"/>
                <w:szCs w:val="22"/>
              </w:rPr>
              <w:t>Based upon updated data, there was a reduction in the number of permit space entrants (from 1,492,749 to 1,463,075).  The Agency estimates that 10% of these employees (146,308) will be considered “new” or are assigned to duties that will require new training.  A training certification record will have to be generated and maintained for these employees.  The employer will need only to maintain the training record for the remaining “existing” (1,316,767) employees.</w:t>
            </w:r>
          </w:p>
        </w:tc>
      </w:tr>
      <w:tr w:rsidR="00E325E8" w:rsidRPr="00E325E8" w:rsidTr="00E325E8">
        <w:trPr>
          <w:trHeight w:val="315"/>
        </w:trPr>
        <w:tc>
          <w:tcPr>
            <w:tcW w:w="2993" w:type="dxa"/>
            <w:vMerge/>
            <w:vAlign w:val="center"/>
            <w:hideMark/>
          </w:tcPr>
          <w:p w:rsidR="00E325E8" w:rsidRPr="00E325E8" w:rsidRDefault="00E325E8" w:rsidP="00E325E8">
            <w:pPr>
              <w:widowControl/>
              <w:autoSpaceDE/>
              <w:autoSpaceDN/>
              <w:adjustRightInd/>
              <w:rPr>
                <w:color w:val="000000"/>
                <w:sz w:val="22"/>
                <w:szCs w:val="22"/>
              </w:rPr>
            </w:pPr>
          </w:p>
        </w:tc>
        <w:tc>
          <w:tcPr>
            <w:tcW w:w="1299"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146,308</w:t>
            </w:r>
          </w:p>
        </w:tc>
        <w:tc>
          <w:tcPr>
            <w:tcW w:w="1506"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7,464</w:t>
            </w:r>
          </w:p>
        </w:tc>
        <w:tc>
          <w:tcPr>
            <w:tcW w:w="1315"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7,315</w:t>
            </w:r>
          </w:p>
        </w:tc>
        <w:tc>
          <w:tcPr>
            <w:tcW w:w="1430"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-149</w:t>
            </w:r>
          </w:p>
        </w:tc>
        <w:tc>
          <w:tcPr>
            <w:tcW w:w="1591"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$199,773</w:t>
            </w:r>
          </w:p>
        </w:tc>
        <w:tc>
          <w:tcPr>
            <w:tcW w:w="3426" w:type="dxa"/>
            <w:vMerge/>
            <w:vAlign w:val="center"/>
            <w:hideMark/>
          </w:tcPr>
          <w:p w:rsidR="00E325E8" w:rsidRPr="00E325E8" w:rsidRDefault="00E325E8" w:rsidP="00E325E8">
            <w:pPr>
              <w:widowControl/>
              <w:autoSpaceDE/>
              <w:autoSpaceDN/>
              <w:adjustRightInd/>
              <w:rPr>
                <w:color w:val="000000"/>
                <w:sz w:val="22"/>
                <w:szCs w:val="22"/>
              </w:rPr>
            </w:pPr>
          </w:p>
        </w:tc>
      </w:tr>
      <w:tr w:rsidR="00E325E8" w:rsidRPr="00E325E8" w:rsidTr="00E325E8">
        <w:trPr>
          <w:trHeight w:val="1515"/>
        </w:trPr>
        <w:tc>
          <w:tcPr>
            <w:tcW w:w="2993" w:type="dxa"/>
            <w:shd w:val="clear" w:color="auto" w:fill="auto"/>
            <w:vAlign w:val="center"/>
            <w:hideMark/>
          </w:tcPr>
          <w:p w:rsidR="00E325E8" w:rsidRPr="00BB6290" w:rsidRDefault="00E325E8" w:rsidP="00E325E8">
            <w:pPr>
              <w:widowControl/>
              <w:autoSpaceDE/>
              <w:autoSpaceDN/>
              <w:adjustRightInd/>
              <w:rPr>
                <w:color w:val="000000"/>
                <w:sz w:val="22"/>
                <w:szCs w:val="22"/>
              </w:rPr>
            </w:pPr>
            <w:r w:rsidRPr="00BB6290">
              <w:rPr>
                <w:color w:val="000000"/>
                <w:sz w:val="22"/>
                <w:szCs w:val="22"/>
              </w:rPr>
              <w:lastRenderedPageBreak/>
              <w:t>(I) Information Exchange – Authorized Entrants (§ 1910.146(h)(3) and h)(4)) and Attendants (§ 1910.146(i)(5), (i)(6), (i)(7), and (i)(8))</w:t>
            </w:r>
          </w:p>
        </w:tc>
        <w:tc>
          <w:tcPr>
            <w:tcW w:w="1299" w:type="dxa"/>
            <w:shd w:val="clear" w:color="auto" w:fill="auto"/>
            <w:vAlign w:val="center"/>
            <w:hideMark/>
          </w:tcPr>
          <w:p w:rsidR="00E325E8" w:rsidRPr="00BB6290" w:rsidRDefault="00E325E8" w:rsidP="00E325E8">
            <w:pPr>
              <w:widowControl/>
              <w:autoSpaceDE/>
              <w:autoSpaceDN/>
              <w:adjustRightInd/>
              <w:jc w:val="center"/>
              <w:rPr>
                <w:rFonts w:ascii="Calibri" w:hAnsi="Calibri"/>
                <w:color w:val="000000"/>
                <w:sz w:val="22"/>
                <w:szCs w:val="22"/>
              </w:rPr>
            </w:pPr>
            <w:r w:rsidRPr="00BB6290">
              <w:rPr>
                <w:rFonts w:ascii="Calibri" w:hAnsi="Calibri"/>
                <w:color w:val="000000"/>
                <w:sz w:val="22"/>
                <w:szCs w:val="22"/>
              </w:rPr>
              <w:t>699,006</w:t>
            </w:r>
          </w:p>
        </w:tc>
        <w:tc>
          <w:tcPr>
            <w:tcW w:w="1506" w:type="dxa"/>
            <w:shd w:val="clear" w:color="auto" w:fill="auto"/>
            <w:vAlign w:val="center"/>
            <w:hideMark/>
          </w:tcPr>
          <w:p w:rsidR="00E325E8" w:rsidRPr="00BB6290" w:rsidRDefault="00E325E8" w:rsidP="00E325E8">
            <w:pPr>
              <w:widowControl/>
              <w:autoSpaceDE/>
              <w:autoSpaceDN/>
              <w:adjustRightInd/>
              <w:jc w:val="center"/>
              <w:rPr>
                <w:color w:val="000000"/>
                <w:sz w:val="22"/>
                <w:szCs w:val="22"/>
              </w:rPr>
            </w:pPr>
            <w:r w:rsidRPr="00BB6290">
              <w:rPr>
                <w:color w:val="000000"/>
                <w:sz w:val="22"/>
                <w:szCs w:val="22"/>
              </w:rPr>
              <w:t>0</w:t>
            </w:r>
          </w:p>
        </w:tc>
        <w:tc>
          <w:tcPr>
            <w:tcW w:w="1315" w:type="dxa"/>
            <w:shd w:val="clear" w:color="auto" w:fill="auto"/>
            <w:vAlign w:val="center"/>
            <w:hideMark/>
          </w:tcPr>
          <w:p w:rsidR="00E325E8" w:rsidRPr="00BB6290" w:rsidRDefault="00E325E8" w:rsidP="00E325E8">
            <w:pPr>
              <w:widowControl/>
              <w:autoSpaceDE/>
              <w:autoSpaceDN/>
              <w:adjustRightInd/>
              <w:jc w:val="center"/>
              <w:rPr>
                <w:color w:val="000000"/>
                <w:sz w:val="22"/>
                <w:szCs w:val="22"/>
              </w:rPr>
            </w:pPr>
            <w:r w:rsidRPr="00BB6290">
              <w:rPr>
                <w:color w:val="000000"/>
                <w:sz w:val="22"/>
                <w:szCs w:val="22"/>
              </w:rPr>
              <w:t>61,221</w:t>
            </w:r>
          </w:p>
        </w:tc>
        <w:tc>
          <w:tcPr>
            <w:tcW w:w="1430" w:type="dxa"/>
            <w:shd w:val="clear" w:color="auto" w:fill="auto"/>
            <w:vAlign w:val="center"/>
            <w:hideMark/>
          </w:tcPr>
          <w:p w:rsidR="00E325E8" w:rsidRPr="00BB6290" w:rsidRDefault="00E325E8" w:rsidP="00E325E8">
            <w:pPr>
              <w:widowControl/>
              <w:autoSpaceDE/>
              <w:autoSpaceDN/>
              <w:adjustRightInd/>
              <w:jc w:val="center"/>
              <w:rPr>
                <w:color w:val="000000"/>
                <w:sz w:val="22"/>
                <w:szCs w:val="22"/>
              </w:rPr>
            </w:pPr>
            <w:r w:rsidRPr="00BB6290">
              <w:rPr>
                <w:color w:val="000000"/>
                <w:sz w:val="22"/>
                <w:szCs w:val="22"/>
              </w:rPr>
              <w:t>61,221</w:t>
            </w:r>
          </w:p>
        </w:tc>
        <w:tc>
          <w:tcPr>
            <w:tcW w:w="1591" w:type="dxa"/>
            <w:shd w:val="clear" w:color="auto" w:fill="auto"/>
            <w:vAlign w:val="center"/>
            <w:hideMark/>
          </w:tcPr>
          <w:p w:rsidR="00E325E8" w:rsidRPr="00BB6290" w:rsidRDefault="00E325E8" w:rsidP="00E325E8">
            <w:pPr>
              <w:widowControl/>
              <w:autoSpaceDE/>
              <w:autoSpaceDN/>
              <w:adjustRightInd/>
              <w:jc w:val="center"/>
              <w:rPr>
                <w:rFonts w:ascii="Calibri" w:hAnsi="Calibri"/>
                <w:color w:val="000000"/>
                <w:sz w:val="22"/>
                <w:szCs w:val="22"/>
              </w:rPr>
            </w:pPr>
            <w:r w:rsidRPr="00BB6290">
              <w:rPr>
                <w:rFonts w:ascii="Calibri" w:hAnsi="Calibri"/>
                <w:color w:val="000000"/>
                <w:sz w:val="22"/>
                <w:szCs w:val="22"/>
              </w:rPr>
              <w:t>$1,777,138</w:t>
            </w:r>
          </w:p>
        </w:tc>
        <w:tc>
          <w:tcPr>
            <w:tcW w:w="3426" w:type="dxa"/>
            <w:shd w:val="clear" w:color="auto" w:fill="auto"/>
            <w:vAlign w:val="center"/>
            <w:hideMark/>
          </w:tcPr>
          <w:p w:rsidR="00E325E8" w:rsidRPr="00BB6290" w:rsidRDefault="00E325E8" w:rsidP="00E325E8">
            <w:pPr>
              <w:widowControl/>
              <w:autoSpaceDE/>
              <w:autoSpaceDN/>
              <w:adjustRightInd/>
              <w:rPr>
                <w:color w:val="000000"/>
                <w:sz w:val="22"/>
                <w:szCs w:val="22"/>
              </w:rPr>
            </w:pPr>
            <w:r w:rsidRPr="00BB6290">
              <w:rPr>
                <w:color w:val="000000"/>
                <w:sz w:val="22"/>
                <w:szCs w:val="22"/>
              </w:rPr>
              <w:t>The Agency added this newly-identified collection of information requirement to the ICR.</w:t>
            </w:r>
          </w:p>
        </w:tc>
      </w:tr>
      <w:tr w:rsidR="00E325E8" w:rsidRPr="00E325E8" w:rsidTr="00E325E8">
        <w:trPr>
          <w:trHeight w:val="1215"/>
        </w:trPr>
        <w:tc>
          <w:tcPr>
            <w:tcW w:w="2993" w:type="dxa"/>
            <w:shd w:val="clear" w:color="auto" w:fill="auto"/>
            <w:vAlign w:val="center"/>
            <w:hideMark/>
          </w:tcPr>
          <w:p w:rsidR="00E325E8" w:rsidRPr="00BB6290" w:rsidRDefault="00E325E8" w:rsidP="00E325E8">
            <w:pPr>
              <w:widowControl/>
              <w:autoSpaceDE/>
              <w:autoSpaceDN/>
              <w:adjustRightInd/>
              <w:rPr>
                <w:color w:val="000000"/>
                <w:sz w:val="22"/>
                <w:szCs w:val="22"/>
              </w:rPr>
            </w:pPr>
            <w:r w:rsidRPr="00BB6290">
              <w:rPr>
                <w:color w:val="000000"/>
                <w:sz w:val="22"/>
                <w:szCs w:val="22"/>
              </w:rPr>
              <w:t>(J) Informing the Rescue Service About the Hazards of the Space (§ 1910.146 (k)(1)(iv))</w:t>
            </w:r>
          </w:p>
        </w:tc>
        <w:tc>
          <w:tcPr>
            <w:tcW w:w="1299" w:type="dxa"/>
            <w:shd w:val="clear" w:color="auto" w:fill="auto"/>
            <w:vAlign w:val="center"/>
            <w:hideMark/>
          </w:tcPr>
          <w:p w:rsidR="00E325E8" w:rsidRPr="00BB6290" w:rsidRDefault="00E325E8" w:rsidP="00E325E8">
            <w:pPr>
              <w:widowControl/>
              <w:autoSpaceDE/>
              <w:autoSpaceDN/>
              <w:adjustRightInd/>
              <w:jc w:val="center"/>
              <w:rPr>
                <w:rFonts w:ascii="Calibri" w:hAnsi="Calibri"/>
                <w:color w:val="000000"/>
                <w:sz w:val="22"/>
                <w:szCs w:val="22"/>
              </w:rPr>
            </w:pPr>
            <w:r w:rsidRPr="00BB6290">
              <w:rPr>
                <w:rFonts w:ascii="Calibri" w:hAnsi="Calibri"/>
                <w:color w:val="000000"/>
                <w:sz w:val="22"/>
                <w:szCs w:val="22"/>
              </w:rPr>
              <w:t>448</w:t>
            </w:r>
          </w:p>
        </w:tc>
        <w:tc>
          <w:tcPr>
            <w:tcW w:w="1506" w:type="dxa"/>
            <w:shd w:val="clear" w:color="auto" w:fill="auto"/>
            <w:vAlign w:val="center"/>
            <w:hideMark/>
          </w:tcPr>
          <w:p w:rsidR="00E325E8" w:rsidRPr="00BB6290" w:rsidRDefault="00E325E8" w:rsidP="00E325E8">
            <w:pPr>
              <w:widowControl/>
              <w:autoSpaceDE/>
              <w:autoSpaceDN/>
              <w:adjustRightInd/>
              <w:jc w:val="center"/>
              <w:rPr>
                <w:color w:val="000000"/>
                <w:sz w:val="22"/>
                <w:szCs w:val="22"/>
              </w:rPr>
            </w:pPr>
            <w:r w:rsidRPr="00BB6290">
              <w:rPr>
                <w:color w:val="000000"/>
                <w:sz w:val="22"/>
                <w:szCs w:val="22"/>
              </w:rPr>
              <w:t>0</w:t>
            </w:r>
          </w:p>
        </w:tc>
        <w:tc>
          <w:tcPr>
            <w:tcW w:w="1315" w:type="dxa"/>
            <w:shd w:val="clear" w:color="auto" w:fill="auto"/>
            <w:vAlign w:val="center"/>
            <w:hideMark/>
          </w:tcPr>
          <w:p w:rsidR="00E325E8" w:rsidRPr="00BB6290" w:rsidRDefault="00E325E8" w:rsidP="00E325E8">
            <w:pPr>
              <w:widowControl/>
              <w:autoSpaceDE/>
              <w:autoSpaceDN/>
              <w:adjustRightInd/>
              <w:jc w:val="center"/>
              <w:rPr>
                <w:color w:val="000000"/>
                <w:sz w:val="22"/>
                <w:szCs w:val="22"/>
              </w:rPr>
            </w:pPr>
            <w:r w:rsidRPr="00BB6290">
              <w:rPr>
                <w:color w:val="000000"/>
                <w:sz w:val="22"/>
                <w:szCs w:val="22"/>
              </w:rPr>
              <w:t>13</w:t>
            </w:r>
          </w:p>
        </w:tc>
        <w:tc>
          <w:tcPr>
            <w:tcW w:w="1430" w:type="dxa"/>
            <w:shd w:val="clear" w:color="auto" w:fill="auto"/>
            <w:vAlign w:val="center"/>
            <w:hideMark/>
          </w:tcPr>
          <w:p w:rsidR="00E325E8" w:rsidRPr="00BB6290" w:rsidRDefault="00E325E8" w:rsidP="00E325E8">
            <w:pPr>
              <w:widowControl/>
              <w:autoSpaceDE/>
              <w:autoSpaceDN/>
              <w:adjustRightInd/>
              <w:jc w:val="center"/>
              <w:rPr>
                <w:color w:val="000000"/>
                <w:sz w:val="22"/>
                <w:szCs w:val="22"/>
              </w:rPr>
            </w:pPr>
            <w:r w:rsidRPr="00BB6290">
              <w:rPr>
                <w:color w:val="000000"/>
                <w:sz w:val="22"/>
                <w:szCs w:val="22"/>
              </w:rPr>
              <w:t>13</w:t>
            </w:r>
          </w:p>
        </w:tc>
        <w:tc>
          <w:tcPr>
            <w:tcW w:w="1591" w:type="dxa"/>
            <w:shd w:val="clear" w:color="auto" w:fill="auto"/>
            <w:vAlign w:val="center"/>
            <w:hideMark/>
          </w:tcPr>
          <w:p w:rsidR="00E325E8" w:rsidRPr="00BB6290" w:rsidRDefault="00E325E8" w:rsidP="00E325E8">
            <w:pPr>
              <w:widowControl/>
              <w:autoSpaceDE/>
              <w:autoSpaceDN/>
              <w:adjustRightInd/>
              <w:jc w:val="center"/>
              <w:rPr>
                <w:rFonts w:ascii="Calibri" w:hAnsi="Calibri"/>
                <w:color w:val="000000"/>
                <w:sz w:val="22"/>
                <w:szCs w:val="22"/>
              </w:rPr>
            </w:pPr>
            <w:r w:rsidRPr="00BB6290">
              <w:rPr>
                <w:rFonts w:ascii="Calibri" w:hAnsi="Calibri"/>
                <w:color w:val="000000"/>
                <w:sz w:val="22"/>
                <w:szCs w:val="22"/>
              </w:rPr>
              <w:t>$752</w:t>
            </w:r>
          </w:p>
        </w:tc>
        <w:tc>
          <w:tcPr>
            <w:tcW w:w="3426" w:type="dxa"/>
            <w:shd w:val="clear" w:color="auto" w:fill="auto"/>
            <w:vAlign w:val="center"/>
            <w:hideMark/>
          </w:tcPr>
          <w:p w:rsidR="00E325E8" w:rsidRPr="00BB6290" w:rsidRDefault="00E325E8" w:rsidP="00E325E8">
            <w:pPr>
              <w:widowControl/>
              <w:autoSpaceDE/>
              <w:autoSpaceDN/>
              <w:adjustRightInd/>
              <w:rPr>
                <w:color w:val="000000"/>
                <w:sz w:val="22"/>
                <w:szCs w:val="22"/>
              </w:rPr>
            </w:pPr>
            <w:r w:rsidRPr="00BB6290">
              <w:rPr>
                <w:color w:val="000000"/>
                <w:sz w:val="22"/>
                <w:szCs w:val="22"/>
              </w:rPr>
              <w:t>The Agency added this newly-identified collection of information requirement to the ICR.</w:t>
            </w:r>
          </w:p>
        </w:tc>
      </w:tr>
      <w:tr w:rsidR="00E325E8" w:rsidRPr="00E325E8" w:rsidTr="00E325E8">
        <w:trPr>
          <w:trHeight w:val="2715"/>
        </w:trPr>
        <w:tc>
          <w:tcPr>
            <w:tcW w:w="2993" w:type="dxa"/>
            <w:shd w:val="clear" w:color="auto" w:fill="auto"/>
            <w:vAlign w:val="center"/>
            <w:hideMark/>
          </w:tcPr>
          <w:p w:rsidR="00E325E8" w:rsidRPr="00E325E8" w:rsidRDefault="00E325E8" w:rsidP="00E325E8">
            <w:pPr>
              <w:widowControl/>
              <w:autoSpaceDE/>
              <w:autoSpaceDN/>
              <w:adjustRightInd/>
              <w:rPr>
                <w:color w:val="000000"/>
                <w:sz w:val="22"/>
                <w:szCs w:val="22"/>
              </w:rPr>
            </w:pPr>
            <w:r w:rsidRPr="00E325E8">
              <w:rPr>
                <w:color w:val="000000"/>
                <w:sz w:val="22"/>
                <w:szCs w:val="22"/>
              </w:rPr>
              <w:t>(K)  Disclosure of records (§§ 1910.146 (c)(5)(ii)(H), (c)(7)(iii) and (g)(4))</w:t>
            </w:r>
          </w:p>
        </w:tc>
        <w:tc>
          <w:tcPr>
            <w:tcW w:w="1299"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14,631</w:t>
            </w:r>
          </w:p>
        </w:tc>
        <w:tc>
          <w:tcPr>
            <w:tcW w:w="1506"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88</w:t>
            </w:r>
          </w:p>
        </w:tc>
        <w:tc>
          <w:tcPr>
            <w:tcW w:w="1315"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1,170</w:t>
            </w:r>
          </w:p>
        </w:tc>
        <w:tc>
          <w:tcPr>
            <w:tcW w:w="1430" w:type="dxa"/>
            <w:shd w:val="clear" w:color="auto" w:fill="auto"/>
            <w:vAlign w:val="center"/>
            <w:hideMark/>
          </w:tcPr>
          <w:p w:rsidR="00E325E8" w:rsidRPr="00E325E8" w:rsidRDefault="00E325E8" w:rsidP="00E325E8">
            <w:pPr>
              <w:widowControl/>
              <w:autoSpaceDE/>
              <w:autoSpaceDN/>
              <w:adjustRightInd/>
              <w:jc w:val="center"/>
              <w:rPr>
                <w:color w:val="000000"/>
                <w:sz w:val="22"/>
                <w:szCs w:val="22"/>
              </w:rPr>
            </w:pPr>
            <w:r w:rsidRPr="00E325E8">
              <w:rPr>
                <w:color w:val="000000"/>
                <w:sz w:val="22"/>
                <w:szCs w:val="22"/>
              </w:rPr>
              <w:t>1,082</w:t>
            </w:r>
          </w:p>
        </w:tc>
        <w:tc>
          <w:tcPr>
            <w:tcW w:w="1591" w:type="dxa"/>
            <w:shd w:val="clear" w:color="auto" w:fill="auto"/>
            <w:vAlign w:val="center"/>
            <w:hideMark/>
          </w:tcPr>
          <w:p w:rsidR="00E325E8" w:rsidRPr="00E325E8" w:rsidRDefault="00E325E8" w:rsidP="00E325E8">
            <w:pPr>
              <w:widowControl/>
              <w:autoSpaceDE/>
              <w:autoSpaceDN/>
              <w:adjustRightInd/>
              <w:jc w:val="center"/>
              <w:rPr>
                <w:rFonts w:ascii="Calibri" w:hAnsi="Calibri"/>
                <w:color w:val="000000"/>
                <w:sz w:val="22"/>
                <w:szCs w:val="22"/>
              </w:rPr>
            </w:pPr>
            <w:r w:rsidRPr="00E325E8">
              <w:rPr>
                <w:rFonts w:ascii="Calibri" w:hAnsi="Calibri"/>
                <w:color w:val="000000"/>
                <w:sz w:val="22"/>
                <w:szCs w:val="22"/>
              </w:rPr>
              <w:t>$67,708</w:t>
            </w:r>
          </w:p>
        </w:tc>
        <w:tc>
          <w:tcPr>
            <w:tcW w:w="3426" w:type="dxa"/>
            <w:shd w:val="clear" w:color="auto" w:fill="auto"/>
            <w:vAlign w:val="center"/>
            <w:hideMark/>
          </w:tcPr>
          <w:p w:rsidR="00E325E8" w:rsidRPr="00E325E8" w:rsidRDefault="00E325E8" w:rsidP="00E325E8">
            <w:pPr>
              <w:widowControl/>
              <w:autoSpaceDE/>
              <w:autoSpaceDN/>
              <w:adjustRightInd/>
              <w:rPr>
                <w:color w:val="000000"/>
                <w:sz w:val="22"/>
                <w:szCs w:val="22"/>
              </w:rPr>
            </w:pPr>
            <w:r w:rsidRPr="00E325E8">
              <w:rPr>
                <w:color w:val="000000"/>
                <w:sz w:val="22"/>
                <w:szCs w:val="22"/>
              </w:rPr>
              <w:t>Information collected by the Agency during the investigation is not subject to the PRA under 5 CFR 1320.4(a</w:t>
            </w:r>
            <w:proofErr w:type="gramStart"/>
            <w:r w:rsidRPr="00E325E8">
              <w:rPr>
                <w:color w:val="000000"/>
                <w:sz w:val="22"/>
                <w:szCs w:val="22"/>
              </w:rPr>
              <w:t>)(</w:t>
            </w:r>
            <w:proofErr w:type="gramEnd"/>
            <w:r w:rsidRPr="00E325E8">
              <w:rPr>
                <w:color w:val="000000"/>
                <w:sz w:val="22"/>
                <w:szCs w:val="22"/>
              </w:rPr>
              <w:t xml:space="preserve">2).  Therefore, OSHA takes no burden or cost in Items 12 and 14 of this Supporting Statement.  However, the Agency's </w:t>
            </w:r>
            <w:proofErr w:type="gramStart"/>
            <w:r w:rsidRPr="00E325E8">
              <w:rPr>
                <w:color w:val="000000"/>
                <w:sz w:val="22"/>
                <w:szCs w:val="22"/>
              </w:rPr>
              <w:t>estimates  that</w:t>
            </w:r>
            <w:proofErr w:type="gramEnd"/>
            <w:r w:rsidRPr="00E325E8">
              <w:rPr>
                <w:color w:val="000000"/>
                <w:sz w:val="22"/>
                <w:szCs w:val="22"/>
              </w:rPr>
              <w:t xml:space="preserve"> 1% of affected employees will request access to records.</w:t>
            </w:r>
          </w:p>
        </w:tc>
      </w:tr>
      <w:tr w:rsidR="00E325E8" w:rsidRPr="00E325E8" w:rsidTr="00E325E8">
        <w:trPr>
          <w:trHeight w:val="300"/>
        </w:trPr>
        <w:tc>
          <w:tcPr>
            <w:tcW w:w="2993" w:type="dxa"/>
            <w:shd w:val="clear" w:color="auto" w:fill="auto"/>
            <w:vAlign w:val="bottom"/>
            <w:hideMark/>
          </w:tcPr>
          <w:p w:rsidR="00E325E8" w:rsidRPr="00E325E8" w:rsidRDefault="00E325E8" w:rsidP="00E325E8">
            <w:pPr>
              <w:widowControl/>
              <w:autoSpaceDE/>
              <w:autoSpaceDN/>
              <w:adjustRightInd/>
              <w:rPr>
                <w:b/>
                <w:bCs/>
                <w:color w:val="000000"/>
                <w:sz w:val="22"/>
                <w:szCs w:val="22"/>
              </w:rPr>
            </w:pPr>
            <w:r w:rsidRPr="00E325E8">
              <w:rPr>
                <w:b/>
                <w:bCs/>
                <w:color w:val="000000"/>
                <w:sz w:val="22"/>
                <w:szCs w:val="22"/>
              </w:rPr>
              <w:t>TOTAL</w:t>
            </w:r>
          </w:p>
        </w:tc>
        <w:tc>
          <w:tcPr>
            <w:tcW w:w="1299" w:type="dxa"/>
            <w:shd w:val="clear" w:color="auto" w:fill="auto"/>
            <w:vAlign w:val="bottom"/>
            <w:hideMark/>
          </w:tcPr>
          <w:p w:rsidR="00E325E8" w:rsidRPr="00E325E8" w:rsidRDefault="00E325E8" w:rsidP="00E325E8">
            <w:pPr>
              <w:widowControl/>
              <w:autoSpaceDE/>
              <w:autoSpaceDN/>
              <w:adjustRightInd/>
              <w:jc w:val="right"/>
              <w:rPr>
                <w:b/>
                <w:bCs/>
                <w:color w:val="000000"/>
                <w:sz w:val="22"/>
                <w:szCs w:val="22"/>
              </w:rPr>
            </w:pPr>
            <w:r w:rsidRPr="00E325E8">
              <w:rPr>
                <w:b/>
                <w:bCs/>
                <w:color w:val="000000"/>
                <w:sz w:val="22"/>
                <w:szCs w:val="22"/>
              </w:rPr>
              <w:t>8,681,215</w:t>
            </w:r>
          </w:p>
        </w:tc>
        <w:tc>
          <w:tcPr>
            <w:tcW w:w="1506" w:type="dxa"/>
            <w:shd w:val="clear" w:color="auto" w:fill="auto"/>
            <w:vAlign w:val="center"/>
            <w:hideMark/>
          </w:tcPr>
          <w:p w:rsidR="00E325E8" w:rsidRPr="00E325E8" w:rsidRDefault="00E325E8" w:rsidP="00E325E8">
            <w:pPr>
              <w:widowControl/>
              <w:autoSpaceDE/>
              <w:autoSpaceDN/>
              <w:adjustRightInd/>
              <w:jc w:val="center"/>
              <w:rPr>
                <w:b/>
                <w:bCs/>
                <w:color w:val="000000"/>
                <w:sz w:val="22"/>
                <w:szCs w:val="22"/>
              </w:rPr>
            </w:pPr>
            <w:r w:rsidRPr="00E325E8">
              <w:rPr>
                <w:b/>
                <w:bCs/>
                <w:color w:val="000000"/>
                <w:sz w:val="22"/>
                <w:szCs w:val="22"/>
              </w:rPr>
              <w:t>1,433,443</w:t>
            </w:r>
          </w:p>
        </w:tc>
        <w:tc>
          <w:tcPr>
            <w:tcW w:w="1315" w:type="dxa"/>
            <w:shd w:val="clear" w:color="auto" w:fill="auto"/>
            <w:vAlign w:val="bottom"/>
            <w:hideMark/>
          </w:tcPr>
          <w:p w:rsidR="00E325E8" w:rsidRPr="00E325E8" w:rsidRDefault="00E325E8" w:rsidP="00E325E8">
            <w:pPr>
              <w:widowControl/>
              <w:autoSpaceDE/>
              <w:autoSpaceDN/>
              <w:adjustRightInd/>
              <w:jc w:val="right"/>
              <w:rPr>
                <w:b/>
                <w:bCs/>
                <w:color w:val="000000"/>
                <w:sz w:val="22"/>
                <w:szCs w:val="22"/>
              </w:rPr>
            </w:pPr>
            <w:r w:rsidRPr="00E325E8">
              <w:rPr>
                <w:b/>
                <w:bCs/>
                <w:color w:val="000000"/>
                <w:sz w:val="22"/>
                <w:szCs w:val="22"/>
              </w:rPr>
              <w:t>1,573,813</w:t>
            </w:r>
          </w:p>
        </w:tc>
        <w:tc>
          <w:tcPr>
            <w:tcW w:w="1430" w:type="dxa"/>
            <w:shd w:val="clear" w:color="auto" w:fill="auto"/>
            <w:vAlign w:val="bottom"/>
            <w:hideMark/>
          </w:tcPr>
          <w:p w:rsidR="00E325E8" w:rsidRPr="00E325E8" w:rsidRDefault="00E325E8" w:rsidP="00E325E8">
            <w:pPr>
              <w:widowControl/>
              <w:autoSpaceDE/>
              <w:autoSpaceDN/>
              <w:adjustRightInd/>
              <w:jc w:val="right"/>
              <w:rPr>
                <w:b/>
                <w:bCs/>
                <w:color w:val="000000"/>
                <w:sz w:val="22"/>
                <w:szCs w:val="22"/>
              </w:rPr>
            </w:pPr>
            <w:r w:rsidRPr="00E325E8">
              <w:rPr>
                <w:b/>
                <w:bCs/>
                <w:color w:val="000000"/>
                <w:sz w:val="22"/>
                <w:szCs w:val="22"/>
              </w:rPr>
              <w:t>140,370</w:t>
            </w:r>
          </w:p>
        </w:tc>
        <w:tc>
          <w:tcPr>
            <w:tcW w:w="1591" w:type="dxa"/>
            <w:shd w:val="clear" w:color="auto" w:fill="auto"/>
            <w:vAlign w:val="bottom"/>
            <w:hideMark/>
          </w:tcPr>
          <w:p w:rsidR="00E325E8" w:rsidRPr="00E325E8" w:rsidRDefault="00E325E8" w:rsidP="00E325E8">
            <w:pPr>
              <w:widowControl/>
              <w:autoSpaceDE/>
              <w:autoSpaceDN/>
              <w:adjustRightInd/>
              <w:jc w:val="right"/>
              <w:rPr>
                <w:b/>
                <w:bCs/>
                <w:color w:val="000000"/>
                <w:sz w:val="22"/>
                <w:szCs w:val="22"/>
              </w:rPr>
            </w:pPr>
            <w:r w:rsidRPr="00E325E8">
              <w:rPr>
                <w:b/>
                <w:bCs/>
                <w:color w:val="000000"/>
                <w:sz w:val="22"/>
                <w:szCs w:val="22"/>
              </w:rPr>
              <w:t>$49,850,947</w:t>
            </w:r>
          </w:p>
        </w:tc>
        <w:tc>
          <w:tcPr>
            <w:tcW w:w="3426" w:type="dxa"/>
            <w:shd w:val="clear" w:color="auto" w:fill="auto"/>
            <w:vAlign w:val="bottom"/>
            <w:hideMark/>
          </w:tcPr>
          <w:p w:rsidR="00E325E8" w:rsidRPr="00E325E8" w:rsidRDefault="00E325E8" w:rsidP="00E325E8">
            <w:pPr>
              <w:widowControl/>
              <w:autoSpaceDE/>
              <w:autoSpaceDN/>
              <w:adjustRightInd/>
              <w:rPr>
                <w:b/>
                <w:bCs/>
                <w:color w:val="000000"/>
                <w:sz w:val="22"/>
                <w:szCs w:val="22"/>
              </w:rPr>
            </w:pPr>
            <w:r w:rsidRPr="00E325E8">
              <w:rPr>
                <w:b/>
                <w:bCs/>
                <w:color w:val="000000"/>
                <w:sz w:val="22"/>
                <w:szCs w:val="22"/>
              </w:rPr>
              <w:t> </w:t>
            </w:r>
          </w:p>
        </w:tc>
      </w:tr>
    </w:tbl>
    <w:p w:rsidR="009B3169" w:rsidRDefault="009B3169" w:rsidP="00742FA5">
      <w:pPr>
        <w:widowControl/>
        <w:rPr>
          <w:b/>
          <w:bCs/>
          <w:sz w:val="20"/>
          <w:szCs w:val="20"/>
        </w:rPr>
        <w:sectPr w:rsidR="009B3169" w:rsidSect="00DF0BB4">
          <w:pgSz w:w="15840" w:h="12240" w:orient="landscape"/>
          <w:pgMar w:top="1440" w:right="1440" w:bottom="1440" w:left="1440" w:header="1440" w:footer="1440" w:gutter="0"/>
          <w:cols w:space="720"/>
          <w:noEndnote/>
        </w:sectPr>
      </w:pPr>
    </w:p>
    <w:p w:rsidR="001E4023" w:rsidRPr="00AE506E" w:rsidRDefault="001E4023" w:rsidP="00742FA5">
      <w:pPr>
        <w:widowControl/>
        <w:rPr>
          <w:b/>
          <w:sz w:val="20"/>
          <w:szCs w:val="20"/>
        </w:rPr>
      </w:pPr>
      <w:r w:rsidRPr="00AE506E">
        <w:rPr>
          <w:b/>
          <w:bCs/>
          <w:sz w:val="20"/>
          <w:szCs w:val="20"/>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1E4023" w:rsidRPr="00C40781" w:rsidRDefault="001E4023" w:rsidP="00742FA5">
      <w:pPr>
        <w:widowControl/>
        <w:rPr>
          <w:szCs w:val="20"/>
        </w:rPr>
      </w:pPr>
    </w:p>
    <w:p w:rsidR="001E4023" w:rsidRPr="00C40781" w:rsidRDefault="001E4023" w:rsidP="00742FA5">
      <w:pPr>
        <w:widowControl/>
        <w:rPr>
          <w:bCs/>
          <w:szCs w:val="20"/>
        </w:rPr>
      </w:pPr>
      <w:r w:rsidRPr="00C40781">
        <w:t>OSHA will not publish the information collected under the Standard.</w:t>
      </w:r>
    </w:p>
    <w:p w:rsidR="001E4023" w:rsidRPr="00C40781" w:rsidRDefault="001E4023" w:rsidP="00742FA5">
      <w:pPr>
        <w:widowControl/>
        <w:rPr>
          <w:bCs/>
          <w:szCs w:val="20"/>
        </w:rPr>
      </w:pPr>
    </w:p>
    <w:p w:rsidR="001E4023" w:rsidRPr="00AE506E" w:rsidRDefault="001E4023" w:rsidP="00742FA5">
      <w:pPr>
        <w:widowControl/>
        <w:rPr>
          <w:b/>
          <w:bCs/>
          <w:sz w:val="20"/>
          <w:szCs w:val="20"/>
        </w:rPr>
      </w:pPr>
      <w:r w:rsidRPr="00AE506E">
        <w:rPr>
          <w:b/>
          <w:bCs/>
          <w:sz w:val="20"/>
          <w:szCs w:val="20"/>
        </w:rPr>
        <w:t>17.  If seeking approval to not display the expiration date for OMB approval of the information collection, explain the reasons that display would be appropriate.</w:t>
      </w:r>
    </w:p>
    <w:p w:rsidR="001E4023" w:rsidRPr="00C40781" w:rsidRDefault="001E4023" w:rsidP="00742FA5">
      <w:pPr>
        <w:widowControl/>
        <w:rPr>
          <w:bCs/>
          <w:szCs w:val="20"/>
        </w:rPr>
      </w:pPr>
    </w:p>
    <w:p w:rsidR="00544D8D" w:rsidRPr="002877B7" w:rsidRDefault="00544D8D" w:rsidP="00742FA5">
      <w:pPr>
        <w:widowControl/>
      </w:pPr>
      <w:r w:rsidRPr="002877B7">
        <w:t>OSHA lists current valid control numbers in §§1910.8, 1915.8, 1917.4, 1918.4, and 1926.5 and publishes the expiration date in the Federal Register notice announcing OMB approval of the information-collection requirement. (See 5 CFR 1320.3(f</w:t>
      </w:r>
      <w:proofErr w:type="gramStart"/>
      <w:r w:rsidRPr="002877B7">
        <w:t>)(</w:t>
      </w:r>
      <w:proofErr w:type="gramEnd"/>
      <w:r w:rsidRPr="002877B7">
        <w:t>3).) OSHA believes that this is the most appropriate and accurate mechanism to inform interested parties of these expiration dates</w:t>
      </w:r>
      <w:r>
        <w:t>.</w:t>
      </w:r>
    </w:p>
    <w:p w:rsidR="001E4023" w:rsidRPr="00C40781" w:rsidRDefault="001E4023" w:rsidP="006F183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Cs w:val="20"/>
        </w:rPr>
      </w:pPr>
    </w:p>
    <w:p w:rsidR="001E4023" w:rsidRPr="00AE506E" w:rsidRDefault="001E4023" w:rsidP="00742FA5">
      <w:pPr>
        <w:widowControl/>
        <w:rPr>
          <w:b/>
          <w:bCs/>
          <w:sz w:val="20"/>
          <w:szCs w:val="20"/>
        </w:rPr>
      </w:pPr>
      <w:r w:rsidRPr="00AE506E">
        <w:rPr>
          <w:b/>
          <w:bCs/>
          <w:sz w:val="20"/>
          <w:szCs w:val="20"/>
        </w:rPr>
        <w:t xml:space="preserve">18.  Explain each exception to the certification statement </w:t>
      </w:r>
      <w:r w:rsidR="00263A72">
        <w:rPr>
          <w:b/>
          <w:bCs/>
          <w:sz w:val="20"/>
          <w:szCs w:val="20"/>
        </w:rPr>
        <w:t>in ROCIS</w:t>
      </w:r>
      <w:r w:rsidRPr="00AE506E">
        <w:rPr>
          <w:b/>
          <w:bCs/>
          <w:sz w:val="20"/>
          <w:szCs w:val="20"/>
        </w:rPr>
        <w:t>.</w:t>
      </w:r>
    </w:p>
    <w:p w:rsidR="001E4023" w:rsidRPr="00C40781" w:rsidRDefault="001E4023" w:rsidP="00742FA5">
      <w:pPr>
        <w:widowControl/>
        <w:rPr>
          <w:bCs/>
          <w:szCs w:val="20"/>
        </w:rPr>
      </w:pPr>
    </w:p>
    <w:p w:rsidR="001E4023" w:rsidRDefault="001E4023" w:rsidP="00742FA5">
      <w:pPr>
        <w:widowControl/>
      </w:pPr>
      <w:r w:rsidRPr="00C40781">
        <w:t xml:space="preserve">OSHA is not seeking an exception to the certification statement </w:t>
      </w:r>
      <w:r w:rsidR="00263A72">
        <w:t>in ROCIS</w:t>
      </w:r>
      <w:r w:rsidR="00A36D86">
        <w:t>.</w:t>
      </w:r>
    </w:p>
    <w:p w:rsidR="00A36D86" w:rsidRDefault="00A36D86" w:rsidP="00742FA5">
      <w:pPr>
        <w:widowControl/>
      </w:pPr>
    </w:p>
    <w:p w:rsidR="00A36D86" w:rsidRPr="00A36D86" w:rsidRDefault="00A36D86" w:rsidP="006F183B">
      <w:pPr>
        <w:widowControl/>
      </w:pPr>
      <w:r w:rsidRPr="00A36D86">
        <w:rPr>
          <w:b/>
        </w:rPr>
        <w:t>B. COLLECTION OF INFORMATION EMPLOYING STATISITICAL METHODS</w:t>
      </w:r>
      <w:r w:rsidRPr="00A36D86">
        <w:t>.</w:t>
      </w:r>
    </w:p>
    <w:p w:rsidR="00A36D86" w:rsidRPr="00A36D86" w:rsidRDefault="00A36D86" w:rsidP="006F183B">
      <w:pPr>
        <w:widowControl/>
      </w:pPr>
    </w:p>
    <w:p w:rsidR="002877B7" w:rsidRPr="002877B7" w:rsidRDefault="002877B7" w:rsidP="006F183B">
      <w:pPr>
        <w:widowControl/>
      </w:pPr>
      <w:r w:rsidRPr="002877B7">
        <w:t>This Supporting Statement does not contain any collection of information requirements that employ statistical methods.</w:t>
      </w:r>
    </w:p>
    <w:p w:rsidR="001E4023" w:rsidRPr="00C40781" w:rsidRDefault="001E4023" w:rsidP="006F183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0"/>
        </w:rPr>
      </w:pPr>
    </w:p>
    <w:p w:rsidR="001E4023" w:rsidRDefault="001E4023" w:rsidP="006F183B">
      <w:pPr>
        <w:widowControl/>
        <w:ind w:left="1440" w:hanging="1440"/>
        <w:rPr>
          <w:szCs w:val="22"/>
        </w:rPr>
        <w:sectPr w:rsidR="001E4023" w:rsidSect="009B3169">
          <w:pgSz w:w="12240" w:h="15840"/>
          <w:pgMar w:top="1440" w:right="1440" w:bottom="1440" w:left="1440" w:header="1440" w:footer="1440" w:gutter="0"/>
          <w:cols w:space="720"/>
          <w:noEndnote/>
        </w:sectPr>
      </w:pPr>
    </w:p>
    <w:p w:rsidR="00AE506E" w:rsidRPr="00C40781" w:rsidRDefault="00AE506E" w:rsidP="006F183B">
      <w:pPr>
        <w:widowControl/>
        <w:rPr>
          <w:szCs w:val="22"/>
        </w:rPr>
      </w:pPr>
      <w:r w:rsidRPr="00A04678">
        <w:rPr>
          <w:b/>
          <w:szCs w:val="22"/>
        </w:rPr>
        <w:lastRenderedPageBreak/>
        <w:t xml:space="preserve">Table </w:t>
      </w:r>
      <w:r w:rsidR="009A15AE">
        <w:rPr>
          <w:b/>
          <w:szCs w:val="22"/>
        </w:rPr>
        <w:t>B</w:t>
      </w:r>
      <w:r w:rsidRPr="00A04678">
        <w:rPr>
          <w:b/>
          <w:szCs w:val="22"/>
        </w:rPr>
        <w:t>: Profile of Affected Establishments and Employees</w:t>
      </w:r>
      <w:r w:rsidRPr="00C40781">
        <w:rPr>
          <w:rStyle w:val="EndnoteReference"/>
          <w:szCs w:val="22"/>
        </w:rPr>
        <w:endnoteReference w:id="1"/>
      </w:r>
    </w:p>
    <w:p w:rsidR="00FE161F" w:rsidRPr="009A15AE" w:rsidRDefault="00FE161F" w:rsidP="006F183B">
      <w:pPr>
        <w:widowControl/>
      </w:pPr>
    </w:p>
    <w:tbl>
      <w:tblPr>
        <w:tblW w:w="11813" w:type="dxa"/>
        <w:tblInd w:w="85" w:type="dxa"/>
        <w:tblLayout w:type="fixed"/>
        <w:tblLook w:val="04A0" w:firstRow="1" w:lastRow="0" w:firstColumn="1" w:lastColumn="0" w:noHBand="0" w:noVBand="1"/>
      </w:tblPr>
      <w:tblGrid>
        <w:gridCol w:w="3083"/>
        <w:gridCol w:w="900"/>
        <w:gridCol w:w="1080"/>
        <w:gridCol w:w="2070"/>
        <w:gridCol w:w="1800"/>
        <w:gridCol w:w="1440"/>
        <w:gridCol w:w="1440"/>
      </w:tblGrid>
      <w:tr w:rsidR="00003146" w:rsidRPr="00003146" w:rsidTr="00FE2D52">
        <w:trPr>
          <w:trHeight w:val="1290"/>
          <w:tblHeader/>
        </w:trPr>
        <w:tc>
          <w:tcPr>
            <w:tcW w:w="3083" w:type="dxa"/>
            <w:tcBorders>
              <w:top w:val="double" w:sz="6" w:space="0" w:color="auto"/>
              <w:left w:val="double" w:sz="6" w:space="0" w:color="auto"/>
              <w:bottom w:val="double" w:sz="6" w:space="0" w:color="auto"/>
              <w:right w:val="single" w:sz="8" w:space="0" w:color="auto"/>
            </w:tcBorders>
            <w:vAlign w:val="center"/>
            <w:hideMark/>
          </w:tcPr>
          <w:p w:rsidR="00003146" w:rsidRPr="00003146" w:rsidRDefault="00003146" w:rsidP="006F183B">
            <w:pPr>
              <w:widowControl/>
              <w:autoSpaceDE/>
              <w:autoSpaceDN/>
              <w:adjustRightInd/>
              <w:rPr>
                <w:b/>
                <w:bCs/>
                <w:color w:val="000000"/>
              </w:rPr>
            </w:pPr>
            <w:r w:rsidRPr="00003146">
              <w:rPr>
                <w:b/>
                <w:bCs/>
                <w:color w:val="000000"/>
              </w:rPr>
              <w:t>Industry</w:t>
            </w:r>
          </w:p>
        </w:tc>
        <w:tc>
          <w:tcPr>
            <w:tcW w:w="900" w:type="dxa"/>
            <w:tcBorders>
              <w:top w:val="double" w:sz="6" w:space="0" w:color="auto"/>
              <w:left w:val="nil"/>
              <w:bottom w:val="double" w:sz="6" w:space="0" w:color="auto"/>
              <w:right w:val="single" w:sz="8" w:space="0" w:color="auto"/>
            </w:tcBorders>
            <w:vAlign w:val="center"/>
            <w:hideMark/>
          </w:tcPr>
          <w:p w:rsidR="00003146" w:rsidRPr="00003146" w:rsidRDefault="00003146" w:rsidP="006F183B">
            <w:pPr>
              <w:widowControl/>
              <w:autoSpaceDE/>
              <w:autoSpaceDN/>
              <w:adjustRightInd/>
              <w:jc w:val="center"/>
              <w:rPr>
                <w:b/>
                <w:bCs/>
                <w:color w:val="000000"/>
              </w:rPr>
            </w:pPr>
            <w:r w:rsidRPr="00003146">
              <w:rPr>
                <w:b/>
                <w:bCs/>
                <w:color w:val="000000"/>
              </w:rPr>
              <w:t>SIC (1992)</w:t>
            </w:r>
          </w:p>
        </w:tc>
        <w:tc>
          <w:tcPr>
            <w:tcW w:w="1080" w:type="dxa"/>
            <w:tcBorders>
              <w:top w:val="double" w:sz="6" w:space="0" w:color="auto"/>
              <w:left w:val="nil"/>
              <w:bottom w:val="double" w:sz="6"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b/>
                <w:bCs/>
                <w:color w:val="000000"/>
              </w:rPr>
            </w:pPr>
            <w:r w:rsidRPr="00003146">
              <w:rPr>
                <w:b/>
                <w:bCs/>
                <w:color w:val="000000"/>
              </w:rPr>
              <w:t>NAICS (2002)</w:t>
            </w:r>
            <w:r>
              <w:rPr>
                <w:b/>
                <w:bCs/>
                <w:color w:val="000000"/>
              </w:rPr>
              <w:t xml:space="preserve"> (i)</w:t>
            </w:r>
          </w:p>
        </w:tc>
        <w:tc>
          <w:tcPr>
            <w:tcW w:w="2070" w:type="dxa"/>
            <w:tcBorders>
              <w:top w:val="double" w:sz="6" w:space="0" w:color="auto"/>
              <w:left w:val="nil"/>
              <w:bottom w:val="double" w:sz="6" w:space="0" w:color="auto"/>
              <w:right w:val="single" w:sz="8" w:space="0" w:color="auto"/>
            </w:tcBorders>
            <w:shd w:val="clear" w:color="auto" w:fill="auto"/>
            <w:vAlign w:val="center"/>
            <w:hideMark/>
          </w:tcPr>
          <w:p w:rsidR="00003146" w:rsidRDefault="00003146" w:rsidP="006F183B">
            <w:pPr>
              <w:widowControl/>
              <w:autoSpaceDE/>
              <w:autoSpaceDN/>
              <w:adjustRightInd/>
              <w:rPr>
                <w:b/>
                <w:bCs/>
                <w:color w:val="000000"/>
              </w:rPr>
            </w:pPr>
            <w:r w:rsidRPr="00003146">
              <w:rPr>
                <w:b/>
                <w:bCs/>
                <w:color w:val="000000"/>
              </w:rPr>
              <w:t>Total</w:t>
            </w:r>
            <w:r>
              <w:rPr>
                <w:b/>
                <w:bCs/>
                <w:color w:val="000000"/>
              </w:rPr>
              <w:t xml:space="preserve"> </w:t>
            </w:r>
            <w:r w:rsidRPr="00003146">
              <w:rPr>
                <w:b/>
                <w:bCs/>
                <w:color w:val="000000"/>
              </w:rPr>
              <w:t># of Establishments</w:t>
            </w:r>
          </w:p>
          <w:p w:rsidR="00003146" w:rsidRPr="00003146" w:rsidRDefault="00003146" w:rsidP="006F183B">
            <w:pPr>
              <w:widowControl/>
              <w:autoSpaceDE/>
              <w:autoSpaceDN/>
              <w:adjustRightInd/>
              <w:rPr>
                <w:b/>
                <w:bCs/>
                <w:color w:val="000000"/>
              </w:rPr>
            </w:pPr>
            <w:r>
              <w:rPr>
                <w:b/>
                <w:bCs/>
                <w:color w:val="000000"/>
              </w:rPr>
              <w:t>(ii)</w:t>
            </w:r>
          </w:p>
        </w:tc>
        <w:tc>
          <w:tcPr>
            <w:tcW w:w="1800" w:type="dxa"/>
            <w:tcBorders>
              <w:top w:val="double" w:sz="6" w:space="0" w:color="auto"/>
              <w:left w:val="nil"/>
              <w:bottom w:val="double" w:sz="6"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b/>
                <w:bCs/>
                <w:color w:val="000000"/>
              </w:rPr>
            </w:pPr>
            <w:r w:rsidRPr="00003146">
              <w:rPr>
                <w:b/>
                <w:bCs/>
                <w:color w:val="000000"/>
              </w:rPr>
              <w:t># of Establishments with Permit Spaces</w:t>
            </w:r>
            <w:r>
              <w:rPr>
                <w:b/>
                <w:bCs/>
                <w:color w:val="000000"/>
              </w:rPr>
              <w:t>(iii)</w:t>
            </w:r>
          </w:p>
        </w:tc>
        <w:tc>
          <w:tcPr>
            <w:tcW w:w="1440" w:type="dxa"/>
            <w:tcBorders>
              <w:top w:val="double" w:sz="6" w:space="0" w:color="auto"/>
              <w:left w:val="nil"/>
              <w:bottom w:val="double" w:sz="6"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b/>
                <w:bCs/>
                <w:color w:val="000000"/>
              </w:rPr>
            </w:pPr>
            <w:r w:rsidRPr="00003146">
              <w:rPr>
                <w:b/>
                <w:bCs/>
                <w:color w:val="000000"/>
              </w:rPr>
              <w:t># of Permit Spaces</w:t>
            </w:r>
            <w:r>
              <w:rPr>
                <w:b/>
                <w:bCs/>
                <w:color w:val="000000"/>
              </w:rPr>
              <w:t>(iv)</w:t>
            </w:r>
          </w:p>
        </w:tc>
        <w:tc>
          <w:tcPr>
            <w:tcW w:w="1440" w:type="dxa"/>
            <w:tcBorders>
              <w:top w:val="double" w:sz="6" w:space="0" w:color="auto"/>
              <w:left w:val="nil"/>
              <w:bottom w:val="double" w:sz="6"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b/>
                <w:bCs/>
                <w:color w:val="000000"/>
              </w:rPr>
            </w:pPr>
            <w:r w:rsidRPr="00003146">
              <w:rPr>
                <w:b/>
                <w:bCs/>
                <w:color w:val="000000"/>
              </w:rPr>
              <w:t># of Permit Space Entrants</w:t>
            </w:r>
            <w:r>
              <w:rPr>
                <w:b/>
                <w:bCs/>
                <w:color w:val="000000"/>
              </w:rPr>
              <w:t>(v)</w:t>
            </w:r>
          </w:p>
        </w:tc>
      </w:tr>
      <w:tr w:rsidR="00003146" w:rsidRPr="00003146" w:rsidTr="00FE2D52">
        <w:trPr>
          <w:trHeight w:val="345"/>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Agricultural Services</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7</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115</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10,323</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5,760</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42,045</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24,795</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Oil &amp; Gas Extraction</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13</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211</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8,095</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3,991</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4,789</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4,390</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Food and Kindred Products</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20</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311</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25,543</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12,566</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174,673</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121,895</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Tobacco Products</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21</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3122</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218</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133</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1,494</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3,882</w:t>
            </w:r>
          </w:p>
        </w:tc>
      </w:tr>
      <w:tr w:rsidR="00003146" w:rsidRPr="00003146" w:rsidTr="00FE2D52">
        <w:trPr>
          <w:trHeight w:val="615"/>
        </w:trPr>
        <w:tc>
          <w:tcPr>
            <w:tcW w:w="3083" w:type="dxa"/>
            <w:vMerge w:val="restart"/>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Textile Mill Products</w:t>
            </w:r>
          </w:p>
        </w:tc>
        <w:tc>
          <w:tcPr>
            <w:tcW w:w="900" w:type="dxa"/>
            <w:vMerge w:val="restart"/>
            <w:tcBorders>
              <w:top w:val="nil"/>
              <w:left w:val="single" w:sz="8"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22</w:t>
            </w:r>
          </w:p>
        </w:tc>
        <w:tc>
          <w:tcPr>
            <w:tcW w:w="1080" w:type="dxa"/>
            <w:tcBorders>
              <w:top w:val="nil"/>
              <w:left w:val="nil"/>
              <w:bottom w:val="nil"/>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314</w:t>
            </w:r>
          </w:p>
        </w:tc>
        <w:tc>
          <w:tcPr>
            <w:tcW w:w="2070" w:type="dxa"/>
            <w:tcBorders>
              <w:top w:val="nil"/>
              <w:left w:val="nil"/>
              <w:bottom w:val="nil"/>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6,221</w:t>
            </w:r>
          </w:p>
        </w:tc>
        <w:tc>
          <w:tcPr>
            <w:tcW w:w="1800" w:type="dxa"/>
            <w:tcBorders>
              <w:top w:val="nil"/>
              <w:left w:val="nil"/>
              <w:bottom w:val="nil"/>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2,196</w:t>
            </w:r>
          </w:p>
        </w:tc>
        <w:tc>
          <w:tcPr>
            <w:tcW w:w="1440" w:type="dxa"/>
            <w:tcBorders>
              <w:top w:val="nil"/>
              <w:left w:val="nil"/>
              <w:bottom w:val="nil"/>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25,033</w:t>
            </w:r>
          </w:p>
        </w:tc>
        <w:tc>
          <w:tcPr>
            <w:tcW w:w="1440" w:type="dxa"/>
            <w:tcBorders>
              <w:top w:val="nil"/>
              <w:left w:val="nil"/>
              <w:bottom w:val="nil"/>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41,061</w:t>
            </w:r>
          </w:p>
        </w:tc>
      </w:tr>
      <w:tr w:rsidR="00003146" w:rsidRPr="00003146" w:rsidTr="00FE2D52">
        <w:trPr>
          <w:trHeight w:val="330"/>
        </w:trPr>
        <w:tc>
          <w:tcPr>
            <w:tcW w:w="3083" w:type="dxa"/>
            <w:vMerge/>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900" w:type="dxa"/>
            <w:vMerge/>
            <w:tcBorders>
              <w:top w:val="nil"/>
              <w:left w:val="single" w:sz="8"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313</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2,461</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Wood Products (except furniture)</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24</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321</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13,859</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3,978</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15,116</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41,579</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Furniture and Fixtures</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25</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337</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16,494</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7,439</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37,194</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49,840</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Paper Products</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26</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322</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4,494</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3,079</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66,808</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32,327</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Printing and Publishing</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27</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323</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27,913</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19</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85</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38</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Chemicals &amp; Allied Products</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28</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325</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12,914</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8,718</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183,937</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77,588</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Petroleum Refining</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29</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324</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2,229</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1,725</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98,312</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16,386</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Rubber Products</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30</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326</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12,744</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5,060</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115,869</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115,363</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Leather and Leather Products</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31</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316</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1,169</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87</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296</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611</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 xml:space="preserve">Stone, Clay, Glass &amp; </w:t>
            </w:r>
            <w:r w:rsidRPr="00003146">
              <w:rPr>
                <w:color w:val="000000"/>
              </w:rPr>
              <w:lastRenderedPageBreak/>
              <w:t>Concrete</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lastRenderedPageBreak/>
              <w:t>32</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327</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15,406</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11,647</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158,385</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104,821</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lastRenderedPageBreak/>
              <w:t>Primary Metals Industry</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33</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331</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4,628</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1,985</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25,214</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40,303</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Fabricated Metal Products</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34</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332</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55,491</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12,874</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135,179</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51,496</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Machinery, Except Electrical</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35</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333</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23,928</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1,914</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15,313</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51,682</w:t>
            </w:r>
          </w:p>
        </w:tc>
      </w:tr>
      <w:tr w:rsidR="00003146" w:rsidRPr="00003146" w:rsidTr="00FE2D52">
        <w:trPr>
          <w:trHeight w:val="930"/>
        </w:trPr>
        <w:tc>
          <w:tcPr>
            <w:tcW w:w="3083" w:type="dxa"/>
            <w:vMerge w:val="restart"/>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Electric/Electronic Equipment</w:t>
            </w:r>
          </w:p>
        </w:tc>
        <w:tc>
          <w:tcPr>
            <w:tcW w:w="900" w:type="dxa"/>
            <w:vMerge w:val="restart"/>
            <w:tcBorders>
              <w:top w:val="nil"/>
              <w:left w:val="single" w:sz="8"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36</w:t>
            </w:r>
          </w:p>
        </w:tc>
        <w:tc>
          <w:tcPr>
            <w:tcW w:w="1080" w:type="dxa"/>
            <w:tcBorders>
              <w:top w:val="nil"/>
              <w:left w:val="nil"/>
              <w:bottom w:val="dotted" w:sz="4"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334 (50%)</w:t>
            </w:r>
          </w:p>
        </w:tc>
        <w:tc>
          <w:tcPr>
            <w:tcW w:w="207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6,576</w:t>
            </w:r>
          </w:p>
        </w:tc>
        <w:tc>
          <w:tcPr>
            <w:tcW w:w="180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4,834</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129,549</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81,210</w:t>
            </w:r>
          </w:p>
        </w:tc>
      </w:tr>
      <w:tr w:rsidR="00003146" w:rsidRPr="00003146" w:rsidTr="00FE2D52">
        <w:trPr>
          <w:trHeight w:val="330"/>
        </w:trPr>
        <w:tc>
          <w:tcPr>
            <w:tcW w:w="3083" w:type="dxa"/>
            <w:vMerge/>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900" w:type="dxa"/>
            <w:vMerge/>
            <w:tcBorders>
              <w:top w:val="nil"/>
              <w:left w:val="single" w:sz="8"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335</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5,785</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Transportation Equipment</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37</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336</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11,470</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3,360</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1,105,127</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32,254</w:t>
            </w:r>
          </w:p>
        </w:tc>
      </w:tr>
      <w:tr w:rsidR="00003146" w:rsidRPr="00003146" w:rsidTr="00FE2D52">
        <w:trPr>
          <w:trHeight w:val="930"/>
        </w:trPr>
        <w:tc>
          <w:tcPr>
            <w:tcW w:w="3083" w:type="dxa"/>
            <w:vMerge w:val="restart"/>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Instruments &amp; Related Products</w:t>
            </w:r>
          </w:p>
        </w:tc>
        <w:tc>
          <w:tcPr>
            <w:tcW w:w="900" w:type="dxa"/>
            <w:vMerge w:val="restart"/>
            <w:tcBorders>
              <w:top w:val="nil"/>
              <w:left w:val="single" w:sz="8"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386</w:t>
            </w:r>
          </w:p>
        </w:tc>
        <w:tc>
          <w:tcPr>
            <w:tcW w:w="1080" w:type="dxa"/>
            <w:tcBorders>
              <w:top w:val="nil"/>
              <w:left w:val="nil"/>
              <w:bottom w:val="nil"/>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325992</w:t>
            </w:r>
          </w:p>
        </w:tc>
        <w:tc>
          <w:tcPr>
            <w:tcW w:w="2070" w:type="dxa"/>
            <w:tcBorders>
              <w:top w:val="nil"/>
              <w:left w:val="nil"/>
              <w:bottom w:val="nil"/>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313</w:t>
            </w:r>
          </w:p>
        </w:tc>
        <w:tc>
          <w:tcPr>
            <w:tcW w:w="1800" w:type="dxa"/>
            <w:tcBorders>
              <w:top w:val="nil"/>
              <w:left w:val="nil"/>
              <w:bottom w:val="nil"/>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37</w:t>
            </w:r>
          </w:p>
        </w:tc>
        <w:tc>
          <w:tcPr>
            <w:tcW w:w="1440" w:type="dxa"/>
            <w:tcBorders>
              <w:top w:val="nil"/>
              <w:left w:val="nil"/>
              <w:bottom w:val="nil"/>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517</w:t>
            </w:r>
          </w:p>
        </w:tc>
        <w:tc>
          <w:tcPr>
            <w:tcW w:w="1440" w:type="dxa"/>
            <w:tcBorders>
              <w:top w:val="nil"/>
              <w:left w:val="nil"/>
              <w:bottom w:val="nil"/>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293</w:t>
            </w:r>
          </w:p>
        </w:tc>
      </w:tr>
      <w:tr w:rsidR="00003146" w:rsidRPr="00003146" w:rsidTr="00FE2D52">
        <w:trPr>
          <w:trHeight w:val="330"/>
        </w:trPr>
        <w:tc>
          <w:tcPr>
            <w:tcW w:w="3083" w:type="dxa"/>
            <w:vMerge/>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900" w:type="dxa"/>
            <w:vMerge/>
            <w:tcBorders>
              <w:top w:val="nil"/>
              <w:left w:val="single" w:sz="8"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333315</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207</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r>
      <w:tr w:rsidR="00003146" w:rsidRPr="00003146" w:rsidTr="00FE2D52">
        <w:trPr>
          <w:trHeight w:val="615"/>
        </w:trPr>
        <w:tc>
          <w:tcPr>
            <w:tcW w:w="3083" w:type="dxa"/>
            <w:vMerge w:val="restart"/>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Miscellaneous Manufacturing</w:t>
            </w:r>
          </w:p>
        </w:tc>
        <w:tc>
          <w:tcPr>
            <w:tcW w:w="900" w:type="dxa"/>
            <w:tcBorders>
              <w:top w:val="nil"/>
              <w:left w:val="nil"/>
              <w:bottom w:val="dotted" w:sz="4"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391</w:t>
            </w:r>
          </w:p>
        </w:tc>
        <w:tc>
          <w:tcPr>
            <w:tcW w:w="1080" w:type="dxa"/>
            <w:tcBorders>
              <w:top w:val="nil"/>
              <w:left w:val="nil"/>
              <w:bottom w:val="dotted" w:sz="4"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33991</w:t>
            </w:r>
          </w:p>
        </w:tc>
        <w:tc>
          <w:tcPr>
            <w:tcW w:w="207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2,198</w:t>
            </w:r>
          </w:p>
        </w:tc>
        <w:tc>
          <w:tcPr>
            <w:tcW w:w="180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650</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22,947</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4,226</w:t>
            </w:r>
          </w:p>
        </w:tc>
      </w:tr>
      <w:tr w:rsidR="00003146" w:rsidRPr="00003146" w:rsidTr="00FE2D52">
        <w:trPr>
          <w:trHeight w:val="315"/>
        </w:trPr>
        <w:tc>
          <w:tcPr>
            <w:tcW w:w="3083" w:type="dxa"/>
            <w:vMerge/>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900" w:type="dxa"/>
            <w:vMerge w:val="restart"/>
            <w:tcBorders>
              <w:top w:val="nil"/>
              <w:left w:val="single" w:sz="8"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394</w:t>
            </w:r>
          </w:p>
        </w:tc>
        <w:tc>
          <w:tcPr>
            <w:tcW w:w="1080" w:type="dxa"/>
            <w:tcBorders>
              <w:top w:val="nil"/>
              <w:left w:val="nil"/>
              <w:bottom w:val="nil"/>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33992</w:t>
            </w:r>
          </w:p>
        </w:tc>
        <w:tc>
          <w:tcPr>
            <w:tcW w:w="2070" w:type="dxa"/>
            <w:tcBorders>
              <w:top w:val="nil"/>
              <w:left w:val="nil"/>
              <w:bottom w:val="nil"/>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1,689</w:t>
            </w:r>
          </w:p>
        </w:tc>
        <w:tc>
          <w:tcPr>
            <w:tcW w:w="1800" w:type="dxa"/>
            <w:tcBorders>
              <w:top w:val="nil"/>
              <w:left w:val="nil"/>
              <w:bottom w:val="nil"/>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nil"/>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nil"/>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r>
      <w:tr w:rsidR="00003146" w:rsidRPr="00003146" w:rsidTr="00FE2D52">
        <w:trPr>
          <w:trHeight w:val="330"/>
        </w:trPr>
        <w:tc>
          <w:tcPr>
            <w:tcW w:w="3083" w:type="dxa"/>
            <w:vMerge/>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900" w:type="dxa"/>
            <w:vMerge/>
            <w:tcBorders>
              <w:top w:val="nil"/>
              <w:left w:val="single" w:sz="8"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33993</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564</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Motor Freight Transportation</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42</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484</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110,267</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14,445</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199,336</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40,445</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 xml:space="preserve">Electric, Gas, Sanitary </w:t>
            </w:r>
            <w:r w:rsidRPr="00003146">
              <w:rPr>
                <w:color w:val="000000"/>
              </w:rPr>
              <w:lastRenderedPageBreak/>
              <w:t>Services</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lastRenderedPageBreak/>
              <w:t>49</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22</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17,634</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25,023</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1,386,245</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232,713</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lastRenderedPageBreak/>
              <w:t>Wholesale Trade – Durable</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50</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423</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235,193</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1,882</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2,710</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2,258</w:t>
            </w:r>
          </w:p>
        </w:tc>
      </w:tr>
      <w:tr w:rsidR="00003146" w:rsidRPr="00003146" w:rsidTr="00FE2D52">
        <w:trPr>
          <w:trHeight w:val="315"/>
        </w:trPr>
        <w:tc>
          <w:tcPr>
            <w:tcW w:w="3083" w:type="dxa"/>
            <w:vMerge w:val="restart"/>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Wholesale Trade – Nondurable</w:t>
            </w:r>
          </w:p>
        </w:tc>
        <w:tc>
          <w:tcPr>
            <w:tcW w:w="900" w:type="dxa"/>
            <w:tcBorders>
              <w:top w:val="nil"/>
              <w:left w:val="nil"/>
              <w:bottom w:val="dotted" w:sz="4"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515</w:t>
            </w:r>
          </w:p>
        </w:tc>
        <w:tc>
          <w:tcPr>
            <w:tcW w:w="1080" w:type="dxa"/>
            <w:tcBorders>
              <w:top w:val="nil"/>
              <w:left w:val="nil"/>
              <w:bottom w:val="dotted" w:sz="4"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4245</w:t>
            </w:r>
          </w:p>
        </w:tc>
        <w:tc>
          <w:tcPr>
            <w:tcW w:w="207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6,099</w:t>
            </w:r>
          </w:p>
        </w:tc>
        <w:tc>
          <w:tcPr>
            <w:tcW w:w="180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22,120</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245,532</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117,234</w:t>
            </w:r>
          </w:p>
        </w:tc>
      </w:tr>
      <w:tr w:rsidR="00003146" w:rsidRPr="00003146" w:rsidTr="00FE2D52">
        <w:trPr>
          <w:trHeight w:val="315"/>
        </w:trPr>
        <w:tc>
          <w:tcPr>
            <w:tcW w:w="3083" w:type="dxa"/>
            <w:vMerge/>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900" w:type="dxa"/>
            <w:tcBorders>
              <w:top w:val="nil"/>
              <w:left w:val="nil"/>
              <w:bottom w:val="dotted" w:sz="4"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516</w:t>
            </w:r>
          </w:p>
        </w:tc>
        <w:tc>
          <w:tcPr>
            <w:tcW w:w="1080" w:type="dxa"/>
            <w:tcBorders>
              <w:top w:val="nil"/>
              <w:left w:val="nil"/>
              <w:bottom w:val="dotted" w:sz="4"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4246</w:t>
            </w:r>
          </w:p>
        </w:tc>
        <w:tc>
          <w:tcPr>
            <w:tcW w:w="207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12,209</w:t>
            </w:r>
          </w:p>
        </w:tc>
        <w:tc>
          <w:tcPr>
            <w:tcW w:w="180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r>
      <w:tr w:rsidR="00003146" w:rsidRPr="00003146" w:rsidTr="00FE2D52">
        <w:trPr>
          <w:trHeight w:val="315"/>
        </w:trPr>
        <w:tc>
          <w:tcPr>
            <w:tcW w:w="3083" w:type="dxa"/>
            <w:vMerge/>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900" w:type="dxa"/>
            <w:tcBorders>
              <w:top w:val="nil"/>
              <w:left w:val="nil"/>
              <w:bottom w:val="dotted" w:sz="4"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517</w:t>
            </w:r>
          </w:p>
        </w:tc>
        <w:tc>
          <w:tcPr>
            <w:tcW w:w="1080" w:type="dxa"/>
            <w:tcBorders>
              <w:top w:val="nil"/>
              <w:left w:val="nil"/>
              <w:bottom w:val="dotted" w:sz="4"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4247</w:t>
            </w:r>
          </w:p>
        </w:tc>
        <w:tc>
          <w:tcPr>
            <w:tcW w:w="207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7,085</w:t>
            </w:r>
          </w:p>
        </w:tc>
        <w:tc>
          <w:tcPr>
            <w:tcW w:w="180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r>
      <w:tr w:rsidR="00003146" w:rsidRPr="00003146" w:rsidTr="00FE2D52">
        <w:trPr>
          <w:trHeight w:val="330"/>
        </w:trPr>
        <w:tc>
          <w:tcPr>
            <w:tcW w:w="3083" w:type="dxa"/>
            <w:vMerge/>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5,198</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424950</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1,782</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r>
      <w:tr w:rsidR="00003146" w:rsidRPr="00003146" w:rsidTr="00FE2D52">
        <w:trPr>
          <w:trHeight w:val="330"/>
        </w:trPr>
        <w:tc>
          <w:tcPr>
            <w:tcW w:w="3083" w:type="dxa"/>
            <w:tcBorders>
              <w:top w:val="nil"/>
              <w:left w:val="double" w:sz="6"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Food Stores</w:t>
            </w:r>
          </w:p>
        </w:tc>
        <w:tc>
          <w:tcPr>
            <w:tcW w:w="900" w:type="dxa"/>
            <w:tcBorders>
              <w:top w:val="nil"/>
              <w:left w:val="nil"/>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54</w:t>
            </w:r>
          </w:p>
        </w:tc>
        <w:tc>
          <w:tcPr>
            <w:tcW w:w="1080" w:type="dxa"/>
            <w:tcBorders>
              <w:top w:val="nil"/>
              <w:left w:val="nil"/>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445</w:t>
            </w:r>
          </w:p>
        </w:tc>
        <w:tc>
          <w:tcPr>
            <w:tcW w:w="2070" w:type="dxa"/>
            <w:tcBorders>
              <w:top w:val="nil"/>
              <w:left w:val="nil"/>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148,766</w:t>
            </w:r>
          </w:p>
        </w:tc>
        <w:tc>
          <w:tcPr>
            <w:tcW w:w="1800" w:type="dxa"/>
            <w:tcBorders>
              <w:top w:val="nil"/>
              <w:left w:val="nil"/>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8,331</w:t>
            </w:r>
          </w:p>
        </w:tc>
        <w:tc>
          <w:tcPr>
            <w:tcW w:w="1440" w:type="dxa"/>
            <w:tcBorders>
              <w:top w:val="nil"/>
              <w:left w:val="nil"/>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8,331</w:t>
            </w:r>
          </w:p>
        </w:tc>
        <w:tc>
          <w:tcPr>
            <w:tcW w:w="1440" w:type="dxa"/>
            <w:tcBorders>
              <w:top w:val="nil"/>
              <w:left w:val="nil"/>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8,331</w:t>
            </w:r>
          </w:p>
        </w:tc>
      </w:tr>
      <w:tr w:rsidR="00003146" w:rsidRPr="00003146" w:rsidTr="00FE2D52">
        <w:trPr>
          <w:trHeight w:val="630"/>
        </w:trPr>
        <w:tc>
          <w:tcPr>
            <w:tcW w:w="3083" w:type="dxa"/>
            <w:vMerge w:val="restart"/>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Miscellaneous Retail</w:t>
            </w:r>
          </w:p>
        </w:tc>
        <w:tc>
          <w:tcPr>
            <w:tcW w:w="900" w:type="dxa"/>
            <w:tcBorders>
              <w:top w:val="nil"/>
              <w:left w:val="nil"/>
              <w:bottom w:val="dotted" w:sz="4"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5,983</w:t>
            </w:r>
          </w:p>
        </w:tc>
        <w:tc>
          <w:tcPr>
            <w:tcW w:w="1080" w:type="dxa"/>
            <w:tcBorders>
              <w:top w:val="nil"/>
              <w:left w:val="nil"/>
              <w:bottom w:val="dotted" w:sz="4"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454311 (76%)</w:t>
            </w:r>
          </w:p>
        </w:tc>
        <w:tc>
          <w:tcPr>
            <w:tcW w:w="207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2,769</w:t>
            </w:r>
          </w:p>
        </w:tc>
        <w:tc>
          <w:tcPr>
            <w:tcW w:w="180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4,946</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19,288</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7,419</w:t>
            </w:r>
          </w:p>
        </w:tc>
      </w:tr>
      <w:tr w:rsidR="00003146" w:rsidRPr="00003146" w:rsidTr="00FE2D52">
        <w:trPr>
          <w:trHeight w:val="645"/>
        </w:trPr>
        <w:tc>
          <w:tcPr>
            <w:tcW w:w="3083" w:type="dxa"/>
            <w:vMerge/>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5,984</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454312 (82%)</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4,613</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Real Estate (Commercial)</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65</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531</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285,834</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16,865</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55,636</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15,347</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Hotels/Other Lodging</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701</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7211</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54,126</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6,604</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100,382</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103,684</w:t>
            </w:r>
          </w:p>
        </w:tc>
      </w:tr>
      <w:tr w:rsidR="00003146" w:rsidRPr="00003146" w:rsidTr="00FE2D52">
        <w:trPr>
          <w:trHeight w:val="315"/>
        </w:trPr>
        <w:tc>
          <w:tcPr>
            <w:tcW w:w="3083" w:type="dxa"/>
            <w:vMerge w:val="restart"/>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Personal Service</w:t>
            </w:r>
          </w:p>
        </w:tc>
        <w:tc>
          <w:tcPr>
            <w:tcW w:w="900" w:type="dxa"/>
            <w:vMerge w:val="restart"/>
            <w:tcBorders>
              <w:top w:val="nil"/>
              <w:left w:val="single" w:sz="8"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721</w:t>
            </w:r>
          </w:p>
        </w:tc>
        <w:tc>
          <w:tcPr>
            <w:tcW w:w="1080" w:type="dxa"/>
            <w:tcBorders>
              <w:top w:val="nil"/>
              <w:left w:val="nil"/>
              <w:bottom w:val="dotted" w:sz="4"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8123</w:t>
            </w:r>
          </w:p>
        </w:tc>
        <w:tc>
          <w:tcPr>
            <w:tcW w:w="207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35,759</w:t>
            </w:r>
          </w:p>
        </w:tc>
        <w:tc>
          <w:tcPr>
            <w:tcW w:w="180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2,790</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19,304</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5,580</w:t>
            </w:r>
          </w:p>
        </w:tc>
      </w:tr>
      <w:tr w:rsidR="00003146" w:rsidRPr="00003146" w:rsidTr="00FE2D52">
        <w:trPr>
          <w:trHeight w:val="330"/>
        </w:trPr>
        <w:tc>
          <w:tcPr>
            <w:tcW w:w="3083" w:type="dxa"/>
            <w:vMerge/>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900" w:type="dxa"/>
            <w:vMerge/>
            <w:tcBorders>
              <w:top w:val="nil"/>
              <w:left w:val="single" w:sz="8"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561740</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7,837</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r>
      <w:tr w:rsidR="00003146" w:rsidRPr="00003146" w:rsidTr="00FE2D52">
        <w:trPr>
          <w:trHeight w:val="615"/>
        </w:trPr>
        <w:tc>
          <w:tcPr>
            <w:tcW w:w="3083" w:type="dxa"/>
            <w:vMerge w:val="restart"/>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Miscellaneous Repair Services</w:t>
            </w:r>
          </w:p>
        </w:tc>
        <w:tc>
          <w:tcPr>
            <w:tcW w:w="900" w:type="dxa"/>
            <w:vMerge w:val="restart"/>
            <w:tcBorders>
              <w:top w:val="nil"/>
              <w:left w:val="single" w:sz="8"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76</w:t>
            </w:r>
          </w:p>
        </w:tc>
        <w:tc>
          <w:tcPr>
            <w:tcW w:w="1080" w:type="dxa"/>
            <w:tcBorders>
              <w:top w:val="nil"/>
              <w:left w:val="nil"/>
              <w:bottom w:val="dotted" w:sz="4"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8112</w:t>
            </w:r>
          </w:p>
        </w:tc>
        <w:tc>
          <w:tcPr>
            <w:tcW w:w="207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12,332</w:t>
            </w:r>
          </w:p>
        </w:tc>
        <w:tc>
          <w:tcPr>
            <w:tcW w:w="180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592</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633</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592</w:t>
            </w:r>
          </w:p>
        </w:tc>
      </w:tr>
      <w:tr w:rsidR="00003146" w:rsidRPr="00003146" w:rsidTr="00FE2D52">
        <w:trPr>
          <w:trHeight w:val="315"/>
        </w:trPr>
        <w:tc>
          <w:tcPr>
            <w:tcW w:w="3083" w:type="dxa"/>
            <w:vMerge/>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900" w:type="dxa"/>
            <w:vMerge/>
            <w:tcBorders>
              <w:top w:val="nil"/>
              <w:left w:val="single" w:sz="8"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1080" w:type="dxa"/>
            <w:tcBorders>
              <w:top w:val="nil"/>
              <w:left w:val="nil"/>
              <w:bottom w:val="dotted" w:sz="4"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8113</w:t>
            </w:r>
          </w:p>
        </w:tc>
        <w:tc>
          <w:tcPr>
            <w:tcW w:w="207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21,632</w:t>
            </w:r>
          </w:p>
        </w:tc>
        <w:tc>
          <w:tcPr>
            <w:tcW w:w="180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r>
      <w:tr w:rsidR="00003146" w:rsidRPr="00003146" w:rsidTr="00FE2D52">
        <w:trPr>
          <w:trHeight w:val="330"/>
        </w:trPr>
        <w:tc>
          <w:tcPr>
            <w:tcW w:w="3083" w:type="dxa"/>
            <w:vMerge/>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900" w:type="dxa"/>
            <w:vMerge/>
            <w:tcBorders>
              <w:top w:val="nil"/>
              <w:left w:val="single" w:sz="8"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8114</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19,873</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r>
      <w:tr w:rsidR="00003146" w:rsidRPr="00003146" w:rsidTr="00FE2D52">
        <w:trPr>
          <w:trHeight w:val="330"/>
        </w:trPr>
        <w:tc>
          <w:tcPr>
            <w:tcW w:w="3083" w:type="dxa"/>
            <w:tcBorders>
              <w:top w:val="nil"/>
              <w:left w:val="double" w:sz="6" w:space="0" w:color="auto"/>
              <w:bottom w:val="single" w:sz="8"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lastRenderedPageBreak/>
              <w:t>Motion Pictures</w:t>
            </w:r>
          </w:p>
        </w:tc>
        <w:tc>
          <w:tcPr>
            <w:tcW w:w="900" w:type="dxa"/>
            <w:tcBorders>
              <w:top w:val="nil"/>
              <w:left w:val="nil"/>
              <w:bottom w:val="single" w:sz="8"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7,812</w:t>
            </w: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512110</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12,919</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13</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38</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75</w:t>
            </w:r>
          </w:p>
        </w:tc>
      </w:tr>
      <w:tr w:rsidR="00003146" w:rsidRPr="00003146" w:rsidTr="00FE2D52">
        <w:trPr>
          <w:trHeight w:val="315"/>
        </w:trPr>
        <w:tc>
          <w:tcPr>
            <w:tcW w:w="3083" w:type="dxa"/>
            <w:vMerge w:val="restart"/>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Health Services</w:t>
            </w:r>
          </w:p>
        </w:tc>
        <w:tc>
          <w:tcPr>
            <w:tcW w:w="900" w:type="dxa"/>
            <w:tcBorders>
              <w:top w:val="nil"/>
              <w:left w:val="nil"/>
              <w:bottom w:val="dotted" w:sz="4"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806</w:t>
            </w:r>
          </w:p>
        </w:tc>
        <w:tc>
          <w:tcPr>
            <w:tcW w:w="1080" w:type="dxa"/>
            <w:tcBorders>
              <w:top w:val="nil"/>
              <w:left w:val="nil"/>
              <w:bottom w:val="dotted" w:sz="4"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622</w:t>
            </w:r>
          </w:p>
        </w:tc>
        <w:tc>
          <w:tcPr>
            <w:tcW w:w="207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6,930</w:t>
            </w:r>
          </w:p>
        </w:tc>
        <w:tc>
          <w:tcPr>
            <w:tcW w:w="180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9,616</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83,567</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31,734</w:t>
            </w:r>
          </w:p>
        </w:tc>
      </w:tr>
      <w:tr w:rsidR="00003146" w:rsidRPr="00003146" w:rsidTr="00FE2D52">
        <w:trPr>
          <w:trHeight w:val="315"/>
        </w:trPr>
        <w:tc>
          <w:tcPr>
            <w:tcW w:w="3083" w:type="dxa"/>
            <w:vMerge/>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900" w:type="dxa"/>
            <w:vMerge w:val="restart"/>
            <w:tcBorders>
              <w:top w:val="nil"/>
              <w:left w:val="single" w:sz="8"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807</w:t>
            </w:r>
          </w:p>
        </w:tc>
        <w:tc>
          <w:tcPr>
            <w:tcW w:w="1080" w:type="dxa"/>
            <w:tcBorders>
              <w:top w:val="nil"/>
              <w:left w:val="nil"/>
              <w:bottom w:val="dotted" w:sz="4"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6215</w:t>
            </w:r>
          </w:p>
        </w:tc>
        <w:tc>
          <w:tcPr>
            <w:tcW w:w="207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13,126</w:t>
            </w:r>
          </w:p>
        </w:tc>
        <w:tc>
          <w:tcPr>
            <w:tcW w:w="180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dotted" w:sz="4"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r>
      <w:tr w:rsidR="00003146" w:rsidRPr="00003146" w:rsidTr="00FE2D52">
        <w:trPr>
          <w:trHeight w:val="330"/>
        </w:trPr>
        <w:tc>
          <w:tcPr>
            <w:tcW w:w="3083" w:type="dxa"/>
            <w:vMerge/>
            <w:tcBorders>
              <w:top w:val="nil"/>
              <w:left w:val="double" w:sz="6"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900" w:type="dxa"/>
            <w:vMerge/>
            <w:tcBorders>
              <w:top w:val="nil"/>
              <w:left w:val="single" w:sz="8" w:space="0" w:color="auto"/>
              <w:bottom w:val="single" w:sz="8" w:space="0" w:color="000000"/>
              <w:right w:val="single" w:sz="8" w:space="0" w:color="auto"/>
            </w:tcBorders>
            <w:vAlign w:val="center"/>
            <w:hideMark/>
          </w:tcPr>
          <w:p w:rsidR="00003146" w:rsidRPr="00003146" w:rsidRDefault="00003146" w:rsidP="006F183B">
            <w:pPr>
              <w:widowControl/>
              <w:autoSpaceDE/>
              <w:autoSpaceDN/>
              <w:adjustRightInd/>
              <w:rPr>
                <w:color w:val="000000"/>
              </w:rPr>
            </w:pPr>
          </w:p>
        </w:tc>
        <w:tc>
          <w:tcPr>
            <w:tcW w:w="1080" w:type="dxa"/>
            <w:tcBorders>
              <w:top w:val="nil"/>
              <w:left w:val="nil"/>
              <w:bottom w:val="single" w:sz="8"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339116</w:t>
            </w:r>
          </w:p>
        </w:tc>
        <w:tc>
          <w:tcPr>
            <w:tcW w:w="207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6,806</w:t>
            </w:r>
          </w:p>
        </w:tc>
        <w:tc>
          <w:tcPr>
            <w:tcW w:w="180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 </w:t>
            </w:r>
          </w:p>
        </w:tc>
      </w:tr>
      <w:tr w:rsidR="00003146" w:rsidRPr="00003146" w:rsidTr="00FE2D52">
        <w:trPr>
          <w:trHeight w:val="330"/>
        </w:trPr>
        <w:tc>
          <w:tcPr>
            <w:tcW w:w="3083" w:type="dxa"/>
            <w:tcBorders>
              <w:top w:val="nil"/>
              <w:left w:val="double" w:sz="6" w:space="0" w:color="auto"/>
              <w:bottom w:val="double" w:sz="6" w:space="0" w:color="auto"/>
              <w:right w:val="single" w:sz="8" w:space="0" w:color="auto"/>
            </w:tcBorders>
            <w:vAlign w:val="center"/>
            <w:hideMark/>
          </w:tcPr>
          <w:p w:rsidR="00003146" w:rsidRPr="00003146" w:rsidRDefault="00003146" w:rsidP="006F183B">
            <w:pPr>
              <w:widowControl/>
              <w:autoSpaceDE/>
              <w:autoSpaceDN/>
              <w:adjustRightInd/>
              <w:rPr>
                <w:color w:val="000000"/>
              </w:rPr>
            </w:pPr>
            <w:r w:rsidRPr="00003146">
              <w:rPr>
                <w:color w:val="000000"/>
              </w:rPr>
              <w:t>Museums, Botanical Gardens, Zoos</w:t>
            </w:r>
          </w:p>
        </w:tc>
        <w:tc>
          <w:tcPr>
            <w:tcW w:w="900" w:type="dxa"/>
            <w:tcBorders>
              <w:top w:val="nil"/>
              <w:left w:val="nil"/>
              <w:bottom w:val="double" w:sz="6" w:space="0" w:color="auto"/>
              <w:right w:val="single" w:sz="8" w:space="0" w:color="auto"/>
            </w:tcBorders>
            <w:vAlign w:val="center"/>
            <w:hideMark/>
          </w:tcPr>
          <w:p w:rsidR="00003146" w:rsidRPr="00003146" w:rsidRDefault="00003146" w:rsidP="006F183B">
            <w:pPr>
              <w:widowControl/>
              <w:autoSpaceDE/>
              <w:autoSpaceDN/>
              <w:adjustRightInd/>
              <w:jc w:val="center"/>
              <w:rPr>
                <w:color w:val="000000"/>
              </w:rPr>
            </w:pPr>
            <w:r w:rsidRPr="00003146">
              <w:rPr>
                <w:color w:val="000000"/>
              </w:rPr>
              <w:t>84</w:t>
            </w:r>
          </w:p>
        </w:tc>
        <w:tc>
          <w:tcPr>
            <w:tcW w:w="1080" w:type="dxa"/>
            <w:tcBorders>
              <w:top w:val="nil"/>
              <w:left w:val="nil"/>
              <w:bottom w:val="double" w:sz="6" w:space="0" w:color="auto"/>
              <w:right w:val="single" w:sz="8" w:space="0" w:color="auto"/>
            </w:tcBorders>
            <w:shd w:val="clear" w:color="000000" w:fill="FFFFFF"/>
            <w:vAlign w:val="center"/>
            <w:hideMark/>
          </w:tcPr>
          <w:p w:rsidR="00003146" w:rsidRPr="00003146" w:rsidRDefault="00003146" w:rsidP="006F183B">
            <w:pPr>
              <w:widowControl/>
              <w:autoSpaceDE/>
              <w:autoSpaceDN/>
              <w:adjustRightInd/>
              <w:jc w:val="center"/>
              <w:rPr>
                <w:color w:val="000000"/>
              </w:rPr>
            </w:pPr>
            <w:r w:rsidRPr="00003146">
              <w:rPr>
                <w:color w:val="000000"/>
              </w:rPr>
              <w:t>712</w:t>
            </w:r>
          </w:p>
        </w:tc>
        <w:tc>
          <w:tcPr>
            <w:tcW w:w="2070" w:type="dxa"/>
            <w:tcBorders>
              <w:top w:val="nil"/>
              <w:left w:val="nil"/>
              <w:bottom w:val="double" w:sz="6"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7,323</w:t>
            </w:r>
          </w:p>
        </w:tc>
        <w:tc>
          <w:tcPr>
            <w:tcW w:w="1800" w:type="dxa"/>
            <w:tcBorders>
              <w:top w:val="nil"/>
              <w:left w:val="nil"/>
              <w:bottom w:val="double" w:sz="6"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270</w:t>
            </w:r>
          </w:p>
        </w:tc>
        <w:tc>
          <w:tcPr>
            <w:tcW w:w="1440" w:type="dxa"/>
            <w:tcBorders>
              <w:top w:val="nil"/>
              <w:left w:val="nil"/>
              <w:bottom w:val="double" w:sz="6"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2,461</w:t>
            </w:r>
          </w:p>
        </w:tc>
        <w:tc>
          <w:tcPr>
            <w:tcW w:w="1440" w:type="dxa"/>
            <w:tcBorders>
              <w:top w:val="nil"/>
              <w:left w:val="nil"/>
              <w:bottom w:val="double" w:sz="6" w:space="0" w:color="auto"/>
              <w:right w:val="single" w:sz="8" w:space="0" w:color="auto"/>
            </w:tcBorders>
            <w:shd w:val="clear" w:color="auto" w:fill="auto"/>
            <w:vAlign w:val="center"/>
            <w:hideMark/>
          </w:tcPr>
          <w:p w:rsidR="00003146" w:rsidRPr="00003146" w:rsidRDefault="00003146" w:rsidP="006F183B">
            <w:pPr>
              <w:widowControl/>
              <w:autoSpaceDE/>
              <w:autoSpaceDN/>
              <w:adjustRightInd/>
              <w:jc w:val="center"/>
              <w:rPr>
                <w:color w:val="000000"/>
              </w:rPr>
            </w:pPr>
            <w:r w:rsidRPr="00003146">
              <w:rPr>
                <w:color w:val="000000"/>
              </w:rPr>
              <w:t>1,623</w:t>
            </w:r>
          </w:p>
        </w:tc>
      </w:tr>
      <w:tr w:rsidR="00003146" w:rsidRPr="00003146" w:rsidTr="00FE2D52">
        <w:trPr>
          <w:trHeight w:val="345"/>
        </w:trPr>
        <w:tc>
          <w:tcPr>
            <w:tcW w:w="3083" w:type="dxa"/>
            <w:tcBorders>
              <w:top w:val="double" w:sz="6" w:space="0" w:color="auto"/>
              <w:left w:val="double" w:sz="6" w:space="0" w:color="auto"/>
              <w:bottom w:val="double" w:sz="6" w:space="0" w:color="auto"/>
              <w:right w:val="single" w:sz="8" w:space="0" w:color="auto"/>
            </w:tcBorders>
            <w:shd w:val="clear" w:color="auto" w:fill="FFFFFF"/>
            <w:vAlign w:val="center"/>
            <w:hideMark/>
          </w:tcPr>
          <w:p w:rsidR="00003146" w:rsidRPr="00003146" w:rsidRDefault="00003146" w:rsidP="006F183B">
            <w:pPr>
              <w:widowControl/>
              <w:autoSpaceDE/>
              <w:autoSpaceDN/>
              <w:adjustRightInd/>
              <w:jc w:val="right"/>
              <w:rPr>
                <w:b/>
                <w:bCs/>
              </w:rPr>
            </w:pPr>
            <w:r w:rsidRPr="00003146">
              <w:rPr>
                <w:b/>
                <w:bCs/>
              </w:rPr>
              <w:t>Totals</w:t>
            </w:r>
          </w:p>
        </w:tc>
        <w:tc>
          <w:tcPr>
            <w:tcW w:w="900" w:type="dxa"/>
            <w:tcBorders>
              <w:top w:val="double" w:sz="6" w:space="0" w:color="auto"/>
              <w:left w:val="nil"/>
              <w:bottom w:val="double" w:sz="6" w:space="0" w:color="auto"/>
              <w:right w:val="single" w:sz="8" w:space="0" w:color="auto"/>
            </w:tcBorders>
            <w:shd w:val="clear" w:color="auto" w:fill="FFFFFF"/>
            <w:vAlign w:val="center"/>
            <w:hideMark/>
          </w:tcPr>
          <w:p w:rsidR="00003146" w:rsidRPr="00003146" w:rsidRDefault="00003146" w:rsidP="006F183B">
            <w:pPr>
              <w:widowControl/>
              <w:autoSpaceDE/>
              <w:autoSpaceDN/>
              <w:adjustRightInd/>
              <w:jc w:val="center"/>
              <w:rPr>
                <w:b/>
                <w:bCs/>
              </w:rPr>
            </w:pPr>
            <w:r w:rsidRPr="00003146">
              <w:rPr>
                <w:b/>
                <w:bCs/>
              </w:rPr>
              <w:t> </w:t>
            </w:r>
          </w:p>
        </w:tc>
        <w:tc>
          <w:tcPr>
            <w:tcW w:w="1080" w:type="dxa"/>
            <w:tcBorders>
              <w:top w:val="double" w:sz="6" w:space="0" w:color="auto"/>
              <w:left w:val="nil"/>
              <w:bottom w:val="double" w:sz="6" w:space="0" w:color="auto"/>
              <w:right w:val="single" w:sz="8" w:space="0" w:color="auto"/>
            </w:tcBorders>
            <w:shd w:val="clear" w:color="auto" w:fill="FFFFFF"/>
            <w:vAlign w:val="center"/>
            <w:hideMark/>
          </w:tcPr>
          <w:p w:rsidR="00003146" w:rsidRPr="00003146" w:rsidRDefault="00003146" w:rsidP="006F183B">
            <w:pPr>
              <w:widowControl/>
              <w:autoSpaceDE/>
              <w:autoSpaceDN/>
              <w:adjustRightInd/>
              <w:jc w:val="center"/>
              <w:rPr>
                <w:b/>
                <w:bCs/>
              </w:rPr>
            </w:pPr>
            <w:r w:rsidRPr="00003146">
              <w:rPr>
                <w:b/>
                <w:bCs/>
              </w:rPr>
              <w:t> </w:t>
            </w:r>
          </w:p>
        </w:tc>
        <w:tc>
          <w:tcPr>
            <w:tcW w:w="2070" w:type="dxa"/>
            <w:tcBorders>
              <w:top w:val="double" w:sz="6" w:space="0" w:color="auto"/>
              <w:left w:val="nil"/>
              <w:bottom w:val="double" w:sz="6" w:space="0" w:color="auto"/>
              <w:right w:val="single" w:sz="8" w:space="0" w:color="auto"/>
            </w:tcBorders>
            <w:shd w:val="clear" w:color="auto" w:fill="FFFFFF"/>
            <w:vAlign w:val="center"/>
            <w:hideMark/>
          </w:tcPr>
          <w:p w:rsidR="00003146" w:rsidRPr="00003146" w:rsidRDefault="00003146" w:rsidP="006F183B">
            <w:pPr>
              <w:widowControl/>
              <w:autoSpaceDE/>
              <w:autoSpaceDN/>
              <w:adjustRightInd/>
              <w:jc w:val="center"/>
              <w:rPr>
                <w:b/>
                <w:bCs/>
              </w:rPr>
            </w:pPr>
            <w:r w:rsidRPr="00003146">
              <w:rPr>
                <w:b/>
                <w:bCs/>
              </w:rPr>
              <w:t>1,303,846</w:t>
            </w:r>
          </w:p>
        </w:tc>
        <w:tc>
          <w:tcPr>
            <w:tcW w:w="1800" w:type="dxa"/>
            <w:tcBorders>
              <w:top w:val="double" w:sz="6" w:space="0" w:color="auto"/>
              <w:left w:val="nil"/>
              <w:bottom w:val="double" w:sz="6" w:space="0" w:color="auto"/>
              <w:right w:val="single" w:sz="8" w:space="0" w:color="auto"/>
            </w:tcBorders>
            <w:shd w:val="clear" w:color="auto" w:fill="FFFFFF"/>
            <w:vAlign w:val="center"/>
            <w:hideMark/>
          </w:tcPr>
          <w:p w:rsidR="00003146" w:rsidRPr="00003146" w:rsidRDefault="00003146" w:rsidP="006F183B">
            <w:pPr>
              <w:widowControl/>
              <w:autoSpaceDE/>
              <w:autoSpaceDN/>
              <w:adjustRightInd/>
              <w:jc w:val="center"/>
              <w:rPr>
                <w:b/>
                <w:bCs/>
              </w:rPr>
            </w:pPr>
            <w:r w:rsidRPr="00003146">
              <w:rPr>
                <w:b/>
                <w:bCs/>
              </w:rPr>
              <w:t>205,548</w:t>
            </w:r>
          </w:p>
        </w:tc>
        <w:tc>
          <w:tcPr>
            <w:tcW w:w="1440" w:type="dxa"/>
            <w:tcBorders>
              <w:top w:val="double" w:sz="6" w:space="0" w:color="auto"/>
              <w:left w:val="nil"/>
              <w:bottom w:val="double" w:sz="6" w:space="0" w:color="auto"/>
              <w:right w:val="single" w:sz="8" w:space="0" w:color="auto"/>
            </w:tcBorders>
            <w:shd w:val="clear" w:color="auto" w:fill="FFFFFF"/>
            <w:vAlign w:val="center"/>
            <w:hideMark/>
          </w:tcPr>
          <w:p w:rsidR="00003146" w:rsidRPr="00003146" w:rsidRDefault="00003146" w:rsidP="006F183B">
            <w:pPr>
              <w:widowControl/>
              <w:autoSpaceDE/>
              <w:autoSpaceDN/>
              <w:adjustRightInd/>
              <w:jc w:val="center"/>
              <w:rPr>
                <w:b/>
                <w:bCs/>
              </w:rPr>
            </w:pPr>
            <w:r w:rsidRPr="00003146">
              <w:rPr>
                <w:b/>
                <w:bCs/>
              </w:rPr>
              <w:t>4,483,473</w:t>
            </w:r>
          </w:p>
        </w:tc>
        <w:tc>
          <w:tcPr>
            <w:tcW w:w="1440" w:type="dxa"/>
            <w:tcBorders>
              <w:top w:val="double" w:sz="6" w:space="0" w:color="auto"/>
              <w:left w:val="nil"/>
              <w:bottom w:val="double" w:sz="6" w:space="0" w:color="auto"/>
              <w:right w:val="single" w:sz="8" w:space="0" w:color="auto"/>
            </w:tcBorders>
            <w:shd w:val="clear" w:color="auto" w:fill="FFFFFF"/>
            <w:vAlign w:val="center"/>
            <w:hideMark/>
          </w:tcPr>
          <w:p w:rsidR="00003146" w:rsidRPr="00003146" w:rsidRDefault="00003146" w:rsidP="006F183B">
            <w:pPr>
              <w:widowControl/>
              <w:autoSpaceDE/>
              <w:autoSpaceDN/>
              <w:adjustRightInd/>
              <w:jc w:val="center"/>
              <w:rPr>
                <w:b/>
                <w:bCs/>
              </w:rPr>
            </w:pPr>
            <w:r w:rsidRPr="00003146">
              <w:rPr>
                <w:b/>
                <w:bCs/>
              </w:rPr>
              <w:t>1,463,075</w:t>
            </w:r>
          </w:p>
        </w:tc>
      </w:tr>
    </w:tbl>
    <w:p w:rsidR="00003146" w:rsidRPr="00F46530" w:rsidRDefault="00003146" w:rsidP="00124057">
      <w:pPr>
        <w:tabs>
          <w:tab w:val="left" w:pos="3165"/>
        </w:tabs>
        <w:rPr>
          <w:szCs w:val="22"/>
        </w:rPr>
      </w:pPr>
    </w:p>
    <w:sectPr w:rsidR="00003146" w:rsidRPr="00F46530" w:rsidSect="009B3169">
      <w:footerReference w:type="even" r:id="rId14"/>
      <w:footerReference w:type="default" r:id="rId15"/>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F9E" w:rsidRDefault="00325F9E">
      <w:r>
        <w:separator/>
      </w:r>
    </w:p>
  </w:endnote>
  <w:endnote w:type="continuationSeparator" w:id="0">
    <w:p w:rsidR="00325F9E" w:rsidRDefault="00325F9E">
      <w:r>
        <w:continuationSeparator/>
      </w:r>
    </w:p>
  </w:endnote>
  <w:endnote w:id="1">
    <w:p w:rsidR="00325F9E" w:rsidRDefault="00325F9E" w:rsidP="00FE2D52">
      <w:pPr>
        <w:pStyle w:val="EndnoteText"/>
      </w:pPr>
      <w:proofErr w:type="gramStart"/>
      <w:r w:rsidRPr="00FE2D52">
        <w:rPr>
          <w:sz w:val="22"/>
          <w:vertAlign w:val="superscript"/>
        </w:rPr>
        <w:t>i</w:t>
      </w:r>
      <w:proofErr w:type="gramEnd"/>
      <w:r>
        <w:t xml:space="preserve"> Source: U.S. Department of Labor, Occupational Safety and Health Administration, Office of Regulatory Analysis. </w:t>
      </w:r>
      <w:proofErr w:type="gramStart"/>
      <w:r>
        <w:rPr>
          <w:i/>
        </w:rPr>
        <w:t>Final Regulatory Impact Analysis and Regulatory Flexibility Analysis of the Final Permit-Required Space Standard (§1910.146, Subpart J)</w:t>
      </w:r>
      <w:r>
        <w:t>.</w:t>
      </w:r>
      <w:proofErr w:type="gramEnd"/>
      <w:r>
        <w:t xml:space="preserve"> Table I-1: Profile of Affected Establishments and Employees. December 1992. </w:t>
      </w:r>
      <w:proofErr w:type="gramStart"/>
      <w:r>
        <w:t>Supplemented where possible by information derived from: CONSAD Research Corporation.</w:t>
      </w:r>
      <w:proofErr w:type="gramEnd"/>
      <w:r>
        <w:t xml:space="preserve"> </w:t>
      </w:r>
      <w:proofErr w:type="gramStart"/>
      <w:r>
        <w:rPr>
          <w:i/>
        </w:rPr>
        <w:t>Development of Industry Profile Data for OSHA’s Draft Proposed Standard for Permit Entry Confined Spaces</w:t>
      </w:r>
      <w:r>
        <w:t>.</w:t>
      </w:r>
      <w:proofErr w:type="gramEnd"/>
      <w:r>
        <w:t xml:space="preserve"> May 20, 1988.</w:t>
      </w:r>
    </w:p>
    <w:p w:rsidR="00325F9E" w:rsidRPr="008714AA" w:rsidRDefault="00325F9E" w:rsidP="00003146">
      <w:pPr>
        <w:pStyle w:val="EndnoteText"/>
        <w:ind w:left="90" w:firstLine="630"/>
      </w:pPr>
      <w:r>
        <w:t xml:space="preserve"> </w:t>
      </w:r>
    </w:p>
    <w:p w:rsidR="00325F9E" w:rsidRDefault="00325F9E" w:rsidP="00FE2D52">
      <w:pPr>
        <w:pStyle w:val="EndnoteText"/>
      </w:pPr>
      <w:proofErr w:type="gramStart"/>
      <w:r w:rsidRPr="00FE2D52">
        <w:rPr>
          <w:sz w:val="22"/>
          <w:vertAlign w:val="superscript"/>
        </w:rPr>
        <w:t>ii</w:t>
      </w:r>
      <w:proofErr w:type="gramEnd"/>
      <w:r w:rsidRPr="00FE2D52">
        <w:rPr>
          <w:sz w:val="22"/>
          <w:vertAlign w:val="superscript"/>
        </w:rPr>
        <w:t xml:space="preserve"> </w:t>
      </w:r>
      <w:r>
        <w:t>Source: 2005 County Business Patterns Survey. This value represents the total number of establishments in the indicated NAICS code.</w:t>
      </w:r>
    </w:p>
    <w:p w:rsidR="00325F9E" w:rsidRDefault="00325F9E" w:rsidP="00003146">
      <w:pPr>
        <w:pStyle w:val="EndnoteText"/>
        <w:ind w:left="90" w:firstLine="630"/>
      </w:pPr>
    </w:p>
    <w:p w:rsidR="00325F9E" w:rsidRDefault="00325F9E" w:rsidP="00FE2D52">
      <w:pPr>
        <w:pStyle w:val="EndnoteText"/>
      </w:pPr>
      <w:proofErr w:type="spellStart"/>
      <w:proofErr w:type="gramStart"/>
      <w:r w:rsidRPr="00FE2D52">
        <w:rPr>
          <w:sz w:val="22"/>
          <w:vertAlign w:val="superscript"/>
        </w:rPr>
        <w:t>iii</w:t>
      </w:r>
      <w:r>
        <w:t>Values</w:t>
      </w:r>
      <w:proofErr w:type="spellEnd"/>
      <w:proofErr w:type="gramEnd"/>
      <w:r>
        <w:t xml:space="preserve"> in this column were calculated using the ratio of the number of establishments with permit spaces (in Table I-1) to total firms in the specified SIC according to the 1992 Economic Census. This ratio was then applied to the total number of establishments listed in the preceding column.</w:t>
      </w:r>
    </w:p>
    <w:p w:rsidR="00325F9E" w:rsidRDefault="00325F9E" w:rsidP="00003146">
      <w:pPr>
        <w:pStyle w:val="EndnoteText"/>
        <w:ind w:left="90" w:firstLine="630"/>
      </w:pPr>
      <w:r>
        <w:t xml:space="preserve">  </w:t>
      </w:r>
    </w:p>
    <w:p w:rsidR="00325F9E" w:rsidRDefault="00325F9E" w:rsidP="00FE2D52">
      <w:pPr>
        <w:pStyle w:val="EndnoteText"/>
      </w:pPr>
      <w:proofErr w:type="spellStart"/>
      <w:proofErr w:type="gramStart"/>
      <w:r w:rsidRPr="00FE2D52">
        <w:rPr>
          <w:sz w:val="22"/>
          <w:vertAlign w:val="superscript"/>
        </w:rPr>
        <w:t>iv</w:t>
      </w:r>
      <w:r>
        <w:t>Values</w:t>
      </w:r>
      <w:proofErr w:type="spellEnd"/>
      <w:proofErr w:type="gramEnd"/>
      <w:r>
        <w:t xml:space="preserve"> in this column were calculated using the ratio of permit spaces to establishments with permit spaces as described in Table I-1. This ratio was then applied to the updated number of establishments with permit spaces listed in the preceding column.</w:t>
      </w:r>
    </w:p>
    <w:p w:rsidR="00325F9E" w:rsidRDefault="00325F9E" w:rsidP="00003146">
      <w:pPr>
        <w:pStyle w:val="EndnoteText"/>
        <w:ind w:left="90" w:firstLine="630"/>
      </w:pPr>
    </w:p>
    <w:p w:rsidR="00325F9E" w:rsidRPr="008714AA" w:rsidRDefault="00325F9E" w:rsidP="00742FA5">
      <w:pPr>
        <w:pStyle w:val="EndnoteText"/>
      </w:pPr>
      <w:proofErr w:type="spellStart"/>
      <w:proofErr w:type="gramStart"/>
      <w:r w:rsidRPr="00FE2D52">
        <w:rPr>
          <w:sz w:val="22"/>
          <w:vertAlign w:val="superscript"/>
        </w:rPr>
        <w:t>v</w:t>
      </w:r>
      <w:r>
        <w:t>Values</w:t>
      </w:r>
      <w:proofErr w:type="spellEnd"/>
      <w:proofErr w:type="gramEnd"/>
      <w:r>
        <w:t xml:space="preserve"> in this column were calculated using the ratio of permit space entrants to establishments with permit spaces as described in Table I-1. This ratio was then applied to the updated number of establishments with permit spaces.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hruti">
    <w:panose1 w:val="020B0502040204020203"/>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9E" w:rsidRDefault="00325F9E" w:rsidP="00DF0B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5F9E" w:rsidRDefault="00325F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9E" w:rsidRDefault="00325F9E" w:rsidP="00473627">
    <w:pPr>
      <w:pStyle w:val="Footer"/>
      <w:framePr w:wrap="around" w:vAnchor="text" w:hAnchor="margin" w:xAlign="center" w:y="1"/>
      <w:jc w:val="center"/>
      <w:rPr>
        <w:rStyle w:val="PageNumber"/>
      </w:rPr>
    </w:pPr>
  </w:p>
  <w:p w:rsidR="00325F9E" w:rsidRPr="00473627" w:rsidRDefault="00325F9E" w:rsidP="00473627">
    <w:pPr>
      <w:pStyle w:val="Footer"/>
      <w:framePr w:wrap="around" w:vAnchor="text" w:hAnchor="margin" w:xAlign="center" w:y="1"/>
      <w:jc w:val="center"/>
      <w:rPr>
        <w:rStyle w:val="PageNumber"/>
      </w:rPr>
    </w:pPr>
    <w:r w:rsidRPr="00473627">
      <w:rPr>
        <w:rStyle w:val="PageNumber"/>
      </w:rPr>
      <w:fldChar w:fldCharType="begin"/>
    </w:r>
    <w:r w:rsidRPr="00473627">
      <w:rPr>
        <w:rStyle w:val="PageNumber"/>
      </w:rPr>
      <w:instrText xml:space="preserve">PAGE  </w:instrText>
    </w:r>
    <w:r w:rsidRPr="00473627">
      <w:rPr>
        <w:rStyle w:val="PageNumber"/>
      </w:rPr>
      <w:fldChar w:fldCharType="separate"/>
    </w:r>
    <w:r w:rsidR="00BB6290">
      <w:rPr>
        <w:rStyle w:val="PageNumber"/>
        <w:noProof/>
      </w:rPr>
      <w:t>2</w:t>
    </w:r>
    <w:r w:rsidRPr="00473627">
      <w:rPr>
        <w:rStyle w:val="PageNumber"/>
      </w:rPr>
      <w:fldChar w:fldCharType="end"/>
    </w:r>
  </w:p>
  <w:p w:rsidR="00325F9E" w:rsidRDefault="00325F9E" w:rsidP="00213F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150248"/>
      <w:docPartObj>
        <w:docPartGallery w:val="Page Numbers (Bottom of Page)"/>
        <w:docPartUnique/>
      </w:docPartObj>
    </w:sdtPr>
    <w:sdtEndPr>
      <w:rPr>
        <w:noProof/>
      </w:rPr>
    </w:sdtEndPr>
    <w:sdtContent>
      <w:p w:rsidR="00325F9E" w:rsidRDefault="00325F9E">
        <w:pPr>
          <w:pStyle w:val="Footer"/>
          <w:jc w:val="center"/>
        </w:pPr>
      </w:p>
      <w:p w:rsidR="00325F9E" w:rsidRDefault="00325F9E">
        <w:pPr>
          <w:pStyle w:val="Footer"/>
          <w:jc w:val="center"/>
        </w:pPr>
        <w:r>
          <w:fldChar w:fldCharType="begin"/>
        </w:r>
        <w:r>
          <w:instrText xml:space="preserve"> PAGE   \* MERGEFORMAT </w:instrText>
        </w:r>
        <w:r>
          <w:fldChar w:fldCharType="separate"/>
        </w:r>
        <w:r w:rsidR="00BB6290">
          <w:rPr>
            <w:noProof/>
          </w:rPr>
          <w:t>1</w:t>
        </w:r>
        <w:r>
          <w:rPr>
            <w:noProof/>
          </w:rPr>
          <w:fldChar w:fldCharType="end"/>
        </w:r>
      </w:p>
    </w:sdtContent>
  </w:sdt>
  <w:p w:rsidR="00325F9E" w:rsidRDefault="00325F9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9E" w:rsidRDefault="00325F9E" w:rsidP="009A7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5F9E" w:rsidRDefault="00325F9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9E" w:rsidRDefault="00325F9E">
    <w:pPr>
      <w:spacing w:line="240" w:lineRule="exact"/>
    </w:pPr>
  </w:p>
  <w:p w:rsidR="00325F9E" w:rsidRDefault="00325F9E" w:rsidP="009A7965">
    <w:pPr>
      <w:framePr w:wrap="around" w:vAnchor="text" w:hAnchor="margin" w:xAlign="center" w:y="1"/>
      <w:jc w:val="center"/>
      <w:rPr>
        <w:sz w:val="20"/>
        <w:szCs w:val="20"/>
      </w:rPr>
    </w:pPr>
    <w:r>
      <w:rPr>
        <w:sz w:val="20"/>
        <w:szCs w:val="20"/>
      </w:rPr>
      <w:sym w:font="Symbol" w:char="F02D"/>
    </w:r>
    <w:r>
      <w:rPr>
        <w:sz w:val="20"/>
        <w:szCs w:val="20"/>
      </w:rPr>
      <w:fldChar w:fldCharType="begin"/>
    </w:r>
    <w:r>
      <w:rPr>
        <w:sz w:val="20"/>
        <w:szCs w:val="20"/>
      </w:rPr>
      <w:instrText xml:space="preserve">PAGE </w:instrText>
    </w:r>
    <w:r>
      <w:rPr>
        <w:sz w:val="20"/>
        <w:szCs w:val="20"/>
      </w:rPr>
      <w:fldChar w:fldCharType="separate"/>
    </w:r>
    <w:r w:rsidR="00BB6290">
      <w:rPr>
        <w:noProof/>
        <w:sz w:val="20"/>
        <w:szCs w:val="20"/>
      </w:rPr>
      <w:t>23</w:t>
    </w:r>
    <w:r>
      <w:rPr>
        <w:sz w:val="20"/>
        <w:szCs w:val="20"/>
      </w:rPr>
      <w:fldChar w:fldCharType="end"/>
    </w:r>
    <w:r>
      <w:rPr>
        <w:sz w:val="20"/>
        <w:szCs w:val="20"/>
      </w:rPr>
      <w:sym w:font="Symbol" w:char="F02D"/>
    </w:r>
  </w:p>
  <w:p w:rsidR="00325F9E" w:rsidRDefault="00325F9E">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F9E" w:rsidRDefault="00325F9E">
      <w:r>
        <w:separator/>
      </w:r>
    </w:p>
  </w:footnote>
  <w:footnote w:type="continuationSeparator" w:id="0">
    <w:p w:rsidR="00325F9E" w:rsidRDefault="00325F9E">
      <w:r>
        <w:continuationSeparator/>
      </w:r>
    </w:p>
  </w:footnote>
  <w:footnote w:id="1">
    <w:p w:rsidR="00325F9E" w:rsidRDefault="00325F9E">
      <w:pPr>
        <w:spacing w:after="72"/>
        <w:ind w:firstLine="720"/>
        <w:rPr>
          <w:sz w:val="20"/>
          <w:szCs w:val="20"/>
        </w:rPr>
      </w:pPr>
      <w:r>
        <w:rPr>
          <w:rStyle w:val="FootnoteReference"/>
          <w:sz w:val="20"/>
          <w:szCs w:val="20"/>
          <w:vertAlign w:val="superscript"/>
        </w:rPr>
        <w:footnoteRef/>
      </w:r>
      <w:r>
        <w:rPr>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these provisions.</w:t>
      </w:r>
    </w:p>
  </w:footnote>
  <w:footnote w:id="2">
    <w:p w:rsidR="00325F9E" w:rsidRPr="00BB2A34" w:rsidRDefault="00325F9E" w:rsidP="0015311A">
      <w:pPr>
        <w:pStyle w:val="FootnoteText"/>
        <w:ind w:firstLine="720"/>
      </w:pPr>
      <w:r w:rsidRPr="00FE2D52">
        <w:rPr>
          <w:rStyle w:val="FootnoteReference"/>
          <w:sz w:val="22"/>
          <w:szCs w:val="22"/>
          <w:vertAlign w:val="superscript"/>
        </w:rPr>
        <w:footnoteRef/>
      </w:r>
      <w:r w:rsidRPr="00BB2A34">
        <w:t xml:space="preserve">Upon careful review of this ICR, OSHA identified </w:t>
      </w:r>
      <w:r>
        <w:t xml:space="preserve">the atmospheric testing provisions of </w:t>
      </w:r>
      <w:r w:rsidRPr="00BB2A34">
        <w:t>1910.146</w:t>
      </w:r>
      <w:r>
        <w:rPr>
          <w:color w:val="000000"/>
        </w:rPr>
        <w:t>(c</w:t>
      </w:r>
      <w:proofErr w:type="gramStart"/>
      <w:r>
        <w:rPr>
          <w:color w:val="000000"/>
        </w:rPr>
        <w:t>)(</w:t>
      </w:r>
      <w:proofErr w:type="gramEnd"/>
      <w:r>
        <w:rPr>
          <w:color w:val="000000"/>
        </w:rPr>
        <w:t>5)(ii)(C) and (c)(5)(ii)(F)</w:t>
      </w:r>
      <w:r>
        <w:t xml:space="preserve"> as antecedent events to the alternate procedures documentation of 1910.146(c)(5)(ii)(H)</w:t>
      </w:r>
      <w:r w:rsidRPr="00BB2A34">
        <w:t>.  The Agency believes the burden hours and costs associated with testing of atmospheric hazards</w:t>
      </w:r>
      <w:r>
        <w:t xml:space="preserve"> </w:t>
      </w:r>
      <w:r w:rsidRPr="00BB2A34">
        <w:t xml:space="preserve">are included in the burden hours and costs for </w:t>
      </w:r>
      <w:r>
        <w:t>the alternate procedures documentation.</w:t>
      </w:r>
      <w:r w:rsidRPr="00BB2A34">
        <w:t>)</w:t>
      </w:r>
    </w:p>
    <w:p w:rsidR="00325F9E" w:rsidRDefault="00325F9E" w:rsidP="0015311A">
      <w:pPr>
        <w:pStyle w:val="FootnoteText"/>
      </w:pPr>
    </w:p>
  </w:footnote>
  <w:footnote w:id="3">
    <w:p w:rsidR="00325F9E" w:rsidRDefault="00325F9E" w:rsidP="006D5448">
      <w:pPr>
        <w:pStyle w:val="FootnoteText"/>
      </w:pPr>
      <w:r>
        <w:tab/>
      </w:r>
      <w:r w:rsidRPr="001A7F12">
        <w:rPr>
          <w:rStyle w:val="FootnoteReference"/>
          <w:sz w:val="22"/>
          <w:szCs w:val="22"/>
          <w:vertAlign w:val="superscript"/>
        </w:rPr>
        <w:footnoteRef/>
      </w:r>
      <w:r w:rsidRPr="006D5448">
        <w:t>Th</w:t>
      </w:r>
      <w:r>
        <w:t>is</w:t>
      </w:r>
      <w:r w:rsidRPr="006D5448">
        <w:t xml:space="preserve"> section identif</w:t>
      </w:r>
      <w:r>
        <w:t>ies</w:t>
      </w:r>
      <w:r w:rsidRPr="006D5448">
        <w:t xml:space="preserve"> usual and customary communications between employ</w:t>
      </w:r>
      <w:r>
        <w:t>ers, contractors, and employees;</w:t>
      </w:r>
      <w:r w:rsidRPr="006D5448">
        <w:t xml:space="preserve"> therefore, </w:t>
      </w:r>
      <w:r>
        <w:t>it does</w:t>
      </w:r>
      <w:r w:rsidRPr="006D5448">
        <w:t xml:space="preserve"> not impose burden hours or costs on the employer</w:t>
      </w:r>
      <w:r>
        <w:t>.  For example, as a matter of business practice, information about hazards and permit-confined spaces, etc., would be conveyed to contractors during initial discussions of work to be performed.  Estimated burden hours and costs for establishments not in compliance with these requirements are included in Item 12, below.</w:t>
      </w:r>
    </w:p>
    <w:p w:rsidR="00325F9E" w:rsidRPr="001D14F0" w:rsidRDefault="00325F9E" w:rsidP="006D5448">
      <w:pPr>
        <w:pStyle w:val="FootnoteText"/>
        <w:rPr>
          <w:sz w:val="24"/>
          <w:szCs w:val="24"/>
          <w:vertAlign w:val="superscript"/>
        </w:rPr>
      </w:pPr>
    </w:p>
  </w:footnote>
  <w:footnote w:id="4">
    <w:p w:rsidR="00325F9E" w:rsidRDefault="00325F9E" w:rsidP="00091A9D">
      <w:pPr>
        <w:pStyle w:val="FootnoteText"/>
        <w:ind w:firstLine="720"/>
      </w:pPr>
      <w:r w:rsidRPr="00BE21F2">
        <w:rPr>
          <w:rStyle w:val="FootnoteReference"/>
          <w:sz w:val="22"/>
          <w:szCs w:val="22"/>
          <w:vertAlign w:val="superscript"/>
        </w:rPr>
        <w:footnoteRef/>
      </w:r>
      <w:r w:rsidRPr="006D5448">
        <w:t>Th</w:t>
      </w:r>
      <w:r>
        <w:t>is</w:t>
      </w:r>
      <w:r w:rsidRPr="006D5448">
        <w:t xml:space="preserve"> section identif</w:t>
      </w:r>
      <w:r>
        <w:t>ies</w:t>
      </w:r>
      <w:r w:rsidRPr="006D5448">
        <w:t xml:space="preserve"> usual and customary communications between employ</w:t>
      </w:r>
      <w:r>
        <w:t>ers, contractors, and employees;</w:t>
      </w:r>
      <w:r w:rsidRPr="006D5448">
        <w:t xml:space="preserve"> therefore, </w:t>
      </w:r>
      <w:r>
        <w:t>it does</w:t>
      </w:r>
      <w:r w:rsidRPr="006D5448">
        <w:t xml:space="preserve"> not impose burden hours or costs on the employer</w:t>
      </w:r>
      <w:r>
        <w:t>.  For example, as a matter of business practice, information about hazards and permit-confined spaces, etc., would be conveyed to contractors during initial discussions of work to be performed.</w:t>
      </w:r>
      <w:r w:rsidRPr="00D75DAF">
        <w:t xml:space="preserve"> </w:t>
      </w:r>
      <w:r>
        <w:t xml:space="preserve"> Estimated burden hours and costs for establishments not in compliance with these requirements are included in Item 12, below.</w:t>
      </w:r>
    </w:p>
    <w:p w:rsidR="00325F9E" w:rsidRDefault="00325F9E" w:rsidP="00BE21F2">
      <w:pPr>
        <w:pStyle w:val="FootnoteText"/>
        <w:ind w:firstLine="720"/>
      </w:pPr>
    </w:p>
  </w:footnote>
  <w:footnote w:id="5">
    <w:p w:rsidR="00325F9E" w:rsidRDefault="00325F9E" w:rsidP="00124057">
      <w:pPr>
        <w:pStyle w:val="FootnoteText"/>
        <w:widowControl/>
        <w:ind w:firstLine="720"/>
      </w:pPr>
      <w:r w:rsidRPr="00BB2A34">
        <w:rPr>
          <w:rStyle w:val="FootnoteReference"/>
          <w:sz w:val="22"/>
          <w:szCs w:val="22"/>
          <w:vertAlign w:val="superscript"/>
        </w:rPr>
        <w:footnoteRef/>
      </w:r>
      <w:r w:rsidRPr="005B68EE">
        <w:t xml:space="preserve">Upon careful review of this ICR, OSHA identified </w:t>
      </w:r>
      <w:r>
        <w:t>the atmospheric testing requirement of Section 1910.146(d</w:t>
      </w:r>
      <w:proofErr w:type="gramStart"/>
      <w:r>
        <w:t>)(</w:t>
      </w:r>
      <w:proofErr w:type="gramEnd"/>
      <w:r>
        <w:t xml:space="preserve">5)(iii) as an antecedent event to the permit documentation.  </w:t>
      </w:r>
      <w:r w:rsidRPr="00441921">
        <w:t>The</w:t>
      </w:r>
      <w:r>
        <w:t xml:space="preserve"> Agency believes the</w:t>
      </w:r>
      <w:r w:rsidRPr="00441921">
        <w:t xml:space="preserve"> burden hours and costs associated with testing of atmospheric hazards, and recording those results on the permit, are included in the burden hours and costs for the permit.</w:t>
      </w:r>
      <w:r w:rsidRPr="00BB2A34">
        <w:t xml:space="preserve"> </w:t>
      </w:r>
      <w:r>
        <w:t xml:space="preserve"> In addition, t</w:t>
      </w:r>
      <w:r w:rsidRPr="00E473F4">
        <w:t xml:space="preserve">he burden hours and cost </w:t>
      </w:r>
      <w:r>
        <w:t xml:space="preserve">for </w:t>
      </w:r>
      <w:r w:rsidRPr="00BB2A34">
        <w:t xml:space="preserve">employee-exposure records retained as part of the atmospheric monitoring conducted </w:t>
      </w:r>
      <w:r>
        <w:t xml:space="preserve">under this provision </w:t>
      </w:r>
      <w:r w:rsidRPr="00E473F4">
        <w:t>is taken under OMB Control Number</w:t>
      </w:r>
      <w:r w:rsidRPr="00BB2A34">
        <w:t xml:space="preserve"> 1218-0065, “Access to Employe</w:t>
      </w:r>
      <w:r>
        <w:t>e Exposure and Medical Records.”)</w:t>
      </w:r>
    </w:p>
    <w:p w:rsidR="00325F9E" w:rsidRPr="00441921" w:rsidRDefault="00325F9E" w:rsidP="00124057">
      <w:pPr>
        <w:pStyle w:val="FootnoteText"/>
        <w:widowControl/>
        <w:ind w:firstLine="720"/>
      </w:pPr>
    </w:p>
  </w:footnote>
  <w:footnote w:id="6">
    <w:p w:rsidR="00325F9E" w:rsidRPr="005B68EE" w:rsidRDefault="00325F9E" w:rsidP="00BC2761">
      <w:pPr>
        <w:pStyle w:val="FootnoteText"/>
        <w:ind w:firstLine="720"/>
      </w:pPr>
      <w:r w:rsidRPr="00753432">
        <w:rPr>
          <w:rStyle w:val="FootnoteReference"/>
          <w:sz w:val="22"/>
          <w:szCs w:val="22"/>
          <w:vertAlign w:val="superscript"/>
        </w:rPr>
        <w:footnoteRef/>
      </w:r>
      <w:r w:rsidRPr="00753432">
        <w:rPr>
          <w:sz w:val="22"/>
          <w:szCs w:val="22"/>
        </w:rPr>
        <w:t xml:space="preserve"> </w:t>
      </w:r>
      <w:r w:rsidRPr="005B68EE">
        <w:t>Upon c</w:t>
      </w:r>
      <w:r>
        <w:t xml:space="preserve">areful review of this ICR, OSHA is adding this newly-identified collection of </w:t>
      </w:r>
      <w:r w:rsidRPr="005B68EE">
        <w:t>information requirement</w:t>
      </w:r>
      <w:r>
        <w:t xml:space="preserve"> (1910.146(d</w:t>
      </w:r>
      <w:proofErr w:type="gramStart"/>
      <w:r>
        <w:t>)(</w:t>
      </w:r>
      <w:proofErr w:type="gramEnd"/>
      <w:r>
        <w:t>14)) to Item 2 of the Supporting Statement</w:t>
      </w:r>
      <w:r w:rsidRPr="005B68EE">
        <w:t>.</w:t>
      </w:r>
    </w:p>
    <w:p w:rsidR="00325F9E" w:rsidRPr="00753432" w:rsidRDefault="00325F9E" w:rsidP="00BC2761">
      <w:pPr>
        <w:pStyle w:val="FootnoteText"/>
      </w:pPr>
    </w:p>
  </w:footnote>
  <w:footnote w:id="7">
    <w:p w:rsidR="00325F9E" w:rsidRDefault="00325F9E" w:rsidP="00753432">
      <w:pPr>
        <w:pStyle w:val="FootnoteText"/>
        <w:ind w:firstLine="720"/>
      </w:pPr>
      <w:r w:rsidRPr="00753432">
        <w:rPr>
          <w:rStyle w:val="FootnoteReference"/>
          <w:sz w:val="22"/>
          <w:szCs w:val="22"/>
          <w:vertAlign w:val="superscript"/>
        </w:rPr>
        <w:footnoteRef/>
      </w:r>
      <w:r w:rsidRPr="00753432">
        <w:rPr>
          <w:rStyle w:val="FootnoteReference"/>
          <w:sz w:val="22"/>
          <w:szCs w:val="22"/>
          <w:vertAlign w:val="superscript"/>
        </w:rPr>
        <w:t xml:space="preserve"> </w:t>
      </w:r>
      <w:r w:rsidRPr="005B68EE">
        <w:t>Upon further analysis, the requirement that employers provide training to workers under these provisions is not considered to be</w:t>
      </w:r>
      <w:r w:rsidRPr="00753432">
        <w:t xml:space="preserve"> a collection of information under PRA-95 and its </w:t>
      </w:r>
      <w:proofErr w:type="gramStart"/>
      <w:r w:rsidRPr="00753432">
        <w:t>implementing  rules</w:t>
      </w:r>
      <w:proofErr w:type="gramEnd"/>
      <w:r w:rsidRPr="00753432">
        <w:t>.  OSHA is not taking burden for this activity under Item 12 of this Supporting Statement.  However, the Agency retains burden hours and costs related to training certification.</w:t>
      </w:r>
    </w:p>
    <w:p w:rsidR="00325F9E" w:rsidRPr="00753432" w:rsidRDefault="00325F9E" w:rsidP="00753432">
      <w:pPr>
        <w:pStyle w:val="FootnoteText"/>
        <w:ind w:firstLine="720"/>
      </w:pPr>
    </w:p>
  </w:footnote>
  <w:footnote w:id="8">
    <w:p w:rsidR="00325F9E" w:rsidRDefault="00325F9E" w:rsidP="00091A9D">
      <w:pPr>
        <w:pStyle w:val="FootnoteText"/>
        <w:ind w:firstLine="720"/>
      </w:pPr>
      <w:r w:rsidRPr="0056392D">
        <w:rPr>
          <w:rStyle w:val="FootnoteReference"/>
          <w:sz w:val="22"/>
          <w:szCs w:val="22"/>
          <w:vertAlign w:val="superscript"/>
        </w:rPr>
        <w:footnoteRef/>
      </w:r>
      <w:r w:rsidRPr="005B68EE">
        <w:t>Upon c</w:t>
      </w:r>
      <w:r>
        <w:t xml:space="preserve">areful review of this ICR, OSHA is adding these newly-identified collection of </w:t>
      </w:r>
      <w:r w:rsidRPr="005B68EE">
        <w:t>information requirement</w:t>
      </w:r>
      <w:r>
        <w:t>s (1910.146(h</w:t>
      </w:r>
      <w:proofErr w:type="gramStart"/>
      <w:r>
        <w:t>)(</w:t>
      </w:r>
      <w:proofErr w:type="gramEnd"/>
      <w:r>
        <w:t xml:space="preserve">3) and (h)(4)) to Item 2 of the Supporting Statement. </w:t>
      </w:r>
      <w:r w:rsidRPr="006D5448">
        <w:t xml:space="preserve"> Th</w:t>
      </w:r>
      <w:r>
        <w:t xml:space="preserve">ese </w:t>
      </w:r>
      <w:r w:rsidRPr="006D5448">
        <w:t>section</w:t>
      </w:r>
      <w:r>
        <w:t>s</w:t>
      </w:r>
      <w:r w:rsidRPr="006D5448">
        <w:t xml:space="preserve"> identif</w:t>
      </w:r>
      <w:r>
        <w:t>y</w:t>
      </w:r>
      <w:r w:rsidRPr="006D5448">
        <w:t xml:space="preserve"> usual and customary communications between employ</w:t>
      </w:r>
      <w:r>
        <w:t>ers, contractors, and employees.  Estimated burden hours and costs for establishments not in compliance with these requirements are included in Item 12, below.</w:t>
      </w:r>
      <w:r w:rsidRPr="00D40E1D">
        <w:t xml:space="preserve"> </w:t>
      </w:r>
    </w:p>
    <w:p w:rsidR="00325F9E" w:rsidRPr="0056392D" w:rsidRDefault="00325F9E" w:rsidP="00C4092A">
      <w:pPr>
        <w:pStyle w:val="FootnoteText"/>
      </w:pPr>
    </w:p>
  </w:footnote>
  <w:footnote w:id="9">
    <w:p w:rsidR="00325F9E" w:rsidRDefault="00325F9E" w:rsidP="0056392D">
      <w:pPr>
        <w:pStyle w:val="FootnoteText"/>
        <w:ind w:firstLine="720"/>
      </w:pPr>
      <w:r w:rsidRPr="0056392D">
        <w:rPr>
          <w:rStyle w:val="FootnoteReference"/>
          <w:sz w:val="22"/>
          <w:szCs w:val="22"/>
          <w:vertAlign w:val="superscript"/>
        </w:rPr>
        <w:footnoteRef/>
      </w:r>
      <w:r>
        <w:t xml:space="preserve"> </w:t>
      </w:r>
      <w:r w:rsidRPr="0056392D">
        <w:t xml:space="preserve">Upon careful consideration, the Agency </w:t>
      </w:r>
      <w:r>
        <w:t xml:space="preserve">is adding these newly-identified </w:t>
      </w:r>
      <w:r w:rsidRPr="0056392D">
        <w:t>collect</w:t>
      </w:r>
      <w:r>
        <w:t>ion of information requirements (1910.146(i</w:t>
      </w:r>
      <w:proofErr w:type="gramStart"/>
      <w:r>
        <w:t>)(</w:t>
      </w:r>
      <w:proofErr w:type="gramEnd"/>
      <w:r>
        <w:t>5)-(i)(8)) to Item 2 of the Supporting Statement</w:t>
      </w:r>
      <w:r w:rsidRPr="0056392D">
        <w:t xml:space="preserve">.  </w:t>
      </w:r>
    </w:p>
    <w:p w:rsidR="00325F9E" w:rsidRPr="0056392D" w:rsidRDefault="00325F9E">
      <w:pPr>
        <w:pStyle w:val="FootnoteText"/>
      </w:pPr>
    </w:p>
  </w:footnote>
  <w:footnote w:id="10">
    <w:p w:rsidR="00325F9E" w:rsidRDefault="00325F9E" w:rsidP="00D40E1D">
      <w:pPr>
        <w:pStyle w:val="FootnoteText"/>
        <w:ind w:firstLine="720"/>
      </w:pPr>
      <w:r w:rsidRPr="00D40E1D">
        <w:rPr>
          <w:rStyle w:val="FootnoteReference"/>
          <w:sz w:val="22"/>
          <w:szCs w:val="22"/>
          <w:vertAlign w:val="superscript"/>
        </w:rPr>
        <w:footnoteRef/>
      </w:r>
      <w:r w:rsidRPr="0056392D">
        <w:t xml:space="preserve">Upon careful consideration, the Agency </w:t>
      </w:r>
      <w:r>
        <w:t xml:space="preserve">is adding this newly-identified </w:t>
      </w:r>
      <w:r w:rsidRPr="0056392D">
        <w:t>collection of inf</w:t>
      </w:r>
      <w:r>
        <w:t>ormation requirement (1910.146(j</w:t>
      </w:r>
      <w:proofErr w:type="gramStart"/>
      <w:r>
        <w:t>)(</w:t>
      </w:r>
      <w:proofErr w:type="gramEnd"/>
      <w:r>
        <w:t>2)</w:t>
      </w:r>
      <w:r w:rsidRPr="0056392D">
        <w:t>)</w:t>
      </w:r>
      <w:r>
        <w:t xml:space="preserve"> to Item 2 of the Supporting Statement.   The burden hours and costs associated with endorsing the permit are considered part of the cost of the permit</w:t>
      </w:r>
      <w:r w:rsidRPr="0056392D">
        <w:t>.</w:t>
      </w:r>
    </w:p>
    <w:p w:rsidR="00325F9E" w:rsidRDefault="00325F9E" w:rsidP="00D40E1D">
      <w:pPr>
        <w:pStyle w:val="FootnoteText"/>
        <w:ind w:firstLine="720"/>
      </w:pPr>
    </w:p>
  </w:footnote>
  <w:footnote w:id="11">
    <w:p w:rsidR="00325F9E" w:rsidRDefault="00325F9E" w:rsidP="00D40E1D">
      <w:pPr>
        <w:pStyle w:val="FootnoteText"/>
        <w:ind w:firstLine="720"/>
      </w:pPr>
      <w:r w:rsidRPr="00D40E1D">
        <w:rPr>
          <w:rStyle w:val="FootnoteReference"/>
          <w:sz w:val="22"/>
          <w:szCs w:val="22"/>
          <w:vertAlign w:val="superscript"/>
        </w:rPr>
        <w:footnoteRef/>
      </w:r>
      <w:r w:rsidRPr="00D40E1D">
        <w:rPr>
          <w:rStyle w:val="FootnoteReference"/>
          <w:sz w:val="22"/>
          <w:szCs w:val="22"/>
          <w:vertAlign w:val="superscript"/>
        </w:rPr>
        <w:t xml:space="preserve"> </w:t>
      </w:r>
      <w:r w:rsidRPr="0056392D">
        <w:t xml:space="preserve">Upon careful consideration, the Agency </w:t>
      </w:r>
      <w:r>
        <w:t xml:space="preserve">is adding these newly-identified </w:t>
      </w:r>
      <w:r w:rsidRPr="0056392D">
        <w:t>collect</w:t>
      </w:r>
      <w:r>
        <w:t>ion of information requirements (1910.146(k</w:t>
      </w:r>
      <w:proofErr w:type="gramStart"/>
      <w:r>
        <w:t>)(</w:t>
      </w:r>
      <w:proofErr w:type="gramEnd"/>
      <w:r>
        <w:t>1)(i) and (k)(1)(ii)) to Item 2 of the Supporting Statement</w:t>
      </w:r>
      <w:r w:rsidRPr="0056392D">
        <w:t xml:space="preserve">.  </w:t>
      </w:r>
      <w:r w:rsidRPr="00615F46">
        <w:t>OSHA considers these assessment provisions to be performance-oriented and, therefore, is not taking burden for the requirement</w:t>
      </w:r>
      <w:r>
        <w:t>s</w:t>
      </w:r>
      <w:r w:rsidRPr="00615F46">
        <w:t xml:space="preserve"> under Item 12 below.</w:t>
      </w:r>
    </w:p>
    <w:p w:rsidR="00325F9E" w:rsidRDefault="00325F9E">
      <w:pPr>
        <w:pStyle w:val="FootnoteText"/>
      </w:pPr>
    </w:p>
  </w:footnote>
  <w:footnote w:id="12">
    <w:p w:rsidR="00325F9E" w:rsidRPr="0056392D" w:rsidRDefault="00325F9E" w:rsidP="0056392D">
      <w:pPr>
        <w:pStyle w:val="FootnoteText"/>
        <w:ind w:firstLine="720"/>
      </w:pPr>
      <w:r w:rsidRPr="0056392D">
        <w:rPr>
          <w:rStyle w:val="FootnoteReference"/>
          <w:sz w:val="22"/>
          <w:szCs w:val="22"/>
          <w:vertAlign w:val="superscript"/>
        </w:rPr>
        <w:footnoteRef/>
      </w:r>
      <w:r w:rsidRPr="0056392D">
        <w:rPr>
          <w:rStyle w:val="FootnoteReference"/>
          <w:sz w:val="22"/>
          <w:szCs w:val="22"/>
          <w:vertAlign w:val="superscript"/>
        </w:rPr>
        <w:t xml:space="preserve"> </w:t>
      </w:r>
      <w:r w:rsidRPr="0056392D">
        <w:t xml:space="preserve">Upon careful consideration, the Agency </w:t>
      </w:r>
      <w:r>
        <w:t xml:space="preserve">is adding this newly-identified </w:t>
      </w:r>
      <w:r w:rsidRPr="0056392D">
        <w:t>collection of information requirement, 1910.146(k</w:t>
      </w:r>
      <w:proofErr w:type="gramStart"/>
      <w:r w:rsidRPr="0056392D">
        <w:t>)(</w:t>
      </w:r>
      <w:proofErr w:type="gramEnd"/>
      <w:r w:rsidRPr="0056392D">
        <w:t>1)(v)</w:t>
      </w:r>
      <w:r>
        <w:t>, to Item 2 of the Supporting Statement</w:t>
      </w:r>
      <w:r w:rsidRPr="0056392D">
        <w:t>.  The burden hours and costs of developing an in-house rescue plan are part of the cost of program development.</w:t>
      </w:r>
    </w:p>
    <w:p w:rsidR="00325F9E" w:rsidRDefault="00325F9E">
      <w:pPr>
        <w:pStyle w:val="FootnoteText"/>
      </w:pPr>
    </w:p>
  </w:footnote>
  <w:footnote w:id="13">
    <w:p w:rsidR="00325F9E" w:rsidRPr="006357A8" w:rsidRDefault="00325F9E" w:rsidP="006357A8">
      <w:pPr>
        <w:ind w:firstLine="720"/>
        <w:rPr>
          <w:sz w:val="20"/>
          <w:szCs w:val="20"/>
        </w:rPr>
      </w:pPr>
      <w:r w:rsidRPr="001A7F12">
        <w:rPr>
          <w:rStyle w:val="FootnoteReference"/>
          <w:sz w:val="22"/>
          <w:szCs w:val="22"/>
          <w:vertAlign w:val="superscript"/>
        </w:rPr>
        <w:footnoteRef/>
      </w:r>
      <w:r w:rsidRPr="006357A8">
        <w:rPr>
          <w:sz w:val="20"/>
          <w:szCs w:val="20"/>
        </w:rPr>
        <w:t xml:space="preserve">Upon further analysis, the requirement that employers provide training to workers </w:t>
      </w:r>
      <w:r>
        <w:rPr>
          <w:sz w:val="20"/>
          <w:szCs w:val="20"/>
        </w:rPr>
        <w:t xml:space="preserve">under these provisions </w:t>
      </w:r>
      <w:r w:rsidRPr="006357A8">
        <w:rPr>
          <w:sz w:val="20"/>
          <w:szCs w:val="20"/>
        </w:rPr>
        <w:t>is not considered to be a collection of information</w:t>
      </w:r>
      <w:r>
        <w:rPr>
          <w:sz w:val="20"/>
          <w:szCs w:val="20"/>
        </w:rPr>
        <w:t xml:space="preserve"> under PRA-95 and its implementing  rules</w:t>
      </w:r>
      <w:r w:rsidRPr="006357A8">
        <w:rPr>
          <w:sz w:val="20"/>
          <w:szCs w:val="20"/>
        </w:rPr>
        <w:t xml:space="preserve">.  OSHA is not taking burden for </w:t>
      </w:r>
      <w:r>
        <w:rPr>
          <w:sz w:val="20"/>
          <w:szCs w:val="20"/>
        </w:rPr>
        <w:t xml:space="preserve">training delivery </w:t>
      </w:r>
      <w:r w:rsidRPr="006357A8">
        <w:rPr>
          <w:sz w:val="20"/>
          <w:szCs w:val="20"/>
        </w:rPr>
        <w:t xml:space="preserve">under Item 12 of this Supporting Statement. </w:t>
      </w:r>
      <w:r>
        <w:rPr>
          <w:sz w:val="20"/>
          <w:szCs w:val="20"/>
        </w:rPr>
        <w:t xml:space="preserve"> The Agency assumes that the cost of training records associated with this activity are included in the general training records burden hours and costs under Item 12.</w:t>
      </w:r>
    </w:p>
    <w:p w:rsidR="00325F9E" w:rsidRDefault="00325F9E" w:rsidP="00AD6C2B">
      <w:pPr>
        <w:spacing w:after="72"/>
        <w:rPr>
          <w:sz w:val="20"/>
          <w:szCs w:val="20"/>
        </w:rPr>
      </w:pPr>
    </w:p>
  </w:footnote>
  <w:footnote w:id="14">
    <w:p w:rsidR="00325F9E" w:rsidRDefault="00325F9E">
      <w:pPr>
        <w:pStyle w:val="FootnoteText"/>
      </w:pPr>
      <w:r>
        <w:rPr>
          <w:sz w:val="24"/>
          <w:szCs w:val="24"/>
          <w:vertAlign w:val="superscript"/>
        </w:rPr>
        <w:tab/>
      </w:r>
      <w:r w:rsidRPr="00185059">
        <w:rPr>
          <w:rStyle w:val="FootnoteReference"/>
          <w:sz w:val="24"/>
          <w:szCs w:val="24"/>
          <w:vertAlign w:val="superscript"/>
        </w:rPr>
        <w:footnoteRef/>
      </w:r>
      <w:r w:rsidRPr="00E473F4">
        <w:t>The burden hours and cost for SDS accessibility is taken under OMB Control Number 1218-0072 (the Hazard Communication Standard (HCS) ICR).</w:t>
      </w:r>
    </w:p>
    <w:p w:rsidR="00325F9E" w:rsidRPr="00E473F4" w:rsidRDefault="00325F9E">
      <w:pPr>
        <w:pStyle w:val="FootnoteText"/>
      </w:pPr>
    </w:p>
  </w:footnote>
  <w:footnote w:id="15">
    <w:p w:rsidR="00325F9E" w:rsidRPr="00724588" w:rsidRDefault="00325F9E" w:rsidP="00724588">
      <w:pPr>
        <w:pStyle w:val="FootnoteText"/>
        <w:ind w:firstLine="720"/>
      </w:pPr>
      <w:r w:rsidRPr="00724588">
        <w:rPr>
          <w:rStyle w:val="FootnoteReference"/>
          <w:sz w:val="24"/>
          <w:szCs w:val="24"/>
          <w:vertAlign w:val="superscript"/>
        </w:rPr>
        <w:footnoteRef/>
      </w:r>
      <w:r w:rsidRPr="00724588">
        <w:t xml:space="preserve">Upon </w:t>
      </w:r>
      <w:r>
        <w:t>careful review of this ICR, the Agency is adding this</w:t>
      </w:r>
      <w:r w:rsidRPr="00724588">
        <w:t xml:space="preserve"> new</w:t>
      </w:r>
      <w:r>
        <w:t>ly-identified</w:t>
      </w:r>
      <w:r w:rsidRPr="00724588">
        <w:t xml:space="preserve"> collec</w:t>
      </w:r>
      <w:r>
        <w:t>tion of information requirement to Item 2 of the Supporting Statement.  The burden hours and costs of the employee consultation provision are included in the burden hours and costs for the development of the written program.</w:t>
      </w:r>
    </w:p>
  </w:footnote>
  <w:footnote w:id="16">
    <w:p w:rsidR="00325F9E" w:rsidRDefault="00325F9E" w:rsidP="00234F5C">
      <w:pPr>
        <w:pStyle w:val="FootnoteText"/>
        <w:ind w:left="90" w:firstLine="630"/>
      </w:pPr>
      <w:r w:rsidRPr="00185059">
        <w:rPr>
          <w:rStyle w:val="FootnoteReference"/>
          <w:sz w:val="22"/>
          <w:szCs w:val="22"/>
          <w:vertAlign w:val="superscript"/>
        </w:rPr>
        <w:footnoteRef/>
      </w:r>
      <w:r w:rsidRPr="00ED25E8">
        <w:t>See Table A at the end of this document for a complete list of establishments, permit-confined spaces, and permit-confined space entrants.</w:t>
      </w:r>
    </w:p>
    <w:p w:rsidR="00325F9E" w:rsidRPr="00ED25E8" w:rsidRDefault="00325F9E" w:rsidP="00234F5C">
      <w:pPr>
        <w:pStyle w:val="FootnoteText"/>
        <w:ind w:left="90" w:firstLine="630"/>
      </w:pPr>
    </w:p>
  </w:footnote>
  <w:footnote w:id="17">
    <w:p w:rsidR="00325F9E" w:rsidRDefault="00325F9E" w:rsidP="00052C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rPr>
      </w:pPr>
      <w:r w:rsidRPr="00F71E14">
        <w:rPr>
          <w:rStyle w:val="FootnoteReference"/>
          <w:rFonts w:ascii="Times New Roman" w:hAnsi="Times New Roman"/>
          <w:sz w:val="22"/>
          <w:szCs w:val="22"/>
          <w:vertAlign w:val="superscript"/>
        </w:rPr>
        <w:footnoteRef/>
      </w:r>
      <w:r w:rsidRPr="00943AF6">
        <w:rPr>
          <w:rFonts w:ascii="Times New Roman" w:hAnsi="Times New Roman"/>
        </w:rPr>
        <w:t>Source:</w:t>
      </w:r>
      <w:r>
        <w:rPr>
          <w:rFonts w:ascii="Times New Roman" w:hAnsi="Times New Roman"/>
        </w:rPr>
        <w:t xml:space="preserve"> </w:t>
      </w:r>
      <w:r w:rsidRPr="00943AF6">
        <w:rPr>
          <w:rFonts w:ascii="Times New Roman" w:hAnsi="Times New Roman"/>
        </w:rPr>
        <w:t xml:space="preserve"> Bureau of Labor </w:t>
      </w:r>
      <w:r w:rsidRPr="0004029C">
        <w:rPr>
          <w:rFonts w:ascii="Times New Roman" w:hAnsi="Times New Roman"/>
        </w:rPr>
        <w:t>Statistics</w:t>
      </w:r>
      <w:r>
        <w:rPr>
          <w:rFonts w:ascii="Times New Roman" w:hAnsi="Times New Roman"/>
        </w:rPr>
        <w:t xml:space="preserve">.  </w:t>
      </w:r>
      <w:proofErr w:type="gramStart"/>
      <w:r w:rsidRPr="00FE2D52">
        <w:rPr>
          <w:rFonts w:ascii="Times New Roman" w:hAnsi="Times New Roman"/>
          <w:i/>
        </w:rPr>
        <w:t>National Compensation Surve</w:t>
      </w:r>
      <w:r>
        <w:rPr>
          <w:rFonts w:ascii="Times New Roman" w:hAnsi="Times New Roman"/>
          <w:i/>
        </w:rPr>
        <w:t>y.</w:t>
      </w:r>
      <w:proofErr w:type="gramEnd"/>
      <w:r>
        <w:rPr>
          <w:rFonts w:ascii="Times New Roman" w:hAnsi="Times New Roman"/>
          <w:i/>
        </w:rPr>
        <w:t xml:space="preserve">  </w:t>
      </w:r>
      <w:r w:rsidRPr="00FE2D52">
        <w:rPr>
          <w:rFonts w:ascii="Times New Roman" w:hAnsi="Times New Roman"/>
          <w:i/>
        </w:rPr>
        <w:t xml:space="preserve"> </w:t>
      </w:r>
      <w:r>
        <w:rPr>
          <w:rFonts w:ascii="Times New Roman" w:hAnsi="Times New Roman"/>
          <w:i/>
        </w:rPr>
        <w:t>Employer Costs for Employee Compensation, Supplementary Tables – December 2014</w:t>
      </w:r>
      <w:r w:rsidRPr="00FE2D52">
        <w:rPr>
          <w:rFonts w:ascii="Times New Roman" w:hAnsi="Times New Roman"/>
          <w:i/>
        </w:rPr>
        <w:t xml:space="preserve">.  Supplementary </w:t>
      </w:r>
      <w:proofErr w:type="gramStart"/>
      <w:r w:rsidRPr="00FE2D52">
        <w:rPr>
          <w:rFonts w:ascii="Times New Roman" w:hAnsi="Times New Roman"/>
          <w:i/>
        </w:rPr>
        <w:t>Table  1</w:t>
      </w:r>
      <w:proofErr w:type="gramEnd"/>
      <w:r w:rsidRPr="00FE2D52">
        <w:rPr>
          <w:rFonts w:ascii="Times New Roman" w:hAnsi="Times New Roman"/>
          <w:i/>
        </w:rPr>
        <w:t xml:space="preserve">.  </w:t>
      </w:r>
      <w:r>
        <w:rPr>
          <w:rFonts w:ascii="Times New Roman" w:hAnsi="Times New Roman"/>
        </w:rPr>
        <w:t>Source: (</w:t>
      </w:r>
      <w:hyperlink r:id="rId1" w:history="1">
        <w:r w:rsidRPr="009707AC">
          <w:rPr>
            <w:rStyle w:val="Hyperlink"/>
            <w:rFonts w:ascii="Times New Roman" w:hAnsi="Times New Roman"/>
          </w:rPr>
          <w:t>http://www.bls.gov/ncs/ect/sp/ecsuptc33.txt</w:t>
        </w:r>
      </w:hyperlink>
      <w:r>
        <w:rPr>
          <w:rFonts w:ascii="Times New Roman" w:hAnsi="Times New Roman"/>
        </w:rPr>
        <w:t xml:space="preserve"> ) </w:t>
      </w:r>
    </w:p>
    <w:p w:rsidR="00325F9E" w:rsidRPr="004A2EE8" w:rsidRDefault="00325F9E" w:rsidP="00FE2D52">
      <w:pPr>
        <w:pStyle w:val="FootnoteText"/>
      </w:pPr>
    </w:p>
  </w:footnote>
  <w:footnote w:id="18">
    <w:p w:rsidR="00325F9E" w:rsidRPr="00442908" w:rsidRDefault="00325F9E" w:rsidP="0003772F">
      <w:pPr>
        <w:pStyle w:val="FootnoteText"/>
        <w:ind w:firstLine="720"/>
      </w:pPr>
      <w:r w:rsidRPr="004A2EE8">
        <w:rPr>
          <w:rStyle w:val="FootnoteReference"/>
          <w:vertAlign w:val="superscript"/>
        </w:rPr>
        <w:footnoteRef/>
      </w:r>
      <w:r w:rsidRPr="004A2EE8">
        <w:t>Source:  Bureau of Labor Statistics</w:t>
      </w:r>
      <w:r>
        <w:t xml:space="preserve">.  </w:t>
      </w:r>
      <w:proofErr w:type="gramStart"/>
      <w:r w:rsidRPr="00FE2D52">
        <w:rPr>
          <w:i/>
        </w:rPr>
        <w:t>National Compensation Survey.</w:t>
      </w:r>
      <w:proofErr w:type="gramEnd"/>
      <w:r w:rsidRPr="004A2EE8">
        <w:t xml:space="preserve">  </w:t>
      </w:r>
      <w:r w:rsidRPr="00FE2D52">
        <w:rPr>
          <w:i/>
        </w:rPr>
        <w:t>Employer Costs for Employee Compensation – December 2014</w:t>
      </w:r>
      <w:r w:rsidRPr="00FE2D52">
        <w:t>.</w:t>
      </w:r>
      <w:r>
        <w:t xml:space="preserve"> (Source: </w:t>
      </w:r>
      <w:hyperlink r:id="rId2" w:history="1">
        <w:r w:rsidRPr="009707AC">
          <w:rPr>
            <w:rStyle w:val="Hyperlink"/>
          </w:rPr>
          <w:t>http://www.bls.gov/news.release/archives/ecec_03112015.htm</w:t>
        </w:r>
      </w:hyperlink>
      <w:r>
        <w:t xml:space="preserve">   Archived Data: </w:t>
      </w:r>
      <w:hyperlink r:id="rId3" w:history="1">
        <w:r w:rsidRPr="00442908">
          <w:rPr>
            <w:color w:val="003399"/>
            <w:u w:val="single"/>
          </w:rPr>
          <w:t>http://www.bls.gov/schedule/archives/ecec_nr.htm</w:t>
        </w:r>
      </w:hyperlink>
      <w:r w:rsidRPr="00442908">
        <w:t xml:space="preserve"> </w:t>
      </w:r>
      <w:r>
        <w:t>)</w:t>
      </w:r>
    </w:p>
    <w:p w:rsidR="00325F9E" w:rsidRPr="004A2EE8" w:rsidRDefault="00325F9E" w:rsidP="00391B80">
      <w:pPr>
        <w:pStyle w:val="FootnoteText"/>
        <w:ind w:left="100" w:firstLine="620"/>
      </w:pPr>
    </w:p>
  </w:footnote>
  <w:footnote w:id="19">
    <w:p w:rsidR="00325F9E" w:rsidRPr="004A2EE8" w:rsidRDefault="00325F9E" w:rsidP="00391B80">
      <w:pPr>
        <w:pStyle w:val="FootnoteText"/>
        <w:ind w:firstLine="720"/>
      </w:pPr>
      <w:r w:rsidRPr="004A2EE8">
        <w:rPr>
          <w:rStyle w:val="FootnoteReference"/>
          <w:vertAlign w:val="superscript"/>
        </w:rPr>
        <w:footnoteRef/>
      </w:r>
      <w:proofErr w:type="gramStart"/>
      <w:r>
        <w:t>Management, professional and related occupational group ($44.31 wages and salaries).</w:t>
      </w:r>
      <w:proofErr w:type="gramEnd"/>
    </w:p>
    <w:p w:rsidR="00325F9E" w:rsidRPr="004A2EE8" w:rsidRDefault="00325F9E" w:rsidP="00391B80">
      <w:pPr>
        <w:pStyle w:val="FootnoteText"/>
        <w:ind w:firstLine="720"/>
      </w:pPr>
    </w:p>
  </w:footnote>
  <w:footnote w:id="20">
    <w:p w:rsidR="00325F9E" w:rsidRDefault="00325F9E" w:rsidP="00391B80">
      <w:pPr>
        <w:pStyle w:val="FootnoteText"/>
        <w:ind w:firstLine="720"/>
      </w:pPr>
      <w:r w:rsidRPr="00D974E5">
        <w:rPr>
          <w:rStyle w:val="FootnoteReference"/>
          <w:vertAlign w:val="superscript"/>
        </w:rPr>
        <w:footnoteRef/>
      </w:r>
      <w:r>
        <w:t>Office and administrative support occupational group ($20.91 wages and salaries).</w:t>
      </w:r>
    </w:p>
    <w:p w:rsidR="00325F9E" w:rsidRPr="00D974E5" w:rsidRDefault="00325F9E" w:rsidP="00391B80">
      <w:pPr>
        <w:pStyle w:val="FootnoteText"/>
        <w:ind w:firstLine="720"/>
      </w:pPr>
    </w:p>
  </w:footnote>
  <w:footnote w:id="21">
    <w:p w:rsidR="00325F9E" w:rsidRPr="004268B4" w:rsidRDefault="00325F9E" w:rsidP="00391B80">
      <w:pPr>
        <w:pStyle w:val="FootnoteText"/>
        <w:ind w:firstLine="720"/>
      </w:pPr>
      <w:r w:rsidRPr="004268B4">
        <w:rPr>
          <w:rStyle w:val="FootnoteReference"/>
          <w:vertAlign w:val="superscript"/>
        </w:rPr>
        <w:footnoteRef/>
      </w:r>
      <w:proofErr w:type="gramStart"/>
      <w:r>
        <w:t>Production occupational group ($17.98 wages and salaries).</w:t>
      </w:r>
      <w:proofErr w:type="gramEnd"/>
    </w:p>
  </w:footnote>
  <w:footnote w:id="22">
    <w:p w:rsidR="00325F9E" w:rsidRPr="0035313E" w:rsidRDefault="00325F9E" w:rsidP="0035313E">
      <w:pPr>
        <w:pStyle w:val="CommentText"/>
        <w:ind w:firstLine="720"/>
        <w:rPr>
          <w:bCs/>
        </w:rPr>
      </w:pPr>
      <w:r w:rsidRPr="002D7BDD">
        <w:rPr>
          <w:rStyle w:val="FootnoteReference"/>
          <w:sz w:val="22"/>
          <w:szCs w:val="22"/>
          <w:vertAlign w:val="superscript"/>
        </w:rPr>
        <w:footnoteRef/>
      </w:r>
      <w:r w:rsidRPr="0035313E">
        <w:rPr>
          <w:bCs/>
        </w:rPr>
        <w:t>The Agency subtracted 10,277 establishments from the total</w:t>
      </w:r>
      <w:r>
        <w:rPr>
          <w:bCs/>
        </w:rPr>
        <w:t>,</w:t>
      </w:r>
      <w:r w:rsidRPr="0035313E">
        <w:rPr>
          <w:bCs/>
        </w:rPr>
        <w:t xml:space="preserve"> </w:t>
      </w:r>
      <w:r w:rsidRPr="009C0C54">
        <w:rPr>
          <w:bCs/>
        </w:rPr>
        <w:t>205,548</w:t>
      </w:r>
      <w:r>
        <w:rPr>
          <w:bCs/>
        </w:rPr>
        <w:t xml:space="preserve"> establishments, since burden hours and costs were attributed to them for developing a new program.</w:t>
      </w:r>
    </w:p>
    <w:p w:rsidR="00325F9E" w:rsidRPr="0035313E" w:rsidRDefault="00325F9E">
      <w:pPr>
        <w:pStyle w:val="FootnoteText"/>
        <w:rPr>
          <w:bCs/>
        </w:rPr>
      </w:pPr>
    </w:p>
  </w:footnote>
  <w:footnote w:id="23">
    <w:p w:rsidR="00325F9E" w:rsidRDefault="00325F9E" w:rsidP="00E31598">
      <w:pPr>
        <w:pStyle w:val="FootnoteText"/>
        <w:ind w:left="90" w:firstLine="630"/>
      </w:pPr>
      <w:r w:rsidRPr="00DD6058">
        <w:rPr>
          <w:rStyle w:val="FootnoteReference"/>
          <w:vertAlign w:val="superscript"/>
        </w:rPr>
        <w:footnoteRef/>
      </w:r>
      <w:r>
        <w:t xml:space="preserve">The previous ICR estimated that there were </w:t>
      </w:r>
      <w:r>
        <w:rPr>
          <w:szCs w:val="22"/>
        </w:rPr>
        <w:t>2,207,351</w:t>
      </w:r>
      <w:r w:rsidRPr="004A2EE8">
        <w:rPr>
          <w:szCs w:val="22"/>
        </w:rPr>
        <w:t xml:space="preserve"> </w:t>
      </w:r>
      <w:r>
        <w:t xml:space="preserve">million permit spaces entered each year under the alternative procedures discussed in this section.  Given that the total number of permit spaces has declined by 1.4 percent, it was assumed that the number of permit spaces discussed in this section have declined by 1.4 percent as well. </w:t>
      </w:r>
    </w:p>
    <w:p w:rsidR="00325F9E" w:rsidRPr="009615DB" w:rsidRDefault="00325F9E" w:rsidP="00E31598">
      <w:pPr>
        <w:pStyle w:val="FootnoteText"/>
        <w:ind w:left="90" w:firstLine="630"/>
      </w:pPr>
    </w:p>
  </w:footnote>
  <w:footnote w:id="24">
    <w:p w:rsidR="00325F9E" w:rsidRDefault="00325F9E" w:rsidP="00E31598">
      <w:pPr>
        <w:pStyle w:val="FootnoteText"/>
        <w:ind w:left="90" w:firstLine="630"/>
      </w:pPr>
      <w:r w:rsidRPr="00DD6058">
        <w:rPr>
          <w:rStyle w:val="FootnoteReference"/>
          <w:vertAlign w:val="superscript"/>
        </w:rPr>
        <w:footnoteRef/>
      </w:r>
      <w:r>
        <w:t>T</w:t>
      </w:r>
      <w:r w:rsidRPr="00DD6058">
        <w:t>he previous ICR estimated that there were</w:t>
      </w:r>
      <w:r>
        <w:t xml:space="preserve"> </w:t>
      </w:r>
      <w:r w:rsidRPr="004A2EE8">
        <w:rPr>
          <w:szCs w:val="22"/>
        </w:rPr>
        <w:t>190,125</w:t>
      </w:r>
      <w:r w:rsidRPr="00DD6058">
        <w:t xml:space="preserve"> permit spaces covered under this paragraph. As </w:t>
      </w:r>
      <w:r>
        <w:t>discussed above, the Agency assumes</w:t>
      </w:r>
      <w:r w:rsidRPr="00DD6058">
        <w:t xml:space="preserve"> that the number of permit spaces discussed </w:t>
      </w:r>
      <w:r>
        <w:t>in this section</w:t>
      </w:r>
      <w:r w:rsidRPr="00DD6058">
        <w:t xml:space="preserve"> decreased by </w:t>
      </w:r>
      <w:r>
        <w:t>1.4</w:t>
      </w:r>
      <w:r w:rsidRPr="00DD6058">
        <w:t xml:space="preserve"> percent.</w:t>
      </w:r>
    </w:p>
    <w:p w:rsidR="00325F9E" w:rsidRPr="00DD6058" w:rsidRDefault="00325F9E" w:rsidP="00E31598">
      <w:pPr>
        <w:pStyle w:val="FootnoteText"/>
        <w:ind w:left="90" w:firstLine="630"/>
      </w:pPr>
    </w:p>
  </w:footnote>
  <w:footnote w:id="25">
    <w:p w:rsidR="00325F9E" w:rsidRPr="002846C5" w:rsidRDefault="00325F9E" w:rsidP="00E31598">
      <w:pPr>
        <w:pStyle w:val="FootnoteText"/>
        <w:ind w:left="90" w:firstLine="630"/>
      </w:pPr>
      <w:r w:rsidRPr="004521FA">
        <w:rPr>
          <w:rStyle w:val="FootnoteReference"/>
          <w:vertAlign w:val="superscript"/>
        </w:rPr>
        <w:footnoteRef/>
      </w:r>
      <w:r>
        <w:t xml:space="preserve">The previous ICR estimated that there were </w:t>
      </w:r>
      <w:r w:rsidRPr="004A2EE8">
        <w:rPr>
          <w:szCs w:val="22"/>
        </w:rPr>
        <w:t xml:space="preserve">1,806,187 </w:t>
      </w:r>
      <w:r>
        <w:t>million permit spaces covered under this paragraph. As discussed above, the Agency assumes that the number of permit spaces discussed in this section decreased by 1.4 percent.</w:t>
      </w:r>
    </w:p>
  </w:footnote>
  <w:footnote w:id="26">
    <w:p w:rsidR="00325F9E" w:rsidRPr="00CF1F3B" w:rsidRDefault="00325F9E" w:rsidP="00091A9D">
      <w:pPr>
        <w:pStyle w:val="FootnoteText"/>
        <w:ind w:firstLine="720"/>
      </w:pPr>
      <w:r w:rsidRPr="00091A9D">
        <w:rPr>
          <w:rStyle w:val="FootnoteReference"/>
          <w:vertAlign w:val="superscript"/>
        </w:rPr>
        <w:footnoteRef/>
      </w:r>
      <w:r>
        <w:t xml:space="preserve">According to the RIA, there were an estimated 1,629,201 </w:t>
      </w:r>
      <w:r w:rsidRPr="00CF1F3B">
        <w:t xml:space="preserve">confined space </w:t>
      </w:r>
      <w:proofErr w:type="gramStart"/>
      <w:r w:rsidRPr="00CF1F3B">
        <w:t xml:space="preserve">entrants </w:t>
      </w:r>
      <w:r>
        <w:t xml:space="preserve"> and</w:t>
      </w:r>
      <w:proofErr w:type="gramEnd"/>
      <w:r>
        <w:t xml:space="preserve"> 114,352 attendants c</w:t>
      </w:r>
      <w:r w:rsidRPr="00CF1F3B">
        <w:t xml:space="preserve">overed by </w:t>
      </w:r>
      <w:r w:rsidRPr="00160FA3">
        <w:t xml:space="preserve">the Standard.  </w:t>
      </w:r>
      <w:proofErr w:type="gramStart"/>
      <w:r>
        <w:t xml:space="preserve">The </w:t>
      </w:r>
      <w:r w:rsidRPr="00160FA3">
        <w:t xml:space="preserve"> current</w:t>
      </w:r>
      <w:proofErr w:type="gramEnd"/>
      <w:r w:rsidRPr="00160FA3">
        <w:t xml:space="preserve"> </w:t>
      </w:r>
      <w:r>
        <w:t xml:space="preserve">ICR </w:t>
      </w:r>
      <w:r w:rsidRPr="00160FA3">
        <w:t xml:space="preserve">analysis estimates </w:t>
      </w:r>
      <w:r w:rsidRPr="00CF1F3B">
        <w:rPr>
          <w:bCs/>
        </w:rPr>
        <w:t>1,463,075 confined space entrants</w:t>
      </w:r>
      <w:r>
        <w:rPr>
          <w:bCs/>
        </w:rPr>
        <w:t xml:space="preserve"> (see Table B).  This is a decrease </w:t>
      </w:r>
      <w:proofErr w:type="gramStart"/>
      <w:r>
        <w:rPr>
          <w:bCs/>
        </w:rPr>
        <w:t>of  10.2</w:t>
      </w:r>
      <w:proofErr w:type="gramEnd"/>
      <w:r>
        <w:rPr>
          <w:bCs/>
        </w:rPr>
        <w:t>% from the RIA estimate.  Therefore, the Agency estimates</w:t>
      </w:r>
      <w:r w:rsidR="00C22298">
        <w:rPr>
          <w:bCs/>
        </w:rPr>
        <w:t xml:space="preserve"> </w:t>
      </w:r>
      <w:proofErr w:type="gramStart"/>
      <w:r w:rsidR="00C22298">
        <w:rPr>
          <w:bCs/>
        </w:rPr>
        <w:t xml:space="preserve">that </w:t>
      </w:r>
      <w:r>
        <w:rPr>
          <w:bCs/>
        </w:rPr>
        <w:t xml:space="preserve"> there</w:t>
      </w:r>
      <w:proofErr w:type="gramEnd"/>
      <w:r>
        <w:rPr>
          <w:bCs/>
        </w:rPr>
        <w:t xml:space="preserve"> are 102,688 attendants (114,352 – (114352 x -10.2%)).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9E" w:rsidRDefault="00325F9E" w:rsidP="00F46530">
    <w:pPr>
      <w:widowControl/>
      <w:rPr>
        <w:b/>
        <w:bCs/>
      </w:rPr>
    </w:pPr>
    <w:r>
      <w:rPr>
        <w:b/>
        <w:bCs/>
      </w:rPr>
      <w:t xml:space="preserve">Permit-Required Confined Spaces Standard </w:t>
    </w:r>
    <w:r w:rsidRPr="00426A98">
      <w:rPr>
        <w:b/>
        <w:bCs/>
      </w:rPr>
      <w:t>(29 CFR 1910.146)</w:t>
    </w:r>
  </w:p>
  <w:p w:rsidR="00325F9E" w:rsidRDefault="00325F9E" w:rsidP="00F46530">
    <w:pPr>
      <w:pStyle w:val="Header"/>
      <w:rPr>
        <w:b/>
        <w:bCs/>
      </w:rPr>
    </w:pPr>
    <w:r>
      <w:rPr>
        <w:b/>
        <w:bCs/>
      </w:rPr>
      <w:t>1218-0203</w:t>
    </w:r>
  </w:p>
  <w:p w:rsidR="00325F9E" w:rsidRDefault="00325F9E" w:rsidP="00F46530">
    <w:pPr>
      <w:pStyle w:val="Header"/>
      <w:rPr>
        <w:b/>
        <w:bCs/>
      </w:rPr>
    </w:pPr>
    <w:r>
      <w:rPr>
        <w:b/>
        <w:bCs/>
      </w:rPr>
      <w:t>June 2015</w:t>
    </w:r>
  </w:p>
  <w:p w:rsidR="00325F9E" w:rsidRPr="00F46530" w:rsidRDefault="00325F9E" w:rsidP="00F465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9E" w:rsidRDefault="00325F9E" w:rsidP="00F46530">
    <w:pPr>
      <w:widowControl/>
      <w:rPr>
        <w:b/>
        <w:bCs/>
      </w:rPr>
    </w:pPr>
    <w:r>
      <w:rPr>
        <w:b/>
        <w:bCs/>
      </w:rPr>
      <w:t xml:space="preserve">Permit-Required Confined Spaces Standard </w:t>
    </w:r>
    <w:r w:rsidRPr="00426A98">
      <w:rPr>
        <w:b/>
        <w:bCs/>
      </w:rPr>
      <w:t>(29 CFR 1910.146)</w:t>
    </w:r>
  </w:p>
  <w:p w:rsidR="00325F9E" w:rsidRDefault="00325F9E">
    <w:pPr>
      <w:pStyle w:val="Header"/>
      <w:rPr>
        <w:b/>
        <w:bCs/>
      </w:rPr>
    </w:pPr>
    <w:r>
      <w:rPr>
        <w:b/>
        <w:bCs/>
      </w:rPr>
      <w:t>1218-0203</w:t>
    </w:r>
  </w:p>
  <w:p w:rsidR="00325F9E" w:rsidRDefault="00325F9E">
    <w:pPr>
      <w:pStyle w:val="Header"/>
      <w:rPr>
        <w:b/>
        <w:bCs/>
      </w:rPr>
    </w:pPr>
    <w:r>
      <w:rPr>
        <w:b/>
        <w:bCs/>
      </w:rPr>
      <w:t>June 2015</w:t>
    </w:r>
  </w:p>
  <w:p w:rsidR="00325F9E" w:rsidRPr="002B53DE" w:rsidRDefault="00325F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606268"/>
    <w:lvl w:ilvl="0">
      <w:numFmt w:val="bullet"/>
      <w:lvlText w:val="*"/>
      <w:lvlJc w:val="left"/>
    </w:lvl>
  </w:abstractNum>
  <w:abstractNum w:abstractNumId="1">
    <w:nsid w:val="00000001"/>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1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1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2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AutoList2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AutoList2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000000B"/>
    <w:multiLevelType w:val="multilevel"/>
    <w:tmpl w:val="00000000"/>
    <w:name w:val="AutoList2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C"/>
    <w:multiLevelType w:val="multilevel"/>
    <w:tmpl w:val="00000000"/>
    <w:name w:val="AutoList24"/>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nsid w:val="0000000D"/>
    <w:multiLevelType w:val="multilevel"/>
    <w:tmpl w:val="00000000"/>
    <w:name w:val="AutoList27"/>
    <w:lvl w:ilvl="0">
      <w:start w:val="1"/>
      <w:numFmt w:val="upperLetter"/>
      <w:pStyle w:val="Level1"/>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4">
    <w:nsid w:val="0000000E"/>
    <w:multiLevelType w:val="multilevel"/>
    <w:tmpl w:val="00000000"/>
    <w:name w:val="AutoList2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nsid w:val="0000000F"/>
    <w:multiLevelType w:val="multilevel"/>
    <w:tmpl w:val="00000000"/>
    <w:name w:val="AutoList2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nsid w:val="0A95237F"/>
    <w:multiLevelType w:val="hybridMultilevel"/>
    <w:tmpl w:val="CAAEFD7C"/>
    <w:lvl w:ilvl="0" w:tplc="5F5E31D2">
      <w:start w:val="6"/>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D865E67"/>
    <w:multiLevelType w:val="hybridMultilevel"/>
    <w:tmpl w:val="988CB7B8"/>
    <w:lvl w:ilvl="0" w:tplc="8B5CF166">
      <w:start w:val="1"/>
      <w:numFmt w:val="decimal"/>
      <w:lvlText w:val="%1."/>
      <w:lvlJc w:val="left"/>
      <w:pPr>
        <w:ind w:left="990" w:hanging="360"/>
      </w:pPr>
      <w:rPr>
        <w:rFonts w:hint="default"/>
        <w:b/>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2853204D"/>
    <w:multiLevelType w:val="hybridMultilevel"/>
    <w:tmpl w:val="A93623D8"/>
    <w:lvl w:ilvl="0" w:tplc="12C460D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8463A9"/>
    <w:multiLevelType w:val="hybridMultilevel"/>
    <w:tmpl w:val="2F509BE4"/>
    <w:lvl w:ilvl="0" w:tplc="BD26DE7E">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3"/>
    <w:lvlOverride w:ilvl="0">
      <w:startOverride w:val="4"/>
      <w:lvl w:ilvl="0">
        <w:start w:val="4"/>
        <w:numFmt w:val="upperLetter"/>
        <w:pStyle w:val="Level1"/>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4">
    <w:abstractNumId w:val="16"/>
  </w:num>
  <w:num w:numId="5">
    <w:abstractNumId w:val="19"/>
  </w:num>
  <w:num w:numId="6">
    <w:abstractNumId w:val="18"/>
  </w:num>
  <w:num w:numId="7">
    <w:abstractNumId w:val="17"/>
  </w:num>
  <w:num w:numId="8">
    <w:abstractNumId w:val="13"/>
    <w:lvlOverride w:ilvl="0">
      <w:startOverride w:val="4"/>
      <w:lvl w:ilvl="0">
        <w:start w:val="4"/>
        <w:numFmt w:val="upperLetter"/>
        <w:pStyle w:val="Level1"/>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FBA"/>
    <w:rsid w:val="00003146"/>
    <w:rsid w:val="000054E4"/>
    <w:rsid w:val="00005EDD"/>
    <w:rsid w:val="00014FC4"/>
    <w:rsid w:val="00026168"/>
    <w:rsid w:val="0002645D"/>
    <w:rsid w:val="00032B0F"/>
    <w:rsid w:val="0003713B"/>
    <w:rsid w:val="0003772F"/>
    <w:rsid w:val="00037B24"/>
    <w:rsid w:val="0004029C"/>
    <w:rsid w:val="000415DF"/>
    <w:rsid w:val="0005235F"/>
    <w:rsid w:val="00052C65"/>
    <w:rsid w:val="000619B6"/>
    <w:rsid w:val="0006627C"/>
    <w:rsid w:val="00067C7B"/>
    <w:rsid w:val="000748C0"/>
    <w:rsid w:val="00077724"/>
    <w:rsid w:val="00077F25"/>
    <w:rsid w:val="00081BA6"/>
    <w:rsid w:val="00086462"/>
    <w:rsid w:val="00091169"/>
    <w:rsid w:val="00091A9D"/>
    <w:rsid w:val="000938D8"/>
    <w:rsid w:val="00095BA5"/>
    <w:rsid w:val="000B4AF1"/>
    <w:rsid w:val="000B5299"/>
    <w:rsid w:val="000C31F0"/>
    <w:rsid w:val="000C69C7"/>
    <w:rsid w:val="000D0812"/>
    <w:rsid w:val="000D3282"/>
    <w:rsid w:val="000E2A1A"/>
    <w:rsid w:val="000E342A"/>
    <w:rsid w:val="000E77FA"/>
    <w:rsid w:val="000F3407"/>
    <w:rsid w:val="000F45B7"/>
    <w:rsid w:val="00100130"/>
    <w:rsid w:val="00100996"/>
    <w:rsid w:val="00100ECF"/>
    <w:rsid w:val="00114BBA"/>
    <w:rsid w:val="001228BF"/>
    <w:rsid w:val="00124057"/>
    <w:rsid w:val="001342DF"/>
    <w:rsid w:val="00134B18"/>
    <w:rsid w:val="00134C90"/>
    <w:rsid w:val="001401C7"/>
    <w:rsid w:val="001530E5"/>
    <w:rsid w:val="0015311A"/>
    <w:rsid w:val="00160FA3"/>
    <w:rsid w:val="00163E13"/>
    <w:rsid w:val="0017373F"/>
    <w:rsid w:val="0017488D"/>
    <w:rsid w:val="0018073B"/>
    <w:rsid w:val="001835F1"/>
    <w:rsid w:val="00185059"/>
    <w:rsid w:val="001851C9"/>
    <w:rsid w:val="00193ECB"/>
    <w:rsid w:val="00194CCA"/>
    <w:rsid w:val="001A7F12"/>
    <w:rsid w:val="001B022A"/>
    <w:rsid w:val="001B309B"/>
    <w:rsid w:val="001B58E5"/>
    <w:rsid w:val="001B5F28"/>
    <w:rsid w:val="001C2018"/>
    <w:rsid w:val="001C508F"/>
    <w:rsid w:val="001C7170"/>
    <w:rsid w:val="001C77EF"/>
    <w:rsid w:val="001D0941"/>
    <w:rsid w:val="001D14F0"/>
    <w:rsid w:val="001D158E"/>
    <w:rsid w:val="001D4025"/>
    <w:rsid w:val="001E2A3E"/>
    <w:rsid w:val="001E4023"/>
    <w:rsid w:val="001E43A4"/>
    <w:rsid w:val="001F4D6B"/>
    <w:rsid w:val="001F5E78"/>
    <w:rsid w:val="002007DB"/>
    <w:rsid w:val="00204C7E"/>
    <w:rsid w:val="00205CA4"/>
    <w:rsid w:val="0020605D"/>
    <w:rsid w:val="00213FF5"/>
    <w:rsid w:val="002148D8"/>
    <w:rsid w:val="00223B54"/>
    <w:rsid w:val="00223EC0"/>
    <w:rsid w:val="0022512E"/>
    <w:rsid w:val="0022520A"/>
    <w:rsid w:val="002268FA"/>
    <w:rsid w:val="00234F5C"/>
    <w:rsid w:val="002416E3"/>
    <w:rsid w:val="00245013"/>
    <w:rsid w:val="0025702D"/>
    <w:rsid w:val="0026208B"/>
    <w:rsid w:val="00263A72"/>
    <w:rsid w:val="002657EF"/>
    <w:rsid w:val="00270B0D"/>
    <w:rsid w:val="002813EA"/>
    <w:rsid w:val="00281B2C"/>
    <w:rsid w:val="002877B7"/>
    <w:rsid w:val="00293344"/>
    <w:rsid w:val="00297172"/>
    <w:rsid w:val="002A13EB"/>
    <w:rsid w:val="002A36D7"/>
    <w:rsid w:val="002B33F3"/>
    <w:rsid w:val="002B53DE"/>
    <w:rsid w:val="002B5C16"/>
    <w:rsid w:val="002B72A4"/>
    <w:rsid w:val="002C65A0"/>
    <w:rsid w:val="002D0CB3"/>
    <w:rsid w:val="002D1247"/>
    <w:rsid w:val="002D48DF"/>
    <w:rsid w:val="002D7BDD"/>
    <w:rsid w:val="002E05AA"/>
    <w:rsid w:val="002E1D54"/>
    <w:rsid w:val="002E4E1B"/>
    <w:rsid w:val="002F2119"/>
    <w:rsid w:val="003028DC"/>
    <w:rsid w:val="00307FD9"/>
    <w:rsid w:val="00325F9E"/>
    <w:rsid w:val="00327E60"/>
    <w:rsid w:val="003310D7"/>
    <w:rsid w:val="003335A1"/>
    <w:rsid w:val="00333904"/>
    <w:rsid w:val="00333914"/>
    <w:rsid w:val="003368A6"/>
    <w:rsid w:val="0034409D"/>
    <w:rsid w:val="0035313E"/>
    <w:rsid w:val="003600EC"/>
    <w:rsid w:val="00367919"/>
    <w:rsid w:val="003811EB"/>
    <w:rsid w:val="0038517F"/>
    <w:rsid w:val="00390A46"/>
    <w:rsid w:val="00391B80"/>
    <w:rsid w:val="003974D0"/>
    <w:rsid w:val="003A2C51"/>
    <w:rsid w:val="003B522C"/>
    <w:rsid w:val="003C11BA"/>
    <w:rsid w:val="003C14D3"/>
    <w:rsid w:val="003C3738"/>
    <w:rsid w:val="003C66B5"/>
    <w:rsid w:val="003F6AA7"/>
    <w:rsid w:val="00401499"/>
    <w:rsid w:val="00411D0D"/>
    <w:rsid w:val="00420CD3"/>
    <w:rsid w:val="00421CE8"/>
    <w:rsid w:val="00426A98"/>
    <w:rsid w:val="00441921"/>
    <w:rsid w:val="00442908"/>
    <w:rsid w:val="00443503"/>
    <w:rsid w:val="00450C99"/>
    <w:rsid w:val="00451316"/>
    <w:rsid w:val="0046073C"/>
    <w:rsid w:val="00460D8D"/>
    <w:rsid w:val="00462FBA"/>
    <w:rsid w:val="004700AB"/>
    <w:rsid w:val="00473627"/>
    <w:rsid w:val="00484B7B"/>
    <w:rsid w:val="004854B9"/>
    <w:rsid w:val="00490D5C"/>
    <w:rsid w:val="00490E77"/>
    <w:rsid w:val="004944B7"/>
    <w:rsid w:val="00497CE2"/>
    <w:rsid w:val="004A2EE8"/>
    <w:rsid w:val="004A7262"/>
    <w:rsid w:val="004C1870"/>
    <w:rsid w:val="004C6C3E"/>
    <w:rsid w:val="004C7212"/>
    <w:rsid w:val="004D3C43"/>
    <w:rsid w:val="004E3F1C"/>
    <w:rsid w:val="004E45B0"/>
    <w:rsid w:val="004E5620"/>
    <w:rsid w:val="004E7A17"/>
    <w:rsid w:val="004F32E0"/>
    <w:rsid w:val="004F4FFB"/>
    <w:rsid w:val="004F7003"/>
    <w:rsid w:val="005076F6"/>
    <w:rsid w:val="00512B59"/>
    <w:rsid w:val="005142A5"/>
    <w:rsid w:val="00515AC6"/>
    <w:rsid w:val="00522557"/>
    <w:rsid w:val="00530A0E"/>
    <w:rsid w:val="00532034"/>
    <w:rsid w:val="00544D8D"/>
    <w:rsid w:val="00547BF8"/>
    <w:rsid w:val="00550699"/>
    <w:rsid w:val="00551A8B"/>
    <w:rsid w:val="00554F7E"/>
    <w:rsid w:val="0055749B"/>
    <w:rsid w:val="0056392D"/>
    <w:rsid w:val="00565DA1"/>
    <w:rsid w:val="00571420"/>
    <w:rsid w:val="00574C86"/>
    <w:rsid w:val="0057551C"/>
    <w:rsid w:val="00580008"/>
    <w:rsid w:val="005910DB"/>
    <w:rsid w:val="005A1C5E"/>
    <w:rsid w:val="005A4F00"/>
    <w:rsid w:val="005B05FA"/>
    <w:rsid w:val="005B6161"/>
    <w:rsid w:val="005B68EE"/>
    <w:rsid w:val="005C30BC"/>
    <w:rsid w:val="005C4002"/>
    <w:rsid w:val="005C61DC"/>
    <w:rsid w:val="005D56D8"/>
    <w:rsid w:val="005D6A84"/>
    <w:rsid w:val="005E1946"/>
    <w:rsid w:val="005E1FD6"/>
    <w:rsid w:val="005E3206"/>
    <w:rsid w:val="005E3756"/>
    <w:rsid w:val="005F0AA5"/>
    <w:rsid w:val="005F1C64"/>
    <w:rsid w:val="005F521A"/>
    <w:rsid w:val="00611E48"/>
    <w:rsid w:val="00615F46"/>
    <w:rsid w:val="00620C88"/>
    <w:rsid w:val="006225BC"/>
    <w:rsid w:val="00623A92"/>
    <w:rsid w:val="006328C6"/>
    <w:rsid w:val="00633379"/>
    <w:rsid w:val="006357A8"/>
    <w:rsid w:val="00643DBB"/>
    <w:rsid w:val="00644909"/>
    <w:rsid w:val="0064568E"/>
    <w:rsid w:val="00645B62"/>
    <w:rsid w:val="00650351"/>
    <w:rsid w:val="00662D76"/>
    <w:rsid w:val="00667561"/>
    <w:rsid w:val="006748E2"/>
    <w:rsid w:val="006801C2"/>
    <w:rsid w:val="00682596"/>
    <w:rsid w:val="006827B9"/>
    <w:rsid w:val="00690AF5"/>
    <w:rsid w:val="006A5170"/>
    <w:rsid w:val="006A5575"/>
    <w:rsid w:val="006A60B1"/>
    <w:rsid w:val="006B1BD7"/>
    <w:rsid w:val="006B2ADD"/>
    <w:rsid w:val="006B4B34"/>
    <w:rsid w:val="006C5D63"/>
    <w:rsid w:val="006D5448"/>
    <w:rsid w:val="006F183B"/>
    <w:rsid w:val="006F68BE"/>
    <w:rsid w:val="0071531F"/>
    <w:rsid w:val="007179BD"/>
    <w:rsid w:val="00720B4C"/>
    <w:rsid w:val="00724588"/>
    <w:rsid w:val="00727392"/>
    <w:rsid w:val="007341A9"/>
    <w:rsid w:val="007360E6"/>
    <w:rsid w:val="00742FA5"/>
    <w:rsid w:val="00746D22"/>
    <w:rsid w:val="00747689"/>
    <w:rsid w:val="00753432"/>
    <w:rsid w:val="007537DB"/>
    <w:rsid w:val="00757D2F"/>
    <w:rsid w:val="0076143F"/>
    <w:rsid w:val="00763FA9"/>
    <w:rsid w:val="00765C5D"/>
    <w:rsid w:val="00771A04"/>
    <w:rsid w:val="007724C2"/>
    <w:rsid w:val="00780085"/>
    <w:rsid w:val="00780466"/>
    <w:rsid w:val="00781375"/>
    <w:rsid w:val="00782321"/>
    <w:rsid w:val="0078269A"/>
    <w:rsid w:val="007858F9"/>
    <w:rsid w:val="00785DB1"/>
    <w:rsid w:val="007A49D3"/>
    <w:rsid w:val="007A50DE"/>
    <w:rsid w:val="007B14F8"/>
    <w:rsid w:val="007B5E51"/>
    <w:rsid w:val="007C01FA"/>
    <w:rsid w:val="007C15FC"/>
    <w:rsid w:val="007C388F"/>
    <w:rsid w:val="007D3905"/>
    <w:rsid w:val="007D5632"/>
    <w:rsid w:val="007D5C4C"/>
    <w:rsid w:val="007D73F4"/>
    <w:rsid w:val="007E074A"/>
    <w:rsid w:val="007E215B"/>
    <w:rsid w:val="007E5CE5"/>
    <w:rsid w:val="007F2C89"/>
    <w:rsid w:val="00802970"/>
    <w:rsid w:val="00805FE8"/>
    <w:rsid w:val="008073C2"/>
    <w:rsid w:val="008434C4"/>
    <w:rsid w:val="00843A1C"/>
    <w:rsid w:val="00844298"/>
    <w:rsid w:val="00850A51"/>
    <w:rsid w:val="008551E0"/>
    <w:rsid w:val="008661AE"/>
    <w:rsid w:val="0086737D"/>
    <w:rsid w:val="00870164"/>
    <w:rsid w:val="008742B3"/>
    <w:rsid w:val="00886ABE"/>
    <w:rsid w:val="008911E8"/>
    <w:rsid w:val="008927EC"/>
    <w:rsid w:val="008A2DE9"/>
    <w:rsid w:val="008A5411"/>
    <w:rsid w:val="008A562A"/>
    <w:rsid w:val="008B422E"/>
    <w:rsid w:val="008C2017"/>
    <w:rsid w:val="008C39A6"/>
    <w:rsid w:val="008C492E"/>
    <w:rsid w:val="008C62AE"/>
    <w:rsid w:val="008D1C30"/>
    <w:rsid w:val="008E0F37"/>
    <w:rsid w:val="008E5235"/>
    <w:rsid w:val="008F444C"/>
    <w:rsid w:val="0090538F"/>
    <w:rsid w:val="0091107A"/>
    <w:rsid w:val="00921256"/>
    <w:rsid w:val="00930EFF"/>
    <w:rsid w:val="00953F8B"/>
    <w:rsid w:val="009543F9"/>
    <w:rsid w:val="0096648F"/>
    <w:rsid w:val="00966866"/>
    <w:rsid w:val="00975A4D"/>
    <w:rsid w:val="00982C70"/>
    <w:rsid w:val="00993448"/>
    <w:rsid w:val="009A15AE"/>
    <w:rsid w:val="009A29F9"/>
    <w:rsid w:val="009A4A64"/>
    <w:rsid w:val="009A7965"/>
    <w:rsid w:val="009A7A99"/>
    <w:rsid w:val="009B04D4"/>
    <w:rsid w:val="009B0939"/>
    <w:rsid w:val="009B3169"/>
    <w:rsid w:val="009B4B5B"/>
    <w:rsid w:val="009B7BAE"/>
    <w:rsid w:val="009C0788"/>
    <w:rsid w:val="009C0C54"/>
    <w:rsid w:val="009C410F"/>
    <w:rsid w:val="009C4175"/>
    <w:rsid w:val="009D41CD"/>
    <w:rsid w:val="009D5799"/>
    <w:rsid w:val="009D60CD"/>
    <w:rsid w:val="009E0664"/>
    <w:rsid w:val="009E23E5"/>
    <w:rsid w:val="009E413A"/>
    <w:rsid w:val="009F70F5"/>
    <w:rsid w:val="00A008ED"/>
    <w:rsid w:val="00A04678"/>
    <w:rsid w:val="00A04F57"/>
    <w:rsid w:val="00A17920"/>
    <w:rsid w:val="00A2523F"/>
    <w:rsid w:val="00A36D86"/>
    <w:rsid w:val="00A40773"/>
    <w:rsid w:val="00A44408"/>
    <w:rsid w:val="00A5303A"/>
    <w:rsid w:val="00A54C5E"/>
    <w:rsid w:val="00A55D09"/>
    <w:rsid w:val="00A67385"/>
    <w:rsid w:val="00A70714"/>
    <w:rsid w:val="00A91222"/>
    <w:rsid w:val="00AA06FB"/>
    <w:rsid w:val="00AA5BBF"/>
    <w:rsid w:val="00AA6116"/>
    <w:rsid w:val="00AA6F3F"/>
    <w:rsid w:val="00AA7B25"/>
    <w:rsid w:val="00AA7C94"/>
    <w:rsid w:val="00AB7966"/>
    <w:rsid w:val="00AC10E7"/>
    <w:rsid w:val="00AC4EDB"/>
    <w:rsid w:val="00AD0746"/>
    <w:rsid w:val="00AD2024"/>
    <w:rsid w:val="00AD39CD"/>
    <w:rsid w:val="00AD6C2B"/>
    <w:rsid w:val="00AE11ED"/>
    <w:rsid w:val="00AE506E"/>
    <w:rsid w:val="00AE76AF"/>
    <w:rsid w:val="00AF1FCF"/>
    <w:rsid w:val="00B0315A"/>
    <w:rsid w:val="00B05F36"/>
    <w:rsid w:val="00B25534"/>
    <w:rsid w:val="00B26D35"/>
    <w:rsid w:val="00B2758D"/>
    <w:rsid w:val="00B363E3"/>
    <w:rsid w:val="00B37C5D"/>
    <w:rsid w:val="00B42302"/>
    <w:rsid w:val="00B5026C"/>
    <w:rsid w:val="00B52AD8"/>
    <w:rsid w:val="00B60FBA"/>
    <w:rsid w:val="00B61F04"/>
    <w:rsid w:val="00B63079"/>
    <w:rsid w:val="00B66656"/>
    <w:rsid w:val="00B72C08"/>
    <w:rsid w:val="00B74609"/>
    <w:rsid w:val="00B77F88"/>
    <w:rsid w:val="00B80943"/>
    <w:rsid w:val="00B91847"/>
    <w:rsid w:val="00BA02FA"/>
    <w:rsid w:val="00BA03C2"/>
    <w:rsid w:val="00BA6165"/>
    <w:rsid w:val="00BB02EF"/>
    <w:rsid w:val="00BB2A34"/>
    <w:rsid w:val="00BB6290"/>
    <w:rsid w:val="00BC2761"/>
    <w:rsid w:val="00BC478A"/>
    <w:rsid w:val="00BD02C6"/>
    <w:rsid w:val="00BE0E02"/>
    <w:rsid w:val="00BE21F2"/>
    <w:rsid w:val="00BE22C4"/>
    <w:rsid w:val="00BF38DC"/>
    <w:rsid w:val="00BF50C4"/>
    <w:rsid w:val="00C06623"/>
    <w:rsid w:val="00C07A8A"/>
    <w:rsid w:val="00C11C20"/>
    <w:rsid w:val="00C11EC3"/>
    <w:rsid w:val="00C1305B"/>
    <w:rsid w:val="00C22298"/>
    <w:rsid w:val="00C225E8"/>
    <w:rsid w:val="00C3436B"/>
    <w:rsid w:val="00C40781"/>
    <w:rsid w:val="00C4092A"/>
    <w:rsid w:val="00C42D81"/>
    <w:rsid w:val="00C441E6"/>
    <w:rsid w:val="00C44761"/>
    <w:rsid w:val="00C60C92"/>
    <w:rsid w:val="00C666D9"/>
    <w:rsid w:val="00C76AFB"/>
    <w:rsid w:val="00C809AD"/>
    <w:rsid w:val="00C810EB"/>
    <w:rsid w:val="00C87DBC"/>
    <w:rsid w:val="00C922DA"/>
    <w:rsid w:val="00C94088"/>
    <w:rsid w:val="00C94293"/>
    <w:rsid w:val="00CA1700"/>
    <w:rsid w:val="00CA379C"/>
    <w:rsid w:val="00CB5233"/>
    <w:rsid w:val="00CB7EB2"/>
    <w:rsid w:val="00CD209E"/>
    <w:rsid w:val="00CE50BD"/>
    <w:rsid w:val="00CF1CF4"/>
    <w:rsid w:val="00CF1F3B"/>
    <w:rsid w:val="00D07F95"/>
    <w:rsid w:val="00D10005"/>
    <w:rsid w:val="00D1269D"/>
    <w:rsid w:val="00D40E1D"/>
    <w:rsid w:val="00D420DD"/>
    <w:rsid w:val="00D45157"/>
    <w:rsid w:val="00D451CC"/>
    <w:rsid w:val="00D47A6A"/>
    <w:rsid w:val="00D53860"/>
    <w:rsid w:val="00D550C6"/>
    <w:rsid w:val="00D64FC8"/>
    <w:rsid w:val="00D66D54"/>
    <w:rsid w:val="00D70EC8"/>
    <w:rsid w:val="00D75DAF"/>
    <w:rsid w:val="00D76573"/>
    <w:rsid w:val="00D8290A"/>
    <w:rsid w:val="00D829A8"/>
    <w:rsid w:val="00D9043D"/>
    <w:rsid w:val="00DA025D"/>
    <w:rsid w:val="00DA2FA9"/>
    <w:rsid w:val="00DB45D0"/>
    <w:rsid w:val="00DD0EA3"/>
    <w:rsid w:val="00DD59D0"/>
    <w:rsid w:val="00DE7EDD"/>
    <w:rsid w:val="00DF075C"/>
    <w:rsid w:val="00DF0BB4"/>
    <w:rsid w:val="00DF3371"/>
    <w:rsid w:val="00E04ECF"/>
    <w:rsid w:val="00E16186"/>
    <w:rsid w:val="00E17188"/>
    <w:rsid w:val="00E22C8D"/>
    <w:rsid w:val="00E265B3"/>
    <w:rsid w:val="00E265E4"/>
    <w:rsid w:val="00E31377"/>
    <w:rsid w:val="00E31598"/>
    <w:rsid w:val="00E31AC4"/>
    <w:rsid w:val="00E325E8"/>
    <w:rsid w:val="00E33F68"/>
    <w:rsid w:val="00E33F7B"/>
    <w:rsid w:val="00E34B1F"/>
    <w:rsid w:val="00E40C61"/>
    <w:rsid w:val="00E429A4"/>
    <w:rsid w:val="00E465B2"/>
    <w:rsid w:val="00E46BA2"/>
    <w:rsid w:val="00E473F4"/>
    <w:rsid w:val="00E51C58"/>
    <w:rsid w:val="00E53A9F"/>
    <w:rsid w:val="00E67996"/>
    <w:rsid w:val="00E774B8"/>
    <w:rsid w:val="00E819E2"/>
    <w:rsid w:val="00E81C80"/>
    <w:rsid w:val="00E81F54"/>
    <w:rsid w:val="00E864D0"/>
    <w:rsid w:val="00E914E9"/>
    <w:rsid w:val="00E93E95"/>
    <w:rsid w:val="00E95973"/>
    <w:rsid w:val="00EA0455"/>
    <w:rsid w:val="00EA2148"/>
    <w:rsid w:val="00EA2371"/>
    <w:rsid w:val="00EA6ACA"/>
    <w:rsid w:val="00EB211B"/>
    <w:rsid w:val="00EC5C00"/>
    <w:rsid w:val="00EC66FA"/>
    <w:rsid w:val="00EC72E5"/>
    <w:rsid w:val="00ED699D"/>
    <w:rsid w:val="00EF3D69"/>
    <w:rsid w:val="00EF4E27"/>
    <w:rsid w:val="00F05782"/>
    <w:rsid w:val="00F209C1"/>
    <w:rsid w:val="00F2669C"/>
    <w:rsid w:val="00F3093B"/>
    <w:rsid w:val="00F4588B"/>
    <w:rsid w:val="00F46530"/>
    <w:rsid w:val="00F52B68"/>
    <w:rsid w:val="00F5402A"/>
    <w:rsid w:val="00F56C0F"/>
    <w:rsid w:val="00F6248B"/>
    <w:rsid w:val="00F663DC"/>
    <w:rsid w:val="00F7027E"/>
    <w:rsid w:val="00F71E14"/>
    <w:rsid w:val="00F738EA"/>
    <w:rsid w:val="00F86078"/>
    <w:rsid w:val="00F906AC"/>
    <w:rsid w:val="00F92E02"/>
    <w:rsid w:val="00F9306D"/>
    <w:rsid w:val="00F94A45"/>
    <w:rsid w:val="00FA2145"/>
    <w:rsid w:val="00FA6C48"/>
    <w:rsid w:val="00FB30B6"/>
    <w:rsid w:val="00FC5BA4"/>
    <w:rsid w:val="00FC7583"/>
    <w:rsid w:val="00FD2938"/>
    <w:rsid w:val="00FD7E47"/>
    <w:rsid w:val="00FE0ED5"/>
    <w:rsid w:val="00FE161F"/>
    <w:rsid w:val="00FE2D52"/>
    <w:rsid w:val="00FE3860"/>
    <w:rsid w:val="00FF52F3"/>
    <w:rsid w:val="00FF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paragraph" w:customStyle="1" w:styleId="Level2">
    <w:name w:val="Level 2"/>
    <w:basedOn w:val="Normal"/>
    <w:pPr>
      <w:ind w:left="720" w:hanging="360"/>
    </w:pPr>
  </w:style>
  <w:style w:type="paragraph" w:styleId="Footer">
    <w:name w:val="footer"/>
    <w:basedOn w:val="Normal"/>
    <w:link w:val="FooterChar"/>
    <w:uiPriority w:val="99"/>
    <w:rsid w:val="000F3407"/>
    <w:pPr>
      <w:tabs>
        <w:tab w:val="center" w:pos="4320"/>
        <w:tab w:val="right" w:pos="8640"/>
      </w:tabs>
    </w:pPr>
  </w:style>
  <w:style w:type="character" w:styleId="PageNumber">
    <w:name w:val="page number"/>
    <w:basedOn w:val="DefaultParagraphFont"/>
    <w:rsid w:val="000F3407"/>
  </w:style>
  <w:style w:type="table" w:styleId="TableGrid">
    <w:name w:val="Table Grid"/>
    <w:basedOn w:val="TableNormal"/>
    <w:rsid w:val="000911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ten1">
    <w:name w:val="blueten1"/>
    <w:rsid w:val="00D70EC8"/>
    <w:rPr>
      <w:rFonts w:ascii="Verdana" w:hAnsi="Verdana" w:hint="default"/>
      <w:color w:val="003399"/>
      <w:sz w:val="19"/>
      <w:szCs w:val="19"/>
    </w:rPr>
  </w:style>
  <w:style w:type="paragraph" w:styleId="FootnoteText">
    <w:name w:val="footnote text"/>
    <w:basedOn w:val="Normal"/>
    <w:link w:val="FootnoteTextChar"/>
    <w:semiHidden/>
    <w:rsid w:val="001B58E5"/>
    <w:rPr>
      <w:sz w:val="20"/>
      <w:szCs w:val="20"/>
    </w:rPr>
  </w:style>
  <w:style w:type="character" w:styleId="Hyperlink">
    <w:name w:val="Hyperlink"/>
    <w:rsid w:val="00026168"/>
    <w:rPr>
      <w:color w:val="0000FF"/>
      <w:u w:val="single"/>
    </w:rPr>
  </w:style>
  <w:style w:type="paragraph" w:styleId="EndnoteText">
    <w:name w:val="endnote text"/>
    <w:basedOn w:val="Normal"/>
    <w:semiHidden/>
    <w:rsid w:val="00C40781"/>
    <w:pPr>
      <w:widowControl/>
      <w:autoSpaceDE/>
      <w:autoSpaceDN/>
      <w:adjustRightInd/>
    </w:pPr>
    <w:rPr>
      <w:sz w:val="20"/>
      <w:szCs w:val="20"/>
    </w:rPr>
  </w:style>
  <w:style w:type="character" w:styleId="EndnoteReference">
    <w:name w:val="endnote reference"/>
    <w:semiHidden/>
    <w:rsid w:val="00C40781"/>
    <w:rPr>
      <w:vertAlign w:val="superscript"/>
    </w:rPr>
  </w:style>
  <w:style w:type="character" w:styleId="FollowedHyperlink">
    <w:name w:val="FollowedHyperlink"/>
    <w:rsid w:val="001F5E78"/>
    <w:rPr>
      <w:color w:val="800080"/>
      <w:u w:val="single"/>
    </w:rPr>
  </w:style>
  <w:style w:type="paragraph" w:styleId="BalloonText">
    <w:name w:val="Balloon Text"/>
    <w:basedOn w:val="Normal"/>
    <w:semiHidden/>
    <w:rsid w:val="003028DC"/>
    <w:rPr>
      <w:rFonts w:ascii="Tahoma" w:hAnsi="Tahoma" w:cs="Tahoma"/>
      <w:sz w:val="16"/>
      <w:szCs w:val="16"/>
    </w:rPr>
  </w:style>
  <w:style w:type="character" w:customStyle="1" w:styleId="FootnoteTextChar">
    <w:name w:val="Footnote Text Char"/>
    <w:link w:val="FootnoteText"/>
    <w:semiHidden/>
    <w:rsid w:val="003C11BA"/>
    <w:rPr>
      <w:rFonts w:ascii="Courier" w:hAnsi="Courier"/>
      <w:lang w:val="en-US" w:eastAsia="en-US" w:bidi="ar-SA"/>
    </w:rPr>
  </w:style>
  <w:style w:type="paragraph" w:styleId="Header">
    <w:name w:val="header"/>
    <w:basedOn w:val="Normal"/>
    <w:rsid w:val="00AB7966"/>
    <w:pPr>
      <w:tabs>
        <w:tab w:val="center" w:pos="4320"/>
        <w:tab w:val="right" w:pos="8640"/>
      </w:tabs>
    </w:pPr>
  </w:style>
  <w:style w:type="paragraph" w:styleId="Revision">
    <w:name w:val="Revision"/>
    <w:hidden/>
    <w:uiPriority w:val="99"/>
    <w:semiHidden/>
    <w:rsid w:val="0055749B"/>
    <w:rPr>
      <w:rFonts w:ascii="Courier" w:hAnsi="Courier"/>
    </w:rPr>
  </w:style>
  <w:style w:type="character" w:styleId="CommentReference">
    <w:name w:val="annotation reference"/>
    <w:rsid w:val="009C0C54"/>
    <w:rPr>
      <w:sz w:val="16"/>
      <w:szCs w:val="16"/>
    </w:rPr>
  </w:style>
  <w:style w:type="paragraph" w:styleId="CommentText">
    <w:name w:val="annotation text"/>
    <w:basedOn w:val="Normal"/>
    <w:link w:val="CommentTextChar"/>
    <w:rsid w:val="009C0C54"/>
    <w:rPr>
      <w:sz w:val="20"/>
      <w:szCs w:val="20"/>
    </w:rPr>
  </w:style>
  <w:style w:type="character" w:customStyle="1" w:styleId="CommentTextChar">
    <w:name w:val="Comment Text Char"/>
    <w:link w:val="CommentText"/>
    <w:rsid w:val="009C0C54"/>
    <w:rPr>
      <w:rFonts w:ascii="Courier" w:hAnsi="Courier"/>
    </w:rPr>
  </w:style>
  <w:style w:type="paragraph" w:styleId="CommentSubject">
    <w:name w:val="annotation subject"/>
    <w:basedOn w:val="CommentText"/>
    <w:next w:val="CommentText"/>
    <w:link w:val="CommentSubjectChar"/>
    <w:rsid w:val="009C0C54"/>
    <w:rPr>
      <w:b/>
      <w:bCs/>
    </w:rPr>
  </w:style>
  <w:style w:type="character" w:customStyle="1" w:styleId="CommentSubjectChar">
    <w:name w:val="Comment Subject Char"/>
    <w:link w:val="CommentSubject"/>
    <w:rsid w:val="009C0C54"/>
    <w:rPr>
      <w:rFonts w:ascii="Courier" w:hAnsi="Courier"/>
      <w:b/>
      <w:bCs/>
    </w:rPr>
  </w:style>
  <w:style w:type="paragraph" w:styleId="HTMLPreformatted">
    <w:name w:val="HTML Preformatted"/>
    <w:basedOn w:val="Normal"/>
    <w:link w:val="HTMLPreformattedChar"/>
    <w:uiPriority w:val="99"/>
    <w:unhideWhenUsed/>
    <w:rsid w:val="007804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780466"/>
    <w:rPr>
      <w:rFonts w:ascii="Courier New" w:hAnsi="Courier New" w:cs="Courier New"/>
    </w:rPr>
  </w:style>
  <w:style w:type="character" w:customStyle="1" w:styleId="FooterChar">
    <w:name w:val="Footer Char"/>
    <w:basedOn w:val="DefaultParagraphFont"/>
    <w:link w:val="Footer"/>
    <w:uiPriority w:val="99"/>
    <w:rsid w:val="004736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paragraph" w:customStyle="1" w:styleId="Level2">
    <w:name w:val="Level 2"/>
    <w:basedOn w:val="Normal"/>
    <w:pPr>
      <w:ind w:left="720" w:hanging="360"/>
    </w:pPr>
  </w:style>
  <w:style w:type="paragraph" w:styleId="Footer">
    <w:name w:val="footer"/>
    <w:basedOn w:val="Normal"/>
    <w:link w:val="FooterChar"/>
    <w:uiPriority w:val="99"/>
    <w:rsid w:val="000F3407"/>
    <w:pPr>
      <w:tabs>
        <w:tab w:val="center" w:pos="4320"/>
        <w:tab w:val="right" w:pos="8640"/>
      </w:tabs>
    </w:pPr>
  </w:style>
  <w:style w:type="character" w:styleId="PageNumber">
    <w:name w:val="page number"/>
    <w:basedOn w:val="DefaultParagraphFont"/>
    <w:rsid w:val="000F3407"/>
  </w:style>
  <w:style w:type="table" w:styleId="TableGrid">
    <w:name w:val="Table Grid"/>
    <w:basedOn w:val="TableNormal"/>
    <w:rsid w:val="000911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ten1">
    <w:name w:val="blueten1"/>
    <w:rsid w:val="00D70EC8"/>
    <w:rPr>
      <w:rFonts w:ascii="Verdana" w:hAnsi="Verdana" w:hint="default"/>
      <w:color w:val="003399"/>
      <w:sz w:val="19"/>
      <w:szCs w:val="19"/>
    </w:rPr>
  </w:style>
  <w:style w:type="paragraph" w:styleId="FootnoteText">
    <w:name w:val="footnote text"/>
    <w:basedOn w:val="Normal"/>
    <w:link w:val="FootnoteTextChar"/>
    <w:semiHidden/>
    <w:rsid w:val="001B58E5"/>
    <w:rPr>
      <w:sz w:val="20"/>
      <w:szCs w:val="20"/>
    </w:rPr>
  </w:style>
  <w:style w:type="character" w:styleId="Hyperlink">
    <w:name w:val="Hyperlink"/>
    <w:rsid w:val="00026168"/>
    <w:rPr>
      <w:color w:val="0000FF"/>
      <w:u w:val="single"/>
    </w:rPr>
  </w:style>
  <w:style w:type="paragraph" w:styleId="EndnoteText">
    <w:name w:val="endnote text"/>
    <w:basedOn w:val="Normal"/>
    <w:semiHidden/>
    <w:rsid w:val="00C40781"/>
    <w:pPr>
      <w:widowControl/>
      <w:autoSpaceDE/>
      <w:autoSpaceDN/>
      <w:adjustRightInd/>
    </w:pPr>
    <w:rPr>
      <w:sz w:val="20"/>
      <w:szCs w:val="20"/>
    </w:rPr>
  </w:style>
  <w:style w:type="character" w:styleId="EndnoteReference">
    <w:name w:val="endnote reference"/>
    <w:semiHidden/>
    <w:rsid w:val="00C40781"/>
    <w:rPr>
      <w:vertAlign w:val="superscript"/>
    </w:rPr>
  </w:style>
  <w:style w:type="character" w:styleId="FollowedHyperlink">
    <w:name w:val="FollowedHyperlink"/>
    <w:rsid w:val="001F5E78"/>
    <w:rPr>
      <w:color w:val="800080"/>
      <w:u w:val="single"/>
    </w:rPr>
  </w:style>
  <w:style w:type="paragraph" w:styleId="BalloonText">
    <w:name w:val="Balloon Text"/>
    <w:basedOn w:val="Normal"/>
    <w:semiHidden/>
    <w:rsid w:val="003028DC"/>
    <w:rPr>
      <w:rFonts w:ascii="Tahoma" w:hAnsi="Tahoma" w:cs="Tahoma"/>
      <w:sz w:val="16"/>
      <w:szCs w:val="16"/>
    </w:rPr>
  </w:style>
  <w:style w:type="character" w:customStyle="1" w:styleId="FootnoteTextChar">
    <w:name w:val="Footnote Text Char"/>
    <w:link w:val="FootnoteText"/>
    <w:semiHidden/>
    <w:rsid w:val="003C11BA"/>
    <w:rPr>
      <w:rFonts w:ascii="Courier" w:hAnsi="Courier"/>
      <w:lang w:val="en-US" w:eastAsia="en-US" w:bidi="ar-SA"/>
    </w:rPr>
  </w:style>
  <w:style w:type="paragraph" w:styleId="Header">
    <w:name w:val="header"/>
    <w:basedOn w:val="Normal"/>
    <w:rsid w:val="00AB7966"/>
    <w:pPr>
      <w:tabs>
        <w:tab w:val="center" w:pos="4320"/>
        <w:tab w:val="right" w:pos="8640"/>
      </w:tabs>
    </w:pPr>
  </w:style>
  <w:style w:type="paragraph" w:styleId="Revision">
    <w:name w:val="Revision"/>
    <w:hidden/>
    <w:uiPriority w:val="99"/>
    <w:semiHidden/>
    <w:rsid w:val="0055749B"/>
    <w:rPr>
      <w:rFonts w:ascii="Courier" w:hAnsi="Courier"/>
    </w:rPr>
  </w:style>
  <w:style w:type="character" w:styleId="CommentReference">
    <w:name w:val="annotation reference"/>
    <w:rsid w:val="009C0C54"/>
    <w:rPr>
      <w:sz w:val="16"/>
      <w:szCs w:val="16"/>
    </w:rPr>
  </w:style>
  <w:style w:type="paragraph" w:styleId="CommentText">
    <w:name w:val="annotation text"/>
    <w:basedOn w:val="Normal"/>
    <w:link w:val="CommentTextChar"/>
    <w:rsid w:val="009C0C54"/>
    <w:rPr>
      <w:sz w:val="20"/>
      <w:szCs w:val="20"/>
    </w:rPr>
  </w:style>
  <w:style w:type="character" w:customStyle="1" w:styleId="CommentTextChar">
    <w:name w:val="Comment Text Char"/>
    <w:link w:val="CommentText"/>
    <w:rsid w:val="009C0C54"/>
    <w:rPr>
      <w:rFonts w:ascii="Courier" w:hAnsi="Courier"/>
    </w:rPr>
  </w:style>
  <w:style w:type="paragraph" w:styleId="CommentSubject">
    <w:name w:val="annotation subject"/>
    <w:basedOn w:val="CommentText"/>
    <w:next w:val="CommentText"/>
    <w:link w:val="CommentSubjectChar"/>
    <w:rsid w:val="009C0C54"/>
    <w:rPr>
      <w:b/>
      <w:bCs/>
    </w:rPr>
  </w:style>
  <w:style w:type="character" w:customStyle="1" w:styleId="CommentSubjectChar">
    <w:name w:val="Comment Subject Char"/>
    <w:link w:val="CommentSubject"/>
    <w:rsid w:val="009C0C54"/>
    <w:rPr>
      <w:rFonts w:ascii="Courier" w:hAnsi="Courier"/>
      <w:b/>
      <w:bCs/>
    </w:rPr>
  </w:style>
  <w:style w:type="paragraph" w:styleId="HTMLPreformatted">
    <w:name w:val="HTML Preformatted"/>
    <w:basedOn w:val="Normal"/>
    <w:link w:val="HTMLPreformattedChar"/>
    <w:uiPriority w:val="99"/>
    <w:unhideWhenUsed/>
    <w:rsid w:val="007804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780466"/>
    <w:rPr>
      <w:rFonts w:ascii="Courier New" w:hAnsi="Courier New" w:cs="Courier New"/>
    </w:rPr>
  </w:style>
  <w:style w:type="character" w:customStyle="1" w:styleId="FooterChar">
    <w:name w:val="Footer Char"/>
    <w:basedOn w:val="DefaultParagraphFont"/>
    <w:link w:val="Footer"/>
    <w:uiPriority w:val="99"/>
    <w:rsid w:val="00473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8140">
      <w:bodyDiv w:val="1"/>
      <w:marLeft w:val="0"/>
      <w:marRight w:val="0"/>
      <w:marTop w:val="0"/>
      <w:marBottom w:val="0"/>
      <w:divBdr>
        <w:top w:val="none" w:sz="0" w:space="0" w:color="auto"/>
        <w:left w:val="none" w:sz="0" w:space="0" w:color="auto"/>
        <w:bottom w:val="none" w:sz="0" w:space="0" w:color="auto"/>
        <w:right w:val="none" w:sz="0" w:space="0" w:color="auto"/>
      </w:divBdr>
    </w:div>
    <w:div w:id="254555090">
      <w:bodyDiv w:val="1"/>
      <w:marLeft w:val="0"/>
      <w:marRight w:val="0"/>
      <w:marTop w:val="0"/>
      <w:marBottom w:val="0"/>
      <w:divBdr>
        <w:top w:val="none" w:sz="0" w:space="0" w:color="auto"/>
        <w:left w:val="none" w:sz="0" w:space="0" w:color="auto"/>
        <w:bottom w:val="none" w:sz="0" w:space="0" w:color="auto"/>
        <w:right w:val="none" w:sz="0" w:space="0" w:color="auto"/>
      </w:divBdr>
    </w:div>
    <w:div w:id="270086091">
      <w:bodyDiv w:val="1"/>
      <w:marLeft w:val="0"/>
      <w:marRight w:val="0"/>
      <w:marTop w:val="0"/>
      <w:marBottom w:val="0"/>
      <w:divBdr>
        <w:top w:val="none" w:sz="0" w:space="0" w:color="auto"/>
        <w:left w:val="none" w:sz="0" w:space="0" w:color="auto"/>
        <w:bottom w:val="none" w:sz="0" w:space="0" w:color="auto"/>
        <w:right w:val="none" w:sz="0" w:space="0" w:color="auto"/>
      </w:divBdr>
    </w:div>
    <w:div w:id="278490336">
      <w:bodyDiv w:val="1"/>
      <w:marLeft w:val="0"/>
      <w:marRight w:val="0"/>
      <w:marTop w:val="0"/>
      <w:marBottom w:val="0"/>
      <w:divBdr>
        <w:top w:val="none" w:sz="0" w:space="0" w:color="auto"/>
        <w:left w:val="none" w:sz="0" w:space="0" w:color="auto"/>
        <w:bottom w:val="none" w:sz="0" w:space="0" w:color="auto"/>
        <w:right w:val="none" w:sz="0" w:space="0" w:color="auto"/>
      </w:divBdr>
    </w:div>
    <w:div w:id="439106224">
      <w:bodyDiv w:val="1"/>
      <w:marLeft w:val="0"/>
      <w:marRight w:val="0"/>
      <w:marTop w:val="0"/>
      <w:marBottom w:val="0"/>
      <w:divBdr>
        <w:top w:val="none" w:sz="0" w:space="0" w:color="auto"/>
        <w:left w:val="none" w:sz="0" w:space="0" w:color="auto"/>
        <w:bottom w:val="none" w:sz="0" w:space="0" w:color="auto"/>
        <w:right w:val="none" w:sz="0" w:space="0" w:color="auto"/>
      </w:divBdr>
    </w:div>
    <w:div w:id="609438140">
      <w:bodyDiv w:val="1"/>
      <w:marLeft w:val="0"/>
      <w:marRight w:val="0"/>
      <w:marTop w:val="0"/>
      <w:marBottom w:val="0"/>
      <w:divBdr>
        <w:top w:val="none" w:sz="0" w:space="0" w:color="auto"/>
        <w:left w:val="none" w:sz="0" w:space="0" w:color="auto"/>
        <w:bottom w:val="none" w:sz="0" w:space="0" w:color="auto"/>
        <w:right w:val="none" w:sz="0" w:space="0" w:color="auto"/>
      </w:divBdr>
    </w:div>
    <w:div w:id="1020425248">
      <w:bodyDiv w:val="1"/>
      <w:marLeft w:val="0"/>
      <w:marRight w:val="0"/>
      <w:marTop w:val="0"/>
      <w:marBottom w:val="0"/>
      <w:divBdr>
        <w:top w:val="none" w:sz="0" w:space="0" w:color="auto"/>
        <w:left w:val="none" w:sz="0" w:space="0" w:color="auto"/>
        <w:bottom w:val="none" w:sz="0" w:space="0" w:color="auto"/>
        <w:right w:val="none" w:sz="0" w:space="0" w:color="auto"/>
      </w:divBdr>
    </w:div>
    <w:div w:id="1067454019">
      <w:bodyDiv w:val="1"/>
      <w:marLeft w:val="0"/>
      <w:marRight w:val="0"/>
      <w:marTop w:val="0"/>
      <w:marBottom w:val="0"/>
      <w:divBdr>
        <w:top w:val="none" w:sz="0" w:space="0" w:color="auto"/>
        <w:left w:val="none" w:sz="0" w:space="0" w:color="auto"/>
        <w:bottom w:val="none" w:sz="0" w:space="0" w:color="auto"/>
        <w:right w:val="none" w:sz="0" w:space="0" w:color="auto"/>
      </w:divBdr>
    </w:div>
    <w:div w:id="1106190708">
      <w:bodyDiv w:val="1"/>
      <w:marLeft w:val="0"/>
      <w:marRight w:val="0"/>
      <w:marTop w:val="0"/>
      <w:marBottom w:val="0"/>
      <w:divBdr>
        <w:top w:val="none" w:sz="0" w:space="0" w:color="auto"/>
        <w:left w:val="none" w:sz="0" w:space="0" w:color="auto"/>
        <w:bottom w:val="none" w:sz="0" w:space="0" w:color="auto"/>
        <w:right w:val="none" w:sz="0" w:space="0" w:color="auto"/>
      </w:divBdr>
    </w:div>
    <w:div w:id="1124736719">
      <w:bodyDiv w:val="1"/>
      <w:marLeft w:val="0"/>
      <w:marRight w:val="0"/>
      <w:marTop w:val="0"/>
      <w:marBottom w:val="0"/>
      <w:divBdr>
        <w:top w:val="none" w:sz="0" w:space="0" w:color="auto"/>
        <w:left w:val="none" w:sz="0" w:space="0" w:color="auto"/>
        <w:bottom w:val="none" w:sz="0" w:space="0" w:color="auto"/>
        <w:right w:val="none" w:sz="0" w:space="0" w:color="auto"/>
      </w:divBdr>
    </w:div>
    <w:div w:id="1136292230">
      <w:bodyDiv w:val="1"/>
      <w:marLeft w:val="0"/>
      <w:marRight w:val="0"/>
      <w:marTop w:val="0"/>
      <w:marBottom w:val="0"/>
      <w:divBdr>
        <w:top w:val="none" w:sz="0" w:space="0" w:color="auto"/>
        <w:left w:val="none" w:sz="0" w:space="0" w:color="auto"/>
        <w:bottom w:val="none" w:sz="0" w:space="0" w:color="auto"/>
        <w:right w:val="none" w:sz="0" w:space="0" w:color="auto"/>
      </w:divBdr>
      <w:divsChild>
        <w:div w:id="82653142">
          <w:marLeft w:val="0"/>
          <w:marRight w:val="0"/>
          <w:marTop w:val="0"/>
          <w:marBottom w:val="0"/>
          <w:divBdr>
            <w:top w:val="single" w:sz="2" w:space="0" w:color="333333"/>
            <w:left w:val="single" w:sz="6" w:space="0" w:color="333333"/>
            <w:bottom w:val="single" w:sz="2" w:space="0" w:color="333333"/>
            <w:right w:val="single" w:sz="6" w:space="0" w:color="333333"/>
          </w:divBdr>
          <w:divsChild>
            <w:div w:id="85393858">
              <w:marLeft w:val="0"/>
              <w:marRight w:val="0"/>
              <w:marTop w:val="0"/>
              <w:marBottom w:val="0"/>
              <w:divBdr>
                <w:top w:val="none" w:sz="0" w:space="0" w:color="auto"/>
                <w:left w:val="none" w:sz="0" w:space="0" w:color="auto"/>
                <w:bottom w:val="none" w:sz="0" w:space="0" w:color="auto"/>
                <w:right w:val="none" w:sz="0" w:space="0" w:color="auto"/>
              </w:divBdr>
              <w:divsChild>
                <w:div w:id="54857045">
                  <w:marLeft w:val="0"/>
                  <w:marRight w:val="0"/>
                  <w:marTop w:val="0"/>
                  <w:marBottom w:val="150"/>
                  <w:divBdr>
                    <w:top w:val="none" w:sz="0" w:space="0" w:color="auto"/>
                    <w:left w:val="none" w:sz="0" w:space="0" w:color="auto"/>
                    <w:bottom w:val="none" w:sz="0" w:space="0" w:color="auto"/>
                    <w:right w:val="none" w:sz="0" w:space="0" w:color="auto"/>
                  </w:divBdr>
                  <w:divsChild>
                    <w:div w:id="180330371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49921107">
      <w:bodyDiv w:val="1"/>
      <w:marLeft w:val="0"/>
      <w:marRight w:val="0"/>
      <w:marTop w:val="0"/>
      <w:marBottom w:val="0"/>
      <w:divBdr>
        <w:top w:val="none" w:sz="0" w:space="0" w:color="auto"/>
        <w:left w:val="none" w:sz="0" w:space="0" w:color="auto"/>
        <w:bottom w:val="none" w:sz="0" w:space="0" w:color="auto"/>
        <w:right w:val="none" w:sz="0" w:space="0" w:color="auto"/>
      </w:divBdr>
    </w:div>
    <w:div w:id="1342053286">
      <w:bodyDiv w:val="1"/>
      <w:marLeft w:val="0"/>
      <w:marRight w:val="0"/>
      <w:marTop w:val="0"/>
      <w:marBottom w:val="0"/>
      <w:divBdr>
        <w:top w:val="none" w:sz="0" w:space="0" w:color="auto"/>
        <w:left w:val="none" w:sz="0" w:space="0" w:color="auto"/>
        <w:bottom w:val="none" w:sz="0" w:space="0" w:color="auto"/>
        <w:right w:val="none" w:sz="0" w:space="0" w:color="auto"/>
      </w:divBdr>
    </w:div>
    <w:div w:id="1369990979">
      <w:bodyDiv w:val="1"/>
      <w:marLeft w:val="0"/>
      <w:marRight w:val="0"/>
      <w:marTop w:val="0"/>
      <w:marBottom w:val="0"/>
      <w:divBdr>
        <w:top w:val="none" w:sz="0" w:space="0" w:color="auto"/>
        <w:left w:val="none" w:sz="0" w:space="0" w:color="auto"/>
        <w:bottom w:val="none" w:sz="0" w:space="0" w:color="auto"/>
        <w:right w:val="none" w:sz="0" w:space="0" w:color="auto"/>
      </w:divBdr>
    </w:div>
    <w:div w:id="1397507498">
      <w:bodyDiv w:val="1"/>
      <w:marLeft w:val="0"/>
      <w:marRight w:val="0"/>
      <w:marTop w:val="0"/>
      <w:marBottom w:val="0"/>
      <w:divBdr>
        <w:top w:val="none" w:sz="0" w:space="0" w:color="auto"/>
        <w:left w:val="none" w:sz="0" w:space="0" w:color="auto"/>
        <w:bottom w:val="none" w:sz="0" w:space="0" w:color="auto"/>
        <w:right w:val="none" w:sz="0" w:space="0" w:color="auto"/>
      </w:divBdr>
    </w:div>
    <w:div w:id="1606381923">
      <w:bodyDiv w:val="1"/>
      <w:marLeft w:val="0"/>
      <w:marRight w:val="0"/>
      <w:marTop w:val="0"/>
      <w:marBottom w:val="0"/>
      <w:divBdr>
        <w:top w:val="none" w:sz="0" w:space="0" w:color="auto"/>
        <w:left w:val="none" w:sz="0" w:space="0" w:color="auto"/>
        <w:bottom w:val="none" w:sz="0" w:space="0" w:color="auto"/>
        <w:right w:val="none" w:sz="0" w:space="0" w:color="auto"/>
      </w:divBdr>
    </w:div>
    <w:div w:id="1755936129">
      <w:bodyDiv w:val="1"/>
      <w:marLeft w:val="0"/>
      <w:marRight w:val="0"/>
      <w:marTop w:val="0"/>
      <w:marBottom w:val="0"/>
      <w:divBdr>
        <w:top w:val="none" w:sz="0" w:space="0" w:color="auto"/>
        <w:left w:val="none" w:sz="0" w:space="0" w:color="auto"/>
        <w:bottom w:val="none" w:sz="0" w:space="0" w:color="auto"/>
        <w:right w:val="none" w:sz="0" w:space="0" w:color="auto"/>
      </w:divBdr>
    </w:div>
    <w:div w:id="1782407705">
      <w:bodyDiv w:val="1"/>
      <w:marLeft w:val="0"/>
      <w:marRight w:val="0"/>
      <w:marTop w:val="0"/>
      <w:marBottom w:val="0"/>
      <w:divBdr>
        <w:top w:val="none" w:sz="0" w:space="0" w:color="auto"/>
        <w:left w:val="none" w:sz="0" w:space="0" w:color="auto"/>
        <w:bottom w:val="none" w:sz="0" w:space="0" w:color="auto"/>
        <w:right w:val="none" w:sz="0" w:space="0" w:color="auto"/>
      </w:divBdr>
    </w:div>
    <w:div w:id="1825049205">
      <w:bodyDiv w:val="1"/>
      <w:marLeft w:val="0"/>
      <w:marRight w:val="0"/>
      <w:marTop w:val="0"/>
      <w:marBottom w:val="0"/>
      <w:divBdr>
        <w:top w:val="none" w:sz="0" w:space="0" w:color="auto"/>
        <w:left w:val="none" w:sz="0" w:space="0" w:color="auto"/>
        <w:bottom w:val="none" w:sz="0" w:space="0" w:color="auto"/>
        <w:right w:val="none" w:sz="0" w:space="0" w:color="auto"/>
      </w:divBdr>
    </w:div>
    <w:div w:id="1976523348">
      <w:bodyDiv w:val="1"/>
      <w:marLeft w:val="0"/>
      <w:marRight w:val="0"/>
      <w:marTop w:val="0"/>
      <w:marBottom w:val="0"/>
      <w:divBdr>
        <w:top w:val="none" w:sz="0" w:space="0" w:color="auto"/>
        <w:left w:val="none" w:sz="0" w:space="0" w:color="auto"/>
        <w:bottom w:val="none" w:sz="0" w:space="0" w:color="auto"/>
        <w:right w:val="none" w:sz="0" w:space="0" w:color="auto"/>
      </w:divBdr>
    </w:div>
    <w:div w:id="2004432859">
      <w:bodyDiv w:val="1"/>
      <w:marLeft w:val="0"/>
      <w:marRight w:val="0"/>
      <w:marTop w:val="0"/>
      <w:marBottom w:val="0"/>
      <w:divBdr>
        <w:top w:val="none" w:sz="0" w:space="0" w:color="auto"/>
        <w:left w:val="none" w:sz="0" w:space="0" w:color="auto"/>
        <w:bottom w:val="none" w:sz="0" w:space="0" w:color="auto"/>
        <w:right w:val="none" w:sz="0" w:space="0" w:color="auto"/>
      </w:divBdr>
    </w:div>
    <w:div w:id="207605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chedule/archives/ecec_nr.htm" TargetMode="External"/><Relationship Id="rId2" Type="http://schemas.openxmlformats.org/officeDocument/2006/relationships/hyperlink" Target="http://www.bls.gov/news.release/archives/ecec_03112015.htm" TargetMode="External"/><Relationship Id="rId1" Type="http://schemas.openxmlformats.org/officeDocument/2006/relationships/hyperlink" Target="http://www.bls.gov/ncs/ect/sp/ecsuptc33.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6B773-5C3F-49AA-991B-6612B0D7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6895</Words>
  <Characters>39723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46525</CharactersWithSpaces>
  <SharedDoc>false</SharedDoc>
  <HLinks>
    <vt:vector size="24" baseType="variant">
      <vt:variant>
        <vt:i4>262157</vt:i4>
      </vt:variant>
      <vt:variant>
        <vt:i4>0</vt:i4>
      </vt:variant>
      <vt:variant>
        <vt:i4>0</vt:i4>
      </vt:variant>
      <vt:variant>
        <vt:i4>5</vt:i4>
      </vt:variant>
      <vt:variant>
        <vt:lpwstr>http://www.osha.gov/pls/oshaweb/owalink.query_links?src_doc_type=STANDARDS&amp;src_unique_file=1910_0146&amp;src_anchor_name=1910.146(k)(2)(iii)</vt:lpwstr>
      </vt:variant>
      <vt:variant>
        <vt:lpwstr/>
      </vt:variant>
      <vt:variant>
        <vt:i4>2097233</vt:i4>
      </vt:variant>
      <vt:variant>
        <vt:i4>6</vt:i4>
      </vt:variant>
      <vt:variant>
        <vt:i4>0</vt:i4>
      </vt:variant>
      <vt:variant>
        <vt:i4>5</vt:i4>
      </vt:variant>
      <vt:variant>
        <vt:lpwstr>http://www.bls.gov/schedule/archives/ecec_nr.htm</vt:lpwstr>
      </vt:variant>
      <vt:variant>
        <vt:lpwstr/>
      </vt:variant>
      <vt:variant>
        <vt:i4>131111</vt:i4>
      </vt:variant>
      <vt:variant>
        <vt:i4>3</vt:i4>
      </vt:variant>
      <vt:variant>
        <vt:i4>0</vt:i4>
      </vt:variant>
      <vt:variant>
        <vt:i4>5</vt:i4>
      </vt:variant>
      <vt:variant>
        <vt:lpwstr>http://www.bls.gov/news.release/archives/ecec_03112015.htm</vt:lpwstr>
      </vt:variant>
      <vt:variant>
        <vt:lpwstr/>
      </vt:variant>
      <vt:variant>
        <vt:i4>8126560</vt:i4>
      </vt:variant>
      <vt:variant>
        <vt:i4>0</vt:i4>
      </vt:variant>
      <vt:variant>
        <vt:i4>0</vt:i4>
      </vt:variant>
      <vt:variant>
        <vt:i4>5</vt:i4>
      </vt:variant>
      <vt:variant>
        <vt:lpwstr>http://www.bls.gov/ncs/ect/sp/ecsuptc33.txt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OSHA_User</dc:creator>
  <cp:lastModifiedBy>Showalter, Rachel - OSHA</cp:lastModifiedBy>
  <cp:revision>3</cp:revision>
  <cp:lastPrinted>2012-02-16T17:11:00Z</cp:lastPrinted>
  <dcterms:created xsi:type="dcterms:W3CDTF">2015-06-23T15:22:00Z</dcterms:created>
  <dcterms:modified xsi:type="dcterms:W3CDTF">2015-06-23T15:23:00Z</dcterms:modified>
</cp:coreProperties>
</file>